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E2D28">
      <w:pPr>
        <w:spacing w:before="120" w:beforeLines="50"/>
        <w:jc w:val="center"/>
        <w:rPr>
          <w:rFonts w:hint="eastAsia" w:ascii="宋体" w:hAnsi="宋体" w:cs="宋体"/>
          <w:b/>
          <w:color w:val="auto"/>
          <w:sz w:val="48"/>
          <w:szCs w:val="48"/>
          <w:highlight w:val="none"/>
        </w:rPr>
      </w:pPr>
      <w:r>
        <w:rPr>
          <w:rFonts w:hint="eastAsia" w:ascii="宋体" w:hAnsi="宋体" w:cs="宋体"/>
          <w:b/>
          <w:bCs/>
          <w:color w:val="auto"/>
          <w:sz w:val="44"/>
          <w:szCs w:val="44"/>
          <w:highlight w:val="none"/>
        </w:rPr>
        <w:drawing>
          <wp:inline distT="0" distB="0" distL="114300" distR="114300">
            <wp:extent cx="5007610" cy="1808480"/>
            <wp:effectExtent l="0" t="0" r="2540" b="1270"/>
            <wp:docPr id="1" name="图片 1" descr="信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和11"/>
                    <pic:cNvPicPr>
                      <a:picLocks noChangeAspect="1"/>
                    </pic:cNvPicPr>
                  </pic:nvPicPr>
                  <pic:blipFill>
                    <a:blip r:embed="rId14"/>
                    <a:stretch>
                      <a:fillRect/>
                    </a:stretch>
                  </pic:blipFill>
                  <pic:spPr>
                    <a:xfrm>
                      <a:off x="0" y="0"/>
                      <a:ext cx="5007610" cy="1808480"/>
                    </a:xfrm>
                    <a:prstGeom prst="rect">
                      <a:avLst/>
                    </a:prstGeom>
                    <a:noFill/>
                    <a:ln>
                      <a:noFill/>
                    </a:ln>
                  </pic:spPr>
                </pic:pic>
              </a:graphicData>
            </a:graphic>
          </wp:inline>
        </w:drawing>
      </w:r>
    </w:p>
    <w:p w14:paraId="1DB722D6">
      <w:pPr>
        <w:spacing w:before="120" w:beforeLines="50"/>
        <w:jc w:val="center"/>
        <w:rPr>
          <w:rFonts w:hint="eastAsia" w:ascii="宋体" w:hAnsi="宋体" w:cs="宋体"/>
          <w:b/>
          <w:color w:val="auto"/>
          <w:sz w:val="128"/>
          <w:szCs w:val="128"/>
          <w:highlight w:val="none"/>
        </w:rPr>
      </w:pPr>
    </w:p>
    <w:p w14:paraId="15C03447">
      <w:pPr>
        <w:spacing w:before="120" w:beforeLines="50"/>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公开招标文件</w:t>
      </w:r>
    </w:p>
    <w:p w14:paraId="09A234AE">
      <w:pPr>
        <w:snapToGrid w:val="0"/>
        <w:spacing w:before="120" w:beforeLines="50" w:line="360" w:lineRule="auto"/>
        <w:rPr>
          <w:rFonts w:hint="eastAsia" w:ascii="宋体" w:hAnsi="宋体" w:cs="宋体"/>
          <w:color w:val="auto"/>
          <w:sz w:val="30"/>
          <w:szCs w:val="72"/>
          <w:highlight w:val="none"/>
        </w:rPr>
      </w:pPr>
    </w:p>
    <w:p w14:paraId="2ECBA31F">
      <w:pPr>
        <w:snapToGrid w:val="0"/>
        <w:spacing w:before="120" w:beforeLines="50" w:line="360" w:lineRule="auto"/>
        <w:rPr>
          <w:rFonts w:hint="eastAsia" w:ascii="宋体" w:hAnsi="宋体" w:cs="宋体"/>
          <w:color w:val="auto"/>
          <w:sz w:val="30"/>
          <w:szCs w:val="72"/>
          <w:highlight w:val="none"/>
        </w:rPr>
      </w:pPr>
    </w:p>
    <w:p w14:paraId="553DA0AC">
      <w:pPr>
        <w:snapToGrid w:val="0"/>
        <w:spacing w:before="120" w:beforeLines="50" w:line="360" w:lineRule="auto"/>
        <w:rPr>
          <w:rFonts w:hint="eastAsia" w:ascii="宋体" w:hAnsi="宋体" w:cs="宋体"/>
          <w:color w:val="auto"/>
          <w:sz w:val="30"/>
          <w:szCs w:val="72"/>
          <w:highlight w:val="none"/>
        </w:rPr>
      </w:pPr>
    </w:p>
    <w:p w14:paraId="3849BA1B">
      <w:pPr>
        <w:snapToGrid w:val="0"/>
        <w:spacing w:before="120" w:beforeLines="50" w:line="360" w:lineRule="auto"/>
        <w:rPr>
          <w:rFonts w:hint="eastAsia" w:ascii="宋体" w:hAnsi="宋体" w:cs="宋体"/>
          <w:color w:val="auto"/>
          <w:sz w:val="30"/>
          <w:szCs w:val="72"/>
          <w:highlight w:val="none"/>
        </w:rPr>
      </w:pPr>
    </w:p>
    <w:p w14:paraId="7F756C8E">
      <w:pPr>
        <w:pStyle w:val="14"/>
        <w:spacing w:line="360" w:lineRule="auto"/>
        <w:ind w:left="-2"/>
        <w:jc w:val="center"/>
        <w:rPr>
          <w:rFonts w:hint="eastAsia" w:hAnsi="宋体" w:cs="宋体"/>
          <w:b/>
          <w:bCs/>
          <w:color w:val="auto"/>
          <w:sz w:val="32"/>
          <w:highlight w:val="none"/>
        </w:rPr>
      </w:pPr>
      <w:r>
        <w:rPr>
          <w:rFonts w:hint="eastAsia" w:hAnsi="宋体" w:cs="宋体"/>
          <w:b/>
          <w:bCs/>
          <w:color w:val="auto"/>
          <w:sz w:val="32"/>
          <w:highlight w:val="none"/>
        </w:rPr>
        <w:t>项目名称：报告厅设备采购</w:t>
      </w:r>
    </w:p>
    <w:p w14:paraId="56D2801E">
      <w:pPr>
        <w:pStyle w:val="14"/>
        <w:spacing w:line="360" w:lineRule="auto"/>
        <w:ind w:left="-2"/>
        <w:jc w:val="center"/>
        <w:rPr>
          <w:rFonts w:hint="eastAsia" w:hAnsi="宋体" w:cs="宋体"/>
          <w:b/>
          <w:bCs/>
          <w:color w:val="auto"/>
          <w:sz w:val="32"/>
          <w:highlight w:val="none"/>
        </w:rPr>
      </w:pPr>
      <w:r>
        <w:rPr>
          <w:rFonts w:hint="eastAsia" w:hAnsi="宋体" w:cs="宋体"/>
          <w:b/>
          <w:bCs/>
          <w:color w:val="auto"/>
          <w:sz w:val="32"/>
          <w:highlight w:val="none"/>
        </w:rPr>
        <w:t>项目编号：</w:t>
      </w:r>
      <w:r>
        <w:rPr>
          <w:rFonts w:hint="eastAsia" w:hAnsi="宋体" w:cs="宋体"/>
          <w:b/>
          <w:bCs/>
          <w:color w:val="auto"/>
          <w:w w:val="95"/>
          <w:sz w:val="32"/>
          <w:szCs w:val="32"/>
          <w:highlight w:val="none"/>
        </w:rPr>
        <w:t>LZZC2025-G1-230077-GXXH</w:t>
      </w:r>
    </w:p>
    <w:p w14:paraId="6489D48A">
      <w:pPr>
        <w:pStyle w:val="14"/>
        <w:rPr>
          <w:rFonts w:hint="eastAsia" w:hAnsi="宋体" w:cs="宋体"/>
          <w:b/>
          <w:color w:val="auto"/>
          <w:highlight w:val="none"/>
        </w:rPr>
      </w:pPr>
      <w:r>
        <w:rPr>
          <w:rFonts w:hint="eastAsia" w:hAnsi="宋体" w:cs="宋体"/>
          <w:b/>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100965</wp:posOffset>
                </wp:positionV>
                <wp:extent cx="57150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95pt;height:0pt;width:450pt;z-index:251665408;mso-width-relative:page;mso-height-relative:page;" filled="f" stroked="t" coordsize="21600,21600" o:gfxdata="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WOPFXU&#10;AAAABgEAAA8AAAAAAAAAAQAgAAAAIgAAAGRycy9kb3ducmV2LnhtbFBLAQIUABQAAAAIAIdO4kBX&#10;Fqeb6wEAANkDAAAOAAAAAAAAAAEAIAAAACMBAABkcnMvZTJvRG9jLnhtbFBLBQYAAAAABgAGAFkB&#10;AACABQAAAAA=&#10;">
                <v:fill on="f" focussize="0,0"/>
                <v:stroke weight="1pt" color="#000000" joinstyle="round"/>
                <v:imagedata o:title=""/>
                <o:lock v:ext="edit" aspectratio="f"/>
              </v:line>
            </w:pict>
          </mc:Fallback>
        </mc:AlternateContent>
      </w:r>
    </w:p>
    <w:p w14:paraId="16ABA394">
      <w:pPr>
        <w:spacing w:line="560" w:lineRule="exact"/>
        <w:jc w:val="center"/>
        <w:rPr>
          <w:rFonts w:hint="eastAsia"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采购人：鹿寨县教育局</w:t>
      </w:r>
    </w:p>
    <w:p w14:paraId="51AF1864">
      <w:pPr>
        <w:spacing w:line="5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采购代理机构：广西信和招标代理有限公司</w:t>
      </w:r>
    </w:p>
    <w:p w14:paraId="454793F0">
      <w:pPr>
        <w:pStyle w:val="14"/>
        <w:snapToGrid w:val="0"/>
        <w:spacing w:before="120" w:after="120" w:line="360" w:lineRule="auto"/>
        <w:jc w:val="center"/>
        <w:rPr>
          <w:rFonts w:hint="eastAsia" w:hAnsi="宋体" w:cs="宋体"/>
          <w:b/>
          <w:color w:val="auto"/>
          <w:sz w:val="32"/>
          <w:szCs w:val="32"/>
          <w:highlight w:val="none"/>
        </w:rPr>
      </w:pPr>
    </w:p>
    <w:p w14:paraId="66032F55">
      <w:pPr>
        <w:pStyle w:val="14"/>
        <w:snapToGrid w:val="0"/>
        <w:spacing w:before="120" w:after="120" w:line="360" w:lineRule="auto"/>
        <w:jc w:val="center"/>
        <w:rPr>
          <w:rFonts w:hint="eastAsia" w:hAnsi="宋体" w:cs="宋体"/>
          <w:b/>
          <w:bCs/>
          <w:color w:val="auto"/>
          <w:w w:val="95"/>
          <w:sz w:val="32"/>
          <w:szCs w:val="32"/>
          <w:highlight w:val="none"/>
        </w:rPr>
      </w:pPr>
      <w:r>
        <w:rPr>
          <w:rFonts w:hint="eastAsia" w:hAnsi="宋体" w:cs="宋体"/>
          <w:b/>
          <w:color w:val="auto"/>
          <w:sz w:val="32"/>
          <w:szCs w:val="32"/>
          <w:highlight w:val="none"/>
        </w:rPr>
        <w:t>2025年</w:t>
      </w:r>
      <w:r>
        <w:rPr>
          <w:rFonts w:hint="eastAsia" w:hAnsi="宋体" w:cs="宋体"/>
          <w:b/>
          <w:color w:val="auto"/>
          <w:sz w:val="32"/>
          <w:szCs w:val="32"/>
          <w:highlight w:val="none"/>
          <w:lang w:val="en-US" w:eastAsia="zh-CN"/>
        </w:rPr>
        <w:t>9</w:t>
      </w:r>
      <w:r>
        <w:rPr>
          <w:rFonts w:hint="eastAsia" w:hAnsi="宋体" w:cs="宋体"/>
          <w:b/>
          <w:color w:val="auto"/>
          <w:sz w:val="32"/>
          <w:szCs w:val="32"/>
          <w:highlight w:val="none"/>
        </w:rPr>
        <w:t>月</w:t>
      </w:r>
    </w:p>
    <w:p w14:paraId="233BC538">
      <w:pPr>
        <w:pStyle w:val="14"/>
        <w:spacing w:before="120" w:after="120" w:line="360" w:lineRule="auto"/>
        <w:rPr>
          <w:rFonts w:hint="eastAsia" w:hAnsi="宋体" w:cs="宋体"/>
          <w:color w:val="auto"/>
          <w:highlight w:val="none"/>
        </w:rPr>
        <w:sectPr>
          <w:footerReference r:id="rId6" w:type="first"/>
          <w:headerReference r:id="rId3" w:type="default"/>
          <w:footerReference r:id="rId4" w:type="default"/>
          <w:footerReference r:id="rId5" w:type="even"/>
          <w:pgSz w:w="11906" w:h="16838"/>
          <w:pgMar w:top="1134" w:right="1134" w:bottom="1134" w:left="1247" w:header="851" w:footer="992" w:gutter="0"/>
          <w:pgNumType w:fmt="numberInDash" w:start="0"/>
          <w:cols w:space="720" w:num="1"/>
          <w:titlePg/>
          <w:docGrid w:linePitch="312" w:charSpace="0"/>
        </w:sectPr>
      </w:pPr>
    </w:p>
    <w:p w14:paraId="4709BA0E">
      <w:pPr>
        <w:rPr>
          <w:color w:val="auto"/>
          <w:highlight w:val="none"/>
        </w:rPr>
      </w:pPr>
    </w:p>
    <w:p w14:paraId="5B337437">
      <w:pPr>
        <w:pStyle w:val="14"/>
        <w:spacing w:before="120" w:after="120" w:line="360" w:lineRule="auto"/>
        <w:jc w:val="center"/>
        <w:rPr>
          <w:rFonts w:hint="eastAsia" w:hAnsi="宋体" w:cs="宋体"/>
          <w:b/>
          <w:bCs/>
          <w:color w:val="auto"/>
          <w:sz w:val="32"/>
          <w:szCs w:val="32"/>
          <w:highlight w:val="none"/>
        </w:rPr>
      </w:pPr>
    </w:p>
    <w:p w14:paraId="5FFE469C">
      <w:pPr>
        <w:pStyle w:val="14"/>
        <w:spacing w:before="120" w:after="120" w:line="360" w:lineRule="auto"/>
        <w:jc w:val="center"/>
        <w:rPr>
          <w:rFonts w:hint="eastAsia" w:hAnsi="宋体" w:cs="宋体"/>
          <w:b/>
          <w:bCs/>
          <w:color w:val="auto"/>
          <w:sz w:val="32"/>
          <w:szCs w:val="32"/>
          <w:highlight w:val="none"/>
        </w:rPr>
      </w:pPr>
      <w:r>
        <w:rPr>
          <w:rFonts w:hint="eastAsia" w:hAnsi="宋体" w:cs="宋体"/>
          <w:b/>
          <w:bCs/>
          <w:color w:val="auto"/>
          <w:sz w:val="32"/>
          <w:szCs w:val="32"/>
          <w:highlight w:val="none"/>
        </w:rPr>
        <w:t>目  录</w:t>
      </w:r>
    </w:p>
    <w:p w14:paraId="38E7A657">
      <w:pPr>
        <w:pStyle w:val="18"/>
        <w:tabs>
          <w:tab w:val="right" w:leader="dot" w:pos="9525"/>
          <w:tab w:val="clear" w:pos="1260"/>
          <w:tab w:val="clear" w:pos="9000"/>
        </w:tabs>
        <w:ind w:firstLine="422" w:firstLineChars="150"/>
        <w:rPr>
          <w:rFonts w:hint="eastAsia"/>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TOC \o "1-3" \h \u </w:instrText>
      </w:r>
      <w:r>
        <w:rPr>
          <w:rFonts w:hint="eastAsia"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"_Toc8038" </w:instrText>
      </w:r>
      <w:r>
        <w:rPr>
          <w:color w:val="auto"/>
          <w:highlight w:val="none"/>
        </w:rPr>
        <w:fldChar w:fldCharType="separate"/>
      </w:r>
      <w:r>
        <w:rPr>
          <w:rFonts w:hint="eastAsia" w:cs="宋体"/>
          <w:color w:val="auto"/>
          <w:sz w:val="28"/>
          <w:szCs w:val="28"/>
          <w:highlight w:val="none"/>
        </w:rPr>
        <w:t>第一章  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_Toc8038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color w:val="auto"/>
          <w:sz w:val="28"/>
          <w:szCs w:val="28"/>
          <w:highlight w:val="none"/>
        </w:rPr>
        <w:fldChar w:fldCharType="end"/>
      </w:r>
    </w:p>
    <w:p w14:paraId="29E51F04">
      <w:pPr>
        <w:pStyle w:val="18"/>
        <w:tabs>
          <w:tab w:val="right" w:leader="dot" w:pos="9525"/>
          <w:tab w:val="clear" w:pos="1260"/>
          <w:tab w:val="clear" w:pos="9000"/>
        </w:tabs>
        <w:ind w:firstLine="361" w:firstLineChars="150"/>
        <w:rPr>
          <w:rFonts w:hint="eastAsia"/>
          <w:color w:val="auto"/>
          <w:sz w:val="28"/>
          <w:szCs w:val="28"/>
          <w:highlight w:val="none"/>
        </w:rPr>
      </w:pPr>
      <w:r>
        <w:rPr>
          <w:color w:val="auto"/>
          <w:highlight w:val="none"/>
        </w:rPr>
        <w:fldChar w:fldCharType="begin"/>
      </w:r>
      <w:r>
        <w:rPr>
          <w:color w:val="auto"/>
          <w:highlight w:val="none"/>
        </w:rPr>
        <w:instrText xml:space="preserve"> HYPERLINK \l "_Toc11679" </w:instrText>
      </w:r>
      <w:r>
        <w:rPr>
          <w:color w:val="auto"/>
          <w:highlight w:val="none"/>
        </w:rPr>
        <w:fldChar w:fldCharType="separate"/>
      </w:r>
      <w:r>
        <w:rPr>
          <w:rFonts w:hint="eastAsia" w:cs="宋体"/>
          <w:color w:val="auto"/>
          <w:sz w:val="28"/>
          <w:szCs w:val="28"/>
          <w:highlight w:val="none"/>
        </w:rPr>
        <w:t>第二章  招标项目采购需求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_Toc11679 \h </w:instrText>
      </w:r>
      <w:r>
        <w:rPr>
          <w:color w:val="auto"/>
          <w:sz w:val="28"/>
          <w:szCs w:val="28"/>
          <w:highlight w:val="none"/>
        </w:rPr>
        <w:fldChar w:fldCharType="separate"/>
      </w:r>
      <w:r>
        <w:rPr>
          <w:color w:val="auto"/>
          <w:sz w:val="28"/>
          <w:szCs w:val="28"/>
          <w:highlight w:val="none"/>
        </w:rPr>
        <w:t>- 5 -</w:t>
      </w:r>
      <w:r>
        <w:rPr>
          <w:color w:val="auto"/>
          <w:sz w:val="28"/>
          <w:szCs w:val="28"/>
          <w:highlight w:val="none"/>
        </w:rPr>
        <w:fldChar w:fldCharType="end"/>
      </w:r>
      <w:r>
        <w:rPr>
          <w:color w:val="auto"/>
          <w:sz w:val="28"/>
          <w:szCs w:val="28"/>
          <w:highlight w:val="none"/>
        </w:rPr>
        <w:fldChar w:fldCharType="end"/>
      </w:r>
    </w:p>
    <w:p w14:paraId="55E393E6">
      <w:pPr>
        <w:pStyle w:val="18"/>
        <w:tabs>
          <w:tab w:val="right" w:leader="dot" w:pos="9525"/>
          <w:tab w:val="clear" w:pos="1260"/>
          <w:tab w:val="clear" w:pos="9000"/>
        </w:tabs>
        <w:ind w:firstLine="361" w:firstLineChars="150"/>
        <w:rPr>
          <w:rFonts w:hint="eastAsia"/>
          <w:color w:val="auto"/>
          <w:sz w:val="28"/>
          <w:szCs w:val="28"/>
          <w:highlight w:val="none"/>
        </w:rPr>
      </w:pPr>
      <w:r>
        <w:rPr>
          <w:color w:val="auto"/>
          <w:highlight w:val="none"/>
        </w:rPr>
        <w:fldChar w:fldCharType="begin"/>
      </w:r>
      <w:r>
        <w:rPr>
          <w:color w:val="auto"/>
          <w:highlight w:val="none"/>
        </w:rPr>
        <w:instrText xml:space="preserve"> HYPERLINK \l "_Toc4735"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_Toc4735 \h </w:instrText>
      </w:r>
      <w:r>
        <w:rPr>
          <w:color w:val="auto"/>
          <w:sz w:val="28"/>
          <w:szCs w:val="28"/>
          <w:highlight w:val="none"/>
        </w:rPr>
        <w:fldChar w:fldCharType="separate"/>
      </w:r>
      <w:r>
        <w:rPr>
          <w:color w:val="auto"/>
          <w:sz w:val="28"/>
          <w:szCs w:val="28"/>
          <w:highlight w:val="none"/>
        </w:rPr>
        <w:t>- 45 -</w:t>
      </w:r>
      <w:r>
        <w:rPr>
          <w:color w:val="auto"/>
          <w:sz w:val="28"/>
          <w:szCs w:val="28"/>
          <w:highlight w:val="none"/>
        </w:rPr>
        <w:fldChar w:fldCharType="end"/>
      </w:r>
      <w:r>
        <w:rPr>
          <w:color w:val="auto"/>
          <w:sz w:val="28"/>
          <w:szCs w:val="28"/>
          <w:highlight w:val="none"/>
        </w:rPr>
        <w:fldChar w:fldCharType="end"/>
      </w:r>
    </w:p>
    <w:p w14:paraId="16ADC848">
      <w:pPr>
        <w:pStyle w:val="18"/>
        <w:tabs>
          <w:tab w:val="right" w:leader="dot" w:pos="9525"/>
          <w:tab w:val="clear" w:pos="1260"/>
          <w:tab w:val="clear" w:pos="9000"/>
        </w:tabs>
        <w:ind w:firstLine="361" w:firstLineChars="150"/>
        <w:rPr>
          <w:rFonts w:hint="eastAsia"/>
          <w:color w:val="auto"/>
          <w:sz w:val="28"/>
          <w:szCs w:val="28"/>
          <w:highlight w:val="none"/>
        </w:rPr>
      </w:pPr>
      <w:r>
        <w:rPr>
          <w:color w:val="auto"/>
          <w:highlight w:val="none"/>
        </w:rPr>
        <w:fldChar w:fldCharType="begin"/>
      </w:r>
      <w:r>
        <w:rPr>
          <w:color w:val="auto"/>
          <w:highlight w:val="none"/>
        </w:rPr>
        <w:instrText xml:space="preserve"> HYPERLINK \l "_Toc22040" </w:instrText>
      </w:r>
      <w:r>
        <w:rPr>
          <w:color w:val="auto"/>
          <w:highlight w:val="none"/>
        </w:rPr>
        <w:fldChar w:fldCharType="separate"/>
      </w:r>
      <w:r>
        <w:rPr>
          <w:rFonts w:hint="eastAsia" w:cs="宋体"/>
          <w:color w:val="auto"/>
          <w:sz w:val="28"/>
          <w:szCs w:val="28"/>
          <w:highlight w:val="none"/>
        </w:rPr>
        <w:t>第四章  评标方法及评标标准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_Toc22040 \h </w:instrText>
      </w:r>
      <w:r>
        <w:rPr>
          <w:color w:val="auto"/>
          <w:sz w:val="28"/>
          <w:szCs w:val="28"/>
          <w:highlight w:val="none"/>
        </w:rPr>
        <w:fldChar w:fldCharType="separate"/>
      </w:r>
      <w:r>
        <w:rPr>
          <w:color w:val="auto"/>
          <w:sz w:val="28"/>
          <w:szCs w:val="28"/>
          <w:highlight w:val="none"/>
        </w:rPr>
        <w:t>- 64 -</w:t>
      </w:r>
      <w:r>
        <w:rPr>
          <w:color w:val="auto"/>
          <w:sz w:val="28"/>
          <w:szCs w:val="28"/>
          <w:highlight w:val="none"/>
        </w:rPr>
        <w:fldChar w:fldCharType="end"/>
      </w:r>
      <w:r>
        <w:rPr>
          <w:color w:val="auto"/>
          <w:sz w:val="28"/>
          <w:szCs w:val="28"/>
          <w:highlight w:val="none"/>
        </w:rPr>
        <w:fldChar w:fldCharType="end"/>
      </w:r>
    </w:p>
    <w:p w14:paraId="23E930F3">
      <w:pPr>
        <w:pStyle w:val="18"/>
        <w:tabs>
          <w:tab w:val="right" w:leader="dot" w:pos="9525"/>
          <w:tab w:val="clear" w:pos="1260"/>
          <w:tab w:val="clear" w:pos="9000"/>
        </w:tabs>
        <w:ind w:firstLine="361" w:firstLineChars="150"/>
        <w:rPr>
          <w:rFonts w:hint="eastAsia"/>
          <w:color w:val="auto"/>
          <w:sz w:val="28"/>
          <w:szCs w:val="28"/>
          <w:highlight w:val="none"/>
        </w:rPr>
      </w:pPr>
      <w:r>
        <w:rPr>
          <w:color w:val="auto"/>
          <w:highlight w:val="none"/>
        </w:rPr>
        <w:fldChar w:fldCharType="begin"/>
      </w:r>
      <w:r>
        <w:rPr>
          <w:color w:val="auto"/>
          <w:highlight w:val="none"/>
        </w:rPr>
        <w:instrText xml:space="preserve"> HYPERLINK \l "_Toc4765" </w:instrText>
      </w:r>
      <w:r>
        <w:rPr>
          <w:color w:val="auto"/>
          <w:highlight w:val="none"/>
        </w:rPr>
        <w:fldChar w:fldCharType="separate"/>
      </w:r>
      <w:r>
        <w:rPr>
          <w:rFonts w:hint="eastAsia" w:cs="宋体"/>
          <w:color w:val="auto"/>
          <w:kern w:val="44"/>
          <w:sz w:val="28"/>
          <w:szCs w:val="28"/>
          <w:highlight w:val="none"/>
        </w:rPr>
        <w:t>第五章  合同主要条款格式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_Toc4765 \h </w:instrText>
      </w:r>
      <w:r>
        <w:rPr>
          <w:color w:val="auto"/>
          <w:sz w:val="28"/>
          <w:szCs w:val="28"/>
          <w:highlight w:val="none"/>
        </w:rPr>
        <w:fldChar w:fldCharType="separate"/>
      </w:r>
      <w:r>
        <w:rPr>
          <w:color w:val="auto"/>
          <w:sz w:val="28"/>
          <w:szCs w:val="28"/>
          <w:highlight w:val="none"/>
        </w:rPr>
        <w:t>- 73 -</w:t>
      </w:r>
      <w:r>
        <w:rPr>
          <w:color w:val="auto"/>
          <w:sz w:val="28"/>
          <w:szCs w:val="28"/>
          <w:highlight w:val="none"/>
        </w:rPr>
        <w:fldChar w:fldCharType="end"/>
      </w:r>
      <w:r>
        <w:rPr>
          <w:color w:val="auto"/>
          <w:sz w:val="28"/>
          <w:szCs w:val="28"/>
          <w:highlight w:val="none"/>
        </w:rPr>
        <w:fldChar w:fldCharType="end"/>
      </w:r>
    </w:p>
    <w:p w14:paraId="440795FF">
      <w:pPr>
        <w:pStyle w:val="18"/>
        <w:tabs>
          <w:tab w:val="right" w:leader="dot" w:pos="9525"/>
          <w:tab w:val="clear" w:pos="1260"/>
          <w:tab w:val="clear" w:pos="9000"/>
        </w:tabs>
        <w:ind w:firstLine="361" w:firstLineChars="150"/>
        <w:rPr>
          <w:rFonts w:hint="eastAsia"/>
          <w:color w:val="auto"/>
          <w:sz w:val="28"/>
          <w:szCs w:val="28"/>
          <w:highlight w:val="none"/>
        </w:rPr>
      </w:pPr>
      <w:r>
        <w:rPr>
          <w:color w:val="auto"/>
          <w:highlight w:val="none"/>
        </w:rPr>
        <w:fldChar w:fldCharType="begin"/>
      </w:r>
      <w:r>
        <w:rPr>
          <w:color w:val="auto"/>
          <w:highlight w:val="none"/>
        </w:rPr>
        <w:instrText xml:space="preserve"> HYPERLINK \l "_Toc4800"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_Toc4800 \h </w:instrText>
      </w:r>
      <w:r>
        <w:rPr>
          <w:color w:val="auto"/>
          <w:sz w:val="28"/>
          <w:szCs w:val="28"/>
          <w:highlight w:val="none"/>
        </w:rPr>
        <w:fldChar w:fldCharType="separate"/>
      </w:r>
      <w:r>
        <w:rPr>
          <w:color w:val="auto"/>
          <w:sz w:val="28"/>
          <w:szCs w:val="28"/>
          <w:highlight w:val="none"/>
        </w:rPr>
        <w:t>- 80 -</w:t>
      </w:r>
      <w:r>
        <w:rPr>
          <w:color w:val="auto"/>
          <w:sz w:val="28"/>
          <w:szCs w:val="28"/>
          <w:highlight w:val="none"/>
        </w:rPr>
        <w:fldChar w:fldCharType="end"/>
      </w:r>
      <w:r>
        <w:rPr>
          <w:color w:val="auto"/>
          <w:sz w:val="28"/>
          <w:szCs w:val="28"/>
          <w:highlight w:val="none"/>
        </w:rPr>
        <w:fldChar w:fldCharType="end"/>
      </w:r>
    </w:p>
    <w:p w14:paraId="7212288E">
      <w:pPr>
        <w:spacing w:before="120" w:beforeLines="50" w:line="480" w:lineRule="exact"/>
        <w:ind w:firstLine="420" w:firstLineChars="150"/>
        <w:rPr>
          <w:rFonts w:hint="eastAsia" w:ascii="宋体" w:hAnsi="宋体" w:cs="宋体"/>
          <w:color w:val="auto"/>
          <w:sz w:val="30"/>
          <w:highlight w:val="none"/>
        </w:rPr>
      </w:pPr>
      <w:r>
        <w:rPr>
          <w:rFonts w:hint="eastAsia" w:ascii="宋体" w:hAnsi="宋体" w:cs="宋体"/>
          <w:color w:val="auto"/>
          <w:sz w:val="28"/>
          <w:szCs w:val="28"/>
          <w:highlight w:val="none"/>
        </w:rPr>
        <w:fldChar w:fldCharType="end"/>
      </w:r>
    </w:p>
    <w:p w14:paraId="3DAAD662">
      <w:pPr>
        <w:spacing w:before="120" w:beforeLines="50" w:line="480" w:lineRule="exact"/>
        <w:rPr>
          <w:rStyle w:val="26"/>
          <w:rFonts w:hint="eastAsia" w:ascii="宋体" w:hAnsi="宋体" w:cs="宋体"/>
          <w:color w:val="auto"/>
          <w:highlight w:val="none"/>
        </w:rPr>
      </w:pPr>
      <w:bookmarkStart w:id="115" w:name="_GoBack"/>
      <w:bookmarkEnd w:id="115"/>
    </w:p>
    <w:p w14:paraId="5DEF3EBF">
      <w:pPr>
        <w:spacing w:before="120" w:beforeLines="50" w:line="480" w:lineRule="exact"/>
        <w:rPr>
          <w:rFonts w:hint="eastAsia" w:ascii="宋体" w:hAnsi="宋体" w:cs="宋体"/>
          <w:color w:val="auto"/>
          <w:sz w:val="30"/>
          <w:highlight w:val="none"/>
        </w:rPr>
      </w:pPr>
    </w:p>
    <w:p w14:paraId="3E471ABA">
      <w:pPr>
        <w:spacing w:before="120" w:beforeLines="50" w:line="480" w:lineRule="exact"/>
        <w:rPr>
          <w:rFonts w:hint="eastAsia" w:ascii="宋体" w:hAnsi="宋体" w:cs="宋体"/>
          <w:color w:val="auto"/>
          <w:sz w:val="30"/>
          <w:highlight w:val="none"/>
        </w:rPr>
      </w:pPr>
    </w:p>
    <w:p w14:paraId="48D91648">
      <w:pPr>
        <w:spacing w:before="120" w:beforeLines="50" w:line="480" w:lineRule="exact"/>
        <w:rPr>
          <w:rFonts w:hint="eastAsia" w:ascii="宋体" w:hAnsi="宋体" w:cs="宋体"/>
          <w:color w:val="auto"/>
          <w:sz w:val="30"/>
          <w:highlight w:val="none"/>
        </w:rPr>
      </w:pPr>
    </w:p>
    <w:p w14:paraId="4B389149">
      <w:pPr>
        <w:spacing w:before="120" w:beforeLines="50" w:line="480" w:lineRule="exact"/>
        <w:rPr>
          <w:rFonts w:hint="eastAsia" w:ascii="宋体" w:hAnsi="宋体" w:cs="宋体"/>
          <w:color w:val="auto"/>
          <w:sz w:val="30"/>
          <w:highlight w:val="none"/>
        </w:rPr>
      </w:pPr>
    </w:p>
    <w:p w14:paraId="542A8226">
      <w:pPr>
        <w:spacing w:before="120" w:beforeLines="50" w:line="480" w:lineRule="exact"/>
        <w:rPr>
          <w:rFonts w:hint="eastAsia" w:ascii="宋体" w:hAnsi="宋体" w:cs="宋体"/>
          <w:color w:val="auto"/>
          <w:sz w:val="30"/>
          <w:highlight w:val="none"/>
        </w:rPr>
      </w:pPr>
    </w:p>
    <w:p w14:paraId="7DCFC378">
      <w:pPr>
        <w:spacing w:before="120" w:beforeLines="50" w:line="480" w:lineRule="exact"/>
        <w:rPr>
          <w:rFonts w:hint="eastAsia" w:ascii="宋体" w:hAnsi="宋体" w:cs="宋体"/>
          <w:color w:val="auto"/>
          <w:sz w:val="30"/>
          <w:highlight w:val="none"/>
        </w:rPr>
      </w:pPr>
    </w:p>
    <w:p w14:paraId="268AC05E">
      <w:pPr>
        <w:spacing w:before="120" w:beforeLines="50" w:line="480" w:lineRule="exact"/>
        <w:rPr>
          <w:rFonts w:hint="eastAsia" w:ascii="宋体" w:hAnsi="宋体" w:cs="宋体"/>
          <w:color w:val="auto"/>
          <w:sz w:val="30"/>
          <w:highlight w:val="none"/>
        </w:rPr>
      </w:pPr>
    </w:p>
    <w:p w14:paraId="34028DAC">
      <w:pPr>
        <w:spacing w:before="120" w:beforeLines="50" w:line="480" w:lineRule="exact"/>
        <w:rPr>
          <w:rFonts w:hint="eastAsia" w:ascii="宋体" w:hAnsi="宋体" w:cs="宋体"/>
          <w:color w:val="auto"/>
          <w:sz w:val="30"/>
          <w:highlight w:val="none"/>
        </w:rPr>
      </w:pPr>
    </w:p>
    <w:p w14:paraId="6101C9D0">
      <w:pPr>
        <w:spacing w:before="120" w:beforeLines="50" w:line="480" w:lineRule="exact"/>
        <w:rPr>
          <w:rFonts w:hint="eastAsia" w:ascii="宋体" w:hAnsi="宋体" w:cs="宋体"/>
          <w:color w:val="auto"/>
          <w:sz w:val="30"/>
          <w:highlight w:val="none"/>
        </w:rPr>
      </w:pPr>
    </w:p>
    <w:p w14:paraId="1CA81199">
      <w:pPr>
        <w:pStyle w:val="3"/>
        <w:spacing w:line="400" w:lineRule="exact"/>
        <w:jc w:val="center"/>
        <w:rPr>
          <w:rFonts w:hint="eastAsia" w:ascii="宋体" w:hAnsi="宋体" w:cs="宋体"/>
          <w:color w:val="auto"/>
          <w:sz w:val="36"/>
          <w:szCs w:val="36"/>
          <w:highlight w:val="none"/>
        </w:rPr>
        <w:sectPr>
          <w:footerReference r:id="rId8" w:type="first"/>
          <w:footerReference r:id="rId7" w:type="default"/>
          <w:pgSz w:w="11906" w:h="16838"/>
          <w:pgMar w:top="1134" w:right="1134" w:bottom="1134" w:left="1247" w:header="851" w:footer="992" w:gutter="0"/>
          <w:pgNumType w:fmt="numberInDash" w:start="0"/>
          <w:cols w:space="720" w:num="1"/>
          <w:titlePg/>
          <w:docGrid w:linePitch="312" w:charSpace="0"/>
        </w:sectPr>
      </w:pPr>
      <w:bookmarkStart w:id="0" w:name="_Toc254970489"/>
      <w:bookmarkStart w:id="1" w:name="_Toc254970630"/>
    </w:p>
    <w:p w14:paraId="76B7D6AC">
      <w:pPr>
        <w:pStyle w:val="3"/>
        <w:spacing w:line="400" w:lineRule="exact"/>
        <w:jc w:val="center"/>
        <w:rPr>
          <w:rFonts w:hint="eastAsia" w:ascii="宋体" w:hAnsi="宋体" w:cs="宋体"/>
          <w:color w:val="auto"/>
          <w:sz w:val="36"/>
          <w:szCs w:val="36"/>
          <w:highlight w:val="none"/>
        </w:rPr>
      </w:pPr>
      <w:bookmarkStart w:id="2" w:name="_Toc25578"/>
      <w:bookmarkStart w:id="3" w:name="_Toc8038"/>
      <w:r>
        <w:rPr>
          <w:rFonts w:hint="eastAsia" w:ascii="宋体" w:hAnsi="宋体" w:cs="宋体"/>
          <w:color w:val="auto"/>
          <w:sz w:val="36"/>
          <w:szCs w:val="36"/>
          <w:highlight w:val="none"/>
        </w:rPr>
        <w:t>第一章  公开招标公告</w:t>
      </w:r>
      <w:bookmarkEnd w:id="0"/>
      <w:bookmarkEnd w:id="1"/>
      <w:bookmarkEnd w:id="2"/>
      <w:bookmarkEnd w:id="3"/>
    </w:p>
    <w:p w14:paraId="05B37841">
      <w:pPr>
        <w:pBdr>
          <w:top w:val="single" w:color="auto" w:sz="4" w:space="1"/>
          <w:left w:val="single" w:color="auto" w:sz="4" w:space="4"/>
          <w:bottom w:val="single" w:color="auto" w:sz="4" w:space="5"/>
          <w:right w:val="single" w:color="auto" w:sz="4" w:space="4"/>
        </w:pBd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项目概况</w:t>
      </w:r>
    </w:p>
    <w:p w14:paraId="5118FB27">
      <w:pPr>
        <w:pBdr>
          <w:top w:val="single" w:color="auto" w:sz="4" w:space="1"/>
          <w:left w:val="single" w:color="auto" w:sz="4" w:space="4"/>
          <w:bottom w:val="single" w:color="auto" w:sz="4" w:space="5"/>
          <w:right w:val="single" w:color="auto" w:sz="4" w:space="4"/>
        </w:pBd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u w:val="single"/>
          <w:shd w:val="clear" w:color="auto" w:fill="FFFFFF"/>
        </w:rPr>
        <w:t>报告厅设备采购</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广西政府采购云平台（https://www.gcy.zfcg.gxzf.gov.cn/）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日09时30分</w:t>
      </w:r>
      <w:r>
        <w:rPr>
          <w:rFonts w:hint="eastAsia" w:ascii="宋体" w:hAnsi="宋体" w:cs="宋体"/>
          <w:bCs/>
          <w:color w:val="auto"/>
          <w:sz w:val="24"/>
          <w:highlight w:val="none"/>
          <w:u w:val="single"/>
        </w:rPr>
        <w:t>（</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14:paraId="4667E115">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1A32BB4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项目编号：LZZC2025-G1-230077-GXXH</w:t>
      </w:r>
    </w:p>
    <w:p w14:paraId="27471B5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shd w:val="clear" w:color="auto" w:fill="FFFFFF"/>
        </w:rPr>
        <w:t>报告厅设备采购</w:t>
      </w:r>
    </w:p>
    <w:p w14:paraId="6DF080D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预算总金额（元）：1405809</w:t>
      </w:r>
    </w:p>
    <w:p w14:paraId="3E8BA6B3">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采购需求：</w:t>
      </w:r>
    </w:p>
    <w:p w14:paraId="0E86FEC4">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标项一</w:t>
      </w:r>
    </w:p>
    <w:p w14:paraId="6BE86198">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标项名称:报告厅设备采购（一）</w:t>
      </w:r>
    </w:p>
    <w:p w14:paraId="4CF4ED7E">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数量:1</w:t>
      </w:r>
    </w:p>
    <w:p w14:paraId="6B47DC8D">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预算金额（元）:832579</w:t>
      </w:r>
    </w:p>
    <w:p w14:paraId="3EE50F00">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简要规格描述或项目基本概况介绍、用途：报告厅灯光、音响等设备一批。具体内容详见“第二章 招标项目采购需求”。</w:t>
      </w:r>
    </w:p>
    <w:p w14:paraId="747D3D8D">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最高限价（如有）：832579</w:t>
      </w:r>
    </w:p>
    <w:p w14:paraId="03AF402A">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合同履约期限：签订合同之日起30日内完成交货、安装调试并验收合格交付使用。</w:t>
      </w:r>
    </w:p>
    <w:p w14:paraId="753D3B22">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本标项（否）接受联合体投标</w:t>
      </w:r>
    </w:p>
    <w:p w14:paraId="49128A2D">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备注：本项目为全流程电子化采购项目，采用远程异地评标，有意向参与本项目投标的潜在投标人应当做好参与全流程电子招投标交易的充分准备。</w:t>
      </w:r>
    </w:p>
    <w:p w14:paraId="674BBFE1">
      <w:pPr>
        <w:spacing w:line="360" w:lineRule="auto"/>
        <w:ind w:firstLine="420" w:firstLineChars="175"/>
        <w:rPr>
          <w:rFonts w:hint="eastAsia" w:ascii="宋体" w:hAnsi="宋体" w:cs="宋体"/>
          <w:bCs/>
          <w:color w:val="auto"/>
          <w:sz w:val="24"/>
          <w:highlight w:val="none"/>
        </w:rPr>
      </w:pPr>
    </w:p>
    <w:p w14:paraId="600D0B47">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标项二</w:t>
      </w:r>
    </w:p>
    <w:p w14:paraId="6F769C40">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标项名称:报告厅设备采购（二）</w:t>
      </w:r>
    </w:p>
    <w:p w14:paraId="34552DF3">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数量:1</w:t>
      </w:r>
    </w:p>
    <w:p w14:paraId="42D08FEE">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预算金额（元）:573230</w:t>
      </w:r>
    </w:p>
    <w:p w14:paraId="562E7055">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简要规格描述或项目基本概况介绍、用途：报告厅桌椅等设备一批。具体内容详见“第二章 招标项目采购需求”。</w:t>
      </w:r>
    </w:p>
    <w:p w14:paraId="4E9842AC">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最高限价（如有）：573230</w:t>
      </w:r>
    </w:p>
    <w:p w14:paraId="42429980">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合同履约期限：签订合同之日起30日内完成交货、安装调试并验收合格交付使用。</w:t>
      </w:r>
    </w:p>
    <w:p w14:paraId="10079540">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本标项（否）接受联合体投标</w:t>
      </w:r>
    </w:p>
    <w:p w14:paraId="0DF5723F">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备注：本项目为全流程电子化采购项目，采用远程异地评标，有意向参与本项目投标的潜在投标人应当做好参与全流程电子招投标交易的充分准备。</w:t>
      </w:r>
    </w:p>
    <w:p w14:paraId="1C2CA4FE">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7C2706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95EE7DF">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分标1：无;分标2：本项目（分标）为专门面向中小企业采购项目，提供的货物须全部由符合政策要求的中小企业制造；监狱企业、残疾人福利单位视同小型、微型企业；中小企业须符合本项目采购标的所属行业对应的中小企业划分标准。投标文件中必须提供中小企业声明函或残疾人福利性单位声明函或投标人属于监狱企业的证明材料[省级以上监狱管理局、戒毒管理局（含新疆生产建设兵团）出具]，否则投标文件按无效响应处理。</w:t>
      </w:r>
    </w:p>
    <w:p w14:paraId="48F248BA">
      <w:pPr>
        <w:widowControl/>
        <w:spacing w:line="360" w:lineRule="auto"/>
        <w:ind w:firstLine="420" w:firstLineChars="175"/>
        <w:rPr>
          <w:rFonts w:hint="eastAsia" w:ascii="宋体" w:hAnsi="宋体" w:cs="Arial"/>
          <w:color w:val="auto"/>
          <w:szCs w:val="21"/>
          <w:highlight w:val="none"/>
        </w:rPr>
      </w:pPr>
      <w:r>
        <w:rPr>
          <w:rFonts w:hint="eastAsia" w:ascii="宋体" w:hAnsi="宋体" w:cs="宋体"/>
          <w:color w:val="auto"/>
          <w:sz w:val="24"/>
          <w:highlight w:val="none"/>
        </w:rPr>
        <w:t>3.本项目的特定资格要求：无</w:t>
      </w:r>
      <w:r>
        <w:rPr>
          <w:rFonts w:hint="eastAsia" w:ascii="宋体" w:hAnsi="宋体" w:cs="Arial"/>
          <w:color w:val="auto"/>
          <w:sz w:val="24"/>
          <w:highlight w:val="none"/>
        </w:rPr>
        <w:t>。</w:t>
      </w:r>
    </w:p>
    <w:p w14:paraId="11DCE502">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三、获取招标文件</w:t>
      </w:r>
    </w:p>
    <w:p w14:paraId="624A449B">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日至2025年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每天上午09:00至12:00 ，下午12:00至17:00（北京时间，法定节假日除外）。</w:t>
      </w:r>
    </w:p>
    <w:p w14:paraId="5636E81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地点：广西政府采购云平台（https://www.gcy.zfcg.gxzf.gov.cn/）</w:t>
      </w:r>
    </w:p>
    <w:p w14:paraId="1371B463">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方式：线上获取。登录广西政府采购云平台（https://www.gcy.zfcg.gxzf.gov.cn/），在“应用中心”—“项目采购”—“获取采购文件”选择本项目，点击“申请获取采购文件”进行申请提交后，在已申请栏中选择下载本项目招标文件。已获取招标文件的投标人不等于符合本项目的投标人资格。</w:t>
      </w:r>
    </w:p>
    <w:p w14:paraId="0C21F623">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DEC4AB9">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日09时30分</w:t>
      </w:r>
      <w:r>
        <w:rPr>
          <w:rFonts w:hint="eastAsia" w:ascii="宋体" w:hAnsi="宋体" w:cs="宋体"/>
          <w:color w:val="auto"/>
          <w:sz w:val="24"/>
          <w:highlight w:val="none"/>
        </w:rPr>
        <w:t>止</w:t>
      </w:r>
    </w:p>
    <w:p w14:paraId="3CFB62EA">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投标地点（网址）：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w:t>
      </w:r>
    </w:p>
    <w:p w14:paraId="130E7E55">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日09时30分</w:t>
      </w:r>
    </w:p>
    <w:p w14:paraId="2E1135C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开标地点：广西政府采购云平台（https://www.gcy.zfcg.gxzf.gov.cn/）</w:t>
      </w:r>
    </w:p>
    <w:p w14:paraId="654813C3">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五、公告期限：</w:t>
      </w:r>
    </w:p>
    <w:p w14:paraId="192B1A33">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2598E1C2">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75199109">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.投标保证金</w:t>
      </w:r>
      <w:r>
        <w:rPr>
          <w:rFonts w:hint="eastAsia" w:ascii="宋体" w:hAnsi="宋体" w:cs="宋体"/>
          <w:color w:val="auto"/>
          <w:sz w:val="24"/>
          <w:highlight w:val="none"/>
        </w:rPr>
        <w:t>：本项目无需提交投标保证金</w:t>
      </w:r>
    </w:p>
    <w:p w14:paraId="70DE03FF">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2.本项目需要落实的政府采购政策：政府采购促进中小企业发展；政府采购支持采用本国产品的政策；强制采购、优先采购环境标志产品、节能产品；支持监狱企业发展；支持残疾人福利性单位发展政策。</w:t>
      </w:r>
    </w:p>
    <w:p w14:paraId="104C460D">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3.网上查询地址：</w:t>
      </w:r>
    </w:p>
    <w:p w14:paraId="5928104D">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www.ccgp.gov.cn（中国政府采购网）、zfcg.gxzf.gov.cn（广西壮族自治区政府采购网）、zfcg.lzscz.liuzhou.gov.cn（柳州市政府采购网）。</w:t>
      </w:r>
    </w:p>
    <w:p w14:paraId="710640EC">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F58D9B">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2462E2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6.投标人参与电子投标特别说明</w:t>
      </w:r>
    </w:p>
    <w:p w14:paraId="19647205">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投标文件提交方式：本项目为全流程电子化政府采购项目，通过广西政府采购云平台（https://www.gcy.zfcg.gxzf.gov.cn/）实行在线电子投标，各供应商通过新平台参与政府采购项目投标需下载使用新版客户端，新版客户端下载路径：广西政府采购网（访问地址http://zfcg.gxzf.gov.cn/）—办事服务—下载专区。原在政采云平台注册的临时供应商需在新平台启用后重新注册登记。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3D76EEF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供应商应及时熟悉掌握电子标系统操作指南（见广西政府采购云平台电子卖场首页右上角—服务中心—帮助中心—项目采购）：https://helpcenter.zcygov.cn/document/#/document/dashboard?siteCode=gx；及时完成CA申领和绑定（见广西壮族自治区政府采购网—办事服务—下载专区- CA证书申请操作指南）。</w:t>
      </w:r>
    </w:p>
    <w:p w14:paraId="16BAB966">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46749F6">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（4）为确保网上操作合法、有效和安全，请投标人确保在电子投标过程中能够对相关数据电文进行加密和使用电子签章，妥善保管CA数字证书并使用有效的CA数字证书参与整个采购活动。</w:t>
      </w:r>
    </w:p>
    <w:p w14:paraId="598D15EB">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48EB104">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4129955C">
      <w:pPr>
        <w:spacing w:line="44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rPr>
        <w:t>（6）若对项目采购电子交易系统操作有疑问，可登录广西政府采购云平台（https://login.gcy.zfcg.gxzf.gov.cn/user-login/#/login），点击右侧咨询小采，获取采小蜜智能服务管家帮助，或拨打广西政府采购云平台服务热线95763获取热线服务帮助。</w:t>
      </w:r>
    </w:p>
    <w:p w14:paraId="7353B905">
      <w:pPr>
        <w:spacing w:line="360" w:lineRule="auto"/>
        <w:ind w:firstLine="420" w:firstLineChars="175"/>
        <w:rPr>
          <w:rFonts w:hint="eastAsia" w:ascii="宋体" w:hAnsi="宋体" w:cs="宋体"/>
          <w:b/>
          <w:color w:val="auto"/>
          <w:sz w:val="24"/>
          <w:highlight w:val="none"/>
        </w:rPr>
      </w:pPr>
      <w:r>
        <w:rPr>
          <w:rFonts w:hint="eastAsia" w:ascii="宋体" w:hAnsi="宋体" w:cs="宋体"/>
          <w:color w:val="auto"/>
          <w:sz w:val="24"/>
          <w:highlight w:val="none"/>
        </w:rPr>
        <w:t>7.政府采购监督管理部门信息   名称：鹿寨县财政局   联系方式：0772-6822756</w:t>
      </w:r>
    </w:p>
    <w:p w14:paraId="6DEDE368">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七、对本次招标提出询问，请按以下方式联系。</w:t>
      </w:r>
    </w:p>
    <w:p w14:paraId="5A3A10E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1.采购人信息</w:t>
      </w:r>
    </w:p>
    <w:p w14:paraId="00A66A93">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名称：鹿寨县教育局</w:t>
      </w:r>
    </w:p>
    <w:p w14:paraId="0B532CE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地址：鹿寨县城南新区桂园路汇一联商务楼五楼</w:t>
      </w:r>
    </w:p>
    <w:p w14:paraId="10EF10F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项目联系人：戴股长</w:t>
      </w:r>
    </w:p>
    <w:p w14:paraId="3E6A6753">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项目联系方式：0772-6821561</w:t>
      </w:r>
    </w:p>
    <w:p w14:paraId="130AB4F5">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1CCCD60D">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名称：广西信和招标代理有限公司</w:t>
      </w:r>
    </w:p>
    <w:p w14:paraId="793C694A">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地址：柳州市桂中大道南端2号阳光壹佰城市广场35栋12-7</w:t>
      </w:r>
    </w:p>
    <w:p w14:paraId="1DA0416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联系人：伍洁婷       电话/传真：0772-2128755</w:t>
      </w:r>
    </w:p>
    <w:p w14:paraId="27FA00A2">
      <w:pPr>
        <w:pStyle w:val="21"/>
        <w:spacing w:line="360" w:lineRule="auto"/>
        <w:ind w:firstLine="0" w:firstLineChars="0"/>
        <w:jc w:val="center"/>
        <w:outlineLvl w:val="0"/>
        <w:rPr>
          <w:rFonts w:hint="eastAsia" w:ascii="宋体" w:hAnsi="宋体" w:cs="宋体"/>
          <w:b/>
          <w:bCs/>
          <w:color w:val="auto"/>
          <w:sz w:val="24"/>
          <w:highlight w:val="none"/>
        </w:rPr>
      </w:pPr>
      <w:r>
        <w:rPr>
          <w:rFonts w:hint="eastAsia"/>
          <w:color w:val="auto"/>
          <w:highlight w:val="none"/>
        </w:rPr>
        <w:br w:type="page"/>
      </w:r>
      <w:bookmarkStart w:id="4" w:name="_Toc11679"/>
      <w:bookmarkStart w:id="5" w:name="_Toc24922"/>
      <w:r>
        <w:rPr>
          <w:rFonts w:hint="eastAsia" w:ascii="宋体" w:hAnsi="宋体" w:cs="宋体"/>
          <w:b/>
          <w:bCs/>
          <w:color w:val="auto"/>
          <w:sz w:val="36"/>
          <w:szCs w:val="36"/>
          <w:highlight w:val="none"/>
        </w:rPr>
        <w:t>第二章  招标项目采购需求</w:t>
      </w:r>
      <w:bookmarkEnd w:id="4"/>
      <w:bookmarkEnd w:id="5"/>
    </w:p>
    <w:p w14:paraId="3CF71620">
      <w:pPr>
        <w:spacing w:line="420" w:lineRule="exact"/>
        <w:jc w:val="left"/>
        <w:rPr>
          <w:rFonts w:hint="eastAsia" w:ascii="宋体" w:hAnsi="宋体" w:cs="宋体"/>
          <w:color w:val="auto"/>
          <w:sz w:val="24"/>
          <w:highlight w:val="none"/>
        </w:rPr>
      </w:pPr>
      <w:r>
        <w:rPr>
          <w:rFonts w:hint="eastAsia" w:ascii="宋体" w:hAnsi="宋体" w:cs="宋体"/>
          <w:b/>
          <w:bCs/>
          <w:color w:val="auto"/>
          <w:sz w:val="24"/>
          <w:highlight w:val="none"/>
        </w:rPr>
        <w:t>说明</w:t>
      </w:r>
      <w:r>
        <w:rPr>
          <w:rFonts w:hint="eastAsia" w:ascii="宋体" w:hAnsi="宋体" w:cs="宋体"/>
          <w:color w:val="auto"/>
          <w:sz w:val="24"/>
          <w:highlight w:val="none"/>
        </w:rPr>
        <w:t>：</w:t>
      </w:r>
    </w:p>
    <w:p w14:paraId="6E18AA35">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报价时须提供报价产品的相关证明材料。</w:t>
      </w:r>
    </w:p>
    <w:p w14:paraId="43469243">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《节能产品政府采购品目清单》中：</w:t>
      </w:r>
    </w:p>
    <w:p w14:paraId="0565FA79">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计算机设备（台式计算机、便携式计算机、平板式微型计算机）；</w:t>
      </w:r>
    </w:p>
    <w:p w14:paraId="3446972D">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输入输出设备【打印设备（激光打印机、针式打印机）、显示设备（液晶显示器）】；</w:t>
      </w:r>
    </w:p>
    <w:p w14:paraId="13225B10">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280C33C1">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镇流器（管型荧光灯镇流器）；</w:t>
      </w:r>
    </w:p>
    <w:p w14:paraId="772A3CC4">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生活用电器｛空调机【房间空气调节器、多联式空调（热泵）机组（制冷量≤14000W）、单元式空气调节机（制冷量≤14000W）】、热水器（电热水器）｝；</w:t>
      </w:r>
    </w:p>
    <w:p w14:paraId="2A6A1A40">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照明设备（普通照明用双端荧光灯）；</w:t>
      </w:r>
    </w:p>
    <w:p w14:paraId="437DC438">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电视设备【普通电视设备（电视机）】；</w:t>
      </w:r>
    </w:p>
    <w:p w14:paraId="4ADD704F">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视频设备【视频监控设备（监视器）】；</w:t>
      </w:r>
    </w:p>
    <w:p w14:paraId="2C2A69FB">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便器（坐便器、蹲便器、小便器）；</w:t>
      </w:r>
    </w:p>
    <w:p w14:paraId="72308F82">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水嘴。</w:t>
      </w:r>
    </w:p>
    <w:p w14:paraId="4BFE5973">
      <w:pPr>
        <w:adjustRightIn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CA签章，否则投标无效。</w:t>
      </w:r>
    </w:p>
    <w:p w14:paraId="77BA67EA">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投标人应对投标内容所涉及的专利承担法律责任，并负责保护业主的利益不受任何损害。一切由于文字、商标、技术和软件专利授权引起的法律裁决、诉讼和赔偿费用均由成交供应商负责。同时，具有产品专利的投标人应在其报价文件中提供与其自有产品专利相关的有效证明材料，否则，不能就其产品的专利在本项目报价过程中被侵权问题而提出异议。</w:t>
      </w:r>
    </w:p>
    <w:p w14:paraId="453185BA">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供应商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p w14:paraId="17E40504">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4、投标人应注意下列内容：</w:t>
      </w:r>
    </w:p>
    <w:p w14:paraId="21A13921">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1）本需求一览表中带“▲”的技术参数为关键性参数或要求，投标人应当提供相当于或优于这些技术参数性能（配置），未加注（▲）号的其他技术参数发生负偏离达3项（含）以上的，将视为报价无效。</w:t>
      </w:r>
    </w:p>
    <w:p w14:paraId="2A790E97">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2）带★号的内容为与项目实际紧密相关的功能条款、技术指标，作为设备性能评审依据。</w:t>
      </w:r>
    </w:p>
    <w:p w14:paraId="41197630">
      <w:pPr>
        <w:widowControl/>
        <w:spacing w:line="400" w:lineRule="exact"/>
        <w:ind w:firstLine="422" w:firstLineChars="200"/>
        <w:jc w:val="left"/>
        <w:rPr>
          <w:rFonts w:hint="eastAsia" w:ascii="宋体" w:hAnsi="宋体" w:cs="宋体"/>
          <w:color w:val="auto"/>
          <w:highlight w:val="none"/>
        </w:rPr>
      </w:pPr>
      <w:r>
        <w:rPr>
          <w:rFonts w:hint="eastAsia" w:ascii="宋体" w:hAnsi="宋体" w:cs="宋体"/>
          <w:b/>
          <w:color w:val="auto"/>
          <w:szCs w:val="21"/>
          <w:highlight w:val="none"/>
        </w:rPr>
        <w:t>3）投标人须在投标文件中填写技术规格参数，当投标文件中技术参数与招标文件中技术参数有偏离时，须在“偏离”栏内如实注明是“正偏离”或“负偏离”，“正偏离”指响应设备的技术参数优于招标文件中要求，“负偏离”指投标设备的技术参数低于招标文件中要求。投标文件中的技术参数、功能或其它内容有“正偏离”的，投标人须对“正偏离”的情况单独作出说明。</w:t>
      </w:r>
    </w:p>
    <w:p w14:paraId="08D7E90E">
      <w:pPr>
        <w:pStyle w:val="9"/>
        <w:rPr>
          <w:rFonts w:hint="eastAsia" w:ascii="宋体" w:hAnsi="宋体" w:cs="宋体"/>
          <w:b/>
          <w:color w:val="auto"/>
          <w:kern w:val="0"/>
          <w:sz w:val="28"/>
          <w:szCs w:val="28"/>
          <w:highlight w:val="none"/>
        </w:rPr>
      </w:pPr>
    </w:p>
    <w:p w14:paraId="5E147ADA">
      <w:pPr>
        <w:pStyle w:val="9"/>
        <w:rPr>
          <w:rFonts w:hint="eastAsia" w:ascii="宋体" w:hAnsi="宋体" w:cs="宋体"/>
          <w:b/>
          <w:color w:val="auto"/>
          <w:kern w:val="0"/>
          <w:sz w:val="28"/>
          <w:szCs w:val="28"/>
          <w:highlight w:val="none"/>
        </w:rPr>
      </w:pPr>
    </w:p>
    <w:p w14:paraId="52B9E2F2">
      <w:pPr>
        <w:pStyle w:val="9"/>
        <w:rPr>
          <w:rFonts w:hint="eastAsia" w:ascii="宋体" w:hAnsi="宋体" w:cs="宋体"/>
          <w:b/>
          <w:color w:val="auto"/>
          <w:kern w:val="0"/>
          <w:sz w:val="28"/>
          <w:szCs w:val="28"/>
          <w:highlight w:val="none"/>
        </w:rPr>
      </w:pPr>
    </w:p>
    <w:p w14:paraId="40445161">
      <w:pPr>
        <w:pStyle w:val="9"/>
        <w:rPr>
          <w:rFonts w:hint="eastAsia" w:ascii="宋体" w:hAnsi="宋体" w:cs="宋体"/>
          <w:b/>
          <w:color w:val="auto"/>
          <w:kern w:val="0"/>
          <w:sz w:val="28"/>
          <w:szCs w:val="28"/>
          <w:highlight w:val="none"/>
        </w:rPr>
      </w:pPr>
    </w:p>
    <w:p w14:paraId="17F2CC8F">
      <w:pPr>
        <w:pStyle w:val="9"/>
        <w:rPr>
          <w:rFonts w:hint="eastAsia" w:ascii="宋体" w:hAnsi="宋体" w:cs="宋体"/>
          <w:b/>
          <w:color w:val="auto"/>
          <w:kern w:val="0"/>
          <w:sz w:val="28"/>
          <w:szCs w:val="28"/>
          <w:highlight w:val="none"/>
        </w:rPr>
      </w:pPr>
    </w:p>
    <w:p w14:paraId="589E4704">
      <w:pPr>
        <w:pStyle w:val="9"/>
        <w:rPr>
          <w:rFonts w:hint="eastAsia" w:ascii="宋体" w:hAnsi="宋体" w:cs="宋体"/>
          <w:b/>
          <w:color w:val="auto"/>
          <w:kern w:val="0"/>
          <w:sz w:val="28"/>
          <w:szCs w:val="28"/>
          <w:highlight w:val="none"/>
        </w:rPr>
      </w:pPr>
    </w:p>
    <w:p w14:paraId="4B173FB7">
      <w:pPr>
        <w:pStyle w:val="9"/>
        <w:ind w:firstLine="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55F43276">
      <w:pPr>
        <w:pStyle w:val="9"/>
        <w:ind w:firstLine="0"/>
        <w:outlineLvl w:val="1"/>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标项一：报告厅设备采购（一）</w:t>
      </w:r>
    </w:p>
    <w:tbl>
      <w:tblPr>
        <w:tblStyle w:val="22"/>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04"/>
        <w:gridCol w:w="5240"/>
        <w:gridCol w:w="823"/>
        <w:gridCol w:w="739"/>
        <w:gridCol w:w="1111"/>
      </w:tblGrid>
      <w:tr w14:paraId="10C6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Mar>
              <w:top w:w="0" w:type="dxa"/>
              <w:left w:w="0" w:type="dxa"/>
              <w:bottom w:w="0" w:type="dxa"/>
              <w:right w:w="0" w:type="dxa"/>
            </w:tcMar>
            <w:vAlign w:val="center"/>
          </w:tcPr>
          <w:p w14:paraId="1440B0B0">
            <w:pPr>
              <w:snapToGrid w:val="0"/>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采购清单及技术参数需求一览表</w:t>
            </w:r>
          </w:p>
        </w:tc>
      </w:tr>
      <w:tr w14:paraId="3BA4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tcMar>
              <w:top w:w="0" w:type="dxa"/>
              <w:left w:w="0" w:type="dxa"/>
              <w:bottom w:w="0" w:type="dxa"/>
              <w:right w:w="0" w:type="dxa"/>
            </w:tcMar>
            <w:vAlign w:val="center"/>
          </w:tcPr>
          <w:p w14:paraId="3D2E52F1">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628" w:type="pct"/>
            <w:vAlign w:val="center"/>
          </w:tcPr>
          <w:p w14:paraId="3530ABA9">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标的名称</w:t>
            </w:r>
          </w:p>
        </w:tc>
        <w:tc>
          <w:tcPr>
            <w:tcW w:w="2737" w:type="pct"/>
            <w:vAlign w:val="center"/>
          </w:tcPr>
          <w:p w14:paraId="27365082">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技术参数</w:t>
            </w:r>
          </w:p>
        </w:tc>
        <w:tc>
          <w:tcPr>
            <w:tcW w:w="430" w:type="pct"/>
            <w:vAlign w:val="center"/>
          </w:tcPr>
          <w:p w14:paraId="69BB4418">
            <w:pPr>
              <w:snapToGrid w:val="0"/>
              <w:jc w:val="center"/>
              <w:rPr>
                <w:rFonts w:hint="eastAsia" w:ascii="宋体" w:hAnsi="宋体" w:cs="宋体"/>
                <w:b/>
                <w:bCs/>
                <w:color w:val="auto"/>
                <w:sz w:val="24"/>
                <w:highlight w:val="none"/>
              </w:rPr>
            </w:pPr>
            <w:r>
              <w:rPr>
                <w:rFonts w:hint="eastAsia" w:ascii="宋体" w:hAnsi="宋体" w:cs="宋体"/>
                <w:b/>
                <w:color w:val="auto"/>
                <w:sz w:val="24"/>
                <w:highlight w:val="none"/>
              </w:rPr>
              <w:t>数量</w:t>
            </w:r>
          </w:p>
        </w:tc>
        <w:tc>
          <w:tcPr>
            <w:tcW w:w="386" w:type="pct"/>
            <w:vAlign w:val="center"/>
          </w:tcPr>
          <w:p w14:paraId="503047C0">
            <w:pPr>
              <w:snapToGrid w:val="0"/>
              <w:jc w:val="center"/>
              <w:rPr>
                <w:rFonts w:hint="eastAsia" w:ascii="宋体" w:hAnsi="宋体" w:cs="宋体"/>
                <w:b/>
                <w:bCs/>
                <w:color w:val="auto"/>
                <w:sz w:val="24"/>
                <w:highlight w:val="none"/>
              </w:rPr>
            </w:pPr>
            <w:r>
              <w:rPr>
                <w:rFonts w:hint="eastAsia" w:ascii="宋体" w:hAnsi="宋体" w:cs="宋体"/>
                <w:b/>
                <w:color w:val="auto"/>
                <w:sz w:val="24"/>
                <w:highlight w:val="none"/>
              </w:rPr>
              <w:t>单位</w:t>
            </w:r>
          </w:p>
        </w:tc>
        <w:tc>
          <w:tcPr>
            <w:tcW w:w="577" w:type="pct"/>
            <w:vAlign w:val="center"/>
          </w:tcPr>
          <w:p w14:paraId="673D7454">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中小企业划分标准所属行业名称（行业名称及划分见本章附件）</w:t>
            </w:r>
          </w:p>
        </w:tc>
      </w:tr>
      <w:tr w14:paraId="6792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36297E3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628" w:type="pct"/>
            <w:vAlign w:val="center"/>
          </w:tcPr>
          <w:p w14:paraId="70DC02E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舞台木地板</w:t>
            </w:r>
          </w:p>
        </w:tc>
        <w:tc>
          <w:tcPr>
            <w:tcW w:w="2737" w:type="pct"/>
            <w:vAlign w:val="center"/>
          </w:tcPr>
          <w:p w14:paraId="436872F2">
            <w:pPr>
              <w:widowControl/>
              <w:jc w:val="left"/>
              <w:textAlignment w:val="center"/>
              <w:rPr>
                <w:rFonts w:hint="eastAsia" w:ascii="宋体" w:hAnsi="宋体" w:cs="宋体"/>
                <w:color w:val="auto"/>
                <w:sz w:val="24"/>
                <w:highlight w:val="none"/>
              </w:rPr>
            </w:pPr>
            <w:r>
              <w:rPr>
                <w:rStyle w:val="33"/>
                <w:rFonts w:hint="default" w:ascii="宋体" w:hAnsi="宋体" w:eastAsia="宋体" w:cs="宋体"/>
                <w:color w:val="auto"/>
                <w:highlight w:val="none"/>
                <w:lang w:bidi="ar"/>
              </w:rPr>
              <w:t>1228*200mm实木复合，甲醛释放量</w:t>
            </w:r>
            <w:r>
              <w:rPr>
                <w:rFonts w:hint="eastAsia" w:ascii="宋体" w:hAnsi="宋体" w:cs="宋体"/>
                <w:color w:val="auto"/>
                <w:kern w:val="0"/>
                <w:sz w:val="24"/>
                <w:highlight w:val="none"/>
                <w:lang w:bidi="ar"/>
              </w:rPr>
              <w:t>‌</w:t>
            </w:r>
            <w:r>
              <w:rPr>
                <w:rStyle w:val="33"/>
                <w:rFonts w:hint="default" w:ascii="宋体" w:hAnsi="宋体" w:eastAsia="宋体" w:cs="宋体"/>
                <w:color w:val="auto"/>
                <w:highlight w:val="none"/>
                <w:lang w:bidi="ar"/>
              </w:rPr>
              <w:t xml:space="preserve">：实木地板甲醛释放量0.05mg/m³（E0级标准），强化复合地板甲醛释放量≤1.5mg/m³。 </w:t>
            </w:r>
            <w:r>
              <w:rPr>
                <w:rFonts w:hint="eastAsia" w:ascii="宋体" w:hAnsi="宋体" w:cs="宋体"/>
                <w:color w:val="auto"/>
                <w:kern w:val="0"/>
                <w:sz w:val="24"/>
                <w:highlight w:val="none"/>
                <w:lang w:bidi="ar"/>
              </w:rPr>
              <w:t>‌</w:t>
            </w:r>
            <w:r>
              <w:rPr>
                <w:rStyle w:val="33"/>
                <w:rFonts w:hint="default" w:ascii="宋体" w:hAnsi="宋体" w:eastAsia="宋体" w:cs="宋体"/>
                <w:color w:val="auto"/>
                <w:highlight w:val="none"/>
                <w:lang w:bidi="ar"/>
              </w:rPr>
              <w:br w:type="textWrapping"/>
            </w:r>
            <w:r>
              <w:rPr>
                <w:rFonts w:hint="eastAsia" w:ascii="宋体" w:hAnsi="宋体" w:cs="宋体"/>
                <w:color w:val="auto"/>
                <w:kern w:val="0"/>
                <w:sz w:val="24"/>
                <w:highlight w:val="none"/>
                <w:lang w:bidi="ar"/>
              </w:rPr>
              <w:t>‌</w:t>
            </w:r>
            <w:r>
              <w:rPr>
                <w:rStyle w:val="33"/>
                <w:rFonts w:hint="default" w:ascii="宋体" w:hAnsi="宋体" w:eastAsia="宋体" w:cs="宋体"/>
                <w:color w:val="auto"/>
                <w:highlight w:val="none"/>
                <w:lang w:bidi="ar"/>
              </w:rPr>
              <w:t>含水率</w:t>
            </w:r>
            <w:r>
              <w:rPr>
                <w:rFonts w:hint="eastAsia" w:ascii="宋体" w:hAnsi="宋体" w:cs="宋体"/>
                <w:color w:val="auto"/>
                <w:kern w:val="0"/>
                <w:sz w:val="24"/>
                <w:highlight w:val="none"/>
                <w:lang w:bidi="ar"/>
              </w:rPr>
              <w:t>‌</w:t>
            </w:r>
            <w:r>
              <w:rPr>
                <w:rStyle w:val="33"/>
                <w:rFonts w:hint="default" w:ascii="宋体" w:hAnsi="宋体" w:eastAsia="宋体" w:cs="宋体"/>
                <w:color w:val="auto"/>
                <w:highlight w:val="none"/>
                <w:lang w:bidi="ar"/>
              </w:rPr>
              <w:t>：实木地板含水率需与当地环境一致（8%-13%），强化复合地板含水率≤12%。</w:t>
            </w:r>
          </w:p>
        </w:tc>
        <w:tc>
          <w:tcPr>
            <w:tcW w:w="430" w:type="pct"/>
            <w:vAlign w:val="center"/>
          </w:tcPr>
          <w:p w14:paraId="190E80B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130</w:t>
            </w:r>
          </w:p>
        </w:tc>
        <w:tc>
          <w:tcPr>
            <w:tcW w:w="386" w:type="pct"/>
            <w:vAlign w:val="center"/>
          </w:tcPr>
          <w:p w14:paraId="5C6C94F1">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平方米</w:t>
            </w:r>
          </w:p>
        </w:tc>
        <w:tc>
          <w:tcPr>
            <w:tcW w:w="577" w:type="pct"/>
            <w:vAlign w:val="center"/>
          </w:tcPr>
          <w:p w14:paraId="4C9ABEB0">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1E7E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6F60B59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628" w:type="pct"/>
            <w:vAlign w:val="center"/>
          </w:tcPr>
          <w:p w14:paraId="6C22CD7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舞台吊顶</w:t>
            </w:r>
          </w:p>
        </w:tc>
        <w:tc>
          <w:tcPr>
            <w:tcW w:w="2737" w:type="pct"/>
            <w:vAlign w:val="center"/>
          </w:tcPr>
          <w:p w14:paraId="0E318B9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16*1*1米,轻钢龙骨钢架，9厘板打底，1.2厘米免漆板封面</w:t>
            </w:r>
          </w:p>
        </w:tc>
        <w:tc>
          <w:tcPr>
            <w:tcW w:w="430" w:type="pct"/>
            <w:vAlign w:val="center"/>
          </w:tcPr>
          <w:p w14:paraId="1DC4608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386" w:type="pct"/>
            <w:vAlign w:val="center"/>
          </w:tcPr>
          <w:p w14:paraId="11B87BAE">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平方米</w:t>
            </w:r>
          </w:p>
        </w:tc>
        <w:tc>
          <w:tcPr>
            <w:tcW w:w="577" w:type="pct"/>
            <w:vAlign w:val="center"/>
          </w:tcPr>
          <w:p w14:paraId="6D6D8B1D">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7AA1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01A330C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628" w:type="pct"/>
            <w:vAlign w:val="center"/>
          </w:tcPr>
          <w:p w14:paraId="6C93A20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舞台幕布</w:t>
            </w:r>
          </w:p>
        </w:tc>
        <w:tc>
          <w:tcPr>
            <w:tcW w:w="2737" w:type="pct"/>
            <w:vAlign w:val="center"/>
          </w:tcPr>
          <w:p w14:paraId="76BBCEE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15*4.5米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  面料成份:100%Polyester(100%涤纶）或70%涤纶+30%cotton(30%棉)（遮光雪尼尔面料）</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面料厚度:±0.55mm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面料经纬:48Warp,46Fil</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面料克重:±1200g/m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面料门幅高:2.8M/3.2M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面料色牢度:Class4.5 (AATCC 16-2003)</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遮光率:85%~95%~100%（面料遮光程度可选择）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面料密度：经密≥1020根/12cm，纬密≥800根/12cm。</w:t>
            </w:r>
          </w:p>
        </w:tc>
        <w:tc>
          <w:tcPr>
            <w:tcW w:w="430" w:type="pct"/>
            <w:vAlign w:val="center"/>
          </w:tcPr>
          <w:p w14:paraId="1DFDF3C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327EBEA3">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436451C6">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7276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333E71F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628" w:type="pct"/>
            <w:vAlign w:val="center"/>
          </w:tcPr>
          <w:p w14:paraId="7DA769A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室外楼梯</w:t>
            </w:r>
          </w:p>
        </w:tc>
        <w:tc>
          <w:tcPr>
            <w:tcW w:w="2737" w:type="pct"/>
            <w:vAlign w:val="center"/>
          </w:tcPr>
          <w:p w14:paraId="1A8CD96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24砖砌矮墙，混凝土封面，面铺600X300瓷砖，宽3米，4级踏步</w:t>
            </w:r>
          </w:p>
        </w:tc>
        <w:tc>
          <w:tcPr>
            <w:tcW w:w="430" w:type="pct"/>
            <w:vAlign w:val="center"/>
          </w:tcPr>
          <w:p w14:paraId="287C0A3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39A0F816">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6F5A337D">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0A56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3C4B453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628" w:type="pct"/>
            <w:vAlign w:val="center"/>
          </w:tcPr>
          <w:p w14:paraId="2EAA9C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铝合金推玻</w:t>
            </w:r>
          </w:p>
        </w:tc>
        <w:tc>
          <w:tcPr>
            <w:tcW w:w="2737" w:type="pct"/>
            <w:vAlign w:val="center"/>
          </w:tcPr>
          <w:p w14:paraId="6250438A">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1mm铝合金边框，1CM厚钢化玻璃（订做）</w:t>
            </w:r>
          </w:p>
        </w:tc>
        <w:tc>
          <w:tcPr>
            <w:tcW w:w="430" w:type="pct"/>
            <w:vAlign w:val="center"/>
          </w:tcPr>
          <w:p w14:paraId="3C3BF80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2.88</w:t>
            </w:r>
          </w:p>
        </w:tc>
        <w:tc>
          <w:tcPr>
            <w:tcW w:w="386" w:type="pct"/>
            <w:vAlign w:val="center"/>
          </w:tcPr>
          <w:p w14:paraId="63A5DCEF">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平方米</w:t>
            </w:r>
          </w:p>
        </w:tc>
        <w:tc>
          <w:tcPr>
            <w:tcW w:w="577" w:type="pct"/>
            <w:vAlign w:val="center"/>
          </w:tcPr>
          <w:p w14:paraId="6D199ADB">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63D7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3D64846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628" w:type="pct"/>
            <w:vAlign w:val="center"/>
          </w:tcPr>
          <w:p w14:paraId="5437480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铝合金推玻</w:t>
            </w:r>
          </w:p>
        </w:tc>
        <w:tc>
          <w:tcPr>
            <w:tcW w:w="2737" w:type="pct"/>
            <w:vAlign w:val="center"/>
          </w:tcPr>
          <w:p w14:paraId="67D2A5E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1mm铝合金边框，1CM厚钢化玻璃（订做）</w:t>
            </w:r>
          </w:p>
        </w:tc>
        <w:tc>
          <w:tcPr>
            <w:tcW w:w="430" w:type="pct"/>
            <w:vAlign w:val="center"/>
          </w:tcPr>
          <w:p w14:paraId="17348B8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386" w:type="pct"/>
            <w:vAlign w:val="center"/>
          </w:tcPr>
          <w:p w14:paraId="55DA963C">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平方米</w:t>
            </w:r>
          </w:p>
        </w:tc>
        <w:tc>
          <w:tcPr>
            <w:tcW w:w="577" w:type="pct"/>
            <w:vAlign w:val="center"/>
          </w:tcPr>
          <w:p w14:paraId="3DC258DC">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57C9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6613EA2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628" w:type="pct"/>
            <w:vAlign w:val="center"/>
          </w:tcPr>
          <w:p w14:paraId="250AB88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灯光及音响设备</w:t>
            </w:r>
          </w:p>
        </w:tc>
        <w:tc>
          <w:tcPr>
            <w:tcW w:w="2737" w:type="pct"/>
            <w:vAlign w:val="center"/>
          </w:tcPr>
          <w:p w14:paraId="2754FAA4">
            <w:pPr>
              <w:jc w:val="left"/>
              <w:rPr>
                <w:rFonts w:hint="eastAsia" w:ascii="宋体" w:hAnsi="宋体" w:cs="宋体"/>
                <w:color w:val="auto"/>
                <w:sz w:val="24"/>
                <w:highlight w:val="none"/>
              </w:rPr>
            </w:pPr>
            <w:r>
              <w:rPr>
                <w:rFonts w:hint="eastAsia" w:ascii="宋体" w:hAnsi="宋体" w:cs="宋体"/>
                <w:color w:val="auto"/>
                <w:sz w:val="24"/>
                <w:highlight w:val="none"/>
              </w:rPr>
              <w:t>详见附件《</w:t>
            </w:r>
            <w:r>
              <w:rPr>
                <w:rFonts w:hint="eastAsia" w:ascii="宋体" w:hAnsi="宋体" w:cs="宋体"/>
                <w:color w:val="auto"/>
                <w:kern w:val="0"/>
                <w:sz w:val="24"/>
                <w:highlight w:val="none"/>
                <w:lang w:bidi="ar"/>
              </w:rPr>
              <w:t>灯光及音响设备技术清单</w:t>
            </w:r>
            <w:r>
              <w:rPr>
                <w:rFonts w:hint="eastAsia" w:ascii="宋体" w:hAnsi="宋体" w:cs="宋体"/>
                <w:color w:val="auto"/>
                <w:sz w:val="24"/>
                <w:highlight w:val="none"/>
              </w:rPr>
              <w:t>》</w:t>
            </w:r>
          </w:p>
        </w:tc>
        <w:tc>
          <w:tcPr>
            <w:tcW w:w="430" w:type="pct"/>
            <w:vAlign w:val="center"/>
          </w:tcPr>
          <w:p w14:paraId="02202DE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278D1BCF">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6B708C78">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268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7579BE1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628" w:type="pct"/>
            <w:vAlign w:val="center"/>
          </w:tcPr>
          <w:p w14:paraId="5A7DF34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遮光窗帘</w:t>
            </w:r>
          </w:p>
        </w:tc>
        <w:tc>
          <w:tcPr>
            <w:tcW w:w="2737" w:type="pct"/>
            <w:vAlign w:val="center"/>
          </w:tcPr>
          <w:p w14:paraId="2CEA1DB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布艺9*3.5m*4</w:t>
            </w:r>
          </w:p>
        </w:tc>
        <w:tc>
          <w:tcPr>
            <w:tcW w:w="430" w:type="pct"/>
            <w:vAlign w:val="center"/>
          </w:tcPr>
          <w:p w14:paraId="2C81ECA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180</w:t>
            </w:r>
          </w:p>
        </w:tc>
        <w:tc>
          <w:tcPr>
            <w:tcW w:w="386" w:type="pct"/>
            <w:vAlign w:val="center"/>
          </w:tcPr>
          <w:p w14:paraId="0F60F5AD">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米</w:t>
            </w:r>
          </w:p>
        </w:tc>
        <w:tc>
          <w:tcPr>
            <w:tcW w:w="577" w:type="pct"/>
            <w:vAlign w:val="center"/>
          </w:tcPr>
          <w:p w14:paraId="15BD9F01">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384C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0938AB6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628" w:type="pct"/>
            <w:vAlign w:val="center"/>
          </w:tcPr>
          <w:p w14:paraId="5E1583E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电视</w:t>
            </w:r>
          </w:p>
        </w:tc>
        <w:tc>
          <w:tcPr>
            <w:tcW w:w="2737" w:type="pct"/>
            <w:vAlign w:val="center"/>
          </w:tcPr>
          <w:p w14:paraId="7A73540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1.65寸，分辨率:3840x2160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2.背光:直下式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3.刷新率:0-144Hz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4.处理器和存储，CPU 四核，内存:2GB，闪存:32GB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5.无线配置，WiFi: 2.4GHz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6.红外:支持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7.接口及数量，HDM:2个(含一个ARC)HDm，AV:1个模拟信号/DTMB:1个，USB:2个，以太网:1个，音频输出:S/PDIF x1个</w:t>
            </w:r>
          </w:p>
        </w:tc>
        <w:tc>
          <w:tcPr>
            <w:tcW w:w="430" w:type="pct"/>
            <w:vAlign w:val="center"/>
          </w:tcPr>
          <w:p w14:paraId="356B28B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86" w:type="pct"/>
            <w:vAlign w:val="center"/>
          </w:tcPr>
          <w:p w14:paraId="6B06F4A3">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台</w:t>
            </w:r>
          </w:p>
        </w:tc>
        <w:tc>
          <w:tcPr>
            <w:tcW w:w="577" w:type="pct"/>
            <w:vAlign w:val="center"/>
          </w:tcPr>
          <w:p w14:paraId="04E3F579">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10C7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7704AF6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628" w:type="pct"/>
            <w:vAlign w:val="center"/>
          </w:tcPr>
          <w:p w14:paraId="09CA22D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胶水，电工胶布，管材，线槽等</w:t>
            </w:r>
          </w:p>
        </w:tc>
        <w:tc>
          <w:tcPr>
            <w:tcW w:w="2737" w:type="pct"/>
            <w:vAlign w:val="center"/>
          </w:tcPr>
          <w:p w14:paraId="2AA767E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符合国家标准</w:t>
            </w:r>
          </w:p>
        </w:tc>
        <w:tc>
          <w:tcPr>
            <w:tcW w:w="430" w:type="pct"/>
            <w:vAlign w:val="center"/>
          </w:tcPr>
          <w:p w14:paraId="7349BB9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6EADA1C9">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16247C75">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552B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46D3C8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628" w:type="pct"/>
            <w:vAlign w:val="center"/>
          </w:tcPr>
          <w:p w14:paraId="45CD64A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插座、电线，插座，布电线等</w:t>
            </w:r>
          </w:p>
        </w:tc>
        <w:tc>
          <w:tcPr>
            <w:tcW w:w="2737" w:type="pct"/>
            <w:vAlign w:val="center"/>
          </w:tcPr>
          <w:p w14:paraId="739A63F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符合国家标准</w:t>
            </w:r>
          </w:p>
        </w:tc>
        <w:tc>
          <w:tcPr>
            <w:tcW w:w="430" w:type="pct"/>
            <w:vAlign w:val="center"/>
          </w:tcPr>
          <w:p w14:paraId="04FA78D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17F99B4E">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5DC7CDB6">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72B0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049200F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628" w:type="pct"/>
            <w:vAlign w:val="center"/>
          </w:tcPr>
          <w:p w14:paraId="703AB27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大厅内形象展示</w:t>
            </w:r>
          </w:p>
        </w:tc>
        <w:tc>
          <w:tcPr>
            <w:tcW w:w="2737" w:type="pct"/>
            <w:vAlign w:val="center"/>
          </w:tcPr>
          <w:p w14:paraId="16DCFFF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根据现场实际装饰材料及工程</w:t>
            </w:r>
          </w:p>
        </w:tc>
        <w:tc>
          <w:tcPr>
            <w:tcW w:w="430" w:type="pct"/>
            <w:vAlign w:val="center"/>
          </w:tcPr>
          <w:p w14:paraId="3755132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55CBB5C0">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03085BA6">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569D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7C3991A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628" w:type="pct"/>
            <w:vAlign w:val="center"/>
          </w:tcPr>
          <w:p w14:paraId="4795802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大楼顶大字</w:t>
            </w:r>
          </w:p>
        </w:tc>
        <w:tc>
          <w:tcPr>
            <w:tcW w:w="2737" w:type="pct"/>
            <w:vMerge w:val="restart"/>
            <w:vAlign w:val="center"/>
          </w:tcPr>
          <w:p w14:paraId="4D62DCF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0.75mm厚度不锈钢精雕,80mm字体厚度，烤漆</w:t>
            </w:r>
          </w:p>
        </w:tc>
        <w:tc>
          <w:tcPr>
            <w:tcW w:w="430" w:type="pct"/>
            <w:vMerge w:val="restart"/>
            <w:vAlign w:val="center"/>
          </w:tcPr>
          <w:p w14:paraId="64C4E14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386" w:type="pct"/>
            <w:vMerge w:val="restart"/>
            <w:vAlign w:val="center"/>
          </w:tcPr>
          <w:p w14:paraId="700334EF">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平方米</w:t>
            </w:r>
          </w:p>
        </w:tc>
        <w:tc>
          <w:tcPr>
            <w:tcW w:w="577" w:type="pct"/>
            <w:vMerge w:val="restart"/>
            <w:vAlign w:val="center"/>
          </w:tcPr>
          <w:p w14:paraId="4612B45A">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5277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7CEFE11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628" w:type="pct"/>
            <w:vAlign w:val="center"/>
          </w:tcPr>
          <w:p w14:paraId="199B3EB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大楼屋檐大字</w:t>
            </w:r>
          </w:p>
        </w:tc>
        <w:tc>
          <w:tcPr>
            <w:tcW w:w="2737" w:type="pct"/>
            <w:vMerge w:val="continue"/>
            <w:vAlign w:val="center"/>
          </w:tcPr>
          <w:p w14:paraId="73C0F892">
            <w:pPr>
              <w:jc w:val="left"/>
              <w:rPr>
                <w:rFonts w:hint="eastAsia" w:ascii="宋体" w:hAnsi="宋体" w:cs="宋体"/>
                <w:color w:val="auto"/>
                <w:sz w:val="24"/>
                <w:highlight w:val="none"/>
              </w:rPr>
            </w:pPr>
          </w:p>
        </w:tc>
        <w:tc>
          <w:tcPr>
            <w:tcW w:w="430" w:type="pct"/>
            <w:vMerge w:val="continue"/>
            <w:vAlign w:val="center"/>
          </w:tcPr>
          <w:p w14:paraId="4D0CE4EF">
            <w:pPr>
              <w:jc w:val="center"/>
              <w:rPr>
                <w:rFonts w:hint="eastAsia" w:ascii="宋体" w:hAnsi="宋体" w:cs="宋体"/>
                <w:color w:val="auto"/>
                <w:sz w:val="24"/>
                <w:highlight w:val="none"/>
              </w:rPr>
            </w:pPr>
          </w:p>
        </w:tc>
        <w:tc>
          <w:tcPr>
            <w:tcW w:w="386" w:type="pct"/>
            <w:vMerge w:val="continue"/>
            <w:vAlign w:val="center"/>
          </w:tcPr>
          <w:p w14:paraId="02B7943F">
            <w:pPr>
              <w:jc w:val="center"/>
              <w:rPr>
                <w:rFonts w:hint="eastAsia" w:ascii="宋体" w:hAnsi="宋体" w:cs="宋体"/>
                <w:color w:val="auto"/>
                <w:sz w:val="24"/>
                <w:highlight w:val="none"/>
                <w:lang w:val="zh-CN"/>
              </w:rPr>
            </w:pPr>
          </w:p>
        </w:tc>
        <w:tc>
          <w:tcPr>
            <w:tcW w:w="577" w:type="pct"/>
            <w:vMerge w:val="continue"/>
            <w:vAlign w:val="center"/>
          </w:tcPr>
          <w:p w14:paraId="57BEEC2F">
            <w:pPr>
              <w:snapToGrid w:val="0"/>
              <w:spacing w:line="360" w:lineRule="exact"/>
              <w:jc w:val="center"/>
              <w:rPr>
                <w:rFonts w:hint="eastAsia" w:ascii="宋体" w:hAnsi="宋体" w:cs="宋体"/>
                <w:color w:val="auto"/>
                <w:sz w:val="24"/>
                <w:highlight w:val="none"/>
              </w:rPr>
            </w:pPr>
          </w:p>
        </w:tc>
      </w:tr>
      <w:tr w14:paraId="30E2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52AFD65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628" w:type="pct"/>
            <w:vAlign w:val="center"/>
          </w:tcPr>
          <w:p w14:paraId="3EBDE00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食堂大字</w:t>
            </w:r>
          </w:p>
        </w:tc>
        <w:tc>
          <w:tcPr>
            <w:tcW w:w="2737" w:type="pct"/>
            <w:vMerge w:val="continue"/>
            <w:vAlign w:val="center"/>
          </w:tcPr>
          <w:p w14:paraId="154951E1">
            <w:pPr>
              <w:jc w:val="left"/>
              <w:rPr>
                <w:rFonts w:hint="eastAsia" w:ascii="宋体" w:hAnsi="宋体" w:cs="宋体"/>
                <w:color w:val="auto"/>
                <w:sz w:val="24"/>
                <w:highlight w:val="none"/>
              </w:rPr>
            </w:pPr>
          </w:p>
        </w:tc>
        <w:tc>
          <w:tcPr>
            <w:tcW w:w="430" w:type="pct"/>
            <w:vMerge w:val="continue"/>
            <w:vAlign w:val="center"/>
          </w:tcPr>
          <w:p w14:paraId="38D6E195">
            <w:pPr>
              <w:jc w:val="center"/>
              <w:rPr>
                <w:rFonts w:hint="eastAsia" w:ascii="宋体" w:hAnsi="宋体" w:cs="宋体"/>
                <w:color w:val="auto"/>
                <w:sz w:val="24"/>
                <w:highlight w:val="none"/>
              </w:rPr>
            </w:pPr>
          </w:p>
        </w:tc>
        <w:tc>
          <w:tcPr>
            <w:tcW w:w="386" w:type="pct"/>
            <w:vMerge w:val="continue"/>
            <w:vAlign w:val="center"/>
          </w:tcPr>
          <w:p w14:paraId="2698D77D">
            <w:pPr>
              <w:jc w:val="center"/>
              <w:rPr>
                <w:rFonts w:hint="eastAsia" w:ascii="宋体" w:hAnsi="宋体" w:cs="宋体"/>
                <w:color w:val="auto"/>
                <w:sz w:val="24"/>
                <w:highlight w:val="none"/>
                <w:lang w:val="zh-CN"/>
              </w:rPr>
            </w:pPr>
          </w:p>
        </w:tc>
        <w:tc>
          <w:tcPr>
            <w:tcW w:w="577" w:type="pct"/>
            <w:vMerge w:val="continue"/>
            <w:vAlign w:val="center"/>
          </w:tcPr>
          <w:p w14:paraId="508F9F64">
            <w:pPr>
              <w:snapToGrid w:val="0"/>
              <w:spacing w:line="360" w:lineRule="exact"/>
              <w:jc w:val="center"/>
              <w:rPr>
                <w:rFonts w:hint="eastAsia" w:ascii="宋体" w:hAnsi="宋体" w:cs="宋体"/>
                <w:color w:val="auto"/>
                <w:sz w:val="24"/>
                <w:highlight w:val="none"/>
              </w:rPr>
            </w:pPr>
          </w:p>
        </w:tc>
      </w:tr>
      <w:tr w14:paraId="7859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7FA21DB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628" w:type="pct"/>
            <w:vAlign w:val="center"/>
          </w:tcPr>
          <w:p w14:paraId="095B2F3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灯光、音响控制系统调试安装</w:t>
            </w:r>
          </w:p>
        </w:tc>
        <w:tc>
          <w:tcPr>
            <w:tcW w:w="2737" w:type="pct"/>
            <w:vAlign w:val="center"/>
          </w:tcPr>
          <w:p w14:paraId="0A2FA90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灯光、音响控制系统调试安装及配套服务</w:t>
            </w:r>
          </w:p>
        </w:tc>
        <w:tc>
          <w:tcPr>
            <w:tcW w:w="430" w:type="pct"/>
            <w:vAlign w:val="center"/>
          </w:tcPr>
          <w:p w14:paraId="6173322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1B58C5A3">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37A2B729">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其他未列明行业</w:t>
            </w:r>
          </w:p>
        </w:tc>
      </w:tr>
      <w:tr w14:paraId="6A1C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1BE4EFD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628" w:type="pct"/>
            <w:vAlign w:val="center"/>
          </w:tcPr>
          <w:p w14:paraId="38D2DB0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吸音墙、吸音棉安装及配套服务</w:t>
            </w:r>
          </w:p>
        </w:tc>
        <w:tc>
          <w:tcPr>
            <w:tcW w:w="2737" w:type="pct"/>
            <w:vAlign w:val="center"/>
          </w:tcPr>
          <w:p w14:paraId="0C28C0E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吸音墙、吸音棉安装及配套服务</w:t>
            </w:r>
          </w:p>
        </w:tc>
        <w:tc>
          <w:tcPr>
            <w:tcW w:w="430" w:type="pct"/>
            <w:vAlign w:val="center"/>
          </w:tcPr>
          <w:p w14:paraId="127C59D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478E9E36">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45585E0D">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其他未列明行业</w:t>
            </w:r>
          </w:p>
        </w:tc>
      </w:tr>
      <w:tr w14:paraId="0703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7241FF1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628" w:type="pct"/>
            <w:vAlign w:val="center"/>
          </w:tcPr>
          <w:p w14:paraId="68E4EAB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报告厅桌椅安装及配套服务</w:t>
            </w:r>
          </w:p>
        </w:tc>
        <w:tc>
          <w:tcPr>
            <w:tcW w:w="2737" w:type="pct"/>
            <w:vAlign w:val="center"/>
          </w:tcPr>
          <w:p w14:paraId="310DD0B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报告厅桌椅安装及配套服务</w:t>
            </w:r>
          </w:p>
        </w:tc>
        <w:tc>
          <w:tcPr>
            <w:tcW w:w="430" w:type="pct"/>
            <w:vAlign w:val="center"/>
          </w:tcPr>
          <w:p w14:paraId="7A0BD81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336DB044">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120FE651">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其他未列明行业</w:t>
            </w:r>
          </w:p>
        </w:tc>
      </w:tr>
      <w:tr w14:paraId="02D5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26CA348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628" w:type="pct"/>
            <w:vAlign w:val="center"/>
          </w:tcPr>
          <w:p w14:paraId="364E219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静音地板胶安装及配套服务</w:t>
            </w:r>
          </w:p>
        </w:tc>
        <w:tc>
          <w:tcPr>
            <w:tcW w:w="2737" w:type="pct"/>
            <w:vAlign w:val="center"/>
          </w:tcPr>
          <w:p w14:paraId="6E6AA18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静音地板胶安装及配套服务</w:t>
            </w:r>
          </w:p>
        </w:tc>
        <w:tc>
          <w:tcPr>
            <w:tcW w:w="430" w:type="pct"/>
            <w:vAlign w:val="center"/>
          </w:tcPr>
          <w:p w14:paraId="0BC46A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0947C61F">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21883E93">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其他未列明行业</w:t>
            </w:r>
          </w:p>
        </w:tc>
      </w:tr>
      <w:tr w14:paraId="0E78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4A158A3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628" w:type="pct"/>
            <w:vAlign w:val="center"/>
          </w:tcPr>
          <w:p w14:paraId="37631F3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整体会议系统调试安装及配套服务</w:t>
            </w:r>
          </w:p>
        </w:tc>
        <w:tc>
          <w:tcPr>
            <w:tcW w:w="2737" w:type="pct"/>
            <w:vAlign w:val="center"/>
          </w:tcPr>
          <w:p w14:paraId="70B07DC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整体会议系统调试安装及配套服务</w:t>
            </w:r>
          </w:p>
        </w:tc>
        <w:tc>
          <w:tcPr>
            <w:tcW w:w="430" w:type="pct"/>
            <w:vAlign w:val="center"/>
          </w:tcPr>
          <w:p w14:paraId="3DD6397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5E67AC4C">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4A49DB8A">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其他未列明行业</w:t>
            </w:r>
          </w:p>
        </w:tc>
      </w:tr>
      <w:tr w14:paraId="1491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3294436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628" w:type="pct"/>
            <w:vAlign w:val="center"/>
          </w:tcPr>
          <w:p w14:paraId="7CEB3F1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三年系统维保</w:t>
            </w:r>
          </w:p>
        </w:tc>
        <w:tc>
          <w:tcPr>
            <w:tcW w:w="2737" w:type="pct"/>
            <w:vAlign w:val="center"/>
          </w:tcPr>
          <w:p w14:paraId="67E0C37A">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三年系统维保服务</w:t>
            </w:r>
          </w:p>
        </w:tc>
        <w:tc>
          <w:tcPr>
            <w:tcW w:w="430" w:type="pct"/>
            <w:vAlign w:val="center"/>
          </w:tcPr>
          <w:p w14:paraId="34B8030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6" w:type="pct"/>
            <w:vAlign w:val="center"/>
          </w:tcPr>
          <w:p w14:paraId="1259DA80">
            <w:pPr>
              <w:widowControl/>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项</w:t>
            </w:r>
          </w:p>
        </w:tc>
        <w:tc>
          <w:tcPr>
            <w:tcW w:w="577" w:type="pct"/>
            <w:vAlign w:val="center"/>
          </w:tcPr>
          <w:p w14:paraId="1C200CA3">
            <w:pPr>
              <w:snapToGrid w:val="0"/>
              <w:spacing w:line="360" w:lineRule="exact"/>
              <w:jc w:val="center"/>
              <w:rPr>
                <w:rFonts w:hint="eastAsia" w:ascii="宋体" w:hAnsi="宋体" w:cs="宋体"/>
                <w:color w:val="auto"/>
                <w:sz w:val="24"/>
                <w:highlight w:val="none"/>
              </w:rPr>
            </w:pPr>
            <w:r>
              <w:rPr>
                <w:rFonts w:hint="eastAsia" w:ascii="宋体" w:hAnsi="宋体" w:cs="宋体"/>
                <w:color w:val="auto"/>
                <w:spacing w:val="-12"/>
                <w:kern w:val="0"/>
                <w:sz w:val="22"/>
                <w:szCs w:val="22"/>
                <w:highlight w:val="none"/>
              </w:rPr>
              <w:t>软件和信息技术服</w:t>
            </w:r>
            <w:r>
              <w:rPr>
                <w:rFonts w:hint="eastAsia" w:ascii="宋体" w:hAnsi="宋体" w:cs="宋体"/>
                <w:color w:val="auto"/>
                <w:kern w:val="0"/>
                <w:sz w:val="22"/>
                <w:szCs w:val="22"/>
                <w:highlight w:val="none"/>
              </w:rPr>
              <w:t>务业</w:t>
            </w:r>
          </w:p>
        </w:tc>
      </w:tr>
      <w:tr w14:paraId="5E40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2C5544E1">
            <w:pPr>
              <w:snapToGrid w:val="0"/>
              <w:spacing w:line="36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▲商务要求</w:t>
            </w:r>
          </w:p>
        </w:tc>
      </w:tr>
      <w:tr w14:paraId="59BB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613BC1A3">
            <w:pPr>
              <w:widowControl/>
              <w:snapToGrid w:val="0"/>
              <w:spacing w:line="44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质保期</w:t>
            </w:r>
          </w:p>
        </w:tc>
        <w:tc>
          <w:tcPr>
            <w:tcW w:w="4132" w:type="pct"/>
            <w:gridSpan w:val="4"/>
            <w:vAlign w:val="center"/>
          </w:tcPr>
          <w:p w14:paraId="4C806E9E">
            <w:pPr>
              <w:widowControl/>
              <w:snapToGrid w:val="0"/>
              <w:spacing w:line="420" w:lineRule="exact"/>
              <w:ind w:firstLine="420" w:firstLineChars="175"/>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质保期不少于三年（均为自交付使用并验收合格之日起计，如项目有特殊要求的，按要求质保），质保期内免费上门维修，免费更换配件（人为损坏除外的）：如设备发生大故障（指主要部件出现质量问题）时，供货方应负责免费更换相同品牌、型号的新设备。设备维修或更换后其保质期相应顺延。所有非故意性损坏以及在要求质量标准范围内的正常使用造成的损坏均要免费维修。对因采购方人员的不正当使用所造成的设备损坏不归供货方负责保修，但供货方也要积极帮助采购方修理设备，并保证提供优惠价格的配件和服务。</w:t>
            </w:r>
          </w:p>
          <w:p w14:paraId="76208C85">
            <w:pPr>
              <w:snapToGrid w:val="0"/>
              <w:spacing w:line="44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bidi="ar"/>
              </w:rPr>
              <w:t>货物验收合格后，质保期内免费服务（含部件、人力、上门等），质保期满后，乙方仍应提供维修服务，按维修件成本收费。</w:t>
            </w:r>
          </w:p>
        </w:tc>
      </w:tr>
      <w:tr w14:paraId="6F8A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136C4C9E">
            <w:pPr>
              <w:widowControl/>
              <w:snapToGrid w:val="0"/>
              <w:spacing w:line="44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基本要求</w:t>
            </w:r>
          </w:p>
        </w:tc>
        <w:tc>
          <w:tcPr>
            <w:tcW w:w="4132" w:type="pct"/>
            <w:gridSpan w:val="4"/>
            <w:vAlign w:val="center"/>
          </w:tcPr>
          <w:p w14:paraId="3CC3FEE6">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投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46168B8E">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2.投标人应列明详细的设备名称、型号规格、产地和生产厂家；</w:t>
            </w:r>
          </w:p>
          <w:p w14:paraId="69F4A3CB">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3.所有产品必须是具备厂家合法销售渠道的全新合格正品，所有设备必须完全满足采购文件所述性能配置要求，若产品在运输过程中损坏或擦伤须无偿调换相同产品。</w:t>
            </w:r>
          </w:p>
          <w:p w14:paraId="693CA173">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4、为防止虚假应标，在中标公示期，采购人有权要求中标人提供本项目中设备按照招标文件参数及要求进行测试，如发现中标人提供的产品性能不满足招标文件要求或存在虚假应答情况的或不提供本项目中设备按照招标文件参数及要求进行测试的，采购人将不予签订合同，造成损失由中标人承担，并追究其相关法律责任。</w:t>
            </w:r>
          </w:p>
          <w:p w14:paraId="560A9889">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采购需求中要求投标时、签订成交合同前及签订合同后须提供的所有相关证明材料，投标人必须按要求提供。如不提供，则视为提供虚假材料，中标（投标）无效，按政府采购相关法规处罚，并追究其相应的法律责任。</w:t>
            </w:r>
          </w:p>
        </w:tc>
      </w:tr>
      <w:tr w14:paraId="65C4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33FCFE4B">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报价方式</w:t>
            </w:r>
          </w:p>
        </w:tc>
        <w:tc>
          <w:tcPr>
            <w:tcW w:w="4132" w:type="pct"/>
            <w:gridSpan w:val="4"/>
            <w:vAlign w:val="center"/>
          </w:tcPr>
          <w:p w14:paraId="0BB448B5">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本项目以合同总价形式报价，超过最高限价：人民币捌拾叁万贰仟伍佰柒拾玖元整（￥832579.00）的竞标报价无效。</w:t>
            </w:r>
          </w:p>
          <w:p w14:paraId="1E5609D8">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注：投标报价是履行合同的最终价格，供应商应充分考虑对竞标报价中的货物和服务的报价应包括完成本项工作所需的人工、材料、器材、管理、维护、保险、利润、税金、通讯器材、办公设备、政策性文件规定及合同包含的所有风险、责任等各项应有费用。竞标报价除非因特殊原因并经买卖双方协商同意，供应商不得再要求追加任何费用。同时，除非合同条款中另有规定，否则，投标单位所报价格在合同实施期间不因市场变化因素而变动。</w:t>
            </w:r>
          </w:p>
        </w:tc>
      </w:tr>
      <w:tr w14:paraId="36F0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397905E1">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售后服务要求</w:t>
            </w:r>
          </w:p>
        </w:tc>
        <w:tc>
          <w:tcPr>
            <w:tcW w:w="4132" w:type="pct"/>
            <w:gridSpan w:val="4"/>
            <w:vAlign w:val="center"/>
          </w:tcPr>
          <w:p w14:paraId="72E3534A">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1）产品保质、保修责任：产品质保期内，货物在正常使用情况下出现质量问题（非人为损坏）免费修理维护，免费更换零部件；如在使用过程中发生故障问题（除不可抗拒因素以及由采购人原因造成故障外），中标人在接到采购人通知后30分钟内响应，一般故障修复时间不超过6小时。重大故障24小时内解决，并提交故障报告说明。中标人承担设备故障处理产生的所有费用。因所供货物质量问题导致安全事故的，采购人有权终止合同，损失由中标人负全部责任。</w:t>
            </w:r>
          </w:p>
          <w:p w14:paraId="15FF33D3">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（2）中标人须提供完整的设备安装、调试、操作、使用、控制和维护手册等详细技术资料及图纸。</w:t>
            </w:r>
          </w:p>
          <w:p w14:paraId="7A73D587">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（3）技术支持：提供7×24小时技术支持；且对采购人在日后的维护或网络扩展应用中，给予及时的支持。</w:t>
            </w:r>
          </w:p>
          <w:p w14:paraId="48D39EDE">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（4）售后服务承诺书应包含：保修期限、接质量问题通知达到现场时间、保修期内和保修期外保修维修养护具体措施、安全保障措施、售后服务机构等方面内容。</w:t>
            </w:r>
          </w:p>
          <w:p w14:paraId="79828A2E">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（5）产品质保期满后零配件若损坏，提供零配件优惠服务方案。</w:t>
            </w:r>
          </w:p>
          <w:p w14:paraId="1FFBF741">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（6）免费对设备使用人员进行集中培训。确保参与培训人员能够熟练掌握硬件设备使用与维护等。</w:t>
            </w:r>
          </w:p>
          <w:p w14:paraId="20494BDC">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（7）质保期内，中标人负责对产品进行免费定期巡检、维护保养，每年至少2次，保修期外也应提供定期巡检、维护保养服务；</w:t>
            </w:r>
          </w:p>
        </w:tc>
      </w:tr>
      <w:tr w14:paraId="357B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319D8793">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交货时间及地点</w:t>
            </w:r>
          </w:p>
        </w:tc>
        <w:tc>
          <w:tcPr>
            <w:tcW w:w="4132" w:type="pct"/>
            <w:gridSpan w:val="4"/>
            <w:vAlign w:val="center"/>
          </w:tcPr>
          <w:p w14:paraId="0366E607">
            <w:pPr>
              <w:pStyle w:val="14"/>
              <w:widowControl/>
              <w:snapToGrid w:val="0"/>
              <w:spacing w:line="440" w:lineRule="exact"/>
              <w:ind w:firstLine="420" w:firstLineChars="175"/>
              <w:outlineLvl w:val="0"/>
              <w:rPr>
                <w:rFonts w:hint="eastAsia" w:hAnsi="宋体" w:cs="宋体"/>
                <w:color w:val="auto"/>
                <w:sz w:val="24"/>
                <w:szCs w:val="24"/>
                <w:highlight w:val="none"/>
              </w:rPr>
            </w:pPr>
            <w:r>
              <w:rPr>
                <w:rFonts w:hint="eastAsia" w:hAnsi="宋体" w:cs="宋体"/>
                <w:color w:val="auto"/>
                <w:sz w:val="24"/>
                <w:szCs w:val="24"/>
                <w:highlight w:val="none"/>
              </w:rPr>
              <w:t>（1）交货时间：</w:t>
            </w:r>
            <w:r>
              <w:rPr>
                <w:rFonts w:hint="eastAsia" w:hAnsi="宋体" w:cs="宋体"/>
                <w:color w:val="auto"/>
                <w:sz w:val="24"/>
                <w:szCs w:val="24"/>
                <w:highlight w:val="none"/>
                <w:u w:val="single"/>
              </w:rPr>
              <w:t>签订合同之日起30日内交货安装调试完毕，通过验收并交付使用。</w:t>
            </w:r>
          </w:p>
          <w:p w14:paraId="1D9342EF">
            <w:pPr>
              <w:snapToGrid w:val="0"/>
              <w:spacing w:line="44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（2）交货地点：</w:t>
            </w:r>
            <w:r>
              <w:rPr>
                <w:rFonts w:hint="eastAsia" w:ascii="宋体" w:hAnsi="宋体" w:cs="宋体"/>
                <w:color w:val="auto"/>
                <w:kern w:val="0"/>
                <w:sz w:val="24"/>
                <w:highlight w:val="none"/>
                <w:u w:val="single"/>
              </w:rPr>
              <w:t>广西柳州市鹿寨县采购单位指定地点</w:t>
            </w:r>
            <w:r>
              <w:rPr>
                <w:rFonts w:hint="eastAsia" w:ascii="宋体" w:hAnsi="宋体" w:cs="宋体"/>
                <w:color w:val="auto"/>
                <w:kern w:val="0"/>
                <w:sz w:val="24"/>
                <w:highlight w:val="none"/>
              </w:rPr>
              <w:t>。</w:t>
            </w:r>
          </w:p>
        </w:tc>
      </w:tr>
      <w:tr w14:paraId="701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5D1C47FB">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4132" w:type="pct"/>
            <w:gridSpan w:val="4"/>
            <w:vAlign w:val="center"/>
          </w:tcPr>
          <w:p w14:paraId="21024BB1">
            <w:pPr>
              <w:snapToGrid w:val="0"/>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本项目无预付款，合同签订货物到达指定地点安装调试完成并验收后30个工作日内支付（或办理支付）</w:t>
            </w:r>
            <w:r>
              <w:rPr>
                <w:rFonts w:hint="eastAsia" w:ascii="宋体" w:hAnsi="宋体" w:cs="宋体"/>
                <w:color w:val="auto"/>
                <w:sz w:val="24"/>
                <w:highlight w:val="none"/>
                <w:lang w:eastAsia="zh-CN"/>
              </w:rPr>
              <w:t>全部</w:t>
            </w:r>
            <w:r>
              <w:rPr>
                <w:rFonts w:hint="eastAsia" w:ascii="宋体" w:hAnsi="宋体" w:cs="宋体"/>
                <w:color w:val="auto"/>
                <w:sz w:val="24"/>
                <w:highlight w:val="none"/>
              </w:rPr>
              <w:t>合同款。</w:t>
            </w:r>
          </w:p>
        </w:tc>
      </w:tr>
      <w:tr w14:paraId="5BDB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5D4E2D7B">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验收条件及标准</w:t>
            </w:r>
          </w:p>
        </w:tc>
        <w:tc>
          <w:tcPr>
            <w:tcW w:w="4132" w:type="pct"/>
            <w:gridSpan w:val="4"/>
            <w:vAlign w:val="center"/>
          </w:tcPr>
          <w:p w14:paraId="1B33A007">
            <w:pPr>
              <w:tabs>
                <w:tab w:val="left" w:pos="0"/>
                <w:tab w:val="left" w:pos="1620"/>
              </w:tabs>
              <w:snapToGrid w:val="0"/>
              <w:spacing w:line="42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交付验收时，采购人根据《广西壮族自治区政府采购项目履约验收管理办法》及国家有关强制性标准的规定，由采购人及中标供应商等共同进行验收，采购人可委托采购代理机构、国家认可的质量检测机构开展采购项目履约验收工作；</w:t>
            </w:r>
          </w:p>
          <w:p w14:paraId="268EE5F1">
            <w:pPr>
              <w:tabs>
                <w:tab w:val="left" w:pos="0"/>
                <w:tab w:val="left" w:pos="1620"/>
              </w:tabs>
              <w:snapToGrid w:val="0"/>
              <w:spacing w:line="42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中标人</w:t>
            </w:r>
            <w:r>
              <w:rPr>
                <w:rFonts w:hint="eastAsia" w:ascii="宋体" w:hAnsi="宋体" w:cs="宋体"/>
                <w:color w:val="auto"/>
                <w:sz w:val="24"/>
                <w:highlight w:val="none"/>
              </w:rPr>
              <w:t>提供的所有货物必须是具备厂家合法渠道的全新正品，合同签订时若采购方对所供产品有疑问的，则有权要求</w:t>
            </w:r>
            <w:r>
              <w:rPr>
                <w:rFonts w:hint="eastAsia" w:ascii="宋体" w:hAnsi="宋体" w:cs="宋体"/>
                <w:bCs/>
                <w:color w:val="auto"/>
                <w:sz w:val="24"/>
                <w:highlight w:val="none"/>
              </w:rPr>
              <w:t>中标人</w:t>
            </w:r>
            <w:r>
              <w:rPr>
                <w:rFonts w:hint="eastAsia" w:ascii="宋体" w:hAnsi="宋体" w:cs="宋体"/>
                <w:color w:val="auto"/>
                <w:sz w:val="24"/>
                <w:highlight w:val="none"/>
              </w:rPr>
              <w:t>提供制造商针对本项目投标产品的参数真实性证明材料、授权书原件、供货证明函及售后服务承诺函，以上材料不全者，视为产品验收不合格，采购单位有权不予验收。</w:t>
            </w:r>
          </w:p>
          <w:p w14:paraId="53180745">
            <w:pPr>
              <w:widowControl/>
              <w:snapToGrid w:val="0"/>
              <w:spacing w:line="42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3.验收合格的，由采购人及</w:t>
            </w:r>
            <w:r>
              <w:rPr>
                <w:rFonts w:hint="eastAsia" w:ascii="宋体" w:hAnsi="宋体" w:cs="宋体"/>
                <w:bCs/>
                <w:color w:val="auto"/>
                <w:sz w:val="24"/>
                <w:highlight w:val="none"/>
              </w:rPr>
              <w:t>中标人</w:t>
            </w:r>
            <w:r>
              <w:rPr>
                <w:rFonts w:hint="eastAsia" w:ascii="宋体" w:hAnsi="宋体" w:cs="宋体"/>
                <w:color w:val="auto"/>
                <w:sz w:val="24"/>
                <w:highlight w:val="none"/>
              </w:rPr>
              <w:t>在服务开通确认书确认，视为验收通过，对不符合要求的，采购人有权拒绝验收，由此产生的一切后果，均由</w:t>
            </w:r>
            <w:r>
              <w:rPr>
                <w:rFonts w:hint="eastAsia" w:ascii="宋体" w:hAnsi="宋体" w:cs="宋体"/>
                <w:bCs/>
                <w:color w:val="auto"/>
                <w:sz w:val="24"/>
                <w:highlight w:val="none"/>
              </w:rPr>
              <w:t>中标人</w:t>
            </w:r>
            <w:r>
              <w:rPr>
                <w:rFonts w:hint="eastAsia" w:ascii="宋体" w:hAnsi="宋体" w:cs="宋体"/>
                <w:color w:val="auto"/>
                <w:sz w:val="24"/>
                <w:highlight w:val="none"/>
              </w:rPr>
              <w:t>承担。由此造成的不能按时、按质、按量完成项目要求的，将按照政府采购相关法规、合同相关条款进行处理。</w:t>
            </w:r>
          </w:p>
        </w:tc>
      </w:tr>
      <w:tr w14:paraId="616C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1AA743B8">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验收方法及方案</w:t>
            </w:r>
          </w:p>
        </w:tc>
        <w:tc>
          <w:tcPr>
            <w:tcW w:w="4132" w:type="pct"/>
            <w:gridSpan w:val="4"/>
            <w:vAlign w:val="center"/>
          </w:tcPr>
          <w:p w14:paraId="1DDDABEF">
            <w:pPr>
              <w:widowControl/>
              <w:snapToGrid w:val="0"/>
              <w:spacing w:line="42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1.验收小组的组成：</w:t>
            </w:r>
            <w:r>
              <w:rPr>
                <w:rFonts w:hint="eastAsia" w:ascii="宋体" w:hAnsi="宋体" w:cs="宋体"/>
                <w:color w:val="auto"/>
                <w:sz w:val="24"/>
                <w:highlight w:val="none"/>
              </w:rPr>
              <w:t>本项目验收小组由采购人组织成立。验收小组成员组成由熟悉掌握该项目采购的技术人员（专家）、采购人相关管理人员、使用部门或单位专业人员、采购人采购项目的有关人员或受托采购的代理机构人员组成，明确验收小组的负责人，负责组织整个采购项目的验收工作。</w:t>
            </w:r>
          </w:p>
          <w:p w14:paraId="5C19AB3E">
            <w:pPr>
              <w:widowControl/>
              <w:snapToGrid w:val="0"/>
              <w:spacing w:line="42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2.验收费用：</w:t>
            </w:r>
            <w:r>
              <w:rPr>
                <w:rFonts w:hint="eastAsia" w:ascii="宋体" w:hAnsi="宋体" w:cs="宋体"/>
                <w:color w:val="auto"/>
                <w:sz w:val="24"/>
                <w:highlight w:val="none"/>
              </w:rPr>
              <w:t>验收小组成员所产生的的劳务费、检验费及相关发生的费用均由中标人承担。</w:t>
            </w:r>
          </w:p>
          <w:p w14:paraId="5FCB44EF">
            <w:pPr>
              <w:widowControl/>
              <w:snapToGrid w:val="0"/>
              <w:spacing w:line="42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3.验收方式：</w:t>
            </w:r>
            <w:r>
              <w:rPr>
                <w:rFonts w:hint="eastAsia" w:ascii="宋体" w:hAnsi="宋体" w:cs="宋体"/>
                <w:color w:val="auto"/>
                <w:sz w:val="24"/>
                <w:highlight w:val="none"/>
              </w:rPr>
              <w:t>提供货品清单。表样内容包括：项目名称、实施年月、所有设备的名称、品牌和型号、各设备厂家售后服务电话、</w:t>
            </w:r>
            <w:r>
              <w:rPr>
                <w:rFonts w:hint="eastAsia" w:ascii="宋体" w:hAnsi="宋体" w:cs="宋体"/>
                <w:bCs/>
                <w:color w:val="auto"/>
                <w:sz w:val="24"/>
                <w:highlight w:val="none"/>
              </w:rPr>
              <w:t>中标人</w:t>
            </w:r>
            <w:r>
              <w:rPr>
                <w:rFonts w:hint="eastAsia" w:ascii="宋体" w:hAnsi="宋体" w:cs="宋体"/>
                <w:color w:val="auto"/>
                <w:sz w:val="24"/>
                <w:highlight w:val="none"/>
              </w:rPr>
              <w:t>售后服务联系方式、监督（采购人）电话等内容。</w:t>
            </w:r>
          </w:p>
          <w:p w14:paraId="142075BF">
            <w:pPr>
              <w:widowControl/>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在供货前，</w:t>
            </w:r>
            <w:r>
              <w:rPr>
                <w:rFonts w:hint="eastAsia" w:ascii="宋体" w:hAnsi="宋体" w:cs="宋体"/>
                <w:bCs/>
                <w:color w:val="auto"/>
                <w:sz w:val="24"/>
                <w:highlight w:val="none"/>
              </w:rPr>
              <w:t>中标人</w:t>
            </w:r>
            <w:r>
              <w:rPr>
                <w:rFonts w:hint="eastAsia" w:ascii="宋体" w:hAnsi="宋体" w:cs="宋体"/>
                <w:color w:val="auto"/>
                <w:sz w:val="24"/>
                <w:highlight w:val="none"/>
              </w:rPr>
              <w:t>须向验收小组提前提交【验收申请报告】，由验收小组安排验收时间，验收小组到指定供货地点进行验收。必要时采购单位也可根据需要，将产品送检测机构检验，切实保证产品符合国家现行有关部门标准及采购文件对项目的技术规定要求和供应商的响应承诺等情况以及合同明确约定的要求，送检费用由</w:t>
            </w:r>
            <w:r>
              <w:rPr>
                <w:rFonts w:hint="eastAsia" w:ascii="宋体" w:hAnsi="宋体" w:cs="宋体"/>
                <w:bCs/>
                <w:color w:val="auto"/>
                <w:sz w:val="24"/>
                <w:highlight w:val="none"/>
              </w:rPr>
              <w:t>中标人</w:t>
            </w:r>
            <w:r>
              <w:rPr>
                <w:rFonts w:hint="eastAsia" w:ascii="宋体" w:hAnsi="宋体" w:cs="宋体"/>
                <w:color w:val="auto"/>
                <w:sz w:val="24"/>
                <w:highlight w:val="none"/>
              </w:rPr>
              <w:t>承担。</w:t>
            </w:r>
          </w:p>
          <w:p w14:paraId="3C51C999">
            <w:pPr>
              <w:widowControl/>
              <w:snapToGrid w:val="0"/>
              <w:spacing w:line="42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4.验收公告：</w:t>
            </w:r>
            <w:r>
              <w:rPr>
                <w:rFonts w:hint="eastAsia" w:ascii="宋体" w:hAnsi="宋体" w:cs="宋体"/>
                <w:color w:val="auto"/>
                <w:sz w:val="24"/>
                <w:highlight w:val="none"/>
              </w:rPr>
              <w:t>所有货物全部验收合格后，验收小组出具验收书。同时采购人将验收结果在广西政府采购云平台进行公告。</w:t>
            </w:r>
          </w:p>
          <w:p w14:paraId="28AFC8AD">
            <w:pPr>
              <w:widowControl/>
              <w:snapToGrid w:val="0"/>
              <w:spacing w:line="42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5.保密要求：</w:t>
            </w:r>
            <w:r>
              <w:rPr>
                <w:rFonts w:hint="eastAsia" w:ascii="宋体" w:hAnsi="宋体" w:cs="宋体"/>
                <w:bCs/>
                <w:color w:val="auto"/>
                <w:sz w:val="24"/>
                <w:highlight w:val="none"/>
              </w:rPr>
              <w:t>中标人在项目实施过程中，需要了解或知悉采购人的相关业务信息，为确保采购人业务信息的安全，中标人必须对本项目所有项目信息予以保密，未经采购单位书面许可，中标人不得以任何形式向第三方透露本项目的任何内容，并与采购人签订相关的《保密协议书》。</w:t>
            </w:r>
          </w:p>
          <w:p w14:paraId="7AB2635F">
            <w:pPr>
              <w:widowControl/>
              <w:snapToGrid w:val="0"/>
              <w:spacing w:line="420" w:lineRule="exact"/>
              <w:ind w:firstLine="422" w:firstLineChars="175"/>
              <w:rPr>
                <w:rFonts w:hint="eastAsia" w:ascii="宋体" w:hAnsi="宋体" w:cs="宋体"/>
                <w:bCs/>
                <w:color w:val="auto"/>
                <w:sz w:val="24"/>
                <w:highlight w:val="none"/>
              </w:rPr>
            </w:pPr>
            <w:r>
              <w:rPr>
                <w:rFonts w:hint="eastAsia" w:ascii="宋体" w:hAnsi="宋体" w:cs="宋体"/>
                <w:b/>
                <w:color w:val="auto"/>
                <w:sz w:val="24"/>
                <w:highlight w:val="none"/>
              </w:rPr>
              <w:t>6.其他服务要求：</w:t>
            </w:r>
            <w:r>
              <w:rPr>
                <w:rFonts w:hint="eastAsia" w:ascii="宋体" w:hAnsi="宋体" w:cs="宋体"/>
                <w:bCs/>
                <w:color w:val="auto"/>
                <w:sz w:val="24"/>
                <w:highlight w:val="none"/>
              </w:rPr>
              <w:t>中标人在项目实施撤场前，供应商负责设备的完好性。由双方共同确定所有设备可以正常稳定运行时，方可进行交付。</w:t>
            </w:r>
          </w:p>
          <w:p w14:paraId="289B1B24">
            <w:pPr>
              <w:widowControl/>
              <w:snapToGrid w:val="0"/>
              <w:spacing w:line="420" w:lineRule="exact"/>
              <w:ind w:firstLine="422" w:firstLineChars="175"/>
              <w:jc w:val="left"/>
              <w:rPr>
                <w:rFonts w:hint="eastAsia" w:ascii="宋体" w:hAnsi="宋体" w:cs="宋体"/>
                <w:color w:val="auto"/>
                <w:sz w:val="24"/>
                <w:highlight w:val="none"/>
              </w:rPr>
            </w:pPr>
            <w:r>
              <w:rPr>
                <w:rFonts w:hint="eastAsia" w:ascii="宋体" w:hAnsi="宋体" w:cs="宋体"/>
                <w:b/>
                <w:bCs/>
                <w:color w:val="auto"/>
                <w:kern w:val="0"/>
                <w:sz w:val="24"/>
                <w:highlight w:val="none"/>
              </w:rPr>
              <w:t>7.</w:t>
            </w:r>
            <w:r>
              <w:rPr>
                <w:rFonts w:hint="eastAsia" w:ascii="宋体" w:hAnsi="宋体" w:cs="宋体"/>
                <w:bCs/>
                <w:color w:val="auto"/>
                <w:kern w:val="0"/>
                <w:sz w:val="24"/>
                <w:highlight w:val="none"/>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14:paraId="0D20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2B32764B">
            <w:pPr>
              <w:widowControl/>
              <w:snapToGrid w:val="0"/>
              <w:spacing w:line="440" w:lineRule="exact"/>
              <w:jc w:val="center"/>
              <w:rPr>
                <w:rFonts w:hint="eastAsia" w:ascii="宋体" w:hAnsi="宋体" w:cs="宋体"/>
                <w:color w:val="auto"/>
                <w:sz w:val="24"/>
                <w:highlight w:val="none"/>
              </w:rPr>
            </w:pPr>
            <w:r>
              <w:rPr>
                <w:rFonts w:hint="eastAsia" w:ascii="宋体" w:hAnsi="宋体" w:cs="宋体"/>
                <w:bCs/>
                <w:color w:val="auto"/>
                <w:sz w:val="24"/>
                <w:highlight w:val="none"/>
              </w:rPr>
              <w:t>其他要求</w:t>
            </w:r>
          </w:p>
        </w:tc>
        <w:tc>
          <w:tcPr>
            <w:tcW w:w="4132" w:type="pct"/>
            <w:gridSpan w:val="4"/>
            <w:vAlign w:val="center"/>
          </w:tcPr>
          <w:p w14:paraId="49F0DD8F">
            <w:pPr>
              <w:pStyle w:val="13"/>
              <w:widowControl/>
              <w:autoSpaceDE/>
              <w:autoSpaceDN/>
              <w:adjustRightInd/>
              <w:snapToGrid w:val="0"/>
              <w:spacing w:line="420" w:lineRule="exact"/>
              <w:ind w:firstLine="420" w:firstLineChars="175"/>
              <w:rPr>
                <w:rFonts w:hint="eastAsia" w:ascii="宋体" w:hAnsi="宋体" w:eastAsia="宋体" w:cs="宋体"/>
                <w:color w:val="auto"/>
                <w:kern w:val="2"/>
                <w:highlight w:val="none"/>
              </w:rPr>
            </w:pPr>
            <w:r>
              <w:rPr>
                <w:rFonts w:hint="eastAsia" w:ascii="宋体" w:hAnsi="宋体" w:eastAsia="宋体" w:cs="宋体"/>
                <w:color w:val="auto"/>
                <w:kern w:val="2"/>
                <w:highlight w:val="none"/>
              </w:rPr>
              <w:t>1.竞标人所投竞标货物的技术参数、配置和性能指标必须真实有效。如遇成交结果公示期间有质疑情形或采购人对成交供应商所投竞标货物存在异议的，采购人有权要求成交供应商在正式供货前提供所投竞标货物的实物样品及检测报告原件进行核实，如发现检测报告不一致或提供的实物样品无法达到其响应文件承诺的技术参数要求的，视为提供虚假材料谋取中标，采购人将上报财政监督主管部门，对其按政府采购相关法规处罚，并追究相应的法律责任。</w:t>
            </w:r>
          </w:p>
          <w:p w14:paraId="38708746">
            <w:pPr>
              <w:pStyle w:val="13"/>
              <w:widowControl/>
              <w:autoSpaceDE/>
              <w:autoSpaceDN/>
              <w:adjustRightInd/>
              <w:snapToGrid w:val="0"/>
              <w:spacing w:line="420" w:lineRule="exact"/>
              <w:ind w:firstLine="420" w:firstLineChars="175"/>
              <w:rPr>
                <w:rFonts w:hint="eastAsia" w:ascii="宋体" w:hAnsi="宋体" w:eastAsia="宋体" w:cs="宋体"/>
                <w:color w:val="auto"/>
                <w:kern w:val="2"/>
                <w:highlight w:val="none"/>
              </w:rPr>
            </w:pPr>
            <w:r>
              <w:rPr>
                <w:rFonts w:hint="eastAsia" w:ascii="宋体" w:hAnsi="宋体" w:eastAsia="宋体" w:cs="宋体"/>
                <w:color w:val="auto"/>
                <w:kern w:val="2"/>
                <w:highlight w:val="none"/>
              </w:rPr>
              <w:t>2.为了保障项目完整性，竞标人可选择自行踏勘，并自行承担现场考察的责任和风险、考察及现场设备测试的所有费用。</w:t>
            </w:r>
          </w:p>
          <w:p w14:paraId="5002577A">
            <w:pPr>
              <w:pStyle w:val="13"/>
              <w:widowControl/>
              <w:autoSpaceDE/>
              <w:autoSpaceDN/>
              <w:adjustRightInd/>
              <w:snapToGrid w:val="0"/>
              <w:spacing w:line="420" w:lineRule="exact"/>
              <w:ind w:firstLine="420" w:firstLineChars="175"/>
              <w:rPr>
                <w:rFonts w:hint="eastAsia" w:ascii="宋体" w:hAnsi="宋体" w:eastAsia="宋体" w:cs="宋体"/>
                <w:color w:val="auto"/>
                <w:kern w:val="2"/>
                <w:highlight w:val="none"/>
              </w:rPr>
            </w:pPr>
            <w:r>
              <w:rPr>
                <w:rFonts w:hint="eastAsia" w:ascii="宋体" w:hAnsi="宋体" w:eastAsia="宋体" w:cs="宋体"/>
                <w:color w:val="auto"/>
                <w:kern w:val="2"/>
                <w:highlight w:val="none"/>
              </w:rPr>
              <w:t>3.“采购清单及技术参数”表中的核心产品为</w:t>
            </w:r>
            <w:r>
              <w:rPr>
                <w:rFonts w:hint="eastAsia" w:ascii="宋体" w:hAnsi="宋体" w:eastAsia="宋体" w:cs="宋体"/>
                <w:b/>
                <w:bCs/>
                <w:color w:val="auto"/>
                <w:kern w:val="2"/>
                <w:highlight w:val="none"/>
                <w:u w:val="single"/>
              </w:rPr>
              <w:t>“灯光及音响设备”</w:t>
            </w:r>
            <w:r>
              <w:rPr>
                <w:rFonts w:hint="eastAsia" w:ascii="宋体" w:hAnsi="宋体" w:eastAsia="宋体" w:cs="宋体"/>
                <w:color w:val="auto"/>
                <w:kern w:val="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竞标人获得中标人推荐资格，招标文件未规定的采取随机抽取方式确定，其他同品牌竞标人不作为成交候选人。</w:t>
            </w:r>
          </w:p>
          <w:p w14:paraId="04E2D55D">
            <w:pPr>
              <w:widowControl/>
              <w:snapToGrid w:val="0"/>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4.本项目货物所涉及的货物不接受进口产品（即通过中国海关报关验放进入中国境内且产自关境外的产品）参与投标，如有进口产品参与竞标的作无效竞标处理。</w:t>
            </w:r>
          </w:p>
        </w:tc>
      </w:tr>
    </w:tbl>
    <w:p w14:paraId="22F0F1C0">
      <w:pPr>
        <w:pStyle w:val="9"/>
        <w:ind w:firstLine="0"/>
        <w:rPr>
          <w:rFonts w:hint="eastAsia" w:ascii="宋体" w:hAnsi="宋体" w:cs="宋体"/>
          <w:b/>
          <w:color w:val="auto"/>
          <w:kern w:val="0"/>
          <w:sz w:val="28"/>
          <w:szCs w:val="28"/>
          <w:highlight w:val="none"/>
        </w:rPr>
      </w:pPr>
    </w:p>
    <w:p w14:paraId="107726E6">
      <w:pPr>
        <w:pStyle w:val="9"/>
        <w:ind w:firstLine="0"/>
        <w:rPr>
          <w:rFonts w:hint="eastAsia" w:ascii="宋体" w:hAnsi="宋体" w:cs="宋体"/>
          <w:b/>
          <w:color w:val="auto"/>
          <w:kern w:val="0"/>
          <w:sz w:val="28"/>
          <w:szCs w:val="28"/>
          <w:highlight w:val="none"/>
        </w:rPr>
      </w:pPr>
    </w:p>
    <w:p w14:paraId="461BF85B">
      <w:pPr>
        <w:pStyle w:val="9"/>
        <w:ind w:firstLine="0"/>
        <w:rPr>
          <w:rFonts w:hint="eastAsia" w:ascii="宋体" w:hAnsi="宋体" w:cs="宋体"/>
          <w:b/>
          <w:color w:val="auto"/>
          <w:kern w:val="0"/>
          <w:sz w:val="28"/>
          <w:szCs w:val="28"/>
          <w:highlight w:val="none"/>
        </w:rPr>
      </w:pPr>
    </w:p>
    <w:p w14:paraId="3A139ABE">
      <w:pPr>
        <w:rPr>
          <w:rFonts w:hint="eastAsia" w:ascii="宋体" w:hAnsi="宋体" w:cs="宋体"/>
          <w:b/>
          <w:bCs/>
          <w:color w:val="auto"/>
          <w:kern w:val="44"/>
          <w:sz w:val="24"/>
          <w:highlight w:val="none"/>
        </w:rPr>
      </w:pPr>
      <w:bookmarkStart w:id="6" w:name="_Toc28382"/>
      <w:bookmarkStart w:id="7" w:name="_Toc28281"/>
      <w:bookmarkStart w:id="8" w:name="_Toc26625"/>
      <w:bookmarkStart w:id="9" w:name="_Toc23322"/>
      <w:bookmarkStart w:id="10" w:name="_Toc3993"/>
      <w:bookmarkStart w:id="11" w:name="_Toc19171"/>
      <w:bookmarkStart w:id="12" w:name="_Toc13210"/>
      <w:bookmarkStart w:id="13" w:name="_Toc6198"/>
      <w:bookmarkStart w:id="14" w:name="_Toc19571"/>
      <w:bookmarkStart w:id="15" w:name="_Toc7510"/>
      <w:bookmarkStart w:id="16" w:name="_Toc11152"/>
      <w:bookmarkStart w:id="17" w:name="_Toc7360"/>
      <w:bookmarkStart w:id="18" w:name="_Toc4770"/>
      <w:r>
        <w:rPr>
          <w:rFonts w:hint="eastAsia" w:ascii="宋体" w:hAnsi="宋体" w:cs="宋体"/>
          <w:b/>
          <w:bCs/>
          <w:color w:val="auto"/>
          <w:kern w:val="44"/>
          <w:sz w:val="24"/>
          <w:highlight w:val="none"/>
        </w:rPr>
        <w:br w:type="page"/>
      </w:r>
    </w:p>
    <w:p w14:paraId="1D244324">
      <w:pPr>
        <w:outlineLvl w:val="1"/>
        <w:rPr>
          <w:rFonts w:hint="eastAsia" w:ascii="宋体" w:hAnsi="宋体" w:cs="宋体"/>
          <w:b/>
          <w:bCs/>
          <w:color w:val="auto"/>
          <w:kern w:val="44"/>
          <w:sz w:val="24"/>
          <w:highlight w:val="none"/>
        </w:rPr>
      </w:pPr>
      <w:r>
        <w:rPr>
          <w:rFonts w:hint="eastAsia" w:ascii="宋体" w:hAnsi="宋体" w:cs="宋体"/>
          <w:b/>
          <w:bCs/>
          <w:color w:val="auto"/>
          <w:kern w:val="0"/>
          <w:sz w:val="28"/>
          <w:szCs w:val="28"/>
          <w:highlight w:val="none"/>
          <w:lang w:bidi="ar"/>
        </w:rPr>
        <w:t>灯光及音响设备技术参数清单：</w:t>
      </w:r>
    </w:p>
    <w:p w14:paraId="133086EF">
      <w:pPr>
        <w:rPr>
          <w:rFonts w:hint="eastAsia" w:ascii="宋体" w:hAnsi="宋体" w:cs="宋体"/>
          <w:b/>
          <w:bCs/>
          <w:color w:val="auto"/>
          <w:kern w:val="44"/>
          <w:sz w:val="24"/>
          <w:highlight w:val="none"/>
        </w:rPr>
      </w:pPr>
    </w:p>
    <w:tbl>
      <w:tblPr>
        <w:tblStyle w:val="22"/>
        <w:tblW w:w="9040" w:type="dxa"/>
        <w:tblInd w:w="113" w:type="dxa"/>
        <w:tblLayout w:type="autofit"/>
        <w:tblCellMar>
          <w:top w:w="0" w:type="dxa"/>
          <w:left w:w="108" w:type="dxa"/>
          <w:bottom w:w="0" w:type="dxa"/>
          <w:right w:w="108" w:type="dxa"/>
        </w:tblCellMar>
      </w:tblPr>
      <w:tblGrid>
        <w:gridCol w:w="680"/>
        <w:gridCol w:w="733"/>
        <w:gridCol w:w="6237"/>
        <w:gridCol w:w="709"/>
        <w:gridCol w:w="681"/>
      </w:tblGrid>
      <w:tr w14:paraId="487E2B3F">
        <w:tblPrEx>
          <w:tblCellMar>
            <w:top w:w="0" w:type="dxa"/>
            <w:left w:w="108" w:type="dxa"/>
            <w:bottom w:w="0" w:type="dxa"/>
            <w:right w:w="108" w:type="dxa"/>
          </w:tblCellMar>
        </w:tblPrEx>
        <w:trPr>
          <w:trHeight w:val="403" w:hRule="atLeast"/>
        </w:trPr>
        <w:tc>
          <w:tcPr>
            <w:tcW w:w="680" w:type="dxa"/>
            <w:tcBorders>
              <w:top w:val="single" w:color="auto" w:sz="4" w:space="0"/>
              <w:left w:val="single" w:color="auto" w:sz="4" w:space="0"/>
              <w:bottom w:val="nil"/>
              <w:right w:val="single" w:color="auto" w:sz="4" w:space="0"/>
            </w:tcBorders>
            <w:shd w:val="clear" w:color="auto" w:fill="auto"/>
            <w:noWrap/>
            <w:vAlign w:val="center"/>
          </w:tcPr>
          <w:p w14:paraId="3D39D051">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733" w:type="dxa"/>
            <w:tcBorders>
              <w:top w:val="single" w:color="auto" w:sz="4" w:space="0"/>
              <w:left w:val="nil"/>
              <w:bottom w:val="nil"/>
              <w:right w:val="single" w:color="auto" w:sz="4" w:space="0"/>
            </w:tcBorders>
            <w:shd w:val="clear" w:color="auto" w:fill="auto"/>
            <w:noWrap/>
            <w:vAlign w:val="center"/>
          </w:tcPr>
          <w:p w14:paraId="6DF97762">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6237" w:type="dxa"/>
            <w:tcBorders>
              <w:top w:val="single" w:color="auto" w:sz="4" w:space="0"/>
              <w:left w:val="nil"/>
              <w:bottom w:val="nil"/>
              <w:right w:val="single" w:color="auto" w:sz="4" w:space="0"/>
            </w:tcBorders>
            <w:shd w:val="clear" w:color="auto" w:fill="auto"/>
            <w:noWrap/>
            <w:vAlign w:val="center"/>
          </w:tcPr>
          <w:p w14:paraId="1665E124">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产品规格</w:t>
            </w:r>
          </w:p>
        </w:tc>
        <w:tc>
          <w:tcPr>
            <w:tcW w:w="709" w:type="dxa"/>
            <w:tcBorders>
              <w:top w:val="single" w:color="auto" w:sz="4" w:space="0"/>
              <w:left w:val="nil"/>
              <w:bottom w:val="nil"/>
              <w:right w:val="single" w:color="auto" w:sz="4" w:space="0"/>
            </w:tcBorders>
            <w:shd w:val="clear" w:color="auto" w:fill="auto"/>
            <w:noWrap/>
            <w:vAlign w:val="center"/>
          </w:tcPr>
          <w:p w14:paraId="5D7AE357">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681" w:type="dxa"/>
            <w:tcBorders>
              <w:top w:val="single" w:color="auto" w:sz="4" w:space="0"/>
              <w:left w:val="nil"/>
              <w:bottom w:val="nil"/>
              <w:right w:val="single" w:color="auto" w:sz="4" w:space="0"/>
            </w:tcBorders>
            <w:shd w:val="clear" w:color="auto" w:fill="auto"/>
            <w:noWrap/>
            <w:vAlign w:val="center"/>
          </w:tcPr>
          <w:p w14:paraId="4E706276">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单位</w:t>
            </w:r>
          </w:p>
        </w:tc>
      </w:tr>
      <w:tr w14:paraId="4F9E0D87">
        <w:tblPrEx>
          <w:tblCellMar>
            <w:top w:w="0" w:type="dxa"/>
            <w:left w:w="108" w:type="dxa"/>
            <w:bottom w:w="0" w:type="dxa"/>
            <w:right w:w="108" w:type="dxa"/>
          </w:tblCellMar>
        </w:tblPrEx>
        <w:trPr>
          <w:trHeight w:val="403"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DFCA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733" w:type="dxa"/>
            <w:tcBorders>
              <w:top w:val="single" w:color="auto" w:sz="4" w:space="0"/>
              <w:left w:val="nil"/>
              <w:bottom w:val="single" w:color="auto" w:sz="4" w:space="0"/>
              <w:right w:val="single" w:color="auto" w:sz="4" w:space="0"/>
            </w:tcBorders>
            <w:shd w:val="clear" w:color="auto" w:fill="auto"/>
            <w:vAlign w:val="center"/>
          </w:tcPr>
          <w:p w14:paraId="69E3958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全数字会议系统主机</w:t>
            </w:r>
          </w:p>
        </w:tc>
        <w:tc>
          <w:tcPr>
            <w:tcW w:w="6237" w:type="dxa"/>
            <w:tcBorders>
              <w:top w:val="single" w:color="auto" w:sz="4" w:space="0"/>
              <w:left w:val="nil"/>
              <w:bottom w:val="single" w:color="auto" w:sz="4" w:space="0"/>
              <w:right w:val="single" w:color="auto" w:sz="4" w:space="0"/>
            </w:tcBorders>
            <w:shd w:val="clear" w:color="auto" w:fill="auto"/>
            <w:vAlign w:val="center"/>
          </w:tcPr>
          <w:p w14:paraId="5AEC084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1.支持≥4096台有线会议单元和≥300台无线会议单元同时接入管理使用；支持≥4396台会议单元同时参与会议议程（签到、表决、服务）以及发言控制。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2.主机兼容同时连接有线与无线会议单元，二者可并行使用；采用跨域音频同步技术，有线与无线会议单元音频的音频无缝混音输出。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3.设备采用分段压缩混音处理技术和时钟同步传输技术，会议单元拾音到主机输出延时≤5ms。</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设备具有≥1个USB接口；后面板具有≥2路RS-232接口、≥1路RS-485接口、≥4路RJ45通讯接口；具有≥1路RCA输入、≥1路卡侬输入、≥2路凤凰端子输入接口；≥1路RCA输出、≥1路卡侬输出、≥16路凤凰端子输出接口；≥1个拨码开关、≥1个接地柱。</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7.主机具有≥16通道音频分组输出接口；采用会议分区相控技术，可拆分≥16个独立的会议系统使用，也可以组成一个大型的会议系统使用，实现多种方式的会议室合并/拆分。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8.支持主机U盘和客户端软件两种录音方式；搭配会议话筒和录音盒可以录制单个会议单元发言音频和录制所有会议单元混音发言音频。</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10.WEB管理端具有切换个性化主题风格功能，可切换≥4种风格，可选简约主题、政务主题、时尚主题、活力主题，不同主题提供不同UI界面背景颜色。</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13.采用会议系统多环路检测及网络补给技术，实现会议单元手拉手链路出现故障时快速恢复，环路恢复时间≤5ms。</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14.具有C/S、B/S架构管理软件，客户端、WEB端软件均可运行的操作系统版本≥8种，包括Windows7/10/11、银河麒麟桌面操作系统（兆芯版）、银河麒麟桌面操作系统（飞腾版）、macOS系统、统信UOS、Ubuntu桌面版操作系统。（需提供得到CMA或CNAS认可的检测机构出具的检测报告和软件界面截图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需提供得到CMA或CNAS认可的检测机构出具的检测报告作为该技术参数证明材料）</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C055F8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single" w:color="auto" w:sz="4" w:space="0"/>
              <w:left w:val="nil"/>
              <w:bottom w:val="single" w:color="auto" w:sz="4" w:space="0"/>
              <w:right w:val="single" w:color="auto" w:sz="4" w:space="0"/>
            </w:tcBorders>
            <w:shd w:val="clear" w:color="auto" w:fill="auto"/>
            <w:noWrap/>
            <w:vAlign w:val="center"/>
          </w:tcPr>
          <w:p w14:paraId="652ECDE7">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1513B6B5">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D79E27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733" w:type="dxa"/>
            <w:tcBorders>
              <w:top w:val="nil"/>
              <w:left w:val="nil"/>
              <w:bottom w:val="single" w:color="auto" w:sz="4" w:space="0"/>
              <w:right w:val="single" w:color="auto" w:sz="4" w:space="0"/>
            </w:tcBorders>
            <w:shd w:val="clear" w:color="auto" w:fill="auto"/>
            <w:vAlign w:val="center"/>
          </w:tcPr>
          <w:p w14:paraId="47F2A53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数字会议系统</w:t>
            </w:r>
          </w:p>
        </w:tc>
        <w:tc>
          <w:tcPr>
            <w:tcW w:w="6237" w:type="dxa"/>
            <w:tcBorders>
              <w:top w:val="nil"/>
              <w:left w:val="nil"/>
              <w:bottom w:val="single" w:color="auto" w:sz="4" w:space="0"/>
              <w:right w:val="single" w:color="auto" w:sz="4" w:space="0"/>
            </w:tcBorders>
            <w:shd w:val="clear" w:color="auto" w:fill="auto"/>
            <w:vAlign w:val="center"/>
          </w:tcPr>
          <w:p w14:paraId="42B8CD54">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1.软件内嵌于会议系统主机设备，应用于对传音会议系统音频传输软件的管理或控制。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2.支持同声传译功能。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3.内置DSP音频处理技术，支持EQ均衡调节音频处理能力。</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4.支持话筒管理能力，通过不同的模式限制话筒发言数量。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5.软件支持根据话筒ID提供不同的代码编号给中控系统，与中控系统对接后，可实现摄像自动跟踪功能。</w:t>
            </w:r>
          </w:p>
        </w:tc>
        <w:tc>
          <w:tcPr>
            <w:tcW w:w="709" w:type="dxa"/>
            <w:tcBorders>
              <w:top w:val="nil"/>
              <w:left w:val="nil"/>
              <w:bottom w:val="single" w:color="auto" w:sz="4" w:space="0"/>
              <w:right w:val="single" w:color="auto" w:sz="4" w:space="0"/>
            </w:tcBorders>
            <w:shd w:val="clear" w:color="auto" w:fill="auto"/>
            <w:noWrap/>
            <w:vAlign w:val="center"/>
          </w:tcPr>
          <w:p w14:paraId="46A9D8A5">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7CE9169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394EA78D">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055055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733" w:type="dxa"/>
            <w:tcBorders>
              <w:top w:val="nil"/>
              <w:left w:val="nil"/>
              <w:bottom w:val="single" w:color="auto" w:sz="4" w:space="0"/>
              <w:right w:val="single" w:color="auto" w:sz="4" w:space="0"/>
            </w:tcBorders>
            <w:shd w:val="clear" w:color="auto" w:fill="auto"/>
            <w:vAlign w:val="center"/>
          </w:tcPr>
          <w:p w14:paraId="48B99372">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会议话筒处理器</w:t>
            </w:r>
          </w:p>
        </w:tc>
        <w:tc>
          <w:tcPr>
            <w:tcW w:w="6237" w:type="dxa"/>
            <w:tcBorders>
              <w:top w:val="nil"/>
              <w:left w:val="nil"/>
              <w:bottom w:val="single" w:color="auto" w:sz="4" w:space="0"/>
              <w:right w:val="single" w:color="auto" w:sz="4" w:space="0"/>
            </w:tcBorders>
            <w:shd w:val="clear" w:color="auto" w:fill="auto"/>
            <w:vAlign w:val="center"/>
          </w:tcPr>
          <w:p w14:paraId="125A5DE6">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2.具有≥1个RS485、≥1个RS232接口，可对接摄像机实现摄像跟踪功能；内置≥64个话筒预置位，满足大型会议室摄像跟踪需求。</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5.采用啸叫检测门限更新法，移频+陷波组合反馈抑制方式，具有≥24个可编程陷波点，可自由分配动态/静态点，自动/手动切换。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需提供得到CMA或CNAS认可的检测机构出具的检测报告作为该技术参数证明材料）</w:t>
            </w:r>
          </w:p>
        </w:tc>
        <w:tc>
          <w:tcPr>
            <w:tcW w:w="709" w:type="dxa"/>
            <w:tcBorders>
              <w:top w:val="nil"/>
              <w:left w:val="nil"/>
              <w:bottom w:val="single" w:color="auto" w:sz="4" w:space="0"/>
              <w:right w:val="single" w:color="auto" w:sz="4" w:space="0"/>
            </w:tcBorders>
            <w:shd w:val="clear" w:color="auto" w:fill="auto"/>
            <w:noWrap/>
            <w:vAlign w:val="center"/>
          </w:tcPr>
          <w:p w14:paraId="2FD10018">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7FFD73C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005C08B9">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97EB08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733" w:type="dxa"/>
            <w:tcBorders>
              <w:top w:val="nil"/>
              <w:left w:val="nil"/>
              <w:bottom w:val="single" w:color="auto" w:sz="4" w:space="0"/>
              <w:right w:val="single" w:color="auto" w:sz="4" w:space="0"/>
            </w:tcBorders>
            <w:shd w:val="clear" w:color="auto" w:fill="auto"/>
            <w:vAlign w:val="center"/>
          </w:tcPr>
          <w:p w14:paraId="2C47F36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主席话筒</w:t>
            </w:r>
          </w:p>
        </w:tc>
        <w:tc>
          <w:tcPr>
            <w:tcW w:w="6237" w:type="dxa"/>
            <w:tcBorders>
              <w:top w:val="nil"/>
              <w:left w:val="nil"/>
              <w:bottom w:val="single" w:color="auto" w:sz="4" w:space="0"/>
              <w:right w:val="single" w:color="auto" w:sz="4" w:space="0"/>
            </w:tcBorders>
            <w:shd w:val="clear" w:color="auto" w:fill="auto"/>
            <w:vAlign w:val="center"/>
          </w:tcPr>
          <w:p w14:paraId="5F50A82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1.采用心型指向性驻极体麦克风，要求内部具有DSP音频处理；内部具有反馈抑制功能。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2.采用≥128位AES加密技术，支持 WPA/WPA2 无线安全技术，防止窃听和非授权访问。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3.支持触摸按键签到功能。具备优先权功能，可关闭正在发言的所有代表话筒。具有声控功能。具有发言计时和定时发言功能。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4.具备TYPE-C口，可进行升级程序和在线充电，内置容量锂电池，电池容量≥4800mAh，可持续≥15小时发言。</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5.支持后台≥5段EQ调节功能。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6.咪杆长度：≤190mm</w:t>
            </w:r>
          </w:p>
        </w:tc>
        <w:tc>
          <w:tcPr>
            <w:tcW w:w="709" w:type="dxa"/>
            <w:tcBorders>
              <w:top w:val="nil"/>
              <w:left w:val="nil"/>
              <w:bottom w:val="single" w:color="auto" w:sz="4" w:space="0"/>
              <w:right w:val="single" w:color="auto" w:sz="4" w:space="0"/>
            </w:tcBorders>
            <w:shd w:val="clear" w:color="auto" w:fill="auto"/>
            <w:noWrap/>
            <w:vAlign w:val="center"/>
          </w:tcPr>
          <w:p w14:paraId="344ED64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4F80196B">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4442A303">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5C7556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733" w:type="dxa"/>
            <w:tcBorders>
              <w:top w:val="nil"/>
              <w:left w:val="nil"/>
              <w:bottom w:val="single" w:color="auto" w:sz="4" w:space="0"/>
              <w:right w:val="single" w:color="auto" w:sz="4" w:space="0"/>
            </w:tcBorders>
            <w:shd w:val="clear" w:color="auto" w:fill="auto"/>
            <w:vAlign w:val="center"/>
          </w:tcPr>
          <w:p w14:paraId="2B254DF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全数字会议系统音频传输内嵌软件</w:t>
            </w:r>
          </w:p>
        </w:tc>
        <w:tc>
          <w:tcPr>
            <w:tcW w:w="6237" w:type="dxa"/>
            <w:tcBorders>
              <w:top w:val="nil"/>
              <w:left w:val="nil"/>
              <w:bottom w:val="single" w:color="auto" w:sz="4" w:space="0"/>
              <w:right w:val="single" w:color="auto" w:sz="4" w:space="0"/>
            </w:tcBorders>
            <w:shd w:val="clear" w:color="auto" w:fill="auto"/>
            <w:vAlign w:val="center"/>
          </w:tcPr>
          <w:p w14:paraId="512C6E9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1.软件内嵌于会议单元设备，应用于对全数字会议系统音频传输软件的管理或控制。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2.支持中英文语言管理界面。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3.支持≥48KHz采样率音频处理能力。</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4.支持电池管理功能，可显示电量/信号等信息</w:t>
            </w:r>
          </w:p>
        </w:tc>
        <w:tc>
          <w:tcPr>
            <w:tcW w:w="709" w:type="dxa"/>
            <w:tcBorders>
              <w:top w:val="nil"/>
              <w:left w:val="nil"/>
              <w:bottom w:val="single" w:color="auto" w:sz="4" w:space="0"/>
              <w:right w:val="single" w:color="auto" w:sz="4" w:space="0"/>
            </w:tcBorders>
            <w:shd w:val="clear" w:color="auto" w:fill="auto"/>
            <w:noWrap/>
            <w:vAlign w:val="center"/>
          </w:tcPr>
          <w:p w14:paraId="309AA437">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379AAF4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2C772619">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B7485B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733" w:type="dxa"/>
            <w:tcBorders>
              <w:top w:val="nil"/>
              <w:left w:val="nil"/>
              <w:bottom w:val="single" w:color="auto" w:sz="4" w:space="0"/>
              <w:right w:val="single" w:color="auto" w:sz="4" w:space="0"/>
            </w:tcBorders>
            <w:shd w:val="clear" w:color="auto" w:fill="auto"/>
            <w:vAlign w:val="center"/>
          </w:tcPr>
          <w:p w14:paraId="503B1007">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代表话筒</w:t>
            </w:r>
          </w:p>
        </w:tc>
        <w:tc>
          <w:tcPr>
            <w:tcW w:w="6237" w:type="dxa"/>
            <w:tcBorders>
              <w:top w:val="nil"/>
              <w:left w:val="nil"/>
              <w:bottom w:val="single" w:color="auto" w:sz="4" w:space="0"/>
              <w:right w:val="single" w:color="auto" w:sz="4" w:space="0"/>
            </w:tcBorders>
            <w:shd w:val="clear" w:color="auto" w:fill="auto"/>
            <w:vAlign w:val="center"/>
          </w:tcPr>
          <w:p w14:paraId="04E2C61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1.采用心型指向性驻极体麦克风，要求内部具有DSP音频处理；内部具有反馈抑制功能。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2.采用≥128位AES加密技术，支持 WPA/WPA2 无线安全技术，防止窃听和非授权访问。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3.支持触摸按键签到功能。具有声控功能。具有发言计时和定时发言功能。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4.具备TYPE-C口，可进行升级程序和在线充电，内置容量锂电池，电池容量≥4800mAh，可持续≥15小时发言。</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5.支持后台≥5段EQ调节功能。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6.咪杆长度：≤190mm</w:t>
            </w:r>
          </w:p>
        </w:tc>
        <w:tc>
          <w:tcPr>
            <w:tcW w:w="709" w:type="dxa"/>
            <w:tcBorders>
              <w:top w:val="nil"/>
              <w:left w:val="nil"/>
              <w:bottom w:val="single" w:color="auto" w:sz="4" w:space="0"/>
              <w:right w:val="single" w:color="auto" w:sz="4" w:space="0"/>
            </w:tcBorders>
            <w:shd w:val="clear" w:color="auto" w:fill="auto"/>
            <w:noWrap/>
            <w:vAlign w:val="center"/>
          </w:tcPr>
          <w:p w14:paraId="0AD7441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681" w:type="dxa"/>
            <w:tcBorders>
              <w:top w:val="nil"/>
              <w:left w:val="nil"/>
              <w:bottom w:val="single" w:color="auto" w:sz="4" w:space="0"/>
              <w:right w:val="single" w:color="auto" w:sz="4" w:space="0"/>
            </w:tcBorders>
            <w:shd w:val="clear" w:color="auto" w:fill="auto"/>
            <w:noWrap/>
            <w:vAlign w:val="center"/>
          </w:tcPr>
          <w:p w14:paraId="7F5CF6DB">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20847496">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1FD4E58">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733" w:type="dxa"/>
            <w:tcBorders>
              <w:top w:val="nil"/>
              <w:left w:val="nil"/>
              <w:bottom w:val="single" w:color="auto" w:sz="4" w:space="0"/>
              <w:right w:val="single" w:color="auto" w:sz="4" w:space="0"/>
            </w:tcBorders>
            <w:shd w:val="clear" w:color="auto" w:fill="auto"/>
            <w:vAlign w:val="center"/>
          </w:tcPr>
          <w:p w14:paraId="1DB367D4">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全数字会议系统音频传输内嵌软件</w:t>
            </w:r>
          </w:p>
        </w:tc>
        <w:tc>
          <w:tcPr>
            <w:tcW w:w="6237" w:type="dxa"/>
            <w:tcBorders>
              <w:top w:val="nil"/>
              <w:left w:val="nil"/>
              <w:bottom w:val="single" w:color="auto" w:sz="4" w:space="0"/>
              <w:right w:val="single" w:color="auto" w:sz="4" w:space="0"/>
            </w:tcBorders>
            <w:shd w:val="clear" w:color="auto" w:fill="auto"/>
            <w:vAlign w:val="center"/>
          </w:tcPr>
          <w:p w14:paraId="06A2EC3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1.软件内嵌于会议单元设备，应用于对全数字会议系统音频传输软件的管理或控制。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2.支持中英文语言管理界面。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3.支持≥48KHz采样率音频处理能力。</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4.支持电池管理功能，可显示电量/信号等信息</w:t>
            </w:r>
          </w:p>
        </w:tc>
        <w:tc>
          <w:tcPr>
            <w:tcW w:w="709" w:type="dxa"/>
            <w:tcBorders>
              <w:top w:val="nil"/>
              <w:left w:val="nil"/>
              <w:bottom w:val="single" w:color="auto" w:sz="4" w:space="0"/>
              <w:right w:val="single" w:color="auto" w:sz="4" w:space="0"/>
            </w:tcBorders>
            <w:shd w:val="clear" w:color="auto" w:fill="auto"/>
            <w:noWrap/>
            <w:vAlign w:val="center"/>
          </w:tcPr>
          <w:p w14:paraId="334B9B7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681" w:type="dxa"/>
            <w:tcBorders>
              <w:top w:val="nil"/>
              <w:left w:val="nil"/>
              <w:bottom w:val="single" w:color="auto" w:sz="4" w:space="0"/>
              <w:right w:val="single" w:color="auto" w:sz="4" w:space="0"/>
            </w:tcBorders>
            <w:shd w:val="clear" w:color="auto" w:fill="auto"/>
            <w:noWrap/>
            <w:vAlign w:val="center"/>
          </w:tcPr>
          <w:p w14:paraId="76972C1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553CE059">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479515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733" w:type="dxa"/>
            <w:tcBorders>
              <w:top w:val="nil"/>
              <w:left w:val="nil"/>
              <w:bottom w:val="single" w:color="auto" w:sz="4" w:space="0"/>
              <w:right w:val="single" w:color="auto" w:sz="4" w:space="0"/>
            </w:tcBorders>
            <w:shd w:val="clear" w:color="auto" w:fill="auto"/>
            <w:vAlign w:val="center"/>
          </w:tcPr>
          <w:p w14:paraId="0D3369CE">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发射器</w:t>
            </w:r>
          </w:p>
        </w:tc>
        <w:tc>
          <w:tcPr>
            <w:tcW w:w="6237" w:type="dxa"/>
            <w:tcBorders>
              <w:top w:val="nil"/>
              <w:left w:val="nil"/>
              <w:bottom w:val="single" w:color="auto" w:sz="4" w:space="0"/>
              <w:right w:val="single" w:color="auto" w:sz="4" w:space="0"/>
            </w:tcBorders>
            <w:shd w:val="clear" w:color="auto" w:fill="auto"/>
            <w:vAlign w:val="center"/>
          </w:tcPr>
          <w:p w14:paraId="086EB179">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1.遵从Wi-Fi 6协议标准（IEEE 802.11ax），向下兼容802.11a/b/g/n/ac/Wave2，支持MU-MIMO，允许AP同时接收多个终端发送数据，整机最大传输速率可达1.601Gbps</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2.支持OFDMA空间复用技术和1024QAM调制解调算法。</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3.支持中文SSID，可指定最长包含≥31个字符的SSID，也可以使用中英文混合的SSID</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4.支持WPA3安全协议。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5.支持等同或优于80/160MHz的高带宽频段。</w:t>
            </w:r>
          </w:p>
        </w:tc>
        <w:tc>
          <w:tcPr>
            <w:tcW w:w="709" w:type="dxa"/>
            <w:tcBorders>
              <w:top w:val="nil"/>
              <w:left w:val="nil"/>
              <w:bottom w:val="single" w:color="auto" w:sz="4" w:space="0"/>
              <w:right w:val="single" w:color="auto" w:sz="4" w:space="0"/>
            </w:tcBorders>
            <w:shd w:val="clear" w:color="auto" w:fill="auto"/>
            <w:noWrap/>
            <w:vAlign w:val="center"/>
          </w:tcPr>
          <w:p w14:paraId="199B13D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6D54473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59498F78">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B77886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733" w:type="dxa"/>
            <w:tcBorders>
              <w:top w:val="nil"/>
              <w:left w:val="nil"/>
              <w:bottom w:val="single" w:color="auto" w:sz="4" w:space="0"/>
              <w:right w:val="single" w:color="auto" w:sz="4" w:space="0"/>
            </w:tcBorders>
            <w:shd w:val="clear" w:color="auto" w:fill="auto"/>
            <w:vAlign w:val="center"/>
          </w:tcPr>
          <w:p w14:paraId="53B7C71B">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充电箱</w:t>
            </w:r>
          </w:p>
        </w:tc>
        <w:tc>
          <w:tcPr>
            <w:tcW w:w="6237" w:type="dxa"/>
            <w:tcBorders>
              <w:top w:val="nil"/>
              <w:left w:val="nil"/>
              <w:bottom w:val="single" w:color="auto" w:sz="4" w:space="0"/>
              <w:right w:val="single" w:color="auto" w:sz="4" w:space="0"/>
            </w:tcBorders>
            <w:shd w:val="clear" w:color="auto" w:fill="auto"/>
            <w:vAlign w:val="center"/>
          </w:tcPr>
          <w:p w14:paraId="4C5E36CB">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1.充电箱具有≥10个USB接口，支持使用USB线充电，提供5V/9V供电。一端连接充电器一端连接会议单元,支持≥18W快充。支持同时插满所有USB接口。</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2.根据设备的耐受电流大小充电器会自动匹配合适的电流大小给设备充电，同时有过流保护功能。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3.智能自动电路保护，所有USB插口均具有短路保护功能和自恢复功能。</w:t>
            </w:r>
          </w:p>
        </w:tc>
        <w:tc>
          <w:tcPr>
            <w:tcW w:w="709" w:type="dxa"/>
            <w:tcBorders>
              <w:top w:val="nil"/>
              <w:left w:val="nil"/>
              <w:bottom w:val="single" w:color="auto" w:sz="4" w:space="0"/>
              <w:right w:val="single" w:color="auto" w:sz="4" w:space="0"/>
            </w:tcBorders>
            <w:shd w:val="clear" w:color="auto" w:fill="auto"/>
            <w:noWrap/>
            <w:vAlign w:val="center"/>
          </w:tcPr>
          <w:p w14:paraId="5568D75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321B383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6B0824B6">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611CC7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733" w:type="dxa"/>
            <w:tcBorders>
              <w:top w:val="nil"/>
              <w:left w:val="nil"/>
              <w:bottom w:val="single" w:color="auto" w:sz="4" w:space="0"/>
              <w:right w:val="single" w:color="auto" w:sz="4" w:space="0"/>
            </w:tcBorders>
            <w:shd w:val="clear" w:color="auto" w:fill="auto"/>
            <w:vAlign w:val="center"/>
          </w:tcPr>
          <w:p w14:paraId="23DE5504">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交换机</w:t>
            </w:r>
          </w:p>
        </w:tc>
        <w:tc>
          <w:tcPr>
            <w:tcW w:w="6237" w:type="dxa"/>
            <w:tcBorders>
              <w:top w:val="nil"/>
              <w:left w:val="nil"/>
              <w:bottom w:val="single" w:color="auto" w:sz="4" w:space="0"/>
              <w:right w:val="single" w:color="auto" w:sz="4" w:space="0"/>
            </w:tcBorders>
            <w:shd w:val="clear" w:color="auto" w:fill="auto"/>
            <w:vAlign w:val="center"/>
          </w:tcPr>
          <w:p w14:paraId="2370352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产品介绍</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1.端口描述：9个10/100Mbps RJ45端口，其中1-8端口支持PoE功能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2.传输模式：全双工/半双工自适应</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3.网络标准：IEEE 802.3、IEEE 802.3u、IEEE 802.3x、IEEE 802.af、IEEE 802.at</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4.尺寸：250×158×44mm</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5.单端口PoE功率可达30W，整机最大PoE输出功率为125W</w:t>
            </w:r>
          </w:p>
        </w:tc>
        <w:tc>
          <w:tcPr>
            <w:tcW w:w="709" w:type="dxa"/>
            <w:tcBorders>
              <w:top w:val="nil"/>
              <w:left w:val="nil"/>
              <w:bottom w:val="single" w:color="auto" w:sz="4" w:space="0"/>
              <w:right w:val="single" w:color="auto" w:sz="4" w:space="0"/>
            </w:tcBorders>
            <w:shd w:val="clear" w:color="auto" w:fill="auto"/>
            <w:vAlign w:val="center"/>
          </w:tcPr>
          <w:p w14:paraId="22B2C8B8">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vAlign w:val="center"/>
          </w:tcPr>
          <w:p w14:paraId="3FCB083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79F476C3">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275536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733" w:type="dxa"/>
            <w:tcBorders>
              <w:top w:val="nil"/>
              <w:left w:val="nil"/>
              <w:bottom w:val="single" w:color="auto" w:sz="4" w:space="0"/>
              <w:right w:val="single" w:color="auto" w:sz="4" w:space="0"/>
            </w:tcBorders>
            <w:shd w:val="clear" w:color="auto" w:fill="auto"/>
            <w:vAlign w:val="center"/>
          </w:tcPr>
          <w:p w14:paraId="5A0E596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主扩音箱</w:t>
            </w:r>
          </w:p>
        </w:tc>
        <w:tc>
          <w:tcPr>
            <w:tcW w:w="6237" w:type="dxa"/>
            <w:tcBorders>
              <w:top w:val="nil"/>
              <w:left w:val="nil"/>
              <w:bottom w:val="single" w:color="auto" w:sz="4" w:space="0"/>
              <w:right w:val="single" w:color="auto" w:sz="4" w:space="0"/>
            </w:tcBorders>
            <w:shd w:val="clear" w:color="auto" w:fill="auto"/>
            <w:vAlign w:val="center"/>
          </w:tcPr>
          <w:p w14:paraId="7389D32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1.音箱类型为二分频线性阵列全频音箱。</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2.功率≥500W，阻抗：≤8Ω，频率范围等同或优于70Hz-20kHz，最大声压级≥127dB。</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3.灵敏度SPL（1W/1M）≥100dB (1M/1W )，低频扬声器：≥8" x 2，高频扬声器：≥75mm（3"）压缩驱动器*1。</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4.水平覆盖角(-6dB)≥90°，垂直覆盖角(-6dB)≥10°。</w:t>
            </w:r>
          </w:p>
        </w:tc>
        <w:tc>
          <w:tcPr>
            <w:tcW w:w="709" w:type="dxa"/>
            <w:tcBorders>
              <w:top w:val="nil"/>
              <w:left w:val="nil"/>
              <w:bottom w:val="single" w:color="auto" w:sz="4" w:space="0"/>
              <w:right w:val="single" w:color="auto" w:sz="4" w:space="0"/>
            </w:tcBorders>
            <w:shd w:val="clear" w:color="auto" w:fill="auto"/>
            <w:noWrap/>
            <w:vAlign w:val="center"/>
          </w:tcPr>
          <w:p w14:paraId="0977A67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681" w:type="dxa"/>
            <w:tcBorders>
              <w:top w:val="nil"/>
              <w:left w:val="nil"/>
              <w:bottom w:val="single" w:color="auto" w:sz="4" w:space="0"/>
              <w:right w:val="single" w:color="auto" w:sz="4" w:space="0"/>
            </w:tcBorders>
            <w:shd w:val="clear" w:color="auto" w:fill="auto"/>
            <w:vAlign w:val="center"/>
          </w:tcPr>
          <w:p w14:paraId="4E38F3F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只</w:t>
            </w:r>
          </w:p>
        </w:tc>
      </w:tr>
      <w:tr w14:paraId="3CC77B50">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27D18D7">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733" w:type="dxa"/>
            <w:tcBorders>
              <w:top w:val="nil"/>
              <w:left w:val="nil"/>
              <w:bottom w:val="single" w:color="auto" w:sz="4" w:space="0"/>
              <w:right w:val="single" w:color="auto" w:sz="4" w:space="0"/>
            </w:tcBorders>
            <w:shd w:val="clear" w:color="auto" w:fill="auto"/>
            <w:vAlign w:val="center"/>
          </w:tcPr>
          <w:p w14:paraId="042ECFA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支架</w:t>
            </w:r>
          </w:p>
        </w:tc>
        <w:tc>
          <w:tcPr>
            <w:tcW w:w="6237" w:type="dxa"/>
            <w:tcBorders>
              <w:top w:val="nil"/>
              <w:left w:val="nil"/>
              <w:bottom w:val="single" w:color="auto" w:sz="4" w:space="0"/>
              <w:right w:val="single" w:color="auto" w:sz="4" w:space="0"/>
            </w:tcBorders>
            <w:shd w:val="clear" w:color="auto" w:fill="auto"/>
            <w:vAlign w:val="center"/>
          </w:tcPr>
          <w:p w14:paraId="12E090C3">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音箱支架</w:t>
            </w:r>
          </w:p>
        </w:tc>
        <w:tc>
          <w:tcPr>
            <w:tcW w:w="709" w:type="dxa"/>
            <w:tcBorders>
              <w:top w:val="nil"/>
              <w:left w:val="nil"/>
              <w:bottom w:val="single" w:color="auto" w:sz="4" w:space="0"/>
              <w:right w:val="single" w:color="auto" w:sz="4" w:space="0"/>
            </w:tcBorders>
            <w:shd w:val="clear" w:color="auto" w:fill="auto"/>
            <w:noWrap/>
            <w:vAlign w:val="center"/>
          </w:tcPr>
          <w:p w14:paraId="4C1E359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3DFA0CB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06734191">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BD27EE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733" w:type="dxa"/>
            <w:tcBorders>
              <w:top w:val="nil"/>
              <w:left w:val="nil"/>
              <w:bottom w:val="single" w:color="auto" w:sz="4" w:space="0"/>
              <w:right w:val="single" w:color="auto" w:sz="4" w:space="0"/>
            </w:tcBorders>
            <w:shd w:val="clear" w:color="auto" w:fill="auto"/>
            <w:vAlign w:val="center"/>
          </w:tcPr>
          <w:p w14:paraId="655C6C9D">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主扩音箱支架</w:t>
            </w:r>
          </w:p>
        </w:tc>
        <w:tc>
          <w:tcPr>
            <w:tcW w:w="6237" w:type="dxa"/>
            <w:tcBorders>
              <w:top w:val="nil"/>
              <w:left w:val="nil"/>
              <w:bottom w:val="single" w:color="auto" w:sz="4" w:space="0"/>
              <w:right w:val="single" w:color="auto" w:sz="4" w:space="0"/>
            </w:tcBorders>
            <w:shd w:val="clear" w:color="auto" w:fill="auto"/>
            <w:vAlign w:val="center"/>
          </w:tcPr>
          <w:p w14:paraId="25BFC26A">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1.标配长度：≥6米；包含：葫芦架1套。承重：≥2t。</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2.材质：国标G80级锰钢；外壳：加厚合金钢。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3.表面处理：淬火工艺+镀锌；颜色：黄色+红色。</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4.链条破断应力：≥800Mpa。</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5.刹车系统：双重干式；轴承：滚针轴承。</w:t>
            </w:r>
          </w:p>
        </w:tc>
        <w:tc>
          <w:tcPr>
            <w:tcW w:w="709" w:type="dxa"/>
            <w:tcBorders>
              <w:top w:val="nil"/>
              <w:left w:val="nil"/>
              <w:bottom w:val="single" w:color="auto" w:sz="4" w:space="0"/>
              <w:right w:val="single" w:color="auto" w:sz="4" w:space="0"/>
            </w:tcBorders>
            <w:shd w:val="clear" w:color="auto" w:fill="auto"/>
            <w:noWrap/>
            <w:vAlign w:val="center"/>
          </w:tcPr>
          <w:p w14:paraId="48922E4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2B0553F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549CF81A">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EA6FD7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733" w:type="dxa"/>
            <w:tcBorders>
              <w:top w:val="nil"/>
              <w:left w:val="nil"/>
              <w:bottom w:val="single" w:color="auto" w:sz="4" w:space="0"/>
              <w:right w:val="single" w:color="auto" w:sz="4" w:space="0"/>
            </w:tcBorders>
            <w:shd w:val="clear" w:color="auto" w:fill="auto"/>
            <w:vAlign w:val="center"/>
          </w:tcPr>
          <w:p w14:paraId="3755A082">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线阵音箱功放</w:t>
            </w:r>
          </w:p>
        </w:tc>
        <w:tc>
          <w:tcPr>
            <w:tcW w:w="6237" w:type="dxa"/>
            <w:tcBorders>
              <w:top w:val="nil"/>
              <w:left w:val="nil"/>
              <w:bottom w:val="single" w:color="auto" w:sz="4" w:space="0"/>
              <w:right w:val="single" w:color="auto" w:sz="4" w:space="0"/>
            </w:tcBorders>
            <w:shd w:val="clear" w:color="auto" w:fill="auto"/>
            <w:vAlign w:val="center"/>
          </w:tcPr>
          <w:p w14:paraId="6AFB678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1.标准≤1U机柜式设计机柜式设计，采用PFC+开关电源+D类数字功放设计方案。</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2.开机软启动功能，软启动过程中电源需求缓慢上升，减少对电网和其他电子设备的电流冲击。</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★3.采用数字功放双环路压限保护电路，避免开机瞬间的大电流冲击扬声器，减少对扬声器的损害风险，为功放全方位系统保护。（需提供得到CMA或CNAS认可的检测机构出具的检测报告作为该技术参数证明材料）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★4.采用开关电源输出电压自启停动态节能的功能，自适应动态功率高效转换功能。（需提供得到CMA或CNAS认可的检测机构出具的检测报告作为该技术参数证明材料）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支持过压保护、欠压保护、过流保护、输出短路保护、温度压限、信号压限、温度自动控风扇等功能，很大程度提高功放稳定性和可靠性。（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6.XLR平衡式输入/XLR 平衡式LINK输出；SPEAKON音响插座输出。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7.MONO /STEREO/BRIDGE三种模式可选择切换。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8.灵敏度1V/2V可选择切换。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9.带温控风机，开机即转，随着温度长高风扇加速。</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10.面板有信号（绿）、削顶（橙）、保护指示灯（红）、电源指示灯（蓝）。</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11.输出功率（1KHz/THD≤1％）：连续功率：立体声8Ω×2：≥2*1000W；立体声4Ω×2：≥2*1700W；立体声2Ω×2：≥2*2900W；桥接16Ω：≥2000W；桥接8Ω：≥3400W；桥接4Ω：≥5800W。</w:t>
            </w:r>
          </w:p>
        </w:tc>
        <w:tc>
          <w:tcPr>
            <w:tcW w:w="709" w:type="dxa"/>
            <w:tcBorders>
              <w:top w:val="nil"/>
              <w:left w:val="nil"/>
              <w:bottom w:val="single" w:color="auto" w:sz="4" w:space="0"/>
              <w:right w:val="single" w:color="auto" w:sz="4" w:space="0"/>
            </w:tcBorders>
            <w:shd w:val="clear" w:color="auto" w:fill="auto"/>
            <w:noWrap/>
            <w:vAlign w:val="center"/>
          </w:tcPr>
          <w:p w14:paraId="49BE964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81" w:type="dxa"/>
            <w:tcBorders>
              <w:top w:val="nil"/>
              <w:left w:val="nil"/>
              <w:bottom w:val="single" w:color="auto" w:sz="4" w:space="0"/>
              <w:right w:val="single" w:color="auto" w:sz="4" w:space="0"/>
            </w:tcBorders>
            <w:shd w:val="clear" w:color="auto" w:fill="auto"/>
            <w:vAlign w:val="center"/>
          </w:tcPr>
          <w:p w14:paraId="2F97261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468BB0DA">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4E6DCA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733" w:type="dxa"/>
            <w:tcBorders>
              <w:top w:val="nil"/>
              <w:left w:val="nil"/>
              <w:bottom w:val="single" w:color="auto" w:sz="4" w:space="0"/>
              <w:right w:val="single" w:color="auto" w:sz="4" w:space="0"/>
            </w:tcBorders>
            <w:shd w:val="clear" w:color="auto" w:fill="auto"/>
            <w:vAlign w:val="center"/>
          </w:tcPr>
          <w:p w14:paraId="47ACD3E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辅助音箱</w:t>
            </w:r>
          </w:p>
        </w:tc>
        <w:tc>
          <w:tcPr>
            <w:tcW w:w="6237" w:type="dxa"/>
            <w:tcBorders>
              <w:top w:val="nil"/>
              <w:left w:val="nil"/>
              <w:bottom w:val="single" w:color="auto" w:sz="4" w:space="0"/>
              <w:right w:val="single" w:color="auto" w:sz="4" w:space="0"/>
            </w:tcBorders>
            <w:shd w:val="clear" w:color="auto" w:fill="auto"/>
            <w:vAlign w:val="center"/>
          </w:tcPr>
          <w:p w14:paraId="4C49425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1.阻抗≤8Ω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2.频响等同或优于55Hz~20KHz</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3.额定功率≥300W</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4.灵敏度≥98dB/W/M</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5.水平覆盖角≥80°，垂直覆盖角≥60°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6.高音≥1.4"压缩高音单元×1</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7.低音≥10"低音×1</w:t>
            </w:r>
          </w:p>
        </w:tc>
        <w:tc>
          <w:tcPr>
            <w:tcW w:w="709" w:type="dxa"/>
            <w:tcBorders>
              <w:top w:val="nil"/>
              <w:left w:val="nil"/>
              <w:bottom w:val="single" w:color="auto" w:sz="4" w:space="0"/>
              <w:right w:val="single" w:color="auto" w:sz="4" w:space="0"/>
            </w:tcBorders>
            <w:shd w:val="clear" w:color="auto" w:fill="auto"/>
            <w:noWrap/>
            <w:vAlign w:val="center"/>
          </w:tcPr>
          <w:p w14:paraId="318206A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681" w:type="dxa"/>
            <w:tcBorders>
              <w:top w:val="nil"/>
              <w:left w:val="nil"/>
              <w:bottom w:val="single" w:color="auto" w:sz="4" w:space="0"/>
              <w:right w:val="single" w:color="auto" w:sz="4" w:space="0"/>
            </w:tcBorders>
            <w:shd w:val="clear" w:color="auto" w:fill="auto"/>
            <w:vAlign w:val="center"/>
          </w:tcPr>
          <w:p w14:paraId="644502D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只</w:t>
            </w:r>
          </w:p>
        </w:tc>
      </w:tr>
      <w:tr w14:paraId="6E766A7C">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80C697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733" w:type="dxa"/>
            <w:tcBorders>
              <w:top w:val="nil"/>
              <w:left w:val="nil"/>
              <w:bottom w:val="single" w:color="auto" w:sz="4" w:space="0"/>
              <w:right w:val="single" w:color="auto" w:sz="4" w:space="0"/>
            </w:tcBorders>
            <w:shd w:val="clear" w:color="auto" w:fill="auto"/>
            <w:vAlign w:val="center"/>
          </w:tcPr>
          <w:p w14:paraId="0F37FFDC">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辅助音箱支架</w:t>
            </w:r>
          </w:p>
        </w:tc>
        <w:tc>
          <w:tcPr>
            <w:tcW w:w="6237" w:type="dxa"/>
            <w:tcBorders>
              <w:top w:val="nil"/>
              <w:left w:val="nil"/>
              <w:bottom w:val="single" w:color="auto" w:sz="4" w:space="0"/>
              <w:right w:val="single" w:color="auto" w:sz="4" w:space="0"/>
            </w:tcBorders>
            <w:shd w:val="clear" w:color="auto" w:fill="auto"/>
            <w:vAlign w:val="center"/>
          </w:tcPr>
          <w:p w14:paraId="725F62C6">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音箱支架</w:t>
            </w:r>
          </w:p>
        </w:tc>
        <w:tc>
          <w:tcPr>
            <w:tcW w:w="709" w:type="dxa"/>
            <w:tcBorders>
              <w:top w:val="nil"/>
              <w:left w:val="nil"/>
              <w:bottom w:val="single" w:color="auto" w:sz="4" w:space="0"/>
              <w:right w:val="single" w:color="auto" w:sz="4" w:space="0"/>
            </w:tcBorders>
            <w:shd w:val="clear" w:color="auto" w:fill="auto"/>
            <w:noWrap/>
            <w:vAlign w:val="center"/>
          </w:tcPr>
          <w:p w14:paraId="505D4D8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681" w:type="dxa"/>
            <w:tcBorders>
              <w:top w:val="nil"/>
              <w:left w:val="nil"/>
              <w:bottom w:val="single" w:color="auto" w:sz="4" w:space="0"/>
              <w:right w:val="single" w:color="auto" w:sz="4" w:space="0"/>
            </w:tcBorders>
            <w:shd w:val="clear" w:color="auto" w:fill="auto"/>
            <w:vAlign w:val="center"/>
          </w:tcPr>
          <w:p w14:paraId="2674EB5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只</w:t>
            </w:r>
          </w:p>
        </w:tc>
      </w:tr>
      <w:tr w14:paraId="345F9F29">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FE0021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733" w:type="dxa"/>
            <w:tcBorders>
              <w:top w:val="nil"/>
              <w:left w:val="nil"/>
              <w:bottom w:val="single" w:color="auto" w:sz="4" w:space="0"/>
              <w:right w:val="single" w:color="auto" w:sz="4" w:space="0"/>
            </w:tcBorders>
            <w:shd w:val="clear" w:color="auto" w:fill="auto"/>
            <w:vAlign w:val="center"/>
          </w:tcPr>
          <w:p w14:paraId="5FBE2877">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辅助音箱功放</w:t>
            </w:r>
          </w:p>
        </w:tc>
        <w:tc>
          <w:tcPr>
            <w:tcW w:w="6237" w:type="dxa"/>
            <w:tcBorders>
              <w:top w:val="nil"/>
              <w:left w:val="nil"/>
              <w:bottom w:val="single" w:color="auto" w:sz="4" w:space="0"/>
              <w:right w:val="single" w:color="auto" w:sz="4" w:space="0"/>
            </w:tcBorders>
            <w:shd w:val="clear" w:color="auto" w:fill="auto"/>
            <w:vAlign w:val="center"/>
          </w:tcPr>
          <w:p w14:paraId="1D2348D4">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1.标准≤1U机柜式设计；采用PFC+开关电源+D类数字功放设计方案；输出功率：立体声@8Ω：≥500W×2；立体声@4Ω：≥850W×2；桥接@8Ω：≥1700W。</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2.开关电源采用LLC谐振电源短路保护电路和D类数字功放一体模块化设计，保证半桥LLC开关电源稳定性和可靠性。</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3.支持开机软启动功能，软启动过程中电源需求缓慢上升，减少对电网和其他电子设备的电流冲击。</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4.开关电源内置EMI电路，有效的抑制电源谐波，达到欧盟绿色电源标准。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5.数字功放核心的调制和匹配电路技术，让功放还原真实原声。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6.整机转换效率达到85%以上。</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7.数字功放电源自适应音频调整节能功能，实现智能削峰限幅器，控制功率模块及扬声器系统在安全范围内工作。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8.MONO /STEREO/BRIDGE三种模式可选择切换。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9.开机软启动，防止开机时向电网吸收大电流，干扰其它用电设备。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10.内置六大保护电路模块，为功放的可靠性保驾护航，具有：过压保护，欠压保护，过流保护，直流保护，输出短路保护，温控风扇等功能。</w:t>
            </w:r>
          </w:p>
        </w:tc>
        <w:tc>
          <w:tcPr>
            <w:tcW w:w="709" w:type="dxa"/>
            <w:tcBorders>
              <w:top w:val="nil"/>
              <w:left w:val="nil"/>
              <w:bottom w:val="single" w:color="auto" w:sz="4" w:space="0"/>
              <w:right w:val="single" w:color="auto" w:sz="4" w:space="0"/>
            </w:tcBorders>
            <w:shd w:val="clear" w:color="auto" w:fill="auto"/>
            <w:noWrap/>
            <w:vAlign w:val="center"/>
          </w:tcPr>
          <w:p w14:paraId="6DADC08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81" w:type="dxa"/>
            <w:tcBorders>
              <w:top w:val="nil"/>
              <w:left w:val="nil"/>
              <w:bottom w:val="single" w:color="auto" w:sz="4" w:space="0"/>
              <w:right w:val="single" w:color="auto" w:sz="4" w:space="0"/>
            </w:tcBorders>
            <w:shd w:val="clear" w:color="auto" w:fill="auto"/>
            <w:vAlign w:val="center"/>
          </w:tcPr>
          <w:p w14:paraId="3DC11C18">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26EEB573">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369A49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733" w:type="dxa"/>
            <w:tcBorders>
              <w:top w:val="nil"/>
              <w:left w:val="nil"/>
              <w:bottom w:val="single" w:color="auto" w:sz="4" w:space="0"/>
              <w:right w:val="single" w:color="auto" w:sz="4" w:space="0"/>
            </w:tcBorders>
            <w:shd w:val="clear" w:color="auto" w:fill="auto"/>
            <w:vAlign w:val="center"/>
          </w:tcPr>
          <w:p w14:paraId="16DBED4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返听音箱</w:t>
            </w:r>
          </w:p>
        </w:tc>
        <w:tc>
          <w:tcPr>
            <w:tcW w:w="6237" w:type="dxa"/>
            <w:tcBorders>
              <w:top w:val="nil"/>
              <w:left w:val="nil"/>
              <w:bottom w:val="single" w:color="auto" w:sz="4" w:space="0"/>
              <w:right w:val="single" w:color="auto" w:sz="4" w:space="0"/>
            </w:tcBorders>
            <w:shd w:val="clear" w:color="auto" w:fill="auto"/>
            <w:vAlign w:val="center"/>
          </w:tcPr>
          <w:p w14:paraId="0E2A8E0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1.阻抗≤8Ω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2.频响等同或优于50Hz-20KHz</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3.额定功率≥400W</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4.灵敏度≥99dB/W/M</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5.水平覆盖角≥80°，垂直覆盖角≥60°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6.高音≥1.7"压缩高音单元×1；低音：12"低音×1</w:t>
            </w:r>
          </w:p>
        </w:tc>
        <w:tc>
          <w:tcPr>
            <w:tcW w:w="709" w:type="dxa"/>
            <w:tcBorders>
              <w:top w:val="nil"/>
              <w:left w:val="nil"/>
              <w:bottom w:val="single" w:color="auto" w:sz="4" w:space="0"/>
              <w:right w:val="single" w:color="auto" w:sz="4" w:space="0"/>
            </w:tcBorders>
            <w:shd w:val="clear" w:color="auto" w:fill="auto"/>
            <w:noWrap/>
            <w:vAlign w:val="center"/>
          </w:tcPr>
          <w:p w14:paraId="1197056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681" w:type="dxa"/>
            <w:tcBorders>
              <w:top w:val="nil"/>
              <w:left w:val="nil"/>
              <w:bottom w:val="single" w:color="auto" w:sz="4" w:space="0"/>
              <w:right w:val="single" w:color="auto" w:sz="4" w:space="0"/>
            </w:tcBorders>
            <w:shd w:val="clear" w:color="auto" w:fill="auto"/>
            <w:vAlign w:val="center"/>
          </w:tcPr>
          <w:p w14:paraId="69B6DAA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只</w:t>
            </w:r>
          </w:p>
        </w:tc>
      </w:tr>
      <w:tr w14:paraId="4B13371B">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EB3B78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c>
          <w:tcPr>
            <w:tcW w:w="733" w:type="dxa"/>
            <w:tcBorders>
              <w:top w:val="nil"/>
              <w:left w:val="nil"/>
              <w:bottom w:val="single" w:color="auto" w:sz="4" w:space="0"/>
              <w:right w:val="single" w:color="auto" w:sz="4" w:space="0"/>
            </w:tcBorders>
            <w:shd w:val="clear" w:color="auto" w:fill="auto"/>
            <w:vAlign w:val="center"/>
          </w:tcPr>
          <w:p w14:paraId="3F9452BE">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返听音箱功放</w:t>
            </w:r>
          </w:p>
        </w:tc>
        <w:tc>
          <w:tcPr>
            <w:tcW w:w="6237" w:type="dxa"/>
            <w:tcBorders>
              <w:top w:val="nil"/>
              <w:left w:val="nil"/>
              <w:bottom w:val="single" w:color="auto" w:sz="4" w:space="0"/>
              <w:right w:val="single" w:color="auto" w:sz="4" w:space="0"/>
            </w:tcBorders>
            <w:shd w:val="clear" w:color="auto" w:fill="auto"/>
            <w:vAlign w:val="center"/>
          </w:tcPr>
          <w:p w14:paraId="38370C4E">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1.标准≤1U机柜式设计；采用PFC+开关电源+D类数字功放设计方案；输出功率：立体声@8Ω：≥700W×2；立体声@4Ω：≥1000W×2；桥接@16Ω：≥1400W；桥接@8Ω：≥2000W。</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2.开关电源采用LLC谐振电源短路保护电路和D类数字功放一体模块化设计，保证半桥LLC开关电源稳定性和可靠性。</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3.支持开机软启动功能，软启动过程中电源需求缓慢上升，减少对电网和其他电子设备的电流冲击。</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4.开关电源内置EMI电路，有效的抑制电源谐波，达到欧盟绿色电源标准。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5.数字功放核心的调制和匹配电路技术，让功放还原真实原声。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6.整机转换效率达到85%以上。</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7.数字功放电源自适应音频调整节能功能，实现智能削峰限幅器，控制功率模块及扬声器系统在安全范围内工作。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8.MONO /STEREO/BRIDGE三种模式可选择切换。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9.开机软启动，防止开机时向电网吸收大电流，干扰其它用电设备。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10.内置六大保护电路模块，为功放的可靠性保驾护航，具有：过压保护，欠压保护，过流保护，直流保护，输出短路保护，温控风扇等功能。</w:t>
            </w:r>
          </w:p>
        </w:tc>
        <w:tc>
          <w:tcPr>
            <w:tcW w:w="709" w:type="dxa"/>
            <w:tcBorders>
              <w:top w:val="nil"/>
              <w:left w:val="nil"/>
              <w:bottom w:val="single" w:color="auto" w:sz="4" w:space="0"/>
              <w:right w:val="single" w:color="auto" w:sz="4" w:space="0"/>
            </w:tcBorders>
            <w:shd w:val="clear" w:color="auto" w:fill="auto"/>
            <w:noWrap/>
            <w:vAlign w:val="center"/>
          </w:tcPr>
          <w:p w14:paraId="32DFD88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5082F58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7DAA1FAB">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B35DD9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w:t>
            </w:r>
          </w:p>
        </w:tc>
        <w:tc>
          <w:tcPr>
            <w:tcW w:w="733" w:type="dxa"/>
            <w:tcBorders>
              <w:top w:val="nil"/>
              <w:left w:val="nil"/>
              <w:bottom w:val="single" w:color="auto" w:sz="4" w:space="0"/>
              <w:right w:val="single" w:color="auto" w:sz="4" w:space="0"/>
            </w:tcBorders>
            <w:shd w:val="clear" w:color="auto" w:fill="auto"/>
            <w:vAlign w:val="center"/>
          </w:tcPr>
          <w:p w14:paraId="1C82374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低频音箱</w:t>
            </w:r>
          </w:p>
        </w:tc>
        <w:tc>
          <w:tcPr>
            <w:tcW w:w="6237" w:type="dxa"/>
            <w:tcBorders>
              <w:top w:val="nil"/>
              <w:left w:val="nil"/>
              <w:bottom w:val="single" w:color="auto" w:sz="4" w:space="0"/>
              <w:right w:val="single" w:color="auto" w:sz="4" w:space="0"/>
            </w:tcBorders>
            <w:shd w:val="clear" w:color="auto" w:fill="auto"/>
            <w:vAlign w:val="center"/>
          </w:tcPr>
          <w:p w14:paraId="4A8F87B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1.阻抗：≤8Ω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2.频响等同或优于40Hz~400Hz</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3.额定功率≥600W</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4.灵敏度≥99dB/W/M</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5.低音：≥18"低音×1</w:t>
            </w:r>
          </w:p>
        </w:tc>
        <w:tc>
          <w:tcPr>
            <w:tcW w:w="709" w:type="dxa"/>
            <w:tcBorders>
              <w:top w:val="nil"/>
              <w:left w:val="nil"/>
              <w:bottom w:val="single" w:color="auto" w:sz="4" w:space="0"/>
              <w:right w:val="single" w:color="auto" w:sz="4" w:space="0"/>
            </w:tcBorders>
            <w:shd w:val="clear" w:color="auto" w:fill="auto"/>
            <w:noWrap/>
            <w:vAlign w:val="center"/>
          </w:tcPr>
          <w:p w14:paraId="7F55768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0CB1021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只</w:t>
            </w:r>
          </w:p>
        </w:tc>
      </w:tr>
      <w:tr w14:paraId="69B222D0">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28DD1D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21</w:t>
            </w:r>
          </w:p>
        </w:tc>
        <w:tc>
          <w:tcPr>
            <w:tcW w:w="733" w:type="dxa"/>
            <w:tcBorders>
              <w:top w:val="nil"/>
              <w:left w:val="nil"/>
              <w:bottom w:val="single" w:color="auto" w:sz="4" w:space="0"/>
              <w:right w:val="single" w:color="auto" w:sz="4" w:space="0"/>
            </w:tcBorders>
            <w:shd w:val="clear" w:color="auto" w:fill="auto"/>
            <w:vAlign w:val="center"/>
          </w:tcPr>
          <w:p w14:paraId="15B8F71C">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无线手持话筒</w:t>
            </w:r>
          </w:p>
        </w:tc>
        <w:tc>
          <w:tcPr>
            <w:tcW w:w="6237" w:type="dxa"/>
            <w:tcBorders>
              <w:top w:val="nil"/>
              <w:left w:val="nil"/>
              <w:bottom w:val="single" w:color="auto" w:sz="4" w:space="0"/>
              <w:right w:val="single" w:color="auto" w:sz="4" w:space="0"/>
            </w:tcBorders>
            <w:shd w:val="clear" w:color="auto" w:fill="auto"/>
            <w:vAlign w:val="center"/>
          </w:tcPr>
          <w:p w14:paraId="73ECAF42">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2.具有≥1台接收主机、≥2只手持发射机；频率范围等同或优于470MHz-510MHz、540MHz-590MHz、640MHz-690MHz、807MHz-830MHz四个频段使用。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具有自动静音功能，麦克风跌落、抛掷时，毫秒级自动静音，避免冲击声；实时监测设备姿态，静置≥5秒静音，≥8分钟关机，无需手动干预。（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★5.具有多档位混响调节功能，混响效果≥15625个，效果占比、回响延时、混响幅度调节，三种音效各具有≥25档调节方式。（需提供得到CMA或CNAS认可的检测机构出具的检测报告作为该技术参数证明材料）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6.具有多频段均衡调节功能，均衡调节≥2197种，麦克风均衡器调节功能，具有高、中、低音三种调节档位，每种效果支持≥13档调节。</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7.具有长时间续航，发射机使用时长≥10小时。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8.具有ID码防串扰功能，采用32位唯一ID码，用于接收和发射配对，收发ID码必须相同才能对码，能够有效防止相同频率的信号相互串台。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9.接收机具有≥2个2.2英寸的TFT-LCD显示屏；发射机具有≥0.96英寸OLED显示屏，能够显示频率信息、音频加密状态、功率挡位、静音状态、电量格数信息。</w:t>
            </w:r>
          </w:p>
        </w:tc>
        <w:tc>
          <w:tcPr>
            <w:tcW w:w="709" w:type="dxa"/>
            <w:tcBorders>
              <w:top w:val="nil"/>
              <w:left w:val="nil"/>
              <w:bottom w:val="single" w:color="auto" w:sz="4" w:space="0"/>
              <w:right w:val="single" w:color="auto" w:sz="4" w:space="0"/>
            </w:tcBorders>
            <w:shd w:val="clear" w:color="auto" w:fill="auto"/>
            <w:noWrap/>
            <w:vAlign w:val="center"/>
          </w:tcPr>
          <w:p w14:paraId="5A0C6FC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2A285E3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2981AA5F">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1EE7B6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22</w:t>
            </w:r>
          </w:p>
        </w:tc>
        <w:tc>
          <w:tcPr>
            <w:tcW w:w="733" w:type="dxa"/>
            <w:tcBorders>
              <w:top w:val="nil"/>
              <w:left w:val="nil"/>
              <w:bottom w:val="single" w:color="auto" w:sz="4" w:space="0"/>
              <w:right w:val="single" w:color="auto" w:sz="4" w:space="0"/>
            </w:tcBorders>
            <w:shd w:val="clear" w:color="auto" w:fill="auto"/>
            <w:vAlign w:val="center"/>
          </w:tcPr>
          <w:p w14:paraId="6501D3B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手持话筒呼叫控制嵌入软件</w:t>
            </w:r>
          </w:p>
        </w:tc>
        <w:tc>
          <w:tcPr>
            <w:tcW w:w="6237" w:type="dxa"/>
            <w:tcBorders>
              <w:top w:val="nil"/>
              <w:left w:val="nil"/>
              <w:bottom w:val="single" w:color="auto" w:sz="4" w:space="0"/>
              <w:right w:val="single" w:color="auto" w:sz="4" w:space="0"/>
            </w:tcBorders>
            <w:shd w:val="clear" w:color="auto" w:fill="auto"/>
            <w:vAlign w:val="center"/>
          </w:tcPr>
          <w:p w14:paraId="122432DB">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1.软件内嵌于无线话筒系统设备，话筒呼叫控制功能。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2.采用UHF超高频段双真分集接收，并采用PLL锁相环多信道频率合成技术。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3.支持自动选讯接收方式。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4.支持信道选择、频率可调、可设置主机与话筒配对。</w:t>
            </w:r>
          </w:p>
        </w:tc>
        <w:tc>
          <w:tcPr>
            <w:tcW w:w="709" w:type="dxa"/>
            <w:tcBorders>
              <w:top w:val="nil"/>
              <w:left w:val="nil"/>
              <w:bottom w:val="single" w:color="auto" w:sz="4" w:space="0"/>
              <w:right w:val="single" w:color="auto" w:sz="4" w:space="0"/>
            </w:tcBorders>
            <w:shd w:val="clear" w:color="auto" w:fill="auto"/>
            <w:noWrap/>
            <w:vAlign w:val="center"/>
          </w:tcPr>
          <w:p w14:paraId="11BFBC7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03AD46C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53FB7F0B">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E71C31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23</w:t>
            </w:r>
          </w:p>
        </w:tc>
        <w:tc>
          <w:tcPr>
            <w:tcW w:w="733" w:type="dxa"/>
            <w:tcBorders>
              <w:top w:val="nil"/>
              <w:left w:val="nil"/>
              <w:bottom w:val="single" w:color="auto" w:sz="4" w:space="0"/>
              <w:right w:val="single" w:color="auto" w:sz="4" w:space="0"/>
            </w:tcBorders>
            <w:shd w:val="clear" w:color="auto" w:fill="auto"/>
            <w:vAlign w:val="center"/>
          </w:tcPr>
          <w:p w14:paraId="1D556B19">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无线头戴话筒</w:t>
            </w:r>
          </w:p>
        </w:tc>
        <w:tc>
          <w:tcPr>
            <w:tcW w:w="6237" w:type="dxa"/>
            <w:tcBorders>
              <w:top w:val="nil"/>
              <w:left w:val="nil"/>
              <w:bottom w:val="single" w:color="auto" w:sz="4" w:space="0"/>
              <w:right w:val="single" w:color="auto" w:sz="4" w:space="0"/>
            </w:tcBorders>
            <w:shd w:val="clear" w:color="auto" w:fill="auto"/>
            <w:vAlign w:val="center"/>
          </w:tcPr>
          <w:p w14:paraId="70FA64BD">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2.具有≥1台接收主机、≥2只头戴腰包；频率范围等同或优于470MHz-510MHz、540MHz-590MHz、640MHz-690MHz、807MHz-830MHz四个频段使用。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接收机前面板具有≥2个TFT-LCD显示屏、≥2个编码旋钮、≥2个频率扫描实体按键、≥2个红外对频实体按键、≥1个电源开关按键、≥1个二合一指示灯（红外发射管+对频指示灯）；后面板具有≥1个LINE-OUT接口、≥2个XLR-OUT接口、≥2个BNC接口、≥1个DC接口。发射机具有≥1个显示屏、≥4个实体按键（包括≥1个静音键、≥1个音量减少键、≥1个音量增加键、≥1个电源开关键）、≥1个电源状态指示灯、≥1个静音指示灯。（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★4.具有多档位混响调节功能，混响效果≥15625个，效果占比、回响延时、混响幅度调节，三种音效各具有≥25档调节方式。（需提供得到CMA或CNAS认可的检测机构出具的检测报告作为该技术参数证明材料）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5.具有多频段均衡调节功能，均衡调节≥2197种，麦克风均衡器调节功能，具有高、中、低音三种调节档位，每种效果支持≥13档调节。</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6.具有长时间续航，发射机连续使用时长≥10小时。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7.具有ID码防串扰功能，采用32位唯一ID码，用于接收和发射配对，收发ID码必须相同才能对码，能够有效防止相同频率的信号相互串台。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8.接收机具有≥2个2.2英寸的TFT-LCD显示屏；发射机具有≥0.96英寸OLED显示屏，能够显示频率信息、音频加密状态、功率挡位、静音状态、电量格数信息。</w:t>
            </w:r>
          </w:p>
        </w:tc>
        <w:tc>
          <w:tcPr>
            <w:tcW w:w="709" w:type="dxa"/>
            <w:tcBorders>
              <w:top w:val="nil"/>
              <w:left w:val="nil"/>
              <w:bottom w:val="single" w:color="auto" w:sz="4" w:space="0"/>
              <w:right w:val="single" w:color="auto" w:sz="4" w:space="0"/>
            </w:tcBorders>
            <w:shd w:val="clear" w:color="auto" w:fill="auto"/>
            <w:noWrap/>
            <w:vAlign w:val="center"/>
          </w:tcPr>
          <w:p w14:paraId="50F78B8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43B00D5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5C5C4CF1">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2459FA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24</w:t>
            </w:r>
          </w:p>
        </w:tc>
        <w:tc>
          <w:tcPr>
            <w:tcW w:w="733" w:type="dxa"/>
            <w:tcBorders>
              <w:top w:val="nil"/>
              <w:left w:val="nil"/>
              <w:bottom w:val="single" w:color="auto" w:sz="4" w:space="0"/>
              <w:right w:val="single" w:color="auto" w:sz="4" w:space="0"/>
            </w:tcBorders>
            <w:shd w:val="clear" w:color="auto" w:fill="auto"/>
            <w:vAlign w:val="center"/>
          </w:tcPr>
          <w:p w14:paraId="740C02D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头戴话筒呼叫控制嵌入软件</w:t>
            </w:r>
          </w:p>
        </w:tc>
        <w:tc>
          <w:tcPr>
            <w:tcW w:w="6237" w:type="dxa"/>
            <w:tcBorders>
              <w:top w:val="nil"/>
              <w:left w:val="nil"/>
              <w:bottom w:val="single" w:color="auto" w:sz="4" w:space="0"/>
              <w:right w:val="single" w:color="auto" w:sz="4" w:space="0"/>
            </w:tcBorders>
            <w:shd w:val="clear" w:color="auto" w:fill="auto"/>
            <w:vAlign w:val="center"/>
          </w:tcPr>
          <w:p w14:paraId="0BD6057E">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1.软件内嵌于无线话筒系统设备，话筒呼叫控制功能。</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2.采用UHF超高频段双真分集接收，并采用PLL锁相环多信道频率合成技术。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3.支持自动选讯接收方式。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4.支持信道选择、频率可调、可设置主机与话筒配对。</w:t>
            </w:r>
          </w:p>
        </w:tc>
        <w:tc>
          <w:tcPr>
            <w:tcW w:w="709" w:type="dxa"/>
            <w:tcBorders>
              <w:top w:val="nil"/>
              <w:left w:val="nil"/>
              <w:bottom w:val="single" w:color="auto" w:sz="4" w:space="0"/>
              <w:right w:val="single" w:color="auto" w:sz="4" w:space="0"/>
            </w:tcBorders>
            <w:shd w:val="clear" w:color="auto" w:fill="auto"/>
            <w:noWrap/>
            <w:vAlign w:val="center"/>
          </w:tcPr>
          <w:p w14:paraId="2C9D7157">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2F11E3C8">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2D42ECC1">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C0098D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25</w:t>
            </w:r>
          </w:p>
        </w:tc>
        <w:tc>
          <w:tcPr>
            <w:tcW w:w="733" w:type="dxa"/>
            <w:tcBorders>
              <w:top w:val="nil"/>
              <w:left w:val="nil"/>
              <w:bottom w:val="single" w:color="auto" w:sz="4" w:space="0"/>
              <w:right w:val="single" w:color="auto" w:sz="4" w:space="0"/>
            </w:tcBorders>
            <w:shd w:val="clear" w:color="auto" w:fill="auto"/>
            <w:vAlign w:val="center"/>
          </w:tcPr>
          <w:p w14:paraId="1DF50B9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天线分配器</w:t>
            </w:r>
          </w:p>
        </w:tc>
        <w:tc>
          <w:tcPr>
            <w:tcW w:w="6237" w:type="dxa"/>
            <w:tcBorders>
              <w:top w:val="nil"/>
              <w:left w:val="nil"/>
              <w:bottom w:val="single" w:color="auto" w:sz="4" w:space="0"/>
              <w:right w:val="single" w:color="auto" w:sz="4" w:space="0"/>
            </w:tcBorders>
            <w:shd w:val="clear" w:color="auto" w:fill="auto"/>
            <w:vAlign w:val="center"/>
          </w:tcPr>
          <w:p w14:paraId="5CC94C6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1.具备≥2个天线输入接口，支持接收天线信号，实现分配多路射频信号的效果。</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2.具备放大射频信号，补偿因信号功率被分配至多个输出而造成的插入损耗。</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3.具备≥2个天线级联接口，支持无限制级联分配器，可实现扩展无线话筒的目的。</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4.具备≥4个直流电源输出接口，支持给≥4台接收机供电，减少适配器数量和免去繁琐布线。</w:t>
            </w:r>
          </w:p>
        </w:tc>
        <w:tc>
          <w:tcPr>
            <w:tcW w:w="709" w:type="dxa"/>
            <w:tcBorders>
              <w:top w:val="nil"/>
              <w:left w:val="nil"/>
              <w:bottom w:val="single" w:color="auto" w:sz="4" w:space="0"/>
              <w:right w:val="single" w:color="auto" w:sz="4" w:space="0"/>
            </w:tcBorders>
            <w:shd w:val="clear" w:color="auto" w:fill="auto"/>
            <w:vAlign w:val="center"/>
          </w:tcPr>
          <w:p w14:paraId="31851B5B">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vAlign w:val="center"/>
          </w:tcPr>
          <w:p w14:paraId="5A77494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1F4D0D2B">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B81784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26</w:t>
            </w:r>
          </w:p>
        </w:tc>
        <w:tc>
          <w:tcPr>
            <w:tcW w:w="733" w:type="dxa"/>
            <w:tcBorders>
              <w:top w:val="nil"/>
              <w:left w:val="nil"/>
              <w:bottom w:val="single" w:color="auto" w:sz="4" w:space="0"/>
              <w:right w:val="single" w:color="auto" w:sz="4" w:space="0"/>
            </w:tcBorders>
            <w:shd w:val="clear" w:color="auto" w:fill="auto"/>
            <w:vAlign w:val="center"/>
          </w:tcPr>
          <w:p w14:paraId="30F06FF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话筒天线</w:t>
            </w:r>
          </w:p>
        </w:tc>
        <w:tc>
          <w:tcPr>
            <w:tcW w:w="6237" w:type="dxa"/>
            <w:tcBorders>
              <w:top w:val="nil"/>
              <w:left w:val="nil"/>
              <w:bottom w:val="single" w:color="auto" w:sz="4" w:space="0"/>
              <w:right w:val="single" w:color="auto" w:sz="4" w:space="0"/>
            </w:tcBorders>
            <w:shd w:val="clear" w:color="auto" w:fill="auto"/>
            <w:vAlign w:val="center"/>
          </w:tcPr>
          <w:p w14:paraId="13055DA2">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1.射频频率范围等同或优于470～950MHz</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2.驻波比：≤2.0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3.输入阻抗：≤50Ω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4.指向性：≥180度指向</w:t>
            </w:r>
          </w:p>
        </w:tc>
        <w:tc>
          <w:tcPr>
            <w:tcW w:w="709" w:type="dxa"/>
            <w:tcBorders>
              <w:top w:val="nil"/>
              <w:left w:val="nil"/>
              <w:bottom w:val="single" w:color="auto" w:sz="4" w:space="0"/>
              <w:right w:val="single" w:color="auto" w:sz="4" w:space="0"/>
            </w:tcBorders>
            <w:shd w:val="clear" w:color="auto" w:fill="auto"/>
            <w:vAlign w:val="center"/>
          </w:tcPr>
          <w:p w14:paraId="4FE5DB1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vAlign w:val="center"/>
          </w:tcPr>
          <w:p w14:paraId="4012763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37DC7435">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9FEFC8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27</w:t>
            </w:r>
          </w:p>
        </w:tc>
        <w:tc>
          <w:tcPr>
            <w:tcW w:w="733" w:type="dxa"/>
            <w:tcBorders>
              <w:top w:val="nil"/>
              <w:left w:val="nil"/>
              <w:bottom w:val="single" w:color="auto" w:sz="4" w:space="0"/>
              <w:right w:val="single" w:color="auto" w:sz="4" w:space="0"/>
            </w:tcBorders>
            <w:shd w:val="clear" w:color="auto" w:fill="auto"/>
            <w:vAlign w:val="center"/>
          </w:tcPr>
          <w:p w14:paraId="762A423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数字调音台</w:t>
            </w:r>
          </w:p>
        </w:tc>
        <w:tc>
          <w:tcPr>
            <w:tcW w:w="6237" w:type="dxa"/>
            <w:tcBorders>
              <w:top w:val="nil"/>
              <w:left w:val="nil"/>
              <w:bottom w:val="single" w:color="auto" w:sz="4" w:space="0"/>
              <w:right w:val="single" w:color="auto" w:sz="4" w:space="0"/>
            </w:tcBorders>
            <w:shd w:val="clear" w:color="auto" w:fill="auto"/>
            <w:vAlign w:val="center"/>
          </w:tcPr>
          <w:p w14:paraId="4E3C531D">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1.具有≥14路平衡XLR输入接口、≥16路TRS输入接口、≥1路OPTICAL接口、≥1路S/PDIF接口、≥1路USB2.0输入声卡。</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2.具有≥100组场景预设功能，可导出、导入USB存储器，便于数据备份；≥32个PEQ模式存储。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3.具有≥8个推子编组、≥3个快速静音组按键。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4.具有≥2个内置效果器，设备自带有经典混响、大房间混响等效果模块。</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5.具有≥1个10.1英寸高清触摸屏，支持≥1280×800分辨率。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6.具有≥13个100mm电动推子，电动推子可操控所有的通道和主输出:≥1个LR主声道推子、≥12个通道推子以及≥2个推子层。</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7.具有面板锁定按键，防止误操作。</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8.支持中英文界面切换，且无需重启。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★9.每个输入通道具有≥4段参数均衡、噪声门、高低通、压缩、反相。（提供功能界面截图佐证）</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★10.每个输出通道具有≥8段参数均衡、高低通、压缩、反相、1800亳秒延时器。（提供功能界面截图佐证）</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★11.输入带有独立的反馈抑制器，支持增益共享型自动混音，带有≥2个DCA编组。（提供功能界面截图佐证）</w:t>
            </w:r>
          </w:p>
        </w:tc>
        <w:tc>
          <w:tcPr>
            <w:tcW w:w="709" w:type="dxa"/>
            <w:tcBorders>
              <w:top w:val="nil"/>
              <w:left w:val="nil"/>
              <w:bottom w:val="single" w:color="auto" w:sz="4" w:space="0"/>
              <w:right w:val="single" w:color="auto" w:sz="4" w:space="0"/>
            </w:tcBorders>
            <w:shd w:val="clear" w:color="auto" w:fill="auto"/>
            <w:vAlign w:val="center"/>
          </w:tcPr>
          <w:p w14:paraId="7B4D4C7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vAlign w:val="center"/>
          </w:tcPr>
          <w:p w14:paraId="5F7C1FC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073814E3">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F62D758">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28</w:t>
            </w:r>
          </w:p>
        </w:tc>
        <w:tc>
          <w:tcPr>
            <w:tcW w:w="733" w:type="dxa"/>
            <w:tcBorders>
              <w:top w:val="nil"/>
              <w:left w:val="nil"/>
              <w:bottom w:val="single" w:color="auto" w:sz="4" w:space="0"/>
              <w:right w:val="single" w:color="auto" w:sz="4" w:space="0"/>
            </w:tcBorders>
            <w:shd w:val="clear" w:color="auto" w:fill="auto"/>
            <w:vAlign w:val="center"/>
          </w:tcPr>
          <w:p w14:paraId="2DEC0663">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音频处理器</w:t>
            </w:r>
          </w:p>
        </w:tc>
        <w:tc>
          <w:tcPr>
            <w:tcW w:w="6237" w:type="dxa"/>
            <w:tcBorders>
              <w:top w:val="nil"/>
              <w:left w:val="nil"/>
              <w:bottom w:val="single" w:color="auto" w:sz="4" w:space="0"/>
              <w:right w:val="single" w:color="auto" w:sz="4" w:space="0"/>
            </w:tcBorders>
            <w:shd w:val="clear" w:color="auto" w:fill="auto"/>
            <w:vAlign w:val="center"/>
          </w:tcPr>
          <w:p w14:paraId="52BDDF6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后面板具有≥12路线路音频凤凰端子平衡输入接口（具有48V幻象供电）、≥12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3.具有矩阵增益调节功能，每个输入通道参与混音的增益可调，增益调节范围等同或优于-72db到12db。</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音频处理器具有跨平台软件，可运行的操作系统版本≥8种，包括Windows7/10/11、银河麒麟桌面操作系统（兆芯版）、银河麒麟桌面操作系统（飞腾版）、macOS系统、统信UOS、Ubuntu桌面版操作系统。（提供功能截图佐证）（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5.产品具有PC客户端、手机移动端、安卓平板端不同控制方式，可以通同时登入APP软件、PC客户端同时连接设备，并实现多端数据的同步。</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6.设备具有编码旋钮和IPS屏幕，可用于控制和配置设备静音，增益，场景；IPS屏幕能够显示IP地址，输入和输出通道的实时电平。</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7.具有设备定位功能，客户端一键定位局域网内同类设备，被定位的设备会显示定位信息。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8.设备具有统一集中控制功能，支持≥65535台设备通过软件集中控制。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需提供得到CMA或CNAS认可的检测机构出具的检测报告作为该技术参数证明材料）</w:t>
            </w:r>
          </w:p>
        </w:tc>
        <w:tc>
          <w:tcPr>
            <w:tcW w:w="709" w:type="dxa"/>
            <w:tcBorders>
              <w:top w:val="nil"/>
              <w:left w:val="nil"/>
              <w:bottom w:val="single" w:color="auto" w:sz="4" w:space="0"/>
              <w:right w:val="single" w:color="auto" w:sz="4" w:space="0"/>
            </w:tcBorders>
            <w:shd w:val="clear" w:color="auto" w:fill="auto"/>
            <w:noWrap/>
            <w:vAlign w:val="center"/>
          </w:tcPr>
          <w:p w14:paraId="592F56C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vAlign w:val="center"/>
          </w:tcPr>
          <w:p w14:paraId="0821795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01E7C3B7">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D85F0A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29</w:t>
            </w:r>
          </w:p>
        </w:tc>
        <w:tc>
          <w:tcPr>
            <w:tcW w:w="733" w:type="dxa"/>
            <w:tcBorders>
              <w:top w:val="nil"/>
              <w:left w:val="nil"/>
              <w:bottom w:val="single" w:color="auto" w:sz="4" w:space="0"/>
              <w:right w:val="single" w:color="auto" w:sz="4" w:space="0"/>
            </w:tcBorders>
            <w:shd w:val="clear" w:color="auto" w:fill="auto"/>
            <w:vAlign w:val="center"/>
          </w:tcPr>
          <w:p w14:paraId="666D11C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抑制器</w:t>
            </w:r>
          </w:p>
        </w:tc>
        <w:tc>
          <w:tcPr>
            <w:tcW w:w="6237" w:type="dxa"/>
            <w:tcBorders>
              <w:top w:val="nil"/>
              <w:left w:val="nil"/>
              <w:bottom w:val="single" w:color="auto" w:sz="4" w:space="0"/>
              <w:right w:val="single" w:color="auto" w:sz="4" w:space="0"/>
            </w:tcBorders>
            <w:shd w:val="clear" w:color="auto" w:fill="auto"/>
            <w:vAlign w:val="center"/>
          </w:tcPr>
          <w:p w14:paraId="014ED49C">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1.基于啸叫检测门限更新法，具有移频+陷波反馈抑制功能，可以使用≥48个可编程陷波点。</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前面板具有≥48个LED灯陷波状态指示灯（具有≥2×12个静态点和≥2×12个动态点）、≥2英寸IPS真彩显示屏、≥1个编码旋钮；后面板具有≥1个船形开关、≥2路XLR母座+2路TRS母座模拟输入、≥2路XLR公座+2路TRS母座模拟输出、≥1个RJ45接口。（提供设备接口图佐证）</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3.设备具有编码旋钮和≥2.0英寸IPS屏幕，可用于控制和配置设备直通、场景。IPS屏幕能够显示IP地址，输入和输出通道的实时电平。</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4.具有设备定位，PC客户端具有一键定位局域网内同类设备功能，被定位到的设备会在显示屏上显示定位信息。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5.设备具有统一集中控制功能，支持≥65535台设备通过软件集中控制。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6.支持多客户端数据同步，≥2个客户端以上连接混音器设备时，可实现多端数据同步。</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界面截图佐证）</w:t>
            </w:r>
          </w:p>
        </w:tc>
        <w:tc>
          <w:tcPr>
            <w:tcW w:w="709" w:type="dxa"/>
            <w:tcBorders>
              <w:top w:val="nil"/>
              <w:left w:val="nil"/>
              <w:bottom w:val="single" w:color="auto" w:sz="4" w:space="0"/>
              <w:right w:val="single" w:color="auto" w:sz="4" w:space="0"/>
            </w:tcBorders>
            <w:shd w:val="clear" w:color="auto" w:fill="auto"/>
            <w:noWrap/>
            <w:vAlign w:val="center"/>
          </w:tcPr>
          <w:p w14:paraId="483F20B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vAlign w:val="center"/>
          </w:tcPr>
          <w:p w14:paraId="38D5ECB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7A0AD773">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34BE7A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w:t>
            </w:r>
          </w:p>
        </w:tc>
        <w:tc>
          <w:tcPr>
            <w:tcW w:w="733" w:type="dxa"/>
            <w:tcBorders>
              <w:top w:val="nil"/>
              <w:left w:val="nil"/>
              <w:bottom w:val="single" w:color="auto" w:sz="4" w:space="0"/>
              <w:right w:val="single" w:color="auto" w:sz="4" w:space="0"/>
            </w:tcBorders>
            <w:shd w:val="clear" w:color="auto" w:fill="auto"/>
            <w:vAlign w:val="center"/>
          </w:tcPr>
          <w:p w14:paraId="0203811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电源时序器</w:t>
            </w:r>
          </w:p>
        </w:tc>
        <w:tc>
          <w:tcPr>
            <w:tcW w:w="6237" w:type="dxa"/>
            <w:tcBorders>
              <w:top w:val="nil"/>
              <w:left w:val="nil"/>
              <w:bottom w:val="single" w:color="auto" w:sz="4" w:space="0"/>
              <w:right w:val="single" w:color="auto" w:sz="4" w:space="0"/>
            </w:tcBorders>
            <w:shd w:val="clear" w:color="auto" w:fill="auto"/>
            <w:vAlign w:val="center"/>
          </w:tcPr>
          <w:p w14:paraId="5B7B098B">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1.配备LCD显示屏，支持显示温度信息，实时输入电压信息、时间信息、IP信息，定时任务信息。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2.具有≥8路电源输出插座（≥4路10A、≥4路16A的插座规格），总输出电流≥30A，支持实时监控插座功率。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★3.具有≥2个10M/100M网口，≥2路RS-485接口，≥1路USB接口提供照明灯供电；配备≥1个监听扬声器，支持人声报警提示。（需提供得到CMA或CNAS认可的检测机构出具的检测报告作为该技术参数证明材料）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4.支持过载、短路保护功能；支持连接PC可视化界面进行远程操控；支持网络远程固件升级，支持主从机级联，支持通过一路网口接入局域网使用软件控制所有级联设备。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5.具备对每一路电源输出进行定时编程，支持每路开关时序间隔动作延迟时间调节设置。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6.支持实时检测设备温度，支持拓展外接温湿度传感器，显示外部环境温湿度。</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7.具备自定义设置电源锁开启后每个通道开启、关闭、保持关闭前状态；支持设置对应通道的上下限位值、对应的超限动作和动作延时，支持调节报警音量大小。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8.支持电压、电流或温湿度超过限定值播放相应的人声报警，恢复正常时自动停止。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9.支持通过主设备电源锁可一键开启或关闭所有从设备；支持独立控制每一路电源输出，支持一键全开或全关；支持一键紧急打开或者关闭全部电源。</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10.支持PC界面控制、定时控制、手动控制、串口控制方式。</w:t>
            </w:r>
          </w:p>
        </w:tc>
        <w:tc>
          <w:tcPr>
            <w:tcW w:w="709" w:type="dxa"/>
            <w:tcBorders>
              <w:top w:val="nil"/>
              <w:left w:val="nil"/>
              <w:bottom w:val="single" w:color="auto" w:sz="4" w:space="0"/>
              <w:right w:val="single" w:color="auto" w:sz="4" w:space="0"/>
            </w:tcBorders>
            <w:shd w:val="clear" w:color="auto" w:fill="auto"/>
            <w:noWrap/>
            <w:vAlign w:val="center"/>
          </w:tcPr>
          <w:p w14:paraId="1A2A055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vAlign w:val="center"/>
          </w:tcPr>
          <w:p w14:paraId="591AF3E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2C2AE39F">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CF8596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31</w:t>
            </w:r>
          </w:p>
        </w:tc>
        <w:tc>
          <w:tcPr>
            <w:tcW w:w="733" w:type="dxa"/>
            <w:tcBorders>
              <w:top w:val="nil"/>
              <w:left w:val="nil"/>
              <w:bottom w:val="single" w:color="auto" w:sz="4" w:space="0"/>
              <w:right w:val="single" w:color="auto" w:sz="4" w:space="0"/>
            </w:tcBorders>
            <w:shd w:val="clear" w:color="auto" w:fill="auto"/>
            <w:vAlign w:val="center"/>
          </w:tcPr>
          <w:p w14:paraId="2E89A8CB">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电源管理器</w:t>
            </w:r>
          </w:p>
        </w:tc>
        <w:tc>
          <w:tcPr>
            <w:tcW w:w="6237" w:type="dxa"/>
            <w:tcBorders>
              <w:top w:val="nil"/>
              <w:left w:val="nil"/>
              <w:bottom w:val="single" w:color="auto" w:sz="4" w:space="0"/>
              <w:right w:val="single" w:color="auto" w:sz="4" w:space="0"/>
            </w:tcBorders>
            <w:shd w:val="clear" w:color="auto" w:fill="auto"/>
            <w:vAlign w:val="center"/>
          </w:tcPr>
          <w:p w14:paraId="721D435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1.配备LCD显示屏，支持显示温度信息，实时输入电压信息、时间信息、IP信息，定时任务信息。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2.具有≥8路单通道≥10A电源输出插座，总输出电流≥30A，支持实时监控插座功率。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★3.具有≥2个10M/100M网口，≥2路RS-485接口，≥1路USB接口提供照明灯供电；配备≥1个监听扬声器，支持人声报警提示。（需提供得到CMA或CNAS认可的检测机构出具的检测报告作为该技术参数证明材料）</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4.支持过载、短路保护功能；支持连接PC可视化界面进行远程操控；支持网络远程固件升级，支持主从机级联，支持通过一路网口接入局域网使用软件控制所有级联设备。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5.具备对每一路电源输出进行定时编程，支持每路开关时序间隔动作延迟时间调节设置。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6.支持实时检测设备温度，支持拓展外接温湿度传感器，显示外部环境温湿度。</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7.具备自定义设置电源锁开启后每个通道开启、关闭、保持关闭前状态；支持设置对应通道的上下限位值、对应的超限动作和动作延时，支持调节报警音量大小。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8.支持电压、电流或温湿度超过限定值播放相应的人声报警，恢复正常时自动停止。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9.支持通过主设备电源锁可一键开启或关闭所有从设备；支持独立控制每一路电源输出，支持一键全开或全关；支持一键紧急打开或者关闭全部电源。</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10.支持PC界面控制、定时控制、手动控制、串口控制方式。</w:t>
            </w:r>
          </w:p>
        </w:tc>
        <w:tc>
          <w:tcPr>
            <w:tcW w:w="709" w:type="dxa"/>
            <w:tcBorders>
              <w:top w:val="nil"/>
              <w:left w:val="nil"/>
              <w:bottom w:val="single" w:color="auto" w:sz="4" w:space="0"/>
              <w:right w:val="single" w:color="auto" w:sz="4" w:space="0"/>
            </w:tcBorders>
            <w:shd w:val="clear" w:color="auto" w:fill="auto"/>
            <w:noWrap/>
            <w:vAlign w:val="center"/>
          </w:tcPr>
          <w:p w14:paraId="67AC76E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81" w:type="dxa"/>
            <w:tcBorders>
              <w:top w:val="nil"/>
              <w:left w:val="nil"/>
              <w:bottom w:val="single" w:color="auto" w:sz="4" w:space="0"/>
              <w:right w:val="single" w:color="auto" w:sz="4" w:space="0"/>
            </w:tcBorders>
            <w:shd w:val="clear" w:color="auto" w:fill="auto"/>
            <w:vAlign w:val="center"/>
          </w:tcPr>
          <w:p w14:paraId="5E598AB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52DF86B6">
        <w:tblPrEx>
          <w:tblCellMar>
            <w:top w:w="0" w:type="dxa"/>
            <w:left w:w="108" w:type="dxa"/>
            <w:bottom w:w="0" w:type="dxa"/>
            <w:right w:w="108" w:type="dxa"/>
          </w:tblCellMar>
        </w:tblPrEx>
        <w:trPr>
          <w:trHeight w:val="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46B288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32</w:t>
            </w:r>
          </w:p>
        </w:tc>
        <w:tc>
          <w:tcPr>
            <w:tcW w:w="733" w:type="dxa"/>
            <w:tcBorders>
              <w:top w:val="nil"/>
              <w:left w:val="nil"/>
              <w:bottom w:val="single" w:color="auto" w:sz="4" w:space="0"/>
              <w:right w:val="single" w:color="auto" w:sz="4" w:space="0"/>
            </w:tcBorders>
            <w:shd w:val="clear" w:color="auto" w:fill="auto"/>
            <w:vAlign w:val="center"/>
          </w:tcPr>
          <w:p w14:paraId="1DFD72E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监听音箱</w:t>
            </w:r>
          </w:p>
        </w:tc>
        <w:tc>
          <w:tcPr>
            <w:tcW w:w="6237" w:type="dxa"/>
            <w:tcBorders>
              <w:top w:val="nil"/>
              <w:left w:val="nil"/>
              <w:bottom w:val="single" w:color="auto" w:sz="4" w:space="0"/>
              <w:right w:val="single" w:color="auto" w:sz="4" w:space="0"/>
            </w:tcBorders>
            <w:shd w:val="clear" w:color="auto" w:fill="auto"/>
            <w:vAlign w:val="center"/>
          </w:tcPr>
          <w:p w14:paraId="1F2D7E1B">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1.双放大器有源扬声器系统，低音扬声器≥70W峰值功率，高音扬声器≥50W峰值功率；≥1" 软球顶高音喇叭，≥5.25" 复合玻璃纤维低音喇叭。</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2.0°相位声音响应。</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3.具有低失真反射端口，精密指向性高音波导。</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4.频响范围等同或优于50Hz-20kHz</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5.最大声压级≥107dB</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6.水平扩散角度≥110°、垂直扩散角度≥70°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7.总功率(D类功放)≥120W，高音≥50W，低音≥70w</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8.低音微调、高音微调支持-1.5dB/0dB/+1.5dB</w:t>
            </w:r>
          </w:p>
        </w:tc>
        <w:tc>
          <w:tcPr>
            <w:tcW w:w="709" w:type="dxa"/>
            <w:tcBorders>
              <w:top w:val="nil"/>
              <w:left w:val="nil"/>
              <w:bottom w:val="single" w:color="auto" w:sz="4" w:space="0"/>
              <w:right w:val="single" w:color="auto" w:sz="4" w:space="0"/>
            </w:tcBorders>
            <w:shd w:val="clear" w:color="auto" w:fill="auto"/>
            <w:vAlign w:val="center"/>
          </w:tcPr>
          <w:p w14:paraId="2F4B8D27">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vAlign w:val="center"/>
          </w:tcPr>
          <w:p w14:paraId="0072E59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对</w:t>
            </w:r>
          </w:p>
        </w:tc>
      </w:tr>
      <w:tr w14:paraId="069E0783">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43FC35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33</w:t>
            </w:r>
          </w:p>
        </w:tc>
        <w:tc>
          <w:tcPr>
            <w:tcW w:w="733" w:type="dxa"/>
            <w:tcBorders>
              <w:top w:val="nil"/>
              <w:left w:val="nil"/>
              <w:bottom w:val="single" w:color="auto" w:sz="4" w:space="0"/>
              <w:right w:val="single" w:color="auto" w:sz="4" w:space="0"/>
            </w:tcBorders>
            <w:shd w:val="clear" w:color="auto" w:fill="auto"/>
            <w:vAlign w:val="center"/>
          </w:tcPr>
          <w:p w14:paraId="7D34DF8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固定染色灯</w:t>
            </w:r>
          </w:p>
        </w:tc>
        <w:tc>
          <w:tcPr>
            <w:tcW w:w="6237" w:type="dxa"/>
            <w:tcBorders>
              <w:top w:val="nil"/>
              <w:left w:val="nil"/>
              <w:bottom w:val="single" w:color="auto" w:sz="4" w:space="0"/>
              <w:right w:val="single" w:color="auto" w:sz="4" w:space="0"/>
            </w:tcBorders>
            <w:shd w:val="clear" w:color="auto" w:fill="auto"/>
            <w:vAlign w:val="center"/>
          </w:tcPr>
          <w:p w14:paraId="706F32F9">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1.采用≥54×3W LED光源，光源平均寿命≥50000H。</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2.具备光束角度≥15°，光斑角度≥30°。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3.支持0-25次/秒电子频闪，速度可调节，内置随机频闪或脉冲频闪；支持0-100%电子线性调光。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4.具备RGBW(红绿蓝白)线性混色系统，内置宏功能，支持3200K-7200K色温线性调节。</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5.支持DMX信号更新、云端服务器远程在线更新。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6.采用数码管显示，配置≥4个机械按键。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7.内置NTC温度控测功能，当LED工作过热时，智能降低LED的输出功率。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8.支持DMX512协议，RDM协议，内置主从模式、自走模式、声控模式、手动控制模式。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9.具备≥2种通道模式，由精简模式≥4CH，标准模式≥8CH组成。</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10.配置≥1个电源输入接口，≥1个电源输出接口，≥1个DMX512输入接口，≥1个DMX512输出接口。</w:t>
            </w:r>
          </w:p>
        </w:tc>
        <w:tc>
          <w:tcPr>
            <w:tcW w:w="709" w:type="dxa"/>
            <w:tcBorders>
              <w:top w:val="nil"/>
              <w:left w:val="nil"/>
              <w:bottom w:val="single" w:color="auto" w:sz="4" w:space="0"/>
              <w:right w:val="single" w:color="auto" w:sz="4" w:space="0"/>
            </w:tcBorders>
            <w:shd w:val="clear" w:color="auto" w:fill="auto"/>
            <w:noWrap/>
            <w:vAlign w:val="center"/>
          </w:tcPr>
          <w:p w14:paraId="750375D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21</w:t>
            </w:r>
          </w:p>
        </w:tc>
        <w:tc>
          <w:tcPr>
            <w:tcW w:w="681" w:type="dxa"/>
            <w:tcBorders>
              <w:top w:val="nil"/>
              <w:left w:val="nil"/>
              <w:bottom w:val="single" w:color="auto" w:sz="4" w:space="0"/>
              <w:right w:val="single" w:color="auto" w:sz="4" w:space="0"/>
            </w:tcBorders>
            <w:shd w:val="clear" w:color="auto" w:fill="auto"/>
            <w:noWrap/>
            <w:vAlign w:val="center"/>
          </w:tcPr>
          <w:p w14:paraId="20CD7F6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42B1CAEE">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792E5A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34</w:t>
            </w:r>
          </w:p>
        </w:tc>
        <w:tc>
          <w:tcPr>
            <w:tcW w:w="733" w:type="dxa"/>
            <w:tcBorders>
              <w:top w:val="nil"/>
              <w:left w:val="nil"/>
              <w:bottom w:val="single" w:color="auto" w:sz="4" w:space="0"/>
              <w:right w:val="single" w:color="auto" w:sz="4" w:space="0"/>
            </w:tcBorders>
            <w:shd w:val="clear" w:color="auto" w:fill="auto"/>
            <w:vAlign w:val="center"/>
          </w:tcPr>
          <w:p w14:paraId="59825426">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平板柔光灯</w:t>
            </w:r>
          </w:p>
        </w:tc>
        <w:tc>
          <w:tcPr>
            <w:tcW w:w="6237" w:type="dxa"/>
            <w:tcBorders>
              <w:top w:val="nil"/>
              <w:left w:val="nil"/>
              <w:bottom w:val="single" w:color="auto" w:sz="4" w:space="0"/>
              <w:right w:val="single" w:color="auto" w:sz="4" w:space="0"/>
            </w:tcBorders>
            <w:shd w:val="clear" w:color="auto" w:fill="auto"/>
            <w:vAlign w:val="center"/>
          </w:tcPr>
          <w:p w14:paraId="77E30D1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1.采用≥630*0.2W LED光源，光源平均寿命≥50000H。</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2.具备光斑角度≥100°。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3.支持0-25次/秒电子频闪，速度可调节，内置随机频闪或脉冲频闪；支持0-100%电子线性调光。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4.支持DMX信号更新、云端服务器远程在线更新。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5.采用数码管显示，配置≥4个机械按键。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6.内置NTC温度控测功能，当LED工作过热时，智能降低LED的输出功率。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7.支持DMX512协议，RDM协议，内置主从模式、自走模式、手动控制模式。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8.具备≥2种通道模式，由精简模式≥2CH，标准模式≥5CH组成。</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9.配置≥1个电源输入接口，≥1个电源输出接口，≥1个DMX512输入接口，≥1个DMX512输出接口。</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10.具备Ra≥97，TLCI≥95。</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11.支持3000K-6500K色温线性调节。</w:t>
            </w:r>
          </w:p>
        </w:tc>
        <w:tc>
          <w:tcPr>
            <w:tcW w:w="709" w:type="dxa"/>
            <w:tcBorders>
              <w:top w:val="nil"/>
              <w:left w:val="nil"/>
              <w:bottom w:val="single" w:color="auto" w:sz="4" w:space="0"/>
              <w:right w:val="single" w:color="auto" w:sz="4" w:space="0"/>
            </w:tcBorders>
            <w:shd w:val="clear" w:color="auto" w:fill="auto"/>
            <w:noWrap/>
            <w:vAlign w:val="center"/>
          </w:tcPr>
          <w:p w14:paraId="5C7A430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681" w:type="dxa"/>
            <w:tcBorders>
              <w:top w:val="nil"/>
              <w:left w:val="nil"/>
              <w:bottom w:val="single" w:color="auto" w:sz="4" w:space="0"/>
              <w:right w:val="single" w:color="auto" w:sz="4" w:space="0"/>
            </w:tcBorders>
            <w:shd w:val="clear" w:color="auto" w:fill="auto"/>
            <w:noWrap/>
            <w:vAlign w:val="center"/>
          </w:tcPr>
          <w:p w14:paraId="5969962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6AECC813">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9C2DCD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35</w:t>
            </w:r>
          </w:p>
        </w:tc>
        <w:tc>
          <w:tcPr>
            <w:tcW w:w="733" w:type="dxa"/>
            <w:tcBorders>
              <w:top w:val="nil"/>
              <w:left w:val="nil"/>
              <w:bottom w:val="single" w:color="auto" w:sz="4" w:space="0"/>
              <w:right w:val="single" w:color="auto" w:sz="4" w:space="0"/>
            </w:tcBorders>
            <w:shd w:val="clear" w:color="auto" w:fill="auto"/>
            <w:vAlign w:val="center"/>
          </w:tcPr>
          <w:p w14:paraId="039FB9F2">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影视灯</w:t>
            </w:r>
          </w:p>
        </w:tc>
        <w:tc>
          <w:tcPr>
            <w:tcW w:w="6237" w:type="dxa"/>
            <w:tcBorders>
              <w:top w:val="nil"/>
              <w:left w:val="nil"/>
              <w:bottom w:val="single" w:color="auto" w:sz="4" w:space="0"/>
              <w:right w:val="single" w:color="auto" w:sz="4" w:space="0"/>
            </w:tcBorders>
            <w:shd w:val="clear" w:color="auto" w:fill="auto"/>
            <w:vAlign w:val="center"/>
          </w:tcPr>
          <w:p w14:paraId="21AD1A1C">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1.采用≥200W LED COB光源，光源平均寿命≥50000H。</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2.具备≥45°光束角度。</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3.支持DMX信号更新、云端服务器远程在线更新。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4.支持0-25次/秒电子频闪，速度可调节，内置随机频闪或脉冲频闪,支持0-100%电子线性调光。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5.支持3000K-6000K色温线性调节。</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6.采用数码管显示，配置≥4个机械按键。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7.内置NTC温度控测功能，当LED工作过热时，智能降低LED的输出功率。</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8.支持DMX512协议，RDM协议，内置主从模式、自走模式、手动控制模式。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9.具备≥3种通道模式，包含精简模式≥2CH，标准模式≥6CH，拓展模式≥7CH。</w:t>
            </w:r>
          </w:p>
        </w:tc>
        <w:tc>
          <w:tcPr>
            <w:tcW w:w="709" w:type="dxa"/>
            <w:tcBorders>
              <w:top w:val="nil"/>
              <w:left w:val="nil"/>
              <w:bottom w:val="single" w:color="auto" w:sz="4" w:space="0"/>
              <w:right w:val="single" w:color="auto" w:sz="4" w:space="0"/>
            </w:tcBorders>
            <w:shd w:val="clear" w:color="auto" w:fill="auto"/>
            <w:noWrap/>
            <w:vAlign w:val="center"/>
          </w:tcPr>
          <w:p w14:paraId="08CF698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681" w:type="dxa"/>
            <w:tcBorders>
              <w:top w:val="nil"/>
              <w:left w:val="nil"/>
              <w:bottom w:val="single" w:color="auto" w:sz="4" w:space="0"/>
              <w:right w:val="single" w:color="auto" w:sz="4" w:space="0"/>
            </w:tcBorders>
            <w:shd w:val="clear" w:color="auto" w:fill="auto"/>
            <w:noWrap/>
            <w:vAlign w:val="center"/>
          </w:tcPr>
          <w:p w14:paraId="18114E1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427654DF">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8C4824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36</w:t>
            </w:r>
          </w:p>
        </w:tc>
        <w:tc>
          <w:tcPr>
            <w:tcW w:w="733" w:type="dxa"/>
            <w:tcBorders>
              <w:top w:val="nil"/>
              <w:left w:val="nil"/>
              <w:bottom w:val="single" w:color="auto" w:sz="4" w:space="0"/>
              <w:right w:val="single" w:color="auto" w:sz="4" w:space="0"/>
            </w:tcBorders>
            <w:shd w:val="clear" w:color="auto" w:fill="auto"/>
            <w:vAlign w:val="center"/>
          </w:tcPr>
          <w:p w14:paraId="45C7B87C">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控台</w:t>
            </w:r>
          </w:p>
        </w:tc>
        <w:tc>
          <w:tcPr>
            <w:tcW w:w="6237" w:type="dxa"/>
            <w:tcBorders>
              <w:top w:val="nil"/>
              <w:left w:val="nil"/>
              <w:bottom w:val="single" w:color="auto" w:sz="4" w:space="0"/>
              <w:right w:val="single" w:color="auto" w:sz="4" w:space="0"/>
            </w:tcBorders>
            <w:shd w:val="clear" w:color="auto" w:fill="auto"/>
            <w:vAlign w:val="center"/>
          </w:tcPr>
          <w:p w14:paraId="19FD5832">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1.具备≥1024个DMX512 通道数。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2.支持≥96台电脑灯的配接数量。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3.支持电脑灯重新配接地址码，支持灯具水平垂直交换，支持灯具通道反相输出。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4.支持灯具通道滑步模式切换，支持≥40主通道+≥40微调通道控制，支持R20灯库。</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5.具备≥60个可保存的场景，具备≥10个可同时运行的场景，具备≥600步场景的总步数。</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6.具备淡入、淡出、LTP滑步场景时间控制。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7.支持推杆启动场景并进行调光，支持互锁场景，支持点控场景。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8.具备图形生成器，每个场景可存储≥5个图形。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9.具备≥10个可同时运行图形数量。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10.具备全局、重演、灯具主控推杆。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11.支持立即黑场。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12.支持转盘调整通道数值，支持推杆调整通道数值，支持推杆调光。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13.支持FAT32格式U盘读取。</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14.支持Art-net协议与RDM协议。</w:t>
            </w:r>
          </w:p>
        </w:tc>
        <w:tc>
          <w:tcPr>
            <w:tcW w:w="709" w:type="dxa"/>
            <w:tcBorders>
              <w:top w:val="nil"/>
              <w:left w:val="nil"/>
              <w:bottom w:val="single" w:color="auto" w:sz="4" w:space="0"/>
              <w:right w:val="single" w:color="auto" w:sz="4" w:space="0"/>
            </w:tcBorders>
            <w:shd w:val="clear" w:color="auto" w:fill="auto"/>
            <w:noWrap/>
            <w:vAlign w:val="center"/>
          </w:tcPr>
          <w:p w14:paraId="272D464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0EED58D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5D373B56">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0A2D94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37</w:t>
            </w:r>
          </w:p>
        </w:tc>
        <w:tc>
          <w:tcPr>
            <w:tcW w:w="733" w:type="dxa"/>
            <w:tcBorders>
              <w:top w:val="nil"/>
              <w:left w:val="nil"/>
              <w:bottom w:val="single" w:color="auto" w:sz="4" w:space="0"/>
              <w:right w:val="single" w:color="auto" w:sz="4" w:space="0"/>
            </w:tcBorders>
            <w:shd w:val="clear" w:color="auto" w:fill="auto"/>
            <w:vAlign w:val="center"/>
          </w:tcPr>
          <w:p w14:paraId="1275A88C">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直通箱</w:t>
            </w:r>
          </w:p>
        </w:tc>
        <w:tc>
          <w:tcPr>
            <w:tcW w:w="6237" w:type="dxa"/>
            <w:tcBorders>
              <w:top w:val="nil"/>
              <w:left w:val="nil"/>
              <w:bottom w:val="single" w:color="auto" w:sz="4" w:space="0"/>
              <w:right w:val="single" w:color="auto" w:sz="4" w:space="0"/>
            </w:tcBorders>
            <w:shd w:val="clear" w:color="auto" w:fill="auto"/>
            <w:vAlign w:val="center"/>
          </w:tcPr>
          <w:p w14:paraId="46CFC81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1.具备过载与短路双重保护高分断空气开关。</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2.具备≥12路×4KW功率输出。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3.支持A.B.C三相工作指示灯。</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4.支持两脚和三脚万能用插座。</w:t>
            </w:r>
          </w:p>
        </w:tc>
        <w:tc>
          <w:tcPr>
            <w:tcW w:w="709" w:type="dxa"/>
            <w:tcBorders>
              <w:top w:val="nil"/>
              <w:left w:val="nil"/>
              <w:bottom w:val="single" w:color="auto" w:sz="4" w:space="0"/>
              <w:right w:val="single" w:color="auto" w:sz="4" w:space="0"/>
            </w:tcBorders>
            <w:shd w:val="clear" w:color="auto" w:fill="auto"/>
            <w:noWrap/>
            <w:vAlign w:val="center"/>
          </w:tcPr>
          <w:p w14:paraId="2C3C144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17E23C7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047BB958">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AEC275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38</w:t>
            </w:r>
          </w:p>
        </w:tc>
        <w:tc>
          <w:tcPr>
            <w:tcW w:w="733" w:type="dxa"/>
            <w:tcBorders>
              <w:top w:val="nil"/>
              <w:left w:val="nil"/>
              <w:bottom w:val="single" w:color="auto" w:sz="4" w:space="0"/>
              <w:right w:val="single" w:color="auto" w:sz="4" w:space="0"/>
            </w:tcBorders>
            <w:shd w:val="clear" w:color="auto" w:fill="auto"/>
            <w:vAlign w:val="center"/>
          </w:tcPr>
          <w:p w14:paraId="40AEDB73">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信号放大器</w:t>
            </w:r>
          </w:p>
        </w:tc>
        <w:tc>
          <w:tcPr>
            <w:tcW w:w="6237" w:type="dxa"/>
            <w:tcBorders>
              <w:top w:val="nil"/>
              <w:left w:val="nil"/>
              <w:bottom w:val="single" w:color="auto" w:sz="4" w:space="0"/>
              <w:right w:val="single" w:color="auto" w:sz="4" w:space="0"/>
            </w:tcBorders>
            <w:shd w:val="clear" w:color="auto" w:fill="auto"/>
            <w:vAlign w:val="center"/>
          </w:tcPr>
          <w:p w14:paraId="0F259B4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1.支持DMX512公母接口输入。</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2.支持输入输出光电隔离。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3.支持≥8路独立放大驱动输出。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4.具备信号放大整形功能，延长信号传输距离。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5.具备增强数据总线接入设备数量的能力。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6.具备独立的LED信号指示。</w:t>
            </w:r>
          </w:p>
        </w:tc>
        <w:tc>
          <w:tcPr>
            <w:tcW w:w="709" w:type="dxa"/>
            <w:tcBorders>
              <w:top w:val="nil"/>
              <w:left w:val="nil"/>
              <w:bottom w:val="single" w:color="auto" w:sz="4" w:space="0"/>
              <w:right w:val="single" w:color="auto" w:sz="4" w:space="0"/>
            </w:tcBorders>
            <w:shd w:val="clear" w:color="auto" w:fill="auto"/>
            <w:noWrap/>
            <w:vAlign w:val="center"/>
          </w:tcPr>
          <w:p w14:paraId="30C1C33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146BBE9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2234AE66">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9821C91">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39</w:t>
            </w:r>
          </w:p>
        </w:tc>
        <w:tc>
          <w:tcPr>
            <w:tcW w:w="733" w:type="dxa"/>
            <w:tcBorders>
              <w:top w:val="nil"/>
              <w:left w:val="nil"/>
              <w:bottom w:val="single" w:color="auto" w:sz="4" w:space="0"/>
              <w:right w:val="single" w:color="auto" w:sz="4" w:space="0"/>
            </w:tcBorders>
            <w:shd w:val="clear" w:color="auto" w:fill="auto"/>
            <w:noWrap/>
            <w:vAlign w:val="center"/>
          </w:tcPr>
          <w:p w14:paraId="2F8EB7F9">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技术服务费</w:t>
            </w:r>
          </w:p>
        </w:tc>
        <w:tc>
          <w:tcPr>
            <w:tcW w:w="6237" w:type="dxa"/>
            <w:tcBorders>
              <w:top w:val="nil"/>
              <w:left w:val="nil"/>
              <w:bottom w:val="single" w:color="auto" w:sz="4" w:space="0"/>
              <w:right w:val="single" w:color="auto" w:sz="4" w:space="0"/>
            </w:tcBorders>
            <w:shd w:val="clear" w:color="auto" w:fill="auto"/>
            <w:noWrap/>
            <w:vAlign w:val="center"/>
          </w:tcPr>
          <w:p w14:paraId="1134A85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709" w:type="dxa"/>
            <w:tcBorders>
              <w:top w:val="nil"/>
              <w:left w:val="nil"/>
              <w:bottom w:val="single" w:color="auto" w:sz="4" w:space="0"/>
              <w:right w:val="single" w:color="auto" w:sz="4" w:space="0"/>
            </w:tcBorders>
            <w:shd w:val="clear" w:color="auto" w:fill="auto"/>
            <w:noWrap/>
            <w:vAlign w:val="center"/>
          </w:tcPr>
          <w:p w14:paraId="2C2C00FB">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81" w:type="dxa"/>
            <w:tcBorders>
              <w:top w:val="nil"/>
              <w:left w:val="nil"/>
              <w:bottom w:val="single" w:color="auto" w:sz="4" w:space="0"/>
              <w:right w:val="single" w:color="auto" w:sz="4" w:space="0"/>
            </w:tcBorders>
            <w:shd w:val="clear" w:color="auto" w:fill="auto"/>
            <w:noWrap/>
            <w:vAlign w:val="center"/>
          </w:tcPr>
          <w:p w14:paraId="2F2E671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w:t>
            </w:r>
          </w:p>
        </w:tc>
      </w:tr>
      <w:tr w14:paraId="146FEA48">
        <w:tblPrEx>
          <w:tblCellMar>
            <w:top w:w="0" w:type="dxa"/>
            <w:left w:w="108" w:type="dxa"/>
            <w:bottom w:w="0" w:type="dxa"/>
            <w:right w:w="108" w:type="dxa"/>
          </w:tblCellMar>
        </w:tblPrEx>
        <w:trPr>
          <w:trHeight w:val="40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A1353D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40</w:t>
            </w:r>
          </w:p>
        </w:tc>
        <w:tc>
          <w:tcPr>
            <w:tcW w:w="733" w:type="dxa"/>
            <w:tcBorders>
              <w:top w:val="nil"/>
              <w:left w:val="nil"/>
              <w:bottom w:val="single" w:color="auto" w:sz="4" w:space="0"/>
              <w:right w:val="single" w:color="auto" w:sz="4" w:space="0"/>
            </w:tcBorders>
            <w:shd w:val="clear" w:color="auto" w:fill="auto"/>
            <w:noWrap/>
            <w:vAlign w:val="center"/>
          </w:tcPr>
          <w:p w14:paraId="32858387">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布线机柜</w:t>
            </w:r>
          </w:p>
        </w:tc>
        <w:tc>
          <w:tcPr>
            <w:tcW w:w="6237" w:type="dxa"/>
            <w:tcBorders>
              <w:top w:val="nil"/>
              <w:left w:val="nil"/>
              <w:bottom w:val="single" w:color="auto" w:sz="4" w:space="0"/>
              <w:right w:val="single" w:color="auto" w:sz="4" w:space="0"/>
            </w:tcBorders>
            <w:shd w:val="clear" w:color="auto" w:fill="auto"/>
            <w:vAlign w:val="center"/>
          </w:tcPr>
          <w:p w14:paraId="4713B300">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规格：WDH/600mm×600mm×1645mm</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颜色：砂纹灰白（HH318）</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配置：1块300mm深固定层板/1条标准10A五插电源插座/2把220V交流散热风扇/30套M6安装套件。</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描述：机柜采用全模块化组装结构，内置4根19寸标33U（1U=44.45mm）安装立柱；前门为单开带锁钢制嵌边式玻璃门，侧门和后门为快速拆卸式钢制门，机柜静态载重达到850KG</w:t>
            </w:r>
          </w:p>
        </w:tc>
        <w:tc>
          <w:tcPr>
            <w:tcW w:w="709" w:type="dxa"/>
            <w:tcBorders>
              <w:top w:val="nil"/>
              <w:left w:val="nil"/>
              <w:bottom w:val="single" w:color="auto" w:sz="4" w:space="0"/>
              <w:right w:val="single" w:color="auto" w:sz="4" w:space="0"/>
            </w:tcBorders>
            <w:shd w:val="clear" w:color="auto" w:fill="auto"/>
            <w:noWrap/>
            <w:vAlign w:val="center"/>
          </w:tcPr>
          <w:p w14:paraId="59C6E27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noWrap/>
            <w:vAlign w:val="center"/>
          </w:tcPr>
          <w:p w14:paraId="3DEBA6E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7D8E5330">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47B7C4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41</w:t>
            </w:r>
          </w:p>
        </w:tc>
        <w:tc>
          <w:tcPr>
            <w:tcW w:w="733" w:type="dxa"/>
            <w:tcBorders>
              <w:top w:val="nil"/>
              <w:left w:val="nil"/>
              <w:bottom w:val="single" w:color="auto" w:sz="4" w:space="0"/>
              <w:right w:val="single" w:color="auto" w:sz="4" w:space="0"/>
            </w:tcBorders>
            <w:shd w:val="clear" w:color="auto" w:fill="auto"/>
            <w:vAlign w:val="center"/>
          </w:tcPr>
          <w:p w14:paraId="305AE158">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辅助材料</w:t>
            </w:r>
          </w:p>
        </w:tc>
        <w:tc>
          <w:tcPr>
            <w:tcW w:w="6237" w:type="dxa"/>
            <w:tcBorders>
              <w:top w:val="nil"/>
              <w:left w:val="nil"/>
              <w:bottom w:val="single" w:color="auto" w:sz="4" w:space="0"/>
              <w:right w:val="single" w:color="auto" w:sz="4" w:space="0"/>
            </w:tcBorders>
            <w:shd w:val="clear" w:color="auto" w:fill="auto"/>
            <w:vAlign w:val="center"/>
          </w:tcPr>
          <w:p w14:paraId="2983BFFE">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包含，线材，接头，DI盒,声卡等</w:t>
            </w:r>
          </w:p>
        </w:tc>
        <w:tc>
          <w:tcPr>
            <w:tcW w:w="709" w:type="dxa"/>
            <w:tcBorders>
              <w:top w:val="nil"/>
              <w:left w:val="nil"/>
              <w:bottom w:val="single" w:color="auto" w:sz="4" w:space="0"/>
              <w:right w:val="single" w:color="auto" w:sz="4" w:space="0"/>
            </w:tcBorders>
            <w:shd w:val="clear" w:color="auto" w:fill="auto"/>
            <w:vAlign w:val="center"/>
          </w:tcPr>
          <w:p w14:paraId="3E6930A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81" w:type="dxa"/>
            <w:tcBorders>
              <w:top w:val="nil"/>
              <w:left w:val="nil"/>
              <w:bottom w:val="single" w:color="auto" w:sz="4" w:space="0"/>
              <w:right w:val="single" w:color="auto" w:sz="4" w:space="0"/>
            </w:tcBorders>
            <w:shd w:val="clear" w:color="auto" w:fill="auto"/>
            <w:vAlign w:val="center"/>
          </w:tcPr>
          <w:p w14:paraId="647BD45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根</w:t>
            </w:r>
          </w:p>
        </w:tc>
      </w:tr>
    </w:tbl>
    <w:p w14:paraId="372CBE5E">
      <w:pPr>
        <w:rPr>
          <w:rFonts w:hint="eastAsia" w:ascii="宋体" w:hAnsi="宋体" w:cs="宋体"/>
          <w:b/>
          <w:bCs/>
          <w:color w:val="auto"/>
          <w:kern w:val="44"/>
          <w:sz w:val="24"/>
          <w:highlight w:val="none"/>
        </w:rPr>
      </w:pPr>
    </w:p>
    <w:p w14:paraId="4A8FEA99">
      <w:pPr>
        <w:rPr>
          <w:rFonts w:hint="eastAsia" w:ascii="宋体" w:hAnsi="宋体" w:cs="宋体"/>
          <w:b/>
          <w:bCs/>
          <w:color w:val="auto"/>
          <w:kern w:val="44"/>
          <w:sz w:val="24"/>
          <w:highlight w:val="none"/>
        </w:rPr>
      </w:pPr>
    </w:p>
    <w:p w14:paraId="0E27D03E">
      <w:pPr>
        <w:rPr>
          <w:rFonts w:hint="eastAsia" w:ascii="宋体" w:hAnsi="宋体" w:cs="宋体"/>
          <w:b/>
          <w:bCs/>
          <w:color w:val="auto"/>
          <w:kern w:val="44"/>
          <w:sz w:val="24"/>
          <w:highlight w:val="none"/>
        </w:rPr>
      </w:pPr>
      <w:r>
        <w:rPr>
          <w:rFonts w:hint="eastAsia" w:ascii="宋体" w:hAnsi="宋体" w:cs="宋体"/>
          <w:b/>
          <w:bCs/>
          <w:color w:val="auto"/>
          <w:kern w:val="44"/>
          <w:sz w:val="24"/>
          <w:highlight w:val="none"/>
        </w:rPr>
        <w:br w:type="page"/>
      </w:r>
    </w:p>
    <w:p w14:paraId="286C9A24">
      <w:pPr>
        <w:pStyle w:val="9"/>
        <w:ind w:firstLine="0"/>
        <w:outlineLvl w:val="1"/>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标项二：报告厅设备采购（二）</w:t>
      </w:r>
    </w:p>
    <w:tbl>
      <w:tblPr>
        <w:tblStyle w:val="22"/>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06"/>
        <w:gridCol w:w="5244"/>
        <w:gridCol w:w="822"/>
        <w:gridCol w:w="738"/>
        <w:gridCol w:w="1117"/>
      </w:tblGrid>
      <w:tr w14:paraId="7275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Mar>
              <w:top w:w="0" w:type="dxa"/>
              <w:left w:w="0" w:type="dxa"/>
              <w:bottom w:w="0" w:type="dxa"/>
              <w:right w:w="0" w:type="dxa"/>
            </w:tcMar>
            <w:vAlign w:val="center"/>
          </w:tcPr>
          <w:p w14:paraId="696212B8">
            <w:pPr>
              <w:snapToGrid w:val="0"/>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采购清单及技术参数需求一览表</w:t>
            </w:r>
          </w:p>
        </w:tc>
      </w:tr>
      <w:tr w14:paraId="3B53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tcMar>
              <w:top w:w="0" w:type="dxa"/>
              <w:left w:w="0" w:type="dxa"/>
              <w:bottom w:w="0" w:type="dxa"/>
              <w:right w:w="0" w:type="dxa"/>
            </w:tcMar>
            <w:vAlign w:val="center"/>
          </w:tcPr>
          <w:p w14:paraId="0F86C274">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628" w:type="pct"/>
            <w:vAlign w:val="center"/>
          </w:tcPr>
          <w:p w14:paraId="3FDE86A0">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标的名称</w:t>
            </w:r>
          </w:p>
        </w:tc>
        <w:tc>
          <w:tcPr>
            <w:tcW w:w="2736" w:type="pct"/>
            <w:vAlign w:val="center"/>
          </w:tcPr>
          <w:p w14:paraId="56DF8197">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技术参数</w:t>
            </w:r>
          </w:p>
        </w:tc>
        <w:tc>
          <w:tcPr>
            <w:tcW w:w="429" w:type="pct"/>
            <w:vAlign w:val="center"/>
          </w:tcPr>
          <w:p w14:paraId="577B530C">
            <w:pPr>
              <w:snapToGrid w:val="0"/>
              <w:jc w:val="center"/>
              <w:rPr>
                <w:rFonts w:hint="eastAsia" w:ascii="宋体" w:hAnsi="宋体" w:cs="宋体"/>
                <w:b/>
                <w:bCs/>
                <w:color w:val="auto"/>
                <w:sz w:val="24"/>
                <w:highlight w:val="none"/>
              </w:rPr>
            </w:pPr>
            <w:r>
              <w:rPr>
                <w:rFonts w:hint="eastAsia" w:ascii="宋体" w:hAnsi="宋体" w:cs="宋体"/>
                <w:b/>
                <w:color w:val="auto"/>
                <w:sz w:val="24"/>
                <w:highlight w:val="none"/>
              </w:rPr>
              <w:t>数量</w:t>
            </w:r>
          </w:p>
        </w:tc>
        <w:tc>
          <w:tcPr>
            <w:tcW w:w="385" w:type="pct"/>
            <w:vAlign w:val="center"/>
          </w:tcPr>
          <w:p w14:paraId="312DE15B">
            <w:pPr>
              <w:snapToGrid w:val="0"/>
              <w:jc w:val="center"/>
              <w:rPr>
                <w:rFonts w:hint="eastAsia" w:ascii="宋体" w:hAnsi="宋体" w:cs="宋体"/>
                <w:b/>
                <w:bCs/>
                <w:color w:val="auto"/>
                <w:sz w:val="24"/>
                <w:highlight w:val="none"/>
              </w:rPr>
            </w:pPr>
            <w:r>
              <w:rPr>
                <w:rFonts w:hint="eastAsia" w:ascii="宋体" w:hAnsi="宋体" w:cs="宋体"/>
                <w:b/>
                <w:color w:val="auto"/>
                <w:sz w:val="24"/>
                <w:highlight w:val="none"/>
              </w:rPr>
              <w:t>单位</w:t>
            </w:r>
          </w:p>
        </w:tc>
        <w:tc>
          <w:tcPr>
            <w:tcW w:w="580" w:type="pct"/>
            <w:vAlign w:val="center"/>
          </w:tcPr>
          <w:p w14:paraId="482B2C69">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中小企业划分标准所属行业名称（行业名称及划分见本章附件）</w:t>
            </w:r>
          </w:p>
        </w:tc>
      </w:tr>
      <w:tr w14:paraId="23B8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109B5C25">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628" w:type="pct"/>
            <w:vAlign w:val="center"/>
          </w:tcPr>
          <w:p w14:paraId="332AA898">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大厅静音地板胶</w:t>
            </w:r>
          </w:p>
        </w:tc>
        <w:tc>
          <w:tcPr>
            <w:tcW w:w="2736" w:type="pct"/>
            <w:vAlign w:val="center"/>
          </w:tcPr>
          <w:p w14:paraId="0692AF0E">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PVC，2*2.0</w:t>
            </w:r>
          </w:p>
        </w:tc>
        <w:tc>
          <w:tcPr>
            <w:tcW w:w="429" w:type="pct"/>
            <w:vAlign w:val="center"/>
          </w:tcPr>
          <w:p w14:paraId="44526BC6">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830</w:t>
            </w:r>
          </w:p>
        </w:tc>
        <w:tc>
          <w:tcPr>
            <w:tcW w:w="385" w:type="pct"/>
            <w:vAlign w:val="center"/>
          </w:tcPr>
          <w:p w14:paraId="28FD73E8">
            <w:pPr>
              <w:widowControl/>
              <w:snapToGrid w:val="0"/>
              <w:spacing w:line="312" w:lineRule="auto"/>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平方米</w:t>
            </w:r>
          </w:p>
        </w:tc>
        <w:tc>
          <w:tcPr>
            <w:tcW w:w="580" w:type="pct"/>
            <w:vAlign w:val="center"/>
          </w:tcPr>
          <w:p w14:paraId="1E54511E">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3CF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7E706467">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628" w:type="pct"/>
            <w:vAlign w:val="center"/>
          </w:tcPr>
          <w:p w14:paraId="38C8C711">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大厅墙面凿平+吸音板+龙骨+吸音棉</w:t>
            </w:r>
          </w:p>
        </w:tc>
        <w:tc>
          <w:tcPr>
            <w:tcW w:w="2736" w:type="pct"/>
            <w:vAlign w:val="center"/>
          </w:tcPr>
          <w:p w14:paraId="0989B690">
            <w:pPr>
              <w:widowControl/>
              <w:snapToGrid w:val="0"/>
              <w:spacing w:line="312"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1、防火等级：产品为A1级不燃材料，可耐1200℃的高温。耐火极限3小时；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2、绿色环保：基材不含石棉，对环境无副作用的产品，不含有毒及重金属，无放射性，不会释放任何有害物质到空气、水体中。遇高温或明火不会产生有害气体和烟雾；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3、吸音性能：根据声学原理结合多微孔结构体系，使其具有出色的降噪吸音性能；对中、高频吸音效果尤佳；降噪系数NRC最高可达0.95，符合I级要求；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4、防静电：体积电阻为1X106~1X108Ω，可以有效防止静电放电现象的产生，为永久防静电材料，能够减少灰尘的吸附，减少维护成本；</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5、防潮性能：核心采用含稀土的无机材料，耐水性好，潮湿状态下强度不会下降，也不会被腐蚀或产生霉菌。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6、高强度和抗冲击性强：5毫米厚度抗折强度达30MPA以上，表面层致密不易破损，抗冲击能力强，不易产生划痕。</w:t>
            </w:r>
          </w:p>
        </w:tc>
        <w:tc>
          <w:tcPr>
            <w:tcW w:w="429" w:type="pct"/>
            <w:vAlign w:val="center"/>
          </w:tcPr>
          <w:p w14:paraId="032D6E8F">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600</w:t>
            </w:r>
          </w:p>
        </w:tc>
        <w:tc>
          <w:tcPr>
            <w:tcW w:w="385" w:type="pct"/>
            <w:vAlign w:val="center"/>
          </w:tcPr>
          <w:p w14:paraId="00F718ED">
            <w:pPr>
              <w:widowControl/>
              <w:snapToGrid w:val="0"/>
              <w:spacing w:line="312" w:lineRule="auto"/>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平方米</w:t>
            </w:r>
          </w:p>
        </w:tc>
        <w:tc>
          <w:tcPr>
            <w:tcW w:w="580" w:type="pct"/>
            <w:vAlign w:val="center"/>
          </w:tcPr>
          <w:p w14:paraId="2283FFB0">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6477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158D5B94">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628" w:type="pct"/>
            <w:vAlign w:val="center"/>
          </w:tcPr>
          <w:p w14:paraId="6AFEECB8">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演讲台</w:t>
            </w:r>
          </w:p>
        </w:tc>
        <w:tc>
          <w:tcPr>
            <w:tcW w:w="2736" w:type="pct"/>
            <w:vAlign w:val="center"/>
          </w:tcPr>
          <w:p w14:paraId="50CC3246">
            <w:pPr>
              <w:widowControl/>
              <w:snapToGrid w:val="0"/>
              <w:spacing w:line="312"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材质：优等绿色环保多层是木板，并经防腐、防虫处理，甲醛释放量符合 GB18580-2001 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木皮：采用AAA 级进口胡桃木木皮饰面，厚度不低于 0.3mm， 纹理清晰自然。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油漆：优质环保聚脂油漆采用五底三面以上油漆方式，漆膜硬度≥2H，光滑耐磨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粘胶：高级环保胶粘剂，符合 18586-2001 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五金：优质五金配件，符合国家相关质量标准</w:t>
            </w:r>
          </w:p>
        </w:tc>
        <w:tc>
          <w:tcPr>
            <w:tcW w:w="429" w:type="pct"/>
            <w:vAlign w:val="center"/>
          </w:tcPr>
          <w:p w14:paraId="44B182C4">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85" w:type="pct"/>
            <w:vAlign w:val="center"/>
          </w:tcPr>
          <w:p w14:paraId="68F28326">
            <w:pPr>
              <w:widowControl/>
              <w:snapToGrid w:val="0"/>
              <w:spacing w:line="312" w:lineRule="auto"/>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个</w:t>
            </w:r>
          </w:p>
        </w:tc>
        <w:tc>
          <w:tcPr>
            <w:tcW w:w="580" w:type="pct"/>
            <w:vAlign w:val="center"/>
          </w:tcPr>
          <w:p w14:paraId="3A9E42DD">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2B20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67F26E68">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628" w:type="pct"/>
            <w:vAlign w:val="center"/>
          </w:tcPr>
          <w:p w14:paraId="5A828803">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主席台桌椅</w:t>
            </w:r>
          </w:p>
        </w:tc>
        <w:tc>
          <w:tcPr>
            <w:tcW w:w="2736" w:type="pct"/>
            <w:vAlign w:val="center"/>
          </w:tcPr>
          <w:p w14:paraId="5CA8BB12">
            <w:pPr>
              <w:widowControl/>
              <w:snapToGrid w:val="0"/>
              <w:spacing w:line="312"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材质：优等绿色环保多层是木板，并经防腐、防虫处理，甲醛释放量符合 GB18580-2001 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木皮：采用AAA 级进口胡桃木木皮饰面，厚度不低于 0.3mm， 纹理清晰自然。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油漆：优质环保聚脂油漆采用五底三面以上油漆方式，漆膜硬度≥2H，光滑耐磨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粘胶：高级环保胶粘剂，符合 18586-2001 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五金：优质五金配件，符合国家相关质量标准</w:t>
            </w:r>
          </w:p>
        </w:tc>
        <w:tc>
          <w:tcPr>
            <w:tcW w:w="429" w:type="pct"/>
            <w:vAlign w:val="center"/>
          </w:tcPr>
          <w:p w14:paraId="501D9587">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385" w:type="pct"/>
            <w:vAlign w:val="center"/>
          </w:tcPr>
          <w:p w14:paraId="19FE3CC7">
            <w:pPr>
              <w:widowControl/>
              <w:snapToGrid w:val="0"/>
              <w:spacing w:line="312" w:lineRule="auto"/>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套</w:t>
            </w:r>
          </w:p>
        </w:tc>
        <w:tc>
          <w:tcPr>
            <w:tcW w:w="580" w:type="pct"/>
            <w:vAlign w:val="center"/>
          </w:tcPr>
          <w:p w14:paraId="496E64E0">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3E70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14:paraId="22EFABAC">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628" w:type="pct"/>
            <w:vAlign w:val="center"/>
          </w:tcPr>
          <w:p w14:paraId="5F99A027">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会议厅座椅</w:t>
            </w:r>
          </w:p>
        </w:tc>
        <w:tc>
          <w:tcPr>
            <w:tcW w:w="2736" w:type="pct"/>
            <w:vAlign w:val="center"/>
          </w:tcPr>
          <w:p w14:paraId="23A1DAA0">
            <w:pPr>
              <w:widowControl/>
              <w:snapToGrid w:val="0"/>
              <w:spacing w:line="312"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座距：中对中（礼堂椅左边扶手中间到右边扶手中间）570mm（±0.5mm）:    前后进深：（座椅写字板隐藏时：500mm（±0.5mm）；座垫展开是650mm（±0.5mm）：前写字板打开时：840mm（±0.5mm））：    高度（坐垫展开450mm（±0.5mm）：扶手高度620mm（±0.5mm）：座椅总高度：980mm（±0.5mm））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扶手站脚：热轧钢板，1.6ｍｍ厚（±0.5mm），采用优质钢板油压焊接成型，固定螺丝，采用隐蔽技术，表面采用先进的除油除锈磷化处理，经环氧-聚酯粉末涂料静电喷涂，高温塑化处理，外观平整不生锈，防腐蚀，（亚光）熔融结合环氧粉末涂层符合GB/T18593-2001国家标准，保持空气流畅，外型美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座背板：靠背海绵最厚度80mm（±0.5mm）：塑壳厚度40mm（±0.5mm），海绵面积450*650，海绵密度可达35-45千克/立方米，聚氨脂高回弹定型海绵外覆专业座椅面料（面料颜色可以选择），背内板内衬精压胶合板装配厚度为3mm钢板，钢板长孔距153mm（±0.5mm），宽孔距40mm，背壳为ABS工程塑料一次成型，塑壳宽430mm（±0.5mm），高度740mm（±0.5mm），厚度3mm（±0.5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座背软包：座垫海绵厚90mm（±0.5mm），塑壳厚度40mm（±0.5mm）：海绵面积：450*450，海绵密度可达35-45千克/立方米，聚氨脂高回弹定型海绵外覆专业座椅面料（面料颜色可以选择），座内板内衬精压胶合板，坐垫塑壳为ABS工程塑料一次成型，塑壳两端为内径25mm圆孔，圆孔中间使用直径24mm铁圆管横穿固定到两脚，使座椅在长时间使用下不变形，底座塑壳采用独特的吸音设计，具有完美的全场吸音效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4、回复机构：坐垫翻起采用双弹簧回复，回复快速精准。可稳定在放下和掀起两个终结点。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5、扶手板：纯实木，25ｍｍ厚（±0.5mm），采用实木加工成型，外履烤漆。采用脱水干燥缓冲处理，外履环保烤漆后能有效的耐磨、耐污、不易退色。执行GB 18581-2001标准。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6、面料：面料采用优质麻绒面料，经三防处理、抗静电、不起球，可选阻燃面料，阻燃达到国家B1级标准。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7、写字板 ：高密板，实木多层板均可采用，15mm厚（±0.5mm），高密板成型，PVC多元素复合材料高温封边；或实木多层板上环保净味漆。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8、写字板机构：采用铝支架机构。机构为圆钢支架，支架部分经防锈处理后静电粉末喷涂。涂层附着力强，耐腐蚀性高，耐磨度、耐冲击度强。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9、固定装置：拉爆丝，采用内爆压紧螺丝不突出外扣胶塞，安全美观。</w:t>
            </w:r>
          </w:p>
        </w:tc>
        <w:tc>
          <w:tcPr>
            <w:tcW w:w="429" w:type="pct"/>
            <w:vAlign w:val="center"/>
          </w:tcPr>
          <w:p w14:paraId="134CF987">
            <w:pPr>
              <w:widowControl/>
              <w:snapToGrid w:val="0"/>
              <w:spacing w:line="312"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666</w:t>
            </w:r>
          </w:p>
        </w:tc>
        <w:tc>
          <w:tcPr>
            <w:tcW w:w="385" w:type="pct"/>
            <w:vAlign w:val="center"/>
          </w:tcPr>
          <w:p w14:paraId="0B0D7BE0">
            <w:pPr>
              <w:widowControl/>
              <w:snapToGrid w:val="0"/>
              <w:spacing w:line="312" w:lineRule="auto"/>
              <w:jc w:val="center"/>
              <w:textAlignment w:val="center"/>
              <w:rPr>
                <w:rFonts w:hint="eastAsia" w:ascii="宋体" w:hAnsi="宋体" w:cs="宋体"/>
                <w:color w:val="auto"/>
                <w:sz w:val="24"/>
                <w:highlight w:val="none"/>
                <w:lang w:val="zh-CN"/>
              </w:rPr>
            </w:pPr>
            <w:r>
              <w:rPr>
                <w:rFonts w:hint="eastAsia" w:ascii="宋体" w:hAnsi="宋体" w:cs="宋体"/>
                <w:color w:val="auto"/>
                <w:kern w:val="0"/>
                <w:sz w:val="24"/>
                <w:highlight w:val="none"/>
                <w:lang w:bidi="ar"/>
              </w:rPr>
              <w:t>张</w:t>
            </w:r>
          </w:p>
        </w:tc>
        <w:tc>
          <w:tcPr>
            <w:tcW w:w="580" w:type="pct"/>
            <w:vAlign w:val="center"/>
          </w:tcPr>
          <w:p w14:paraId="1F55ECF6">
            <w:pPr>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1E9E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75B0E718">
            <w:pPr>
              <w:snapToGrid w:val="0"/>
              <w:spacing w:line="36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▲商务要求</w:t>
            </w:r>
          </w:p>
        </w:tc>
      </w:tr>
      <w:tr w14:paraId="4F9B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410FB3BA">
            <w:pPr>
              <w:widowControl/>
              <w:snapToGrid w:val="0"/>
              <w:spacing w:line="44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质保期</w:t>
            </w:r>
          </w:p>
        </w:tc>
        <w:tc>
          <w:tcPr>
            <w:tcW w:w="4132" w:type="pct"/>
            <w:gridSpan w:val="4"/>
            <w:vAlign w:val="center"/>
          </w:tcPr>
          <w:p w14:paraId="126EC26F">
            <w:pPr>
              <w:widowControl/>
              <w:snapToGrid w:val="0"/>
              <w:spacing w:line="420" w:lineRule="exact"/>
              <w:ind w:firstLine="420" w:firstLineChars="175"/>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质保期不少于三年</w:t>
            </w:r>
            <w:r>
              <w:rPr>
                <w:rFonts w:hint="eastAsia" w:ascii="宋体" w:hAnsi="宋体" w:cs="宋体"/>
                <w:color w:val="auto"/>
                <w:kern w:val="0"/>
                <w:sz w:val="24"/>
                <w:highlight w:val="none"/>
                <w:lang w:bidi="ar"/>
              </w:rPr>
              <w:t>（均为自交付使用并验收合格之日起计，如项目有特殊要求的，按要求质保），质保期内免费上门维修，免费更换配件（人为损坏除外的）：如设备发生大故障（指主要部件出现质量问题）时，供货方应负责免费更换相同品牌、型号的新设备。设备维修或更换后其保质期相应顺延。所有非故意性损坏以及在要求质量标准范围内的正常使用造成的损坏均要免费维修。对因采购方人员的不正当使用所造成的设备损坏不归供货方负责保修，但供货方也要积极帮助采购方修理设备，并保证提供优惠价格的配件和服务。</w:t>
            </w:r>
          </w:p>
          <w:p w14:paraId="3E25EA53">
            <w:pPr>
              <w:snapToGrid w:val="0"/>
              <w:spacing w:line="44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bidi="ar"/>
              </w:rPr>
              <w:t>货物验收合格后，质保期内免费服务（含部件、人力、上门等），质保期满后，乙方仍应提供维修服务，按维修件成本收费。</w:t>
            </w:r>
          </w:p>
        </w:tc>
      </w:tr>
      <w:tr w14:paraId="2CE2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14407B21">
            <w:pPr>
              <w:widowControl/>
              <w:snapToGrid w:val="0"/>
              <w:spacing w:line="44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基本要求</w:t>
            </w:r>
          </w:p>
        </w:tc>
        <w:tc>
          <w:tcPr>
            <w:tcW w:w="4132" w:type="pct"/>
            <w:gridSpan w:val="4"/>
            <w:vAlign w:val="center"/>
          </w:tcPr>
          <w:p w14:paraId="08C05A63">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投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565840AF">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2.投标人应列明详细的设备名称、型号规格、产地和生产厂家；</w:t>
            </w:r>
          </w:p>
          <w:p w14:paraId="12B666AC">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3.所有产品必须是具备厂家合法销售渠道的全新合格正品，所有设备必须完全满足采购文件所述性能配置要求，若产品在运输过程中损坏或擦伤须无偿调换相同产品。</w:t>
            </w:r>
          </w:p>
          <w:p w14:paraId="7A8D99F1">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4、为防止虚假应标，在中标公示期，采购人有权要求中标人提供本项目中设备按照招标文件参数及要求进行测试，如发现中标人提供的产品性能不满足招标文件要求或存在虚假应答情况的或不提供本项目中设备按照招标文件参数及要求进行测试的，采购人将不予签订合同，造成损失由中标人承担，并追究其相关法律责任。</w:t>
            </w:r>
          </w:p>
          <w:p w14:paraId="25579B01">
            <w:pPr>
              <w:pStyle w:val="13"/>
              <w:widowControl/>
              <w:autoSpaceDE/>
              <w:autoSpaceDN/>
              <w:adjustRightInd/>
              <w:snapToGrid w:val="0"/>
              <w:spacing w:line="44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采购需求中要求投标时、签订成交合同前及签订合同后须提供的所有相关证明材料，投标人必须按要求提供。如不提供，则视为提供虚假材料，中标（投标）无效，按政府采购相关法规处罚，并追究其相应的法律责任。</w:t>
            </w:r>
          </w:p>
        </w:tc>
      </w:tr>
      <w:tr w14:paraId="3DA3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7C7C03CF">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报价方式</w:t>
            </w:r>
          </w:p>
        </w:tc>
        <w:tc>
          <w:tcPr>
            <w:tcW w:w="4132" w:type="pct"/>
            <w:gridSpan w:val="4"/>
            <w:vAlign w:val="center"/>
          </w:tcPr>
          <w:p w14:paraId="3CAB04E0">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本项目以合同总价形式报价，超过最高限价：人民币伍拾柒万叁仟贰佰叁拾元整（￥573230.00）的竞标报价无效。</w:t>
            </w:r>
          </w:p>
          <w:p w14:paraId="07E6D5C7">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注：投标报价是履行合同的最终价格，供应商应充分考虑对竞标报价中的货物和服务的报价应包括完成本项工作所需的人工、材料、器材、管理、维护、保险、利润、税金、通讯器材、办公设备、政策性文件规定及合同包含的所有风险、责任等各项应有费用。竞标报价除非因特殊原因并经买卖双方协商同意，供应商不得再要求追加任何费用。同时，除非合同条款中另有规定，否则，投标单位所报价格在合同实施期间不因市场变化因素而变动。</w:t>
            </w:r>
          </w:p>
        </w:tc>
      </w:tr>
      <w:tr w14:paraId="4E98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53464BD5">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售后服务要求</w:t>
            </w:r>
          </w:p>
        </w:tc>
        <w:tc>
          <w:tcPr>
            <w:tcW w:w="4132" w:type="pct"/>
            <w:gridSpan w:val="4"/>
            <w:vAlign w:val="center"/>
          </w:tcPr>
          <w:p w14:paraId="4AD81620">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1）产品保质、保修责任：产品质保期内，货物在正常使用情况下出现质量问题（非人为损坏）免费修理维护，免费更换零部件；如在使用过程中发生故障问题（除不可抗拒因素以及由采购人原因造成故障外），中标人在接到采购人通知后30分钟内响应，一般故障修复时间不超过6小时。重大故障24小时内解决，并提交故障报告说明。中标人承担设备故障处理产生的所有费用。因所供货物质量问题导致安全事故的，采购人有权终止合同，损失由中标人负全部责任。</w:t>
            </w:r>
          </w:p>
          <w:p w14:paraId="5ED5AB1B">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（2）中标人须提供完整的设备安装、调试、操作、使用、控制和维护手册等详细技术资料及图纸。</w:t>
            </w:r>
          </w:p>
          <w:p w14:paraId="461210B6">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（3）技术支持：提供7×24小时技术支持；且对采购人在日后的维护或网络扩展应用中，给予及时的支持。</w:t>
            </w:r>
          </w:p>
          <w:p w14:paraId="3E17F128">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（4）售后服务承诺书应包含：保修期限、接质量问题通知达到现场时间、保修期内和保修期外保修维修养护具体措施、安全保障措施、售后服务机构等方面内容。</w:t>
            </w:r>
          </w:p>
          <w:p w14:paraId="378B599B">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（5）产品质保期满后零配件若损坏，提供零配件优惠服务方案。</w:t>
            </w:r>
          </w:p>
          <w:p w14:paraId="77F9737C">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（6）免费对设备使用人员进行集中培训。确保参与培训人员能够熟练掌握硬件设备使用与维护等。</w:t>
            </w:r>
          </w:p>
          <w:p w14:paraId="37D056A1">
            <w:pPr>
              <w:pStyle w:val="9"/>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（7）质保期内，中标人负责对产品进行免费定期巡检、维护保养，每年至少2次，保修期外也应提供定期巡检、维护保养服务；</w:t>
            </w:r>
          </w:p>
        </w:tc>
      </w:tr>
      <w:tr w14:paraId="4A8A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41A73553">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交货时间及地点</w:t>
            </w:r>
          </w:p>
        </w:tc>
        <w:tc>
          <w:tcPr>
            <w:tcW w:w="4132" w:type="pct"/>
            <w:gridSpan w:val="4"/>
            <w:vAlign w:val="center"/>
          </w:tcPr>
          <w:p w14:paraId="46B589A4">
            <w:pPr>
              <w:pStyle w:val="14"/>
              <w:widowControl/>
              <w:snapToGrid w:val="0"/>
              <w:spacing w:line="440" w:lineRule="exact"/>
              <w:ind w:firstLine="420" w:firstLineChars="175"/>
              <w:outlineLvl w:val="0"/>
              <w:rPr>
                <w:rFonts w:hint="eastAsia" w:hAnsi="宋体" w:cs="宋体"/>
                <w:color w:val="auto"/>
                <w:sz w:val="24"/>
                <w:szCs w:val="24"/>
                <w:highlight w:val="none"/>
              </w:rPr>
            </w:pPr>
            <w:r>
              <w:rPr>
                <w:rFonts w:hint="eastAsia" w:hAnsi="宋体" w:cs="宋体"/>
                <w:color w:val="auto"/>
                <w:sz w:val="24"/>
                <w:szCs w:val="24"/>
                <w:highlight w:val="none"/>
              </w:rPr>
              <w:t>（1）交货时间：</w:t>
            </w:r>
            <w:r>
              <w:rPr>
                <w:rFonts w:hint="eastAsia" w:hAnsi="宋体" w:cs="宋体"/>
                <w:color w:val="auto"/>
                <w:sz w:val="24"/>
                <w:szCs w:val="24"/>
                <w:highlight w:val="none"/>
                <w:u w:val="single"/>
              </w:rPr>
              <w:t>签订合同之日起30日内交货安装调试完毕，通过验收并交付使用。</w:t>
            </w:r>
          </w:p>
          <w:p w14:paraId="3D6E4646">
            <w:pPr>
              <w:snapToGrid w:val="0"/>
              <w:spacing w:line="44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（2）交货地点：</w:t>
            </w:r>
            <w:r>
              <w:rPr>
                <w:rFonts w:hint="eastAsia" w:ascii="宋体" w:hAnsi="宋体" w:cs="宋体"/>
                <w:color w:val="auto"/>
                <w:kern w:val="0"/>
                <w:sz w:val="24"/>
                <w:highlight w:val="none"/>
                <w:u w:val="single"/>
              </w:rPr>
              <w:t>广西柳州市鹿寨县采购单位指定地点</w:t>
            </w:r>
            <w:r>
              <w:rPr>
                <w:rFonts w:hint="eastAsia" w:ascii="宋体" w:hAnsi="宋体" w:cs="宋体"/>
                <w:color w:val="auto"/>
                <w:kern w:val="0"/>
                <w:sz w:val="24"/>
                <w:highlight w:val="none"/>
              </w:rPr>
              <w:t>。</w:t>
            </w:r>
          </w:p>
        </w:tc>
      </w:tr>
      <w:tr w14:paraId="04F3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484BBEE9">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4132" w:type="pct"/>
            <w:gridSpan w:val="4"/>
            <w:vAlign w:val="center"/>
          </w:tcPr>
          <w:p w14:paraId="1CE7D56D">
            <w:pPr>
              <w:snapToGrid w:val="0"/>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本项目无预付款，合同签订货物到达指定地点安装调试完成并验收后30个工作日内支付（或办理支付）</w:t>
            </w:r>
            <w:r>
              <w:rPr>
                <w:rFonts w:hint="eastAsia" w:ascii="宋体" w:hAnsi="宋体" w:cs="宋体"/>
                <w:color w:val="auto"/>
                <w:sz w:val="24"/>
                <w:highlight w:val="none"/>
                <w:lang w:eastAsia="zh-CN"/>
              </w:rPr>
              <w:t>全部</w:t>
            </w:r>
            <w:r>
              <w:rPr>
                <w:rFonts w:hint="eastAsia" w:ascii="宋体" w:hAnsi="宋体" w:cs="宋体"/>
                <w:color w:val="auto"/>
                <w:sz w:val="24"/>
                <w:highlight w:val="none"/>
              </w:rPr>
              <w:t>合同款。</w:t>
            </w:r>
          </w:p>
        </w:tc>
      </w:tr>
      <w:tr w14:paraId="073C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0AFC7846">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验收条件及标准</w:t>
            </w:r>
          </w:p>
        </w:tc>
        <w:tc>
          <w:tcPr>
            <w:tcW w:w="4132" w:type="pct"/>
            <w:gridSpan w:val="4"/>
            <w:vAlign w:val="center"/>
          </w:tcPr>
          <w:p w14:paraId="129ECDA1">
            <w:pPr>
              <w:tabs>
                <w:tab w:val="left" w:pos="0"/>
                <w:tab w:val="left" w:pos="1620"/>
              </w:tabs>
              <w:snapToGrid w:val="0"/>
              <w:spacing w:line="42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交付验收时，采购人根据《广西壮族自治区政府采购项目履约验收管理办法》及国家有关强制性标准的规定，由采购人及中标供应商等共同进行验收，采购人可委托采购代理机构、国家认可的质量检测机构开展采购项目履约验收工作；</w:t>
            </w:r>
          </w:p>
          <w:p w14:paraId="714355CE">
            <w:pPr>
              <w:tabs>
                <w:tab w:val="left" w:pos="0"/>
                <w:tab w:val="left" w:pos="1620"/>
              </w:tabs>
              <w:snapToGrid w:val="0"/>
              <w:spacing w:line="42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中标人</w:t>
            </w:r>
            <w:r>
              <w:rPr>
                <w:rFonts w:hint="eastAsia" w:ascii="宋体" w:hAnsi="宋体" w:cs="宋体"/>
                <w:color w:val="auto"/>
                <w:sz w:val="24"/>
                <w:highlight w:val="none"/>
              </w:rPr>
              <w:t>提供的所有货物必须是具备厂家合法渠道的全新正品，合同签订时若采购方对所供产品有疑问的，则有权要求</w:t>
            </w:r>
            <w:r>
              <w:rPr>
                <w:rFonts w:hint="eastAsia" w:ascii="宋体" w:hAnsi="宋体" w:cs="宋体"/>
                <w:bCs/>
                <w:color w:val="auto"/>
                <w:sz w:val="24"/>
                <w:highlight w:val="none"/>
              </w:rPr>
              <w:t>中标人</w:t>
            </w:r>
            <w:r>
              <w:rPr>
                <w:rFonts w:hint="eastAsia" w:ascii="宋体" w:hAnsi="宋体" w:cs="宋体"/>
                <w:color w:val="auto"/>
                <w:sz w:val="24"/>
                <w:highlight w:val="none"/>
              </w:rPr>
              <w:t>提供制造商针对本项目投标产品的参数真实性证明材料、授权书原件、供货证明函及售后服务承诺函，以上材料不全者，视为产品验收不合格，采购单位有权不予验收。</w:t>
            </w:r>
          </w:p>
          <w:p w14:paraId="3F3FA224">
            <w:pPr>
              <w:widowControl/>
              <w:snapToGrid w:val="0"/>
              <w:spacing w:line="42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3.验收合格的，由采购人及</w:t>
            </w:r>
            <w:r>
              <w:rPr>
                <w:rFonts w:hint="eastAsia" w:ascii="宋体" w:hAnsi="宋体" w:cs="宋体"/>
                <w:bCs/>
                <w:color w:val="auto"/>
                <w:sz w:val="24"/>
                <w:highlight w:val="none"/>
              </w:rPr>
              <w:t>中标人</w:t>
            </w:r>
            <w:r>
              <w:rPr>
                <w:rFonts w:hint="eastAsia" w:ascii="宋体" w:hAnsi="宋体" w:cs="宋体"/>
                <w:color w:val="auto"/>
                <w:sz w:val="24"/>
                <w:highlight w:val="none"/>
              </w:rPr>
              <w:t>在服务开通确认书确认，视为验收通过，对不符合要求的，采购人有权拒绝验收，由此产生的一切后果，均由</w:t>
            </w:r>
            <w:r>
              <w:rPr>
                <w:rFonts w:hint="eastAsia" w:ascii="宋体" w:hAnsi="宋体" w:cs="宋体"/>
                <w:bCs/>
                <w:color w:val="auto"/>
                <w:sz w:val="24"/>
                <w:highlight w:val="none"/>
              </w:rPr>
              <w:t>中标人</w:t>
            </w:r>
            <w:r>
              <w:rPr>
                <w:rFonts w:hint="eastAsia" w:ascii="宋体" w:hAnsi="宋体" w:cs="宋体"/>
                <w:color w:val="auto"/>
                <w:sz w:val="24"/>
                <w:highlight w:val="none"/>
              </w:rPr>
              <w:t>承担。由此造成的不能按时、按质、按量完成项目要求的，将按照政府采购相关法规、合同相关条款进行处理。</w:t>
            </w:r>
          </w:p>
        </w:tc>
      </w:tr>
      <w:tr w14:paraId="35D4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2960AC5A">
            <w:pPr>
              <w:widowControl/>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验收方法及方案</w:t>
            </w:r>
          </w:p>
        </w:tc>
        <w:tc>
          <w:tcPr>
            <w:tcW w:w="4132" w:type="pct"/>
            <w:gridSpan w:val="4"/>
            <w:vAlign w:val="center"/>
          </w:tcPr>
          <w:p w14:paraId="7CC0CAE3">
            <w:pPr>
              <w:widowControl/>
              <w:snapToGrid w:val="0"/>
              <w:spacing w:line="42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1.验收小组的组成：</w:t>
            </w:r>
            <w:r>
              <w:rPr>
                <w:rFonts w:hint="eastAsia" w:ascii="宋体" w:hAnsi="宋体" w:cs="宋体"/>
                <w:color w:val="auto"/>
                <w:sz w:val="24"/>
                <w:highlight w:val="none"/>
              </w:rPr>
              <w:t>本项目验收小组由采购人组织成立。验收小组成员组成由熟悉掌握该项目采购的技术人员（专家）、采购人相关管理人员、使用部门或单位专业人员、采购人采购项目的有关人员或受托采购的代理机构人员组成，明确验收小组的负责人，负责组织整个采购项目的验收工作。</w:t>
            </w:r>
          </w:p>
          <w:p w14:paraId="0B3470A3">
            <w:pPr>
              <w:widowControl/>
              <w:snapToGrid w:val="0"/>
              <w:spacing w:line="42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2.验收费用：</w:t>
            </w:r>
            <w:r>
              <w:rPr>
                <w:rFonts w:hint="eastAsia" w:ascii="宋体" w:hAnsi="宋体" w:cs="宋体"/>
                <w:color w:val="auto"/>
                <w:sz w:val="24"/>
                <w:highlight w:val="none"/>
              </w:rPr>
              <w:t>验收小组成员所产生的的劳务费、检验费及相关发生的费用均由中标人承担。</w:t>
            </w:r>
          </w:p>
          <w:p w14:paraId="75D1CE97">
            <w:pPr>
              <w:widowControl/>
              <w:snapToGrid w:val="0"/>
              <w:spacing w:line="42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3.验收方式：</w:t>
            </w:r>
            <w:r>
              <w:rPr>
                <w:rFonts w:hint="eastAsia" w:ascii="宋体" w:hAnsi="宋体" w:cs="宋体"/>
                <w:color w:val="auto"/>
                <w:sz w:val="24"/>
                <w:highlight w:val="none"/>
              </w:rPr>
              <w:t>提供货品清单。表样内容包括：项目名称、实施年月、所有设备的名称、品牌和型号、各设备厂家售后服务电话、</w:t>
            </w:r>
            <w:r>
              <w:rPr>
                <w:rFonts w:hint="eastAsia" w:ascii="宋体" w:hAnsi="宋体" w:cs="宋体"/>
                <w:bCs/>
                <w:color w:val="auto"/>
                <w:sz w:val="24"/>
                <w:highlight w:val="none"/>
              </w:rPr>
              <w:t>中标人</w:t>
            </w:r>
            <w:r>
              <w:rPr>
                <w:rFonts w:hint="eastAsia" w:ascii="宋体" w:hAnsi="宋体" w:cs="宋体"/>
                <w:color w:val="auto"/>
                <w:sz w:val="24"/>
                <w:highlight w:val="none"/>
              </w:rPr>
              <w:t>售后服务联系方式、监督（采购人）电话等内容。</w:t>
            </w:r>
          </w:p>
          <w:p w14:paraId="0CEF6B99">
            <w:pPr>
              <w:widowControl/>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在供货前，</w:t>
            </w:r>
            <w:r>
              <w:rPr>
                <w:rFonts w:hint="eastAsia" w:ascii="宋体" w:hAnsi="宋体" w:cs="宋体"/>
                <w:bCs/>
                <w:color w:val="auto"/>
                <w:sz w:val="24"/>
                <w:highlight w:val="none"/>
              </w:rPr>
              <w:t>中标人</w:t>
            </w:r>
            <w:r>
              <w:rPr>
                <w:rFonts w:hint="eastAsia" w:ascii="宋体" w:hAnsi="宋体" w:cs="宋体"/>
                <w:color w:val="auto"/>
                <w:sz w:val="24"/>
                <w:highlight w:val="none"/>
              </w:rPr>
              <w:t>须向验收小组提前提交【验收申请报告】，由验收小组安排验收时间，验收小组到指定供货地点进行验收。必要时采购单位也可根据需要，将产品送检测机构检验，切实保证产品符合国家现行有关部门标准及采购文件对项目的技术规定要求和供应商的响应承诺等情况以及合同明确约定的要求，送检费用由</w:t>
            </w:r>
            <w:r>
              <w:rPr>
                <w:rFonts w:hint="eastAsia" w:ascii="宋体" w:hAnsi="宋体" w:cs="宋体"/>
                <w:bCs/>
                <w:color w:val="auto"/>
                <w:sz w:val="24"/>
                <w:highlight w:val="none"/>
              </w:rPr>
              <w:t>中标人</w:t>
            </w:r>
            <w:r>
              <w:rPr>
                <w:rFonts w:hint="eastAsia" w:ascii="宋体" w:hAnsi="宋体" w:cs="宋体"/>
                <w:color w:val="auto"/>
                <w:sz w:val="24"/>
                <w:highlight w:val="none"/>
              </w:rPr>
              <w:t>承担。</w:t>
            </w:r>
          </w:p>
          <w:p w14:paraId="57FF800E">
            <w:pPr>
              <w:widowControl/>
              <w:snapToGrid w:val="0"/>
              <w:spacing w:line="42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4.验收公告：</w:t>
            </w:r>
            <w:r>
              <w:rPr>
                <w:rFonts w:hint="eastAsia" w:ascii="宋体" w:hAnsi="宋体" w:cs="宋体"/>
                <w:color w:val="auto"/>
                <w:sz w:val="24"/>
                <w:highlight w:val="none"/>
              </w:rPr>
              <w:t>所有货物全部验收合格后，验收小组出具验收书。同时采购人将验收结果在广西政府采购云平台进行公告。</w:t>
            </w:r>
          </w:p>
          <w:p w14:paraId="7FE0911E">
            <w:pPr>
              <w:widowControl/>
              <w:snapToGrid w:val="0"/>
              <w:spacing w:line="42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5.保密要求：</w:t>
            </w:r>
            <w:r>
              <w:rPr>
                <w:rFonts w:hint="eastAsia" w:ascii="宋体" w:hAnsi="宋体" w:cs="宋体"/>
                <w:bCs/>
                <w:color w:val="auto"/>
                <w:sz w:val="24"/>
                <w:highlight w:val="none"/>
              </w:rPr>
              <w:t>中标人在项目实施过程中，需要了解或知悉采购人的相关业务信息，为确保采购人业务信息的安全，中标人必须对本项目所有项目信息予以保密，未经采购单位书面许可，中标人不得以任何形式向第三方透露本项目的任何内容，并与采购人签订相关的《保密协议书》。</w:t>
            </w:r>
          </w:p>
          <w:p w14:paraId="652C2BA6">
            <w:pPr>
              <w:widowControl/>
              <w:snapToGrid w:val="0"/>
              <w:spacing w:line="420" w:lineRule="exact"/>
              <w:ind w:firstLine="422" w:firstLineChars="175"/>
              <w:rPr>
                <w:rFonts w:hint="eastAsia" w:ascii="宋体" w:hAnsi="宋体" w:cs="宋体"/>
                <w:bCs/>
                <w:color w:val="auto"/>
                <w:sz w:val="24"/>
                <w:highlight w:val="none"/>
              </w:rPr>
            </w:pPr>
            <w:r>
              <w:rPr>
                <w:rFonts w:hint="eastAsia" w:ascii="宋体" w:hAnsi="宋体" w:cs="宋体"/>
                <w:b/>
                <w:color w:val="auto"/>
                <w:sz w:val="24"/>
                <w:highlight w:val="none"/>
              </w:rPr>
              <w:t>6.其他服务要求：</w:t>
            </w:r>
            <w:r>
              <w:rPr>
                <w:rFonts w:hint="eastAsia" w:ascii="宋体" w:hAnsi="宋体" w:cs="宋体"/>
                <w:bCs/>
                <w:color w:val="auto"/>
                <w:sz w:val="24"/>
                <w:highlight w:val="none"/>
              </w:rPr>
              <w:t>中标人在项目实施撤场前，供应商负责设备的完好性。由双方共同确定所有设备可以正常稳定运行时，方可进行交付。</w:t>
            </w:r>
          </w:p>
          <w:p w14:paraId="6A9373F7">
            <w:pPr>
              <w:widowControl/>
              <w:snapToGrid w:val="0"/>
              <w:spacing w:line="420" w:lineRule="exact"/>
              <w:ind w:firstLine="422" w:firstLineChars="175"/>
              <w:jc w:val="left"/>
              <w:rPr>
                <w:rFonts w:hint="eastAsia" w:ascii="宋体" w:hAnsi="宋体" w:cs="宋体"/>
                <w:color w:val="auto"/>
                <w:sz w:val="24"/>
                <w:highlight w:val="none"/>
              </w:rPr>
            </w:pPr>
            <w:r>
              <w:rPr>
                <w:rFonts w:hint="eastAsia" w:ascii="宋体" w:hAnsi="宋体" w:cs="宋体"/>
                <w:b/>
                <w:bCs/>
                <w:color w:val="auto"/>
                <w:kern w:val="0"/>
                <w:sz w:val="24"/>
                <w:highlight w:val="none"/>
              </w:rPr>
              <w:t>7.</w:t>
            </w:r>
            <w:r>
              <w:rPr>
                <w:rFonts w:hint="eastAsia" w:ascii="宋体" w:hAnsi="宋体" w:cs="宋体"/>
                <w:bCs/>
                <w:color w:val="auto"/>
                <w:kern w:val="0"/>
                <w:sz w:val="24"/>
                <w:highlight w:val="none"/>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14:paraId="07F4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gridSpan w:val="2"/>
            <w:vAlign w:val="center"/>
          </w:tcPr>
          <w:p w14:paraId="3E68F0C8">
            <w:pPr>
              <w:widowControl/>
              <w:snapToGrid w:val="0"/>
              <w:spacing w:line="440" w:lineRule="exact"/>
              <w:jc w:val="center"/>
              <w:rPr>
                <w:rFonts w:hint="eastAsia" w:ascii="宋体" w:hAnsi="宋体" w:cs="宋体"/>
                <w:color w:val="auto"/>
                <w:sz w:val="24"/>
                <w:highlight w:val="none"/>
              </w:rPr>
            </w:pPr>
            <w:r>
              <w:rPr>
                <w:rFonts w:hint="eastAsia" w:ascii="宋体" w:hAnsi="宋体" w:cs="宋体"/>
                <w:bCs/>
                <w:color w:val="auto"/>
                <w:sz w:val="24"/>
                <w:highlight w:val="none"/>
              </w:rPr>
              <w:t>其他要求</w:t>
            </w:r>
          </w:p>
        </w:tc>
        <w:tc>
          <w:tcPr>
            <w:tcW w:w="4132" w:type="pct"/>
            <w:gridSpan w:val="4"/>
            <w:vAlign w:val="center"/>
          </w:tcPr>
          <w:p w14:paraId="5AEA09E9">
            <w:pPr>
              <w:pStyle w:val="13"/>
              <w:widowControl/>
              <w:autoSpaceDE/>
              <w:autoSpaceDN/>
              <w:adjustRightInd/>
              <w:snapToGrid w:val="0"/>
              <w:spacing w:line="420" w:lineRule="exact"/>
              <w:ind w:firstLine="420" w:firstLineChars="175"/>
              <w:rPr>
                <w:rFonts w:hint="eastAsia" w:ascii="宋体" w:hAnsi="宋体" w:eastAsia="宋体" w:cs="宋体"/>
                <w:color w:val="auto"/>
                <w:kern w:val="2"/>
                <w:highlight w:val="none"/>
              </w:rPr>
            </w:pPr>
            <w:r>
              <w:rPr>
                <w:rFonts w:hint="eastAsia" w:ascii="宋体" w:hAnsi="宋体" w:eastAsia="宋体" w:cs="宋体"/>
                <w:color w:val="auto"/>
                <w:kern w:val="2"/>
                <w:highlight w:val="none"/>
              </w:rPr>
              <w:t>1.竞标人所投竞标货物的技术参数、配置和性能指标必须真实有效。如遇成交结果公示期间有质疑情形或采购人对成交供应商所投竞标货物存在异议的，采购人有权要求成交供应商在正式供货前提供所投竞标货物的实物样品及检测报告原件进行核实，如发现检测报告不一致或提供的实物样品无法达到其响应文件承诺的技术参数要求的，视为提供虚假材料谋取中标，采购人将上报财政监督主管部门，对其按政府采购相关法规处罚，并追究相应的法律责任。</w:t>
            </w:r>
          </w:p>
          <w:p w14:paraId="5F8B2701">
            <w:pPr>
              <w:pStyle w:val="13"/>
              <w:widowControl/>
              <w:autoSpaceDE/>
              <w:autoSpaceDN/>
              <w:adjustRightInd/>
              <w:snapToGrid w:val="0"/>
              <w:spacing w:line="420" w:lineRule="exact"/>
              <w:ind w:firstLine="420" w:firstLineChars="175"/>
              <w:rPr>
                <w:rFonts w:hint="eastAsia" w:ascii="宋体" w:hAnsi="宋体" w:eastAsia="宋体" w:cs="宋体"/>
                <w:color w:val="auto"/>
                <w:kern w:val="2"/>
                <w:highlight w:val="none"/>
              </w:rPr>
            </w:pPr>
            <w:r>
              <w:rPr>
                <w:rFonts w:hint="eastAsia" w:ascii="宋体" w:hAnsi="宋体" w:eastAsia="宋体" w:cs="宋体"/>
                <w:color w:val="auto"/>
                <w:kern w:val="2"/>
                <w:highlight w:val="none"/>
              </w:rPr>
              <w:t>2.为了保障项目完整性，竞标人可选择自行踏勘，并自行承担现场考察的责任和风险、考察及现场设备测试的所有费用。</w:t>
            </w:r>
          </w:p>
          <w:p w14:paraId="786438C3">
            <w:pPr>
              <w:pStyle w:val="13"/>
              <w:widowControl/>
              <w:autoSpaceDE/>
              <w:autoSpaceDN/>
              <w:adjustRightInd/>
              <w:snapToGrid w:val="0"/>
              <w:spacing w:line="420" w:lineRule="exact"/>
              <w:ind w:firstLine="420" w:firstLineChars="175"/>
              <w:rPr>
                <w:rFonts w:hint="eastAsia" w:ascii="宋体" w:hAnsi="宋体" w:eastAsia="宋体" w:cs="宋体"/>
                <w:color w:val="auto"/>
                <w:kern w:val="2"/>
                <w:highlight w:val="none"/>
              </w:rPr>
            </w:pPr>
            <w:r>
              <w:rPr>
                <w:rFonts w:hint="eastAsia" w:ascii="宋体" w:hAnsi="宋体" w:eastAsia="宋体" w:cs="宋体"/>
                <w:color w:val="auto"/>
                <w:kern w:val="2"/>
                <w:highlight w:val="none"/>
              </w:rPr>
              <w:t>3.“采购清单及技术参数”表中的核心产品为</w:t>
            </w:r>
            <w:r>
              <w:rPr>
                <w:rFonts w:hint="eastAsia" w:ascii="宋体" w:hAnsi="宋体" w:eastAsia="宋体" w:cs="宋体"/>
                <w:b/>
                <w:bCs/>
                <w:color w:val="auto"/>
                <w:kern w:val="2"/>
                <w:highlight w:val="none"/>
                <w:u w:val="single"/>
              </w:rPr>
              <w:t>“演讲台”</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竞标人获得中标人推荐资格，招标文件未规定的采取随机抽取方式确定，其他同品牌竞标人不作为成交候选人。</w:t>
            </w:r>
          </w:p>
          <w:p w14:paraId="37E28428">
            <w:pPr>
              <w:widowControl/>
              <w:snapToGrid w:val="0"/>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4.本项目货物所涉及的货物不接受进口产品（即通过中国海关报关验放进入中国境内且产自关境外的产品）参与投标，如有进口产品参与竞标的作无效竞标处理。</w:t>
            </w:r>
          </w:p>
        </w:tc>
      </w:tr>
    </w:tbl>
    <w:p w14:paraId="52B64830">
      <w:pPr>
        <w:rPr>
          <w:rFonts w:hint="eastAsia" w:ascii="宋体" w:hAnsi="宋体" w:cs="宋体"/>
          <w:b/>
          <w:bCs/>
          <w:color w:val="auto"/>
          <w:kern w:val="44"/>
          <w:sz w:val="24"/>
          <w:highlight w:val="none"/>
        </w:rPr>
      </w:pPr>
    </w:p>
    <w:p w14:paraId="35FC2FD5">
      <w:pPr>
        <w:rPr>
          <w:rFonts w:hint="eastAsia" w:ascii="宋体" w:hAnsi="宋体" w:cs="宋体"/>
          <w:b/>
          <w:bCs/>
          <w:color w:val="auto"/>
          <w:kern w:val="44"/>
          <w:sz w:val="24"/>
          <w:highlight w:val="none"/>
        </w:rPr>
      </w:pPr>
    </w:p>
    <w:p w14:paraId="26C3C26A">
      <w:pPr>
        <w:rPr>
          <w:rFonts w:hint="eastAsia" w:ascii="宋体" w:hAnsi="宋体" w:cs="宋体"/>
          <w:b/>
          <w:bCs/>
          <w:color w:val="auto"/>
          <w:kern w:val="44"/>
          <w:sz w:val="24"/>
          <w:highlight w:val="none"/>
        </w:rPr>
      </w:pPr>
    </w:p>
    <w:p w14:paraId="3F0633A6">
      <w:pPr>
        <w:rPr>
          <w:rFonts w:hint="eastAsia" w:ascii="宋体" w:hAnsi="宋体" w:cs="宋体"/>
          <w:b/>
          <w:bCs/>
          <w:color w:val="auto"/>
          <w:kern w:val="44"/>
          <w:sz w:val="24"/>
          <w:highlight w:val="none"/>
        </w:rPr>
      </w:pPr>
      <w:r>
        <w:rPr>
          <w:rFonts w:hint="eastAsia" w:ascii="宋体" w:hAnsi="宋体" w:cs="宋体"/>
          <w:b/>
          <w:bCs/>
          <w:color w:val="auto"/>
          <w:kern w:val="44"/>
          <w:sz w:val="24"/>
          <w:highlight w:val="none"/>
        </w:rPr>
        <w:br w:type="page"/>
      </w:r>
    </w:p>
    <w:p w14:paraId="6BF84AA8">
      <w:pPr>
        <w:rPr>
          <w:color w:val="auto"/>
          <w:highlight w:val="none"/>
        </w:rPr>
      </w:pPr>
    </w:p>
    <w:p w14:paraId="2F5509B1">
      <w:pPr>
        <w:tabs>
          <w:tab w:val="center" w:pos="4410"/>
          <w:tab w:val="left" w:pos="6735"/>
        </w:tabs>
        <w:spacing w:line="360" w:lineRule="auto"/>
        <w:outlineLvl w:val="1"/>
        <w:rPr>
          <w:rFonts w:hint="eastAsia" w:ascii="宋体" w:hAnsi="宋体" w:cs="宋体"/>
          <w:b/>
          <w:bCs/>
          <w:color w:val="auto"/>
          <w:kern w:val="44"/>
          <w:sz w:val="24"/>
          <w:highlight w:val="none"/>
        </w:rPr>
      </w:pPr>
      <w:r>
        <w:rPr>
          <w:rFonts w:hint="eastAsia" w:ascii="宋体" w:hAnsi="宋体" w:cs="宋体"/>
          <w:b/>
          <w:bCs/>
          <w:color w:val="auto"/>
          <w:kern w:val="44"/>
          <w:sz w:val="24"/>
          <w:highlight w:val="none"/>
        </w:rPr>
        <w:t>附件：</w:t>
      </w:r>
      <w:bookmarkEnd w:id="6"/>
      <w:bookmarkEnd w:id="7"/>
      <w:bookmarkEnd w:id="8"/>
      <w:bookmarkEnd w:id="9"/>
      <w:bookmarkEnd w:id="10"/>
      <w:bookmarkEnd w:id="11"/>
      <w:bookmarkEnd w:id="12"/>
      <w:bookmarkEnd w:id="13"/>
      <w:bookmarkEnd w:id="14"/>
      <w:bookmarkEnd w:id="15"/>
      <w:bookmarkEnd w:id="16"/>
      <w:bookmarkEnd w:id="17"/>
      <w:bookmarkEnd w:id="18"/>
    </w:p>
    <w:p w14:paraId="6C618C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政府采购活动中，投标人提供的货物、工程或者服务符合下列情形的，享受中小企业扶持政策： </w:t>
      </w:r>
    </w:p>
    <w:p w14:paraId="754912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0F68A2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3C34F1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（三）在服务采购项目中，服务由中小企业承接，即提供服务的人员为中小企业依照《中华人民共和国民法典》订立劳动合同的从业人员。</w:t>
      </w:r>
    </w:p>
    <w:p w14:paraId="56277F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在货物采购项目中，投标人提供的货物既有中小企业制造货物，也有大型企业制造货物的，不享受本办法规定的中小企业扶持政策。</w:t>
      </w:r>
    </w:p>
    <w:p w14:paraId="445B66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0177056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E16106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F807280">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投标人应当按照《政府采购促进中小企业发展管理办法》规定和《统计上大中小微型企业划分办法（2017）》的划分标准，如实填写并提交《中小企业声明函》（声明函格式见第六章“投标文件格式”）</w:t>
      </w:r>
    </w:p>
    <w:p w14:paraId="3DB55C16">
      <w:pPr>
        <w:widowControl/>
        <w:spacing w:after="120" w:afterLines="50" w:line="360" w:lineRule="auto"/>
        <w:jc w:val="center"/>
        <w:rPr>
          <w:rFonts w:hint="eastAsia" w:ascii="宋体" w:hAnsi="宋体" w:cs="宋体"/>
          <w:b/>
          <w:bCs/>
          <w:color w:val="auto"/>
          <w:kern w:val="0"/>
          <w:sz w:val="24"/>
          <w:highlight w:val="none"/>
        </w:rPr>
      </w:pPr>
    </w:p>
    <w:p w14:paraId="719A8BAF">
      <w:pPr>
        <w:widowControl/>
        <w:spacing w:after="120" w:afterLines="5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r>
        <w:rPr>
          <w:rFonts w:hint="eastAsia" w:ascii="宋体" w:hAnsi="宋体" w:cs="宋体"/>
          <w:b/>
          <w:bCs/>
          <w:color w:val="auto"/>
          <w:kern w:val="0"/>
          <w:sz w:val="24"/>
          <w:highlight w:val="none"/>
        </w:rPr>
        <w:t>统计上大中小微型企业划分标准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08"/>
        <w:gridCol w:w="711"/>
        <w:gridCol w:w="1129"/>
        <w:gridCol w:w="1706"/>
        <w:gridCol w:w="1431"/>
        <w:gridCol w:w="995"/>
      </w:tblGrid>
      <w:tr w14:paraId="0851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85" w:type="dxa"/>
            <w:vAlign w:val="center"/>
          </w:tcPr>
          <w:p w14:paraId="50EDB4A8">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行业名称</w:t>
            </w:r>
          </w:p>
        </w:tc>
        <w:tc>
          <w:tcPr>
            <w:tcW w:w="1508" w:type="dxa"/>
            <w:vAlign w:val="center"/>
          </w:tcPr>
          <w:p w14:paraId="4A386314">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指标名称</w:t>
            </w:r>
          </w:p>
        </w:tc>
        <w:tc>
          <w:tcPr>
            <w:tcW w:w="711" w:type="dxa"/>
            <w:vAlign w:val="center"/>
          </w:tcPr>
          <w:p w14:paraId="703DCC21">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计量</w:t>
            </w:r>
          </w:p>
          <w:p w14:paraId="0DCD1457">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1129" w:type="dxa"/>
            <w:vAlign w:val="center"/>
          </w:tcPr>
          <w:p w14:paraId="0F91F4F2">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大型</w:t>
            </w:r>
          </w:p>
        </w:tc>
        <w:tc>
          <w:tcPr>
            <w:tcW w:w="1706" w:type="dxa"/>
            <w:vAlign w:val="center"/>
          </w:tcPr>
          <w:p w14:paraId="6D6EA940">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中型</w:t>
            </w:r>
          </w:p>
        </w:tc>
        <w:tc>
          <w:tcPr>
            <w:tcW w:w="1431" w:type="dxa"/>
            <w:vAlign w:val="center"/>
          </w:tcPr>
          <w:p w14:paraId="495FE51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小型</w:t>
            </w:r>
          </w:p>
        </w:tc>
        <w:tc>
          <w:tcPr>
            <w:tcW w:w="995" w:type="dxa"/>
            <w:vAlign w:val="center"/>
          </w:tcPr>
          <w:p w14:paraId="7EE3E83C">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微型</w:t>
            </w:r>
          </w:p>
        </w:tc>
      </w:tr>
      <w:tr w14:paraId="55EA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Align w:val="center"/>
          </w:tcPr>
          <w:p w14:paraId="2F2874A5">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农、林、牧、渔业</w:t>
            </w:r>
          </w:p>
        </w:tc>
        <w:tc>
          <w:tcPr>
            <w:tcW w:w="1508" w:type="dxa"/>
            <w:vAlign w:val="center"/>
          </w:tcPr>
          <w:p w14:paraId="3E0FAA3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7A01FCB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3949A2B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Y≥20000</w:t>
            </w:r>
          </w:p>
        </w:tc>
        <w:tc>
          <w:tcPr>
            <w:tcW w:w="1706" w:type="dxa"/>
            <w:vAlign w:val="center"/>
          </w:tcPr>
          <w:p w14:paraId="58F35DC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500≤Y＜20000</w:t>
            </w:r>
          </w:p>
        </w:tc>
        <w:tc>
          <w:tcPr>
            <w:tcW w:w="1431" w:type="dxa"/>
            <w:vAlign w:val="center"/>
          </w:tcPr>
          <w:p w14:paraId="0B628B3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50≤Y＜500</w:t>
            </w:r>
          </w:p>
        </w:tc>
        <w:tc>
          <w:tcPr>
            <w:tcW w:w="995" w:type="dxa"/>
            <w:vAlign w:val="center"/>
          </w:tcPr>
          <w:p w14:paraId="5E82AB1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2558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24DBB5BB">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工业 *</w:t>
            </w:r>
          </w:p>
        </w:tc>
        <w:tc>
          <w:tcPr>
            <w:tcW w:w="1508" w:type="dxa"/>
            <w:vAlign w:val="center"/>
          </w:tcPr>
          <w:p w14:paraId="1BD79FC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3A1A3F4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1BFA95C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vAlign w:val="center"/>
          </w:tcPr>
          <w:p w14:paraId="774FFCD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vAlign w:val="center"/>
          </w:tcPr>
          <w:p w14:paraId="52A34A8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vAlign w:val="center"/>
          </w:tcPr>
          <w:p w14:paraId="5D6FCEA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2FD5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85" w:type="dxa"/>
            <w:vMerge w:val="continue"/>
            <w:vAlign w:val="center"/>
          </w:tcPr>
          <w:p w14:paraId="52FE836E">
            <w:pPr>
              <w:widowControl/>
              <w:jc w:val="left"/>
              <w:rPr>
                <w:rFonts w:hint="eastAsia" w:ascii="宋体" w:hAnsi="宋体" w:cs="宋体"/>
                <w:color w:val="auto"/>
                <w:kern w:val="0"/>
                <w:sz w:val="22"/>
                <w:szCs w:val="22"/>
                <w:highlight w:val="none"/>
              </w:rPr>
            </w:pPr>
          </w:p>
        </w:tc>
        <w:tc>
          <w:tcPr>
            <w:tcW w:w="1508" w:type="dxa"/>
            <w:vAlign w:val="center"/>
          </w:tcPr>
          <w:p w14:paraId="0904E5F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1BF7B1E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08712EC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Y≥40000</w:t>
            </w:r>
          </w:p>
        </w:tc>
        <w:tc>
          <w:tcPr>
            <w:tcW w:w="1706" w:type="dxa"/>
            <w:vAlign w:val="center"/>
          </w:tcPr>
          <w:p w14:paraId="791C812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2000≤Y＜40000</w:t>
            </w:r>
          </w:p>
        </w:tc>
        <w:tc>
          <w:tcPr>
            <w:tcW w:w="1431" w:type="dxa"/>
            <w:vAlign w:val="center"/>
          </w:tcPr>
          <w:p w14:paraId="55938E7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300≤Y＜2000</w:t>
            </w:r>
          </w:p>
        </w:tc>
        <w:tc>
          <w:tcPr>
            <w:tcW w:w="995" w:type="dxa"/>
            <w:vAlign w:val="center"/>
          </w:tcPr>
          <w:p w14:paraId="18CDF24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39F6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85" w:type="dxa"/>
            <w:vMerge w:val="restart"/>
            <w:vAlign w:val="center"/>
          </w:tcPr>
          <w:p w14:paraId="29586539">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建筑业</w:t>
            </w:r>
          </w:p>
        </w:tc>
        <w:tc>
          <w:tcPr>
            <w:tcW w:w="1508" w:type="dxa"/>
            <w:vAlign w:val="center"/>
          </w:tcPr>
          <w:p w14:paraId="3F2FF9B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2E8CFD8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71E65E5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Y≥80000</w:t>
            </w:r>
          </w:p>
        </w:tc>
        <w:tc>
          <w:tcPr>
            <w:tcW w:w="1706" w:type="dxa"/>
            <w:vAlign w:val="center"/>
          </w:tcPr>
          <w:p w14:paraId="2DBECC1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6000≤Y＜80000</w:t>
            </w:r>
          </w:p>
        </w:tc>
        <w:tc>
          <w:tcPr>
            <w:tcW w:w="1431" w:type="dxa"/>
            <w:vAlign w:val="center"/>
          </w:tcPr>
          <w:p w14:paraId="0BA91C2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300≤Y＜6000</w:t>
            </w:r>
          </w:p>
        </w:tc>
        <w:tc>
          <w:tcPr>
            <w:tcW w:w="995" w:type="dxa"/>
            <w:vAlign w:val="center"/>
          </w:tcPr>
          <w:p w14:paraId="71AAA13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246C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85" w:type="dxa"/>
            <w:vMerge w:val="continue"/>
            <w:vAlign w:val="center"/>
          </w:tcPr>
          <w:p w14:paraId="4D1CDBB2">
            <w:pPr>
              <w:widowControl/>
              <w:jc w:val="left"/>
              <w:rPr>
                <w:rFonts w:hint="eastAsia" w:ascii="宋体" w:hAnsi="宋体" w:cs="宋体"/>
                <w:color w:val="auto"/>
                <w:kern w:val="0"/>
                <w:sz w:val="22"/>
                <w:szCs w:val="22"/>
                <w:highlight w:val="none"/>
              </w:rPr>
            </w:pPr>
          </w:p>
        </w:tc>
        <w:tc>
          <w:tcPr>
            <w:tcW w:w="1508" w:type="dxa"/>
            <w:vAlign w:val="center"/>
          </w:tcPr>
          <w:p w14:paraId="672521B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vAlign w:val="center"/>
          </w:tcPr>
          <w:p w14:paraId="168B527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79E7185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Z≥80000</w:t>
            </w:r>
          </w:p>
        </w:tc>
        <w:tc>
          <w:tcPr>
            <w:tcW w:w="1706" w:type="dxa"/>
            <w:vAlign w:val="center"/>
          </w:tcPr>
          <w:p w14:paraId="319D802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5000≤Z＜80000</w:t>
            </w:r>
          </w:p>
        </w:tc>
        <w:tc>
          <w:tcPr>
            <w:tcW w:w="1431" w:type="dxa"/>
            <w:vAlign w:val="center"/>
          </w:tcPr>
          <w:p w14:paraId="024AE53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300≤Z＜5000</w:t>
            </w:r>
          </w:p>
        </w:tc>
        <w:tc>
          <w:tcPr>
            <w:tcW w:w="995" w:type="dxa"/>
            <w:vAlign w:val="center"/>
          </w:tcPr>
          <w:p w14:paraId="0E49130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Z＜300</w:t>
            </w:r>
          </w:p>
        </w:tc>
      </w:tr>
      <w:tr w14:paraId="361A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796541A8">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批发业</w:t>
            </w:r>
          </w:p>
        </w:tc>
        <w:tc>
          <w:tcPr>
            <w:tcW w:w="1508" w:type="dxa"/>
            <w:vAlign w:val="center"/>
          </w:tcPr>
          <w:p w14:paraId="3C94C34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3213DDA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3F2AE9E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w:t>
            </w:r>
          </w:p>
        </w:tc>
        <w:tc>
          <w:tcPr>
            <w:tcW w:w="1706" w:type="dxa"/>
            <w:vAlign w:val="center"/>
          </w:tcPr>
          <w:p w14:paraId="6C5BBFB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20≤X＜200</w:t>
            </w:r>
          </w:p>
        </w:tc>
        <w:tc>
          <w:tcPr>
            <w:tcW w:w="1431" w:type="dxa"/>
            <w:vAlign w:val="center"/>
          </w:tcPr>
          <w:p w14:paraId="16D5F0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5≤X＜20</w:t>
            </w:r>
          </w:p>
        </w:tc>
        <w:tc>
          <w:tcPr>
            <w:tcW w:w="995" w:type="dxa"/>
            <w:vAlign w:val="center"/>
          </w:tcPr>
          <w:p w14:paraId="28829EF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X＜5</w:t>
            </w:r>
          </w:p>
        </w:tc>
      </w:tr>
      <w:tr w14:paraId="71F1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85" w:type="dxa"/>
            <w:vMerge w:val="continue"/>
            <w:vAlign w:val="center"/>
          </w:tcPr>
          <w:p w14:paraId="2804F6CA">
            <w:pPr>
              <w:widowControl/>
              <w:jc w:val="left"/>
              <w:rPr>
                <w:rFonts w:hint="eastAsia" w:ascii="宋体" w:hAnsi="宋体" w:cs="宋体"/>
                <w:color w:val="auto"/>
                <w:kern w:val="0"/>
                <w:sz w:val="22"/>
                <w:szCs w:val="22"/>
                <w:highlight w:val="none"/>
              </w:rPr>
            </w:pPr>
          </w:p>
        </w:tc>
        <w:tc>
          <w:tcPr>
            <w:tcW w:w="1508" w:type="dxa"/>
            <w:vAlign w:val="center"/>
          </w:tcPr>
          <w:p w14:paraId="617C72C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7E4D375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735174D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Y≥40000</w:t>
            </w:r>
          </w:p>
        </w:tc>
        <w:tc>
          <w:tcPr>
            <w:tcW w:w="1706" w:type="dxa"/>
            <w:vAlign w:val="center"/>
          </w:tcPr>
          <w:p w14:paraId="16FBA9A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5000≤Y＜40000</w:t>
            </w:r>
          </w:p>
        </w:tc>
        <w:tc>
          <w:tcPr>
            <w:tcW w:w="1431" w:type="dxa"/>
            <w:vAlign w:val="center"/>
          </w:tcPr>
          <w:p w14:paraId="4FA948C2">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1000≤Y＜5000</w:t>
            </w:r>
          </w:p>
        </w:tc>
        <w:tc>
          <w:tcPr>
            <w:tcW w:w="995" w:type="dxa"/>
            <w:vAlign w:val="center"/>
          </w:tcPr>
          <w:p w14:paraId="2C591E6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w:t>
            </w:r>
          </w:p>
        </w:tc>
      </w:tr>
      <w:tr w14:paraId="4B1D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505624B6">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零售业</w:t>
            </w:r>
          </w:p>
        </w:tc>
        <w:tc>
          <w:tcPr>
            <w:tcW w:w="1508" w:type="dxa"/>
            <w:vAlign w:val="center"/>
          </w:tcPr>
          <w:p w14:paraId="13CB348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75AC0E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64BA885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vAlign w:val="center"/>
          </w:tcPr>
          <w:p w14:paraId="630E291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50≤X＜300</w:t>
            </w:r>
          </w:p>
        </w:tc>
        <w:tc>
          <w:tcPr>
            <w:tcW w:w="1431" w:type="dxa"/>
            <w:vAlign w:val="center"/>
          </w:tcPr>
          <w:p w14:paraId="314AE78B">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10≤X＜50 </w:t>
            </w:r>
          </w:p>
        </w:tc>
        <w:tc>
          <w:tcPr>
            <w:tcW w:w="995" w:type="dxa"/>
            <w:vAlign w:val="center"/>
          </w:tcPr>
          <w:p w14:paraId="21A17BF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1B2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continue"/>
            <w:vAlign w:val="center"/>
          </w:tcPr>
          <w:p w14:paraId="45424A42">
            <w:pPr>
              <w:widowControl/>
              <w:jc w:val="left"/>
              <w:rPr>
                <w:rFonts w:hint="eastAsia" w:ascii="宋体" w:hAnsi="宋体" w:cs="宋体"/>
                <w:color w:val="auto"/>
                <w:kern w:val="0"/>
                <w:sz w:val="22"/>
                <w:szCs w:val="22"/>
                <w:highlight w:val="none"/>
              </w:rPr>
            </w:pPr>
          </w:p>
        </w:tc>
        <w:tc>
          <w:tcPr>
            <w:tcW w:w="1508" w:type="dxa"/>
            <w:vAlign w:val="center"/>
          </w:tcPr>
          <w:p w14:paraId="1B279AC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596A4F4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5E6F9E4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Y≥20000</w:t>
            </w:r>
          </w:p>
        </w:tc>
        <w:tc>
          <w:tcPr>
            <w:tcW w:w="1706" w:type="dxa"/>
            <w:vAlign w:val="center"/>
          </w:tcPr>
          <w:p w14:paraId="7B18A51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500≤Y＜20000</w:t>
            </w:r>
          </w:p>
        </w:tc>
        <w:tc>
          <w:tcPr>
            <w:tcW w:w="1431" w:type="dxa"/>
            <w:vAlign w:val="center"/>
          </w:tcPr>
          <w:p w14:paraId="7B82819A">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100≤Y＜500 </w:t>
            </w:r>
          </w:p>
        </w:tc>
        <w:tc>
          <w:tcPr>
            <w:tcW w:w="995" w:type="dxa"/>
            <w:vAlign w:val="center"/>
          </w:tcPr>
          <w:p w14:paraId="58B2E2C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1F52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0AEA6694">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交通运输业 *</w:t>
            </w:r>
          </w:p>
        </w:tc>
        <w:tc>
          <w:tcPr>
            <w:tcW w:w="1508" w:type="dxa"/>
            <w:vAlign w:val="center"/>
          </w:tcPr>
          <w:p w14:paraId="5D6DE44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5BDC421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2BDFC68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vAlign w:val="center"/>
          </w:tcPr>
          <w:p w14:paraId="42CF9A3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vAlign w:val="center"/>
          </w:tcPr>
          <w:p w14:paraId="315BBE7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vAlign w:val="center"/>
          </w:tcPr>
          <w:p w14:paraId="27A5D11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5F9D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85" w:type="dxa"/>
            <w:vMerge w:val="continue"/>
            <w:vAlign w:val="center"/>
          </w:tcPr>
          <w:p w14:paraId="2ED850B8">
            <w:pPr>
              <w:widowControl/>
              <w:jc w:val="left"/>
              <w:rPr>
                <w:rFonts w:hint="eastAsia" w:ascii="宋体" w:hAnsi="宋体" w:cs="宋体"/>
                <w:color w:val="auto"/>
                <w:kern w:val="0"/>
                <w:sz w:val="22"/>
                <w:szCs w:val="22"/>
                <w:highlight w:val="none"/>
              </w:rPr>
            </w:pPr>
          </w:p>
        </w:tc>
        <w:tc>
          <w:tcPr>
            <w:tcW w:w="1508" w:type="dxa"/>
            <w:vAlign w:val="center"/>
          </w:tcPr>
          <w:p w14:paraId="3B9D7BE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23A8588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0C59825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vAlign w:val="center"/>
          </w:tcPr>
          <w:p w14:paraId="60EB40F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3000≤Y＜30000</w:t>
            </w:r>
          </w:p>
        </w:tc>
        <w:tc>
          <w:tcPr>
            <w:tcW w:w="1431" w:type="dxa"/>
            <w:vAlign w:val="center"/>
          </w:tcPr>
          <w:p w14:paraId="3C2918E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200≤Y＜3000</w:t>
            </w:r>
          </w:p>
        </w:tc>
        <w:tc>
          <w:tcPr>
            <w:tcW w:w="995" w:type="dxa"/>
            <w:vAlign w:val="center"/>
          </w:tcPr>
          <w:p w14:paraId="0FAC49F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w:t>
            </w:r>
          </w:p>
        </w:tc>
      </w:tr>
      <w:tr w14:paraId="2095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4738A788">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仓储业</w:t>
            </w:r>
          </w:p>
        </w:tc>
        <w:tc>
          <w:tcPr>
            <w:tcW w:w="1508" w:type="dxa"/>
            <w:vAlign w:val="center"/>
          </w:tcPr>
          <w:p w14:paraId="637FDC8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3B3B215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667C118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w:t>
            </w:r>
          </w:p>
        </w:tc>
        <w:tc>
          <w:tcPr>
            <w:tcW w:w="1706" w:type="dxa"/>
            <w:vAlign w:val="center"/>
          </w:tcPr>
          <w:p w14:paraId="40BA3879">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100≤X＜200</w:t>
            </w:r>
          </w:p>
        </w:tc>
        <w:tc>
          <w:tcPr>
            <w:tcW w:w="1431" w:type="dxa"/>
            <w:vAlign w:val="center"/>
          </w:tcPr>
          <w:p w14:paraId="431543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20≤X＜100</w:t>
            </w:r>
          </w:p>
        </w:tc>
        <w:tc>
          <w:tcPr>
            <w:tcW w:w="995" w:type="dxa"/>
            <w:vAlign w:val="center"/>
          </w:tcPr>
          <w:p w14:paraId="21BE677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3586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vMerge w:val="continue"/>
            <w:vAlign w:val="center"/>
          </w:tcPr>
          <w:p w14:paraId="1405B193">
            <w:pPr>
              <w:widowControl/>
              <w:jc w:val="left"/>
              <w:rPr>
                <w:rFonts w:hint="eastAsia" w:ascii="宋体" w:hAnsi="宋体" w:cs="宋体"/>
                <w:color w:val="auto"/>
                <w:kern w:val="0"/>
                <w:sz w:val="22"/>
                <w:szCs w:val="22"/>
                <w:highlight w:val="none"/>
              </w:rPr>
            </w:pPr>
          </w:p>
        </w:tc>
        <w:tc>
          <w:tcPr>
            <w:tcW w:w="1508" w:type="dxa"/>
            <w:vAlign w:val="center"/>
          </w:tcPr>
          <w:p w14:paraId="397A085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199E53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69FB54E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vAlign w:val="center"/>
          </w:tcPr>
          <w:p w14:paraId="69F40C3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1000≤Y＜30000</w:t>
            </w:r>
          </w:p>
        </w:tc>
        <w:tc>
          <w:tcPr>
            <w:tcW w:w="1431" w:type="dxa"/>
            <w:vAlign w:val="center"/>
          </w:tcPr>
          <w:p w14:paraId="5285509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vAlign w:val="center"/>
          </w:tcPr>
          <w:p w14:paraId="5F720DB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1526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753F4F66">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邮政业</w:t>
            </w:r>
          </w:p>
        </w:tc>
        <w:tc>
          <w:tcPr>
            <w:tcW w:w="1508" w:type="dxa"/>
            <w:vAlign w:val="center"/>
          </w:tcPr>
          <w:p w14:paraId="18D5F3B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62F3907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34FA0F0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vAlign w:val="center"/>
          </w:tcPr>
          <w:p w14:paraId="781F6BA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vAlign w:val="center"/>
          </w:tcPr>
          <w:p w14:paraId="687236B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vAlign w:val="center"/>
          </w:tcPr>
          <w:p w14:paraId="00AA024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75A1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85" w:type="dxa"/>
            <w:vMerge w:val="continue"/>
            <w:vAlign w:val="center"/>
          </w:tcPr>
          <w:p w14:paraId="09FCCF87">
            <w:pPr>
              <w:widowControl/>
              <w:jc w:val="left"/>
              <w:rPr>
                <w:rFonts w:hint="eastAsia" w:ascii="宋体" w:hAnsi="宋体" w:cs="宋体"/>
                <w:color w:val="auto"/>
                <w:kern w:val="0"/>
                <w:sz w:val="22"/>
                <w:szCs w:val="22"/>
                <w:highlight w:val="none"/>
              </w:rPr>
            </w:pPr>
          </w:p>
        </w:tc>
        <w:tc>
          <w:tcPr>
            <w:tcW w:w="1508" w:type="dxa"/>
            <w:vAlign w:val="center"/>
          </w:tcPr>
          <w:p w14:paraId="42B21DC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462E736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7F0D95B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vAlign w:val="center"/>
          </w:tcPr>
          <w:p w14:paraId="4736B91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2000≤Y＜30000</w:t>
            </w:r>
          </w:p>
        </w:tc>
        <w:tc>
          <w:tcPr>
            <w:tcW w:w="1431" w:type="dxa"/>
            <w:vAlign w:val="center"/>
          </w:tcPr>
          <w:p w14:paraId="1967BF8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vAlign w:val="center"/>
          </w:tcPr>
          <w:p w14:paraId="3C2BC13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6F8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3E5C7A47">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住宿业</w:t>
            </w:r>
          </w:p>
        </w:tc>
        <w:tc>
          <w:tcPr>
            <w:tcW w:w="1508" w:type="dxa"/>
            <w:vAlign w:val="center"/>
          </w:tcPr>
          <w:p w14:paraId="7CCBD98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3364BA7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3A51C6C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vAlign w:val="center"/>
          </w:tcPr>
          <w:p w14:paraId="6E43F445">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vAlign w:val="center"/>
          </w:tcPr>
          <w:p w14:paraId="3FFEE07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vAlign w:val="center"/>
          </w:tcPr>
          <w:p w14:paraId="2FF546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44D9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5" w:type="dxa"/>
            <w:vMerge w:val="continue"/>
            <w:vAlign w:val="center"/>
          </w:tcPr>
          <w:p w14:paraId="71E34D3F">
            <w:pPr>
              <w:widowControl/>
              <w:jc w:val="left"/>
              <w:rPr>
                <w:rFonts w:hint="eastAsia" w:ascii="宋体" w:hAnsi="宋体" w:cs="宋体"/>
                <w:color w:val="auto"/>
                <w:kern w:val="0"/>
                <w:sz w:val="22"/>
                <w:szCs w:val="22"/>
                <w:highlight w:val="none"/>
              </w:rPr>
            </w:pPr>
          </w:p>
        </w:tc>
        <w:tc>
          <w:tcPr>
            <w:tcW w:w="1508" w:type="dxa"/>
            <w:vAlign w:val="center"/>
          </w:tcPr>
          <w:p w14:paraId="3817573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727966B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3665775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vAlign w:val="center"/>
          </w:tcPr>
          <w:p w14:paraId="6DA0BCF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431" w:type="dxa"/>
            <w:vAlign w:val="center"/>
          </w:tcPr>
          <w:p w14:paraId="4A7F3B6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vAlign w:val="center"/>
          </w:tcPr>
          <w:p w14:paraId="0E17DF2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2E5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698E0458">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餐饮业</w:t>
            </w:r>
          </w:p>
        </w:tc>
        <w:tc>
          <w:tcPr>
            <w:tcW w:w="1508" w:type="dxa"/>
            <w:vAlign w:val="center"/>
          </w:tcPr>
          <w:p w14:paraId="084982F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073296F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3AD5B1D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vAlign w:val="center"/>
          </w:tcPr>
          <w:p w14:paraId="331506A3">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vAlign w:val="center"/>
          </w:tcPr>
          <w:p w14:paraId="48AC5A2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vAlign w:val="center"/>
          </w:tcPr>
          <w:p w14:paraId="170B7A3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7C9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vMerge w:val="continue"/>
            <w:vAlign w:val="center"/>
          </w:tcPr>
          <w:p w14:paraId="7F83FC14">
            <w:pPr>
              <w:widowControl/>
              <w:jc w:val="left"/>
              <w:rPr>
                <w:rFonts w:hint="eastAsia" w:ascii="宋体" w:hAnsi="宋体" w:cs="宋体"/>
                <w:color w:val="auto"/>
                <w:kern w:val="0"/>
                <w:sz w:val="22"/>
                <w:szCs w:val="22"/>
                <w:highlight w:val="none"/>
              </w:rPr>
            </w:pPr>
          </w:p>
        </w:tc>
        <w:tc>
          <w:tcPr>
            <w:tcW w:w="1508" w:type="dxa"/>
            <w:vAlign w:val="center"/>
          </w:tcPr>
          <w:p w14:paraId="056A7BA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6116C78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41F25F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vAlign w:val="center"/>
          </w:tcPr>
          <w:p w14:paraId="0A399A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431" w:type="dxa"/>
            <w:vAlign w:val="center"/>
          </w:tcPr>
          <w:p w14:paraId="5EDBF0C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vAlign w:val="center"/>
          </w:tcPr>
          <w:p w14:paraId="36B20DD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7375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42CC1F7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信息传输业 *</w:t>
            </w:r>
          </w:p>
        </w:tc>
        <w:tc>
          <w:tcPr>
            <w:tcW w:w="1508" w:type="dxa"/>
            <w:vAlign w:val="center"/>
          </w:tcPr>
          <w:p w14:paraId="2BE0538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57F225F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7FA70AC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X≥2000</w:t>
            </w:r>
          </w:p>
        </w:tc>
        <w:tc>
          <w:tcPr>
            <w:tcW w:w="1706" w:type="dxa"/>
            <w:vAlign w:val="center"/>
          </w:tcPr>
          <w:p w14:paraId="46549DC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100≤X＜2000</w:t>
            </w:r>
          </w:p>
        </w:tc>
        <w:tc>
          <w:tcPr>
            <w:tcW w:w="1431" w:type="dxa"/>
            <w:vAlign w:val="center"/>
          </w:tcPr>
          <w:p w14:paraId="3734B08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vAlign w:val="center"/>
          </w:tcPr>
          <w:p w14:paraId="7B652CD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5851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85" w:type="dxa"/>
            <w:vMerge w:val="continue"/>
            <w:vAlign w:val="center"/>
          </w:tcPr>
          <w:p w14:paraId="73F8B41D">
            <w:pPr>
              <w:widowControl/>
              <w:jc w:val="left"/>
              <w:rPr>
                <w:rFonts w:hint="eastAsia" w:ascii="宋体" w:hAnsi="宋体" w:cs="宋体"/>
                <w:color w:val="auto"/>
                <w:kern w:val="0"/>
                <w:sz w:val="22"/>
                <w:szCs w:val="22"/>
                <w:highlight w:val="none"/>
              </w:rPr>
            </w:pPr>
          </w:p>
        </w:tc>
        <w:tc>
          <w:tcPr>
            <w:tcW w:w="1508" w:type="dxa"/>
            <w:vAlign w:val="center"/>
          </w:tcPr>
          <w:p w14:paraId="2722C00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7B2DEAB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2B92595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Y≥1研和【2021】第90号</w:t>
            </w:r>
          </w:p>
        </w:tc>
        <w:tc>
          <w:tcPr>
            <w:tcW w:w="1706" w:type="dxa"/>
            <w:vAlign w:val="center"/>
          </w:tcPr>
          <w:p w14:paraId="2879C64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1000≤Y＜1研和【2021】第90号</w:t>
            </w:r>
          </w:p>
        </w:tc>
        <w:tc>
          <w:tcPr>
            <w:tcW w:w="1431" w:type="dxa"/>
            <w:vAlign w:val="center"/>
          </w:tcPr>
          <w:p w14:paraId="62B7842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vAlign w:val="center"/>
          </w:tcPr>
          <w:p w14:paraId="3556A70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1C0D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5A90236B">
            <w:pPr>
              <w:widowControl/>
              <w:spacing w:line="360" w:lineRule="auto"/>
              <w:contextualSpacing/>
              <w:jc w:val="left"/>
              <w:rPr>
                <w:rFonts w:hint="eastAsia" w:ascii="宋体" w:hAnsi="宋体" w:cs="宋体"/>
                <w:color w:val="auto"/>
                <w:spacing w:val="-12"/>
                <w:kern w:val="0"/>
                <w:sz w:val="22"/>
                <w:szCs w:val="22"/>
                <w:highlight w:val="none"/>
              </w:rPr>
            </w:pPr>
            <w:r>
              <w:rPr>
                <w:rFonts w:hint="eastAsia" w:ascii="宋体" w:hAnsi="宋体" w:cs="宋体"/>
                <w:color w:val="auto"/>
                <w:spacing w:val="-12"/>
                <w:kern w:val="0"/>
                <w:sz w:val="22"/>
                <w:szCs w:val="22"/>
                <w:highlight w:val="none"/>
              </w:rPr>
              <w:t>软件和信息技术服</w:t>
            </w:r>
            <w:r>
              <w:rPr>
                <w:rFonts w:hint="eastAsia" w:ascii="宋体" w:hAnsi="宋体" w:cs="宋体"/>
                <w:color w:val="auto"/>
                <w:kern w:val="0"/>
                <w:sz w:val="22"/>
                <w:szCs w:val="22"/>
                <w:highlight w:val="none"/>
              </w:rPr>
              <w:t>务业</w:t>
            </w:r>
          </w:p>
        </w:tc>
        <w:tc>
          <w:tcPr>
            <w:tcW w:w="1508" w:type="dxa"/>
            <w:vAlign w:val="center"/>
          </w:tcPr>
          <w:p w14:paraId="66ABA12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61513FF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05108DF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vAlign w:val="center"/>
          </w:tcPr>
          <w:p w14:paraId="6722703A">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vAlign w:val="center"/>
          </w:tcPr>
          <w:p w14:paraId="2F384FD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vAlign w:val="center"/>
          </w:tcPr>
          <w:p w14:paraId="1E5ACA3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5CEC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85" w:type="dxa"/>
            <w:vMerge w:val="continue"/>
            <w:vAlign w:val="center"/>
          </w:tcPr>
          <w:p w14:paraId="4282D2B9">
            <w:pPr>
              <w:widowControl/>
              <w:jc w:val="left"/>
              <w:rPr>
                <w:rFonts w:hint="eastAsia" w:ascii="宋体" w:hAnsi="宋体" w:cs="宋体"/>
                <w:color w:val="auto"/>
                <w:spacing w:val="-12"/>
                <w:kern w:val="0"/>
                <w:sz w:val="22"/>
                <w:szCs w:val="22"/>
                <w:highlight w:val="none"/>
              </w:rPr>
            </w:pPr>
          </w:p>
        </w:tc>
        <w:tc>
          <w:tcPr>
            <w:tcW w:w="1508" w:type="dxa"/>
            <w:vAlign w:val="center"/>
          </w:tcPr>
          <w:p w14:paraId="2FDADDD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7A7E859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62D8841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vAlign w:val="center"/>
          </w:tcPr>
          <w:p w14:paraId="27505F1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1000≤Y＜10000</w:t>
            </w:r>
          </w:p>
        </w:tc>
        <w:tc>
          <w:tcPr>
            <w:tcW w:w="1431" w:type="dxa"/>
            <w:vAlign w:val="center"/>
          </w:tcPr>
          <w:p w14:paraId="515BDA8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50≤Y＜1000</w:t>
            </w:r>
          </w:p>
        </w:tc>
        <w:tc>
          <w:tcPr>
            <w:tcW w:w="995" w:type="dxa"/>
            <w:vAlign w:val="center"/>
          </w:tcPr>
          <w:p w14:paraId="4BDC491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3993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7CC7718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房地产开发经营</w:t>
            </w:r>
          </w:p>
        </w:tc>
        <w:tc>
          <w:tcPr>
            <w:tcW w:w="1508" w:type="dxa"/>
            <w:vAlign w:val="center"/>
          </w:tcPr>
          <w:p w14:paraId="0A5BC8C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7E312CE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3F94EB91">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Y≥2研和【2021】第90号</w:t>
            </w:r>
          </w:p>
        </w:tc>
        <w:tc>
          <w:tcPr>
            <w:tcW w:w="1706" w:type="dxa"/>
            <w:vAlign w:val="center"/>
          </w:tcPr>
          <w:p w14:paraId="4F1DFC8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1000≤Y＜2研和【2021】第90号</w:t>
            </w:r>
          </w:p>
        </w:tc>
        <w:tc>
          <w:tcPr>
            <w:tcW w:w="1431" w:type="dxa"/>
            <w:vAlign w:val="center"/>
          </w:tcPr>
          <w:p w14:paraId="4C6CD11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vAlign w:val="center"/>
          </w:tcPr>
          <w:p w14:paraId="059ED66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4B1A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85" w:type="dxa"/>
            <w:vMerge w:val="continue"/>
            <w:vAlign w:val="center"/>
          </w:tcPr>
          <w:p w14:paraId="72A72DBD">
            <w:pPr>
              <w:widowControl/>
              <w:jc w:val="left"/>
              <w:rPr>
                <w:rFonts w:hint="eastAsia" w:ascii="宋体" w:hAnsi="宋体" w:cs="宋体"/>
                <w:color w:val="auto"/>
                <w:kern w:val="0"/>
                <w:sz w:val="22"/>
                <w:szCs w:val="22"/>
                <w:highlight w:val="none"/>
              </w:rPr>
            </w:pPr>
          </w:p>
        </w:tc>
        <w:tc>
          <w:tcPr>
            <w:tcW w:w="1508" w:type="dxa"/>
            <w:vAlign w:val="center"/>
          </w:tcPr>
          <w:p w14:paraId="1292B2F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vAlign w:val="center"/>
          </w:tcPr>
          <w:p w14:paraId="20E922D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2AE9B1C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Z≥10000</w:t>
            </w:r>
          </w:p>
        </w:tc>
        <w:tc>
          <w:tcPr>
            <w:tcW w:w="1706" w:type="dxa"/>
            <w:vAlign w:val="center"/>
          </w:tcPr>
          <w:p w14:paraId="6254D5F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5000≤Z＜10000</w:t>
            </w:r>
          </w:p>
        </w:tc>
        <w:tc>
          <w:tcPr>
            <w:tcW w:w="1431" w:type="dxa"/>
            <w:vAlign w:val="center"/>
          </w:tcPr>
          <w:p w14:paraId="6BA1159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2000≤Z＜5000   </w:t>
            </w:r>
          </w:p>
        </w:tc>
        <w:tc>
          <w:tcPr>
            <w:tcW w:w="995" w:type="dxa"/>
            <w:vAlign w:val="center"/>
          </w:tcPr>
          <w:p w14:paraId="1DC5DF7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Z＜2000</w:t>
            </w:r>
          </w:p>
        </w:tc>
      </w:tr>
      <w:tr w14:paraId="6A80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477F0569">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物业管理</w:t>
            </w:r>
          </w:p>
        </w:tc>
        <w:tc>
          <w:tcPr>
            <w:tcW w:w="1508" w:type="dxa"/>
            <w:vAlign w:val="center"/>
          </w:tcPr>
          <w:p w14:paraId="6EFF5CF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559D748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148D076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vAlign w:val="center"/>
          </w:tcPr>
          <w:p w14:paraId="0161235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vAlign w:val="center"/>
          </w:tcPr>
          <w:p w14:paraId="06960AF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995" w:type="dxa"/>
            <w:vAlign w:val="center"/>
          </w:tcPr>
          <w:p w14:paraId="453056D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w:t>
            </w:r>
          </w:p>
        </w:tc>
      </w:tr>
      <w:tr w14:paraId="3F7D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85" w:type="dxa"/>
            <w:vMerge w:val="continue"/>
            <w:vAlign w:val="center"/>
          </w:tcPr>
          <w:p w14:paraId="572FEE90">
            <w:pPr>
              <w:widowControl/>
              <w:jc w:val="left"/>
              <w:rPr>
                <w:rFonts w:hint="eastAsia" w:ascii="宋体" w:hAnsi="宋体" w:cs="宋体"/>
                <w:color w:val="auto"/>
                <w:kern w:val="0"/>
                <w:sz w:val="22"/>
                <w:szCs w:val="22"/>
                <w:highlight w:val="none"/>
              </w:rPr>
            </w:pPr>
          </w:p>
        </w:tc>
        <w:tc>
          <w:tcPr>
            <w:tcW w:w="1508" w:type="dxa"/>
            <w:vAlign w:val="center"/>
          </w:tcPr>
          <w:p w14:paraId="64DFDD8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vAlign w:val="center"/>
          </w:tcPr>
          <w:p w14:paraId="7B43893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68F414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Y≥5000</w:t>
            </w:r>
          </w:p>
        </w:tc>
        <w:tc>
          <w:tcPr>
            <w:tcW w:w="1706" w:type="dxa"/>
            <w:vAlign w:val="center"/>
          </w:tcPr>
          <w:p w14:paraId="76B49697">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1000≤Y＜5000 </w:t>
            </w:r>
          </w:p>
        </w:tc>
        <w:tc>
          <w:tcPr>
            <w:tcW w:w="1431" w:type="dxa"/>
            <w:vAlign w:val="center"/>
          </w:tcPr>
          <w:p w14:paraId="09021AF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500≤Y＜1000</w:t>
            </w:r>
          </w:p>
        </w:tc>
        <w:tc>
          <w:tcPr>
            <w:tcW w:w="995" w:type="dxa"/>
            <w:vAlign w:val="center"/>
          </w:tcPr>
          <w:p w14:paraId="30D03B3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Y＜500</w:t>
            </w:r>
          </w:p>
        </w:tc>
      </w:tr>
      <w:tr w14:paraId="3E23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vAlign w:val="center"/>
          </w:tcPr>
          <w:p w14:paraId="437353B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租赁和商务服务业</w:t>
            </w:r>
          </w:p>
        </w:tc>
        <w:tc>
          <w:tcPr>
            <w:tcW w:w="1508" w:type="dxa"/>
            <w:vAlign w:val="center"/>
          </w:tcPr>
          <w:p w14:paraId="3A606DA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205B5A0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6B99F83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vAlign w:val="center"/>
          </w:tcPr>
          <w:p w14:paraId="0CD433DE">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vAlign w:val="center"/>
          </w:tcPr>
          <w:p w14:paraId="43D6960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vAlign w:val="center"/>
          </w:tcPr>
          <w:p w14:paraId="1A4758B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4915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85" w:type="dxa"/>
            <w:vMerge w:val="continue"/>
            <w:vAlign w:val="center"/>
          </w:tcPr>
          <w:p w14:paraId="75469545">
            <w:pPr>
              <w:widowControl/>
              <w:jc w:val="left"/>
              <w:rPr>
                <w:rFonts w:hint="eastAsia" w:ascii="宋体" w:hAnsi="宋体" w:cs="宋体"/>
                <w:color w:val="auto"/>
                <w:kern w:val="0"/>
                <w:sz w:val="22"/>
                <w:szCs w:val="22"/>
                <w:highlight w:val="none"/>
              </w:rPr>
            </w:pPr>
          </w:p>
        </w:tc>
        <w:tc>
          <w:tcPr>
            <w:tcW w:w="1508" w:type="dxa"/>
            <w:vAlign w:val="center"/>
          </w:tcPr>
          <w:p w14:paraId="2FD966B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vAlign w:val="center"/>
          </w:tcPr>
          <w:p w14:paraId="42471F1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vAlign w:val="center"/>
          </w:tcPr>
          <w:p w14:paraId="3D80018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Z≥120000</w:t>
            </w:r>
          </w:p>
        </w:tc>
        <w:tc>
          <w:tcPr>
            <w:tcW w:w="1706" w:type="dxa"/>
            <w:vAlign w:val="center"/>
          </w:tcPr>
          <w:p w14:paraId="72C6976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8000≤Z＜120000</w:t>
            </w:r>
          </w:p>
        </w:tc>
        <w:tc>
          <w:tcPr>
            <w:tcW w:w="1431" w:type="dxa"/>
            <w:vAlign w:val="center"/>
          </w:tcPr>
          <w:p w14:paraId="47AAB5E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100≤Z＜8000</w:t>
            </w:r>
          </w:p>
        </w:tc>
        <w:tc>
          <w:tcPr>
            <w:tcW w:w="995" w:type="dxa"/>
            <w:vAlign w:val="center"/>
          </w:tcPr>
          <w:p w14:paraId="7B10A84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Z＜100</w:t>
            </w:r>
          </w:p>
        </w:tc>
      </w:tr>
      <w:tr w14:paraId="39D3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Align w:val="center"/>
          </w:tcPr>
          <w:p w14:paraId="4DB1DA25">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其他未列明行业 *</w:t>
            </w:r>
          </w:p>
        </w:tc>
        <w:tc>
          <w:tcPr>
            <w:tcW w:w="1508" w:type="dxa"/>
            <w:vAlign w:val="center"/>
          </w:tcPr>
          <w:p w14:paraId="3B0AA03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vAlign w:val="center"/>
          </w:tcPr>
          <w:p w14:paraId="21B0877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vAlign w:val="center"/>
          </w:tcPr>
          <w:p w14:paraId="0C48B56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vAlign w:val="center"/>
          </w:tcPr>
          <w:p w14:paraId="5C63B822">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vAlign w:val="center"/>
          </w:tcPr>
          <w:p w14:paraId="789BE56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vAlign w:val="center"/>
          </w:tcPr>
          <w:p w14:paraId="0FBBFC8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bl>
    <w:p w14:paraId="06CA1009">
      <w:pPr>
        <w:spacing w:line="360" w:lineRule="auto"/>
        <w:ind w:firstLine="514" w:firstLineChars="200"/>
        <w:rPr>
          <w:rFonts w:hint="eastAsia" w:ascii="宋体" w:hAnsi="宋体" w:cs="宋体"/>
          <w:color w:val="auto"/>
          <w:sz w:val="24"/>
          <w:highlight w:val="none"/>
        </w:rPr>
      </w:pPr>
      <w:r>
        <w:rPr>
          <w:rFonts w:hint="eastAsia" w:ascii="宋体" w:hAnsi="宋体" w:cs="宋体"/>
          <w:b/>
          <w:bCs/>
          <w:color w:val="auto"/>
          <w:spacing w:val="8"/>
          <w:kern w:val="0"/>
          <w:sz w:val="24"/>
          <w:highlight w:val="none"/>
        </w:rPr>
        <w:t>说明：</w:t>
      </w:r>
      <w:r>
        <w:rPr>
          <w:rFonts w:hint="eastAsia" w:ascii="宋体" w:hAnsi="宋体" w:cs="宋体"/>
          <w:color w:val="auto"/>
          <w:sz w:val="24"/>
          <w:highlight w:val="none"/>
        </w:rPr>
        <w:t>1、大型、中型和小型企业须同时满足所列指标的下限，否则下划一档；微型企业只须满足所列指标中的一项即可。</w:t>
      </w:r>
    </w:p>
    <w:p w14:paraId="10D5E48B">
      <w:pPr>
        <w:numPr>
          <w:ilvl w:val="0"/>
          <w:numId w:val="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8AD4F9B">
      <w:pPr>
        <w:numPr>
          <w:ilvl w:val="0"/>
          <w:numId w:val="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BD3E678">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（2）监狱企业</w:t>
      </w:r>
    </w:p>
    <w:p w14:paraId="7B3D587D">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根据《财政部 司法部关于政府采购支持监狱企业发展有关问题的通知》（财库〔2014〕68号）文的规定，在政府采购活动中，监狱企业视同小型、微型企业，评审中价格给20%的价格扣除，用扣除后的价格参与评审。监狱企业是指由司法部认定的为罪犯、戒毒人员提供生产项目和劳动对象，且全部产权属于司法部监狱管理局、戒毒管理局、直属煤矿管理局，各省、自治区、直辖市监狱管理局、戒毒管理局，各地(设区的 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B78BDE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（3）残疾人福利性单位</w:t>
      </w:r>
    </w:p>
    <w:p w14:paraId="62192D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根据《财政部 民政部 中国残疾人联合会关于促进残疾人就业政府采购政策的通知》（财库〔2017〕141号）文的规定，在政府采购活动中，残疾人福利性单位视同小型、微型企业，评审中价格给予20%的价格扣除，用扣除后的价格参与评审。享受政府采购支持政策的残疾人福利性单位应当同时满足以下条件： </w:t>
      </w:r>
    </w:p>
    <w:p w14:paraId="7B0627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①安置的残疾人占本单位在职职工人数的比例不低于25%（含25%），并且安置的残疾人人数不少于10 人（含10人）； </w:t>
      </w:r>
    </w:p>
    <w:p w14:paraId="361C31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②依法与安置的每位残疾人签订了一年以上（含一年）的劳动合同或服务协议； </w:t>
      </w:r>
    </w:p>
    <w:p w14:paraId="729CC8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③为安置的每位残疾人按月足额缴纳了基本养老保险、基本医疗保险、失业保险、工伤保险和生育保 险等社会保险费； </w:t>
      </w:r>
    </w:p>
    <w:p w14:paraId="03C367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④通过银行等金融机构向安置的每位残疾人，按月支付了不低于单位所在区县适用的经省级人民政府 批准的月最低工资标准的工资； </w:t>
      </w:r>
    </w:p>
    <w:p w14:paraId="7A65A3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2C89CE">
      <w:pPr>
        <w:pStyle w:val="14"/>
        <w:spacing w:line="360" w:lineRule="auto"/>
        <w:rPr>
          <w:rFonts w:hint="eastAsia" w:hAnsi="宋体" w:cs="宋体"/>
          <w:color w:val="auto"/>
          <w:sz w:val="24"/>
          <w:szCs w:val="24"/>
          <w:highlight w:val="none"/>
        </w:rPr>
      </w:pPr>
      <w:r>
        <w:rPr>
          <w:rFonts w:hint="eastAsia" w:hAnsi="宋体" w:cs="宋体"/>
          <w:color w:val="auto"/>
          <w:sz w:val="24"/>
          <w:highlight w:val="none"/>
        </w:rPr>
        <w:t>符合条件的残疾人福利性单位在参加政府采购活动时，应当提供《残疾人福利性单位声明函》（声明函格式见第六章“投标文件格式”）。</w:t>
      </w:r>
    </w:p>
    <w:p w14:paraId="4FAF6F4A">
      <w:pPr>
        <w:pStyle w:val="3"/>
        <w:spacing w:line="4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bookmarkStart w:id="19" w:name="_Toc4735"/>
      <w:bookmarkStart w:id="20" w:name="_Toc27868"/>
      <w:r>
        <w:rPr>
          <w:rFonts w:hint="eastAsia" w:ascii="宋体" w:hAnsi="宋体" w:cs="宋体"/>
          <w:color w:val="auto"/>
          <w:sz w:val="36"/>
          <w:szCs w:val="36"/>
          <w:highlight w:val="none"/>
        </w:rPr>
        <w:t>第三章  投标人须知</w:t>
      </w:r>
      <w:bookmarkEnd w:id="19"/>
      <w:bookmarkEnd w:id="20"/>
    </w:p>
    <w:p w14:paraId="184D405A">
      <w:pPr>
        <w:spacing w:line="360" w:lineRule="auto"/>
        <w:jc w:val="center"/>
        <w:rPr>
          <w:rFonts w:hint="eastAsia" w:ascii="宋体" w:hAnsi="宋体" w:cs="宋体"/>
          <w:b/>
          <w:bCs/>
          <w:color w:val="auto"/>
          <w:sz w:val="32"/>
          <w:szCs w:val="32"/>
          <w:highlight w:val="none"/>
        </w:rPr>
      </w:pPr>
      <w:bookmarkStart w:id="21" w:name="_Toc254970667"/>
      <w:bookmarkStart w:id="22" w:name="_Toc254970526"/>
      <w:r>
        <w:rPr>
          <w:rFonts w:hint="eastAsia" w:ascii="宋体" w:hAnsi="宋体" w:cs="宋体"/>
          <w:b/>
          <w:bCs/>
          <w:color w:val="auto"/>
          <w:sz w:val="32"/>
          <w:szCs w:val="32"/>
          <w:highlight w:val="none"/>
        </w:rPr>
        <w:t>投标人须知前附表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8571"/>
      </w:tblGrid>
      <w:tr w14:paraId="15A8F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66AA87B2">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8571" w:type="dxa"/>
            <w:tcBorders>
              <w:top w:val="single" w:color="auto" w:sz="4" w:space="0"/>
              <w:left w:val="single" w:color="auto" w:sz="4" w:space="0"/>
              <w:bottom w:val="single" w:color="auto" w:sz="4" w:space="0"/>
              <w:right w:val="single" w:color="auto" w:sz="4" w:space="0"/>
            </w:tcBorders>
            <w:vAlign w:val="center"/>
          </w:tcPr>
          <w:p w14:paraId="3724B10C">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编列内容</w:t>
            </w:r>
          </w:p>
        </w:tc>
      </w:tr>
      <w:tr w14:paraId="4ADC2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0F022C2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571" w:type="dxa"/>
            <w:tcBorders>
              <w:top w:val="single" w:color="auto" w:sz="4" w:space="0"/>
              <w:left w:val="single" w:color="auto" w:sz="4" w:space="0"/>
              <w:bottom w:val="single" w:color="auto" w:sz="4" w:space="0"/>
              <w:right w:val="single" w:color="auto" w:sz="4" w:space="0"/>
            </w:tcBorders>
            <w:vAlign w:val="center"/>
          </w:tcPr>
          <w:p w14:paraId="6163C07C">
            <w:pPr>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投标人的资格要求详见“招标公告”。</w:t>
            </w:r>
          </w:p>
        </w:tc>
      </w:tr>
      <w:tr w14:paraId="031E4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94" w:type="dxa"/>
            <w:tcBorders>
              <w:top w:val="single" w:color="auto" w:sz="4" w:space="0"/>
              <w:left w:val="single" w:color="auto" w:sz="4" w:space="0"/>
              <w:bottom w:val="single" w:color="auto" w:sz="4" w:space="0"/>
              <w:right w:val="single" w:color="auto" w:sz="4" w:space="0"/>
            </w:tcBorders>
            <w:vAlign w:val="center"/>
          </w:tcPr>
          <w:p w14:paraId="7BEB6D0A">
            <w:pPr>
              <w:spacing w:line="400" w:lineRule="exact"/>
              <w:jc w:val="center"/>
              <w:rPr>
                <w:rFonts w:hint="eastAsia" w:ascii="宋体" w:hAnsi="宋体" w:cs="宋体"/>
                <w:color w:val="auto"/>
                <w:sz w:val="24"/>
                <w:highlight w:val="none"/>
              </w:rPr>
            </w:pPr>
            <w:bookmarkStart w:id="23" w:name="_5"/>
            <w:bookmarkEnd w:id="23"/>
            <w:bookmarkStart w:id="24" w:name="_8.1"/>
            <w:bookmarkEnd w:id="24"/>
            <w:bookmarkStart w:id="25" w:name="_9.2"/>
            <w:bookmarkEnd w:id="25"/>
            <w:r>
              <w:rPr>
                <w:rFonts w:hint="eastAsia" w:ascii="宋体" w:hAnsi="宋体" w:cs="宋体"/>
                <w:color w:val="auto"/>
                <w:sz w:val="24"/>
                <w:highlight w:val="none"/>
              </w:rPr>
              <w:t>2</w:t>
            </w:r>
          </w:p>
        </w:tc>
        <w:tc>
          <w:tcPr>
            <w:tcW w:w="8571" w:type="dxa"/>
            <w:tcBorders>
              <w:top w:val="single" w:color="auto" w:sz="4" w:space="0"/>
              <w:left w:val="single" w:color="auto" w:sz="4" w:space="0"/>
              <w:bottom w:val="single" w:color="auto" w:sz="4" w:space="0"/>
              <w:right w:val="single" w:color="auto" w:sz="4" w:space="0"/>
            </w:tcBorders>
            <w:vAlign w:val="center"/>
          </w:tcPr>
          <w:p w14:paraId="11C30EDF">
            <w:pPr>
              <w:pStyle w:val="10"/>
              <w:spacing w:line="400" w:lineRule="exact"/>
              <w:rPr>
                <w:rFonts w:hint="eastAsia" w:ascii="宋体" w:hAnsi="宋体" w:cs="宋体"/>
                <w:color w:val="auto"/>
                <w:sz w:val="24"/>
                <w:highlight w:val="none"/>
              </w:rPr>
            </w:pPr>
            <w:r>
              <w:rPr>
                <w:rFonts w:hint="eastAsia" w:ascii="宋体" w:hAnsi="宋体" w:cs="宋体"/>
                <w:color w:val="auto"/>
                <w:sz w:val="24"/>
                <w:highlight w:val="none"/>
              </w:rPr>
              <w:t>本项目是否接受联合体投标：详见招标公告。</w:t>
            </w:r>
          </w:p>
        </w:tc>
      </w:tr>
      <w:tr w14:paraId="23D63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3C73C72E">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571" w:type="dxa"/>
            <w:tcBorders>
              <w:top w:val="single" w:color="auto" w:sz="4" w:space="0"/>
              <w:left w:val="single" w:color="auto" w:sz="4" w:space="0"/>
              <w:bottom w:val="single" w:color="auto" w:sz="4" w:space="0"/>
              <w:right w:val="single" w:color="auto" w:sz="4" w:space="0"/>
            </w:tcBorders>
            <w:vAlign w:val="center"/>
          </w:tcPr>
          <w:p w14:paraId="40AD1099">
            <w:pPr>
              <w:pStyle w:val="10"/>
              <w:spacing w:line="400" w:lineRule="exact"/>
              <w:rPr>
                <w:rFonts w:hint="eastAsia" w:ascii="宋体" w:hAnsi="宋体" w:cs="宋体"/>
                <w:color w:val="auto"/>
                <w:sz w:val="24"/>
                <w:highlight w:val="none"/>
              </w:rPr>
            </w:pPr>
            <w:r>
              <w:rPr>
                <w:rFonts w:hint="eastAsia" w:ascii="宋体" w:hAnsi="宋体" w:cs="宋体"/>
                <w:color w:val="auto"/>
                <w:sz w:val="24"/>
                <w:highlight w:val="none"/>
              </w:rPr>
              <w:t>分包要求：</w:t>
            </w:r>
          </w:p>
          <w:p w14:paraId="4A6282BE">
            <w:pPr>
              <w:pStyle w:val="10"/>
              <w:spacing w:line="400" w:lineRule="exact"/>
              <w:rPr>
                <w:rFonts w:hint="eastAsia" w:ascii="宋体" w:hAnsi="宋体" w:cs="宋体"/>
                <w:color w:val="auto"/>
                <w:sz w:val="24"/>
                <w:highlight w:val="none"/>
              </w:rPr>
            </w:pPr>
            <w:r>
              <w:rPr>
                <w:rFonts w:hint="eastAsia" w:ascii="宋体" w:hAnsi="宋体" w:cs="宋体"/>
                <w:color w:val="auto"/>
                <w:sz w:val="24"/>
                <w:highlight w:val="none"/>
              </w:rPr>
              <w:t>☑不允许分包</w:t>
            </w:r>
          </w:p>
          <w:p w14:paraId="403E7F9A">
            <w:pPr>
              <w:pStyle w:val="10"/>
              <w:spacing w:line="400" w:lineRule="exact"/>
              <w:rPr>
                <w:rFonts w:hint="eastAsia" w:ascii="宋体" w:hAnsi="宋体" w:cs="宋体"/>
                <w:color w:val="auto"/>
                <w:sz w:val="24"/>
                <w:highlight w:val="none"/>
              </w:rPr>
            </w:pPr>
            <w:r>
              <w:rPr>
                <w:rFonts w:hint="eastAsia" w:ascii="宋体" w:hAnsi="宋体" w:cs="宋体"/>
                <w:color w:val="auto"/>
                <w:sz w:val="24"/>
                <w:highlight w:val="none"/>
              </w:rPr>
              <w:t>□允许分包</w:t>
            </w:r>
          </w:p>
          <w:p w14:paraId="38B202D9">
            <w:pPr>
              <w:pStyle w:val="1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分包内容：</w:t>
            </w:r>
            <w:r>
              <w:rPr>
                <w:rFonts w:hint="eastAsia" w:ascii="宋体" w:hAnsi="宋体" w:cs="宋体"/>
                <w:color w:val="auto"/>
                <w:sz w:val="24"/>
                <w:highlight w:val="none"/>
                <w:u w:val="single"/>
              </w:rPr>
              <w:t xml:space="preserve">                                     。</w:t>
            </w:r>
          </w:p>
          <w:p w14:paraId="202418C0">
            <w:pPr>
              <w:pStyle w:val="10"/>
              <w:spacing w:line="400" w:lineRule="exact"/>
              <w:jc w:val="both"/>
              <w:rPr>
                <w:rFonts w:hint="eastAsia" w:ascii="宋体" w:hAnsi="宋体" w:cs="宋体"/>
                <w:color w:val="auto"/>
                <w:sz w:val="24"/>
                <w:highlight w:val="none"/>
                <w:u w:val="single"/>
              </w:rPr>
            </w:pPr>
            <w:r>
              <w:rPr>
                <w:rFonts w:hint="eastAsia" w:ascii="宋体" w:hAnsi="宋体" w:cs="宋体"/>
                <w:color w:val="auto"/>
                <w:sz w:val="24"/>
                <w:highlight w:val="none"/>
              </w:rPr>
              <w:t>分包金额或者比例：</w:t>
            </w:r>
            <w:r>
              <w:rPr>
                <w:rFonts w:hint="eastAsia" w:ascii="宋体" w:hAnsi="宋体" w:cs="宋体"/>
                <w:color w:val="auto"/>
                <w:sz w:val="24"/>
                <w:highlight w:val="none"/>
                <w:u w:val="single"/>
              </w:rPr>
              <w:t xml:space="preserve">                                     。</w:t>
            </w:r>
          </w:p>
        </w:tc>
      </w:tr>
      <w:tr w14:paraId="6F1A4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6AFD51C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571" w:type="dxa"/>
            <w:tcBorders>
              <w:top w:val="single" w:color="auto" w:sz="4" w:space="0"/>
              <w:left w:val="single" w:color="auto" w:sz="4" w:space="0"/>
              <w:bottom w:val="single" w:color="auto" w:sz="4" w:space="0"/>
              <w:right w:val="single" w:color="auto" w:sz="4" w:space="0"/>
            </w:tcBorders>
            <w:vAlign w:val="center"/>
          </w:tcPr>
          <w:p w14:paraId="133867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踏勘及答疑要求：</w:t>
            </w:r>
          </w:p>
          <w:p w14:paraId="75DA7E9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☑不组织现场踏勘；</w:t>
            </w:r>
          </w:p>
          <w:p w14:paraId="5A363F0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□组织现场踏勘：</w:t>
            </w:r>
          </w:p>
          <w:p w14:paraId="6E1C5B16">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集中时间：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，逾期后果自负。集中地点：</w:t>
            </w:r>
            <w:r>
              <w:rPr>
                <w:rFonts w:hint="eastAsia" w:ascii="宋体" w:hAnsi="宋体" w:cs="宋体"/>
                <w:color w:val="auto"/>
                <w:sz w:val="24"/>
                <w:highlight w:val="none"/>
                <w:u w:val="single"/>
              </w:rPr>
              <w:t xml:space="preserve">              </w:t>
            </w:r>
          </w:p>
          <w:p w14:paraId="50DF44A4">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205925E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☑不组织召开开标前答疑会</w:t>
            </w:r>
          </w:p>
          <w:p w14:paraId="17104FC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□组织召开开标前答疑会</w:t>
            </w:r>
          </w:p>
          <w:p w14:paraId="67D19A53">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2678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994" w:type="dxa"/>
            <w:vMerge w:val="restart"/>
            <w:tcBorders>
              <w:top w:val="single" w:color="auto" w:sz="4" w:space="0"/>
              <w:left w:val="single" w:color="auto" w:sz="4" w:space="0"/>
              <w:right w:val="single" w:color="auto" w:sz="4" w:space="0"/>
            </w:tcBorders>
            <w:vAlign w:val="center"/>
          </w:tcPr>
          <w:p w14:paraId="5E1D1E31">
            <w:pPr>
              <w:spacing w:line="400" w:lineRule="exact"/>
              <w:jc w:val="center"/>
              <w:rPr>
                <w:rFonts w:hint="eastAsia" w:ascii="宋体" w:hAnsi="宋体" w:cs="宋体"/>
                <w:color w:val="auto"/>
                <w:sz w:val="24"/>
                <w:highlight w:val="none"/>
              </w:rPr>
            </w:pPr>
            <w:bookmarkStart w:id="26" w:name="_13.1"/>
            <w:bookmarkEnd w:id="26"/>
            <w:r>
              <w:rPr>
                <w:rFonts w:hint="eastAsia" w:ascii="宋体" w:hAnsi="宋体" w:cs="宋体"/>
                <w:color w:val="auto"/>
                <w:sz w:val="24"/>
                <w:highlight w:val="none"/>
              </w:rPr>
              <w:t>5</w:t>
            </w:r>
          </w:p>
        </w:tc>
        <w:tc>
          <w:tcPr>
            <w:tcW w:w="8571" w:type="dxa"/>
            <w:tcBorders>
              <w:top w:val="single" w:color="auto" w:sz="4" w:space="0"/>
              <w:left w:val="single" w:color="auto" w:sz="4" w:space="0"/>
              <w:bottom w:val="single" w:color="auto" w:sz="4" w:space="0"/>
              <w:right w:val="single" w:color="auto" w:sz="4" w:space="0"/>
            </w:tcBorders>
            <w:vAlign w:val="center"/>
          </w:tcPr>
          <w:p w14:paraId="1E1C2787">
            <w:pPr>
              <w:snapToGrid w:val="0"/>
              <w:spacing w:line="400" w:lineRule="exact"/>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392524D5">
            <w:pPr>
              <w:snapToGrid w:val="0"/>
              <w:spacing w:line="40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（1）电子投标文件中须加盖公章部分均应采用投标人CA电子签章，否则视为投标无效。</w:t>
            </w:r>
          </w:p>
          <w:p w14:paraId="6102E175">
            <w:pPr>
              <w:snapToGrid w:val="0"/>
              <w:spacing w:line="40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（2）公开招标文件要求由法定代表人（自然人）或委托代理人签字的材料，必须由本人亲笔签字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，无亲笔签字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的视为投标无效。</w:t>
            </w:r>
          </w:p>
          <w:p w14:paraId="46903CCA">
            <w:pPr>
              <w:snapToGrid w:val="0"/>
              <w:spacing w:line="400" w:lineRule="exact"/>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（3）投标人所上传的材料必须为PDF格式。</w:t>
            </w:r>
          </w:p>
        </w:tc>
      </w:tr>
      <w:tr w14:paraId="77636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994" w:type="dxa"/>
            <w:vMerge w:val="continue"/>
            <w:tcBorders>
              <w:top w:val="single" w:color="auto" w:sz="4" w:space="0"/>
              <w:left w:val="single" w:color="auto" w:sz="4" w:space="0"/>
              <w:right w:val="single" w:color="auto" w:sz="4" w:space="0"/>
            </w:tcBorders>
            <w:vAlign w:val="center"/>
          </w:tcPr>
          <w:p w14:paraId="08E1B000">
            <w:pPr>
              <w:spacing w:line="400" w:lineRule="exact"/>
              <w:jc w:val="center"/>
              <w:rPr>
                <w:rFonts w:hint="eastAsia" w:ascii="宋体" w:hAnsi="宋体" w:cs="宋体"/>
                <w:color w:val="auto"/>
                <w:sz w:val="24"/>
                <w:highlight w:val="none"/>
              </w:rPr>
            </w:pPr>
          </w:p>
        </w:tc>
        <w:tc>
          <w:tcPr>
            <w:tcW w:w="8571" w:type="dxa"/>
            <w:tcBorders>
              <w:top w:val="single" w:color="auto" w:sz="4" w:space="0"/>
              <w:left w:val="single" w:color="auto" w:sz="4" w:space="0"/>
              <w:bottom w:val="single" w:color="auto" w:sz="4" w:space="0"/>
              <w:right w:val="single" w:color="auto" w:sz="4" w:space="0"/>
            </w:tcBorders>
            <w:vAlign w:val="center"/>
          </w:tcPr>
          <w:p w14:paraId="5529B801">
            <w:pPr>
              <w:pStyle w:val="14"/>
              <w:spacing w:line="400" w:lineRule="exact"/>
              <w:rPr>
                <w:rFonts w:hint="eastAsia" w:hAnsi="宋体" w:cs="宋体"/>
                <w:b/>
                <w:color w:val="auto"/>
                <w:sz w:val="24"/>
                <w:szCs w:val="24"/>
                <w:highlight w:val="none"/>
              </w:rPr>
            </w:pPr>
            <w:r>
              <w:rPr>
                <w:rFonts w:hint="eastAsia" w:hAnsi="宋体"/>
                <w:color w:val="auto"/>
                <w:spacing w:val="-4"/>
                <w:sz w:val="24"/>
                <w:szCs w:val="24"/>
                <w:highlight w:val="none"/>
              </w:rPr>
              <w:t>电子投标文件组成：</w:t>
            </w:r>
            <w:r>
              <w:rPr>
                <w:rFonts w:hint="eastAsia" w:hAnsi="宋体"/>
                <w:b/>
                <w:color w:val="auto"/>
                <w:sz w:val="24"/>
                <w:szCs w:val="24"/>
                <w:highlight w:val="none"/>
                <w:u w:val="single"/>
              </w:rPr>
              <w:t>资格文件；报价文件；商务技术文件</w:t>
            </w:r>
            <w:r>
              <w:rPr>
                <w:rFonts w:hint="eastAsia" w:hAnsi="宋体" w:cs="仿宋_GB2312"/>
                <w:b/>
                <w:color w:val="auto"/>
                <w:sz w:val="24"/>
                <w:szCs w:val="24"/>
                <w:highlight w:val="none"/>
              </w:rPr>
              <w:t>。（标项一、标项二相同）</w:t>
            </w:r>
          </w:p>
          <w:p w14:paraId="3C84ED8F">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1.资格文件：</w:t>
            </w:r>
          </w:p>
          <w:p w14:paraId="529A4FB4">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cs="宋体"/>
                <w:b/>
                <w:color w:val="auto"/>
                <w:sz w:val="24"/>
                <w:highlight w:val="none"/>
              </w:rPr>
              <w:t>（必须提供，否则作无效投标处理）</w:t>
            </w:r>
          </w:p>
          <w:p w14:paraId="04F0948B">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（2）政府采购供应商资格信用承诺函；</w:t>
            </w:r>
            <w:r>
              <w:rPr>
                <w:rFonts w:hint="eastAsia" w:ascii="宋体" w:hAnsi="宋体" w:cs="宋体"/>
                <w:b/>
                <w:color w:val="auto"/>
                <w:sz w:val="24"/>
                <w:highlight w:val="none"/>
              </w:rPr>
              <w:t>（必须提供，否则作无效投标处理）</w:t>
            </w:r>
          </w:p>
          <w:p w14:paraId="1C7F5E68">
            <w:pPr>
              <w:tabs>
                <w:tab w:val="left" w:pos="3870"/>
                <w:tab w:val="left" w:pos="4085"/>
              </w:tabs>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w:t>
            </w:r>
            <w:r>
              <w:rPr>
                <w:rFonts w:hint="eastAsia" w:ascii="宋体" w:hAnsi="宋体" w:cs="宋体"/>
                <w:color w:val="auto"/>
                <w:sz w:val="24"/>
                <w:highlight w:val="none"/>
              </w:rPr>
              <w:t>投标声明书（按第六章要求格式填写）；</w:t>
            </w:r>
            <w:r>
              <w:rPr>
                <w:rFonts w:hint="eastAsia" w:ascii="宋体" w:hAnsi="宋体" w:cs="宋体"/>
                <w:b/>
                <w:color w:val="auto"/>
                <w:sz w:val="24"/>
                <w:highlight w:val="none"/>
              </w:rPr>
              <w:t>（必须提供，否则作无效投标处理）</w:t>
            </w:r>
          </w:p>
          <w:p w14:paraId="5D558150">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（4）投标人直接控股、管理关系信息表（按第六章要求格式填写）；</w:t>
            </w:r>
            <w:r>
              <w:rPr>
                <w:rFonts w:hint="eastAsia" w:ascii="宋体" w:hAnsi="宋体" w:cs="宋体"/>
                <w:b/>
                <w:color w:val="auto"/>
                <w:sz w:val="24"/>
                <w:highlight w:val="none"/>
              </w:rPr>
              <w:t>（必须提供，否则作无效投标处理）</w:t>
            </w:r>
          </w:p>
          <w:p w14:paraId="344EC97B">
            <w:pPr>
              <w:pStyle w:val="14"/>
              <w:spacing w:line="400" w:lineRule="exact"/>
              <w:ind w:firstLine="420"/>
              <w:rPr>
                <w:rFonts w:hint="eastAsia" w:hAnsi="宋体" w:cs="宋体"/>
                <w:color w:val="auto"/>
                <w:sz w:val="24"/>
                <w:szCs w:val="24"/>
                <w:highlight w:val="none"/>
              </w:rPr>
            </w:pPr>
            <w:r>
              <w:rPr>
                <w:rFonts w:hint="eastAsia" w:hAnsi="宋体" w:cs="宋体"/>
                <w:color w:val="auto"/>
                <w:sz w:val="24"/>
                <w:szCs w:val="24"/>
                <w:highlight w:val="none"/>
              </w:rPr>
              <w:t>（5）投标人如为分支机构投标的，须提供其总公司对投标人针对本项目的授权书；（如有，格式自拟）</w:t>
            </w:r>
          </w:p>
          <w:p w14:paraId="4D945158">
            <w:pPr>
              <w:tabs>
                <w:tab w:val="left" w:pos="3870"/>
                <w:tab w:val="left" w:pos="4085"/>
              </w:tabs>
              <w:snapToGrid w:val="0"/>
              <w:spacing w:line="400" w:lineRule="exact"/>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（6）中小企业声明函或残疾人福利单位声明函；</w:t>
            </w:r>
            <w:r>
              <w:rPr>
                <w:rFonts w:hint="eastAsia" w:ascii="宋体" w:hAnsi="宋体" w:cs="宋体"/>
                <w:b/>
                <w:bCs/>
                <w:color w:val="auto"/>
                <w:sz w:val="24"/>
                <w:highlight w:val="none"/>
              </w:rPr>
              <w:t>（标项二必须提供，按第六章要求格式填写，</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4E0178C1">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29827183">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0C496990">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投标声明书</w:t>
            </w:r>
            <w:r>
              <w:rPr>
                <w:rFonts w:hint="eastAsia" w:ascii="宋体" w:hAnsi="宋体" w:cs="宋体"/>
                <w:b/>
                <w:bCs/>
                <w:color w:val="auto"/>
                <w:sz w:val="24"/>
                <w:highlight w:val="none"/>
              </w:rPr>
              <w:t>必须由法定代表人签字（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tc>
      </w:tr>
      <w:tr w14:paraId="0B091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vAlign w:val="center"/>
          </w:tcPr>
          <w:p w14:paraId="3C09764A">
            <w:pPr>
              <w:spacing w:line="400" w:lineRule="exact"/>
              <w:jc w:val="center"/>
              <w:rPr>
                <w:rFonts w:hint="eastAsia" w:ascii="宋体" w:hAnsi="宋体" w:cs="宋体"/>
                <w:color w:val="auto"/>
                <w:sz w:val="24"/>
                <w:highlight w:val="none"/>
              </w:rPr>
            </w:pPr>
            <w:bookmarkStart w:id="27" w:name="_13.2"/>
            <w:bookmarkEnd w:id="27"/>
          </w:p>
        </w:tc>
        <w:tc>
          <w:tcPr>
            <w:tcW w:w="8571" w:type="dxa"/>
            <w:tcBorders>
              <w:top w:val="single" w:color="auto" w:sz="4" w:space="0"/>
              <w:left w:val="single" w:color="auto" w:sz="4" w:space="0"/>
              <w:bottom w:val="single" w:color="auto" w:sz="4" w:space="0"/>
              <w:right w:val="single" w:color="auto" w:sz="4" w:space="0"/>
            </w:tcBorders>
            <w:vAlign w:val="center"/>
          </w:tcPr>
          <w:p w14:paraId="520BC248">
            <w:pPr>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报价文件</w:t>
            </w:r>
          </w:p>
          <w:p w14:paraId="28293659">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（1）投标函（按第六章要求格式填写）；</w:t>
            </w:r>
            <w:r>
              <w:rPr>
                <w:rFonts w:hint="eastAsia" w:ascii="宋体" w:hAnsi="宋体" w:cs="宋体"/>
                <w:b/>
                <w:color w:val="auto"/>
                <w:sz w:val="24"/>
                <w:highlight w:val="none"/>
              </w:rPr>
              <w:t>（必须提供，否则作无效投标处理）</w:t>
            </w:r>
          </w:p>
          <w:p w14:paraId="5016C747">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（2）开标一览表（按第六章要求格式填写）；</w:t>
            </w:r>
            <w:r>
              <w:rPr>
                <w:rFonts w:hint="eastAsia" w:ascii="宋体" w:hAnsi="宋体" w:cs="宋体"/>
                <w:b/>
                <w:color w:val="auto"/>
                <w:sz w:val="24"/>
                <w:highlight w:val="none"/>
              </w:rPr>
              <w:t>（必须提供，否则作无效投标处理）</w:t>
            </w:r>
          </w:p>
          <w:p w14:paraId="14E7CB8F">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（3）报价明细表（按第六章要求格式填写）；</w:t>
            </w:r>
            <w:r>
              <w:rPr>
                <w:rFonts w:hint="eastAsia" w:ascii="宋体" w:hAnsi="宋体" w:cs="宋体"/>
                <w:b/>
                <w:color w:val="auto"/>
                <w:sz w:val="24"/>
                <w:highlight w:val="none"/>
              </w:rPr>
              <w:t>（必须提供，否则作无效投标处理）</w:t>
            </w:r>
          </w:p>
          <w:p w14:paraId="1B78DB7B">
            <w:pPr>
              <w:snapToGrid w:val="0"/>
              <w:spacing w:line="360" w:lineRule="auto"/>
              <w:ind w:firstLine="420" w:firstLineChars="175"/>
              <w:jc w:val="left"/>
              <w:rPr>
                <w:color w:val="auto"/>
                <w:highlight w:val="none"/>
              </w:rPr>
            </w:pPr>
            <w:r>
              <w:rPr>
                <w:rFonts w:hint="eastAsia" w:ascii="宋体" w:hAnsi="宋体" w:cs="宋体"/>
                <w:color w:val="auto"/>
                <w:sz w:val="24"/>
                <w:highlight w:val="none"/>
              </w:rPr>
              <w:t>（4）中小企业声明函、残疾人福利单位声明函；（标项一：如有，请按格式提供）</w:t>
            </w:r>
          </w:p>
          <w:p w14:paraId="0688CFCF">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（5）投标人针对报价需要说明的其他文件和说明。（如有，格式自拟）</w:t>
            </w:r>
          </w:p>
          <w:p w14:paraId="4998EEAC">
            <w:pPr>
              <w:tabs>
                <w:tab w:val="left" w:pos="3870"/>
                <w:tab w:val="left" w:pos="4085"/>
              </w:tabs>
              <w:snapToGrid w:val="0"/>
              <w:spacing w:line="4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color w:val="auto"/>
                <w:sz w:val="24"/>
                <w:highlight w:val="none"/>
              </w:rPr>
              <w:t>投标函、开标一览表、报价明细表</w:t>
            </w:r>
            <w:r>
              <w:rPr>
                <w:rFonts w:hint="eastAsia" w:ascii="宋体" w:hAnsi="宋体" w:cs="宋体"/>
                <w:b/>
                <w:bCs/>
                <w:color w:val="auto"/>
                <w:sz w:val="24"/>
                <w:highlight w:val="none"/>
              </w:rPr>
              <w:t>均要由法定代表人或委托代理人签名（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）并加盖投标人CA电子签章，必须提供，</w:t>
            </w:r>
            <w:r>
              <w:rPr>
                <w:rFonts w:hint="eastAsia" w:ascii="宋体" w:hAnsi="宋体" w:cs="宋体"/>
                <w:b/>
                <w:color w:val="auto"/>
                <w:sz w:val="24"/>
                <w:highlight w:val="none"/>
              </w:rPr>
              <w:t>否则作无效投标处理</w:t>
            </w:r>
            <w:r>
              <w:rPr>
                <w:rFonts w:hint="eastAsia" w:ascii="宋体" w:hAnsi="宋体" w:cs="宋体"/>
                <w:bCs/>
                <w:color w:val="auto"/>
                <w:sz w:val="24"/>
                <w:highlight w:val="none"/>
              </w:rPr>
              <w:t>。</w:t>
            </w:r>
          </w:p>
        </w:tc>
      </w:tr>
      <w:tr w14:paraId="74E00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vAlign w:val="center"/>
          </w:tcPr>
          <w:p w14:paraId="76F7DC54">
            <w:pPr>
              <w:spacing w:line="400" w:lineRule="exact"/>
              <w:jc w:val="center"/>
              <w:rPr>
                <w:rFonts w:hint="eastAsia" w:ascii="宋体" w:hAnsi="宋体" w:cs="宋体"/>
                <w:color w:val="auto"/>
                <w:sz w:val="24"/>
                <w:highlight w:val="none"/>
              </w:rPr>
            </w:pPr>
            <w:bookmarkStart w:id="28" w:name="_13.3"/>
            <w:bookmarkEnd w:id="28"/>
          </w:p>
        </w:tc>
        <w:tc>
          <w:tcPr>
            <w:tcW w:w="8571" w:type="dxa"/>
            <w:tcBorders>
              <w:top w:val="single" w:color="auto" w:sz="4" w:space="0"/>
              <w:left w:val="single" w:color="auto" w:sz="4" w:space="0"/>
              <w:bottom w:val="single" w:color="auto" w:sz="4" w:space="0"/>
              <w:right w:val="single" w:color="auto" w:sz="4" w:space="0"/>
            </w:tcBorders>
            <w:vAlign w:val="center"/>
          </w:tcPr>
          <w:p w14:paraId="1DCC8618">
            <w:pPr>
              <w:widowControl/>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3.商务技术文件</w:t>
            </w:r>
          </w:p>
          <w:p w14:paraId="4A40F8B2">
            <w:pPr>
              <w:widowControl/>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3.1商务资信文件</w:t>
            </w:r>
          </w:p>
          <w:p w14:paraId="3991A46C">
            <w:pPr>
              <w:snapToGrid w:val="0"/>
              <w:spacing w:line="400" w:lineRule="exact"/>
              <w:jc w:val="left"/>
              <w:rPr>
                <w:rFonts w:hint="eastAsia" w:ascii="宋体" w:hAnsi="宋体" w:cs="宋体"/>
                <w:color w:val="auto"/>
                <w:sz w:val="24"/>
                <w:highlight w:val="none"/>
              </w:rPr>
            </w:pPr>
            <w:r>
              <w:rPr>
                <w:rFonts w:hint="eastAsia" w:ascii="宋体" w:hAnsi="宋体" w:cs="宋体"/>
                <w:b/>
                <w:color w:val="auto"/>
                <w:sz w:val="24"/>
                <w:highlight w:val="none"/>
              </w:rPr>
              <w:t>3.1.1商务文件</w:t>
            </w:r>
          </w:p>
          <w:p w14:paraId="235DA252">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无串通投标行为的承诺函</w:t>
            </w:r>
            <w:r>
              <w:rPr>
                <w:rFonts w:hint="eastAsia" w:ascii="宋体" w:hAnsi="宋体" w:cs="宋体"/>
                <w:color w:val="auto"/>
                <w:sz w:val="24"/>
                <w:highlight w:val="none"/>
              </w:rPr>
              <w:t>（按第六章要求格式填写）</w:t>
            </w:r>
            <w:r>
              <w:rPr>
                <w:rFonts w:hint="eastAsia" w:ascii="宋体" w:hAnsi="宋体" w:cs="宋体"/>
                <w:bCs/>
                <w:color w:val="auto"/>
                <w:sz w:val="24"/>
                <w:highlight w:val="none"/>
              </w:rPr>
              <w:t>；</w:t>
            </w:r>
            <w:r>
              <w:rPr>
                <w:rFonts w:hint="eastAsia" w:ascii="宋体" w:hAnsi="宋体" w:cs="宋体"/>
                <w:b/>
                <w:color w:val="auto"/>
                <w:sz w:val="24"/>
                <w:highlight w:val="none"/>
              </w:rPr>
              <w:t>（必须提供，否则作无效投标处理）</w:t>
            </w:r>
          </w:p>
          <w:p w14:paraId="5A28EA85">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（2）法定代表人身份证明书（按第六章要求格式填写）；（</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EB9DC23">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（3）法定代表人授权委托书及委托代理人有效身份证件（</w:t>
            </w:r>
            <w:r>
              <w:rPr>
                <w:rFonts w:hint="eastAsia" w:ascii="宋体" w:hAnsi="宋体" w:cs="宋体"/>
                <w:bCs/>
                <w:color w:val="auto"/>
                <w:sz w:val="24"/>
                <w:highlight w:val="none"/>
              </w:rPr>
              <w:t>正反面原件</w:t>
            </w:r>
            <w:r>
              <w:rPr>
                <w:rFonts w:hint="eastAsia" w:ascii="宋体" w:hAnsi="宋体" w:cs="宋体"/>
                <w:color w:val="auto"/>
                <w:sz w:val="24"/>
                <w:highlight w:val="none"/>
              </w:rPr>
              <w:t>）</w:t>
            </w:r>
            <w:r>
              <w:rPr>
                <w:rFonts w:hint="eastAsia" w:ascii="宋体" w:hAnsi="宋体" w:cs="宋体"/>
                <w:bCs/>
                <w:color w:val="auto"/>
                <w:sz w:val="24"/>
                <w:highlight w:val="none"/>
              </w:rPr>
              <w:t>扫描件</w:t>
            </w:r>
            <w:r>
              <w:rPr>
                <w:rFonts w:hint="eastAsia" w:ascii="宋体" w:hAnsi="宋体" w:cs="宋体"/>
                <w:color w:val="auto"/>
                <w:sz w:val="24"/>
                <w:highlight w:val="none"/>
              </w:rPr>
              <w:t>（委托代理时，按第六章要求格式填写）；（</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6B3F132A">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（4）商务响应表（按第六章要求格式填写）；（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DCF1430">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（5）售后服务方案承诺（按第六章要求格式填写）；（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C465EDD">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72B20DA3">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33C21FC0">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法定代表人身份证明书</w:t>
            </w:r>
            <w:r>
              <w:rPr>
                <w:rFonts w:hint="eastAsia" w:ascii="宋体" w:hAnsi="宋体" w:cs="宋体"/>
                <w:b/>
                <w:bCs/>
                <w:color w:val="auto"/>
                <w:sz w:val="24"/>
                <w:highlight w:val="none"/>
              </w:rPr>
              <w:t>必须由法定代表人签字（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3948D434">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委托时，法定代表人授权委托书</w:t>
            </w:r>
            <w:r>
              <w:rPr>
                <w:rFonts w:hint="eastAsia" w:ascii="宋体" w:hAnsi="宋体" w:cs="宋体"/>
                <w:b/>
                <w:bCs/>
                <w:color w:val="auto"/>
                <w:sz w:val="24"/>
                <w:highlight w:val="none"/>
              </w:rPr>
              <w:t>必须由法定代表人及委托代理人签字（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3A01A55C">
            <w:pPr>
              <w:tabs>
                <w:tab w:val="left" w:pos="3870"/>
                <w:tab w:val="left" w:pos="4085"/>
              </w:tabs>
              <w:snapToGrid w:val="0"/>
              <w:spacing w:line="400" w:lineRule="exact"/>
              <w:jc w:val="left"/>
              <w:rPr>
                <w:rFonts w:hint="eastAsia" w:ascii="宋体" w:hAnsi="宋体" w:cs="宋体"/>
                <w:b/>
                <w:bCs/>
                <w:color w:val="auto"/>
                <w:sz w:val="24"/>
                <w:highlight w:val="none"/>
              </w:rPr>
            </w:pPr>
            <w:r>
              <w:rPr>
                <w:rFonts w:hint="eastAsia" w:ascii="宋体" w:hAnsi="宋体" w:cs="宋体"/>
                <w:b/>
                <w:color w:val="auto"/>
                <w:sz w:val="24"/>
                <w:highlight w:val="none"/>
              </w:rPr>
              <w:t>3.1.2资信文件</w:t>
            </w:r>
          </w:p>
          <w:p w14:paraId="6C31856C">
            <w:pPr>
              <w:snapToGrid w:val="0"/>
              <w:spacing w:line="400" w:lineRule="exact"/>
              <w:ind w:firstLine="470" w:firstLineChars="196"/>
              <w:jc w:val="left"/>
              <w:rPr>
                <w:rFonts w:hint="eastAsia" w:ascii="宋体" w:hAnsi="宋体" w:cs="宋体"/>
                <w:b/>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w:t>
            </w:r>
            <w:r>
              <w:rPr>
                <w:rFonts w:hint="eastAsia" w:ascii="宋体" w:hAnsi="宋体" w:cs="宋体"/>
                <w:bCs/>
                <w:color w:val="auto"/>
                <w:sz w:val="24"/>
                <w:highlight w:val="none"/>
              </w:rPr>
              <w:t>自2022年1月1日以来的</w:t>
            </w:r>
            <w:r>
              <w:rPr>
                <w:rFonts w:hint="eastAsia" w:ascii="宋体" w:hAnsi="宋体" w:cs="宋体"/>
                <w:color w:val="auto"/>
                <w:sz w:val="24"/>
                <w:highlight w:val="none"/>
              </w:rPr>
              <w:t>同类项目成功案例（投标人同类项目实施情况一览表、合同原件扫描件；</w:t>
            </w:r>
            <w:r>
              <w:rPr>
                <w:rFonts w:hint="eastAsia" w:ascii="宋体" w:hAnsi="宋体" w:cs="宋体"/>
                <w:bCs/>
                <w:color w:val="auto"/>
                <w:sz w:val="24"/>
                <w:highlight w:val="none"/>
              </w:rPr>
              <w:t>同类项目指曾承担过与本次采购项目相似或相同的服务，合同应该包含买卖双方名称、产品名称、签署日期、双方盖章页，否则不予认可</w:t>
            </w:r>
            <w:r>
              <w:rPr>
                <w:rFonts w:hint="eastAsia" w:ascii="宋体" w:hAnsi="宋体" w:cs="宋体"/>
                <w:color w:val="auto"/>
                <w:sz w:val="24"/>
                <w:highlight w:val="none"/>
              </w:rPr>
              <w:t>）。（如有）</w:t>
            </w:r>
          </w:p>
          <w:p w14:paraId="42D8799E">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（2）投标人认为必要提供的声明及文件资料。</w:t>
            </w:r>
          </w:p>
          <w:p w14:paraId="05BE8622">
            <w:pPr>
              <w:tabs>
                <w:tab w:val="left" w:pos="3870"/>
                <w:tab w:val="left" w:pos="4085"/>
              </w:tabs>
              <w:snapToGrid w:val="0"/>
              <w:spacing w:line="400" w:lineRule="exact"/>
              <w:ind w:firstLine="600" w:firstLineChars="249"/>
              <w:jc w:val="left"/>
              <w:rPr>
                <w:rFonts w:hint="eastAsia" w:ascii="宋体" w:hAnsi="宋体" w:cs="宋体"/>
                <w:b/>
                <w:color w:val="auto"/>
                <w:sz w:val="24"/>
                <w:highlight w:val="none"/>
              </w:rPr>
            </w:pPr>
            <w:r>
              <w:rPr>
                <w:rFonts w:hint="eastAsia" w:ascii="宋体" w:hAnsi="宋体" w:cs="宋体"/>
                <w:b/>
                <w:bCs/>
                <w:color w:val="auto"/>
                <w:sz w:val="24"/>
                <w:highlight w:val="none"/>
              </w:rPr>
              <w:t>注：以上各项若有请提供，同时要加盖投标人CA电子签章，否则该证明被视为无效。</w:t>
            </w:r>
          </w:p>
          <w:p w14:paraId="792C70C2">
            <w:pPr>
              <w:snapToGrid w:val="0"/>
              <w:spacing w:line="400" w:lineRule="exact"/>
              <w:jc w:val="left"/>
              <w:rPr>
                <w:rFonts w:hint="eastAsia" w:ascii="宋体" w:hAnsi="宋体" w:cs="宋体"/>
                <w:color w:val="auto"/>
                <w:sz w:val="24"/>
                <w:highlight w:val="none"/>
              </w:rPr>
            </w:pPr>
            <w:r>
              <w:rPr>
                <w:rFonts w:hint="eastAsia" w:ascii="宋体" w:hAnsi="宋体" w:cs="宋体"/>
                <w:b/>
                <w:color w:val="auto"/>
                <w:sz w:val="24"/>
                <w:highlight w:val="none"/>
              </w:rPr>
              <w:t>3.2技术文件</w:t>
            </w:r>
          </w:p>
          <w:p w14:paraId="38EEBB56">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（1）技术响应表（按第六章要求格式填写）；（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995ABA2">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（2）投标货物配置清单（按第六章要求格式填写）；（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DE63414">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（3）项目实施方案（如有，按第六章要求格式填写）；</w:t>
            </w:r>
          </w:p>
          <w:p w14:paraId="4368AF05">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（4）项目实施人员一览表（如有，按第六章要求格式填写）；</w:t>
            </w:r>
          </w:p>
          <w:p w14:paraId="220F1ECC">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（5）选配件、专用耗材、售后服务优惠表（如有，按第六章要求格式填写）</w:t>
            </w:r>
          </w:p>
          <w:p w14:paraId="391D32A1">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（6）投标人对本项目的合理化建议和改进措施（如有，格式自拟）；</w:t>
            </w:r>
          </w:p>
          <w:p w14:paraId="302C1F02">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（7）投标人需要说明的其他文件和说明（如有，格式自拟）。</w:t>
            </w:r>
          </w:p>
          <w:p w14:paraId="27AE655F">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6873B896">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3A7D52D8">
            <w:pPr>
              <w:snapToGrid w:val="0"/>
              <w:spacing w:line="400" w:lineRule="exact"/>
              <w:ind w:firstLine="472" w:firstLineChars="196"/>
              <w:jc w:val="left"/>
              <w:rPr>
                <w:rFonts w:hint="eastAsia" w:ascii="宋体" w:hAnsi="宋体" w:cs="宋体"/>
                <w:color w:val="auto"/>
                <w:sz w:val="24"/>
                <w:highlight w:val="none"/>
              </w:rPr>
            </w:pPr>
            <w:r>
              <w:rPr>
                <w:rFonts w:hint="eastAsia" w:ascii="宋体" w:hAnsi="宋体" w:cs="宋体"/>
                <w:b/>
                <w:bCs/>
                <w:color w:val="auto"/>
                <w:sz w:val="24"/>
                <w:highlight w:val="none"/>
              </w:rPr>
              <w:t>2、以上非标明“必须提供”的均要加盖投标人CA电子签章，</w:t>
            </w:r>
            <w:r>
              <w:rPr>
                <w:rFonts w:hint="eastAsia" w:ascii="宋体" w:hAnsi="宋体" w:cs="宋体"/>
                <w:b/>
                <w:color w:val="auto"/>
                <w:sz w:val="24"/>
                <w:highlight w:val="none"/>
              </w:rPr>
              <w:t>否则该项不得分</w:t>
            </w:r>
            <w:r>
              <w:rPr>
                <w:rFonts w:hint="eastAsia" w:ascii="宋体" w:hAnsi="宋体" w:cs="宋体"/>
                <w:b/>
                <w:bCs/>
                <w:color w:val="auto"/>
                <w:sz w:val="24"/>
                <w:highlight w:val="none"/>
              </w:rPr>
              <w:t>。</w:t>
            </w:r>
          </w:p>
        </w:tc>
      </w:tr>
      <w:tr w14:paraId="7D308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51A2B86A">
            <w:pPr>
              <w:spacing w:line="400" w:lineRule="exact"/>
              <w:jc w:val="center"/>
              <w:rPr>
                <w:rFonts w:hint="eastAsia" w:ascii="宋体" w:hAnsi="宋体" w:cs="宋体"/>
                <w:color w:val="auto"/>
                <w:sz w:val="24"/>
                <w:highlight w:val="none"/>
              </w:rPr>
            </w:pPr>
            <w:bookmarkStart w:id="29" w:name="_13.5"/>
            <w:bookmarkEnd w:id="29"/>
            <w:bookmarkStart w:id="30" w:name="_13.4"/>
            <w:bookmarkEnd w:id="30"/>
            <w:bookmarkStart w:id="31" w:name="_16.2"/>
            <w:bookmarkEnd w:id="31"/>
            <w:r>
              <w:rPr>
                <w:rFonts w:hint="eastAsia" w:ascii="宋体" w:hAnsi="宋体" w:cs="宋体"/>
                <w:color w:val="auto"/>
                <w:sz w:val="24"/>
                <w:highlight w:val="none"/>
              </w:rPr>
              <w:t>6</w:t>
            </w:r>
          </w:p>
        </w:tc>
        <w:tc>
          <w:tcPr>
            <w:tcW w:w="8571" w:type="dxa"/>
            <w:tcBorders>
              <w:top w:val="single" w:color="auto" w:sz="4" w:space="0"/>
              <w:left w:val="single" w:color="auto" w:sz="4" w:space="0"/>
              <w:bottom w:val="single" w:color="auto" w:sz="4" w:space="0"/>
              <w:right w:val="single" w:color="auto" w:sz="4" w:space="0"/>
            </w:tcBorders>
            <w:vAlign w:val="center"/>
          </w:tcPr>
          <w:p w14:paraId="6A89898E">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396EFEA1">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☑投标报价包含验收费用</w:t>
            </w:r>
          </w:p>
          <w:p w14:paraId="722B2B7F">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□投标报价不包含验收费用</w:t>
            </w:r>
          </w:p>
        </w:tc>
      </w:tr>
      <w:tr w14:paraId="1E5E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4A7D1539">
            <w:pPr>
              <w:spacing w:line="400" w:lineRule="exact"/>
              <w:jc w:val="center"/>
              <w:rPr>
                <w:rFonts w:hint="eastAsia" w:ascii="宋体" w:hAnsi="宋体" w:cs="宋体"/>
                <w:color w:val="auto"/>
                <w:sz w:val="24"/>
                <w:highlight w:val="none"/>
              </w:rPr>
            </w:pPr>
            <w:bookmarkStart w:id="32" w:name="_17.1"/>
            <w:bookmarkEnd w:id="32"/>
            <w:r>
              <w:rPr>
                <w:rFonts w:hint="eastAsia" w:ascii="宋体" w:hAnsi="宋体" w:cs="宋体"/>
                <w:color w:val="auto"/>
                <w:sz w:val="24"/>
                <w:highlight w:val="none"/>
              </w:rPr>
              <w:t>7</w:t>
            </w:r>
          </w:p>
        </w:tc>
        <w:tc>
          <w:tcPr>
            <w:tcW w:w="8571" w:type="dxa"/>
            <w:tcBorders>
              <w:top w:val="single" w:color="auto" w:sz="4" w:space="0"/>
              <w:left w:val="single" w:color="auto" w:sz="4" w:space="0"/>
              <w:bottom w:val="single" w:color="auto" w:sz="4" w:space="0"/>
              <w:right w:val="single" w:color="auto" w:sz="4" w:space="0"/>
            </w:tcBorders>
            <w:vAlign w:val="center"/>
          </w:tcPr>
          <w:p w14:paraId="3BA404F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投标有效期：自投标截止之日起</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日。</w:t>
            </w:r>
          </w:p>
        </w:tc>
      </w:tr>
      <w:tr w14:paraId="5D40E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2EF5F4AC">
            <w:pPr>
              <w:spacing w:line="400" w:lineRule="exact"/>
              <w:jc w:val="center"/>
              <w:rPr>
                <w:rFonts w:hint="eastAsia" w:ascii="宋体" w:hAnsi="宋体" w:cs="宋体"/>
                <w:color w:val="auto"/>
                <w:sz w:val="24"/>
                <w:highlight w:val="none"/>
              </w:rPr>
            </w:pPr>
            <w:bookmarkStart w:id="33" w:name="_18"/>
            <w:bookmarkEnd w:id="33"/>
            <w:r>
              <w:rPr>
                <w:rFonts w:hint="eastAsia" w:ascii="宋体" w:hAnsi="宋体" w:cs="宋体"/>
                <w:color w:val="auto"/>
                <w:sz w:val="24"/>
                <w:highlight w:val="none"/>
              </w:rPr>
              <w:t>8</w:t>
            </w:r>
          </w:p>
        </w:tc>
        <w:tc>
          <w:tcPr>
            <w:tcW w:w="8571" w:type="dxa"/>
            <w:tcBorders>
              <w:top w:val="single" w:color="auto" w:sz="4" w:space="0"/>
              <w:left w:val="single" w:color="auto" w:sz="4" w:space="0"/>
              <w:bottom w:val="single" w:color="auto" w:sz="4" w:space="0"/>
              <w:right w:val="single" w:color="auto" w:sz="4" w:space="0"/>
            </w:tcBorders>
            <w:vAlign w:val="center"/>
          </w:tcPr>
          <w:p w14:paraId="2CB835B7">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☑本项目不收取投标保证金。</w:t>
            </w:r>
          </w:p>
          <w:p w14:paraId="31F16F0B">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本项目收取投标保证金，具体规定如下：</w:t>
            </w:r>
          </w:p>
          <w:p w14:paraId="163DD05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投标保证金的交纳方式：详见招标公告</w:t>
            </w:r>
          </w:p>
          <w:p w14:paraId="5C6F51A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投标保证金的金额：详见招标公告</w:t>
            </w:r>
          </w:p>
          <w:p w14:paraId="359D6E8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相关要求：</w:t>
            </w:r>
          </w:p>
          <w:p w14:paraId="73A53316">
            <w:pPr>
              <w:pStyle w:val="10"/>
              <w:spacing w:line="400" w:lineRule="exact"/>
              <w:rPr>
                <w:rFonts w:hint="eastAsia" w:ascii="宋体" w:hAnsi="宋体" w:cs="宋体"/>
                <w:color w:val="auto"/>
                <w:sz w:val="24"/>
                <w:highlight w:val="none"/>
              </w:rPr>
            </w:pPr>
            <w:r>
              <w:rPr>
                <w:rFonts w:hint="eastAsia" w:ascii="宋体" w:hAnsi="宋体" w:cs="宋体"/>
                <w:color w:val="auto"/>
                <w:sz w:val="24"/>
                <w:highlight w:val="none"/>
              </w:rPr>
              <w:t>1.投标保证金采用电汇、转账、网上银行支付方式的，在投标截止时间前交至采购代理机构指定账户并且到账，投标人应将银行转账底单的复印件作为投标保证金提交凭证，放置于报价文件中，</w:t>
            </w:r>
            <w:r>
              <w:rPr>
                <w:rFonts w:hint="eastAsia" w:ascii="宋体" w:hAnsi="宋体" w:cs="宋体"/>
                <w:b/>
                <w:color w:val="auto"/>
                <w:sz w:val="24"/>
                <w:highlight w:val="none"/>
              </w:rPr>
              <w:t>否则投标无效</w:t>
            </w:r>
            <w:r>
              <w:rPr>
                <w:rFonts w:hint="eastAsia" w:ascii="宋体" w:hAnsi="宋体" w:cs="宋体"/>
                <w:color w:val="auto"/>
                <w:sz w:val="24"/>
                <w:highlight w:val="none"/>
              </w:rPr>
              <w:t>。</w:t>
            </w:r>
          </w:p>
          <w:p w14:paraId="23A5C63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保证金采用支票、汇票、本票或者金融机构、担保机构出具的保险、保函、电子保函方式的，投标人应将支票、汇票、本票或者金融机构、担保机构出具的保险、保函、电子保函方式的的原件扫描件作为投标保证金提交凭证，放置于报价文件中，</w:t>
            </w:r>
            <w:r>
              <w:rPr>
                <w:rFonts w:hint="eastAsia" w:ascii="宋体" w:hAnsi="宋体" w:cs="宋体"/>
                <w:b/>
                <w:color w:val="auto"/>
                <w:sz w:val="24"/>
                <w:highlight w:val="none"/>
              </w:rPr>
              <w:t>否则投标无效</w:t>
            </w:r>
            <w:r>
              <w:rPr>
                <w:rFonts w:hint="eastAsia" w:ascii="宋体" w:hAnsi="宋体" w:cs="宋体"/>
                <w:color w:val="auto"/>
                <w:sz w:val="24"/>
                <w:highlight w:val="none"/>
              </w:rPr>
              <w:t>。投标人必须于递交投标截止时间前将支票、汇票、本票或者金融机构、担保机构出具的保险、保函、电子保函原件提交给采购人或者采购代理机构，由采购人或者采购代理机构向投标人出具回执，并妥善保管。</w:t>
            </w:r>
          </w:p>
          <w:p w14:paraId="29B2AD5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3.投标保证金指定帐户：详见招标公告。</w:t>
            </w:r>
          </w:p>
          <w:p w14:paraId="46B179CA">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备注： </w:t>
            </w:r>
          </w:p>
          <w:p w14:paraId="219A0C48">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1. 投标保证金在投标截止时间后提交的，或者不按规定交纳方式交纳的，或者未足额交纳的（包含保函额度不足的），视为无效投标保证金。</w:t>
            </w:r>
          </w:p>
          <w:p w14:paraId="2DD5EE17">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2.投标人采用现钞方式或者从个人账户（自然人投标除外）转出的投标保证金，视为无效投标保证金。</w:t>
            </w:r>
          </w:p>
          <w:p w14:paraId="031BAA39">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3.支票、汇票或者本票出现无效或者背书情形的，视为无效投标保证金。</w:t>
            </w:r>
          </w:p>
          <w:p w14:paraId="575DF338">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4.保函有效期低于投标有效期的，视为无效投标保证金。</w:t>
            </w:r>
          </w:p>
          <w:p w14:paraId="4A48931F">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5.采用金融、担保机构出具保函的，必须为无条件保函，否则视为无效投标保证金。</w:t>
            </w:r>
          </w:p>
        </w:tc>
      </w:tr>
      <w:tr w14:paraId="5DDF9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1EC539BD">
            <w:pPr>
              <w:spacing w:line="400" w:lineRule="exact"/>
              <w:jc w:val="center"/>
              <w:rPr>
                <w:rFonts w:hint="eastAsia" w:ascii="宋体" w:hAnsi="宋体" w:cs="宋体"/>
                <w:color w:val="auto"/>
                <w:sz w:val="24"/>
                <w:highlight w:val="none"/>
              </w:rPr>
            </w:pPr>
            <w:bookmarkStart w:id="34" w:name="_19.2"/>
            <w:bookmarkEnd w:id="34"/>
            <w:r>
              <w:rPr>
                <w:rFonts w:hint="eastAsia" w:ascii="宋体" w:hAnsi="宋体" w:cs="宋体"/>
                <w:color w:val="auto"/>
                <w:sz w:val="24"/>
                <w:highlight w:val="none"/>
              </w:rPr>
              <w:t>9</w:t>
            </w:r>
          </w:p>
        </w:tc>
        <w:tc>
          <w:tcPr>
            <w:tcW w:w="8571" w:type="dxa"/>
            <w:tcBorders>
              <w:top w:val="single" w:color="auto" w:sz="4" w:space="0"/>
              <w:left w:val="single" w:color="auto" w:sz="4" w:space="0"/>
              <w:bottom w:val="single" w:color="auto" w:sz="4" w:space="0"/>
              <w:right w:val="single" w:color="auto" w:sz="4" w:space="0"/>
            </w:tcBorders>
            <w:vAlign w:val="center"/>
          </w:tcPr>
          <w:p w14:paraId="0F44CFAB">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投标文件应按资格文件、报价文件、商务技术文件分别编制，资格文件、报价文件分别生成电子文件，商务技术文件按顺序合并生成电子文件。</w:t>
            </w:r>
            <w:r>
              <w:rPr>
                <w:rFonts w:hint="eastAsia" w:ascii="宋体" w:hAnsi="宋体" w:cs="宋体"/>
                <w:b/>
                <w:color w:val="auto"/>
                <w:sz w:val="24"/>
                <w:highlight w:val="none"/>
                <w:u w:val="single"/>
              </w:rPr>
              <w:t>电子版投标文件制作方式见招标公告附件。</w:t>
            </w:r>
          </w:p>
        </w:tc>
      </w:tr>
      <w:tr w14:paraId="5AFA6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94" w:type="dxa"/>
            <w:tcBorders>
              <w:top w:val="single" w:color="auto" w:sz="4" w:space="0"/>
              <w:left w:val="single" w:color="auto" w:sz="4" w:space="0"/>
              <w:bottom w:val="single" w:color="auto" w:sz="4" w:space="0"/>
              <w:right w:val="single" w:color="auto" w:sz="4" w:space="0"/>
            </w:tcBorders>
            <w:vAlign w:val="center"/>
          </w:tcPr>
          <w:p w14:paraId="666EA865">
            <w:pPr>
              <w:spacing w:line="400" w:lineRule="exact"/>
              <w:jc w:val="center"/>
              <w:rPr>
                <w:rFonts w:hint="eastAsia" w:ascii="宋体" w:hAnsi="宋体" w:cs="宋体"/>
                <w:color w:val="auto"/>
                <w:sz w:val="24"/>
                <w:highlight w:val="none"/>
              </w:rPr>
            </w:pPr>
            <w:bookmarkStart w:id="35" w:name="_21.1"/>
            <w:bookmarkEnd w:id="35"/>
            <w:r>
              <w:rPr>
                <w:rFonts w:hint="eastAsia" w:ascii="宋体" w:hAnsi="宋体" w:cs="宋体"/>
                <w:color w:val="auto"/>
                <w:sz w:val="24"/>
                <w:highlight w:val="none"/>
              </w:rPr>
              <w:t>10</w:t>
            </w:r>
          </w:p>
        </w:tc>
        <w:tc>
          <w:tcPr>
            <w:tcW w:w="8571" w:type="dxa"/>
            <w:tcBorders>
              <w:top w:val="single" w:color="auto" w:sz="4" w:space="0"/>
              <w:left w:val="single" w:color="auto" w:sz="4" w:space="0"/>
              <w:bottom w:val="single" w:color="auto" w:sz="4" w:space="0"/>
              <w:right w:val="single" w:color="auto" w:sz="4" w:space="0"/>
            </w:tcBorders>
            <w:vAlign w:val="center"/>
          </w:tcPr>
          <w:p w14:paraId="3E3F12D8">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1.投标截止时间：详见招标公告</w:t>
            </w:r>
          </w:p>
          <w:p w14:paraId="14C2AE6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2.投标文件提交起止时间：详见招标公告</w:t>
            </w:r>
          </w:p>
          <w:p w14:paraId="0BA884C6">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3.投标地点：详见招标公告</w:t>
            </w:r>
          </w:p>
        </w:tc>
      </w:tr>
      <w:tr w14:paraId="74338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539A6935">
            <w:pPr>
              <w:spacing w:line="400" w:lineRule="exact"/>
              <w:jc w:val="center"/>
              <w:rPr>
                <w:rFonts w:hint="eastAsia" w:ascii="宋体" w:hAnsi="宋体" w:cs="宋体"/>
                <w:color w:val="auto"/>
                <w:sz w:val="24"/>
                <w:highlight w:val="none"/>
              </w:rPr>
            </w:pPr>
            <w:bookmarkStart w:id="36" w:name="_23"/>
            <w:bookmarkEnd w:id="36"/>
            <w:r>
              <w:rPr>
                <w:rFonts w:hint="eastAsia" w:ascii="宋体" w:hAnsi="宋体" w:cs="宋体"/>
                <w:color w:val="auto"/>
                <w:sz w:val="24"/>
                <w:highlight w:val="none"/>
              </w:rPr>
              <w:t>11</w:t>
            </w:r>
          </w:p>
        </w:tc>
        <w:tc>
          <w:tcPr>
            <w:tcW w:w="8571" w:type="dxa"/>
            <w:tcBorders>
              <w:top w:val="single" w:color="auto" w:sz="4" w:space="0"/>
              <w:left w:val="single" w:color="auto" w:sz="4" w:space="0"/>
              <w:bottom w:val="single" w:color="auto" w:sz="4" w:space="0"/>
              <w:right w:val="single" w:color="auto" w:sz="4" w:space="0"/>
            </w:tcBorders>
            <w:vAlign w:val="center"/>
          </w:tcPr>
          <w:p w14:paraId="65C2F20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1.开标时间：详见招标公告</w:t>
            </w:r>
          </w:p>
          <w:p w14:paraId="02CC570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2.开标地点：详见招标公告</w:t>
            </w:r>
          </w:p>
        </w:tc>
      </w:tr>
      <w:tr w14:paraId="1DDFE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7816D157">
            <w:pPr>
              <w:spacing w:line="400" w:lineRule="exact"/>
              <w:jc w:val="center"/>
              <w:rPr>
                <w:rFonts w:hint="eastAsia" w:ascii="宋体" w:hAnsi="宋体" w:cs="宋体"/>
                <w:color w:val="auto"/>
                <w:sz w:val="24"/>
                <w:highlight w:val="none"/>
              </w:rPr>
            </w:pPr>
            <w:bookmarkStart w:id="37" w:name="_25.3"/>
            <w:bookmarkEnd w:id="37"/>
            <w:r>
              <w:rPr>
                <w:rFonts w:hint="eastAsia" w:ascii="宋体" w:hAnsi="宋体" w:cs="宋体"/>
                <w:color w:val="auto"/>
                <w:sz w:val="24"/>
                <w:highlight w:val="none"/>
              </w:rPr>
              <w:t>12</w:t>
            </w:r>
          </w:p>
        </w:tc>
        <w:tc>
          <w:tcPr>
            <w:tcW w:w="8571" w:type="dxa"/>
            <w:tcBorders>
              <w:top w:val="single" w:color="auto" w:sz="4" w:space="0"/>
              <w:left w:val="single" w:color="auto" w:sz="4" w:space="0"/>
              <w:bottom w:val="single" w:color="auto" w:sz="4" w:space="0"/>
              <w:right w:val="single" w:color="auto" w:sz="4" w:space="0"/>
            </w:tcBorders>
            <w:vAlign w:val="center"/>
          </w:tcPr>
          <w:p w14:paraId="1E69F0F7">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614DFF0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p w14:paraId="083DC4C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信用查询截止时点：资格审查结束前</w:t>
            </w:r>
          </w:p>
          <w:p w14:paraId="44B3BFB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查询记录和证据留存方式：在查询网站中直接打印查询记录，打印材料作为评审资料保存。</w:t>
            </w:r>
          </w:p>
          <w:p w14:paraId="3ECEC81E">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34A64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32530952">
            <w:pPr>
              <w:spacing w:line="400" w:lineRule="exact"/>
              <w:jc w:val="center"/>
              <w:rPr>
                <w:rFonts w:hint="eastAsia" w:ascii="宋体" w:hAnsi="宋体" w:cs="宋体"/>
                <w:color w:val="auto"/>
                <w:sz w:val="24"/>
                <w:highlight w:val="none"/>
              </w:rPr>
            </w:pPr>
            <w:bookmarkStart w:id="38" w:name="_26"/>
            <w:bookmarkEnd w:id="38"/>
            <w:r>
              <w:rPr>
                <w:rFonts w:hint="eastAsia" w:ascii="宋体" w:hAnsi="宋体" w:cs="宋体"/>
                <w:color w:val="auto"/>
                <w:sz w:val="24"/>
                <w:highlight w:val="none"/>
              </w:rPr>
              <w:t>13</w:t>
            </w:r>
          </w:p>
        </w:tc>
        <w:tc>
          <w:tcPr>
            <w:tcW w:w="8571" w:type="dxa"/>
            <w:tcBorders>
              <w:top w:val="single" w:color="auto" w:sz="4" w:space="0"/>
              <w:left w:val="single" w:color="auto" w:sz="4" w:space="0"/>
              <w:bottom w:val="single" w:color="auto" w:sz="4" w:space="0"/>
              <w:right w:val="single" w:color="auto" w:sz="4" w:space="0"/>
            </w:tcBorders>
            <w:vAlign w:val="center"/>
          </w:tcPr>
          <w:p w14:paraId="36995D8A">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评标委员会组成：共5人组成，由业主评委1人和政府采购评审专家4人组成。</w:t>
            </w:r>
          </w:p>
        </w:tc>
      </w:tr>
      <w:tr w14:paraId="2576F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6AF05877">
            <w:pPr>
              <w:spacing w:line="400" w:lineRule="exact"/>
              <w:jc w:val="center"/>
              <w:rPr>
                <w:rFonts w:hint="eastAsia" w:ascii="宋体" w:hAnsi="宋体" w:cs="宋体"/>
                <w:color w:val="auto"/>
                <w:sz w:val="24"/>
                <w:highlight w:val="none"/>
              </w:rPr>
            </w:pPr>
            <w:bookmarkStart w:id="39" w:name="_28.3"/>
            <w:bookmarkEnd w:id="39"/>
            <w:r>
              <w:rPr>
                <w:rFonts w:hint="eastAsia" w:ascii="宋体" w:hAnsi="宋体" w:cs="宋体"/>
                <w:color w:val="auto"/>
                <w:sz w:val="24"/>
                <w:highlight w:val="none"/>
              </w:rPr>
              <w:t>14</w:t>
            </w:r>
          </w:p>
        </w:tc>
        <w:tc>
          <w:tcPr>
            <w:tcW w:w="8571" w:type="dxa"/>
            <w:tcBorders>
              <w:top w:val="single" w:color="auto" w:sz="4" w:space="0"/>
              <w:left w:val="single" w:color="auto" w:sz="4" w:space="0"/>
              <w:bottom w:val="single" w:color="auto" w:sz="4" w:space="0"/>
              <w:right w:val="single" w:color="auto" w:sz="4" w:space="0"/>
            </w:tcBorders>
            <w:vAlign w:val="center"/>
          </w:tcPr>
          <w:p w14:paraId="217EB0BD">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评标方法：</w:t>
            </w:r>
          </w:p>
          <w:p w14:paraId="144EFE88">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☑综合评分法</w:t>
            </w:r>
          </w:p>
          <w:p w14:paraId="35875FE7">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□最低评标价法</w:t>
            </w:r>
          </w:p>
        </w:tc>
      </w:tr>
      <w:tr w14:paraId="6CC89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4" w:type="dxa"/>
            <w:tcBorders>
              <w:top w:val="single" w:color="auto" w:sz="4" w:space="0"/>
              <w:left w:val="single" w:color="auto" w:sz="4" w:space="0"/>
              <w:right w:val="single" w:color="auto" w:sz="4" w:space="0"/>
            </w:tcBorders>
            <w:vAlign w:val="center"/>
          </w:tcPr>
          <w:p w14:paraId="603F78FE">
            <w:pPr>
              <w:spacing w:line="400" w:lineRule="exact"/>
              <w:jc w:val="center"/>
              <w:rPr>
                <w:rFonts w:hint="eastAsia" w:ascii="宋体" w:hAnsi="宋体" w:cs="宋体"/>
                <w:color w:val="auto"/>
                <w:sz w:val="24"/>
                <w:highlight w:val="none"/>
              </w:rPr>
            </w:pPr>
            <w:bookmarkStart w:id="40" w:name="_29.2.2（2）"/>
            <w:bookmarkEnd w:id="40"/>
            <w:r>
              <w:rPr>
                <w:rFonts w:hint="eastAsia" w:ascii="宋体" w:hAnsi="宋体" w:cs="宋体"/>
                <w:color w:val="auto"/>
                <w:sz w:val="24"/>
                <w:highlight w:val="none"/>
              </w:rPr>
              <w:t>15</w:t>
            </w:r>
          </w:p>
        </w:tc>
        <w:tc>
          <w:tcPr>
            <w:tcW w:w="8571" w:type="dxa"/>
            <w:tcBorders>
              <w:top w:val="single" w:color="auto" w:sz="4" w:space="0"/>
              <w:left w:val="single" w:color="auto" w:sz="4" w:space="0"/>
              <w:right w:val="single" w:color="auto" w:sz="4" w:space="0"/>
            </w:tcBorders>
            <w:vAlign w:val="center"/>
          </w:tcPr>
          <w:p w14:paraId="7E118F9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p w14:paraId="02BECCEF">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项（含）（除“▲”以外的所有参数指标）。</w:t>
            </w:r>
          </w:p>
        </w:tc>
      </w:tr>
      <w:tr w14:paraId="1BA96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65C0926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8571" w:type="dxa"/>
            <w:tcBorders>
              <w:top w:val="single" w:color="auto" w:sz="4" w:space="0"/>
              <w:left w:val="single" w:color="auto" w:sz="4" w:space="0"/>
              <w:bottom w:val="single" w:color="auto" w:sz="4" w:space="0"/>
              <w:right w:val="single" w:color="auto" w:sz="4" w:space="0"/>
            </w:tcBorders>
            <w:vAlign w:val="center"/>
          </w:tcPr>
          <w:p w14:paraId="27BD8CA7">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采购人确定中标人时，出现中标候选人并列的情形，采购人按以下的方式确定中标人：</w:t>
            </w:r>
          </w:p>
          <w:p w14:paraId="2DC9B996">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☑政策分得分高的优先、技术评分高的优先、商务评分高的优先的顺序。 </w:t>
            </w:r>
          </w:p>
          <w:p w14:paraId="2EE17DF2">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□随机抽取</w:t>
            </w:r>
          </w:p>
        </w:tc>
      </w:tr>
      <w:tr w14:paraId="0256C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4" w:type="dxa"/>
            <w:tcBorders>
              <w:top w:val="single" w:color="auto" w:sz="4" w:space="0"/>
              <w:left w:val="single" w:color="auto" w:sz="4" w:space="0"/>
              <w:bottom w:val="single" w:color="auto" w:sz="4" w:space="0"/>
              <w:right w:val="single" w:color="auto" w:sz="4" w:space="0"/>
            </w:tcBorders>
            <w:vAlign w:val="center"/>
          </w:tcPr>
          <w:p w14:paraId="4CE9423B">
            <w:pPr>
              <w:spacing w:line="400" w:lineRule="exact"/>
              <w:jc w:val="center"/>
              <w:rPr>
                <w:rFonts w:hint="eastAsia" w:ascii="宋体" w:hAnsi="宋体" w:cs="宋体"/>
                <w:color w:val="auto"/>
                <w:sz w:val="24"/>
                <w:highlight w:val="none"/>
              </w:rPr>
            </w:pPr>
            <w:bookmarkStart w:id="41" w:name="_39.1"/>
            <w:bookmarkEnd w:id="41"/>
            <w:r>
              <w:rPr>
                <w:rFonts w:hint="eastAsia" w:ascii="宋体" w:hAnsi="宋体" w:cs="宋体"/>
                <w:color w:val="auto"/>
                <w:sz w:val="24"/>
                <w:highlight w:val="none"/>
              </w:rPr>
              <w:t>17</w:t>
            </w:r>
          </w:p>
        </w:tc>
        <w:tc>
          <w:tcPr>
            <w:tcW w:w="8571" w:type="dxa"/>
            <w:tcBorders>
              <w:top w:val="single" w:color="auto" w:sz="4" w:space="0"/>
              <w:left w:val="single" w:color="auto" w:sz="4" w:space="0"/>
              <w:bottom w:val="single" w:color="auto" w:sz="4" w:space="0"/>
              <w:right w:val="single" w:color="auto" w:sz="4" w:space="0"/>
            </w:tcBorders>
            <w:vAlign w:val="center"/>
          </w:tcPr>
          <w:p w14:paraId="2B9EB371">
            <w:pPr>
              <w:autoSpaceDE w:val="0"/>
              <w:autoSpaceDN w:val="0"/>
              <w:snapToGrid w:val="0"/>
              <w:spacing w:line="400" w:lineRule="exact"/>
              <w:textAlignment w:val="bottom"/>
              <w:rPr>
                <w:rFonts w:hint="eastAsia" w:ascii="宋体" w:hAnsi="宋体" w:cs="宋体"/>
                <w:color w:val="auto"/>
                <w:kern w:val="0"/>
                <w:sz w:val="24"/>
                <w:highlight w:val="none"/>
              </w:rPr>
            </w:pPr>
            <w:r>
              <w:rPr>
                <w:rFonts w:hint="eastAsia" w:ascii="宋体" w:hAnsi="宋体" w:cs="宋体"/>
                <w:color w:val="auto"/>
                <w:sz w:val="24"/>
                <w:highlight w:val="none"/>
              </w:rPr>
              <w:t>履约保证金金额：无。</w:t>
            </w:r>
          </w:p>
        </w:tc>
      </w:tr>
      <w:tr w14:paraId="4B98E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5510CAEB">
            <w:pPr>
              <w:spacing w:line="400" w:lineRule="exact"/>
              <w:jc w:val="center"/>
              <w:rPr>
                <w:rFonts w:hint="eastAsia" w:ascii="宋体" w:hAnsi="宋体" w:cs="宋体"/>
                <w:color w:val="auto"/>
                <w:sz w:val="24"/>
                <w:highlight w:val="none"/>
              </w:rPr>
            </w:pPr>
            <w:bookmarkStart w:id="42" w:name="_40.1"/>
            <w:bookmarkEnd w:id="42"/>
            <w:r>
              <w:rPr>
                <w:rFonts w:hint="eastAsia" w:ascii="宋体" w:hAnsi="宋体" w:cs="宋体"/>
                <w:color w:val="auto"/>
                <w:sz w:val="24"/>
                <w:highlight w:val="none"/>
              </w:rPr>
              <w:t>18</w:t>
            </w:r>
          </w:p>
        </w:tc>
        <w:tc>
          <w:tcPr>
            <w:tcW w:w="8571" w:type="dxa"/>
            <w:tcBorders>
              <w:top w:val="single" w:color="auto" w:sz="4" w:space="0"/>
              <w:left w:val="single" w:color="auto" w:sz="4" w:space="0"/>
              <w:bottom w:val="single" w:color="auto" w:sz="4" w:space="0"/>
              <w:right w:val="single" w:color="auto" w:sz="4" w:space="0"/>
            </w:tcBorders>
            <w:vAlign w:val="center"/>
          </w:tcPr>
          <w:p w14:paraId="00456A13">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02031713">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电子采购合同需要供应商通过有效CA证书进行电子签名与签章。</w:t>
            </w:r>
          </w:p>
        </w:tc>
      </w:tr>
      <w:tr w14:paraId="6F0B0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431F7DB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8571" w:type="dxa"/>
            <w:tcBorders>
              <w:top w:val="single" w:color="auto" w:sz="4" w:space="0"/>
              <w:left w:val="single" w:color="auto" w:sz="4" w:space="0"/>
              <w:bottom w:val="single" w:color="auto" w:sz="4" w:space="0"/>
              <w:right w:val="single" w:color="auto" w:sz="4" w:space="0"/>
            </w:tcBorders>
            <w:vAlign w:val="center"/>
          </w:tcPr>
          <w:p w14:paraId="2A27172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接收质疑函方式：以书面形式</w:t>
            </w:r>
          </w:p>
          <w:p w14:paraId="38B0BB37">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质疑联系部门及联系方式：广西信和招标代理有限公司，联系电话：0772-2128755，通讯地址：柳州市桂中大道南端2号阳光壹佰城市广场35栋12-7</w:t>
            </w:r>
          </w:p>
        </w:tc>
      </w:tr>
      <w:tr w14:paraId="6A040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15A6F13D">
            <w:pPr>
              <w:snapToGrid w:val="0"/>
              <w:spacing w:line="400" w:lineRule="exact"/>
              <w:jc w:val="center"/>
              <w:rPr>
                <w:rFonts w:hint="eastAsia" w:ascii="宋体" w:hAnsi="宋体" w:cs="宋体"/>
                <w:color w:val="auto"/>
                <w:sz w:val="24"/>
                <w:highlight w:val="none"/>
              </w:rPr>
            </w:pPr>
            <w:bookmarkStart w:id="43" w:name="_41"/>
            <w:bookmarkEnd w:id="43"/>
            <w:bookmarkStart w:id="44" w:name="_42"/>
            <w:bookmarkEnd w:id="44"/>
            <w:r>
              <w:rPr>
                <w:rFonts w:hint="eastAsia" w:ascii="宋体" w:hAnsi="宋体" w:cs="宋体"/>
                <w:color w:val="auto"/>
                <w:sz w:val="24"/>
                <w:highlight w:val="none"/>
              </w:rPr>
              <w:t>20</w:t>
            </w:r>
          </w:p>
        </w:tc>
        <w:tc>
          <w:tcPr>
            <w:tcW w:w="8571" w:type="dxa"/>
            <w:tcBorders>
              <w:top w:val="single" w:color="auto" w:sz="4" w:space="0"/>
              <w:left w:val="single" w:color="auto" w:sz="4" w:space="0"/>
              <w:bottom w:val="single" w:color="auto" w:sz="4" w:space="0"/>
              <w:right w:val="single" w:color="auto" w:sz="4" w:space="0"/>
            </w:tcBorders>
            <w:vAlign w:val="center"/>
          </w:tcPr>
          <w:p w14:paraId="4081743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415477FD">
            <w:pPr>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法律责任：</w:t>
            </w:r>
          </w:p>
          <w:p w14:paraId="608BF11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3ADB4F5">
            <w:pPr>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0CD1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vAlign w:val="center"/>
          </w:tcPr>
          <w:p w14:paraId="37EE3086">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8571" w:type="dxa"/>
            <w:tcBorders>
              <w:top w:val="single" w:color="auto" w:sz="4" w:space="0"/>
              <w:left w:val="single" w:color="auto" w:sz="4" w:space="0"/>
              <w:bottom w:val="single" w:color="auto" w:sz="4" w:space="0"/>
              <w:right w:val="single" w:color="auto" w:sz="4" w:space="0"/>
            </w:tcBorders>
            <w:vAlign w:val="center"/>
          </w:tcPr>
          <w:p w14:paraId="47C84C29">
            <w:pPr>
              <w:pStyle w:val="14"/>
              <w:snapToGrid w:val="0"/>
              <w:spacing w:line="400" w:lineRule="exact"/>
              <w:rPr>
                <w:rFonts w:hint="eastAsia"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A1EA5AC">
            <w:pPr>
              <w:pStyle w:val="14"/>
              <w:snapToGrid w:val="0"/>
              <w:spacing w:line="400" w:lineRule="exact"/>
              <w:rPr>
                <w:rFonts w:hint="eastAsia"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4C69D17">
            <w:pPr>
              <w:pStyle w:val="14"/>
              <w:snapToGrid w:val="0"/>
              <w:spacing w:line="400" w:lineRule="exact"/>
              <w:rPr>
                <w:rFonts w:hint="eastAsia" w:hAnsi="宋体" w:cs="宋体"/>
                <w:b/>
                <w:bCs/>
                <w:color w:val="auto"/>
                <w:sz w:val="24"/>
                <w:szCs w:val="24"/>
                <w:highlight w:val="none"/>
              </w:rPr>
            </w:pPr>
            <w:r>
              <w:rPr>
                <w:rFonts w:hint="eastAsia" w:hAnsi="宋体" w:cs="宋体"/>
                <w:b/>
                <w:bCs/>
                <w:color w:val="auto"/>
                <w:sz w:val="24"/>
                <w:szCs w:val="24"/>
                <w:highlight w:val="none"/>
              </w:rPr>
              <w:t>3.本招标文件中描述投标人的“签字（或签名）”是指投标人的法定代表人或者委托代理人亲自在文件规定签署处亲笔写上个人的名字的行为（或加盖按规定办理的CA电子签字章），私章、签字章、印鉴、影印等其他形式均不能代替亲笔签字。</w:t>
            </w:r>
          </w:p>
          <w:p w14:paraId="42853A85">
            <w:pPr>
              <w:pStyle w:val="14"/>
              <w:snapToGrid w:val="0"/>
              <w:spacing w:line="400" w:lineRule="exact"/>
              <w:rPr>
                <w:rFonts w:hint="eastAsia"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0C22DEE1">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bookmarkEnd w:id="21"/>
      <w:bookmarkEnd w:id="22"/>
    </w:tbl>
    <w:p w14:paraId="476D6D64">
      <w:pPr>
        <w:pStyle w:val="14"/>
        <w:snapToGrid w:val="0"/>
        <w:spacing w:line="360" w:lineRule="exact"/>
        <w:jc w:val="center"/>
        <w:rPr>
          <w:rFonts w:hint="eastAsia" w:hAnsi="宋体" w:cs="宋体"/>
          <w:b/>
          <w:color w:val="auto"/>
          <w:sz w:val="24"/>
          <w:szCs w:val="24"/>
          <w:highlight w:val="none"/>
        </w:rPr>
      </w:pPr>
      <w:r>
        <w:rPr>
          <w:rFonts w:hint="eastAsia" w:hAnsi="宋体" w:cs="宋体"/>
          <w:b/>
          <w:color w:val="auto"/>
          <w:highlight w:val="none"/>
        </w:rPr>
        <w:br w:type="page"/>
      </w:r>
      <w:r>
        <w:rPr>
          <w:rFonts w:hint="eastAsia" w:hAnsi="宋体" w:cs="宋体"/>
          <w:b/>
          <w:color w:val="auto"/>
          <w:sz w:val="24"/>
          <w:szCs w:val="24"/>
          <w:highlight w:val="none"/>
        </w:rPr>
        <w:t>一、总  则</w:t>
      </w:r>
    </w:p>
    <w:p w14:paraId="4C0A7B28">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bookmarkStart w:id="45" w:name="_Toc254970527"/>
      <w:bookmarkStart w:id="46" w:name="_Toc254970668"/>
      <w:r>
        <w:rPr>
          <w:rFonts w:hint="eastAsia" w:ascii="宋体" w:hAnsi="宋体" w:cs="宋体"/>
          <w:color w:val="auto"/>
          <w:sz w:val="24"/>
          <w:highlight w:val="none"/>
        </w:rPr>
        <w:t>1.适用范围</w:t>
      </w:r>
    </w:p>
    <w:p w14:paraId="4923819A">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22FC32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1.2本招标文件</w:t>
      </w:r>
      <w:r>
        <w:rPr>
          <w:rFonts w:hint="eastAsia" w:ascii="宋体" w:hAnsi="宋体" w:cs="宋体"/>
          <w:color w:val="auto"/>
          <w:spacing w:val="-6"/>
          <w:sz w:val="24"/>
          <w:highlight w:val="none"/>
        </w:rPr>
        <w:t>适用于本项目的所有采购程序和环节（法律、法规另有规定的，从其规定）。</w:t>
      </w:r>
    </w:p>
    <w:p w14:paraId="2D5E1FE2">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2.定义</w:t>
      </w:r>
    </w:p>
    <w:p w14:paraId="0EF9F8D9">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2.1“采购人”是指依法进行政府采购的国家机关、事业单位、团体组织。</w:t>
      </w:r>
    </w:p>
    <w:p w14:paraId="26CC44D8">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2.2“采购代理机构”是指政府采购代理机构（以下简称采购代理机构）是指集中采购机构以外、受采购人委托从事政府采购代理业务的社会中介机构。</w:t>
      </w:r>
    </w:p>
    <w:p w14:paraId="0579EC29">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2.3“供应商”是指向采购人提供货物、工程或者服务的法人、其他组织或者自然人。</w:t>
      </w:r>
    </w:p>
    <w:p w14:paraId="3165A4A2">
      <w:pPr>
        <w:pStyle w:val="9"/>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2.4“投标人”是指响应招标、参加投标竞争的法人、非法人组织或者自然人。</w:t>
      </w:r>
    </w:p>
    <w:p w14:paraId="2369961F">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2.5“货物”是指各种形态和种类的物品，包括原材料、燃料、设备、产品等。</w:t>
      </w:r>
    </w:p>
    <w:p w14:paraId="24B0F0BD">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14:paraId="33105575">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2.7“书面形式”是指合同书、信件和数据电文（包括电报、电传、传真、电子数据交换和电子邮件）等可以有形地表现所载内容的形式。</w:t>
      </w:r>
    </w:p>
    <w:p w14:paraId="14AB3855">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2.8“实质性要求”是指招标文件中已经指明不满足则投标无效的条款，或者不能负偏离的条款，或者采购需求中带“▲”的条款。</w:t>
      </w:r>
    </w:p>
    <w:p w14:paraId="079CCBA8">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2.9 “正偏离”，是指投标文件对招标文件“采购需求”中有关条款作出的响应优于条款要求并有利于采购人的情形。</w:t>
      </w:r>
    </w:p>
    <w:p w14:paraId="253D970B">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2.10“负偏离”，是指投标文件对招标文件“采购需求”中有关条款作出的响应不满足条款要求，导致采购人要求不能得到满足的情形。</w:t>
      </w:r>
    </w:p>
    <w:p w14:paraId="46D83E83">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2.11“允许负偏离的条款”是指采购需求中的不属于“实质性要求”的条款。</w:t>
      </w:r>
    </w:p>
    <w:p w14:paraId="70E3064C">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3.投标人的资格要求</w:t>
      </w:r>
    </w:p>
    <w:p w14:paraId="5075823A">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投标人的资格要求详见“投标人须知前附表”。</w:t>
      </w:r>
    </w:p>
    <w:p w14:paraId="4711C535">
      <w:pPr>
        <w:snapToGrid w:val="0"/>
        <w:spacing w:line="40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4.投标委托</w:t>
      </w:r>
    </w:p>
    <w:p w14:paraId="0FC76FC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投标人代表参加投标活动过程中必须携带个人有效身份证件。如投标人代表不是法定代表人，须持有法定代表人授权委托书（正本用原件，副本用复印件，按第六章要求格式填写）。</w:t>
      </w:r>
    </w:p>
    <w:p w14:paraId="7118D460">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bookmarkStart w:id="47" w:name="_5.投标费用"/>
      <w:bookmarkEnd w:id="47"/>
      <w:r>
        <w:rPr>
          <w:rFonts w:hint="eastAsia" w:ascii="宋体" w:hAnsi="宋体" w:cs="宋体"/>
          <w:color w:val="auto"/>
          <w:sz w:val="24"/>
          <w:highlight w:val="none"/>
        </w:rPr>
        <w:t>5.投标费用</w:t>
      </w:r>
    </w:p>
    <w:p w14:paraId="60985CF6">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投标费用：投标人应承担参与本次采购活动有关的所有费用，包括但不限于获取招标文件、勘查现场、编制和提交投标文件、参加澄清说明、签订合同等费用，不论投标结果如何，均应自行承担。</w:t>
      </w:r>
    </w:p>
    <w:p w14:paraId="50332D65">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6.联合体投标</w:t>
      </w:r>
    </w:p>
    <w:p w14:paraId="56616856">
      <w:pPr>
        <w:snapToGrid w:val="0"/>
        <w:spacing w:line="400" w:lineRule="exact"/>
        <w:ind w:firstLine="420" w:firstLineChars="175"/>
        <w:jc w:val="left"/>
        <w:rPr>
          <w:rFonts w:hint="eastAsia" w:ascii="宋体" w:hAnsi="宋体" w:cs="宋体"/>
          <w:bCs/>
          <w:color w:val="auto"/>
          <w:sz w:val="24"/>
          <w:highlight w:val="none"/>
        </w:rPr>
      </w:pPr>
      <w:r>
        <w:rPr>
          <w:rFonts w:hint="eastAsia" w:ascii="宋体" w:hAnsi="宋体" w:cs="宋体"/>
          <w:bCs/>
          <w:color w:val="auto"/>
          <w:sz w:val="24"/>
          <w:highlight w:val="none"/>
        </w:rPr>
        <w:t>本项目</w:t>
      </w:r>
      <w:r>
        <w:rPr>
          <w:rFonts w:hint="eastAsia" w:ascii="宋体" w:hAnsi="宋体" w:cs="宋体"/>
          <w:b/>
          <w:color w:val="auto"/>
          <w:sz w:val="24"/>
          <w:highlight w:val="none"/>
          <w:u w:val="single"/>
        </w:rPr>
        <w:t>不接受</w:t>
      </w:r>
      <w:r>
        <w:rPr>
          <w:rFonts w:hint="eastAsia" w:ascii="宋体" w:hAnsi="宋体" w:cs="宋体"/>
          <w:bCs/>
          <w:color w:val="auto"/>
          <w:sz w:val="24"/>
          <w:highlight w:val="none"/>
        </w:rPr>
        <w:t>联合体投标。</w:t>
      </w:r>
    </w:p>
    <w:p w14:paraId="71EC939D">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 xml:space="preserve">7.转包与分包             </w:t>
      </w:r>
    </w:p>
    <w:p w14:paraId="1BE7EF37">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7.1本项目不允许转包。</w:t>
      </w:r>
    </w:p>
    <w:p w14:paraId="2BD0CA27">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3E8045A">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8.特别说明：</w:t>
      </w:r>
    </w:p>
    <w:p w14:paraId="76FB9D6D">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bookmarkStart w:id="48" w:name="_8.1提供相同品牌产品且通过资格审查、符合性审查的不同投标人参加同一合"/>
      <w:bookmarkEnd w:id="48"/>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"_8.1"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2DD3494C">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非单一产品采购项目，多家投标人提供的核心产品品牌相同的，按前款规定处理。</w:t>
      </w:r>
    </w:p>
    <w:p w14:paraId="1DAFB543">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8.2如果本招标文件要求投标人提供资格、信誉、荣誉、业绩与企业认证等材料的，则投标人所提供的以上材料必须为投标人所拥有。</w:t>
      </w:r>
    </w:p>
    <w:p w14:paraId="78C99E35">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8.3投标人应仔细阅读招标文件的所有内容，按照招标文件的要求提交投标文件，并对所提供的全部资料的真实性承担法律责任。</w:t>
      </w:r>
    </w:p>
    <w:p w14:paraId="69C75368">
      <w:pPr>
        <w:pStyle w:val="8"/>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8.4投标人在投标活动中提供任何虚假材料，将报监管部门查处。</w:t>
      </w:r>
    </w:p>
    <w:p w14:paraId="1ED7BC3D">
      <w:pPr>
        <w:pStyle w:val="8"/>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9.回避与串通投标</w:t>
      </w:r>
    </w:p>
    <w:p w14:paraId="555D2283">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9.1在政府采购活动中，采购人员及相关人员与供应商有下列利害关系之一的，应当回避：</w:t>
      </w:r>
    </w:p>
    <w:p w14:paraId="7101D7D3">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（1）参加采购活动前3年内与供应商存在劳动关系；</w:t>
      </w:r>
    </w:p>
    <w:p w14:paraId="6EC1AA7E">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（2）参加采购活动前3年内担任供应商的董事、监事；</w:t>
      </w:r>
    </w:p>
    <w:p w14:paraId="16B692E5">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（3）参加采购活动前3年内是供应商的控股股东或者实际控制人；</w:t>
      </w:r>
    </w:p>
    <w:p w14:paraId="752E1D0D">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（4）与供应商的法定代表人或者负责人有夫妻、直系血亲、三代以内旁系血亲或者近姻亲关系；</w:t>
      </w:r>
    </w:p>
    <w:p w14:paraId="051D6EF7">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（5）与供应商有其他可能影响政府采购活动公平、公正进行的关系。</w:t>
      </w:r>
    </w:p>
    <w:p w14:paraId="5536BB4B">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BC039D">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9.2有下列情形之一的视为投标人相互串通投标，投标文件将被视为无效：</w:t>
      </w:r>
    </w:p>
    <w:p w14:paraId="5AE36FEE">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（1）不同投标人的投标文件由同一单位或者个人编制；或者不同投标人报名的IP地址一致的；</w:t>
      </w:r>
    </w:p>
    <w:p w14:paraId="6249EBC1">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（2）不同投标人委托同一单位或者个人办理投标事宜；</w:t>
      </w:r>
    </w:p>
    <w:p w14:paraId="48E63357">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（3）不同的投标人的投标文件载明的项目管理员为同一个人；</w:t>
      </w:r>
    </w:p>
    <w:p w14:paraId="424C5D7B">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（4）不同投标人的投标文件异常一致或者投标报价呈规律性差异；</w:t>
      </w:r>
    </w:p>
    <w:p w14:paraId="06AB1F77">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（5）不同投标人的投标文件相互混装；</w:t>
      </w:r>
    </w:p>
    <w:p w14:paraId="6DE2BB4B">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（6）不同投标人的投标保证金从同一单位或者个人账户转出。</w:t>
      </w:r>
    </w:p>
    <w:p w14:paraId="2E382CC0">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9.3供应商有下列情形之一的，属于恶意串通行为，将报同级监督管理部门：</w:t>
      </w:r>
    </w:p>
    <w:p w14:paraId="3C198902">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（1）供应商直接或者间接从采购人或者采购代理机构处获得其他供应商的相关信息并修改其投标文件或者响应文件；</w:t>
      </w:r>
    </w:p>
    <w:p w14:paraId="3AA9E19A">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（2）供应商按照采购人或者采购代理机构的授意撤换、修改投标文件或者响应文件；</w:t>
      </w:r>
    </w:p>
    <w:p w14:paraId="22409C8D">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（3）供应商之间协商报价、技术方案等投标文件或者响应文件的实质性内容；</w:t>
      </w:r>
    </w:p>
    <w:p w14:paraId="23C28B44">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（4）属于同一集团、协会、商会等组织成员的供应商按照该组织要求协同参加政府采购活动；</w:t>
      </w:r>
    </w:p>
    <w:p w14:paraId="79657276">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43E51300">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（6）供应商之间商定部分供应商放弃参加政府采购活动或者放弃中标；</w:t>
      </w:r>
    </w:p>
    <w:p w14:paraId="4616C3D6">
      <w:pPr>
        <w:snapToGrid w:val="0"/>
        <w:spacing w:line="400" w:lineRule="exact"/>
        <w:ind w:firstLine="422" w:firstLineChars="175"/>
        <w:jc w:val="left"/>
        <w:outlineLvl w:val="1"/>
        <w:rPr>
          <w:rFonts w:hint="eastAsia" w:ascii="宋体" w:hAnsi="宋体" w:cs="宋体"/>
          <w:b/>
          <w:color w:val="auto"/>
          <w:sz w:val="24"/>
          <w:highlight w:val="none"/>
        </w:rPr>
      </w:pPr>
      <w:bookmarkStart w:id="49" w:name="_Toc8354"/>
      <w:r>
        <w:rPr>
          <w:rFonts w:hint="eastAsia" w:ascii="宋体" w:hAnsi="宋体" w:cs="宋体"/>
          <w:b/>
          <w:color w:val="auto"/>
          <w:sz w:val="24"/>
          <w:highlight w:val="none"/>
        </w:rPr>
        <w:t>（7）供应商与采购人或者采购代理机构之间、供应商相互之间，为谋求特定供应商中标或者排斥其他供应商的其他串通行为。</w:t>
      </w:r>
      <w:bookmarkEnd w:id="49"/>
    </w:p>
    <w:p w14:paraId="7263C49A">
      <w:pPr>
        <w:snapToGrid w:val="0"/>
        <w:spacing w:line="400" w:lineRule="exact"/>
        <w:ind w:firstLine="422" w:firstLineChars="175"/>
        <w:jc w:val="center"/>
        <w:outlineLvl w:val="1"/>
        <w:rPr>
          <w:rFonts w:hint="eastAsia" w:ascii="宋体" w:hAnsi="宋体" w:cs="宋体"/>
          <w:b/>
          <w:color w:val="auto"/>
          <w:sz w:val="24"/>
          <w:highlight w:val="none"/>
        </w:rPr>
      </w:pPr>
    </w:p>
    <w:p w14:paraId="787A3C4E">
      <w:pPr>
        <w:snapToGrid w:val="0"/>
        <w:spacing w:line="400" w:lineRule="exact"/>
        <w:ind w:firstLine="422" w:firstLineChars="175"/>
        <w:jc w:val="center"/>
        <w:outlineLvl w:val="1"/>
        <w:rPr>
          <w:rFonts w:hint="eastAsia" w:ascii="宋体" w:hAnsi="宋体" w:cs="宋体"/>
          <w:b/>
          <w:color w:val="auto"/>
          <w:sz w:val="24"/>
          <w:highlight w:val="none"/>
        </w:rPr>
      </w:pPr>
      <w:bookmarkStart w:id="50" w:name="_Toc10051"/>
      <w:r>
        <w:rPr>
          <w:rFonts w:hint="eastAsia" w:ascii="宋体" w:hAnsi="宋体" w:cs="宋体"/>
          <w:b/>
          <w:color w:val="auto"/>
          <w:sz w:val="24"/>
          <w:highlight w:val="none"/>
        </w:rPr>
        <w:t>二、招标文件</w:t>
      </w:r>
      <w:bookmarkEnd w:id="50"/>
    </w:p>
    <w:p w14:paraId="04687FFD">
      <w:pPr>
        <w:pStyle w:val="8"/>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10.招标文件的组成</w:t>
      </w:r>
    </w:p>
    <w:p w14:paraId="3802C5E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14:paraId="5D701E11">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 xml:space="preserve">（2）采购需求； </w:t>
      </w:r>
    </w:p>
    <w:p w14:paraId="313E4D8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（3）投标人须知；</w:t>
      </w:r>
    </w:p>
    <w:p w14:paraId="3E30848A">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（4）评标方法及评标标准；</w:t>
      </w:r>
    </w:p>
    <w:p w14:paraId="665975D3">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（5）拟签订的合同（协议）文本；</w:t>
      </w:r>
    </w:p>
    <w:p w14:paraId="110A1BB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4BD6CD58">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0A907ED7">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45EB7B9">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20BB2833">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11.2</w:t>
      </w:r>
      <w:bookmarkStart w:id="51" w:name="_Hlk53134511"/>
      <w:r>
        <w:rPr>
          <w:rFonts w:hint="eastAsia" w:hAnsi="宋体" w:cs="宋体"/>
          <w:color w:val="auto"/>
          <w:sz w:val="24"/>
          <w:szCs w:val="24"/>
          <w:highlight w:val="none"/>
        </w:rPr>
        <w:t>采购人或者采购代理机构可以在招标文件提供期限截止后，组织已获取招标文件的潜在投标人现场考察或者召开开标前答疑会，具体详见“投标人须知前附表”。</w:t>
      </w:r>
      <w:bookmarkEnd w:id="51"/>
    </w:p>
    <w:p w14:paraId="4701E6E5">
      <w:pPr>
        <w:pStyle w:val="14"/>
        <w:snapToGrid w:val="0"/>
        <w:spacing w:line="400" w:lineRule="exact"/>
        <w:ind w:firstLine="422" w:firstLineChars="175"/>
        <w:jc w:val="center"/>
        <w:rPr>
          <w:rFonts w:hint="eastAsia" w:hAnsi="宋体" w:cs="宋体"/>
          <w:b/>
          <w:color w:val="auto"/>
          <w:sz w:val="24"/>
          <w:szCs w:val="24"/>
          <w:highlight w:val="none"/>
        </w:rPr>
      </w:pPr>
    </w:p>
    <w:p w14:paraId="2F03CC23">
      <w:pPr>
        <w:pStyle w:val="14"/>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三、投标文件的编制</w:t>
      </w:r>
    </w:p>
    <w:p w14:paraId="3FBB389A">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12.投标文件的编制原则</w:t>
      </w:r>
    </w:p>
    <w:p w14:paraId="0C773647">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投标人必须按照招标文件的要求编制投标文件。投标文件必须对招标文件提出的要求和条件作出明确响应。</w:t>
      </w:r>
    </w:p>
    <w:p w14:paraId="5469FC76">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13.投标文件的组成</w:t>
      </w:r>
    </w:p>
    <w:p w14:paraId="01071D54">
      <w:pPr>
        <w:snapToGrid w:val="0"/>
        <w:spacing w:line="400" w:lineRule="exact"/>
        <w:ind w:firstLine="420" w:firstLineChars="175"/>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08FCC68F">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（1）电子投标文件中须加盖公章部分均应采用投标人CA电子签章，否则视为投标无效。</w:t>
      </w:r>
    </w:p>
    <w:p w14:paraId="645A016A">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（2）公开招标文件要求由法定代表人（负责人、自然人）或委托代理人签字的材料，必须由本人亲笔签字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，无亲笔签字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的视为投标无效。</w:t>
      </w:r>
    </w:p>
    <w:p w14:paraId="6BF51DF4">
      <w:pPr>
        <w:snapToGrid w:val="0"/>
        <w:spacing w:line="400" w:lineRule="exact"/>
        <w:ind w:firstLine="422" w:firstLineChars="175"/>
        <w:jc w:val="left"/>
        <w:rPr>
          <w:rFonts w:hint="eastAsia" w:ascii="宋体" w:hAnsi="宋体" w:cs="宋体"/>
          <w:color w:val="auto"/>
          <w:sz w:val="24"/>
          <w:highlight w:val="none"/>
        </w:rPr>
      </w:pPr>
      <w:r>
        <w:rPr>
          <w:rFonts w:hint="eastAsia" w:ascii="宋体" w:hAnsi="宋体" w:cs="宋体"/>
          <w:b/>
          <w:color w:val="auto"/>
          <w:sz w:val="24"/>
          <w:highlight w:val="none"/>
        </w:rPr>
        <w:t>（3）投标人所上传的材料必须为PDF格式。</w:t>
      </w:r>
    </w:p>
    <w:p w14:paraId="358B0517">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13.1投标文件由资格文件、报价文件、商务技术文件三部分组成。</w:t>
      </w:r>
    </w:p>
    <w:p w14:paraId="314F091D">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2" w:name="_13.1报价文件:_具体材料见“投标人须知前附表”。"/>
      <w:bookmarkEnd w:id="52"/>
      <w:r>
        <w:rPr>
          <w:rFonts w:hint="eastAsia" w:ascii="宋体" w:hAnsi="宋体" w:cs="宋体"/>
          <w:b w:val="0"/>
          <w:color w:val="auto"/>
          <w:sz w:val="24"/>
          <w:highlight w:val="none"/>
        </w:rPr>
        <w:t>（1）资格文件：具体材料见“投标人须知前附表”。</w:t>
      </w:r>
    </w:p>
    <w:p w14:paraId="401D7B7F">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3" w:name="_13.2资格证明文件：具体材料见“投标人须知前附表”。"/>
      <w:bookmarkEnd w:id="53"/>
      <w:r>
        <w:rPr>
          <w:rFonts w:hint="eastAsia" w:ascii="宋体" w:hAnsi="宋体" w:cs="宋体"/>
          <w:b w:val="0"/>
          <w:color w:val="auto"/>
          <w:sz w:val="24"/>
          <w:highlight w:val="none"/>
        </w:rPr>
        <w:t>（2）报价文件：具体材料见“投标人须知前附表”。</w:t>
      </w:r>
    </w:p>
    <w:p w14:paraId="4617886F">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4" w:name="_13.3商务文件:_具体材料见“投标人须知前附表”。"/>
      <w:bookmarkEnd w:id="54"/>
      <w:r>
        <w:rPr>
          <w:rFonts w:hint="eastAsia" w:ascii="宋体" w:hAnsi="宋体" w:cs="宋体"/>
          <w:b w:val="0"/>
          <w:color w:val="auto"/>
          <w:sz w:val="24"/>
          <w:highlight w:val="none"/>
        </w:rPr>
        <w:t>（3）商务技术文件：具体材料见“投标人须知前附表”。</w:t>
      </w:r>
    </w:p>
    <w:p w14:paraId="0FD9E73D">
      <w:pPr>
        <w:snapToGrid w:val="0"/>
        <w:spacing w:line="400" w:lineRule="exact"/>
        <w:ind w:firstLine="420" w:firstLineChars="175"/>
        <w:rPr>
          <w:rFonts w:hint="eastAsia" w:ascii="宋体" w:hAnsi="宋体" w:cs="宋体"/>
          <w:bCs/>
          <w:color w:val="auto"/>
          <w:sz w:val="24"/>
          <w:highlight w:val="none"/>
        </w:rPr>
      </w:pPr>
      <w:bookmarkStart w:id="55" w:name="_13.5投标文件电子版：具体材料见“投标人须知前附表”。"/>
      <w:bookmarkEnd w:id="55"/>
      <w:r>
        <w:rPr>
          <w:rFonts w:hint="eastAsia" w:ascii="宋体" w:hAnsi="宋体" w:cs="宋体"/>
          <w:bCs/>
          <w:color w:val="auto"/>
          <w:sz w:val="24"/>
          <w:highlight w:val="none"/>
        </w:rPr>
        <w:t>13.2投标文件电子版：具体要求见本节19.投标文件编制。</w:t>
      </w:r>
    </w:p>
    <w:p w14:paraId="3588CBA1">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14.投标文件的语言及计量</w:t>
      </w:r>
    </w:p>
    <w:p w14:paraId="5BF8A95E">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14.1语言文字</w:t>
      </w:r>
    </w:p>
    <w:p w14:paraId="6D8658BB">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606F91D">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14.2投标计量单位</w:t>
      </w:r>
    </w:p>
    <w:p w14:paraId="648FBF0D">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招标文件已有明确规定的，使用招标文件规定的计量单位；招标文件没有规定的，应采用中华人民共和国法定计量单位，货币种类为人民币，否则视同未响应。</w:t>
      </w:r>
    </w:p>
    <w:p w14:paraId="79A136AD">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15.投标的风险</w:t>
      </w:r>
    </w:p>
    <w:p w14:paraId="38BB8CB3">
      <w:pPr>
        <w:pStyle w:val="14"/>
        <w:snapToGrid w:val="0"/>
        <w:spacing w:line="400" w:lineRule="exact"/>
        <w:ind w:firstLine="420" w:firstLineChars="175"/>
        <w:jc w:val="left"/>
        <w:rPr>
          <w:rFonts w:hint="eastAsia" w:hAnsi="宋体" w:cs="宋体"/>
          <w:color w:val="auto"/>
          <w:sz w:val="24"/>
          <w:szCs w:val="24"/>
          <w:highlight w:val="none"/>
        </w:rPr>
      </w:pPr>
      <w:r>
        <w:rPr>
          <w:rFonts w:hint="eastAsia" w:hAnsi="宋体" w:cs="宋体"/>
          <w:color w:val="auto"/>
          <w:sz w:val="24"/>
          <w:szCs w:val="24"/>
          <w:highlight w:val="none"/>
        </w:rPr>
        <w:t>投标文件分为资格文件、报价文件、商务技术文件三部分。各投标人在编制投标文件时请按照招标文件规定的格式进行，混乱的编排导致投标文件被误读或评标委员会查找不到有效文件是投标人的风险。▲</w:t>
      </w:r>
      <w:r>
        <w:rPr>
          <w:rFonts w:hint="eastAsia" w:hAnsi="宋体" w:cs="宋体"/>
          <w:b/>
          <w:bCs/>
          <w:color w:val="auto"/>
          <w:sz w:val="24"/>
          <w:szCs w:val="24"/>
          <w:highlight w:val="none"/>
        </w:rPr>
        <w:t>投标文件未按规定的格式编制的、没有按照招标文件要求提供全部资料、没有对招标文件作出实质性响应，投标无效；</w:t>
      </w:r>
    </w:p>
    <w:p w14:paraId="0E1180A1">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16.投标报价</w:t>
      </w:r>
    </w:p>
    <w:p w14:paraId="50804C8C">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16.1投标报价应按“第六章　投标文件格式”中“开标一览表”格式填写。</w:t>
      </w:r>
    </w:p>
    <w:p w14:paraId="65056934">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6" w:name="_16.2投标报价具体定义见投标人须知前附表。"/>
      <w:bookmarkEnd w:id="56"/>
      <w:r>
        <w:rPr>
          <w:rFonts w:hint="eastAsia" w:ascii="宋体" w:hAnsi="宋体" w:cs="宋体"/>
          <w:b w:val="0"/>
          <w:color w:val="auto"/>
          <w:sz w:val="24"/>
          <w:highlight w:val="none"/>
        </w:rPr>
        <w:t>16.2投标报价具体包括内容详见“投标人须知前附表”。</w:t>
      </w:r>
    </w:p>
    <w:p w14:paraId="1BA1E1A2">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16.3投标人必须就所投每个分标的全部内容分别作完整唯一总价报价，不得存在漏项报价；投标人必须就所投分标的单项内容作唯一报价。</w:t>
      </w:r>
    </w:p>
    <w:p w14:paraId="2C59D35A">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17.投标有效期</w:t>
      </w:r>
    </w:p>
    <w:p w14:paraId="0D0DF2D3">
      <w:pPr>
        <w:pStyle w:val="8"/>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bookmarkStart w:id="57" w:name="_17.1投标有效期应按“投标人须知中的前附表”规定的期限。"/>
      <w:bookmarkEnd w:id="57"/>
      <w:r>
        <w:rPr>
          <w:rFonts w:hint="eastAsia" w:ascii="宋体" w:hAnsi="宋体" w:cs="宋体"/>
          <w:b w:val="0"/>
          <w:color w:val="auto"/>
          <w:sz w:val="24"/>
          <w:highlight w:val="none"/>
        </w:rPr>
        <w:t>17.1投标有效期是指为保证采购人有足够的时间在开标后完成评标、定标、合同签订等工作而要求投标人提交的投标文件在一定时间内保持有效的期限。</w:t>
      </w:r>
    </w:p>
    <w:p w14:paraId="6B2934EF">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17.2</w:t>
      </w:r>
      <w:bookmarkStart w:id="58" w:name="_Toc254970540"/>
      <w:bookmarkStart w:id="59" w:name="_Toc254970681"/>
      <w:r>
        <w:rPr>
          <w:rFonts w:hint="eastAsia" w:ascii="宋体" w:hAnsi="宋体" w:cs="宋体"/>
          <w:b w:val="0"/>
          <w:color w:val="auto"/>
          <w:sz w:val="24"/>
          <w:highlight w:val="none"/>
        </w:rPr>
        <w:t xml:space="preserve"> 投标有效期应按规定的期限作出承诺，具体详见“投标人须知前附表”。</w:t>
      </w:r>
    </w:p>
    <w:p w14:paraId="26E09C14">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17.3投标人的投标文件在投标有效期内均保持有效。</w:t>
      </w:r>
      <w:bookmarkEnd w:id="58"/>
      <w:bookmarkEnd w:id="59"/>
    </w:p>
    <w:p w14:paraId="11D06A6F">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bookmarkStart w:id="60" w:name="_18.投标保证金"/>
      <w:bookmarkEnd w:id="60"/>
      <w:r>
        <w:rPr>
          <w:rFonts w:hint="eastAsia" w:ascii="宋体" w:hAnsi="宋体" w:cs="宋体"/>
          <w:color w:val="auto"/>
          <w:sz w:val="24"/>
          <w:highlight w:val="none"/>
        </w:rPr>
        <w:t>18.投标保证金</w:t>
      </w:r>
    </w:p>
    <w:p w14:paraId="038FDC86">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18.1投标人须按“投标人须知前附表” 的规定提交投标保证金。</w:t>
      </w:r>
    </w:p>
    <w:p w14:paraId="410BBCFF">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18.2投标保证金的退还</w:t>
      </w:r>
    </w:p>
    <w:p w14:paraId="7A5E64F0">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18.2.1未中标供应商的投标保证金自中标通知书发出之日起5个工作日内退还，退还方式如下：</w:t>
      </w:r>
    </w:p>
    <w:p w14:paraId="12535762">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（1）采用电汇、转账、网上银行支付方式的，以转账方式退回到投标人银行账户。</w:t>
      </w:r>
    </w:p>
    <w:p w14:paraId="224BF863">
      <w:pPr>
        <w:pStyle w:val="9"/>
        <w:numPr>
          <w:ilvl w:val="0"/>
          <w:numId w:val="4"/>
        </w:numPr>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采用支票、汇票、本票或者金融机构、担保机构出具的保险、保函、电子保函方式的，由投标人代表持相关授权证明材料至采购人或者采购代理机构办理支票、汇票、本票或者金融机构、担保机构出具的保险、保函、电子保函原件退还手续。</w:t>
      </w:r>
    </w:p>
    <w:p w14:paraId="5784A0C4">
      <w:pPr>
        <w:pStyle w:val="9"/>
        <w:numPr>
          <w:ilvl w:val="0"/>
          <w:numId w:val="4"/>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18.2.2中标人的投标保证金自采购合同签订之日起5个工作日内退还，退还方式同本须知正文第18.2.1。</w:t>
      </w:r>
    </w:p>
    <w:p w14:paraId="16185EE4">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18.3除逾期退还投标保证金和终止招标的情形以外，投标保证金不计息。</w:t>
      </w:r>
    </w:p>
    <w:p w14:paraId="3FFD0295">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18.4投标人有下列情形之一的，投标保证金将不予退还： </w:t>
      </w:r>
    </w:p>
    <w:p w14:paraId="6858D8FB">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（1）投标人在投标有效期内撤销投标文件的；</w:t>
      </w:r>
    </w:p>
    <w:p w14:paraId="338900A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（2）未按规定提交履约保证金的；</w:t>
      </w:r>
    </w:p>
    <w:p w14:paraId="29EA0C76">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（3）投标人在投标过程中弄虚作假，提供虚假材料的；</w:t>
      </w:r>
    </w:p>
    <w:p w14:paraId="12ECDAE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（4）中标人无正当理由不与采购人签订合同的；</w:t>
      </w:r>
    </w:p>
    <w:p w14:paraId="2396365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（5）投标人出现本章第9.2、9.3情形的；</w:t>
      </w:r>
    </w:p>
    <w:p w14:paraId="54B0904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（6）其他严重扰乱招投标程序的。</w:t>
      </w:r>
    </w:p>
    <w:p w14:paraId="149D109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19.电子投标文件的编制、加密要求</w:t>
      </w:r>
    </w:p>
    <w:p w14:paraId="6891A420">
      <w:pPr>
        <w:snapToGrid w:val="0"/>
        <w:spacing w:line="400" w:lineRule="exact"/>
        <w:ind w:firstLine="420" w:firstLineChars="175"/>
        <w:jc w:val="left"/>
        <w:rPr>
          <w:rFonts w:hint="eastAsia" w:ascii="宋体" w:hAnsi="宋体" w:cs="宋体"/>
          <w:color w:val="auto"/>
          <w:sz w:val="24"/>
          <w:highlight w:val="none"/>
        </w:rPr>
      </w:pPr>
      <w:bookmarkStart w:id="61" w:name="_Toc8306"/>
      <w:r>
        <w:rPr>
          <w:rFonts w:hint="eastAsia" w:ascii="宋体" w:hAnsi="宋体" w:cs="宋体"/>
          <w:color w:val="auto"/>
          <w:sz w:val="24"/>
          <w:highlight w:val="none"/>
        </w:rPr>
        <w:t>19.1投标人应按本招标文件规定的格式、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bookmarkEnd w:id="61"/>
    </w:p>
    <w:p w14:paraId="36525FD4">
      <w:pPr>
        <w:snapToGrid w:val="0"/>
        <w:spacing w:line="400" w:lineRule="exact"/>
        <w:ind w:firstLine="420" w:firstLineChars="175"/>
        <w:jc w:val="left"/>
        <w:rPr>
          <w:rFonts w:hint="eastAsia" w:ascii="宋体" w:hAnsi="宋体" w:cs="宋体"/>
          <w:color w:val="auto"/>
          <w:sz w:val="24"/>
          <w:highlight w:val="none"/>
        </w:rPr>
      </w:pPr>
      <w:bookmarkStart w:id="62" w:name="_Toc27936"/>
      <w:r>
        <w:rPr>
          <w:rFonts w:hint="eastAsia" w:ascii="宋体" w:hAnsi="宋体" w:cs="宋体"/>
          <w:color w:val="auto"/>
          <w:sz w:val="24"/>
          <w:highlight w:val="none"/>
        </w:rPr>
        <w:t>19.2公开招标文件中规定须由投标人在规定处盖章的，投标人应加盖CA电子签章，</w:t>
      </w:r>
      <w:r>
        <w:rPr>
          <w:rFonts w:hint="eastAsia" w:ascii="宋体" w:hAnsi="宋体" w:cs="宋体"/>
          <w:b/>
          <w:color w:val="auto"/>
          <w:sz w:val="24"/>
          <w:highlight w:val="none"/>
        </w:rPr>
        <w:t>否则视为投标无效。</w:t>
      </w:r>
      <w:bookmarkEnd w:id="62"/>
    </w:p>
    <w:p w14:paraId="113319B1">
      <w:pPr>
        <w:snapToGrid w:val="0"/>
        <w:spacing w:line="400" w:lineRule="exact"/>
        <w:ind w:firstLine="420" w:firstLineChars="175"/>
        <w:jc w:val="left"/>
        <w:rPr>
          <w:rFonts w:hint="eastAsia" w:ascii="宋体" w:hAnsi="宋体" w:cs="宋体"/>
          <w:b/>
          <w:color w:val="auto"/>
          <w:sz w:val="24"/>
          <w:highlight w:val="none"/>
        </w:rPr>
      </w:pPr>
      <w:bookmarkStart w:id="63" w:name="_Toc17"/>
      <w:r>
        <w:rPr>
          <w:rFonts w:hint="eastAsia" w:ascii="宋体" w:hAnsi="宋体" w:cs="宋体"/>
          <w:color w:val="auto"/>
          <w:sz w:val="24"/>
          <w:highlight w:val="none"/>
        </w:rPr>
        <w:t>19.3公开招标文件中规定须由法定代表人或授权委托代理人签字的，若广西政府采购云平台电子投标客户端的CA证书无法实现法定代表人或授权委托代理人线上亲笔签字，投标人应在线下完成亲笔签字后以PDF格式上传，</w:t>
      </w:r>
      <w:r>
        <w:rPr>
          <w:rFonts w:hint="eastAsia" w:ascii="宋体" w:hAnsi="宋体" w:cs="宋体"/>
          <w:b/>
          <w:color w:val="auto"/>
          <w:sz w:val="24"/>
          <w:highlight w:val="none"/>
        </w:rPr>
        <w:t>否则视为投标无效。</w:t>
      </w:r>
      <w:bookmarkEnd w:id="63"/>
    </w:p>
    <w:p w14:paraId="706D4E53">
      <w:pPr>
        <w:snapToGrid w:val="0"/>
        <w:spacing w:line="400" w:lineRule="exact"/>
        <w:ind w:firstLine="420" w:firstLineChars="175"/>
        <w:jc w:val="left"/>
        <w:rPr>
          <w:rFonts w:hint="eastAsia" w:ascii="宋体" w:hAnsi="宋体" w:cs="宋体"/>
          <w:color w:val="auto"/>
          <w:sz w:val="24"/>
          <w:highlight w:val="none"/>
        </w:rPr>
      </w:pPr>
      <w:bookmarkStart w:id="64" w:name="_Toc14144"/>
      <w:r>
        <w:rPr>
          <w:rFonts w:hint="eastAsia" w:ascii="宋体" w:hAnsi="宋体" w:cs="宋体"/>
          <w:color w:val="auto"/>
          <w:sz w:val="24"/>
          <w:highlight w:val="none"/>
        </w:rPr>
        <w:t>19.4电子投标文件不得涂改，若有修改错漏处，须加盖投标人CA电子签章或者法定代表人或授权委托代理人签字（或加盖CA电子签字章）。电子投标文件因字迹潦草或表达不清所引起的后果由投标人负责。</w:t>
      </w:r>
      <w:bookmarkEnd w:id="64"/>
    </w:p>
    <w:p w14:paraId="2C62BABE">
      <w:pPr>
        <w:snapToGrid w:val="0"/>
        <w:spacing w:line="400" w:lineRule="exact"/>
        <w:ind w:firstLine="420" w:firstLineChars="175"/>
        <w:jc w:val="left"/>
        <w:rPr>
          <w:rFonts w:hint="eastAsia" w:ascii="宋体" w:hAnsi="宋体" w:cs="宋体"/>
          <w:color w:val="auto"/>
          <w:sz w:val="24"/>
          <w:highlight w:val="none"/>
        </w:rPr>
      </w:pPr>
      <w:bookmarkStart w:id="65" w:name="_Toc28894"/>
      <w:r>
        <w:rPr>
          <w:rFonts w:hint="eastAsia" w:ascii="宋体" w:hAnsi="宋体" w:cs="宋体"/>
          <w:color w:val="auto"/>
          <w:sz w:val="24"/>
          <w:highlight w:val="none"/>
        </w:rPr>
        <w:t>19.5电子投标文件所提供的相关材料的尺寸和清晰度应该能够在电脑上被阅读、识别和判断。</w:t>
      </w:r>
      <w:bookmarkEnd w:id="65"/>
    </w:p>
    <w:p w14:paraId="62A2D6C6">
      <w:pPr>
        <w:snapToGrid w:val="0"/>
        <w:spacing w:line="400" w:lineRule="exact"/>
        <w:ind w:firstLine="420" w:firstLineChars="175"/>
        <w:jc w:val="left"/>
        <w:rPr>
          <w:rFonts w:hint="eastAsia" w:ascii="宋体" w:hAnsi="宋体" w:cs="宋体"/>
          <w:color w:val="auto"/>
          <w:sz w:val="24"/>
          <w:highlight w:val="none"/>
        </w:rPr>
      </w:pPr>
      <w:bookmarkStart w:id="66" w:name="_Toc22774"/>
      <w:r>
        <w:rPr>
          <w:rFonts w:hint="eastAsia" w:ascii="宋体" w:hAnsi="宋体" w:cs="宋体"/>
          <w:color w:val="auto"/>
          <w:sz w:val="24"/>
          <w:highlight w:val="none"/>
        </w:rPr>
        <w:t>19.6电子投标文件内容无法阅读、识别和判断的，视为未提供。</w:t>
      </w:r>
      <w:bookmarkEnd w:id="66"/>
    </w:p>
    <w:p w14:paraId="1C165C46">
      <w:pPr>
        <w:snapToGrid w:val="0"/>
        <w:spacing w:line="400" w:lineRule="exact"/>
        <w:ind w:firstLine="420" w:firstLineChars="175"/>
        <w:jc w:val="left"/>
        <w:rPr>
          <w:rFonts w:hint="eastAsia" w:ascii="宋体" w:hAnsi="宋体" w:cs="宋体"/>
          <w:color w:val="auto"/>
          <w:sz w:val="24"/>
          <w:highlight w:val="none"/>
        </w:rPr>
      </w:pPr>
      <w:bookmarkStart w:id="67" w:name="_Toc2693"/>
      <w:r>
        <w:rPr>
          <w:rFonts w:hint="eastAsia" w:ascii="宋体" w:hAnsi="宋体" w:cs="宋体"/>
          <w:color w:val="auto"/>
          <w:sz w:val="24"/>
          <w:highlight w:val="none"/>
        </w:rPr>
        <w:t>19.7电子投标文件的容量大小须符合广西政府采购云平台电子投标客户端规定。</w:t>
      </w:r>
      <w:bookmarkEnd w:id="67"/>
    </w:p>
    <w:p w14:paraId="20DEA3F3">
      <w:pPr>
        <w:snapToGrid w:val="0"/>
        <w:spacing w:line="400" w:lineRule="exact"/>
        <w:ind w:firstLine="420" w:firstLineChars="175"/>
        <w:jc w:val="left"/>
        <w:rPr>
          <w:rFonts w:hint="eastAsia" w:ascii="宋体" w:hAnsi="宋体" w:cs="宋体"/>
          <w:color w:val="auto"/>
          <w:sz w:val="24"/>
          <w:highlight w:val="none"/>
        </w:rPr>
      </w:pPr>
      <w:bookmarkStart w:id="68" w:name="_Toc32319"/>
      <w:r>
        <w:rPr>
          <w:rFonts w:hint="eastAsia" w:ascii="宋体" w:hAnsi="宋体" w:cs="宋体"/>
          <w:color w:val="auto"/>
          <w:sz w:val="24"/>
          <w:highlight w:val="none"/>
        </w:rPr>
        <w:t>19.8电子投标文件的加密要求</w:t>
      </w:r>
      <w:bookmarkEnd w:id="68"/>
    </w:p>
    <w:p w14:paraId="184475CD">
      <w:pPr>
        <w:snapToGrid w:val="0"/>
        <w:spacing w:line="400" w:lineRule="exact"/>
        <w:ind w:firstLine="420" w:firstLineChars="175"/>
        <w:jc w:val="left"/>
        <w:rPr>
          <w:rFonts w:hint="eastAsia" w:ascii="宋体" w:hAnsi="宋体" w:cs="宋体"/>
          <w:color w:val="auto"/>
          <w:sz w:val="24"/>
          <w:highlight w:val="none"/>
        </w:rPr>
      </w:pPr>
      <w:bookmarkStart w:id="69" w:name="_Toc30734"/>
      <w:r>
        <w:rPr>
          <w:rFonts w:hint="eastAsia" w:ascii="宋体" w:hAnsi="宋体" w:cs="宋体"/>
          <w:color w:val="auto"/>
          <w:sz w:val="24"/>
          <w:highlight w:val="none"/>
        </w:rPr>
        <w:t>电子投标文件应按广西政府采购云平台电子投标客户端软件有关规定加密，否则广西政府采购云平台将拒收，由此造成的风险由投标人承担。</w:t>
      </w:r>
      <w:bookmarkEnd w:id="69"/>
    </w:p>
    <w:p w14:paraId="1567E8C1">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20.备份投标文件</w:t>
      </w:r>
    </w:p>
    <w:p w14:paraId="4E58FF3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bCs/>
          <w:color w:val="auto"/>
          <w:sz w:val="24"/>
          <w:highlight w:val="none"/>
        </w:rPr>
        <w:t>详见在“投标人须知前附表”。</w:t>
      </w:r>
    </w:p>
    <w:p w14:paraId="4742D4CA">
      <w:pPr>
        <w:snapToGrid w:val="0"/>
        <w:spacing w:line="400" w:lineRule="exact"/>
        <w:ind w:firstLine="422" w:firstLineChars="175"/>
        <w:jc w:val="left"/>
        <w:rPr>
          <w:rFonts w:hint="eastAsia" w:ascii="宋体" w:hAnsi="宋体" w:cs="宋体"/>
          <w:b/>
          <w:color w:val="auto"/>
          <w:sz w:val="24"/>
          <w:highlight w:val="none"/>
        </w:rPr>
      </w:pPr>
      <w:bookmarkStart w:id="70" w:name="_Toc278"/>
      <w:r>
        <w:rPr>
          <w:rFonts w:hint="eastAsia" w:ascii="宋体" w:hAnsi="宋体" w:cs="宋体"/>
          <w:b/>
          <w:color w:val="auto"/>
          <w:sz w:val="24"/>
          <w:highlight w:val="none"/>
        </w:rPr>
        <w:t>21.电子投标文件的提交</w:t>
      </w:r>
      <w:bookmarkEnd w:id="70"/>
    </w:p>
    <w:p w14:paraId="69EA28FD">
      <w:pPr>
        <w:snapToGrid w:val="0"/>
        <w:spacing w:line="400" w:lineRule="exact"/>
        <w:ind w:firstLine="420" w:firstLineChars="175"/>
        <w:jc w:val="left"/>
        <w:rPr>
          <w:rFonts w:hint="eastAsia" w:ascii="宋体" w:hAnsi="宋体" w:cs="宋体"/>
          <w:color w:val="auto"/>
          <w:sz w:val="24"/>
          <w:highlight w:val="none"/>
        </w:rPr>
      </w:pPr>
      <w:bookmarkStart w:id="71" w:name="_Toc25171"/>
      <w:r>
        <w:rPr>
          <w:rFonts w:hint="eastAsia" w:ascii="宋体" w:hAnsi="宋体" w:cs="宋体"/>
          <w:color w:val="auto"/>
          <w:sz w:val="24"/>
          <w:highlight w:val="none"/>
        </w:rPr>
        <w:t>21.1本项目实行“网上投标、电子评标”，投标人应于提交投标文件截止时间前在广西政府采购云平台上提交已经加密的电子投标文件。</w:t>
      </w:r>
      <w:bookmarkEnd w:id="71"/>
    </w:p>
    <w:p w14:paraId="5733696B">
      <w:pPr>
        <w:snapToGrid w:val="0"/>
        <w:spacing w:line="400" w:lineRule="exact"/>
        <w:ind w:firstLine="420" w:firstLineChars="175"/>
        <w:jc w:val="left"/>
        <w:rPr>
          <w:rFonts w:hint="eastAsia" w:ascii="宋体" w:hAnsi="宋体" w:cs="宋体"/>
          <w:color w:val="auto"/>
          <w:sz w:val="24"/>
          <w:highlight w:val="none"/>
        </w:rPr>
      </w:pPr>
      <w:bookmarkStart w:id="72" w:name="_Toc27282"/>
      <w:r>
        <w:rPr>
          <w:rFonts w:hint="eastAsia" w:ascii="宋体" w:hAnsi="宋体" w:cs="宋体"/>
          <w:color w:val="auto"/>
          <w:sz w:val="24"/>
          <w:highlight w:val="none"/>
        </w:rPr>
        <w:t>21.2未按规定上传的电子投标文件将被广西政府采购云平台拒收，由此造成电子投标文件解密失败或被误投的风险由投标人自行承担。</w:t>
      </w:r>
      <w:bookmarkEnd w:id="72"/>
    </w:p>
    <w:p w14:paraId="6A602335">
      <w:pPr>
        <w:snapToGrid w:val="0"/>
        <w:spacing w:line="400" w:lineRule="exact"/>
        <w:ind w:firstLine="422" w:firstLineChars="175"/>
        <w:jc w:val="left"/>
        <w:rPr>
          <w:rFonts w:hint="eastAsia" w:ascii="宋体" w:hAnsi="宋体" w:cs="宋体"/>
          <w:b/>
          <w:color w:val="auto"/>
          <w:sz w:val="24"/>
          <w:highlight w:val="none"/>
        </w:rPr>
      </w:pPr>
      <w:bookmarkStart w:id="73" w:name="_Toc11042"/>
      <w:r>
        <w:rPr>
          <w:rFonts w:hint="eastAsia" w:ascii="宋体" w:hAnsi="宋体" w:cs="宋体"/>
          <w:b/>
          <w:color w:val="auto"/>
          <w:sz w:val="24"/>
          <w:highlight w:val="none"/>
        </w:rPr>
        <w:t>22.电子投标文件修改、撤回和解密</w:t>
      </w:r>
      <w:bookmarkEnd w:id="73"/>
    </w:p>
    <w:p w14:paraId="05339355">
      <w:pPr>
        <w:snapToGrid w:val="0"/>
        <w:spacing w:line="400" w:lineRule="exact"/>
        <w:ind w:firstLine="420" w:firstLineChars="175"/>
        <w:jc w:val="left"/>
        <w:rPr>
          <w:rFonts w:hint="eastAsia" w:ascii="宋体" w:hAnsi="宋体" w:cs="宋体"/>
          <w:color w:val="auto"/>
          <w:sz w:val="24"/>
          <w:highlight w:val="none"/>
        </w:rPr>
      </w:pPr>
      <w:bookmarkStart w:id="74" w:name="_Toc1525"/>
      <w:r>
        <w:rPr>
          <w:rFonts w:hint="eastAsia" w:ascii="宋体" w:hAnsi="宋体" w:cs="宋体"/>
          <w:color w:val="auto"/>
          <w:sz w:val="24"/>
          <w:highlight w:val="none"/>
        </w:rPr>
        <w:t>22.1本项目实行“网上投标、电子评标”，投标人应于提交投标文件截止时间前在广西政府采购云平台平台上提交已经加密的电子投标文件。</w:t>
      </w:r>
      <w:bookmarkEnd w:id="74"/>
    </w:p>
    <w:p w14:paraId="26A7C6A6">
      <w:pPr>
        <w:snapToGrid w:val="0"/>
        <w:spacing w:line="400" w:lineRule="exact"/>
        <w:ind w:firstLine="420" w:firstLineChars="175"/>
        <w:jc w:val="left"/>
        <w:rPr>
          <w:rFonts w:hint="eastAsia" w:ascii="宋体" w:hAnsi="宋体" w:cs="宋体"/>
          <w:color w:val="auto"/>
          <w:sz w:val="24"/>
          <w:highlight w:val="none"/>
        </w:rPr>
      </w:pPr>
      <w:bookmarkStart w:id="75" w:name="_Toc26277"/>
      <w:r>
        <w:rPr>
          <w:rFonts w:hint="eastAsia" w:ascii="宋体" w:hAnsi="宋体" w:cs="宋体"/>
          <w:color w:val="auto"/>
          <w:sz w:val="24"/>
          <w:highlight w:val="none"/>
        </w:rPr>
        <w:t>22.2未按规定上传的电子投标文件将被广西政府采购云平台拒收，由此造成电子投标文件解密失败或被误投的风险由投标人自行承担。</w:t>
      </w:r>
      <w:bookmarkEnd w:id="75"/>
    </w:p>
    <w:p w14:paraId="0D7C8C93">
      <w:pPr>
        <w:snapToGrid w:val="0"/>
        <w:spacing w:line="400" w:lineRule="exact"/>
        <w:ind w:firstLine="420" w:firstLineChars="175"/>
        <w:jc w:val="left"/>
        <w:rPr>
          <w:rFonts w:hint="eastAsia" w:ascii="宋体" w:hAnsi="宋体" w:cs="宋体"/>
          <w:color w:val="auto"/>
          <w:sz w:val="24"/>
          <w:highlight w:val="none"/>
        </w:rPr>
      </w:pPr>
      <w:bookmarkStart w:id="76" w:name="_Toc23815"/>
      <w:r>
        <w:rPr>
          <w:rFonts w:hint="eastAsia" w:ascii="宋体" w:hAnsi="宋体" w:cs="宋体"/>
          <w:color w:val="auto"/>
          <w:sz w:val="24"/>
          <w:highlight w:val="none"/>
        </w:rPr>
        <w:t>22.3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广西政府采购云平台拒收。</w:t>
      </w:r>
      <w:bookmarkEnd w:id="76"/>
    </w:p>
    <w:p w14:paraId="7E2994B4">
      <w:pPr>
        <w:snapToGrid w:val="0"/>
        <w:spacing w:line="400" w:lineRule="exact"/>
        <w:ind w:firstLine="420" w:firstLineChars="175"/>
        <w:jc w:val="left"/>
        <w:rPr>
          <w:rFonts w:hint="eastAsia" w:ascii="宋体" w:hAnsi="宋体" w:cs="宋体"/>
          <w:color w:val="auto"/>
          <w:sz w:val="24"/>
          <w:highlight w:val="none"/>
        </w:rPr>
      </w:pPr>
      <w:bookmarkStart w:id="77" w:name="_Toc11455"/>
      <w:r>
        <w:rPr>
          <w:rFonts w:hint="eastAsia" w:ascii="宋体" w:hAnsi="宋体" w:cs="宋体"/>
          <w:color w:val="auto"/>
          <w:sz w:val="24"/>
          <w:highlight w:val="none"/>
        </w:rPr>
        <w:t>22.4电子投标文件成功提交后，投标人可自行打印投标文件接收回执。</w:t>
      </w:r>
      <w:bookmarkEnd w:id="77"/>
    </w:p>
    <w:p w14:paraId="1C3AAB2A">
      <w:pPr>
        <w:snapToGrid w:val="0"/>
        <w:spacing w:line="400" w:lineRule="exact"/>
        <w:ind w:firstLine="420" w:firstLineChars="175"/>
        <w:jc w:val="left"/>
        <w:rPr>
          <w:rFonts w:hint="eastAsia" w:ascii="宋体" w:hAnsi="宋体" w:cs="宋体"/>
          <w:color w:val="auto"/>
          <w:sz w:val="24"/>
          <w:highlight w:val="none"/>
        </w:rPr>
      </w:pPr>
      <w:bookmarkStart w:id="78" w:name="_Toc28787"/>
      <w:r>
        <w:rPr>
          <w:rFonts w:hint="eastAsia" w:ascii="宋体" w:hAnsi="宋体" w:cs="宋体"/>
          <w:color w:val="auto"/>
          <w:sz w:val="24"/>
          <w:highlight w:val="none"/>
        </w:rPr>
        <w:t>22.5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bookmarkEnd w:id="78"/>
    </w:p>
    <w:p w14:paraId="11C521C8">
      <w:pPr>
        <w:snapToGrid w:val="0"/>
        <w:spacing w:line="400" w:lineRule="exact"/>
        <w:ind w:firstLine="420" w:firstLineChars="175"/>
        <w:jc w:val="left"/>
        <w:rPr>
          <w:rFonts w:hint="eastAsia" w:ascii="宋体" w:hAnsi="宋体" w:cs="宋体"/>
          <w:color w:val="auto"/>
          <w:sz w:val="24"/>
          <w:highlight w:val="none"/>
        </w:rPr>
      </w:pPr>
      <w:bookmarkStart w:id="79" w:name="_Toc27251"/>
      <w:r>
        <w:rPr>
          <w:rFonts w:hint="eastAsia" w:ascii="宋体" w:hAnsi="宋体" w:cs="宋体"/>
          <w:color w:val="auto"/>
          <w:sz w:val="24"/>
          <w:highlight w:val="none"/>
        </w:rPr>
        <w:t>非广西政府采购云平台技术原因或非采购代理机构操作原因造成的投标人超过解密时限未完成解密的，或投标文件无法解密或解密失败，视为投标人放弃投标。</w:t>
      </w:r>
      <w:bookmarkEnd w:id="79"/>
    </w:p>
    <w:p w14:paraId="52ADBFFC">
      <w:pPr>
        <w:snapToGrid w:val="0"/>
        <w:spacing w:line="400" w:lineRule="exact"/>
        <w:ind w:firstLine="422" w:firstLineChars="175"/>
        <w:jc w:val="center"/>
        <w:rPr>
          <w:rFonts w:hint="eastAsia" w:ascii="宋体" w:hAnsi="宋体" w:cs="宋体"/>
          <w:b/>
          <w:color w:val="auto"/>
          <w:sz w:val="24"/>
          <w:highlight w:val="none"/>
        </w:rPr>
      </w:pPr>
    </w:p>
    <w:p w14:paraId="6EAB0794">
      <w:pPr>
        <w:snapToGrid w:val="0"/>
        <w:spacing w:line="400" w:lineRule="exact"/>
        <w:ind w:firstLine="422" w:firstLineChars="175"/>
        <w:jc w:val="center"/>
        <w:rPr>
          <w:rFonts w:hint="eastAsia" w:ascii="宋体" w:hAnsi="宋体" w:cs="宋体"/>
          <w:b/>
          <w:color w:val="auto"/>
          <w:sz w:val="24"/>
          <w:highlight w:val="none"/>
        </w:rPr>
      </w:pPr>
      <w:bookmarkStart w:id="80" w:name="_Toc21516"/>
      <w:r>
        <w:rPr>
          <w:rFonts w:hint="eastAsia" w:ascii="宋体" w:hAnsi="宋体" w:cs="宋体"/>
          <w:b/>
          <w:color w:val="auto"/>
          <w:sz w:val="24"/>
          <w:highlight w:val="none"/>
        </w:rPr>
        <w:t>四、开标</w:t>
      </w:r>
      <w:bookmarkEnd w:id="80"/>
    </w:p>
    <w:p w14:paraId="324E9B39">
      <w:pPr>
        <w:snapToGrid w:val="0"/>
        <w:spacing w:line="400" w:lineRule="exact"/>
        <w:ind w:firstLine="420" w:firstLineChars="175"/>
        <w:rPr>
          <w:rFonts w:hint="eastAsia" w:ascii="宋体" w:hAnsi="宋体" w:cs="宋体"/>
          <w:color w:val="auto"/>
          <w:sz w:val="24"/>
          <w:highlight w:val="none"/>
        </w:rPr>
      </w:pPr>
      <w:bookmarkStart w:id="81" w:name="_23.开标时间和地点"/>
      <w:bookmarkEnd w:id="81"/>
      <w:r>
        <w:rPr>
          <w:rFonts w:hint="eastAsia" w:ascii="宋体" w:hAnsi="宋体" w:cs="宋体"/>
          <w:color w:val="auto"/>
          <w:sz w:val="24"/>
          <w:highlight w:val="none"/>
        </w:rPr>
        <w:t>23.开标时间和地点</w:t>
      </w:r>
    </w:p>
    <w:p w14:paraId="0CA5A743">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23.1开标时间及地点详见“投标人须知前附表”</w:t>
      </w:r>
    </w:p>
    <w:p w14:paraId="4A0E68BE">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23.2如</w:t>
      </w:r>
      <w:r>
        <w:rPr>
          <w:rFonts w:hint="eastAsia" w:hAnsi="宋体" w:cs="宋体"/>
          <w:bCs/>
          <w:color w:val="auto"/>
          <w:sz w:val="24"/>
          <w:szCs w:val="24"/>
          <w:highlight w:val="none"/>
        </w:rPr>
        <w:t>投标人成功解密投标文件，但未在“广西政府采购云平台”电子开标大厅参加开标的，视同认可开标过程和结果，</w:t>
      </w:r>
      <w:r>
        <w:rPr>
          <w:rFonts w:hint="eastAsia" w:hAnsi="宋体" w:cs="宋体"/>
          <w:color w:val="auto"/>
          <w:sz w:val="24"/>
          <w:szCs w:val="24"/>
          <w:highlight w:val="none"/>
        </w:rPr>
        <w:t>由此产生的后果由投标人自行负责。 投标人不足3家的，不得开标。</w:t>
      </w:r>
    </w:p>
    <w:p w14:paraId="25D50BB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24.开标程序</w:t>
      </w:r>
    </w:p>
    <w:p w14:paraId="792FBC14">
      <w:pPr>
        <w:autoSpaceDE w:val="0"/>
        <w:autoSpaceDN w:val="0"/>
        <w:adjustRightInd w:val="0"/>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bCs/>
          <w:color w:val="auto"/>
          <w:sz w:val="24"/>
          <w:highlight w:val="none"/>
        </w:rPr>
        <w:t>24.1</w:t>
      </w:r>
      <w:r>
        <w:rPr>
          <w:rFonts w:hint="eastAsia" w:ascii="宋体" w:hAnsi="宋体" w:cs="宋体"/>
          <w:color w:val="auto"/>
          <w:kern w:val="0"/>
          <w:sz w:val="24"/>
          <w:highlight w:val="none"/>
        </w:rPr>
        <w:t>开标形式：</w:t>
      </w:r>
    </w:p>
    <w:p w14:paraId="374F3F7B">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开标的准备工作由采购代理机构负责落实，采购代理机构必须基于广西政府采购云平台选取评审专家，如采购代理机构未按规定选取专家的，视为本次开评标无效，应当重新采购；</w:t>
      </w:r>
    </w:p>
    <w:p w14:paraId="76432108">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8571776">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24.2开标程序：</w:t>
      </w:r>
    </w:p>
    <w:p w14:paraId="102BBE8C">
      <w:pPr>
        <w:pStyle w:val="14"/>
        <w:snapToGrid w:val="0"/>
        <w:spacing w:line="400" w:lineRule="exact"/>
        <w:ind w:firstLine="422" w:firstLineChars="175"/>
        <w:rPr>
          <w:rFonts w:hint="eastAsia" w:hAnsi="宋体" w:cs="宋体"/>
          <w:color w:val="auto"/>
          <w:sz w:val="24"/>
          <w:szCs w:val="24"/>
          <w:highlight w:val="none"/>
        </w:rPr>
      </w:pPr>
      <w:r>
        <w:rPr>
          <w:rFonts w:hint="eastAsia" w:hAnsi="宋体" w:cs="宋体"/>
          <w:b/>
          <w:color w:val="auto"/>
          <w:sz w:val="24"/>
          <w:szCs w:val="24"/>
          <w:highlight w:val="none"/>
        </w:rPr>
        <w:t>（1）解密电子投标文件。</w:t>
      </w:r>
      <w:r>
        <w:rPr>
          <w:rFonts w:hint="eastAsia" w:hAnsi="宋体" w:cs="宋体"/>
          <w:bCs/>
          <w:color w:val="auto"/>
          <w:sz w:val="24"/>
          <w:szCs w:val="24"/>
          <w:highlight w:val="none"/>
        </w:rPr>
        <w:t>广西政府采购云平台按开标时</w:t>
      </w:r>
      <w:r>
        <w:rPr>
          <w:rFonts w:hint="eastAsia" w:hAnsi="宋体" w:cs="宋体"/>
          <w:color w:val="auto"/>
          <w:sz w:val="24"/>
          <w:szCs w:val="24"/>
          <w:highlight w:val="none"/>
        </w:rPr>
        <w:t>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 w:val="24"/>
          <w:szCs w:val="24"/>
          <w:highlight w:val="none"/>
        </w:rPr>
        <w:t>须携带加密时所用的CA锁准时登录到广西政府采购云平台电子开标大厅签到并对电子投标文件解密</w:t>
      </w:r>
      <w:r>
        <w:rPr>
          <w:rFonts w:hint="eastAsia" w:hAnsi="宋体" w:cs="宋体"/>
          <w:color w:val="auto"/>
          <w:sz w:val="24"/>
          <w:szCs w:val="24"/>
          <w:highlight w:val="none"/>
        </w:rPr>
        <w:t>。开标后5分钟投标人还未进行解密的，代理机构将通知投标人。通知后，投标文件仍未按时解密，或者投标人没预留联系方式或预留联系方式无效，导致代理机构无法联系到投标人进行解密的，</w:t>
      </w:r>
      <w:r>
        <w:rPr>
          <w:rFonts w:hint="eastAsia" w:hAnsi="宋体" w:cs="宋体"/>
          <w:b/>
          <w:color w:val="auto"/>
          <w:sz w:val="24"/>
          <w:szCs w:val="24"/>
          <w:highlight w:val="none"/>
        </w:rPr>
        <w:t>均视为无效投标。</w:t>
      </w:r>
    </w:p>
    <w:p w14:paraId="7939A891">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（解密</w:t>
      </w:r>
      <w:r>
        <w:rPr>
          <w:rFonts w:hint="eastAsia" w:hAnsi="宋体" w:cs="宋体"/>
          <w:bCs/>
          <w:color w:val="auto"/>
          <w:sz w:val="24"/>
          <w:szCs w:val="24"/>
          <w:highlight w:val="none"/>
        </w:rPr>
        <w:t>异常情况处理：详见本章</w:t>
      </w:r>
      <w:r>
        <w:rPr>
          <w:rFonts w:hint="eastAsia" w:hAnsi="宋体" w:cs="宋体"/>
          <w:color w:val="auto"/>
          <w:sz w:val="24"/>
          <w:szCs w:val="24"/>
          <w:highlight w:val="none"/>
        </w:rPr>
        <w:t>29.3电子交易活动的中止。）</w:t>
      </w:r>
    </w:p>
    <w:p w14:paraId="3404CD38">
      <w:pPr>
        <w:numPr>
          <w:ilvl w:val="0"/>
          <w:numId w:val="5"/>
        </w:num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电子唱标。</w:t>
      </w:r>
      <w:r>
        <w:rPr>
          <w:rFonts w:hint="eastAsia" w:ascii="宋体" w:hAnsi="宋体" w:cs="宋体"/>
          <w:color w:val="auto"/>
          <w:sz w:val="24"/>
          <w:highlight w:val="none"/>
        </w:rPr>
        <w:t>投标文件解密结束，开启报价要求文件，各投标供应商报价均在广西政府采购云平台远程不见面开标大厅展示；</w:t>
      </w:r>
    </w:p>
    <w:p w14:paraId="3741B1A4">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注：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6E48A15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签署电子《政府采购活动现场确认声明书》。</w:t>
      </w:r>
      <w:r>
        <w:rPr>
          <w:rFonts w:hint="eastAsia" w:ascii="宋体" w:hAnsi="宋体" w:cs="宋体"/>
          <w:color w:val="auto"/>
          <w:sz w:val="24"/>
          <w:highlight w:val="none"/>
        </w:rPr>
        <w:t>通过邮件形式在远程不见面开标大厅发送各投标人签署电子《政府采购活动现场确认声明书》。</w:t>
      </w:r>
    </w:p>
    <w:p w14:paraId="736177DD">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（4）开标过程由采购代理机构如实记录，并电子留痕，由参加电子开标的各投标人代表对电子开标记录在开标记录公布后进行当场校核及勘误，并线上确认，未确认的视同认可开标结果。</w:t>
      </w:r>
    </w:p>
    <w:p w14:paraId="7D405896">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89363B6">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（6）开标结束。</w:t>
      </w:r>
    </w:p>
    <w:p w14:paraId="39650247">
      <w:pPr>
        <w:pStyle w:val="14"/>
        <w:snapToGrid w:val="0"/>
        <w:spacing w:line="400" w:lineRule="exact"/>
        <w:ind w:firstLine="422" w:firstLineChars="175"/>
        <w:rPr>
          <w:rFonts w:hint="eastAsia" w:hAnsi="宋体" w:cs="宋体"/>
          <w:color w:val="auto"/>
          <w:sz w:val="24"/>
          <w:szCs w:val="24"/>
          <w:highlight w:val="none"/>
        </w:rPr>
      </w:pPr>
      <w:r>
        <w:rPr>
          <w:rFonts w:hint="eastAsia" w:hAnsi="宋体" w:cs="宋体"/>
          <w:b/>
          <w:bCs/>
          <w:color w:val="auto"/>
          <w:sz w:val="24"/>
          <w:szCs w:val="24"/>
          <w:highlight w:val="none"/>
        </w:rPr>
        <w:t>特别说明：</w:t>
      </w:r>
      <w:r>
        <w:rPr>
          <w:rFonts w:hint="eastAsia" w:hAnsi="宋体" w:cs="宋体"/>
          <w:b/>
          <w:color w:val="auto"/>
          <w:sz w:val="24"/>
          <w:szCs w:val="24"/>
          <w:highlight w:val="none"/>
        </w:rPr>
        <w:t>如遇广西政府采购云平台电子化开标或评审程序调整的，按调整后执行。</w:t>
      </w:r>
    </w:p>
    <w:p w14:paraId="73152A5E">
      <w:pPr>
        <w:pStyle w:val="14"/>
        <w:snapToGrid w:val="0"/>
        <w:spacing w:line="400" w:lineRule="exact"/>
        <w:ind w:firstLine="422" w:firstLineChars="175"/>
        <w:jc w:val="center"/>
        <w:rPr>
          <w:rFonts w:hint="eastAsia" w:hAnsi="宋体" w:cs="宋体"/>
          <w:b/>
          <w:color w:val="auto"/>
          <w:sz w:val="24"/>
          <w:szCs w:val="24"/>
          <w:highlight w:val="none"/>
        </w:rPr>
      </w:pPr>
    </w:p>
    <w:p w14:paraId="0E074A6B">
      <w:pPr>
        <w:pStyle w:val="14"/>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五、资格审查</w:t>
      </w:r>
    </w:p>
    <w:p w14:paraId="48BE9E7F">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25.资格审查</w:t>
      </w:r>
    </w:p>
    <w:p w14:paraId="53D34DBF">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25.1开标结束后，采购人依法通过电子投标文件对投标人的资格进行线上审查。</w:t>
      </w:r>
    </w:p>
    <w:p w14:paraId="6C5A6988">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25.2采购人依据法律法规和招标文件的规定，对投标人的基本资格条件、特定资格条件进行审查。</w:t>
      </w:r>
    </w:p>
    <w:p w14:paraId="638F7BB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128B1340">
      <w:pPr>
        <w:snapToGrid w:val="0"/>
        <w:spacing w:line="400" w:lineRule="exact"/>
        <w:ind w:firstLine="422" w:firstLineChars="175"/>
        <w:rPr>
          <w:rFonts w:hint="eastAsia" w:ascii="宋体" w:hAnsi="宋体" w:cs="宋体"/>
          <w:b/>
          <w:bCs/>
          <w:color w:val="auto"/>
          <w:sz w:val="24"/>
          <w:highlight w:val="none"/>
        </w:rPr>
      </w:pPr>
      <w:bookmarkStart w:id="82" w:name="_25.3_投标人有下列情形之一的，资格审查不通过而导致其投标无效："/>
      <w:bookmarkEnd w:id="82"/>
      <w:r>
        <w:rPr>
          <w:rFonts w:hint="eastAsia" w:ascii="宋体" w:hAnsi="宋体" w:cs="宋体"/>
          <w:b/>
          <w:bCs/>
          <w:color w:val="auto"/>
          <w:sz w:val="24"/>
          <w:highlight w:val="none"/>
        </w:rPr>
        <w:t>25.4投标人有下列情形之一的，资格审查不通过，作无效投标处理：</w:t>
      </w:r>
    </w:p>
    <w:p w14:paraId="7C6E2EF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（1）不具备招标文件中规定的资格要求的；（注：其中信用查询规则见“投标人须知前附表”，“广西政府采购云平台”已与“信用中国”平台做接口，审查专家可直接在线查询）</w:t>
      </w:r>
    </w:p>
    <w:p w14:paraId="2A0C230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（2）投标文件未提供任一项“投标人须知前附表”资格证明文件规定的“必须提供”的文件资料的；</w:t>
      </w:r>
    </w:p>
    <w:p w14:paraId="2EA89C0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（3）投标文件提供的资格证明文件出现任一项不符合“投标人须知前附表”资格证明文件规定的“必须提供”的文件资料要求或者无效的。</w:t>
      </w:r>
    </w:p>
    <w:p w14:paraId="1576CC9B">
      <w:pPr>
        <w:pStyle w:val="8"/>
        <w:keepNext w:val="0"/>
        <w:keepLines w:val="0"/>
        <w:snapToGrid w:val="0"/>
        <w:spacing w:before="0" w:after="0" w:line="400" w:lineRule="exact"/>
        <w:ind w:firstLine="420" w:firstLineChars="175"/>
        <w:rPr>
          <w:rFonts w:hint="eastAsia" w:ascii="宋体" w:hAnsi="宋体" w:cs="宋体"/>
          <w:b w:val="0"/>
          <w:bCs/>
          <w:color w:val="auto"/>
          <w:sz w:val="24"/>
          <w:highlight w:val="none"/>
        </w:rPr>
      </w:pPr>
      <w:r>
        <w:rPr>
          <w:rFonts w:hint="eastAsia" w:ascii="宋体" w:hAnsi="宋体" w:cs="宋体"/>
          <w:b w:val="0"/>
          <w:bCs/>
          <w:color w:val="auto"/>
          <w:sz w:val="24"/>
          <w:highlight w:val="none"/>
        </w:rPr>
        <w:t>25.5资格审查的合格投标人不足3家的，不得评标。</w:t>
      </w:r>
    </w:p>
    <w:p w14:paraId="099406CA">
      <w:pPr>
        <w:pStyle w:val="8"/>
        <w:keepNext w:val="0"/>
        <w:keepLines w:val="0"/>
        <w:snapToGrid w:val="0"/>
        <w:spacing w:before="0" w:after="0" w:line="400" w:lineRule="exact"/>
        <w:ind w:firstLine="420" w:firstLineChars="175"/>
        <w:jc w:val="center"/>
        <w:rPr>
          <w:rFonts w:hint="eastAsia" w:ascii="宋体" w:hAnsi="宋体" w:cs="宋体"/>
          <w:b w:val="0"/>
          <w:bCs/>
          <w:color w:val="auto"/>
          <w:sz w:val="24"/>
          <w:highlight w:val="none"/>
        </w:rPr>
      </w:pPr>
    </w:p>
    <w:p w14:paraId="0ED53ADE">
      <w:pPr>
        <w:pStyle w:val="8"/>
        <w:keepNext w:val="0"/>
        <w:keepLines w:val="0"/>
        <w:snapToGrid w:val="0"/>
        <w:spacing w:before="0" w:after="0" w:line="400" w:lineRule="exact"/>
        <w:ind w:firstLine="422" w:firstLineChars="175"/>
        <w:jc w:val="center"/>
        <w:rPr>
          <w:rFonts w:hint="eastAsia" w:ascii="宋体" w:hAnsi="宋体" w:cs="宋体"/>
          <w:b w:val="0"/>
          <w:bCs/>
          <w:color w:val="auto"/>
          <w:sz w:val="24"/>
          <w:highlight w:val="none"/>
        </w:rPr>
      </w:pPr>
      <w:r>
        <w:rPr>
          <w:rFonts w:hint="eastAsia" w:ascii="宋体" w:hAnsi="宋体" w:cs="宋体"/>
          <w:color w:val="auto"/>
          <w:sz w:val="24"/>
          <w:highlight w:val="none"/>
        </w:rPr>
        <w:t>六、评标</w:t>
      </w:r>
    </w:p>
    <w:p w14:paraId="25401511">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bookmarkStart w:id="83" w:name="_26.组建评标委员会"/>
      <w:bookmarkEnd w:id="83"/>
      <w:r>
        <w:rPr>
          <w:rFonts w:hint="eastAsia" w:ascii="宋体" w:hAnsi="宋体" w:cs="宋体"/>
          <w:color w:val="auto"/>
          <w:sz w:val="24"/>
          <w:highlight w:val="none"/>
        </w:rPr>
        <w:t>26.组建评标委员会</w:t>
      </w:r>
    </w:p>
    <w:p w14:paraId="2674EC6B">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评标委员会由采购人代表和评审专家组成，具体人数详见“投标人须知前附表”，其中评审专家不得少于成员总数的三分之二。</w:t>
      </w:r>
    </w:p>
    <w:p w14:paraId="6E9E8408">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参加过采购项目前期咨询论证的专家，不得参加该采购项目的评审活动。</w:t>
      </w:r>
    </w:p>
    <w:p w14:paraId="523C2BD4">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27.评标的依据</w:t>
      </w:r>
    </w:p>
    <w:p w14:paraId="696A46D8">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评标委员会以招标文件为依据对投标文件进行评审，“第四章 评标方法和评标标准”没有规定的方法、评审因素和标准，不作为评标依据。</w:t>
      </w:r>
    </w:p>
    <w:p w14:paraId="2D2CBCB6">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28.评标原则</w:t>
      </w:r>
    </w:p>
    <w:p w14:paraId="28506FB4">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0DA2136">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4" w:name="_28.3评标方法。本项目将按须知前附表规定的评标办法进行评标，具体评标"/>
      <w:bookmarkEnd w:id="84"/>
    </w:p>
    <w:p w14:paraId="3B38DFC5">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FED6987">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28.4评标过程的监控。本项目电子评标过程实行网上留痕、全程录音、录像监控，投标人在评标过程中所进行的试图影响评标结果的不公正活动，可能导致其投标按无效处理。</w:t>
      </w:r>
    </w:p>
    <w:p w14:paraId="21F6152B">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29.评标方法及评标标准</w:t>
      </w:r>
    </w:p>
    <w:p w14:paraId="7896E424">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29.1本项目的评标方法详见“投标人须知前附表”。</w:t>
      </w:r>
    </w:p>
    <w:p w14:paraId="4FBB2AE5">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29.2 评标委员会按照“第四章 评标方法和评标标准”规定的方法、评审因素、标准和程序对投标文件进行评审。</w:t>
      </w:r>
    </w:p>
    <w:p w14:paraId="5A6969BB">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29.3 电子交易活动的中止。采购过程中出现以下情形，导致电子交易平台无法正常运行，或者无法保证电子交易的公平、公正和安全时，采购机构可中止电子交易活动：</w:t>
      </w:r>
    </w:p>
    <w:p w14:paraId="190A2345">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 xml:space="preserve">（1）电子交易平台发生故障而无法登录访问的； </w:t>
      </w:r>
    </w:p>
    <w:p w14:paraId="34F7DCF8">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（2）电子交易平台应用或数据库出现错误，不能进行正常操作的；</w:t>
      </w:r>
    </w:p>
    <w:p w14:paraId="23E4D3D6">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（3）电子交易平台发现严重安全漏洞，有潜在泄密危险的；</w:t>
      </w:r>
    </w:p>
    <w:p w14:paraId="1C9F85FF">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 xml:space="preserve">（4）病毒发作导致不能进行正常操作的； </w:t>
      </w:r>
    </w:p>
    <w:p w14:paraId="2EE44587">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（5）其他无法保证电子交易的公平、公正和安全的情况。</w:t>
      </w:r>
    </w:p>
    <w:p w14:paraId="064C273C">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289DE72">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29.5特别说明</w:t>
      </w:r>
    </w:p>
    <w:p w14:paraId="6E27975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（1）广西政府采购云平台如对电子化开评标程序有调整的，按调整后的程序操作。</w:t>
      </w:r>
    </w:p>
    <w:p w14:paraId="7FE62CA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（2）评审在严格保密的情况下进行，任何一方不得透露与评审有关的其他投标人的技术资料、价格和其他信息。</w:t>
      </w:r>
    </w:p>
    <w:p w14:paraId="3C4C4EF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（3）电子评审过程中需要投标人在线确认的所有内容，投标人不予确认的应说明理由，超过规定时间未确认的，将被视为放弃确认或者无异议。</w:t>
      </w:r>
      <w:bookmarkStart w:id="85" w:name="_Toc254970687"/>
      <w:bookmarkStart w:id="86" w:name="_Toc254970546"/>
    </w:p>
    <w:p w14:paraId="567F735D">
      <w:pPr>
        <w:snapToGrid w:val="0"/>
        <w:spacing w:line="400" w:lineRule="exact"/>
        <w:ind w:firstLine="422" w:firstLineChars="175"/>
        <w:jc w:val="center"/>
        <w:rPr>
          <w:rFonts w:hint="eastAsia" w:ascii="宋体" w:hAnsi="宋体" w:cs="宋体"/>
          <w:b/>
          <w:color w:val="auto"/>
          <w:sz w:val="24"/>
          <w:highlight w:val="none"/>
        </w:rPr>
      </w:pPr>
    </w:p>
    <w:p w14:paraId="727991BF">
      <w:pPr>
        <w:snapToGrid w:val="0"/>
        <w:spacing w:line="400" w:lineRule="exact"/>
        <w:ind w:firstLine="422" w:firstLineChars="175"/>
        <w:jc w:val="center"/>
        <w:rPr>
          <w:rFonts w:hint="eastAsia" w:ascii="宋体" w:hAnsi="宋体" w:cs="宋体"/>
          <w:b/>
          <w:color w:val="auto"/>
          <w:sz w:val="24"/>
          <w:highlight w:val="none"/>
        </w:rPr>
      </w:pPr>
      <w:r>
        <w:rPr>
          <w:rFonts w:hint="eastAsia" w:ascii="宋体" w:hAnsi="宋体" w:cs="宋体"/>
          <w:b/>
          <w:color w:val="auto"/>
          <w:sz w:val="24"/>
          <w:highlight w:val="none"/>
        </w:rPr>
        <w:t>七、</w:t>
      </w:r>
      <w:bookmarkEnd w:id="85"/>
      <w:bookmarkEnd w:id="86"/>
      <w:r>
        <w:rPr>
          <w:rFonts w:hint="eastAsia" w:ascii="宋体" w:hAnsi="宋体" w:cs="宋体"/>
          <w:b/>
          <w:color w:val="auto"/>
          <w:sz w:val="24"/>
          <w:highlight w:val="none"/>
        </w:rPr>
        <w:t>中标和合同</w:t>
      </w:r>
    </w:p>
    <w:p w14:paraId="3CD939DC">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30 确定中标人</w:t>
      </w:r>
    </w:p>
    <w:p w14:paraId="748D6EEE">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0E5A1A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3476C9C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C26950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F2F216C">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31.结果公告</w:t>
      </w:r>
    </w:p>
    <w:p w14:paraId="4E22392D">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31.1中标人确定后，于中标人确定之日起2个工作日内，中标结果将在招标公告发布媒体上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p>
    <w:p w14:paraId="11F8407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排名第二的中标候选人因前款规定的同样原因被取消中标资格的，采购人可以确定排名第三的中标候选人为中标人，以此类推。</w:t>
      </w:r>
    </w:p>
    <w:p w14:paraId="7BCD521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以上信息查询记录及相关证据与采购文件一并保存。</w:t>
      </w:r>
    </w:p>
    <w:p w14:paraId="0ED3462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5A36FB24">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32.发出中标通知书</w:t>
      </w:r>
    </w:p>
    <w:p w14:paraId="0A4D7E08">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59E8A63D">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33. 无义务解释未中标原因</w:t>
      </w:r>
    </w:p>
    <w:p w14:paraId="4D3E47E1">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采购代理机构无义务向未中标的投标人解释未中标原因和退还投标文件。</w:t>
      </w:r>
    </w:p>
    <w:p w14:paraId="695854C8">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34.合同授予标准</w:t>
      </w:r>
    </w:p>
    <w:p w14:paraId="7CB978E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合同将授予被确定实质上响应招标文件要求，具备履行合同能力的中标人（招标文件另有约定多名中标人的除外）。</w:t>
      </w:r>
    </w:p>
    <w:p w14:paraId="725F7C72">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35.履约保证金</w:t>
      </w:r>
    </w:p>
    <w:p w14:paraId="5436157A">
      <w:pPr>
        <w:pStyle w:val="8"/>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bookmarkStart w:id="87" w:name="_39.1中标人须于签订合同前按本须知前附表规定的金额转账或电汇到指定账"/>
      <w:bookmarkEnd w:id="87"/>
      <w:r>
        <w:rPr>
          <w:rFonts w:hint="eastAsia" w:ascii="宋体" w:hAnsi="宋体" w:cs="宋体"/>
          <w:b w:val="0"/>
          <w:color w:val="auto"/>
          <w:sz w:val="24"/>
          <w:highlight w:val="none"/>
        </w:rPr>
        <w:t>35.1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14:paraId="39E2D119">
      <w:pPr>
        <w:pStyle w:val="8"/>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35.2签订合同后，如中标人不按双方签订的合同规定履约，则没收其全部履约保证金，履约保证金不足以赔偿损失的，按实际损失赔偿。</w:t>
      </w:r>
    </w:p>
    <w:p w14:paraId="4D7C7583">
      <w:pPr>
        <w:pStyle w:val="8"/>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35.3在履约保证金退还日期前，若中标人的开户名称、开户银行、帐号有变动的，请以书面形式通知履约保证金收取单位，否则由此产生的后果由中标人自行承担。</w:t>
      </w:r>
    </w:p>
    <w:p w14:paraId="3AB4FCBB">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36.签订合同</w:t>
      </w:r>
    </w:p>
    <w:p w14:paraId="4C50591D">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88" w:name="_40.1投标人接到中标通知书后，按须知前附表规定向采购人出示相关资格证"/>
      <w:bookmarkEnd w:id="88"/>
      <w:r>
        <w:rPr>
          <w:rFonts w:hint="eastAsia" w:ascii="宋体" w:hAnsi="宋体" w:cs="宋体"/>
          <w:b w:val="0"/>
          <w:color w:val="auto"/>
          <w:sz w:val="24"/>
          <w:highlight w:val="none"/>
        </w:rPr>
        <w:t>36.1投标人领取中标通知书后，按“投标人须知前附表”规定向采购人出示相关证明材料，经采购人核验合格后方可签订合同。</w:t>
      </w:r>
    </w:p>
    <w:p w14:paraId="41779CCE">
      <w:pPr>
        <w:pStyle w:val="28"/>
        <w:snapToGrid w:val="0"/>
        <w:spacing w:before="0" w:line="400" w:lineRule="exact"/>
        <w:ind w:firstLine="420" w:firstLineChars="175"/>
        <w:rPr>
          <w:rFonts w:hint="eastAsia" w:ascii="宋体" w:hAnsi="宋体" w:cs="宋体"/>
          <w:color w:val="auto"/>
          <w:kern w:val="0"/>
          <w:szCs w:val="24"/>
          <w:highlight w:val="none"/>
          <w:lang w:val="zh-CN"/>
        </w:rPr>
      </w:pPr>
      <w:r>
        <w:rPr>
          <w:rFonts w:hint="eastAsia" w:ascii="宋体" w:hAnsi="宋体" w:cs="宋体"/>
          <w:color w:val="auto"/>
          <w:kern w:val="0"/>
          <w:szCs w:val="24"/>
          <w:highlight w:val="none"/>
          <w:lang w:val="zh-CN"/>
        </w:rPr>
        <w:t>36.2</w:t>
      </w:r>
      <w:r>
        <w:rPr>
          <w:rFonts w:hint="eastAsia" w:ascii="宋体" w:hAnsi="宋体" w:cs="宋体"/>
          <w:color w:val="auto"/>
          <w:szCs w:val="24"/>
          <w:highlight w:val="none"/>
        </w:rPr>
        <w:t>采购合同由采购人与中标供应商根据招标文件、投标文件等内容通过政府采购电子交易平台在线签订，自动备案。</w:t>
      </w:r>
    </w:p>
    <w:p w14:paraId="24C75A90">
      <w:pPr>
        <w:pStyle w:val="8"/>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36.3签订合同时间：按中标通知书规定的时间与采购人签订合同（最长不能超过25日）。</w:t>
      </w:r>
    </w:p>
    <w:p w14:paraId="0EEA03FB">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36.4中标人拒绝与采购人签订合同的，采购人可以按照评审报告推荐的中标候选人名单排序，确定下一候选人为中标人，也可以重新开展政府采购活动。</w:t>
      </w:r>
    </w:p>
    <w:p w14:paraId="42A77A7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E120F9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5ED882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36.7如签订合同并生效后，供应商无故拒绝或延期，除按照合同条款处理外，将承担相应的法律责任。</w:t>
      </w:r>
    </w:p>
    <w:p w14:paraId="048BECCD">
      <w:pPr>
        <w:pStyle w:val="9"/>
        <w:snapToGrid w:val="0"/>
        <w:spacing w:line="40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36.8采购人需追加与合同标的相同的货物或者服务的，在不改变原合同条款且已报财政部门批准落实资金的前提下，可从原中标供应商处添购，所签订的补充添置合同的采购资金总额不超过原采购合同金额的10%。</w:t>
      </w:r>
    </w:p>
    <w:p w14:paraId="0708184B">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bookmarkStart w:id="89" w:name="_41.政府采购合同公告"/>
      <w:bookmarkEnd w:id="89"/>
      <w:r>
        <w:rPr>
          <w:rFonts w:hint="eastAsia" w:ascii="宋体" w:hAnsi="宋体" w:cs="宋体"/>
          <w:color w:val="auto"/>
          <w:sz w:val="24"/>
          <w:highlight w:val="none"/>
        </w:rPr>
        <w:t>37.政府采购合同公告</w:t>
      </w:r>
    </w:p>
    <w:p w14:paraId="5C98A1FA">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668ADE84">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38. 询问、质疑和投诉</w:t>
      </w:r>
    </w:p>
    <w:p w14:paraId="788760F7">
      <w:pPr>
        <w:pStyle w:val="9"/>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38.1供应商对政府采购活动事项有疑问的，可以向采购人提出询问，采购人应当及时作出答复，但答复的内容不得涉及商业秘密。</w:t>
      </w:r>
    </w:p>
    <w:p w14:paraId="7C9FDCF6">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38.2供应商认为招标文件、采购过程或者中标结果使自己的合法权益受到损害的，必须在知道或者应知其权益受到损害之日起7个工作日内，以书面形式向采购人或采购代理机构提出质疑。采购人、采购代理机构接收质疑函的方式、联系部门、联系电话和通讯地址等信息详见“投标人须知前附表”。具体质疑起算时间如下： </w:t>
      </w:r>
    </w:p>
    <w:p w14:paraId="1BECC5AD">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（1）对可以质疑的招标文件提出质疑的，为收到招标文件之日或者招标文件公告期限届满之日；</w:t>
      </w:r>
    </w:p>
    <w:p w14:paraId="65683E82">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（2）对采购过程提出质疑的，为各采购程序环节结束之日；</w:t>
      </w:r>
    </w:p>
    <w:p w14:paraId="6B32F80F">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（3）对中标结果提出质疑的，为中标结果公告期限届满之日。</w:t>
      </w:r>
    </w:p>
    <w:p w14:paraId="1D635ACD">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供应商对采购人、采购代理机构的质疑答复不满意，或者采购人、采购代理机构未在规定时间内作出答复的，可以在答复期满后十五个工作日内向同级政府采购监管部门投诉。</w:t>
      </w:r>
    </w:p>
    <w:p w14:paraId="079F2DFD">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90" w:name="_9.2质疑、投诉应当采用书面形式，质疑函、投诉书均应明确阐述招标文件、"/>
      <w:bookmarkEnd w:id="90"/>
      <w:r>
        <w:rPr>
          <w:rFonts w:hint="eastAsia" w:ascii="宋体" w:hAnsi="宋体" w:cs="宋体"/>
          <w:b w:val="0"/>
          <w:color w:val="auto"/>
          <w:sz w:val="24"/>
          <w:highlight w:val="none"/>
        </w:rPr>
        <w:t>38.3</w:t>
      </w:r>
      <w:r>
        <w:rPr>
          <w:rFonts w:hint="eastAsia" w:ascii="宋体" w:hAnsi="宋体" w:cs="宋体"/>
          <w:bCs/>
          <w:color w:val="auto"/>
          <w:sz w:val="24"/>
          <w:highlight w:val="none"/>
        </w:rPr>
        <w:t>供应商提出质疑应当提交质疑函和必要的证明材料，针对同一采购程序环节的质疑必须在法定质疑期内一次性提出。</w:t>
      </w:r>
      <w:r>
        <w:rPr>
          <w:rFonts w:hint="eastAsia" w:ascii="宋体" w:hAnsi="宋体" w:cs="宋体"/>
          <w:color w:val="auto"/>
          <w:kern w:val="0"/>
          <w:sz w:val="24"/>
          <w:highlight w:val="none"/>
        </w:rPr>
        <w:t>采购人或采购代理机构不再受理供应商针对同一采购程序环节的再次质疑。质疑函应使用财政部发布的《政府采购供应商质疑函范本》，</w:t>
      </w:r>
      <w:r>
        <w:rPr>
          <w:rFonts w:hint="eastAsia" w:ascii="宋体" w:hAnsi="宋体" w:cs="宋体"/>
          <w:bCs/>
          <w:color w:val="auto"/>
          <w:sz w:val="24"/>
          <w:highlight w:val="none"/>
        </w:rPr>
        <w:t>质疑函应当包括下列内容：</w:t>
      </w:r>
    </w:p>
    <w:p w14:paraId="00B3E947">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（1）供应商的姓名或者名称、地址、邮编、联系人及联系电话；</w:t>
      </w:r>
    </w:p>
    <w:p w14:paraId="1108FC46">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（2）质疑项目的名称、编号；</w:t>
      </w:r>
    </w:p>
    <w:p w14:paraId="20C2B4BE">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（3）具体、明确的质疑事项和与质疑事项相关的请求；</w:t>
      </w:r>
    </w:p>
    <w:p w14:paraId="689C9B8D">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（4）事实依据；</w:t>
      </w:r>
    </w:p>
    <w:p w14:paraId="5B084D18">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（5）必要的法律依据；</w:t>
      </w:r>
    </w:p>
    <w:p w14:paraId="68828435">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（6）提出质疑的日期。</w:t>
      </w:r>
    </w:p>
    <w:p w14:paraId="7216D412">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14:paraId="70D2A92D">
      <w:pPr>
        <w:pStyle w:val="8"/>
        <w:keepNext w:val="0"/>
        <w:keepLines w:val="0"/>
        <w:snapToGrid w:val="0"/>
        <w:spacing w:before="0" w:after="0" w:line="400" w:lineRule="exact"/>
        <w:ind w:firstLine="422" w:firstLineChars="175"/>
        <w:rPr>
          <w:rFonts w:hint="eastAsia"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5CB12040">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（一）对招标文件提出的质疑，依法通过澄清或者修改可以继续开展采购活动的，澄清或者修改招标文件后继续开展采购活动；否则应当修改招标文件后重新开展采购活动。</w:t>
      </w:r>
    </w:p>
    <w:p w14:paraId="122F2FAA">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（二）对采购过程、中标结果提出的质疑，合格供应商符合法定数量时，可以从合格的中标候选人中另行确定中标供应商的，应当依法另行确定中标供应商；否则应当重新开展采购活动。</w:t>
      </w:r>
    </w:p>
    <w:p w14:paraId="37443C43">
      <w:pPr>
        <w:pStyle w:val="14"/>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质疑答复导致中标结果改变的，采购人或者采购代理机构应当将有关情况书面报告本级财政部门。</w:t>
      </w:r>
    </w:p>
    <w:p w14:paraId="4FC8B653">
      <w:pPr>
        <w:pStyle w:val="14"/>
        <w:snapToGrid w:val="0"/>
        <w:spacing w:line="400" w:lineRule="exact"/>
        <w:ind w:firstLine="420" w:firstLineChars="175"/>
        <w:rPr>
          <w:rFonts w:hint="eastAsia" w:hAnsi="宋体" w:cs="宋体"/>
          <w:b/>
          <w:color w:val="auto"/>
          <w:sz w:val="24"/>
          <w:szCs w:val="24"/>
          <w:highlight w:val="none"/>
        </w:rPr>
      </w:pPr>
      <w:r>
        <w:rPr>
          <w:rFonts w:hint="eastAsia" w:hAnsi="宋体" w:cs="宋体"/>
          <w:color w:val="auto"/>
          <w:sz w:val="24"/>
          <w:szCs w:val="24"/>
          <w:highlight w:val="none"/>
        </w:rPr>
        <w:t>38.5</w:t>
      </w:r>
      <w:r>
        <w:rPr>
          <w:rFonts w:hint="eastAsia" w:hAnsi="宋体" w:cs="宋体"/>
          <w:b/>
          <w:color w:val="auto"/>
          <w:sz w:val="24"/>
          <w:szCs w:val="24"/>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应使用财政部发布的《政府采购供应商投诉书范本》）。</w:t>
      </w:r>
      <w:bookmarkStart w:id="91" w:name="_八、其他事项"/>
      <w:bookmarkEnd w:id="91"/>
    </w:p>
    <w:p w14:paraId="62075BC7">
      <w:pPr>
        <w:pStyle w:val="14"/>
        <w:snapToGrid w:val="0"/>
        <w:spacing w:line="400" w:lineRule="exact"/>
        <w:ind w:firstLine="422" w:firstLineChars="175"/>
        <w:jc w:val="center"/>
        <w:rPr>
          <w:rFonts w:hint="eastAsia" w:hAnsi="宋体" w:cs="宋体"/>
          <w:b/>
          <w:color w:val="auto"/>
          <w:sz w:val="24"/>
          <w:szCs w:val="24"/>
          <w:highlight w:val="none"/>
        </w:rPr>
      </w:pPr>
    </w:p>
    <w:p w14:paraId="4F58C206">
      <w:pPr>
        <w:pStyle w:val="14"/>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八、其他事项</w:t>
      </w:r>
    </w:p>
    <w:p w14:paraId="1B184D21">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bookmarkStart w:id="92" w:name="_42.代理服务费"/>
      <w:bookmarkEnd w:id="92"/>
      <w:r>
        <w:rPr>
          <w:rFonts w:hint="eastAsia" w:ascii="宋体" w:hAnsi="宋体" w:cs="宋体"/>
          <w:color w:val="auto"/>
          <w:sz w:val="24"/>
          <w:highlight w:val="none"/>
        </w:rPr>
        <w:t>39.代理服务费</w:t>
      </w:r>
    </w:p>
    <w:p w14:paraId="0E53A283">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39.1采购代理费支付方式：</w:t>
      </w:r>
    </w:p>
    <w:p w14:paraId="398E45EB">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中标人在领取中标通知书前，须一次性向采购代理机构付清代理服务费。</w:t>
      </w:r>
    </w:p>
    <w:p w14:paraId="221D2968">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39.2代理服务收费标准：按下述标准（货物招标）以差额定率累进法计算收取，具体标准如下：</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9"/>
        <w:gridCol w:w="1796"/>
        <w:gridCol w:w="1826"/>
        <w:gridCol w:w="1796"/>
      </w:tblGrid>
      <w:tr w14:paraId="224D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759" w:type="dxa"/>
            <w:tcBorders>
              <w:tl2br w:val="single" w:color="auto" w:sz="4" w:space="0"/>
            </w:tcBorders>
          </w:tcPr>
          <w:p w14:paraId="53CA36D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               费率</w:t>
            </w:r>
          </w:p>
          <w:p w14:paraId="0FA7FCC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中标金额</w:t>
            </w:r>
          </w:p>
        </w:tc>
        <w:tc>
          <w:tcPr>
            <w:tcW w:w="1796" w:type="dxa"/>
            <w:vAlign w:val="center"/>
          </w:tcPr>
          <w:p w14:paraId="3A992A1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826" w:type="dxa"/>
            <w:vAlign w:val="center"/>
          </w:tcPr>
          <w:p w14:paraId="20F1BA3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796" w:type="dxa"/>
            <w:vAlign w:val="center"/>
          </w:tcPr>
          <w:p w14:paraId="7481600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6C5A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tcPr>
          <w:p w14:paraId="0AC37E8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796" w:type="dxa"/>
          </w:tcPr>
          <w:p w14:paraId="08D9E4D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1.5%          </w:t>
            </w:r>
          </w:p>
        </w:tc>
        <w:tc>
          <w:tcPr>
            <w:tcW w:w="1826" w:type="dxa"/>
          </w:tcPr>
          <w:p w14:paraId="2A2D309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1.5%</w:t>
            </w:r>
          </w:p>
        </w:tc>
        <w:tc>
          <w:tcPr>
            <w:tcW w:w="1796" w:type="dxa"/>
          </w:tcPr>
          <w:p w14:paraId="22AD45C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1.0% </w:t>
            </w:r>
          </w:p>
        </w:tc>
      </w:tr>
      <w:tr w14:paraId="5CD7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tcPr>
          <w:p w14:paraId="7010D34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100～500万元</w:t>
            </w:r>
          </w:p>
        </w:tc>
        <w:tc>
          <w:tcPr>
            <w:tcW w:w="1796" w:type="dxa"/>
          </w:tcPr>
          <w:p w14:paraId="508652C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1.1%           </w:t>
            </w:r>
          </w:p>
        </w:tc>
        <w:tc>
          <w:tcPr>
            <w:tcW w:w="1826" w:type="dxa"/>
          </w:tcPr>
          <w:p w14:paraId="4C22DCE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0.8%</w:t>
            </w:r>
          </w:p>
        </w:tc>
        <w:tc>
          <w:tcPr>
            <w:tcW w:w="1796" w:type="dxa"/>
          </w:tcPr>
          <w:p w14:paraId="7082969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0.7% </w:t>
            </w:r>
          </w:p>
        </w:tc>
      </w:tr>
      <w:tr w14:paraId="0CDB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tcPr>
          <w:p w14:paraId="6227F08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500～1000万元</w:t>
            </w:r>
          </w:p>
        </w:tc>
        <w:tc>
          <w:tcPr>
            <w:tcW w:w="1796" w:type="dxa"/>
          </w:tcPr>
          <w:p w14:paraId="31438C9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0.8%          </w:t>
            </w:r>
          </w:p>
        </w:tc>
        <w:tc>
          <w:tcPr>
            <w:tcW w:w="1826" w:type="dxa"/>
          </w:tcPr>
          <w:p w14:paraId="0775480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0.45%</w:t>
            </w:r>
          </w:p>
        </w:tc>
        <w:tc>
          <w:tcPr>
            <w:tcW w:w="1796" w:type="dxa"/>
          </w:tcPr>
          <w:p w14:paraId="395855A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0.55%</w:t>
            </w:r>
          </w:p>
        </w:tc>
      </w:tr>
    </w:tbl>
    <w:p w14:paraId="6D7B955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391CCFB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14:paraId="2158B63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6352E13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例如：某货物采购代理业务中标金额或者暂定价为200万元，计算采购代理收费额如下：</w:t>
      </w:r>
    </w:p>
    <w:p w14:paraId="7D973CF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100万元×l.5 ％＝1.5万元</w:t>
      </w:r>
    </w:p>
    <w:p w14:paraId="2E0ADA3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（200－100）万元 ×1.1％＝1.1万元</w:t>
      </w:r>
    </w:p>
    <w:p w14:paraId="7161A3C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合计收费＝1.5+1.1＝2.6（万元）</w:t>
      </w:r>
    </w:p>
    <w:p w14:paraId="49D4ED8C">
      <w:pPr>
        <w:pStyle w:val="8"/>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40. 需要补充的其他内容</w:t>
      </w:r>
    </w:p>
    <w:p w14:paraId="08A9EF33">
      <w:pPr>
        <w:pStyle w:val="8"/>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40.1本招标文件解释规则详见“投标人须知前附表”。</w:t>
      </w:r>
    </w:p>
    <w:p w14:paraId="7A4A3B1C">
      <w:pPr>
        <w:snapToGrid w:val="0"/>
        <w:spacing w:line="400" w:lineRule="exact"/>
        <w:ind w:firstLine="420" w:firstLineChars="175"/>
        <w:jc w:val="left"/>
        <w:outlineLvl w:val="1"/>
        <w:rPr>
          <w:rFonts w:hint="eastAsia" w:ascii="宋体" w:hAnsi="宋体" w:cs="宋体"/>
          <w:b/>
          <w:color w:val="auto"/>
          <w:sz w:val="24"/>
          <w:highlight w:val="none"/>
        </w:rPr>
      </w:pPr>
      <w:bookmarkStart w:id="93" w:name="_Toc23462"/>
      <w:r>
        <w:rPr>
          <w:rFonts w:hint="eastAsia" w:ascii="宋体" w:hAnsi="宋体" w:cs="宋体"/>
          <w:color w:val="auto"/>
          <w:sz w:val="24"/>
          <w:highlight w:val="none"/>
        </w:rPr>
        <w:t>40.2 其他事项详见“投标人须知前附表”。</w:t>
      </w:r>
      <w:bookmarkEnd w:id="93"/>
    </w:p>
    <w:bookmarkEnd w:id="45"/>
    <w:bookmarkEnd w:id="46"/>
    <w:p w14:paraId="0CCA9B3C">
      <w:pPr>
        <w:pStyle w:val="14"/>
        <w:snapToGrid w:val="0"/>
        <w:spacing w:before="120" w:after="120"/>
        <w:rPr>
          <w:rFonts w:hint="eastAsia" w:hAnsi="宋体" w:cs="宋体"/>
          <w:color w:val="auto"/>
          <w:highlight w:val="none"/>
        </w:rPr>
      </w:pPr>
    </w:p>
    <w:p w14:paraId="53B1FC3A">
      <w:pPr>
        <w:pStyle w:val="3"/>
        <w:spacing w:line="400" w:lineRule="exact"/>
        <w:jc w:val="center"/>
        <w:rPr>
          <w:rFonts w:hint="eastAsia" w:ascii="宋体" w:hAnsi="宋体" w:cs="宋体"/>
          <w:color w:val="auto"/>
          <w:sz w:val="30"/>
          <w:szCs w:val="30"/>
          <w:highlight w:val="none"/>
        </w:rPr>
      </w:pPr>
      <w:bookmarkStart w:id="94" w:name="_Toc254970548"/>
      <w:bookmarkStart w:id="95" w:name="_Toc254970689"/>
      <w:r>
        <w:rPr>
          <w:rFonts w:hint="eastAsia" w:ascii="宋体" w:hAnsi="宋体" w:cs="宋体"/>
          <w:color w:val="auto"/>
          <w:sz w:val="30"/>
          <w:szCs w:val="30"/>
          <w:highlight w:val="none"/>
        </w:rPr>
        <w:br w:type="page"/>
      </w:r>
      <w:bookmarkStart w:id="96" w:name="_Toc22040"/>
      <w:bookmarkStart w:id="97" w:name="_Toc1103"/>
      <w:r>
        <w:rPr>
          <w:rFonts w:hint="eastAsia" w:ascii="宋体" w:hAnsi="宋体" w:cs="宋体"/>
          <w:color w:val="auto"/>
          <w:sz w:val="36"/>
          <w:szCs w:val="36"/>
          <w:highlight w:val="none"/>
        </w:rPr>
        <w:t xml:space="preserve">第四章  </w:t>
      </w:r>
      <w:bookmarkEnd w:id="94"/>
      <w:bookmarkEnd w:id="95"/>
      <w:r>
        <w:rPr>
          <w:rFonts w:hint="eastAsia" w:ascii="宋体" w:hAnsi="宋体" w:cs="宋体"/>
          <w:color w:val="auto"/>
          <w:sz w:val="36"/>
          <w:szCs w:val="36"/>
          <w:highlight w:val="none"/>
        </w:rPr>
        <w:t>评标方法及评标标准</w:t>
      </w:r>
      <w:bookmarkEnd w:id="96"/>
      <w:bookmarkEnd w:id="97"/>
    </w:p>
    <w:p w14:paraId="6E261615">
      <w:pPr>
        <w:pStyle w:val="5"/>
        <w:keepNext w:val="0"/>
        <w:keepLines w:val="0"/>
        <w:snapToGrid w:val="0"/>
        <w:spacing w:before="0" w:after="0" w:line="400" w:lineRule="exact"/>
        <w:ind w:firstLine="422" w:firstLineChars="175"/>
        <w:jc w:val="center"/>
        <w:rPr>
          <w:rFonts w:hint="eastAsia" w:ascii="宋体" w:hAnsi="宋体" w:cs="宋体"/>
          <w:color w:val="auto"/>
          <w:sz w:val="24"/>
          <w:szCs w:val="24"/>
          <w:highlight w:val="none"/>
        </w:rPr>
      </w:pPr>
      <w:bookmarkStart w:id="98" w:name="_Toc32703"/>
      <w:bookmarkStart w:id="99" w:name="_Toc22447"/>
      <w:bookmarkStart w:id="100" w:name="_Toc381"/>
      <w:r>
        <w:rPr>
          <w:rFonts w:hint="eastAsia" w:ascii="宋体" w:hAnsi="宋体" w:cs="宋体"/>
          <w:color w:val="auto"/>
          <w:sz w:val="24"/>
          <w:szCs w:val="24"/>
          <w:highlight w:val="none"/>
        </w:rPr>
        <w:t>一、评标方法</w:t>
      </w:r>
      <w:bookmarkEnd w:id="98"/>
      <w:bookmarkEnd w:id="99"/>
      <w:bookmarkEnd w:id="100"/>
    </w:p>
    <w:p w14:paraId="462A1BBD">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综合评分法，是指投标文件满足招标文件全部实质性要求，且按照评审因素的量化指标评审得分最高的投标人为中标候选人的评标方法。</w:t>
      </w:r>
    </w:p>
    <w:p w14:paraId="58770217">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最低评标价法，是指投标文件满足招标文件全部实质性要求，且投标报价最低的投标人为中标候选人的评标方法。</w:t>
      </w:r>
    </w:p>
    <w:p w14:paraId="689823CA">
      <w:pPr>
        <w:pStyle w:val="5"/>
        <w:keepNext w:val="0"/>
        <w:keepLines w:val="0"/>
        <w:snapToGrid w:val="0"/>
        <w:spacing w:before="0" w:after="0" w:line="400" w:lineRule="exact"/>
        <w:ind w:firstLine="422" w:firstLineChars="175"/>
        <w:jc w:val="center"/>
        <w:rPr>
          <w:rFonts w:hint="eastAsia" w:ascii="宋体" w:hAnsi="宋体" w:cs="宋体"/>
          <w:color w:val="auto"/>
          <w:sz w:val="24"/>
          <w:szCs w:val="24"/>
          <w:highlight w:val="none"/>
        </w:rPr>
      </w:pPr>
      <w:bookmarkStart w:id="101" w:name="_Toc14600"/>
      <w:bookmarkStart w:id="102" w:name="_Toc21014"/>
      <w:bookmarkStart w:id="103" w:name="_Toc2396"/>
      <w:r>
        <w:rPr>
          <w:rFonts w:hint="eastAsia" w:ascii="宋体" w:hAnsi="宋体" w:cs="宋体"/>
          <w:color w:val="auto"/>
          <w:sz w:val="24"/>
          <w:szCs w:val="24"/>
          <w:highlight w:val="none"/>
        </w:rPr>
        <w:t>二、评标程序</w:t>
      </w:r>
      <w:bookmarkEnd w:id="101"/>
      <w:bookmarkEnd w:id="102"/>
      <w:bookmarkEnd w:id="103"/>
    </w:p>
    <w:p w14:paraId="2FA1EAC1">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1.符合性审查</w:t>
      </w:r>
    </w:p>
    <w:p w14:paraId="71B7B6F1">
      <w:pPr>
        <w:pStyle w:val="14"/>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评标委员会应当对符合资格的投标人的投标文件进行投标报价、商务、技术等实质性内容符合性审查，以确定其是否满足招标文件的实质性要求。</w:t>
      </w:r>
    </w:p>
    <w:p w14:paraId="2FF22AAC">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2.符合性审查不通过而导致投标无效的情形</w:t>
      </w:r>
    </w:p>
    <w:p w14:paraId="785BCA58">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投标人的投标文件中存在对招标文件的任何实质性要求和条件的负偏离，将被视为投标无效。</w:t>
      </w:r>
    </w:p>
    <w:p w14:paraId="746E8535">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14:paraId="4EF92A2E">
      <w:pPr>
        <w:pStyle w:val="9"/>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投标文件未提供“投标人须知前附表”第13.1条规定中“必须提供”的文件资料的;</w:t>
      </w:r>
    </w:p>
    <w:p w14:paraId="47D3FE27">
      <w:pPr>
        <w:pStyle w:val="9"/>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未采用人民币报价或者未按照招标文件标明的币种报价的；</w:t>
      </w:r>
    </w:p>
    <w:p w14:paraId="2AC9F709">
      <w:pPr>
        <w:pStyle w:val="9"/>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报价超出招标文件规定最高限价，或者超出采购预算金额的；</w:t>
      </w:r>
    </w:p>
    <w:p w14:paraId="2116D815">
      <w:pPr>
        <w:pStyle w:val="9"/>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46C5FDF">
      <w:pPr>
        <w:pStyle w:val="9"/>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修正后的报价，投标人不确认的；</w:t>
      </w:r>
    </w:p>
    <w:p w14:paraId="4CA69101">
      <w:pPr>
        <w:pStyle w:val="9"/>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投标人属于本章第5条第（2）项情形的。</w:t>
      </w:r>
    </w:p>
    <w:p w14:paraId="2D15A689">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14:paraId="32A2A113">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投标文件未按招标文件要求签署、盖章的；</w:t>
      </w:r>
    </w:p>
    <w:p w14:paraId="240A1E6F">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 xml:space="preserve">委托代理人未能出具有效身份证明或者出具的身份证明与授权委托书中的信息不符的； </w:t>
      </w:r>
    </w:p>
    <w:p w14:paraId="333E5B92">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为无效投标保证金的或者未按照招标文件的规定提交投标保证金的；</w:t>
      </w:r>
    </w:p>
    <w:p w14:paraId="7A4BC24F">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投标文件未提供“投标人须知前附表”第13.1条规定中“必须提供”或者“委托时必须提供”的文件资料的;</w:t>
      </w:r>
    </w:p>
    <w:p w14:paraId="476A3B79">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投标有效期、项目完成时间（交货时间、服务完成时间或者服务期等）、质保期、售后服务等招标文件中标“▲”的商务条款发生负偏离的；</w:t>
      </w:r>
    </w:p>
    <w:p w14:paraId="517864A7">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商务条款评审允许负偏离的条款数超过“投标人须知前附表”规定项数的。</w:t>
      </w:r>
    </w:p>
    <w:p w14:paraId="12BA3064">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投标文件的实质性内容未使用中文表述、使用计量单位不符合招标文件要求的；</w:t>
      </w:r>
    </w:p>
    <w:p w14:paraId="0BDF1804">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投标文件中的文件资料因填写不齐全或者内容虚假或者出现其他情形而导致被评标委员会认定无效的；</w:t>
      </w:r>
    </w:p>
    <w:p w14:paraId="08A900F6">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w:t>
      </w:r>
    </w:p>
    <w:p w14:paraId="569696FC">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未响应招标文件实质性要求的；</w:t>
      </w:r>
    </w:p>
    <w:p w14:paraId="6A2B3589">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属于投标人须知正文第9.2条情形的；</w:t>
      </w:r>
    </w:p>
    <w:p w14:paraId="16B1A981">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法律、法规和招标文件规定的其他无效情形。</w:t>
      </w:r>
    </w:p>
    <w:p w14:paraId="38C08072">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14:paraId="4C0C734C">
      <w:pPr>
        <w:pStyle w:val="12"/>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（1）明显不满足招标文件要求的技术规格、安全、质量标准，或者与招标文件中标“▲”的技术需求发生负偏离的；</w:t>
      </w:r>
    </w:p>
    <w:p w14:paraId="14B01B4E">
      <w:pPr>
        <w:pStyle w:val="12"/>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（2）技术需求评审允许负偏离的条款数超过“投标人须知前附表”规定项数的；</w:t>
      </w:r>
    </w:p>
    <w:p w14:paraId="43143A01">
      <w:pPr>
        <w:pStyle w:val="12"/>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（3）投标文件未提供“投标人须知前附表”第13.1条规定中“必须提供”的文件资料的；</w:t>
      </w:r>
    </w:p>
    <w:p w14:paraId="7A021AD1">
      <w:pPr>
        <w:pStyle w:val="12"/>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（4）虚假投标，或者出现其他情形而导致被评标委员会认定无效的；</w:t>
      </w:r>
    </w:p>
    <w:p w14:paraId="3DCBB7B1">
      <w:pPr>
        <w:pStyle w:val="12"/>
        <w:snapToGrid w:val="0"/>
        <w:spacing w:line="400" w:lineRule="exact"/>
        <w:ind w:firstLine="422" w:firstLineChars="175"/>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rPr>
        <w:t>（5）投标技术方案不明确，招标文件未允许但存在一个或者一个以上备选（替代）投标方案的。</w:t>
      </w:r>
    </w:p>
    <w:p w14:paraId="4B52CD34">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3.澄清补正</w:t>
      </w:r>
    </w:p>
    <w:p w14:paraId="42971DC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3A5F407A">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4.投标文件修正</w:t>
      </w:r>
    </w:p>
    <w:p w14:paraId="73395D96">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4.1投标文件报价出现前后不一致的，按照下列规定修正： </w:t>
      </w:r>
    </w:p>
    <w:p w14:paraId="7AC83874">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14:paraId="6E2AA8CF">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759AF1FA">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5441E97F">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7FA799B4">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同时出现两种以上不一致的，按照以上（1）-（4）规定的顺序修正。修正后的报价经投标人确认后产生约束力，投标人不确认的，</w:t>
      </w:r>
      <w:r>
        <w:rPr>
          <w:rFonts w:hint="eastAsia" w:hAnsi="宋体" w:cs="宋体"/>
          <w:b/>
          <w:color w:val="auto"/>
          <w:kern w:val="2"/>
          <w:sz w:val="24"/>
          <w:szCs w:val="24"/>
          <w:highlight w:val="none"/>
        </w:rPr>
        <w:t>其投标无效</w:t>
      </w:r>
      <w:r>
        <w:rPr>
          <w:rFonts w:hint="eastAsia" w:hAnsi="宋体" w:cs="宋体"/>
          <w:color w:val="auto"/>
          <w:sz w:val="24"/>
          <w:szCs w:val="24"/>
          <w:highlight w:val="none"/>
        </w:rPr>
        <w:t>。</w:t>
      </w:r>
    </w:p>
    <w:p w14:paraId="5BC09629">
      <w:pPr>
        <w:pStyle w:val="8"/>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4.2经投标人确认修正后的报价若超过采购预算金额或者最高限价，</w:t>
      </w:r>
      <w:r>
        <w:rPr>
          <w:rFonts w:hint="eastAsia" w:ascii="宋体" w:hAnsi="宋体" w:cs="宋体"/>
          <w:color w:val="auto"/>
          <w:sz w:val="24"/>
          <w:highlight w:val="none"/>
        </w:rPr>
        <w:t>投标人的投标文件作无效投标处理</w:t>
      </w:r>
      <w:r>
        <w:rPr>
          <w:rFonts w:hint="eastAsia" w:ascii="宋体" w:hAnsi="宋体" w:cs="宋体"/>
          <w:b w:val="0"/>
          <w:color w:val="auto"/>
          <w:sz w:val="24"/>
          <w:highlight w:val="none"/>
        </w:rPr>
        <w:t>。</w:t>
      </w:r>
    </w:p>
    <w:p w14:paraId="064D81D5">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4.3经投标人确认修正后的报价作为签订合同的依据，并以此报价计算价格分。</w:t>
      </w:r>
    </w:p>
    <w:p w14:paraId="667A812C">
      <w:pPr>
        <w:pStyle w:val="8"/>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5.比较与评价</w:t>
      </w:r>
    </w:p>
    <w:p w14:paraId="04BA690D">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（1）评标委员会按照招标文件中规定的评标方法和评标标准，对符合性审查合格的投标文件进行商务和技术评估，综合比较与评价。</w:t>
      </w:r>
    </w:p>
    <w:p w14:paraId="7E5CD90F">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（2）评标委员会独立对每个投标人的投标文件进行评价，并汇总每个投标人的得分。</w:t>
      </w:r>
    </w:p>
    <w:p w14:paraId="4AFFFD46">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cs="宋体"/>
          <w:b/>
          <w:color w:val="auto"/>
          <w:kern w:val="2"/>
          <w:sz w:val="24"/>
          <w:szCs w:val="24"/>
          <w:highlight w:val="none"/>
        </w:rPr>
        <w:t>评标委员会将其作为无效投标处理</w:t>
      </w:r>
      <w:r>
        <w:rPr>
          <w:rFonts w:hint="eastAsia" w:hAnsi="宋体" w:cs="宋体"/>
          <w:color w:val="auto"/>
          <w:sz w:val="24"/>
          <w:szCs w:val="24"/>
          <w:highlight w:val="none"/>
        </w:rPr>
        <w:t>。</w:t>
      </w:r>
    </w:p>
    <w:p w14:paraId="59A444C3">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（3）评标委员会按照招标文件中规定的评标方法和标准计算各投标人的报价得分。在计算过程中，不得去掉最高报价或者最低报价。</w:t>
      </w:r>
    </w:p>
    <w:p w14:paraId="0DEEE0FB">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（4）各投标人的得分为所有评委的有效评分的算术平均数。</w:t>
      </w:r>
    </w:p>
    <w:p w14:paraId="2039C57E">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（5）评标委员会按照招标文件中的规定推荐中标候选人。</w:t>
      </w:r>
    </w:p>
    <w:p w14:paraId="635A311D">
      <w:pPr>
        <w:pStyle w:val="14"/>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61B042C">
      <w:pPr>
        <w:pStyle w:val="14"/>
        <w:snapToGrid w:val="0"/>
        <w:spacing w:line="400" w:lineRule="exact"/>
        <w:ind w:firstLine="420"/>
        <w:rPr>
          <w:rFonts w:hint="eastAsia" w:hAnsi="宋体" w:cs="宋体"/>
          <w:color w:val="auto"/>
          <w:sz w:val="24"/>
          <w:szCs w:val="24"/>
          <w:highlight w:val="none"/>
        </w:rPr>
      </w:pPr>
    </w:p>
    <w:p w14:paraId="257BCF46">
      <w:pPr>
        <w:pStyle w:val="5"/>
        <w:keepNext w:val="0"/>
        <w:keepLines w:val="0"/>
        <w:snapToGrid w:val="0"/>
        <w:spacing w:before="0" w:after="0" w:line="400" w:lineRule="exact"/>
        <w:jc w:val="center"/>
        <w:rPr>
          <w:rFonts w:hint="eastAsia" w:ascii="宋体" w:hAnsi="宋体" w:cs="宋体"/>
          <w:color w:val="auto"/>
          <w:sz w:val="24"/>
          <w:szCs w:val="24"/>
          <w:highlight w:val="none"/>
        </w:rPr>
      </w:pPr>
      <w:bookmarkStart w:id="104" w:name="_Toc12172"/>
      <w:bookmarkStart w:id="105" w:name="_Toc30608"/>
      <w:bookmarkStart w:id="106" w:name="_Toc3146"/>
      <w:r>
        <w:rPr>
          <w:rFonts w:hint="eastAsia" w:ascii="宋体" w:hAnsi="宋体" w:cs="宋体"/>
          <w:color w:val="auto"/>
          <w:sz w:val="24"/>
          <w:szCs w:val="24"/>
          <w:highlight w:val="none"/>
        </w:rPr>
        <w:t>三、评标标准</w:t>
      </w:r>
      <w:bookmarkEnd w:id="104"/>
      <w:bookmarkEnd w:id="105"/>
      <w:bookmarkEnd w:id="106"/>
    </w:p>
    <w:p w14:paraId="19CB6841">
      <w:pPr>
        <w:pStyle w:val="14"/>
        <w:snapToGrid w:val="0"/>
        <w:spacing w:line="400" w:lineRule="exact"/>
        <w:ind w:firstLine="420"/>
        <w:rPr>
          <w:rFonts w:hint="eastAsia" w:hAnsi="宋体" w:cs="宋体"/>
          <w:bCs/>
          <w:color w:val="auto"/>
          <w:sz w:val="24"/>
          <w:szCs w:val="24"/>
          <w:highlight w:val="none"/>
        </w:rPr>
      </w:pPr>
      <w:r>
        <w:rPr>
          <w:rFonts w:hint="eastAsia" w:hAnsi="宋体" w:cs="宋体"/>
          <w:bCs/>
          <w:color w:val="auto"/>
          <w:sz w:val="24"/>
          <w:szCs w:val="24"/>
          <w:highlight w:val="none"/>
        </w:rPr>
        <w:t>对进入详评的，采用百分制综合评分法。</w:t>
      </w:r>
    </w:p>
    <w:p w14:paraId="2B6B4574">
      <w:pPr>
        <w:pStyle w:val="7"/>
        <w:rPr>
          <w:color w:val="auto"/>
          <w:highlight w:val="none"/>
        </w:rPr>
      </w:pPr>
      <w:r>
        <w:rPr>
          <w:rFonts w:hint="eastAsia"/>
          <w:color w:val="auto"/>
          <w:highlight w:val="none"/>
        </w:rPr>
        <w:t>标项一评标标准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20"/>
        <w:gridCol w:w="6071"/>
      </w:tblGrid>
      <w:tr w14:paraId="52E0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4D5443B0">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序号</w:t>
            </w:r>
          </w:p>
        </w:tc>
        <w:tc>
          <w:tcPr>
            <w:tcW w:w="1520" w:type="dxa"/>
            <w:vAlign w:val="center"/>
          </w:tcPr>
          <w:p w14:paraId="34B59AE5">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评审因素</w:t>
            </w:r>
          </w:p>
        </w:tc>
        <w:tc>
          <w:tcPr>
            <w:tcW w:w="6071" w:type="dxa"/>
            <w:vAlign w:val="center"/>
          </w:tcPr>
          <w:p w14:paraId="36040282">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评标标准</w:t>
            </w:r>
          </w:p>
        </w:tc>
      </w:tr>
      <w:tr w14:paraId="2B9C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25" w:type="dxa"/>
            <w:vAlign w:val="center"/>
          </w:tcPr>
          <w:p w14:paraId="1C17D2DD">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1</w:t>
            </w:r>
          </w:p>
        </w:tc>
        <w:tc>
          <w:tcPr>
            <w:tcW w:w="1320" w:type="dxa"/>
            <w:vAlign w:val="center"/>
          </w:tcPr>
          <w:p w14:paraId="590124FA">
            <w:pPr>
              <w:adjustRightInd w:val="0"/>
              <w:snapToGrid w:val="0"/>
              <w:spacing w:line="400" w:lineRule="exact"/>
              <w:jc w:val="center"/>
              <w:textAlignment w:val="baseline"/>
              <w:rPr>
                <w:rFonts w:hint="eastAsia" w:ascii="宋体" w:hAnsi="宋体" w:cs="宋体"/>
                <w:b/>
                <w:bCs/>
                <w:color w:val="auto"/>
                <w:sz w:val="24"/>
                <w:highlight w:val="none"/>
              </w:rPr>
            </w:pPr>
            <w:r>
              <w:rPr>
                <w:rFonts w:hint="eastAsia" w:ascii="宋体" w:hAnsi="宋体" w:cs="宋体"/>
                <w:b/>
                <w:color w:val="auto"/>
                <w:sz w:val="24"/>
                <w:highlight w:val="none"/>
              </w:rPr>
              <w:t>价格分</w:t>
            </w:r>
            <w:r>
              <w:rPr>
                <w:rFonts w:hint="eastAsia" w:ascii="宋体" w:hAnsi="宋体" w:cs="宋体"/>
                <w:b/>
                <w:bCs/>
                <w:color w:val="auto"/>
                <w:sz w:val="24"/>
                <w:highlight w:val="none"/>
              </w:rPr>
              <w:t>（满分</w:t>
            </w:r>
            <w:r>
              <w:rPr>
                <w:rFonts w:hint="eastAsia" w:ascii="宋体" w:hAnsi="宋体" w:cs="宋体"/>
                <w:b/>
                <w:bCs/>
                <w:color w:val="auto"/>
                <w:sz w:val="24"/>
                <w:highlight w:val="none"/>
                <w:u w:val="single"/>
              </w:rPr>
              <w:t>30</w:t>
            </w:r>
            <w:r>
              <w:rPr>
                <w:rFonts w:hint="eastAsia" w:ascii="宋体" w:hAnsi="宋体" w:cs="宋体"/>
                <w:b/>
                <w:bCs/>
                <w:color w:val="auto"/>
                <w:sz w:val="24"/>
                <w:highlight w:val="none"/>
              </w:rPr>
              <w:t>分）</w:t>
            </w:r>
          </w:p>
          <w:p w14:paraId="1BF4699B">
            <w:pPr>
              <w:adjustRightInd w:val="0"/>
              <w:snapToGrid w:val="0"/>
              <w:spacing w:line="400" w:lineRule="exact"/>
              <w:jc w:val="left"/>
              <w:textAlignment w:val="baseline"/>
              <w:rPr>
                <w:rFonts w:hint="eastAsia" w:ascii="宋体" w:hAnsi="宋体" w:cs="宋体"/>
                <w:color w:val="auto"/>
                <w:sz w:val="24"/>
                <w:highlight w:val="none"/>
              </w:rPr>
            </w:pPr>
          </w:p>
        </w:tc>
        <w:tc>
          <w:tcPr>
            <w:tcW w:w="1520" w:type="dxa"/>
            <w:vAlign w:val="center"/>
          </w:tcPr>
          <w:p w14:paraId="0A843089">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投标报价</w:t>
            </w:r>
          </w:p>
        </w:tc>
        <w:tc>
          <w:tcPr>
            <w:tcW w:w="6071" w:type="dxa"/>
            <w:vAlign w:val="center"/>
          </w:tcPr>
          <w:p w14:paraId="0C46A75A">
            <w:pPr>
              <w:snapToGrid w:val="0"/>
              <w:spacing w:line="42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（1）评标报价为投标人的投标报价进行政策性扣除后的价格，评标报价只是作为评标时使用。最终中标人的中标金额等于投标报价。</w:t>
            </w:r>
          </w:p>
          <w:p w14:paraId="0D8EE849">
            <w:pPr>
              <w:snapToGrid w:val="0"/>
              <w:spacing w:line="42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按照《政府采购促进中小企业发展管理办法》（财库〔2020〕46号）的规定，投标人为小型和微型企业，并在其投标文件中提供《中小企业声明函》，且其</w:t>
            </w:r>
            <w:r>
              <w:rPr>
                <w:rFonts w:hint="eastAsia" w:ascii="宋体" w:hAnsi="宋体" w:cs="宋体"/>
                <w:color w:val="auto"/>
                <w:kern w:val="0"/>
                <w:sz w:val="24"/>
                <w:highlight w:val="none"/>
              </w:rPr>
              <w:t>服务全部由符合政策要求的小微企业承接</w:t>
            </w:r>
            <w:r>
              <w:rPr>
                <w:rFonts w:hint="eastAsia" w:ascii="宋体" w:hAnsi="宋体" w:cs="宋体"/>
                <w:color w:val="auto"/>
                <w:sz w:val="24"/>
                <w:highlight w:val="none"/>
              </w:rPr>
              <w:t>，对其投标价格给予20%的扣除。</w:t>
            </w:r>
          </w:p>
          <w:p w14:paraId="3E720206">
            <w:pPr>
              <w:snapToGrid w:val="0"/>
              <w:spacing w:line="42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 w:val="24"/>
                <w:highlight w:val="none"/>
              </w:rPr>
              <w:t>不重复享受政策。</w:t>
            </w:r>
          </w:p>
          <w:p w14:paraId="36C4814A">
            <w:pPr>
              <w:snapToGrid w:val="0"/>
              <w:spacing w:line="42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rPr>
              <w:t>（4）按照</w:t>
            </w:r>
            <w:r>
              <w:rPr>
                <w:rFonts w:hint="eastAsia" w:ascii="宋体" w:hAnsi="宋体" w:cs="宋体"/>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 w:val="24"/>
                <w:highlight w:val="none"/>
              </w:rPr>
              <w:t>残疾人福利性单位参加政府采购活动时，应当提供该通知规定的《残疾人福利性单位声明函》，并对声明的真实性负责。</w:t>
            </w:r>
            <w:r>
              <w:rPr>
                <w:rFonts w:hint="eastAsia" w:ascii="宋体" w:hAnsi="宋体" w:cs="宋体"/>
                <w:bCs/>
                <w:color w:val="auto"/>
                <w:sz w:val="24"/>
                <w:highlight w:val="none"/>
              </w:rPr>
              <w:t>残疾人福利性单位属于小型、微型企业的，不重复享受政策。</w:t>
            </w:r>
          </w:p>
          <w:p w14:paraId="2BA0B6F2">
            <w:pPr>
              <w:snapToGrid w:val="0"/>
              <w:spacing w:line="42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（5）政策性扣除计算方法。</w:t>
            </w:r>
          </w:p>
          <w:p w14:paraId="4F972B31">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bCs/>
                <w:color w:val="auto"/>
                <w:sz w:val="24"/>
                <w:highlight w:val="none"/>
              </w:rPr>
              <w:t>在服务采购项目中，投标人</w:t>
            </w:r>
            <w:r>
              <w:rPr>
                <w:rFonts w:hint="eastAsia" w:ascii="宋体" w:hAnsi="宋体" w:cs="宋体"/>
                <w:color w:val="auto"/>
                <w:sz w:val="24"/>
                <w:highlight w:val="none"/>
              </w:rPr>
              <w:t>被评定为</w:t>
            </w:r>
            <w:r>
              <w:rPr>
                <w:rFonts w:hint="eastAsia" w:ascii="宋体" w:hAnsi="宋体" w:cs="宋体"/>
                <w:bCs/>
                <w:color w:val="auto"/>
                <w:sz w:val="24"/>
                <w:highlight w:val="none"/>
              </w:rPr>
              <w:t>监狱企业或者残疾人福利性单位或者</w:t>
            </w:r>
            <w:r>
              <w:rPr>
                <w:rFonts w:hint="eastAsia" w:ascii="宋体" w:hAnsi="宋体" w:cs="宋体"/>
                <w:color w:val="auto"/>
                <w:sz w:val="24"/>
                <w:highlight w:val="none"/>
              </w:rPr>
              <w:t>小型和微型企业的，</w:t>
            </w:r>
            <w:r>
              <w:rPr>
                <w:rFonts w:hint="eastAsia" w:ascii="宋体" w:hAnsi="宋体" w:cs="宋体"/>
                <w:bCs/>
                <w:color w:val="auto"/>
                <w:sz w:val="24"/>
                <w:highlight w:val="none"/>
              </w:rPr>
              <w:t>该投标人的投标报价</w:t>
            </w:r>
            <w:r>
              <w:rPr>
                <w:rFonts w:hint="eastAsia" w:ascii="宋体" w:hAnsi="宋体" w:cs="宋体"/>
                <w:color w:val="auto"/>
                <w:sz w:val="24"/>
                <w:highlight w:val="none"/>
              </w:rPr>
              <w:t>给予20%的扣除</w:t>
            </w:r>
            <w:r>
              <w:rPr>
                <w:rFonts w:hint="eastAsia" w:ascii="宋体" w:hAnsi="宋体" w:cs="宋体"/>
                <w:bCs/>
                <w:color w:val="auto"/>
                <w:sz w:val="24"/>
                <w:highlight w:val="none"/>
              </w:rPr>
              <w:t>，</w:t>
            </w:r>
            <w:r>
              <w:rPr>
                <w:rFonts w:hint="eastAsia" w:ascii="宋体" w:hAnsi="宋体" w:cs="宋体"/>
                <w:color w:val="auto"/>
                <w:sz w:val="24"/>
                <w:highlight w:val="none"/>
              </w:rPr>
              <w:t>扣除后的价格为评标报价，即评标报价=投标报价×（1-20%）；大中型企业和其他自然人、法人或者其他组织与小型、微型企业组成联合体投标，且联合体协议中约定小型、微型企业的协议合同金额占到联合体协议合同总金额30%以上的，联合体投标价给予</w:t>
            </w:r>
            <w:r>
              <w:rPr>
                <w:rFonts w:hint="eastAsia" w:ascii="宋体" w:hAnsi="宋体" w:cs="宋体"/>
                <w:color w:val="auto"/>
                <w:sz w:val="24"/>
                <w:highlight w:val="none"/>
                <w:u w:val="single"/>
              </w:rPr>
              <w:t xml:space="preserve"> 6 </w:t>
            </w:r>
            <w:r>
              <w:rPr>
                <w:rFonts w:hint="eastAsia" w:ascii="宋体" w:hAnsi="宋体" w:cs="宋体"/>
                <w:color w:val="auto"/>
                <w:sz w:val="24"/>
                <w:highlight w:val="none"/>
              </w:rPr>
              <w:t>%的扣除，扣除后的价格为评标价，即评标报价=投标报价×（1-</w:t>
            </w:r>
            <w:r>
              <w:rPr>
                <w:rFonts w:hint="eastAsia" w:ascii="宋体" w:hAnsi="宋体" w:cs="宋体"/>
                <w:color w:val="auto"/>
                <w:sz w:val="24"/>
                <w:highlight w:val="none"/>
                <w:u w:val="single"/>
              </w:rPr>
              <w:t xml:space="preserve"> 6 </w:t>
            </w:r>
            <w:r>
              <w:rPr>
                <w:rFonts w:hint="eastAsia" w:ascii="宋体" w:hAnsi="宋体" w:cs="宋体"/>
                <w:color w:val="auto"/>
                <w:sz w:val="24"/>
                <w:highlight w:val="none"/>
              </w:rPr>
              <w:t>%）；除上述情况外，评标报价=投标报价。</w:t>
            </w:r>
          </w:p>
          <w:p w14:paraId="7560E95D">
            <w:pPr>
              <w:snapToGrid w:val="0"/>
              <w:spacing w:line="42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（6）满足招标文件要求且评标报价最低的评标报价为评标基准价，基准价报价得分为30分。</w:t>
            </w:r>
          </w:p>
          <w:p w14:paraId="21E58A93">
            <w:pPr>
              <w:snapToGrid w:val="0"/>
              <w:spacing w:line="42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（7）价格分计算公式：</w:t>
            </w:r>
          </w:p>
          <w:p w14:paraId="7E01F18E">
            <w:pPr>
              <w:pStyle w:val="14"/>
              <w:snapToGrid w:val="0"/>
              <w:spacing w:line="380" w:lineRule="exact"/>
              <w:ind w:firstLine="420" w:firstLineChars="175"/>
              <w:rPr>
                <w:color w:val="auto"/>
                <w:highlight w:val="none"/>
              </w:rPr>
            </w:pPr>
            <w:r>
              <w:rPr>
                <w:rFonts w:hint="eastAsia" w:hAnsi="宋体" w:cs="宋体"/>
                <w:bCs/>
                <w:color w:val="auto"/>
                <w:kern w:val="2"/>
                <w:sz w:val="24"/>
                <w:szCs w:val="24"/>
                <w:highlight w:val="none"/>
              </w:rPr>
              <w:t>某投标人价格分=【评标基准价/某投标人有效评标报价】×30分</w:t>
            </w:r>
          </w:p>
        </w:tc>
      </w:tr>
      <w:tr w14:paraId="7105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366D3D26">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2</w:t>
            </w:r>
          </w:p>
        </w:tc>
        <w:tc>
          <w:tcPr>
            <w:tcW w:w="1320" w:type="dxa"/>
            <w:vMerge w:val="restart"/>
            <w:vAlign w:val="center"/>
          </w:tcPr>
          <w:p w14:paraId="17CFB612">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技术分（</w:t>
            </w:r>
            <w:r>
              <w:rPr>
                <w:rFonts w:hint="eastAsia" w:ascii="宋体" w:hAnsi="宋体" w:cs="宋体"/>
                <w:b/>
                <w:color w:val="auto"/>
                <w:sz w:val="24"/>
                <w:highlight w:val="none"/>
              </w:rPr>
              <w:t>满分</w:t>
            </w:r>
            <w:r>
              <w:rPr>
                <w:rFonts w:hint="eastAsia" w:ascii="宋体" w:hAnsi="宋体" w:cs="宋体"/>
                <w:b/>
                <w:color w:val="auto"/>
                <w:sz w:val="24"/>
                <w:highlight w:val="none"/>
                <w:u w:val="single"/>
              </w:rPr>
              <w:t>6</w:t>
            </w:r>
            <w:r>
              <w:rPr>
                <w:rFonts w:hint="eastAsia" w:ascii="宋体" w:hAnsi="宋体" w:cs="宋体"/>
                <w:b/>
                <w:color w:val="auto"/>
                <w:sz w:val="24"/>
                <w:highlight w:val="none"/>
                <w:u w:val="single"/>
                <w:lang w:val="en-US" w:eastAsia="zh-CN"/>
              </w:rPr>
              <w:t>8</w:t>
            </w:r>
            <w:r>
              <w:rPr>
                <w:rFonts w:hint="eastAsia" w:ascii="宋体" w:hAnsi="宋体" w:cs="宋体"/>
                <w:b/>
                <w:bCs/>
                <w:color w:val="auto"/>
                <w:sz w:val="24"/>
                <w:highlight w:val="none"/>
              </w:rPr>
              <w:t>分）</w:t>
            </w:r>
          </w:p>
        </w:tc>
        <w:tc>
          <w:tcPr>
            <w:tcW w:w="1520" w:type="dxa"/>
            <w:tcMar>
              <w:left w:w="57" w:type="dxa"/>
              <w:right w:w="57" w:type="dxa"/>
            </w:tcMar>
            <w:vAlign w:val="center"/>
          </w:tcPr>
          <w:p w14:paraId="16888D29">
            <w:pPr>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设备性能分（满分23分）</w:t>
            </w:r>
          </w:p>
        </w:tc>
        <w:tc>
          <w:tcPr>
            <w:tcW w:w="6071" w:type="dxa"/>
            <w:vAlign w:val="center"/>
          </w:tcPr>
          <w:p w14:paraId="111BCAE2">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招标文件《采购需求表》中带“★”的主要技术参数及性能都能按要求提供佐证材料（提供国家认可的第三方权威机构出具的检测报告复印件并加盖生产企业的公章），每提供一项的得1分，满分23分（不能提供佐证材料的不得分）。</w:t>
            </w:r>
          </w:p>
          <w:p w14:paraId="0F9C0F5A">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说明：标注“★”的内容在投标文件中逐点应答出检测（验）报告具体位置，采购人有权要求中标人签订合同前提供检测（验）报告原件进行审查。</w:t>
            </w:r>
          </w:p>
        </w:tc>
      </w:tr>
      <w:tr w14:paraId="40BE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3A264082">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vAlign w:val="center"/>
          </w:tcPr>
          <w:p w14:paraId="68858BB3">
            <w:pPr>
              <w:adjustRightInd w:val="0"/>
              <w:snapToGrid w:val="0"/>
              <w:spacing w:line="400" w:lineRule="exact"/>
              <w:ind w:left="-105" w:leftChars="-50" w:right="-105" w:rightChars="-50"/>
              <w:jc w:val="center"/>
              <w:textAlignment w:val="baseline"/>
              <w:rPr>
                <w:rFonts w:hint="eastAsia" w:ascii="宋体" w:hAnsi="宋体" w:cs="宋体"/>
                <w:b/>
                <w:color w:val="auto"/>
                <w:spacing w:val="-18"/>
                <w:sz w:val="24"/>
                <w:highlight w:val="none"/>
              </w:rPr>
            </w:pPr>
          </w:p>
        </w:tc>
        <w:tc>
          <w:tcPr>
            <w:tcW w:w="1520" w:type="dxa"/>
            <w:tcMar>
              <w:left w:w="57" w:type="dxa"/>
              <w:right w:w="57" w:type="dxa"/>
            </w:tcMar>
            <w:vAlign w:val="center"/>
          </w:tcPr>
          <w:p w14:paraId="664D2F03">
            <w:pPr>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技术服务方案</w:t>
            </w:r>
          </w:p>
          <w:p w14:paraId="3A116FE4">
            <w:pPr>
              <w:snapToGrid w:val="0"/>
              <w:spacing w:line="420" w:lineRule="exact"/>
              <w:jc w:val="center"/>
              <w:rPr>
                <w:rFonts w:hint="eastAsia" w:ascii="宋体" w:hAnsi="宋体" w:cs="宋体"/>
                <w:color w:val="auto"/>
                <w:sz w:val="24"/>
                <w:highlight w:val="none"/>
              </w:rPr>
            </w:pPr>
            <w:r>
              <w:rPr>
                <w:rFonts w:hint="eastAsia" w:ascii="宋体" w:hAnsi="宋体" w:cs="宋体"/>
                <w:bCs/>
                <w:color w:val="auto"/>
                <w:sz w:val="24"/>
                <w:highlight w:val="none"/>
              </w:rPr>
              <w:t>（满分15分）</w:t>
            </w:r>
          </w:p>
        </w:tc>
        <w:tc>
          <w:tcPr>
            <w:tcW w:w="6071" w:type="dxa"/>
            <w:vAlign w:val="center"/>
          </w:tcPr>
          <w:p w14:paraId="49FE4396">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投标文件中未提供技术服务方案的得0分。</w:t>
            </w:r>
          </w:p>
          <w:p w14:paraId="3A73AF74">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一档（5分）：提供的项目技术设计方案描述简单，基本满足项目要求；</w:t>
            </w:r>
          </w:p>
          <w:p w14:paraId="031EC671">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二档（10分）：清晰描述需求分析，设计方案合理，组网方案采用的技术成熟先进。</w:t>
            </w:r>
          </w:p>
          <w:p w14:paraId="4EAF9399">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三档（15分）：方案在满足二、三档的前提下，清晰描述项目总体架构、对项目现状有清晰认识，保证项目质量的技术力量及技术措施、保证交付使用期的组织方案及人力资源安排，办公线路网络平稳过渡，实现现有办公线路不中断24小时正常使用的，在技术方案阐述说明清楚。</w:t>
            </w:r>
          </w:p>
        </w:tc>
      </w:tr>
      <w:tr w14:paraId="189E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5" w:type="dxa"/>
            <w:vMerge w:val="continue"/>
            <w:vAlign w:val="center"/>
          </w:tcPr>
          <w:p w14:paraId="5C60BE64">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vAlign w:val="center"/>
          </w:tcPr>
          <w:p w14:paraId="0674D6DA">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tcMar>
              <w:left w:w="57" w:type="dxa"/>
              <w:right w:w="57" w:type="dxa"/>
            </w:tcMar>
            <w:vAlign w:val="center"/>
          </w:tcPr>
          <w:p w14:paraId="4B63187A">
            <w:pPr>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实施方案</w:t>
            </w:r>
          </w:p>
          <w:p w14:paraId="33AECB66">
            <w:pPr>
              <w:snapToGrid w:val="0"/>
              <w:spacing w:line="420" w:lineRule="exact"/>
              <w:jc w:val="center"/>
              <w:rPr>
                <w:rFonts w:hint="eastAsia" w:ascii="宋体" w:hAnsi="宋体" w:cs="宋体"/>
                <w:color w:val="auto"/>
                <w:sz w:val="24"/>
                <w:highlight w:val="none"/>
              </w:rPr>
            </w:pPr>
            <w:r>
              <w:rPr>
                <w:rFonts w:hint="eastAsia" w:ascii="宋体" w:hAnsi="宋体" w:cs="宋体"/>
                <w:bCs/>
                <w:color w:val="auto"/>
                <w:sz w:val="24"/>
                <w:highlight w:val="none"/>
              </w:rPr>
              <w:t>（满分15分）</w:t>
            </w:r>
          </w:p>
        </w:tc>
        <w:tc>
          <w:tcPr>
            <w:tcW w:w="6071" w:type="dxa"/>
            <w:vAlign w:val="center"/>
          </w:tcPr>
          <w:p w14:paraId="53BDE20B">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投标文件中未提供实施方案的得0分。</w:t>
            </w:r>
          </w:p>
          <w:p w14:paraId="36959F9B">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一档（5分）：供应商提供的方案内容简单，满足基本要求。</w:t>
            </w:r>
          </w:p>
          <w:p w14:paraId="2518CE75">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二档（10分）：供应商提供的方案内容具体，相对完整，施工标准规范，满足项目施工要求；主要负责建设的项目实施团队不少于5人，其中工程师（网络、通信、计算机等相关专业）≥2人。</w:t>
            </w:r>
          </w:p>
          <w:p w14:paraId="43B52D7A">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三档（15分）：供应商提供的方案完整详实，有明确的项目组织实施管理机构，详细的产品供货组织计划，详细的施工进度计划，详细的人员安排计划，项目实施团队不少于8人，其中工程师（网络、通信、计算机等相关专业）≥3人，高级工程师（网络、通信、计算机等相关专业）资格人员≥1人。</w:t>
            </w:r>
          </w:p>
        </w:tc>
      </w:tr>
      <w:tr w14:paraId="5F6A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157CC7D3">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vAlign w:val="center"/>
          </w:tcPr>
          <w:p w14:paraId="6F0AA7EA">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tcMar>
              <w:left w:w="57" w:type="dxa"/>
              <w:right w:w="57" w:type="dxa"/>
            </w:tcMar>
            <w:vAlign w:val="center"/>
          </w:tcPr>
          <w:p w14:paraId="06D8BA0B">
            <w:pPr>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售后服务方案</w:t>
            </w:r>
          </w:p>
          <w:p w14:paraId="4365D930">
            <w:pPr>
              <w:snapToGrid w:val="0"/>
              <w:spacing w:line="420" w:lineRule="exact"/>
              <w:jc w:val="center"/>
              <w:rPr>
                <w:rFonts w:hint="eastAsia" w:ascii="宋体" w:hAnsi="宋体" w:cs="宋体"/>
                <w:color w:val="auto"/>
                <w:sz w:val="24"/>
                <w:highlight w:val="none"/>
              </w:rPr>
            </w:pPr>
            <w:r>
              <w:rPr>
                <w:rFonts w:hint="eastAsia" w:ascii="宋体" w:hAnsi="宋体" w:cs="宋体"/>
                <w:bCs/>
                <w:color w:val="auto"/>
                <w:sz w:val="24"/>
                <w:highlight w:val="none"/>
              </w:rPr>
              <w:t>（满分15分）</w:t>
            </w:r>
          </w:p>
        </w:tc>
        <w:tc>
          <w:tcPr>
            <w:tcW w:w="6071" w:type="dxa"/>
            <w:vAlign w:val="center"/>
          </w:tcPr>
          <w:p w14:paraId="3549F22F">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投标文件中未提供售后服务方案的得0分。</w:t>
            </w:r>
          </w:p>
          <w:p w14:paraId="70DCD68E">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一档（5分）：提供有服务方案，方案包含有项目售后维护和应急保障方案，方案一般；</w:t>
            </w:r>
          </w:p>
          <w:p w14:paraId="631FEB7D">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二档（10分）：有完善的售后服务体系，售后服务方案有明确故障恢复的时限承诺；项目售后服务团队不少于3人，其中工程师（网络、通信、计算机等相关专业）≥1人；方案中人员配备、投入构成情况满足应急保障服务要求；</w:t>
            </w:r>
          </w:p>
          <w:p w14:paraId="5A99F572">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三档（15分）：提供项目售后服务方案，满足售后服务要求；提供故障处理流程、维护保障流程及组织架构，提供每年的巡检服务，出具详细巡检报告；项目售后服务团队不少于5人，其中工程师≥2人（网络、通信、计算机等相关专业）；人员配备、投入构成情况满足应急保障服务要求。</w:t>
            </w:r>
          </w:p>
        </w:tc>
      </w:tr>
      <w:tr w14:paraId="7385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022F3161">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3</w:t>
            </w:r>
          </w:p>
        </w:tc>
        <w:tc>
          <w:tcPr>
            <w:tcW w:w="1320" w:type="dxa"/>
            <w:vMerge w:val="restart"/>
            <w:vAlign w:val="center"/>
          </w:tcPr>
          <w:p w14:paraId="67860418">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商务分</w:t>
            </w:r>
          </w:p>
          <w:p w14:paraId="1B57ECDB">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（满分2分）</w:t>
            </w:r>
          </w:p>
        </w:tc>
        <w:tc>
          <w:tcPr>
            <w:tcW w:w="1520" w:type="dxa"/>
            <w:tcMar>
              <w:left w:w="57" w:type="dxa"/>
              <w:right w:w="57" w:type="dxa"/>
            </w:tcMar>
            <w:vAlign w:val="center"/>
          </w:tcPr>
          <w:p w14:paraId="172659C3">
            <w:pPr>
              <w:snapToGrid w:val="0"/>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业绩分</w:t>
            </w:r>
          </w:p>
          <w:p w14:paraId="354E5D44">
            <w:pPr>
              <w:snapToGrid w:val="0"/>
              <w:spacing w:line="420" w:lineRule="exact"/>
              <w:jc w:val="center"/>
              <w:rPr>
                <w:rFonts w:hint="eastAsia" w:ascii="宋体" w:hAnsi="宋体" w:cs="宋体"/>
                <w:color w:val="auto"/>
                <w:sz w:val="24"/>
                <w:highlight w:val="none"/>
              </w:rPr>
            </w:pPr>
            <w:r>
              <w:rPr>
                <w:rFonts w:hint="eastAsia" w:ascii="宋体" w:hAnsi="宋体" w:cs="宋体"/>
                <w:bCs/>
                <w:color w:val="auto"/>
                <w:sz w:val="24"/>
                <w:highlight w:val="none"/>
              </w:rPr>
              <w:t>（满分1分）</w:t>
            </w:r>
          </w:p>
        </w:tc>
        <w:tc>
          <w:tcPr>
            <w:tcW w:w="6071" w:type="dxa"/>
            <w:vAlign w:val="center"/>
          </w:tcPr>
          <w:p w14:paraId="1A5CC1DD">
            <w:pPr>
              <w:snapToGrid w:val="0"/>
              <w:spacing w:line="42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供</w:t>
            </w:r>
            <w:r>
              <w:rPr>
                <w:rFonts w:hint="eastAsia" w:ascii="宋体" w:hAnsi="宋体" w:cs="宋体"/>
                <w:color w:val="auto"/>
                <w:kern w:val="0"/>
                <w:sz w:val="24"/>
                <w:highlight w:val="none"/>
              </w:rPr>
              <w:t>应商2022年1月1日起至今承接的同类业绩（承接时间以签订合同时间为准），提供合同扫描件并加盖供应商电子CA公章，每有一项得1分，满分为1分。</w:t>
            </w:r>
          </w:p>
        </w:tc>
      </w:tr>
      <w:tr w14:paraId="0E9F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73AFA5D0">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vAlign w:val="center"/>
          </w:tcPr>
          <w:p w14:paraId="3479058A">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tcMar>
              <w:left w:w="57" w:type="dxa"/>
              <w:right w:w="57" w:type="dxa"/>
            </w:tcMar>
            <w:vAlign w:val="center"/>
          </w:tcPr>
          <w:p w14:paraId="21D6450B">
            <w:pPr>
              <w:snapToGrid w:val="0"/>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政策分</w:t>
            </w:r>
          </w:p>
          <w:p w14:paraId="34237C88">
            <w:pPr>
              <w:snapToGrid w:val="0"/>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（满分1分）</w:t>
            </w:r>
          </w:p>
        </w:tc>
        <w:tc>
          <w:tcPr>
            <w:tcW w:w="6071" w:type="dxa"/>
            <w:vAlign w:val="center"/>
          </w:tcPr>
          <w:p w14:paraId="506D3676">
            <w:pPr>
              <w:pStyle w:val="14"/>
              <w:snapToGrid w:val="0"/>
              <w:spacing w:line="42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（1）投标人提供的产品列入财政部、生态环境部制定和公布《环境标志产品政府采购品目清单》（以处于有效期之内的环境标志产品认证证书复印件计分），每有一项得0.5分，满分0.5分；</w:t>
            </w:r>
          </w:p>
          <w:p w14:paraId="08CF2A88">
            <w:pPr>
              <w:pStyle w:val="14"/>
              <w:snapToGrid w:val="0"/>
              <w:spacing w:line="42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属于财政部《节能产品政府采购品目清单》内优先采购（政府强制采购节能产品除外）的产品[投标文件中提供有效的认证证书复印件及品目清单（标注投标产品在清单所属的品目），并加盖公章]，每有一项得0.5分，满分0.5分。</w:t>
            </w:r>
          </w:p>
        </w:tc>
      </w:tr>
    </w:tbl>
    <w:p w14:paraId="121FAA6A">
      <w:pPr>
        <w:pStyle w:val="14"/>
        <w:tabs>
          <w:tab w:val="left" w:pos="4214"/>
        </w:tabs>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得分相同的，以投标报价由低到高顺序排列；得分相同且投标报价相同，由采购人确定排名；排名第一的为中标候选人；排名第一的中标候选供应商放弃中标、因不可抗力提出不能履行合同，或者采购文件规定应当提交履约保证金而在规定的期限内未能提交的，采购人可以确定排名第二的中标候选供应商为中标供应商。</w:t>
      </w:r>
    </w:p>
    <w:p w14:paraId="63D95F79">
      <w:pPr>
        <w:rPr>
          <w:rFonts w:hint="eastAsia" w:hAnsi="宋体" w:cs="宋体"/>
          <w:b/>
          <w:bCs/>
          <w:color w:val="auto"/>
          <w:highlight w:val="none"/>
        </w:rPr>
      </w:pPr>
      <w:r>
        <w:rPr>
          <w:rFonts w:hint="eastAsia" w:hAnsi="宋体" w:cs="宋体"/>
          <w:b/>
          <w:bCs/>
          <w:color w:val="auto"/>
          <w:highlight w:val="none"/>
        </w:rPr>
        <w:br w:type="page"/>
      </w:r>
    </w:p>
    <w:p w14:paraId="2530A34A">
      <w:pPr>
        <w:pStyle w:val="7"/>
        <w:rPr>
          <w:color w:val="auto"/>
          <w:highlight w:val="none"/>
        </w:rPr>
      </w:pPr>
      <w:r>
        <w:rPr>
          <w:rFonts w:hint="eastAsia"/>
          <w:color w:val="auto"/>
          <w:highlight w:val="none"/>
        </w:rPr>
        <w:t>标项二评标标准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20"/>
        <w:gridCol w:w="6071"/>
      </w:tblGrid>
      <w:tr w14:paraId="7B69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55F50ACC">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序号</w:t>
            </w:r>
          </w:p>
        </w:tc>
        <w:tc>
          <w:tcPr>
            <w:tcW w:w="1520" w:type="dxa"/>
            <w:vAlign w:val="center"/>
          </w:tcPr>
          <w:p w14:paraId="34AC27CD">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评审因素</w:t>
            </w:r>
          </w:p>
        </w:tc>
        <w:tc>
          <w:tcPr>
            <w:tcW w:w="6071" w:type="dxa"/>
            <w:vAlign w:val="center"/>
          </w:tcPr>
          <w:p w14:paraId="4B7FA855">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评标标准</w:t>
            </w:r>
          </w:p>
        </w:tc>
      </w:tr>
      <w:tr w14:paraId="1721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25" w:type="dxa"/>
            <w:vAlign w:val="center"/>
          </w:tcPr>
          <w:p w14:paraId="1D906F4E">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1</w:t>
            </w:r>
          </w:p>
        </w:tc>
        <w:tc>
          <w:tcPr>
            <w:tcW w:w="1320" w:type="dxa"/>
            <w:vAlign w:val="center"/>
          </w:tcPr>
          <w:p w14:paraId="490AB576">
            <w:pPr>
              <w:adjustRightInd w:val="0"/>
              <w:snapToGrid w:val="0"/>
              <w:spacing w:line="400" w:lineRule="exact"/>
              <w:jc w:val="center"/>
              <w:textAlignment w:val="baseline"/>
              <w:rPr>
                <w:rFonts w:hint="eastAsia" w:ascii="宋体" w:hAnsi="宋体" w:cs="宋体"/>
                <w:b/>
                <w:bCs/>
                <w:color w:val="auto"/>
                <w:sz w:val="24"/>
                <w:highlight w:val="none"/>
              </w:rPr>
            </w:pPr>
            <w:r>
              <w:rPr>
                <w:rFonts w:hint="eastAsia" w:ascii="宋体" w:hAnsi="宋体" w:cs="宋体"/>
                <w:b/>
                <w:color w:val="auto"/>
                <w:sz w:val="24"/>
                <w:highlight w:val="none"/>
              </w:rPr>
              <w:t>价格分</w:t>
            </w:r>
            <w:r>
              <w:rPr>
                <w:rFonts w:hint="eastAsia" w:ascii="宋体" w:hAnsi="宋体" w:cs="宋体"/>
                <w:b/>
                <w:bCs/>
                <w:color w:val="auto"/>
                <w:sz w:val="24"/>
                <w:highlight w:val="none"/>
              </w:rPr>
              <w:t>（满分</w:t>
            </w:r>
            <w:r>
              <w:rPr>
                <w:rFonts w:hint="eastAsia" w:ascii="宋体" w:hAnsi="宋体" w:cs="宋体"/>
                <w:b/>
                <w:bCs/>
                <w:color w:val="auto"/>
                <w:sz w:val="24"/>
                <w:highlight w:val="none"/>
                <w:u w:val="single"/>
              </w:rPr>
              <w:t>30</w:t>
            </w:r>
            <w:r>
              <w:rPr>
                <w:rFonts w:hint="eastAsia" w:ascii="宋体" w:hAnsi="宋体" w:cs="宋体"/>
                <w:b/>
                <w:bCs/>
                <w:color w:val="auto"/>
                <w:sz w:val="24"/>
                <w:highlight w:val="none"/>
              </w:rPr>
              <w:t>分）</w:t>
            </w:r>
          </w:p>
          <w:p w14:paraId="3AE05D90">
            <w:pPr>
              <w:adjustRightInd w:val="0"/>
              <w:snapToGrid w:val="0"/>
              <w:spacing w:line="400" w:lineRule="exact"/>
              <w:jc w:val="left"/>
              <w:textAlignment w:val="baseline"/>
              <w:rPr>
                <w:rFonts w:hint="eastAsia" w:ascii="宋体" w:hAnsi="宋体" w:cs="宋体"/>
                <w:color w:val="auto"/>
                <w:sz w:val="24"/>
                <w:highlight w:val="none"/>
              </w:rPr>
            </w:pPr>
          </w:p>
        </w:tc>
        <w:tc>
          <w:tcPr>
            <w:tcW w:w="1520" w:type="dxa"/>
            <w:vAlign w:val="center"/>
          </w:tcPr>
          <w:p w14:paraId="4C723427">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投标报价</w:t>
            </w:r>
          </w:p>
        </w:tc>
        <w:tc>
          <w:tcPr>
            <w:tcW w:w="6071" w:type="dxa"/>
            <w:vAlign w:val="center"/>
          </w:tcPr>
          <w:p w14:paraId="5447AA0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1.满足招标文件要求且投标价格最低的投标报价为评标基准价，其投标人的报价分为最高分30分；</w:t>
            </w:r>
          </w:p>
          <w:p w14:paraId="5C5219D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2.其他投标人的报价得分按以下公式计算：</w:t>
            </w:r>
          </w:p>
          <w:p w14:paraId="54B73F4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报价得分=（评标基准价／某投标人投标报价）×30分。</w:t>
            </w:r>
          </w:p>
          <w:p w14:paraId="15025FC8">
            <w:pPr>
              <w:pStyle w:val="14"/>
              <w:snapToGrid w:val="0"/>
              <w:spacing w:line="360" w:lineRule="auto"/>
              <w:ind w:firstLine="422" w:firstLineChars="175"/>
              <w:rPr>
                <w:color w:val="auto"/>
                <w:highlight w:val="none"/>
              </w:rPr>
            </w:pPr>
            <w:r>
              <w:rPr>
                <w:rFonts w:hint="eastAsia" w:hAnsi="宋体" w:cs="宋体"/>
                <w:b/>
                <w:bCs/>
                <w:color w:val="auto"/>
                <w:sz w:val="24"/>
                <w:szCs w:val="24"/>
                <w:highlight w:val="none"/>
              </w:rPr>
              <w:t>注：专门面向中小企业采购的项目或者采购包，不再执行价格评审优惠的扶持政策。</w:t>
            </w:r>
          </w:p>
        </w:tc>
      </w:tr>
      <w:tr w14:paraId="0C4A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6FCF14E0">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2</w:t>
            </w:r>
          </w:p>
        </w:tc>
        <w:tc>
          <w:tcPr>
            <w:tcW w:w="1320" w:type="dxa"/>
            <w:vMerge w:val="restart"/>
            <w:vAlign w:val="center"/>
          </w:tcPr>
          <w:p w14:paraId="7660B7AE">
            <w:pPr>
              <w:adjustRightInd w:val="0"/>
              <w:snapToGrid w:val="0"/>
              <w:spacing w:line="400" w:lineRule="exact"/>
              <w:ind w:left="-105" w:leftChars="-50" w:right="-105" w:rightChars="-50"/>
              <w:jc w:val="center"/>
              <w:textAlignment w:val="baseline"/>
              <w:rPr>
                <w:rFonts w:hint="eastAsia" w:ascii="宋体" w:hAnsi="宋体" w:cs="宋体"/>
                <w:b/>
                <w:color w:val="auto"/>
                <w:spacing w:val="-18"/>
                <w:sz w:val="24"/>
                <w:highlight w:val="none"/>
              </w:rPr>
            </w:pPr>
            <w:r>
              <w:rPr>
                <w:rFonts w:hint="eastAsia" w:ascii="宋体" w:hAnsi="宋体" w:cs="宋体"/>
                <w:b/>
                <w:bCs/>
                <w:color w:val="auto"/>
                <w:sz w:val="24"/>
                <w:highlight w:val="none"/>
              </w:rPr>
              <w:t>技术分（</w:t>
            </w:r>
            <w:r>
              <w:rPr>
                <w:rFonts w:hint="eastAsia" w:ascii="宋体" w:hAnsi="宋体" w:cs="宋体"/>
                <w:b/>
                <w:color w:val="auto"/>
                <w:sz w:val="24"/>
                <w:highlight w:val="none"/>
              </w:rPr>
              <w:t>满分</w:t>
            </w:r>
            <w:r>
              <w:rPr>
                <w:rFonts w:hint="eastAsia" w:ascii="宋体" w:hAnsi="宋体" w:cs="宋体"/>
                <w:b/>
                <w:color w:val="auto"/>
                <w:sz w:val="24"/>
                <w:highlight w:val="none"/>
                <w:u w:val="single"/>
              </w:rPr>
              <w:t>6</w:t>
            </w:r>
            <w:r>
              <w:rPr>
                <w:rFonts w:hint="eastAsia" w:ascii="宋体" w:hAnsi="宋体" w:cs="宋体"/>
                <w:b/>
                <w:color w:val="auto"/>
                <w:sz w:val="24"/>
                <w:highlight w:val="none"/>
                <w:u w:val="single"/>
                <w:lang w:val="en-US" w:eastAsia="zh-CN"/>
              </w:rPr>
              <w:t>3</w:t>
            </w:r>
            <w:r>
              <w:rPr>
                <w:rFonts w:hint="eastAsia" w:ascii="宋体" w:hAnsi="宋体" w:cs="宋体"/>
                <w:b/>
                <w:bCs/>
                <w:color w:val="auto"/>
                <w:sz w:val="24"/>
                <w:highlight w:val="none"/>
              </w:rPr>
              <w:t>分）</w:t>
            </w:r>
          </w:p>
        </w:tc>
        <w:tc>
          <w:tcPr>
            <w:tcW w:w="1520" w:type="dxa"/>
            <w:tcMar>
              <w:left w:w="57" w:type="dxa"/>
              <w:right w:w="57" w:type="dxa"/>
            </w:tcMar>
            <w:vAlign w:val="center"/>
          </w:tcPr>
          <w:p w14:paraId="77737409">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项目实施方案</w:t>
            </w:r>
          </w:p>
          <w:p w14:paraId="233777C8">
            <w:pPr>
              <w:spacing w:line="360" w:lineRule="auto"/>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（满分21分</w:t>
            </w:r>
            <w:r>
              <w:rPr>
                <w:rFonts w:hint="eastAsia" w:ascii="宋体" w:hAnsi="宋体" w:cs="宋体"/>
                <w:b/>
                <w:bCs/>
                <w:color w:val="auto"/>
                <w:sz w:val="24"/>
                <w:highlight w:val="none"/>
                <w:lang w:eastAsia="zh-CN"/>
              </w:rPr>
              <w:t>）</w:t>
            </w:r>
          </w:p>
        </w:tc>
        <w:tc>
          <w:tcPr>
            <w:tcW w:w="6071" w:type="dxa"/>
            <w:vAlign w:val="center"/>
          </w:tcPr>
          <w:p w14:paraId="21FAE689">
            <w:pPr>
              <w:spacing w:before="25" w:after="25"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一档（7分）：</w:t>
            </w:r>
            <w:r>
              <w:rPr>
                <w:rFonts w:hint="eastAsia" w:ascii="宋体" w:hAnsi="宋体" w:cs="宋体"/>
                <w:color w:val="auto"/>
                <w:sz w:val="24"/>
                <w:highlight w:val="none"/>
              </w:rPr>
              <w:t>项目实施进度安排合理，送货人员、运输工具、供货组织能力能满足本项目需求，安装调试验收方案内容基本可行。</w:t>
            </w:r>
          </w:p>
          <w:p w14:paraId="316AD60F">
            <w:pPr>
              <w:widowControl/>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二档（14分）：</w:t>
            </w:r>
            <w:r>
              <w:rPr>
                <w:rFonts w:hint="eastAsia" w:ascii="宋体" w:hAnsi="宋体" w:cs="宋体"/>
                <w:color w:val="auto"/>
                <w:sz w:val="24"/>
                <w:highlight w:val="none"/>
              </w:rPr>
              <w:t>在满足一档基础上，项目实施方案较详细，有项目实施过程中的风险应对措施，应急预案，项目实施人员安排合理，配送方案合理，有较详细的安装和安全保证措施方案。</w:t>
            </w:r>
          </w:p>
          <w:p w14:paraId="6AA2D171">
            <w:pPr>
              <w:spacing w:before="25" w:after="25"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三档（21分）：</w:t>
            </w:r>
            <w:r>
              <w:rPr>
                <w:rFonts w:hint="eastAsia" w:ascii="宋体" w:hAnsi="宋体" w:cs="宋体"/>
                <w:color w:val="auto"/>
                <w:sz w:val="24"/>
                <w:highlight w:val="none"/>
              </w:rPr>
              <w:t>在满足二档基础上，项目实施方案完整可行，配套有货物存放仓库、项目实施的技术力量和人力资源安排充足且提供有真实可靠保证，具备突发计划外供货需求的应对能力，大件家具需要紧急搬运重组需求的应对能力，承诺紧急服务时限，提供具体详细的进度计划实施控制保证方案，安装、调试、验收方法或方案切实可行且针对性强。</w:t>
            </w:r>
          </w:p>
          <w:p w14:paraId="0349CDA5">
            <w:pPr>
              <w:widowControl/>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注：1.该方案内容可以包括：（1）供货组织；（2）进度保障；（3）送货人员；（4）配送方案；(5)安装调试验收方案等内容。</w:t>
            </w:r>
          </w:p>
          <w:p w14:paraId="4162F481">
            <w:pPr>
              <w:widowControl/>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2.未提供以上方案或提供的内容与本项目无关的得0分。</w:t>
            </w:r>
          </w:p>
        </w:tc>
      </w:tr>
      <w:tr w14:paraId="7636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2D235056">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vAlign w:val="center"/>
          </w:tcPr>
          <w:p w14:paraId="3ECDB21C">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tcMar>
              <w:left w:w="57" w:type="dxa"/>
              <w:right w:w="57" w:type="dxa"/>
            </w:tcMar>
            <w:vAlign w:val="center"/>
          </w:tcPr>
          <w:p w14:paraId="74369EDB">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生产能力和质量保障能力方案</w:t>
            </w:r>
          </w:p>
          <w:p w14:paraId="6E792AB9">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（满分21分</w:t>
            </w:r>
            <w:r>
              <w:rPr>
                <w:rFonts w:hint="eastAsia" w:ascii="宋体" w:hAnsi="宋体" w:cs="宋体"/>
                <w:b/>
                <w:bCs/>
                <w:color w:val="auto"/>
                <w:sz w:val="24"/>
                <w:highlight w:val="none"/>
                <w:lang w:eastAsia="zh-CN"/>
              </w:rPr>
              <w:t>）</w:t>
            </w:r>
          </w:p>
        </w:tc>
        <w:tc>
          <w:tcPr>
            <w:tcW w:w="6071" w:type="dxa"/>
            <w:vAlign w:val="center"/>
          </w:tcPr>
          <w:p w14:paraId="3968DC17">
            <w:pPr>
              <w:widowControl/>
              <w:tabs>
                <w:tab w:val="left" w:pos="312"/>
              </w:tabs>
              <w:spacing w:line="360" w:lineRule="auto"/>
              <w:ind w:firstLine="482" w:firstLineChars="200"/>
              <w:rPr>
                <w:rFonts w:hint="eastAsia" w:ascii="宋体" w:hAnsi="宋体" w:cs="宋体"/>
                <w:color w:val="auto"/>
                <w:kern w:val="0"/>
                <w:sz w:val="24"/>
                <w:highlight w:val="none"/>
              </w:rPr>
            </w:pPr>
            <w:r>
              <w:rPr>
                <w:rFonts w:hint="eastAsia" w:ascii="宋体" w:hAnsi="宋体" w:cs="宋体"/>
                <w:b/>
                <w:bCs/>
                <w:color w:val="auto"/>
                <w:sz w:val="24"/>
                <w:highlight w:val="none"/>
              </w:rPr>
              <w:t>一档</w:t>
            </w:r>
            <w:r>
              <w:rPr>
                <w:rFonts w:hint="eastAsia" w:ascii="宋体" w:hAnsi="宋体" w:cs="宋体"/>
                <w:b/>
                <w:bCs/>
                <w:color w:val="auto"/>
                <w:kern w:val="0"/>
                <w:sz w:val="24"/>
                <w:highlight w:val="none"/>
              </w:rPr>
              <w:t>（7分）：</w:t>
            </w:r>
            <w:r>
              <w:rPr>
                <w:rFonts w:hint="eastAsia" w:ascii="宋体" w:hAnsi="宋体" w:cs="宋体"/>
                <w:color w:val="auto"/>
                <w:kern w:val="0"/>
                <w:sz w:val="24"/>
                <w:highlight w:val="none"/>
              </w:rPr>
              <w:t>投标人或投标产品生产厂家产品生产保障措施简单，有简单的质量管控措施，工厂生产设备能满足本项目产品的生产要求。</w:t>
            </w:r>
          </w:p>
          <w:p w14:paraId="06D032F4">
            <w:pPr>
              <w:widowControl/>
              <w:tabs>
                <w:tab w:val="left" w:pos="312"/>
              </w:tabs>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二档（14分）：</w:t>
            </w:r>
            <w:r>
              <w:rPr>
                <w:rFonts w:hint="eastAsia" w:ascii="宋体" w:hAnsi="宋体" w:cs="宋体"/>
                <w:color w:val="auto"/>
                <w:sz w:val="24"/>
                <w:highlight w:val="none"/>
              </w:rPr>
              <w:t xml:space="preserve">在满足一档基础上，投标人或投标产品生产厂家产品生产保障措施较完整，有生产过程对环境保护措施、生产设备性能及功能描述、产品生产工艺流程等方案。 </w:t>
            </w:r>
          </w:p>
          <w:p w14:paraId="7C3F70E3">
            <w:pPr>
              <w:widowControl/>
              <w:tabs>
                <w:tab w:val="left" w:pos="312"/>
              </w:tabs>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三档</w:t>
            </w:r>
            <w:r>
              <w:rPr>
                <w:rFonts w:hint="eastAsia" w:ascii="宋体" w:hAnsi="宋体" w:cs="宋体"/>
                <w:b/>
                <w:bCs/>
                <w:color w:val="auto"/>
                <w:kern w:val="0"/>
                <w:sz w:val="24"/>
                <w:highlight w:val="none"/>
              </w:rPr>
              <w:t>（21分）：</w:t>
            </w:r>
            <w:r>
              <w:rPr>
                <w:rFonts w:hint="eastAsia" w:ascii="宋体" w:hAnsi="宋体" w:cs="宋体"/>
                <w:color w:val="auto"/>
                <w:sz w:val="24"/>
                <w:highlight w:val="none"/>
              </w:rPr>
              <w:t>在满足二档基础上</w:t>
            </w:r>
            <w:r>
              <w:rPr>
                <w:rFonts w:hint="eastAsia" w:ascii="宋体" w:hAnsi="宋体" w:cs="宋体"/>
                <w:color w:val="auto"/>
                <w:kern w:val="0"/>
                <w:sz w:val="24"/>
                <w:highlight w:val="none"/>
              </w:rPr>
              <w:t>，投标人或投标产品生产厂家产品生产保障措施详细可行，有原材料质量保障措施、质量管理体系完善健全等方案，方案可有利保障所投产品的生产质量</w:t>
            </w:r>
            <w:r>
              <w:rPr>
                <w:rFonts w:hint="eastAsia" w:ascii="宋体" w:hAnsi="宋体" w:cs="宋体"/>
                <w:color w:val="auto"/>
                <w:sz w:val="24"/>
                <w:highlight w:val="none"/>
              </w:rPr>
              <w:t xml:space="preserve">。  </w:t>
            </w:r>
          </w:p>
          <w:p w14:paraId="28DAA1C9">
            <w:pPr>
              <w:widowControl/>
              <w:tabs>
                <w:tab w:val="left" w:pos="312"/>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注：1.该方案内容可包括：（1）投标人或生产厂家生产场地情况；（2）主要设备；（3）生产管理；（4）质量管理体系等内容。</w:t>
            </w:r>
          </w:p>
          <w:p w14:paraId="667D7675">
            <w:pPr>
              <w:widowControl/>
              <w:tabs>
                <w:tab w:val="left" w:pos="312"/>
              </w:tabs>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2.未提供以上方案或提供的内容与本项目无关的得0分。</w:t>
            </w:r>
          </w:p>
        </w:tc>
      </w:tr>
      <w:tr w14:paraId="65B2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1BB0D1BC">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vAlign w:val="center"/>
          </w:tcPr>
          <w:p w14:paraId="696AEA98">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tcMar>
              <w:left w:w="57" w:type="dxa"/>
              <w:right w:w="57" w:type="dxa"/>
            </w:tcMar>
            <w:vAlign w:val="center"/>
          </w:tcPr>
          <w:p w14:paraId="45B6A621">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售后服务方案</w:t>
            </w:r>
          </w:p>
          <w:p w14:paraId="0B1022D2">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（满分21分</w:t>
            </w:r>
            <w:r>
              <w:rPr>
                <w:rFonts w:hint="eastAsia" w:ascii="宋体" w:hAnsi="宋体" w:cs="宋体"/>
                <w:b/>
                <w:bCs/>
                <w:color w:val="auto"/>
                <w:sz w:val="24"/>
                <w:highlight w:val="none"/>
                <w:lang w:eastAsia="zh-CN"/>
              </w:rPr>
              <w:t>）</w:t>
            </w:r>
          </w:p>
        </w:tc>
        <w:tc>
          <w:tcPr>
            <w:tcW w:w="6071" w:type="dxa"/>
            <w:vAlign w:val="center"/>
          </w:tcPr>
          <w:p w14:paraId="05149C2C">
            <w:pPr>
              <w:pStyle w:val="35"/>
              <w:adjustRightInd w:val="0"/>
              <w:snapToGrid w:val="0"/>
              <w:spacing w:line="360" w:lineRule="auto"/>
              <w:ind w:firstLine="482" w:firstLineChars="200"/>
              <w:rPr>
                <w:rFonts w:hint="eastAsia"/>
                <w:color w:val="auto"/>
                <w:sz w:val="24"/>
                <w:szCs w:val="24"/>
                <w:highlight w:val="none"/>
              </w:rPr>
            </w:pPr>
            <w:r>
              <w:rPr>
                <w:rFonts w:hint="eastAsia"/>
                <w:b/>
                <w:bCs/>
                <w:color w:val="auto"/>
                <w:sz w:val="24"/>
                <w:szCs w:val="24"/>
                <w:highlight w:val="none"/>
                <w:lang w:eastAsia="zh-CN"/>
              </w:rPr>
              <w:t>一</w:t>
            </w:r>
            <w:r>
              <w:rPr>
                <w:rFonts w:hint="eastAsia"/>
                <w:b/>
                <w:bCs/>
                <w:color w:val="auto"/>
                <w:sz w:val="24"/>
                <w:szCs w:val="24"/>
                <w:highlight w:val="none"/>
              </w:rPr>
              <w:t>档（7分）：</w:t>
            </w:r>
            <w:r>
              <w:rPr>
                <w:rFonts w:hint="eastAsia"/>
                <w:color w:val="auto"/>
                <w:sz w:val="24"/>
                <w:szCs w:val="24"/>
                <w:highlight w:val="none"/>
              </w:rPr>
              <w:t>售后服务承诺书内容完整；货物解决损坏时间在6小时内，出现严重损坏解决方案可靠，定期维护方式方法合理，有完整的免费技术培训方案、保修期外维修方案；有售后服务能力措施。</w:t>
            </w:r>
          </w:p>
          <w:p w14:paraId="02B7FB36">
            <w:pPr>
              <w:pStyle w:val="35"/>
              <w:adjustRightInd w:val="0"/>
              <w:snapToGrid w:val="0"/>
              <w:spacing w:line="360" w:lineRule="auto"/>
              <w:ind w:firstLine="482" w:firstLineChars="200"/>
              <w:rPr>
                <w:rFonts w:hint="eastAsia"/>
                <w:color w:val="auto"/>
                <w:sz w:val="24"/>
                <w:szCs w:val="24"/>
                <w:highlight w:val="none"/>
              </w:rPr>
            </w:pPr>
            <w:r>
              <w:rPr>
                <w:rFonts w:hint="eastAsia"/>
                <w:b/>
                <w:bCs/>
                <w:color w:val="auto"/>
                <w:sz w:val="24"/>
                <w:szCs w:val="24"/>
                <w:highlight w:val="none"/>
                <w:lang w:eastAsia="zh-CN"/>
              </w:rPr>
              <w:t>二</w:t>
            </w:r>
            <w:r>
              <w:rPr>
                <w:rFonts w:hint="eastAsia"/>
                <w:b/>
                <w:bCs/>
                <w:color w:val="auto"/>
                <w:sz w:val="24"/>
                <w:szCs w:val="24"/>
                <w:highlight w:val="none"/>
              </w:rPr>
              <w:t>档（14分）：</w:t>
            </w:r>
            <w:r>
              <w:rPr>
                <w:rFonts w:hint="eastAsia"/>
                <w:color w:val="auto"/>
                <w:sz w:val="24"/>
                <w:szCs w:val="24"/>
                <w:highlight w:val="none"/>
              </w:rPr>
              <w:t>售后服务承诺书内容详细具体；货物损坏更换时间在4小时内，损坏出现解决方案可靠，定期维护方式方法合理，有完整的免费技术培训方案、保修期外维修方案；有完善的售后服务措施；对售后服务应急预案、其他优惠措施等方面都有描述，可操作性强。</w:t>
            </w:r>
          </w:p>
          <w:p w14:paraId="672CF512">
            <w:pPr>
              <w:pStyle w:val="35"/>
              <w:adjustRightInd w:val="0"/>
              <w:snapToGrid w:val="0"/>
              <w:spacing w:line="360" w:lineRule="auto"/>
              <w:ind w:firstLine="482" w:firstLineChars="200"/>
              <w:rPr>
                <w:rFonts w:hint="eastAsia"/>
                <w:color w:val="auto"/>
                <w:sz w:val="24"/>
                <w:szCs w:val="24"/>
                <w:highlight w:val="none"/>
              </w:rPr>
            </w:pPr>
            <w:r>
              <w:rPr>
                <w:rFonts w:hint="eastAsia"/>
                <w:b/>
                <w:bCs/>
                <w:color w:val="auto"/>
                <w:sz w:val="24"/>
                <w:szCs w:val="24"/>
                <w:highlight w:val="none"/>
                <w:lang w:eastAsia="zh-CN"/>
              </w:rPr>
              <w:t>三</w:t>
            </w:r>
            <w:r>
              <w:rPr>
                <w:rFonts w:hint="eastAsia"/>
                <w:b/>
                <w:bCs/>
                <w:color w:val="auto"/>
                <w:sz w:val="24"/>
                <w:szCs w:val="24"/>
                <w:highlight w:val="none"/>
              </w:rPr>
              <w:t>档（21分）：</w:t>
            </w:r>
            <w:r>
              <w:rPr>
                <w:rFonts w:hint="eastAsia"/>
                <w:color w:val="auto"/>
                <w:sz w:val="24"/>
                <w:szCs w:val="24"/>
                <w:highlight w:val="none"/>
              </w:rPr>
              <w:t>在满足二档前提下，货物损坏更换时间在2小时内，发生严重损坏随时有替代产品，有定期回访方案，有可靠的售后服务技术支持，详细的售后维护方式和售后保障能力，常用的、易损坏的备品备件及易损件配备的齐全，有完善预警、备件管理以及售后服务跟踪式服务措施等。</w:t>
            </w:r>
          </w:p>
          <w:p w14:paraId="42C2A50F">
            <w:pPr>
              <w:pStyle w:val="35"/>
              <w:adjustRightInd w:val="0"/>
              <w:snapToGrid w:val="0"/>
              <w:spacing w:line="360" w:lineRule="auto"/>
              <w:ind w:firstLine="482" w:firstLineChars="200"/>
              <w:rPr>
                <w:rFonts w:hint="eastAsia"/>
                <w:color w:val="auto"/>
                <w:sz w:val="24"/>
                <w:szCs w:val="24"/>
                <w:highlight w:val="none"/>
              </w:rPr>
            </w:pPr>
            <w:r>
              <w:rPr>
                <w:rFonts w:hint="eastAsia"/>
                <w:b/>
                <w:bCs/>
                <w:color w:val="auto"/>
                <w:sz w:val="24"/>
                <w:szCs w:val="24"/>
                <w:highlight w:val="none"/>
              </w:rPr>
              <w:t>注：1.该方案内容可包括：（1）售后服务承诺书；（2）到达损坏现场时间；（3）损坏出现解决方案；（4）免费技术培训方案；（5）保修期外维修方案；（6）售后服务措施；（7）售后服务专用车辆；（8）应急预案；（9）其他优惠措施等内容。</w:t>
            </w:r>
          </w:p>
          <w:p w14:paraId="4043020C">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2.未提供以上方案或提供的内容与本项目无关的得0分。</w:t>
            </w:r>
          </w:p>
        </w:tc>
      </w:tr>
      <w:tr w14:paraId="7DFE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525" w:type="dxa"/>
            <w:vMerge w:val="restart"/>
            <w:vAlign w:val="center"/>
          </w:tcPr>
          <w:p w14:paraId="0604C302">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3</w:t>
            </w:r>
          </w:p>
        </w:tc>
        <w:tc>
          <w:tcPr>
            <w:tcW w:w="1320" w:type="dxa"/>
            <w:vMerge w:val="restart"/>
            <w:vAlign w:val="center"/>
          </w:tcPr>
          <w:p w14:paraId="7FB9C8BD">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商务分</w:t>
            </w:r>
          </w:p>
          <w:p w14:paraId="1556F086">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（满分</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分）</w:t>
            </w:r>
          </w:p>
        </w:tc>
        <w:tc>
          <w:tcPr>
            <w:tcW w:w="1520" w:type="dxa"/>
            <w:tcMar>
              <w:left w:w="57" w:type="dxa"/>
              <w:right w:w="57" w:type="dxa"/>
            </w:tcMar>
            <w:vAlign w:val="center"/>
          </w:tcPr>
          <w:p w14:paraId="59F5DE1D">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体系认证</w:t>
            </w:r>
          </w:p>
          <w:p w14:paraId="5845785A">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（满分6分）</w:t>
            </w:r>
          </w:p>
        </w:tc>
        <w:tc>
          <w:tcPr>
            <w:tcW w:w="6071" w:type="dxa"/>
            <w:vAlign w:val="center"/>
          </w:tcPr>
          <w:p w14:paraId="1AEDFD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1.投标人或投标产品生产厂家具备有效的质量管理体系认证证书得2分，满分2分；  </w:t>
            </w:r>
          </w:p>
          <w:p w14:paraId="371937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2.投标人或投标产品生产厂家具备有效的职业健康安全管理体系认证证书得2分，满分2分；</w:t>
            </w:r>
          </w:p>
          <w:p w14:paraId="5D77B1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3.投标人或投标产品生产厂家具备有效的环境管理体系认证证书得2分，满分2分。</w:t>
            </w:r>
          </w:p>
          <w:p w14:paraId="7C26F7D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注：投标人提供证书材料并加盖投标人CA电子签章，否则不予计分。</w:t>
            </w:r>
          </w:p>
        </w:tc>
      </w:tr>
      <w:tr w14:paraId="019E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3292AA1E">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vAlign w:val="center"/>
          </w:tcPr>
          <w:p w14:paraId="3F94FF64">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tcMar>
              <w:left w:w="57" w:type="dxa"/>
              <w:right w:w="57" w:type="dxa"/>
            </w:tcMar>
            <w:vAlign w:val="center"/>
          </w:tcPr>
          <w:p w14:paraId="52166589">
            <w:pPr>
              <w:snapToGri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政策分</w:t>
            </w:r>
          </w:p>
          <w:p w14:paraId="40421A2D">
            <w:pPr>
              <w:snapToGri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（满分1分）</w:t>
            </w:r>
          </w:p>
        </w:tc>
        <w:tc>
          <w:tcPr>
            <w:tcW w:w="6071" w:type="dxa"/>
            <w:vAlign w:val="center"/>
          </w:tcPr>
          <w:p w14:paraId="42F30F48">
            <w:pPr>
              <w:pStyle w:val="14"/>
              <w:snapToGrid w:val="0"/>
              <w:spacing w:line="420" w:lineRule="exact"/>
              <w:ind w:firstLine="420" w:firstLineChars="175"/>
              <w:rPr>
                <w:rFonts w:hint="eastAsia" w:hAnsi="宋体" w:eastAsia="宋体" w:cs="宋体"/>
                <w:color w:val="auto"/>
                <w:sz w:val="24"/>
                <w:szCs w:val="24"/>
                <w:highlight w:val="none"/>
                <w:lang w:eastAsia="zh-CN"/>
              </w:rPr>
            </w:pPr>
            <w:r>
              <w:rPr>
                <w:rFonts w:hint="eastAsia" w:hAnsi="宋体" w:cs="宋体"/>
                <w:color w:val="auto"/>
                <w:sz w:val="24"/>
                <w:szCs w:val="24"/>
                <w:highlight w:val="none"/>
              </w:rPr>
              <w:t>投标人提供的产品列入财政部、生态环境部制定和公布《环境标志产品政府采购品目清单》（以处于有效期之内的环境标志产品认证证书复印件计分），每有一项得1分，满分1分</w:t>
            </w:r>
            <w:r>
              <w:rPr>
                <w:rFonts w:hint="eastAsia" w:hAnsi="宋体" w:cs="宋体"/>
                <w:color w:val="auto"/>
                <w:sz w:val="24"/>
                <w:szCs w:val="24"/>
                <w:highlight w:val="none"/>
                <w:lang w:eastAsia="zh-CN"/>
              </w:rPr>
              <w:t>。</w:t>
            </w:r>
          </w:p>
        </w:tc>
      </w:tr>
    </w:tbl>
    <w:p w14:paraId="29B11D21">
      <w:pPr>
        <w:pStyle w:val="14"/>
        <w:tabs>
          <w:tab w:val="left" w:pos="4214"/>
        </w:tabs>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得分相同的，以投标报价由低到高顺序排列；得分相同且投标报价相同，由采购人确定排名；排名第一的为中标候选人；排名第一的中标候选供应商放弃中标、因不可抗力提出不能履行合同，或者采购文件规定应当提交履约保证金而在规定的期限内未能提交的，采购人可以确定排名第二的中标候选供应商为中标供应商。</w:t>
      </w:r>
    </w:p>
    <w:p w14:paraId="0AB73C55">
      <w:pPr>
        <w:pStyle w:val="14"/>
        <w:snapToGrid w:val="0"/>
        <w:spacing w:before="320" w:after="350"/>
        <w:jc w:val="center"/>
        <w:outlineLvl w:val="0"/>
        <w:rPr>
          <w:rFonts w:hint="eastAsia" w:hAnsi="宋体" w:cs="宋体"/>
          <w:b/>
          <w:bCs/>
          <w:color w:val="auto"/>
          <w:highlight w:val="none"/>
        </w:rPr>
      </w:pPr>
    </w:p>
    <w:p w14:paraId="3292307B">
      <w:pPr>
        <w:pStyle w:val="14"/>
        <w:snapToGrid w:val="0"/>
        <w:spacing w:before="320" w:after="350"/>
        <w:jc w:val="center"/>
        <w:outlineLvl w:val="0"/>
        <w:rPr>
          <w:rFonts w:hint="eastAsia" w:hAnsi="宋体" w:cs="宋体"/>
          <w:b/>
          <w:bCs/>
          <w:color w:val="auto"/>
          <w:highlight w:val="none"/>
        </w:rPr>
      </w:pPr>
    </w:p>
    <w:p w14:paraId="2D5AA53B">
      <w:pPr>
        <w:pStyle w:val="14"/>
        <w:snapToGrid w:val="0"/>
        <w:spacing w:before="320" w:after="350"/>
        <w:jc w:val="center"/>
        <w:outlineLvl w:val="0"/>
        <w:rPr>
          <w:rFonts w:hint="eastAsia" w:hAnsi="宋体" w:cs="宋体"/>
          <w:b/>
          <w:bCs/>
          <w:color w:val="auto"/>
          <w:highlight w:val="none"/>
        </w:rPr>
      </w:pPr>
    </w:p>
    <w:p w14:paraId="09818FA8">
      <w:pPr>
        <w:pStyle w:val="14"/>
        <w:snapToGrid w:val="0"/>
        <w:spacing w:before="320" w:after="350"/>
        <w:jc w:val="center"/>
        <w:outlineLvl w:val="0"/>
        <w:rPr>
          <w:rFonts w:hint="eastAsia" w:hAnsi="宋体" w:cs="宋体"/>
          <w:b/>
          <w:color w:val="auto"/>
          <w:sz w:val="21"/>
          <w:highlight w:val="none"/>
        </w:rPr>
      </w:pPr>
      <w:r>
        <w:rPr>
          <w:rFonts w:hint="eastAsia" w:hAnsi="宋体" w:cs="宋体"/>
          <w:b/>
          <w:bCs/>
          <w:color w:val="auto"/>
          <w:highlight w:val="none"/>
        </w:rPr>
        <w:br w:type="page"/>
      </w:r>
      <w:bookmarkStart w:id="107" w:name="_Toc4765"/>
      <w:r>
        <w:rPr>
          <w:rFonts w:hint="eastAsia" w:hAnsi="宋体" w:cs="宋体"/>
          <w:b/>
          <w:bCs/>
          <w:color w:val="auto"/>
          <w:kern w:val="44"/>
          <w:sz w:val="36"/>
          <w:szCs w:val="36"/>
          <w:highlight w:val="none"/>
        </w:rPr>
        <w:t>第五章  合同主要条款格式</w:t>
      </w:r>
      <w:bookmarkEnd w:id="107"/>
      <w:bookmarkStart w:id="108" w:name="_Toc424143038"/>
    </w:p>
    <w:p w14:paraId="4A70D93D">
      <w:pPr>
        <w:pStyle w:val="14"/>
        <w:spacing w:line="340" w:lineRule="exact"/>
        <w:rPr>
          <w:rFonts w:hint="eastAsia" w:hAnsi="宋体" w:cs="宋体"/>
          <w:b/>
          <w:color w:val="auto"/>
          <w:sz w:val="21"/>
          <w:highlight w:val="none"/>
        </w:rPr>
      </w:pPr>
      <w:r>
        <w:rPr>
          <w:rFonts w:hint="eastAsia" w:hAnsi="宋体" w:cs="宋体"/>
          <w:b/>
          <w:color w:val="auto"/>
          <w:sz w:val="21"/>
          <w:highlight w:val="none"/>
        </w:rPr>
        <w:t>说明：</w:t>
      </w:r>
    </w:p>
    <w:p w14:paraId="664ADA0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1、以下合同书仅供签订正式合同时参考用，正式合同书应包括此参考格式之内容。</w:t>
      </w:r>
    </w:p>
    <w:p w14:paraId="609A3C9E">
      <w:pPr>
        <w:pStyle w:val="14"/>
        <w:spacing w:line="340" w:lineRule="exact"/>
        <w:rPr>
          <w:rFonts w:hint="eastAsia" w:hAnsi="宋体" w:cs="宋体"/>
          <w:b/>
          <w:color w:val="auto"/>
          <w:sz w:val="21"/>
          <w:highlight w:val="none"/>
        </w:rPr>
      </w:pPr>
      <w:r>
        <w:rPr>
          <w:rFonts w:hint="eastAsia" w:hAnsi="宋体" w:cs="宋体"/>
          <w:b/>
          <w:color w:val="auto"/>
          <w:sz w:val="21"/>
          <w:highlight w:val="none"/>
        </w:rPr>
        <w:t>2、合同签订双方可根据项目的具体要求进行修订，但合同条款不得与招标文件和中标供应商投标文件有实质性偏离。</w:t>
      </w:r>
    </w:p>
    <w:p w14:paraId="18145497">
      <w:pPr>
        <w:rPr>
          <w:rFonts w:hint="eastAsia" w:ascii="宋体" w:hAnsi="宋体" w:cs="宋体"/>
          <w:b/>
          <w:color w:val="auto"/>
          <w:highlight w:val="none"/>
        </w:rPr>
      </w:pPr>
    </w:p>
    <w:p w14:paraId="5EFDDA81">
      <w:pPr>
        <w:pStyle w:val="11"/>
        <w:jc w:val="center"/>
        <w:rPr>
          <w:rFonts w:hint="eastAsia" w:ascii="宋体" w:hAnsi="宋体" w:cs="宋体"/>
          <w:b/>
          <w:bCs/>
          <w:color w:val="auto"/>
          <w:sz w:val="32"/>
          <w:szCs w:val="32"/>
          <w:highlight w:val="none"/>
        </w:rPr>
      </w:pPr>
    </w:p>
    <w:bookmarkEnd w:id="108"/>
    <w:p w14:paraId="4BB462CD">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政府采购合同</w:t>
      </w:r>
    </w:p>
    <w:p w14:paraId="623F2771">
      <w:pPr>
        <w:snapToGrid w:val="0"/>
        <w:spacing w:line="400" w:lineRule="exact"/>
        <w:ind w:right="480"/>
        <w:jc w:val="right"/>
        <w:rPr>
          <w:rFonts w:hint="eastAsia" w:ascii="宋体" w:hAnsi="宋体" w:cs="宋体"/>
          <w:bCs/>
          <w:color w:val="auto"/>
          <w:sz w:val="24"/>
          <w:highlight w:val="none"/>
          <w:u w:val="single"/>
        </w:rPr>
      </w:pPr>
      <w:r>
        <w:rPr>
          <w:rFonts w:hint="eastAsia" w:ascii="宋体" w:hAnsi="宋体" w:cs="宋体"/>
          <w:bCs/>
          <w:color w:val="auto"/>
          <w:sz w:val="24"/>
          <w:highlight w:val="none"/>
        </w:rPr>
        <w:t>合同编号：</w:t>
      </w:r>
    </w:p>
    <w:p w14:paraId="2BD8F32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采购单位（甲方）</w:t>
      </w:r>
      <w:r>
        <w:rPr>
          <w:rFonts w:hint="eastAsia" w:ascii="宋体" w:hAnsi="宋体" w:cs="宋体"/>
          <w:color w:val="auto"/>
          <w:sz w:val="24"/>
          <w:highlight w:val="none"/>
          <w:u w:val="single"/>
        </w:rPr>
        <w:t xml:space="preserve">           </w:t>
      </w:r>
    </w:p>
    <w:p w14:paraId="3CF484C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供 应 商（乙方）</w:t>
      </w:r>
      <w:r>
        <w:rPr>
          <w:rFonts w:hint="eastAsia" w:ascii="宋体" w:hAnsi="宋体" w:cs="宋体"/>
          <w:color w:val="auto"/>
          <w:sz w:val="24"/>
          <w:highlight w:val="none"/>
          <w:u w:val="single"/>
        </w:rPr>
        <w:t xml:space="preserve">           </w:t>
      </w:r>
    </w:p>
    <w:p w14:paraId="0B973BFD">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采购计划书文号：</w:t>
      </w:r>
      <w:r>
        <w:rPr>
          <w:rFonts w:hint="eastAsia" w:ascii="宋体" w:hAnsi="宋体" w:cs="宋体"/>
          <w:color w:val="auto"/>
          <w:sz w:val="24"/>
          <w:highlight w:val="none"/>
          <w:u w:val="single"/>
        </w:rPr>
        <w:t xml:space="preserve">           </w:t>
      </w:r>
    </w:p>
    <w:p w14:paraId="43E4FD0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项目名称及编号：</w:t>
      </w:r>
      <w:r>
        <w:rPr>
          <w:rFonts w:hint="eastAsia" w:ascii="宋体" w:hAnsi="宋体" w:cs="宋体"/>
          <w:color w:val="auto"/>
          <w:sz w:val="24"/>
          <w:highlight w:val="none"/>
          <w:u w:val="single"/>
        </w:rPr>
        <w:t xml:space="preserve">           </w:t>
      </w:r>
    </w:p>
    <w:p w14:paraId="42CBBE2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签  订  地  点：</w:t>
      </w:r>
      <w:r>
        <w:rPr>
          <w:rFonts w:hint="eastAsia" w:ascii="宋体" w:hAnsi="宋体" w:cs="宋体"/>
          <w:color w:val="auto"/>
          <w:sz w:val="24"/>
          <w:highlight w:val="none"/>
          <w:u w:val="single"/>
        </w:rPr>
        <w:t xml:space="preserve">           </w:t>
      </w:r>
    </w:p>
    <w:p w14:paraId="1D4A9205">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签  订  时  间：</w:t>
      </w:r>
      <w:r>
        <w:rPr>
          <w:rFonts w:hint="eastAsia" w:ascii="宋体" w:hAnsi="宋体" w:cs="宋体"/>
          <w:color w:val="auto"/>
          <w:sz w:val="24"/>
          <w:highlight w:val="none"/>
          <w:u w:val="single"/>
        </w:rPr>
        <w:t xml:space="preserve">       年    月    日</w:t>
      </w:r>
    </w:p>
    <w:p w14:paraId="50D097F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根据《中华人民共和国民法典（合同编）》、《中华人民共和国政府采购法》等法律、法规及文件的规定，按照招投标文件规定条款和成交供应商承诺，在平等协商的基础上，甲乙双方签订本合同。</w:t>
      </w:r>
    </w:p>
    <w:p w14:paraId="6D62C9E0">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第一条　合同标的</w:t>
      </w:r>
    </w:p>
    <w:p w14:paraId="01E78CD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1、供货一览表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900"/>
        <w:gridCol w:w="2046"/>
        <w:gridCol w:w="1275"/>
        <w:gridCol w:w="1418"/>
        <w:gridCol w:w="1766"/>
      </w:tblGrid>
      <w:tr w14:paraId="14D2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B12CE54">
            <w:pPr>
              <w:snapToGrid w:val="0"/>
              <w:spacing w:line="400" w:lineRule="exact"/>
              <w:jc w:val="center"/>
              <w:rPr>
                <w:color w:val="auto"/>
                <w:sz w:val="24"/>
                <w:highlight w:val="none"/>
              </w:rPr>
            </w:pPr>
            <w:r>
              <w:rPr>
                <w:rFonts w:hint="eastAsia"/>
                <w:color w:val="auto"/>
                <w:sz w:val="24"/>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0B82252B">
            <w:pPr>
              <w:snapToGrid w:val="0"/>
              <w:spacing w:line="400" w:lineRule="exact"/>
              <w:jc w:val="center"/>
              <w:rPr>
                <w:color w:val="auto"/>
                <w:sz w:val="24"/>
                <w:highlight w:val="none"/>
              </w:rPr>
            </w:pPr>
            <w:r>
              <w:rPr>
                <w:rFonts w:hint="eastAsia"/>
                <w:color w:val="auto"/>
                <w:sz w:val="24"/>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14:paraId="1AD89307">
            <w:pPr>
              <w:snapToGrid w:val="0"/>
              <w:spacing w:line="400" w:lineRule="exact"/>
              <w:jc w:val="center"/>
              <w:rPr>
                <w:color w:val="auto"/>
                <w:sz w:val="24"/>
                <w:highlight w:val="none"/>
              </w:rPr>
            </w:pPr>
            <w:r>
              <w:rPr>
                <w:rFonts w:hint="eastAsia"/>
                <w:color w:val="auto"/>
                <w:sz w:val="24"/>
                <w:highlight w:val="none"/>
              </w:rPr>
              <w:t>数量①</w:t>
            </w:r>
          </w:p>
        </w:tc>
        <w:tc>
          <w:tcPr>
            <w:tcW w:w="2046" w:type="dxa"/>
            <w:tcBorders>
              <w:top w:val="single" w:color="auto" w:sz="4" w:space="0"/>
              <w:left w:val="single" w:color="auto" w:sz="4" w:space="0"/>
              <w:bottom w:val="single" w:color="auto" w:sz="4" w:space="0"/>
              <w:right w:val="single" w:color="auto" w:sz="4" w:space="0"/>
            </w:tcBorders>
            <w:vAlign w:val="center"/>
          </w:tcPr>
          <w:p w14:paraId="018D340F">
            <w:pPr>
              <w:snapToGrid w:val="0"/>
              <w:spacing w:line="400" w:lineRule="exact"/>
              <w:jc w:val="center"/>
              <w:rPr>
                <w:color w:val="auto"/>
                <w:sz w:val="24"/>
                <w:highlight w:val="none"/>
              </w:rPr>
            </w:pPr>
            <w:r>
              <w:rPr>
                <w:rFonts w:hint="eastAsia"/>
                <w:color w:val="auto"/>
                <w:sz w:val="24"/>
                <w:highlight w:val="none"/>
              </w:rPr>
              <w:t>货物全称、品牌、生产厂家及国别</w:t>
            </w:r>
          </w:p>
        </w:tc>
        <w:tc>
          <w:tcPr>
            <w:tcW w:w="1275" w:type="dxa"/>
            <w:tcBorders>
              <w:top w:val="single" w:color="auto" w:sz="4" w:space="0"/>
              <w:left w:val="single" w:color="auto" w:sz="4" w:space="0"/>
              <w:bottom w:val="single" w:color="auto" w:sz="4" w:space="0"/>
              <w:right w:val="single" w:color="auto" w:sz="4" w:space="0"/>
            </w:tcBorders>
            <w:vAlign w:val="center"/>
          </w:tcPr>
          <w:p w14:paraId="2112E5FD">
            <w:pPr>
              <w:snapToGrid w:val="0"/>
              <w:spacing w:line="400" w:lineRule="exact"/>
              <w:jc w:val="center"/>
              <w:rPr>
                <w:color w:val="auto"/>
                <w:sz w:val="24"/>
                <w:highlight w:val="none"/>
              </w:rPr>
            </w:pPr>
            <w:r>
              <w:rPr>
                <w:rFonts w:hint="eastAsia"/>
                <w:color w:val="auto"/>
                <w:sz w:val="24"/>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D0DD9C6">
            <w:pPr>
              <w:snapToGrid w:val="0"/>
              <w:spacing w:line="400" w:lineRule="exact"/>
              <w:jc w:val="center"/>
              <w:rPr>
                <w:color w:val="auto"/>
                <w:sz w:val="24"/>
                <w:highlight w:val="none"/>
              </w:rPr>
            </w:pPr>
            <w:r>
              <w:rPr>
                <w:rFonts w:hint="eastAsia"/>
                <w:color w:val="auto"/>
                <w:sz w:val="24"/>
                <w:highlight w:val="none"/>
              </w:rPr>
              <w:t>单价(元)②</w:t>
            </w:r>
          </w:p>
        </w:tc>
        <w:tc>
          <w:tcPr>
            <w:tcW w:w="1766" w:type="dxa"/>
            <w:tcBorders>
              <w:top w:val="single" w:color="auto" w:sz="4" w:space="0"/>
              <w:left w:val="single" w:color="auto" w:sz="4" w:space="0"/>
              <w:bottom w:val="single" w:color="auto" w:sz="4" w:space="0"/>
              <w:right w:val="single" w:color="auto" w:sz="4" w:space="0"/>
            </w:tcBorders>
            <w:vAlign w:val="center"/>
          </w:tcPr>
          <w:p w14:paraId="4768757B">
            <w:pPr>
              <w:snapToGrid w:val="0"/>
              <w:spacing w:line="400" w:lineRule="exact"/>
              <w:jc w:val="center"/>
              <w:rPr>
                <w:color w:val="auto"/>
                <w:sz w:val="24"/>
                <w:highlight w:val="none"/>
              </w:rPr>
            </w:pPr>
            <w:r>
              <w:rPr>
                <w:rFonts w:hint="eastAsia"/>
                <w:color w:val="auto"/>
                <w:sz w:val="24"/>
                <w:highlight w:val="none"/>
              </w:rPr>
              <w:t>单项合价（元）</w:t>
            </w:r>
          </w:p>
          <w:p w14:paraId="0D6FCB2D">
            <w:pPr>
              <w:snapToGrid w:val="0"/>
              <w:spacing w:line="400" w:lineRule="exact"/>
              <w:jc w:val="center"/>
              <w:rPr>
                <w:color w:val="auto"/>
                <w:sz w:val="24"/>
                <w:highlight w:val="none"/>
              </w:rPr>
            </w:pPr>
            <w:r>
              <w:rPr>
                <w:rFonts w:hint="eastAsia"/>
                <w:color w:val="auto"/>
                <w:sz w:val="24"/>
                <w:highlight w:val="none"/>
              </w:rPr>
              <w:t>③＝①×②</w:t>
            </w:r>
          </w:p>
        </w:tc>
      </w:tr>
      <w:tr w14:paraId="5580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D68CEAE">
            <w:pPr>
              <w:snapToGrid w:val="0"/>
              <w:spacing w:line="400" w:lineRule="exact"/>
              <w:jc w:val="center"/>
              <w:rPr>
                <w:color w:val="auto"/>
                <w:sz w:val="24"/>
                <w:highlight w:val="none"/>
              </w:rPr>
            </w:pPr>
            <w:r>
              <w:rPr>
                <w:rFonts w:hint="eastAsia"/>
                <w:color w:val="auto"/>
                <w:sz w:val="24"/>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14:paraId="18CDBFAE">
            <w:pPr>
              <w:snapToGrid w:val="0"/>
              <w:spacing w:line="400" w:lineRule="exact"/>
              <w:jc w:val="center"/>
              <w:rPr>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83F4137">
            <w:pPr>
              <w:snapToGrid w:val="0"/>
              <w:spacing w:line="400" w:lineRule="exact"/>
              <w:jc w:val="center"/>
              <w:rPr>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vAlign w:val="center"/>
          </w:tcPr>
          <w:p w14:paraId="1DB5AE01">
            <w:pPr>
              <w:snapToGrid w:val="0"/>
              <w:spacing w:line="400" w:lineRule="exact"/>
              <w:jc w:val="center"/>
              <w:rPr>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DE119BA">
            <w:pPr>
              <w:snapToGrid w:val="0"/>
              <w:spacing w:line="400" w:lineRule="exact"/>
              <w:jc w:val="center"/>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FA4EBB5">
            <w:pPr>
              <w:snapToGrid w:val="0"/>
              <w:spacing w:line="400" w:lineRule="exact"/>
              <w:jc w:val="center"/>
              <w:rPr>
                <w:color w:val="auto"/>
                <w:sz w:val="24"/>
                <w:highlight w:val="none"/>
              </w:rPr>
            </w:pPr>
          </w:p>
        </w:tc>
        <w:tc>
          <w:tcPr>
            <w:tcW w:w="1766" w:type="dxa"/>
            <w:tcBorders>
              <w:top w:val="single" w:color="auto" w:sz="4" w:space="0"/>
              <w:left w:val="single" w:color="auto" w:sz="4" w:space="0"/>
              <w:bottom w:val="single" w:color="auto" w:sz="4" w:space="0"/>
              <w:right w:val="single" w:color="auto" w:sz="4" w:space="0"/>
            </w:tcBorders>
            <w:vAlign w:val="center"/>
          </w:tcPr>
          <w:p w14:paraId="14F35141">
            <w:pPr>
              <w:snapToGrid w:val="0"/>
              <w:spacing w:line="400" w:lineRule="exact"/>
              <w:jc w:val="center"/>
              <w:rPr>
                <w:color w:val="auto"/>
                <w:sz w:val="24"/>
                <w:highlight w:val="none"/>
              </w:rPr>
            </w:pPr>
          </w:p>
        </w:tc>
      </w:tr>
      <w:tr w14:paraId="43F4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BC0CAEF">
            <w:pPr>
              <w:snapToGrid w:val="0"/>
              <w:spacing w:line="400" w:lineRule="exact"/>
              <w:jc w:val="center"/>
              <w:rPr>
                <w:color w:val="auto"/>
                <w:sz w:val="24"/>
                <w:highlight w:val="none"/>
              </w:rPr>
            </w:pPr>
            <w:r>
              <w:rPr>
                <w:rFonts w:hint="eastAsia"/>
                <w:color w:val="auto"/>
                <w:sz w:val="24"/>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14:paraId="3E3602B3">
            <w:pPr>
              <w:snapToGrid w:val="0"/>
              <w:spacing w:line="400" w:lineRule="exact"/>
              <w:jc w:val="center"/>
              <w:rPr>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91258A1">
            <w:pPr>
              <w:snapToGrid w:val="0"/>
              <w:spacing w:line="400" w:lineRule="exact"/>
              <w:jc w:val="center"/>
              <w:rPr>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vAlign w:val="center"/>
          </w:tcPr>
          <w:p w14:paraId="0FDEFCE5">
            <w:pPr>
              <w:snapToGrid w:val="0"/>
              <w:spacing w:line="400" w:lineRule="exact"/>
              <w:jc w:val="center"/>
              <w:rPr>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8989FF3">
            <w:pPr>
              <w:snapToGrid w:val="0"/>
              <w:spacing w:line="400" w:lineRule="exact"/>
              <w:jc w:val="center"/>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23D276A">
            <w:pPr>
              <w:snapToGrid w:val="0"/>
              <w:spacing w:line="400" w:lineRule="exact"/>
              <w:jc w:val="center"/>
              <w:rPr>
                <w:color w:val="auto"/>
                <w:sz w:val="24"/>
                <w:highlight w:val="none"/>
              </w:rPr>
            </w:pPr>
          </w:p>
        </w:tc>
        <w:tc>
          <w:tcPr>
            <w:tcW w:w="1766" w:type="dxa"/>
            <w:tcBorders>
              <w:top w:val="single" w:color="auto" w:sz="4" w:space="0"/>
              <w:left w:val="single" w:color="auto" w:sz="4" w:space="0"/>
              <w:bottom w:val="single" w:color="auto" w:sz="4" w:space="0"/>
              <w:right w:val="single" w:color="auto" w:sz="4" w:space="0"/>
            </w:tcBorders>
            <w:vAlign w:val="center"/>
          </w:tcPr>
          <w:p w14:paraId="4F1DC3FB">
            <w:pPr>
              <w:snapToGrid w:val="0"/>
              <w:spacing w:line="400" w:lineRule="exact"/>
              <w:jc w:val="center"/>
              <w:rPr>
                <w:color w:val="auto"/>
                <w:sz w:val="24"/>
                <w:highlight w:val="none"/>
              </w:rPr>
            </w:pPr>
          </w:p>
        </w:tc>
      </w:tr>
      <w:tr w14:paraId="2D46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EAFAA5D">
            <w:pPr>
              <w:snapToGrid w:val="0"/>
              <w:spacing w:line="400" w:lineRule="exact"/>
              <w:jc w:val="center"/>
              <w:rPr>
                <w:color w:val="auto"/>
                <w:sz w:val="24"/>
                <w:highlight w:val="none"/>
              </w:rPr>
            </w:pPr>
            <w:r>
              <w:rPr>
                <w:rFonts w:hint="eastAsia"/>
                <w:color w:val="auto"/>
                <w:sz w:val="24"/>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042768A3">
            <w:pPr>
              <w:snapToGrid w:val="0"/>
              <w:spacing w:line="400" w:lineRule="exact"/>
              <w:jc w:val="center"/>
              <w:rPr>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6E5E730">
            <w:pPr>
              <w:snapToGrid w:val="0"/>
              <w:spacing w:line="400" w:lineRule="exact"/>
              <w:jc w:val="center"/>
              <w:rPr>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vAlign w:val="center"/>
          </w:tcPr>
          <w:p w14:paraId="6CE3228F">
            <w:pPr>
              <w:snapToGrid w:val="0"/>
              <w:spacing w:line="400" w:lineRule="exact"/>
              <w:jc w:val="center"/>
              <w:rPr>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0B1A72E">
            <w:pPr>
              <w:snapToGrid w:val="0"/>
              <w:spacing w:line="400" w:lineRule="exact"/>
              <w:jc w:val="center"/>
              <w:rPr>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A678AD2">
            <w:pPr>
              <w:snapToGrid w:val="0"/>
              <w:spacing w:line="400" w:lineRule="exact"/>
              <w:jc w:val="center"/>
              <w:rPr>
                <w:color w:val="auto"/>
                <w:sz w:val="24"/>
                <w:highlight w:val="none"/>
              </w:rPr>
            </w:pPr>
          </w:p>
        </w:tc>
        <w:tc>
          <w:tcPr>
            <w:tcW w:w="1766" w:type="dxa"/>
            <w:tcBorders>
              <w:top w:val="single" w:color="auto" w:sz="4" w:space="0"/>
              <w:left w:val="single" w:color="auto" w:sz="4" w:space="0"/>
              <w:bottom w:val="single" w:color="auto" w:sz="4" w:space="0"/>
              <w:right w:val="single" w:color="auto" w:sz="4" w:space="0"/>
            </w:tcBorders>
            <w:vAlign w:val="center"/>
          </w:tcPr>
          <w:p w14:paraId="11455E7A">
            <w:pPr>
              <w:snapToGrid w:val="0"/>
              <w:spacing w:line="400" w:lineRule="exact"/>
              <w:jc w:val="center"/>
              <w:rPr>
                <w:color w:val="auto"/>
                <w:sz w:val="24"/>
                <w:highlight w:val="none"/>
              </w:rPr>
            </w:pPr>
          </w:p>
        </w:tc>
      </w:tr>
      <w:tr w14:paraId="794E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05" w:type="dxa"/>
            <w:gridSpan w:val="7"/>
            <w:tcBorders>
              <w:top w:val="single" w:color="auto" w:sz="4" w:space="0"/>
              <w:left w:val="single" w:color="auto" w:sz="4" w:space="0"/>
              <w:bottom w:val="single" w:color="auto" w:sz="4" w:space="0"/>
              <w:right w:val="single" w:color="auto" w:sz="4" w:space="0"/>
            </w:tcBorders>
            <w:vAlign w:val="center"/>
          </w:tcPr>
          <w:p w14:paraId="783A8D61">
            <w:pPr>
              <w:snapToGrid w:val="0"/>
              <w:spacing w:line="400" w:lineRule="exact"/>
              <w:rPr>
                <w:color w:val="auto"/>
                <w:sz w:val="24"/>
                <w:highlight w:val="none"/>
              </w:rPr>
            </w:pPr>
            <w:r>
              <w:rPr>
                <w:rFonts w:hint="eastAsia"/>
                <w:color w:val="auto"/>
                <w:sz w:val="24"/>
                <w:highlight w:val="none"/>
              </w:rPr>
              <w:t>报价合计：（大写）人民币                     （￥              元）</w:t>
            </w:r>
          </w:p>
        </w:tc>
      </w:tr>
    </w:tbl>
    <w:p w14:paraId="5CCE4313">
      <w:pPr>
        <w:snapToGrid w:val="0"/>
        <w:spacing w:line="400" w:lineRule="exact"/>
        <w:ind w:right="420" w:firstLine="420" w:firstLineChars="175"/>
        <w:rPr>
          <w:rFonts w:hint="eastAsia" w:ascii="宋体" w:hAnsi="宋体" w:cs="宋体"/>
          <w:color w:val="auto"/>
          <w:sz w:val="24"/>
          <w:highlight w:val="none"/>
        </w:rPr>
      </w:pPr>
      <w:r>
        <w:rPr>
          <w:rFonts w:hint="eastAsia" w:ascii="宋体" w:hAnsi="宋体" w:cs="宋体"/>
          <w:color w:val="auto"/>
          <w:sz w:val="24"/>
          <w:highlight w:val="none"/>
        </w:rPr>
        <w:t>2、合同合计总金额包括货物价款，备件、专用工具、安装、调试、检验、技术培训及技术资料和包装、运输、验收、税费等全部一切相关费用。如招投标文件对其另有规定的，从其规定。</w:t>
      </w:r>
    </w:p>
    <w:p w14:paraId="6FF00B89">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第二条　质量保证</w:t>
      </w:r>
    </w:p>
    <w:p w14:paraId="66F78C9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1、乙方所提供的货物型号、技术规格、技术参数等质量必须与招投标文件和承诺相一致。乙方提供的节能和环保产品必须是列入政府采购清单的产品。</w:t>
      </w:r>
    </w:p>
    <w:p w14:paraId="41D96694">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2、乙方所提供的货物必须是全新、未使用的原装产品，且在正常安装、使用和保养条件下，其使用寿命期内各项指标均达到质量要求。</w:t>
      </w:r>
    </w:p>
    <w:p w14:paraId="4C4120EB">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第三条　权力保证</w:t>
      </w:r>
    </w:p>
    <w:p w14:paraId="7998B97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1、乙方应保证所提供货物在使用时不会侵犯任何第三方的专利权、商标权、工业设计权或其他知识产权权利。</w:t>
      </w:r>
    </w:p>
    <w:p w14:paraId="730F680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2、乙方应按招标文件规定的时间向甲方提供使用货物的有关技术资料。</w:t>
      </w:r>
    </w:p>
    <w:p w14:paraId="31180E3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E7580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4、乙方保证所交付的货物的所有权完全属于乙方，且无任何抵押、质押、查封、涉案等产权瑕疵。</w:t>
      </w:r>
    </w:p>
    <w:p w14:paraId="00292040">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第四条　包装和运输</w:t>
      </w:r>
    </w:p>
    <w:p w14:paraId="44C6D59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1、乙方提供的货物均应按招投标文件要求的包装材料、包装标准、包装方式进行包装，每一包装单元内应附详细的装箱单和质量合格证。</w:t>
      </w:r>
    </w:p>
    <w:p w14:paraId="1AFD2EB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2、货物的运输方式：</w:t>
      </w:r>
      <w:r>
        <w:rPr>
          <w:rFonts w:hint="eastAsia" w:ascii="宋体" w:hAnsi="宋体" w:cs="宋体"/>
          <w:color w:val="auto"/>
          <w:sz w:val="24"/>
          <w:highlight w:val="none"/>
          <w:u w:val="single"/>
        </w:rPr>
        <w:t>乙方自定 。</w:t>
      </w:r>
    </w:p>
    <w:p w14:paraId="7DF5C76B">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3、乙方负责货物运输，货物运输合理损耗及计算方法：</w:t>
      </w:r>
      <w:r>
        <w:rPr>
          <w:rFonts w:hint="eastAsia" w:ascii="宋体" w:hAnsi="宋体" w:cs="宋体"/>
          <w:color w:val="auto"/>
          <w:sz w:val="24"/>
          <w:highlight w:val="none"/>
          <w:u w:val="single"/>
        </w:rPr>
        <w:t>无 。</w:t>
      </w:r>
    </w:p>
    <w:p w14:paraId="58F042C4">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第五条　交付和验收</w:t>
      </w:r>
    </w:p>
    <w:p w14:paraId="143E2C74">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1、交货时间：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采购人指定地点</w:t>
      </w:r>
      <w:r>
        <w:rPr>
          <w:rFonts w:hint="eastAsia" w:ascii="宋体" w:hAnsi="宋体" w:cs="宋体"/>
          <w:color w:val="auto"/>
          <w:sz w:val="24"/>
          <w:highlight w:val="none"/>
        </w:rPr>
        <w:t>。</w:t>
      </w:r>
    </w:p>
    <w:p w14:paraId="303C0A0D">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2、乙方提供不符合招投标文件和本合同规定的货物，甲方有权拒绝接受。</w:t>
      </w:r>
    </w:p>
    <w:p w14:paraId="0A5A592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3、乙方应将所提供货物的装箱清单、用户手册、原厂保修卡、随机资料、工具和备品、备件等交付给甲方，如有缺失应及时补齐，否则视为逾期交货。</w:t>
      </w:r>
    </w:p>
    <w:p w14:paraId="471A40F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4、甲方应当在到货（安装、调试完）后七个工作日内进行验收，逾期不验收的，乙方可视同验收合格。验收合格后由甲乙双方签署货物验收单并加盖采购单位公章，甲乙双方各执一份。</w:t>
      </w:r>
    </w:p>
    <w:p w14:paraId="553B5F3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1C04A6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6、甲方对验收有异议的，在验收后五个工作日内以书面形式向乙方提出，乙方应自收到甲方书面异议后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日内及时予以解决。</w:t>
      </w:r>
    </w:p>
    <w:p w14:paraId="28F3E6BB">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第六条　安装和培训</w:t>
      </w:r>
    </w:p>
    <w:p w14:paraId="2FE7511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1、甲方应提供必要安装条件（如场地、电源、水源等）。</w:t>
      </w:r>
    </w:p>
    <w:p w14:paraId="581E2822">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2、乙方负责甲方有关人员的培训。培训时间、地点：</w:t>
      </w:r>
      <w:r>
        <w:rPr>
          <w:rFonts w:hint="eastAsia" w:ascii="宋体" w:hAnsi="宋体" w:cs="宋体"/>
          <w:color w:val="auto"/>
          <w:sz w:val="24"/>
          <w:highlight w:val="none"/>
          <w:u w:val="single"/>
        </w:rPr>
        <w:t xml:space="preserve">   甲方指定   。</w:t>
      </w:r>
    </w:p>
    <w:p w14:paraId="17F67F37">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第七条  售后服务、保修期</w:t>
      </w:r>
    </w:p>
    <w:p w14:paraId="667B12C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1、乙方应按照国家有关法律法规和“三包”规定以及招投标文件和本合同所附的《服务承诺》，为甲方提供售后服务。</w:t>
      </w:r>
    </w:p>
    <w:p w14:paraId="1A8D6106">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2、货物保修期；</w:t>
      </w:r>
      <w:r>
        <w:rPr>
          <w:rFonts w:hint="eastAsia" w:ascii="宋体" w:hAnsi="宋体" w:cs="宋体"/>
          <w:color w:val="auto"/>
          <w:sz w:val="24"/>
          <w:highlight w:val="none"/>
          <w:u w:val="single"/>
        </w:rPr>
        <w:t xml:space="preserve">           。</w:t>
      </w:r>
    </w:p>
    <w:p w14:paraId="3CCFE425">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3、乙方提供的服务承诺和售后服务及保修期责任等其它具体约定事项。（见合同附件）</w:t>
      </w:r>
    </w:p>
    <w:p w14:paraId="0E70256E">
      <w:pPr>
        <w:snapToGrid w:val="0"/>
        <w:spacing w:line="400" w:lineRule="exact"/>
        <w:ind w:firstLine="422" w:firstLineChars="175"/>
        <w:rPr>
          <w:color w:val="auto"/>
          <w:highlight w:val="none"/>
        </w:rPr>
      </w:pPr>
      <w:r>
        <w:rPr>
          <w:rFonts w:hint="eastAsia" w:ascii="宋体" w:hAnsi="宋体" w:cs="宋体"/>
          <w:b/>
          <w:color w:val="auto"/>
          <w:sz w:val="24"/>
          <w:highlight w:val="none"/>
        </w:rPr>
        <w:t>第八条　付款方式</w:t>
      </w:r>
    </w:p>
    <w:p w14:paraId="7F589319">
      <w:pPr>
        <w:snapToGrid w:val="0"/>
        <w:spacing w:line="400" w:lineRule="exact"/>
        <w:ind w:firstLine="482" w:firstLineChars="200"/>
        <w:rPr>
          <w:rFonts w:hint="eastAsia" w:ascii="宋体" w:hAnsi="宋体" w:cs="宋体"/>
          <w:b/>
          <w:color w:val="auto"/>
          <w:sz w:val="24"/>
          <w:highlight w:val="none"/>
          <w:u w:val="single"/>
        </w:rPr>
      </w:pPr>
      <w:r>
        <w:rPr>
          <w:rFonts w:hint="eastAsia" w:ascii="宋体" w:hAnsi="宋体" w:cs="宋体"/>
          <w:b/>
          <w:color w:val="auto"/>
          <w:sz w:val="24"/>
          <w:highlight w:val="none"/>
          <w:u w:val="single"/>
        </w:rPr>
        <w:t xml:space="preserve">                       </w:t>
      </w:r>
    </w:p>
    <w:p w14:paraId="04101162">
      <w:pPr>
        <w:snapToGrid w:val="0"/>
        <w:spacing w:line="400" w:lineRule="exact"/>
        <w:ind w:left="420" w:leftChars="200"/>
        <w:rPr>
          <w:rFonts w:hint="eastAsia" w:ascii="宋体" w:hAnsi="宋体" w:cs="宋体"/>
          <w:b/>
          <w:color w:val="auto"/>
          <w:sz w:val="24"/>
          <w:highlight w:val="none"/>
        </w:rPr>
      </w:pPr>
      <w:r>
        <w:rPr>
          <w:rFonts w:hint="eastAsia" w:ascii="宋体" w:hAnsi="宋体" w:cs="宋体"/>
          <w:b/>
          <w:color w:val="auto"/>
          <w:sz w:val="24"/>
          <w:highlight w:val="none"/>
        </w:rPr>
        <w:t>第九条　履约保证金</w:t>
      </w:r>
    </w:p>
    <w:p w14:paraId="7777944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无。</w:t>
      </w:r>
    </w:p>
    <w:p w14:paraId="418019B2">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第十条  税费本合同执行中相关的一切税费均由乙方负担。</w:t>
      </w:r>
    </w:p>
    <w:p w14:paraId="6A669A9A">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第十一条  质量保证</w:t>
      </w:r>
    </w:p>
    <w:p w14:paraId="7D45F71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 乙方应按采购文件规定的货物性能、技术要求、质量标准向甲方提供未经使用的全新产品。未达到要求者，根据实际情况，经双方协商，可按以下办法处理：</w:t>
      </w:r>
    </w:p>
    <w:p w14:paraId="0024EB7A">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⑴更换：由乙方承担所发生的全部费用。</w:t>
      </w:r>
    </w:p>
    <w:p w14:paraId="236A4AC3">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⑵贬值处理：由甲乙双方合议定价。</w:t>
      </w:r>
    </w:p>
    <w:p w14:paraId="3FC2F175">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⑶退货处理：乙方应退还甲方支付的合同款，同时应承担该货物的直接费用（运输、保险、检验、货款利息及银行手续费等）。</w:t>
      </w:r>
    </w:p>
    <w:p w14:paraId="34B5FCD5">
      <w:pPr>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第十二条  调试和验收</w:t>
      </w:r>
    </w:p>
    <w:p w14:paraId="44B13D5D">
      <w:pPr>
        <w:snapToGrid w:val="0"/>
        <w:spacing w:line="400" w:lineRule="exact"/>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1、甲方对乙方提交的货物依据招标文件上的技术规格要求和国家有关质量标准进行现场初步验收，外观、说明书符合招标文件技术要求的，给予签收，初步验收不合格的不予签收。货到后，</w:t>
      </w:r>
      <w:r>
        <w:rPr>
          <w:rFonts w:hint="eastAsia" w:ascii="宋体" w:hAnsi="宋体" w:cs="宋体"/>
          <w:bCs/>
          <w:color w:val="auto"/>
          <w:kern w:val="0"/>
          <w:sz w:val="24"/>
          <w:highlight w:val="none"/>
        </w:rPr>
        <w:t>甲方应当在到货（安装、调试完）后七个工作日内进行验收</w:t>
      </w:r>
      <w:r>
        <w:rPr>
          <w:rFonts w:hint="eastAsia" w:ascii="宋体" w:hAnsi="宋体" w:cs="宋体"/>
          <w:color w:val="auto"/>
          <w:kern w:val="0"/>
          <w:sz w:val="24"/>
          <w:highlight w:val="none"/>
        </w:rPr>
        <w:t>。</w:t>
      </w:r>
    </w:p>
    <w:p w14:paraId="5E8BE549">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2、乙方交货前应对产品作出全面检查和对验收文件进行整理，并列出清单，作为甲方收货验收和使用的技术条件依据，检验的结果应随货物交甲方。</w:t>
      </w:r>
    </w:p>
    <w:p w14:paraId="37E80CD1">
      <w:pPr>
        <w:snapToGrid w:val="0"/>
        <w:spacing w:line="400" w:lineRule="exact"/>
        <w:ind w:firstLine="420" w:firstLineChars="175"/>
        <w:rPr>
          <w:rFonts w:hint="eastAsia" w:ascii="宋体" w:hAnsi="宋体" w:cs="宋体"/>
          <w:color w:val="auto"/>
          <w:kern w:val="0"/>
          <w:sz w:val="24"/>
          <w:highlight w:val="none"/>
          <w:u w:val="single"/>
        </w:rPr>
      </w:pPr>
      <w:r>
        <w:rPr>
          <w:rFonts w:hint="eastAsia" w:ascii="宋体" w:hAnsi="宋体" w:cs="宋体"/>
          <w:color w:val="auto"/>
          <w:kern w:val="0"/>
          <w:sz w:val="24"/>
          <w:highlight w:val="none"/>
        </w:rPr>
        <w:t>3、甲方对乙方提供的货物在使用前进行调试时，乙方需负责安装并培训甲方的使用操作人员，并协助甲方一起调试，直到符合技术要求，甲方才做最终验收。</w:t>
      </w:r>
    </w:p>
    <w:p w14:paraId="5C408BF6">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4、技术复杂的货物，甲方应请国家认可的专业检测机构参与初步验收及最终验收，并由其出具质量检测报告。</w:t>
      </w:r>
    </w:p>
    <w:p w14:paraId="334634A2">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5、验收时乙方必须在现场，验收完毕后作出验收结果报告；验收费用由乙方负责。</w:t>
      </w:r>
    </w:p>
    <w:p w14:paraId="275E03A5">
      <w:pPr>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第十三条  货物包装、发运及运输</w:t>
      </w:r>
    </w:p>
    <w:p w14:paraId="5CBE8DC8">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1、乙方应在货物发运前对其进行满足运输距离、防潮、防震、防锈和防破损装卸等要求包装，以保证货物安全运达甲方指定地点。</w:t>
      </w:r>
    </w:p>
    <w:p w14:paraId="15521E61">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2、使用说明书、质量检验证明书、随配附件和工具以及清单一并附于货物内。</w:t>
      </w:r>
    </w:p>
    <w:p w14:paraId="0A643839">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3、乙方在货物发运手续办理完毕后二十四小时内或货到甲方四十八小时前通知甲方，以准备接货。</w:t>
      </w:r>
    </w:p>
    <w:p w14:paraId="41CD9309">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4、货物在交付甲方前发生的风险均由乙方负责。</w:t>
      </w:r>
    </w:p>
    <w:p w14:paraId="068EA02E">
      <w:pPr>
        <w:snapToGrid w:val="0"/>
        <w:spacing w:line="400" w:lineRule="exact"/>
        <w:ind w:right="26" w:firstLine="420" w:firstLineChars="175"/>
        <w:rPr>
          <w:rFonts w:hint="eastAsia" w:ascii="宋体" w:hAnsi="宋体" w:cs="宋体"/>
          <w:color w:val="auto"/>
          <w:spacing w:val="-8"/>
          <w:kern w:val="0"/>
          <w:sz w:val="24"/>
          <w:highlight w:val="none"/>
        </w:rPr>
      </w:pPr>
      <w:r>
        <w:rPr>
          <w:rFonts w:hint="eastAsia" w:ascii="宋体" w:hAnsi="宋体" w:cs="宋体"/>
          <w:color w:val="auto"/>
          <w:kern w:val="0"/>
          <w:sz w:val="24"/>
          <w:highlight w:val="none"/>
        </w:rPr>
        <w:t>5、货</w:t>
      </w:r>
      <w:r>
        <w:rPr>
          <w:rFonts w:hint="eastAsia" w:ascii="宋体" w:hAnsi="宋体" w:cs="宋体"/>
          <w:color w:val="auto"/>
          <w:spacing w:val="-8"/>
          <w:kern w:val="0"/>
          <w:sz w:val="24"/>
          <w:highlight w:val="none"/>
        </w:rPr>
        <w:t>物在规定的交付期限内由乙方送达甲方指定的地点视为交付，乙方同时需通知甲方</w:t>
      </w:r>
    </w:p>
    <w:p w14:paraId="28A3CB5F">
      <w:pPr>
        <w:snapToGrid w:val="0"/>
        <w:spacing w:line="400" w:lineRule="exact"/>
        <w:ind w:right="26" w:firstLine="392" w:firstLineChars="175"/>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货物已送达。</w:t>
      </w:r>
    </w:p>
    <w:p w14:paraId="2EBDBA01">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第十四条　违约责任</w:t>
      </w:r>
    </w:p>
    <w:p w14:paraId="3F957E9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6525887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2、乙方提供的货物如侵犯了第三方合法权益而引发的任何纠纷或诉讼，均由乙方负责交涉并承担全部责任。</w:t>
      </w:r>
    </w:p>
    <w:p w14:paraId="6BF05C5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3、因包装、运输引起的货物损坏，按质量不合格处罚。</w:t>
      </w:r>
    </w:p>
    <w:p w14:paraId="7F13A17D">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甲方无故延期接收货物、乙方逾期交货的，每天向对方偿付违约货款额3‰违约金，但违约金累计不得超过违约货款额5%，超过15天对方有权解除合同，违约方承担因此给对方造成经济损失，并向甲方支付合同货款7.5%的违约金；甲方延期付货款的，每天向乙方偿付延期货款额3‱滞纳金，但滞纳金累计不得超过延期货款额5%。</w:t>
      </w:r>
    </w:p>
    <w:p w14:paraId="2F272CA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5、乙方未按本合同和投标文件中规定的服务承诺提供售后服务的，乙方应按本合同合计总金额5%向甲方支付违约金。</w:t>
      </w:r>
    </w:p>
    <w:p w14:paraId="0CE7C57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6、乙方提供的货物在质量保证期内，因设计、工艺或材料的缺陷和其它质量原因造成的问题，由乙方负责，费用相应从货款中扣除。</w:t>
      </w:r>
    </w:p>
    <w:p w14:paraId="328F9A8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7、其它违约行为按违约货款额5%收取违约金并赔偿经济损失。</w:t>
      </w:r>
    </w:p>
    <w:p w14:paraId="4A27481D">
      <w:pPr>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第十五条  不可抗力事件处理</w:t>
      </w:r>
    </w:p>
    <w:p w14:paraId="60066709">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14:paraId="70ABB0B0">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05A649C6">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3、不可抗力事件延续一百二十天以上，双方应通过友好协商，确定是否继续履行合同。</w:t>
      </w:r>
    </w:p>
    <w:p w14:paraId="5768F1E4">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第十六条  合同争议解决</w:t>
      </w:r>
    </w:p>
    <w:p w14:paraId="7014A42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62EB1ED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2、因履行本合同引起的或与本合同有关的争议，甲乙双方应首先通过友好协商解决，如果协商不能解决，可向甲方所在地人民法院提起诉讼。</w:t>
      </w:r>
    </w:p>
    <w:p w14:paraId="710B563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3、诉讼期间，本合同是否继续履行须甲乙双方协商一致。</w:t>
      </w:r>
    </w:p>
    <w:p w14:paraId="5AF6EDE5">
      <w:pPr>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第十七条  诉讼</w:t>
      </w:r>
    </w:p>
    <w:p w14:paraId="4E113E56">
      <w:pPr>
        <w:tabs>
          <w:tab w:val="left" w:pos="900"/>
        </w:tabs>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双方在执行合同中所发生的一切争议，应通过协商解决。如果协商不能解决，可</w:t>
      </w:r>
      <w:r>
        <w:rPr>
          <w:rFonts w:hint="eastAsia" w:ascii="宋体" w:hAnsi="宋体" w:cs="宋体"/>
          <w:color w:val="auto"/>
          <w:sz w:val="24"/>
          <w:highlight w:val="none"/>
        </w:rPr>
        <w:t>向甲方所在地</w:t>
      </w:r>
      <w:r>
        <w:rPr>
          <w:rFonts w:hint="eastAsia" w:ascii="宋体" w:hAnsi="宋体" w:cs="宋体"/>
          <w:color w:val="auto"/>
          <w:kern w:val="0"/>
          <w:sz w:val="24"/>
          <w:highlight w:val="none"/>
        </w:rPr>
        <w:t>人民法院提起诉讼。</w:t>
      </w:r>
    </w:p>
    <w:p w14:paraId="06914269">
      <w:pPr>
        <w:tabs>
          <w:tab w:val="left" w:pos="420"/>
        </w:tabs>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第十八条  合同生效及其它</w:t>
      </w:r>
    </w:p>
    <w:p w14:paraId="0DAD6F78">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1、合同经双方法定代表人或授权代表签字并加盖单位公章后生效。</w:t>
      </w:r>
    </w:p>
    <w:p w14:paraId="519A005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2、合同执行中涉及采购资金和采购内容修改或补充的，须经财政部门审批，并签书面补充协议报财政部门备案，方可作为主合同不可分割的一部分。</w:t>
      </w:r>
    </w:p>
    <w:p w14:paraId="1C0C2130">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3、本合同未尽事宜，遵照《中华人民共和国民法典（合同编）》等相关法律法规有关条款执行。</w:t>
      </w:r>
    </w:p>
    <w:p w14:paraId="1861F386">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第十九条　合同的变更、终止与转让</w:t>
      </w:r>
    </w:p>
    <w:p w14:paraId="00C8214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1、除《中华人民共和国政府采购法》第50条规定的情形外，本合同一经签订，甲乙双方不得擅自变更、中止或终止。</w:t>
      </w:r>
    </w:p>
    <w:p w14:paraId="18B1E3E9">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2、乙方不得擅自转让（无进口资格的供应商委托进口货物除外）其应履行的合同义务。</w:t>
      </w:r>
    </w:p>
    <w:p w14:paraId="7B8114D2">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第二十条　签订本合同依据</w:t>
      </w:r>
    </w:p>
    <w:p w14:paraId="2208A3F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1、招标文件；2、乙方提供的投标文件；3、承诺书；4、中标通知书。</w:t>
      </w:r>
    </w:p>
    <w:p w14:paraId="408699D6">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第二十一条　</w:t>
      </w:r>
      <w:r>
        <w:rPr>
          <w:rFonts w:hint="eastAsia" w:ascii="宋体" w:hAnsi="宋体" w:cs="宋体"/>
          <w:color w:val="auto"/>
          <w:sz w:val="24"/>
          <w:highlight w:val="none"/>
        </w:rPr>
        <w:t>本合同一式伍份，具有同等法律效力，甲乙双方各贰份（可根据需要另增加），采购代理机构壹份。</w:t>
      </w:r>
    </w:p>
    <w:p w14:paraId="06C88A8D">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本合同甲乙双方签字盖章后生效，本合同自签订之日起2个工作日内，甲方应当将采购合同在广西壮族自治区财政厅指定的媒体上公告。</w:t>
      </w:r>
    </w:p>
    <w:p w14:paraId="5677F499">
      <w:pPr>
        <w:pStyle w:val="11"/>
        <w:rPr>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0"/>
      </w:tblGrid>
      <w:tr w14:paraId="3911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4719" w:type="dxa"/>
            <w:vAlign w:val="center"/>
          </w:tcPr>
          <w:p w14:paraId="52EF865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甲方（章）          </w:t>
            </w:r>
          </w:p>
          <w:p w14:paraId="4A00D17A">
            <w:pPr>
              <w:snapToGrid w:val="0"/>
              <w:spacing w:line="400" w:lineRule="exact"/>
              <w:ind w:firstLine="1080" w:firstLineChars="450"/>
              <w:jc w:val="right"/>
              <w:rPr>
                <w:rFonts w:hint="eastAsia" w:ascii="宋体" w:hAnsi="宋体" w:cs="宋体"/>
                <w:color w:val="auto"/>
                <w:sz w:val="24"/>
                <w:highlight w:val="none"/>
              </w:rPr>
            </w:pPr>
            <w:r>
              <w:rPr>
                <w:rFonts w:hint="eastAsia" w:ascii="宋体" w:hAnsi="宋体" w:cs="宋体"/>
                <w:color w:val="auto"/>
                <w:sz w:val="24"/>
                <w:highlight w:val="none"/>
              </w:rPr>
              <w:t>年   月   日</w:t>
            </w:r>
          </w:p>
        </w:tc>
        <w:tc>
          <w:tcPr>
            <w:tcW w:w="4720" w:type="dxa"/>
            <w:vAlign w:val="center"/>
          </w:tcPr>
          <w:p w14:paraId="1C711F6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乙方（章）              </w:t>
            </w:r>
          </w:p>
          <w:p w14:paraId="3ACF2D81">
            <w:pPr>
              <w:snapToGrid w:val="0"/>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14:paraId="4EB5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4719" w:type="dxa"/>
            <w:vAlign w:val="center"/>
          </w:tcPr>
          <w:p w14:paraId="6EB58B66">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单位地址：</w:t>
            </w:r>
          </w:p>
        </w:tc>
        <w:tc>
          <w:tcPr>
            <w:tcW w:w="4720" w:type="dxa"/>
            <w:vAlign w:val="center"/>
          </w:tcPr>
          <w:p w14:paraId="45B1BD3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单位地址：</w:t>
            </w:r>
          </w:p>
        </w:tc>
      </w:tr>
      <w:tr w14:paraId="18EF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4719" w:type="dxa"/>
            <w:vAlign w:val="center"/>
          </w:tcPr>
          <w:p w14:paraId="3012B4C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4720" w:type="dxa"/>
            <w:vAlign w:val="center"/>
          </w:tcPr>
          <w:p w14:paraId="58ADA71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法定代表人：</w:t>
            </w:r>
          </w:p>
        </w:tc>
      </w:tr>
      <w:tr w14:paraId="0751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719" w:type="dxa"/>
            <w:vAlign w:val="center"/>
          </w:tcPr>
          <w:p w14:paraId="3E2666D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委托代理人：</w:t>
            </w:r>
          </w:p>
        </w:tc>
        <w:tc>
          <w:tcPr>
            <w:tcW w:w="4720" w:type="dxa"/>
            <w:vAlign w:val="center"/>
          </w:tcPr>
          <w:p w14:paraId="6244DFF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委托代理人</w:t>
            </w:r>
          </w:p>
        </w:tc>
      </w:tr>
      <w:tr w14:paraId="4658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719" w:type="dxa"/>
            <w:vAlign w:val="center"/>
          </w:tcPr>
          <w:p w14:paraId="636B71A6">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电话：</w:t>
            </w:r>
          </w:p>
        </w:tc>
        <w:tc>
          <w:tcPr>
            <w:tcW w:w="4720" w:type="dxa"/>
            <w:vAlign w:val="center"/>
          </w:tcPr>
          <w:p w14:paraId="2BF3E30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电话：</w:t>
            </w:r>
          </w:p>
        </w:tc>
      </w:tr>
      <w:tr w14:paraId="2852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4719" w:type="dxa"/>
            <w:vAlign w:val="center"/>
          </w:tcPr>
          <w:p w14:paraId="5E2F194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tc>
        <w:tc>
          <w:tcPr>
            <w:tcW w:w="4720" w:type="dxa"/>
            <w:vAlign w:val="center"/>
          </w:tcPr>
          <w:p w14:paraId="4FE892C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开户银行：</w:t>
            </w:r>
          </w:p>
        </w:tc>
      </w:tr>
      <w:tr w14:paraId="41AB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719" w:type="dxa"/>
            <w:vAlign w:val="center"/>
          </w:tcPr>
          <w:p w14:paraId="0909B77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账号：</w:t>
            </w:r>
          </w:p>
        </w:tc>
        <w:tc>
          <w:tcPr>
            <w:tcW w:w="4720" w:type="dxa"/>
            <w:vAlign w:val="center"/>
          </w:tcPr>
          <w:p w14:paraId="54CFC45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账号：</w:t>
            </w:r>
          </w:p>
        </w:tc>
      </w:tr>
      <w:tr w14:paraId="713D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719" w:type="dxa"/>
            <w:vAlign w:val="center"/>
          </w:tcPr>
          <w:p w14:paraId="603D277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4720" w:type="dxa"/>
            <w:vAlign w:val="center"/>
          </w:tcPr>
          <w:p w14:paraId="2520AA9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邮政编码：</w:t>
            </w:r>
          </w:p>
        </w:tc>
      </w:tr>
      <w:tr w14:paraId="619C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439" w:type="dxa"/>
            <w:gridSpan w:val="2"/>
          </w:tcPr>
          <w:p w14:paraId="5CBD34B9">
            <w:pPr>
              <w:wordWrap w:val="0"/>
              <w:snapToGrid w:val="0"/>
              <w:spacing w:line="400" w:lineRule="exact"/>
              <w:ind w:right="240"/>
              <w:rPr>
                <w:rFonts w:hint="eastAsia" w:ascii="宋体" w:hAnsi="宋体" w:cs="宋体"/>
                <w:color w:val="auto"/>
                <w:sz w:val="24"/>
                <w:highlight w:val="none"/>
              </w:rPr>
            </w:pPr>
            <w:r>
              <w:rPr>
                <w:rFonts w:hint="eastAsia" w:ascii="宋体" w:hAnsi="宋体" w:cs="宋体"/>
                <w:color w:val="auto"/>
                <w:sz w:val="24"/>
                <w:highlight w:val="none"/>
              </w:rPr>
              <w:t>经办人：                                                 年    月    日</w:t>
            </w:r>
          </w:p>
        </w:tc>
      </w:tr>
    </w:tbl>
    <w:p w14:paraId="49D7E14F">
      <w:pPr>
        <w:snapToGrid w:val="0"/>
        <w:rPr>
          <w:rFonts w:hint="eastAsia" w:ascii="宋体" w:hAnsi="宋体" w:cs="宋体"/>
          <w:color w:val="auto"/>
          <w:sz w:val="24"/>
          <w:highlight w:val="none"/>
        </w:rPr>
      </w:pPr>
    </w:p>
    <w:p w14:paraId="79EB684A">
      <w:pPr>
        <w:snapToGrid w:val="0"/>
        <w:rPr>
          <w:rFonts w:hint="eastAsia" w:ascii="宋体" w:hAnsi="宋体" w:cs="宋体"/>
          <w:color w:val="auto"/>
          <w:sz w:val="24"/>
          <w:highlight w:val="none"/>
        </w:rPr>
      </w:pPr>
    </w:p>
    <w:p w14:paraId="570CE1DB">
      <w:pPr>
        <w:snapToGrid w:val="0"/>
        <w:rPr>
          <w:rFonts w:hint="eastAsia" w:ascii="宋体" w:hAnsi="宋体" w:cs="宋体"/>
          <w:color w:val="auto"/>
          <w:sz w:val="24"/>
          <w:highlight w:val="none"/>
        </w:rPr>
      </w:pPr>
    </w:p>
    <w:p w14:paraId="24417BE2">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本合同为基础合同，待中标人中标后可根据实际情况作细节上的更改。</w:t>
      </w:r>
    </w:p>
    <w:p w14:paraId="7F3A4119">
      <w:pPr>
        <w:snapToGrid w:val="0"/>
        <w:spacing w:line="360" w:lineRule="auto"/>
        <w:jc w:val="center"/>
        <w:rPr>
          <w:rFonts w:hint="eastAsia" w:ascii="宋体" w:hAnsi="宋体" w:cs="宋体"/>
          <w:b/>
          <w:color w:val="auto"/>
          <w:sz w:val="28"/>
          <w:szCs w:val="28"/>
          <w:highlight w:val="none"/>
        </w:rPr>
      </w:pPr>
    </w:p>
    <w:p w14:paraId="78E05E87">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合 同 附 件</w:t>
      </w:r>
    </w:p>
    <w:tbl>
      <w:tblPr>
        <w:tblStyle w:val="22"/>
        <w:tblW w:w="0" w:type="auto"/>
        <w:jc w:val="center"/>
        <w:tblLayout w:type="fixed"/>
        <w:tblCellMar>
          <w:top w:w="0" w:type="dxa"/>
          <w:left w:w="108" w:type="dxa"/>
          <w:bottom w:w="0" w:type="dxa"/>
          <w:right w:w="108" w:type="dxa"/>
        </w:tblCellMar>
      </w:tblPr>
      <w:tblGrid>
        <w:gridCol w:w="4637"/>
        <w:gridCol w:w="4443"/>
      </w:tblGrid>
      <w:tr w14:paraId="15D92FDC">
        <w:tblPrEx>
          <w:tblCellMar>
            <w:top w:w="0" w:type="dxa"/>
            <w:left w:w="108" w:type="dxa"/>
            <w:bottom w:w="0" w:type="dxa"/>
            <w:right w:w="108" w:type="dxa"/>
          </w:tblCellMar>
        </w:tblPrEx>
        <w:trPr>
          <w:trHeight w:val="1485" w:hRule="exact"/>
          <w:jc w:val="center"/>
        </w:trPr>
        <w:tc>
          <w:tcPr>
            <w:tcW w:w="9080" w:type="dxa"/>
            <w:gridSpan w:val="2"/>
            <w:tcBorders>
              <w:top w:val="single" w:color="auto" w:sz="4" w:space="0"/>
              <w:left w:val="single" w:color="auto" w:sz="4" w:space="0"/>
              <w:right w:val="single" w:color="auto" w:sz="4" w:space="0"/>
            </w:tcBorders>
            <w:vAlign w:val="center"/>
          </w:tcPr>
          <w:p w14:paraId="52976A63">
            <w:pPr>
              <w:snapToGri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1、投标人承诺具体事项：详见合同附件。</w:t>
            </w:r>
          </w:p>
        </w:tc>
      </w:tr>
      <w:tr w14:paraId="52ACFC75">
        <w:tblPrEx>
          <w:tblCellMar>
            <w:top w:w="0" w:type="dxa"/>
            <w:left w:w="108" w:type="dxa"/>
            <w:bottom w:w="0" w:type="dxa"/>
            <w:right w:w="108" w:type="dxa"/>
          </w:tblCellMar>
        </w:tblPrEx>
        <w:trPr>
          <w:trHeight w:val="1472" w:hRule="exact"/>
          <w:jc w:val="center"/>
        </w:trPr>
        <w:tc>
          <w:tcPr>
            <w:tcW w:w="9080" w:type="dxa"/>
            <w:gridSpan w:val="2"/>
            <w:tcBorders>
              <w:top w:val="single" w:color="auto" w:sz="4" w:space="0"/>
              <w:left w:val="single" w:color="auto" w:sz="4" w:space="0"/>
              <w:bottom w:val="single" w:color="auto" w:sz="4" w:space="0"/>
              <w:right w:val="single" w:color="auto" w:sz="4" w:space="0"/>
            </w:tcBorders>
            <w:vAlign w:val="center"/>
          </w:tcPr>
          <w:p w14:paraId="480DC0DF">
            <w:pPr>
              <w:snapToGri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2、售后服务具体事项：详见合同附件。</w:t>
            </w:r>
          </w:p>
        </w:tc>
      </w:tr>
      <w:tr w14:paraId="1E19FA49">
        <w:tblPrEx>
          <w:tblCellMar>
            <w:top w:w="0" w:type="dxa"/>
            <w:left w:w="108" w:type="dxa"/>
            <w:bottom w:w="0" w:type="dxa"/>
            <w:right w:w="108" w:type="dxa"/>
          </w:tblCellMar>
        </w:tblPrEx>
        <w:trPr>
          <w:trHeight w:val="1610" w:hRule="atLeast"/>
          <w:jc w:val="center"/>
        </w:trPr>
        <w:tc>
          <w:tcPr>
            <w:tcW w:w="9080" w:type="dxa"/>
            <w:gridSpan w:val="2"/>
            <w:tcBorders>
              <w:top w:val="single" w:color="auto" w:sz="4" w:space="0"/>
              <w:left w:val="single" w:color="auto" w:sz="4" w:space="0"/>
              <w:bottom w:val="single" w:color="auto" w:sz="4" w:space="0"/>
              <w:right w:val="single" w:color="auto" w:sz="4" w:space="0"/>
            </w:tcBorders>
            <w:vAlign w:val="center"/>
          </w:tcPr>
          <w:p w14:paraId="515DFF5A">
            <w:pPr>
              <w:snapToGri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3、保修期责任：详见合同附件。</w:t>
            </w:r>
          </w:p>
        </w:tc>
      </w:tr>
      <w:tr w14:paraId="4E6AC159">
        <w:tblPrEx>
          <w:tblCellMar>
            <w:top w:w="0" w:type="dxa"/>
            <w:left w:w="108" w:type="dxa"/>
            <w:bottom w:w="0" w:type="dxa"/>
            <w:right w:w="108" w:type="dxa"/>
          </w:tblCellMar>
        </w:tblPrEx>
        <w:trPr>
          <w:trHeight w:val="1658" w:hRule="exact"/>
          <w:jc w:val="center"/>
        </w:trPr>
        <w:tc>
          <w:tcPr>
            <w:tcW w:w="9080" w:type="dxa"/>
            <w:gridSpan w:val="2"/>
            <w:tcBorders>
              <w:top w:val="single" w:color="auto" w:sz="4" w:space="0"/>
              <w:left w:val="single" w:color="auto" w:sz="4" w:space="0"/>
              <w:right w:val="single" w:color="auto" w:sz="4" w:space="0"/>
            </w:tcBorders>
            <w:vAlign w:val="center"/>
          </w:tcPr>
          <w:p w14:paraId="65A38D25">
            <w:pPr>
              <w:snapToGri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4、其他具体事项：详见合同附件。</w:t>
            </w:r>
          </w:p>
        </w:tc>
      </w:tr>
      <w:tr w14:paraId="5A26EC7A">
        <w:tblPrEx>
          <w:tblCellMar>
            <w:top w:w="0" w:type="dxa"/>
            <w:left w:w="108" w:type="dxa"/>
            <w:bottom w:w="0" w:type="dxa"/>
            <w:right w:w="108" w:type="dxa"/>
          </w:tblCellMar>
        </w:tblPrEx>
        <w:trPr>
          <w:trHeight w:val="1965" w:hRule="atLeast"/>
          <w:jc w:val="center"/>
        </w:trPr>
        <w:tc>
          <w:tcPr>
            <w:tcW w:w="4637" w:type="dxa"/>
            <w:tcBorders>
              <w:top w:val="single" w:color="auto" w:sz="4" w:space="0"/>
              <w:left w:val="single" w:color="auto" w:sz="4" w:space="0"/>
              <w:bottom w:val="single" w:color="auto" w:sz="4" w:space="0"/>
              <w:right w:val="single" w:color="auto" w:sz="4" w:space="0"/>
            </w:tcBorders>
            <w:vAlign w:val="center"/>
          </w:tcPr>
          <w:p w14:paraId="7088454D">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甲方（章）</w:t>
            </w:r>
          </w:p>
          <w:p w14:paraId="36D7903C">
            <w:pPr>
              <w:snapToGrid w:val="0"/>
              <w:spacing w:line="400" w:lineRule="exact"/>
              <w:rPr>
                <w:rFonts w:hint="eastAsia" w:ascii="宋体" w:hAnsi="宋体" w:cs="宋体"/>
                <w:bCs/>
                <w:color w:val="auto"/>
                <w:sz w:val="24"/>
                <w:highlight w:val="none"/>
              </w:rPr>
            </w:pPr>
          </w:p>
          <w:p w14:paraId="06C531FB">
            <w:pPr>
              <w:snapToGrid w:val="0"/>
              <w:spacing w:line="400" w:lineRule="exact"/>
              <w:rPr>
                <w:rFonts w:hint="eastAsia" w:ascii="宋体" w:hAnsi="宋体" w:cs="宋体"/>
                <w:bCs/>
                <w:color w:val="auto"/>
                <w:sz w:val="24"/>
                <w:highlight w:val="none"/>
              </w:rPr>
            </w:pPr>
          </w:p>
          <w:p w14:paraId="561B180A">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年   月   日 </w:t>
            </w:r>
          </w:p>
        </w:tc>
        <w:tc>
          <w:tcPr>
            <w:tcW w:w="4443" w:type="dxa"/>
            <w:tcBorders>
              <w:top w:val="single" w:color="auto" w:sz="4" w:space="0"/>
              <w:left w:val="single" w:color="auto" w:sz="4" w:space="0"/>
              <w:bottom w:val="single" w:color="auto" w:sz="4" w:space="0"/>
              <w:right w:val="single" w:color="auto" w:sz="4" w:space="0"/>
            </w:tcBorders>
            <w:vAlign w:val="center"/>
          </w:tcPr>
          <w:p w14:paraId="687617C3">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乙方（章）</w:t>
            </w:r>
          </w:p>
          <w:p w14:paraId="157A95C5">
            <w:pPr>
              <w:snapToGrid w:val="0"/>
              <w:spacing w:line="400" w:lineRule="exact"/>
              <w:ind w:firstLine="480" w:firstLineChars="200"/>
              <w:rPr>
                <w:rFonts w:hint="eastAsia" w:ascii="宋体" w:hAnsi="宋体" w:cs="宋体"/>
                <w:bCs/>
                <w:color w:val="auto"/>
                <w:sz w:val="24"/>
                <w:highlight w:val="none"/>
              </w:rPr>
            </w:pPr>
          </w:p>
          <w:p w14:paraId="1AD058B2">
            <w:pPr>
              <w:snapToGrid w:val="0"/>
              <w:spacing w:line="400" w:lineRule="exact"/>
              <w:rPr>
                <w:rFonts w:hint="eastAsia" w:ascii="宋体" w:hAnsi="宋体" w:cs="宋体"/>
                <w:bCs/>
                <w:color w:val="auto"/>
                <w:sz w:val="24"/>
                <w:highlight w:val="none"/>
              </w:rPr>
            </w:pPr>
          </w:p>
          <w:p w14:paraId="45E76BF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年   月   日</w:t>
            </w:r>
          </w:p>
        </w:tc>
      </w:tr>
    </w:tbl>
    <w:p w14:paraId="224AF22B">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  注：售后服务事项填不下时可另加附页</w:t>
      </w:r>
    </w:p>
    <w:p w14:paraId="30391A0A">
      <w:pPr>
        <w:snapToGrid w:val="0"/>
        <w:spacing w:before="120" w:after="120"/>
        <w:ind w:left="480" w:hanging="480"/>
        <w:outlineLvl w:val="0"/>
        <w:rPr>
          <w:rFonts w:hint="eastAsia" w:ascii="宋体" w:hAnsi="宋体" w:cs="宋体"/>
          <w:color w:val="auto"/>
          <w:kern w:val="0"/>
          <w:sz w:val="24"/>
          <w:highlight w:val="none"/>
        </w:rPr>
      </w:pPr>
    </w:p>
    <w:p w14:paraId="19A8B0E0">
      <w:pPr>
        <w:tabs>
          <w:tab w:val="left" w:pos="1440"/>
        </w:tabs>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r>
        <w:rPr>
          <w:rFonts w:hint="eastAsia" w:ascii="宋体" w:hAnsi="宋体" w:cs="宋体"/>
          <w:b/>
          <w:bCs/>
          <w:color w:val="auto"/>
          <w:kern w:val="0"/>
          <w:sz w:val="24"/>
          <w:highlight w:val="none"/>
        </w:rPr>
        <w:t>附：</w:t>
      </w:r>
    </w:p>
    <w:p w14:paraId="77964089">
      <w:pPr>
        <w:widowControl/>
        <w:snapToGrid w:val="0"/>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政府采购项目</w:t>
      </w:r>
      <w:r>
        <w:rPr>
          <w:rFonts w:hint="eastAsia" w:ascii="宋体" w:hAnsi="宋体" w:cs="宋体"/>
          <w:b/>
          <w:color w:val="auto"/>
          <w:kern w:val="0"/>
          <w:sz w:val="32"/>
          <w:szCs w:val="32"/>
          <w:highlight w:val="none"/>
        </w:rPr>
        <w:t>合同验收报告（格式）</w:t>
      </w:r>
    </w:p>
    <w:p w14:paraId="5A36CCB1">
      <w:pPr>
        <w:widowControl/>
        <w:adjustRightInd w:val="0"/>
        <w:snapToGrid w:val="0"/>
        <w:spacing w:before="100" w:beforeAutospacing="1" w:after="100" w:afterAutospacing="1" w:line="440" w:lineRule="exact"/>
        <w:ind w:firstLine="658"/>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根据政府采购合同（采购合同编号：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（项目名称）       </w:t>
      </w:r>
      <w:r>
        <w:rPr>
          <w:rFonts w:hint="eastAsia" w:ascii="宋体" w:hAnsi="宋体" w:cs="宋体"/>
          <w:color w:val="auto"/>
          <w:kern w:val="0"/>
          <w:sz w:val="24"/>
          <w:highlight w:val="none"/>
        </w:rPr>
        <w:t>政府采购项目中标（或成交）供应商</w:t>
      </w:r>
      <w:r>
        <w:rPr>
          <w:rFonts w:hint="eastAsia" w:ascii="宋体" w:hAnsi="宋体" w:cs="宋体"/>
          <w:color w:val="auto"/>
          <w:kern w:val="0"/>
          <w:sz w:val="24"/>
          <w:highlight w:val="none"/>
          <w:u w:val="single"/>
        </w:rPr>
        <w:t xml:space="preserve">（公司名称）       </w:t>
      </w:r>
      <w:r>
        <w:rPr>
          <w:rFonts w:hint="eastAsia" w:ascii="宋体" w:hAnsi="宋体" w:cs="宋体"/>
          <w:color w:val="auto"/>
          <w:kern w:val="0"/>
          <w:sz w:val="24"/>
          <w:highlight w:val="none"/>
        </w:rPr>
        <w:t>提供的货物（或服务）进行了验收，验收情况如下：</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18"/>
        <w:gridCol w:w="2364"/>
        <w:gridCol w:w="1579"/>
        <w:gridCol w:w="1862"/>
        <w:gridCol w:w="660"/>
        <w:gridCol w:w="338"/>
        <w:gridCol w:w="1779"/>
      </w:tblGrid>
      <w:tr w14:paraId="10093C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14:paraId="03578523">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验收方式：</w:t>
            </w:r>
          </w:p>
        </w:tc>
        <w:tc>
          <w:tcPr>
            <w:tcW w:w="6218" w:type="dxa"/>
            <w:gridSpan w:val="5"/>
            <w:vAlign w:val="center"/>
          </w:tcPr>
          <w:p w14:paraId="4F9B333B">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□自行验收         □联合验收</w:t>
            </w:r>
          </w:p>
        </w:tc>
      </w:tr>
      <w:tr w14:paraId="17CD1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118" w:type="dxa"/>
            <w:vAlign w:val="center"/>
          </w:tcPr>
          <w:p w14:paraId="4D5060A2">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序号</w:t>
            </w:r>
          </w:p>
        </w:tc>
        <w:tc>
          <w:tcPr>
            <w:tcW w:w="2364" w:type="dxa"/>
            <w:vAlign w:val="center"/>
          </w:tcPr>
          <w:p w14:paraId="1F98185F">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名  称</w:t>
            </w:r>
          </w:p>
        </w:tc>
        <w:tc>
          <w:tcPr>
            <w:tcW w:w="3441" w:type="dxa"/>
            <w:gridSpan w:val="2"/>
            <w:vAlign w:val="center"/>
          </w:tcPr>
          <w:p w14:paraId="28EBAF1B">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货物型号规格、标准及配置</w:t>
            </w:r>
          </w:p>
          <w:p w14:paraId="74A97A4B">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（或服务内容、标准）</w:t>
            </w:r>
          </w:p>
        </w:tc>
        <w:tc>
          <w:tcPr>
            <w:tcW w:w="998" w:type="dxa"/>
            <w:gridSpan w:val="2"/>
            <w:vAlign w:val="center"/>
          </w:tcPr>
          <w:p w14:paraId="24C58722">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数量</w:t>
            </w:r>
          </w:p>
        </w:tc>
        <w:tc>
          <w:tcPr>
            <w:tcW w:w="1779" w:type="dxa"/>
            <w:vAlign w:val="center"/>
          </w:tcPr>
          <w:p w14:paraId="48DDEECE">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与合同约定</w:t>
            </w:r>
          </w:p>
          <w:p w14:paraId="051F2B4F">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是否一致</w:t>
            </w:r>
          </w:p>
        </w:tc>
      </w:tr>
      <w:tr w14:paraId="3EA4F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vAlign w:val="center"/>
          </w:tcPr>
          <w:p w14:paraId="32784EA1">
            <w:pPr>
              <w:jc w:val="center"/>
              <w:rPr>
                <w:rFonts w:hint="eastAsia" w:ascii="宋体" w:hAnsi="宋体" w:cs="宋体"/>
                <w:color w:val="auto"/>
                <w:sz w:val="24"/>
                <w:szCs w:val="32"/>
                <w:highlight w:val="none"/>
              </w:rPr>
            </w:pPr>
          </w:p>
        </w:tc>
        <w:tc>
          <w:tcPr>
            <w:tcW w:w="2364" w:type="dxa"/>
            <w:vAlign w:val="center"/>
          </w:tcPr>
          <w:p w14:paraId="4C6D33DB">
            <w:pPr>
              <w:jc w:val="center"/>
              <w:rPr>
                <w:rFonts w:hint="eastAsia" w:ascii="宋体" w:hAnsi="宋体" w:cs="宋体"/>
                <w:color w:val="auto"/>
                <w:sz w:val="24"/>
                <w:szCs w:val="32"/>
                <w:highlight w:val="none"/>
              </w:rPr>
            </w:pPr>
          </w:p>
        </w:tc>
        <w:tc>
          <w:tcPr>
            <w:tcW w:w="3441" w:type="dxa"/>
            <w:gridSpan w:val="2"/>
            <w:vAlign w:val="center"/>
          </w:tcPr>
          <w:p w14:paraId="146B2956">
            <w:pPr>
              <w:jc w:val="center"/>
              <w:rPr>
                <w:rFonts w:hint="eastAsia" w:ascii="宋体" w:hAnsi="宋体" w:cs="宋体"/>
                <w:color w:val="auto"/>
                <w:sz w:val="24"/>
                <w:szCs w:val="32"/>
                <w:highlight w:val="none"/>
              </w:rPr>
            </w:pPr>
          </w:p>
        </w:tc>
        <w:tc>
          <w:tcPr>
            <w:tcW w:w="998" w:type="dxa"/>
            <w:gridSpan w:val="2"/>
            <w:vAlign w:val="center"/>
          </w:tcPr>
          <w:p w14:paraId="6E1D745F">
            <w:pPr>
              <w:jc w:val="center"/>
              <w:rPr>
                <w:rFonts w:hint="eastAsia" w:ascii="宋体" w:hAnsi="宋体" w:cs="宋体"/>
                <w:color w:val="auto"/>
                <w:sz w:val="24"/>
                <w:szCs w:val="32"/>
                <w:highlight w:val="none"/>
              </w:rPr>
            </w:pPr>
          </w:p>
        </w:tc>
        <w:tc>
          <w:tcPr>
            <w:tcW w:w="1779" w:type="dxa"/>
            <w:vAlign w:val="center"/>
          </w:tcPr>
          <w:p w14:paraId="7B066030">
            <w:pPr>
              <w:jc w:val="center"/>
              <w:rPr>
                <w:rFonts w:hint="eastAsia" w:ascii="宋体" w:hAnsi="宋体" w:cs="宋体"/>
                <w:color w:val="auto"/>
                <w:sz w:val="24"/>
                <w:szCs w:val="32"/>
                <w:highlight w:val="none"/>
              </w:rPr>
            </w:pPr>
          </w:p>
        </w:tc>
      </w:tr>
      <w:tr w14:paraId="3D106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vAlign w:val="center"/>
          </w:tcPr>
          <w:p w14:paraId="5AD9B265">
            <w:pPr>
              <w:jc w:val="center"/>
              <w:rPr>
                <w:rFonts w:hint="eastAsia" w:ascii="宋体" w:hAnsi="宋体" w:cs="宋体"/>
                <w:color w:val="auto"/>
                <w:sz w:val="24"/>
                <w:szCs w:val="32"/>
                <w:highlight w:val="none"/>
              </w:rPr>
            </w:pPr>
          </w:p>
        </w:tc>
        <w:tc>
          <w:tcPr>
            <w:tcW w:w="2364" w:type="dxa"/>
            <w:vAlign w:val="center"/>
          </w:tcPr>
          <w:p w14:paraId="6C9DC5A0">
            <w:pPr>
              <w:jc w:val="center"/>
              <w:rPr>
                <w:rFonts w:hint="eastAsia" w:ascii="宋体" w:hAnsi="宋体" w:cs="宋体"/>
                <w:color w:val="auto"/>
                <w:sz w:val="24"/>
                <w:szCs w:val="32"/>
                <w:highlight w:val="none"/>
              </w:rPr>
            </w:pPr>
          </w:p>
        </w:tc>
        <w:tc>
          <w:tcPr>
            <w:tcW w:w="3441" w:type="dxa"/>
            <w:gridSpan w:val="2"/>
            <w:vAlign w:val="center"/>
          </w:tcPr>
          <w:p w14:paraId="7BB36B68">
            <w:pPr>
              <w:jc w:val="center"/>
              <w:rPr>
                <w:rFonts w:hint="eastAsia" w:ascii="宋体" w:hAnsi="宋体" w:cs="宋体"/>
                <w:color w:val="auto"/>
                <w:sz w:val="24"/>
                <w:szCs w:val="32"/>
                <w:highlight w:val="none"/>
              </w:rPr>
            </w:pPr>
          </w:p>
        </w:tc>
        <w:tc>
          <w:tcPr>
            <w:tcW w:w="998" w:type="dxa"/>
            <w:gridSpan w:val="2"/>
            <w:vAlign w:val="center"/>
          </w:tcPr>
          <w:p w14:paraId="2D2C5E5B">
            <w:pPr>
              <w:jc w:val="center"/>
              <w:rPr>
                <w:rFonts w:hint="eastAsia" w:ascii="宋体" w:hAnsi="宋体" w:cs="宋体"/>
                <w:color w:val="auto"/>
                <w:sz w:val="24"/>
                <w:szCs w:val="32"/>
                <w:highlight w:val="none"/>
              </w:rPr>
            </w:pPr>
          </w:p>
        </w:tc>
        <w:tc>
          <w:tcPr>
            <w:tcW w:w="1779" w:type="dxa"/>
            <w:vAlign w:val="center"/>
          </w:tcPr>
          <w:p w14:paraId="1A2CA05A">
            <w:pPr>
              <w:jc w:val="center"/>
              <w:rPr>
                <w:rFonts w:hint="eastAsia" w:ascii="宋体" w:hAnsi="宋体" w:cs="宋体"/>
                <w:color w:val="auto"/>
                <w:sz w:val="24"/>
                <w:szCs w:val="32"/>
                <w:highlight w:val="none"/>
              </w:rPr>
            </w:pPr>
          </w:p>
        </w:tc>
      </w:tr>
      <w:tr w14:paraId="16C98C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vAlign w:val="center"/>
          </w:tcPr>
          <w:p w14:paraId="3964312E">
            <w:pPr>
              <w:jc w:val="center"/>
              <w:rPr>
                <w:rFonts w:hint="eastAsia" w:ascii="宋体" w:hAnsi="宋体" w:cs="宋体"/>
                <w:color w:val="auto"/>
                <w:sz w:val="24"/>
                <w:szCs w:val="32"/>
                <w:highlight w:val="none"/>
              </w:rPr>
            </w:pPr>
          </w:p>
        </w:tc>
        <w:tc>
          <w:tcPr>
            <w:tcW w:w="2364" w:type="dxa"/>
            <w:vAlign w:val="center"/>
          </w:tcPr>
          <w:p w14:paraId="53BF7333">
            <w:pPr>
              <w:jc w:val="center"/>
              <w:rPr>
                <w:rFonts w:hint="eastAsia" w:ascii="宋体" w:hAnsi="宋体" w:cs="宋体"/>
                <w:color w:val="auto"/>
                <w:sz w:val="24"/>
                <w:szCs w:val="32"/>
                <w:highlight w:val="none"/>
              </w:rPr>
            </w:pPr>
          </w:p>
        </w:tc>
        <w:tc>
          <w:tcPr>
            <w:tcW w:w="3441" w:type="dxa"/>
            <w:gridSpan w:val="2"/>
            <w:vAlign w:val="center"/>
          </w:tcPr>
          <w:p w14:paraId="72B33BEC">
            <w:pPr>
              <w:jc w:val="center"/>
              <w:rPr>
                <w:rFonts w:hint="eastAsia" w:ascii="宋体" w:hAnsi="宋体" w:cs="宋体"/>
                <w:color w:val="auto"/>
                <w:sz w:val="24"/>
                <w:szCs w:val="32"/>
                <w:highlight w:val="none"/>
              </w:rPr>
            </w:pPr>
          </w:p>
        </w:tc>
        <w:tc>
          <w:tcPr>
            <w:tcW w:w="998" w:type="dxa"/>
            <w:gridSpan w:val="2"/>
            <w:vAlign w:val="center"/>
          </w:tcPr>
          <w:p w14:paraId="610EC91D">
            <w:pPr>
              <w:jc w:val="center"/>
              <w:rPr>
                <w:rFonts w:hint="eastAsia" w:ascii="宋体" w:hAnsi="宋体" w:cs="宋体"/>
                <w:color w:val="auto"/>
                <w:sz w:val="24"/>
                <w:szCs w:val="32"/>
                <w:highlight w:val="none"/>
              </w:rPr>
            </w:pPr>
          </w:p>
        </w:tc>
        <w:tc>
          <w:tcPr>
            <w:tcW w:w="1779" w:type="dxa"/>
            <w:vAlign w:val="center"/>
          </w:tcPr>
          <w:p w14:paraId="0F464B75">
            <w:pPr>
              <w:jc w:val="center"/>
              <w:rPr>
                <w:rFonts w:hint="eastAsia" w:ascii="宋体" w:hAnsi="宋体" w:cs="宋体"/>
                <w:color w:val="auto"/>
                <w:sz w:val="24"/>
                <w:szCs w:val="32"/>
                <w:highlight w:val="none"/>
              </w:rPr>
            </w:pPr>
          </w:p>
        </w:tc>
      </w:tr>
      <w:tr w14:paraId="6A325F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vAlign w:val="center"/>
          </w:tcPr>
          <w:p w14:paraId="4D2EC1F2">
            <w:pPr>
              <w:jc w:val="center"/>
              <w:rPr>
                <w:rFonts w:hint="eastAsia" w:ascii="宋体" w:hAnsi="宋体" w:cs="宋体"/>
                <w:color w:val="auto"/>
                <w:sz w:val="24"/>
                <w:szCs w:val="32"/>
                <w:highlight w:val="none"/>
              </w:rPr>
            </w:pPr>
          </w:p>
        </w:tc>
        <w:tc>
          <w:tcPr>
            <w:tcW w:w="2364" w:type="dxa"/>
            <w:vAlign w:val="center"/>
          </w:tcPr>
          <w:p w14:paraId="15D346D2">
            <w:pPr>
              <w:jc w:val="center"/>
              <w:rPr>
                <w:rFonts w:hint="eastAsia" w:ascii="宋体" w:hAnsi="宋体" w:cs="宋体"/>
                <w:color w:val="auto"/>
                <w:sz w:val="24"/>
                <w:szCs w:val="32"/>
                <w:highlight w:val="none"/>
              </w:rPr>
            </w:pPr>
          </w:p>
        </w:tc>
        <w:tc>
          <w:tcPr>
            <w:tcW w:w="3441" w:type="dxa"/>
            <w:gridSpan w:val="2"/>
            <w:vAlign w:val="center"/>
          </w:tcPr>
          <w:p w14:paraId="65509AF6">
            <w:pPr>
              <w:jc w:val="center"/>
              <w:rPr>
                <w:rFonts w:hint="eastAsia" w:ascii="宋体" w:hAnsi="宋体" w:cs="宋体"/>
                <w:color w:val="auto"/>
                <w:sz w:val="24"/>
                <w:szCs w:val="32"/>
                <w:highlight w:val="none"/>
              </w:rPr>
            </w:pPr>
          </w:p>
        </w:tc>
        <w:tc>
          <w:tcPr>
            <w:tcW w:w="998" w:type="dxa"/>
            <w:gridSpan w:val="2"/>
            <w:vAlign w:val="center"/>
          </w:tcPr>
          <w:p w14:paraId="6055C3CE">
            <w:pPr>
              <w:jc w:val="center"/>
              <w:rPr>
                <w:rFonts w:hint="eastAsia" w:ascii="宋体" w:hAnsi="宋体" w:cs="宋体"/>
                <w:color w:val="auto"/>
                <w:sz w:val="24"/>
                <w:szCs w:val="32"/>
                <w:highlight w:val="none"/>
              </w:rPr>
            </w:pPr>
          </w:p>
        </w:tc>
        <w:tc>
          <w:tcPr>
            <w:tcW w:w="1779" w:type="dxa"/>
            <w:vAlign w:val="center"/>
          </w:tcPr>
          <w:p w14:paraId="55459A04">
            <w:pPr>
              <w:jc w:val="center"/>
              <w:rPr>
                <w:rFonts w:hint="eastAsia" w:ascii="宋体" w:hAnsi="宋体" w:cs="宋体"/>
                <w:color w:val="auto"/>
                <w:sz w:val="24"/>
                <w:szCs w:val="32"/>
                <w:highlight w:val="none"/>
              </w:rPr>
            </w:pPr>
          </w:p>
        </w:tc>
      </w:tr>
      <w:tr w14:paraId="51EE9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vAlign w:val="center"/>
          </w:tcPr>
          <w:p w14:paraId="298D299E">
            <w:pPr>
              <w:jc w:val="center"/>
              <w:rPr>
                <w:rFonts w:hint="eastAsia" w:ascii="宋体" w:hAnsi="宋体" w:cs="宋体"/>
                <w:color w:val="auto"/>
                <w:sz w:val="24"/>
                <w:szCs w:val="32"/>
                <w:highlight w:val="none"/>
              </w:rPr>
            </w:pPr>
          </w:p>
        </w:tc>
        <w:tc>
          <w:tcPr>
            <w:tcW w:w="2364" w:type="dxa"/>
            <w:vAlign w:val="center"/>
          </w:tcPr>
          <w:p w14:paraId="27826DF6">
            <w:pPr>
              <w:jc w:val="center"/>
              <w:rPr>
                <w:rFonts w:hint="eastAsia" w:ascii="宋体" w:hAnsi="宋体" w:cs="宋体"/>
                <w:color w:val="auto"/>
                <w:sz w:val="24"/>
                <w:szCs w:val="32"/>
                <w:highlight w:val="none"/>
              </w:rPr>
            </w:pPr>
          </w:p>
        </w:tc>
        <w:tc>
          <w:tcPr>
            <w:tcW w:w="3441" w:type="dxa"/>
            <w:gridSpan w:val="2"/>
            <w:vAlign w:val="center"/>
          </w:tcPr>
          <w:p w14:paraId="51C14EDB">
            <w:pPr>
              <w:jc w:val="center"/>
              <w:rPr>
                <w:rFonts w:hint="eastAsia" w:ascii="宋体" w:hAnsi="宋体" w:cs="宋体"/>
                <w:color w:val="auto"/>
                <w:sz w:val="24"/>
                <w:szCs w:val="32"/>
                <w:highlight w:val="none"/>
              </w:rPr>
            </w:pPr>
          </w:p>
        </w:tc>
        <w:tc>
          <w:tcPr>
            <w:tcW w:w="998" w:type="dxa"/>
            <w:gridSpan w:val="2"/>
            <w:vAlign w:val="center"/>
          </w:tcPr>
          <w:p w14:paraId="7FFB1540">
            <w:pPr>
              <w:jc w:val="center"/>
              <w:rPr>
                <w:rFonts w:hint="eastAsia" w:ascii="宋体" w:hAnsi="宋体" w:cs="宋体"/>
                <w:color w:val="auto"/>
                <w:sz w:val="24"/>
                <w:szCs w:val="32"/>
                <w:highlight w:val="none"/>
              </w:rPr>
            </w:pPr>
          </w:p>
        </w:tc>
        <w:tc>
          <w:tcPr>
            <w:tcW w:w="1779" w:type="dxa"/>
            <w:vAlign w:val="center"/>
          </w:tcPr>
          <w:p w14:paraId="5E6B3574">
            <w:pPr>
              <w:jc w:val="center"/>
              <w:rPr>
                <w:rFonts w:hint="eastAsia" w:ascii="宋体" w:hAnsi="宋体" w:cs="宋体"/>
                <w:color w:val="auto"/>
                <w:sz w:val="24"/>
                <w:szCs w:val="32"/>
                <w:highlight w:val="none"/>
              </w:rPr>
            </w:pPr>
          </w:p>
        </w:tc>
      </w:tr>
      <w:tr w14:paraId="3DCC3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vAlign w:val="center"/>
          </w:tcPr>
          <w:p w14:paraId="483FD832">
            <w:pPr>
              <w:jc w:val="center"/>
              <w:rPr>
                <w:rFonts w:hint="eastAsia" w:ascii="宋体" w:hAnsi="宋体" w:cs="宋体"/>
                <w:color w:val="auto"/>
                <w:sz w:val="24"/>
                <w:szCs w:val="32"/>
                <w:highlight w:val="none"/>
              </w:rPr>
            </w:pPr>
          </w:p>
        </w:tc>
        <w:tc>
          <w:tcPr>
            <w:tcW w:w="2364" w:type="dxa"/>
            <w:vAlign w:val="center"/>
          </w:tcPr>
          <w:p w14:paraId="5455D7A5">
            <w:pPr>
              <w:jc w:val="center"/>
              <w:rPr>
                <w:rFonts w:hint="eastAsia" w:ascii="宋体" w:hAnsi="宋体" w:cs="宋体"/>
                <w:color w:val="auto"/>
                <w:sz w:val="24"/>
                <w:szCs w:val="32"/>
                <w:highlight w:val="none"/>
              </w:rPr>
            </w:pPr>
          </w:p>
        </w:tc>
        <w:tc>
          <w:tcPr>
            <w:tcW w:w="3441" w:type="dxa"/>
            <w:gridSpan w:val="2"/>
            <w:vAlign w:val="center"/>
          </w:tcPr>
          <w:p w14:paraId="7C3EBAD7">
            <w:pPr>
              <w:jc w:val="center"/>
              <w:rPr>
                <w:rFonts w:hint="eastAsia" w:ascii="宋体" w:hAnsi="宋体" w:cs="宋体"/>
                <w:color w:val="auto"/>
                <w:sz w:val="24"/>
                <w:szCs w:val="32"/>
                <w:highlight w:val="none"/>
              </w:rPr>
            </w:pPr>
          </w:p>
        </w:tc>
        <w:tc>
          <w:tcPr>
            <w:tcW w:w="998" w:type="dxa"/>
            <w:gridSpan w:val="2"/>
            <w:vAlign w:val="center"/>
          </w:tcPr>
          <w:p w14:paraId="0D92CB83">
            <w:pPr>
              <w:jc w:val="center"/>
              <w:rPr>
                <w:rFonts w:hint="eastAsia" w:ascii="宋体" w:hAnsi="宋体" w:cs="宋体"/>
                <w:color w:val="auto"/>
                <w:sz w:val="24"/>
                <w:szCs w:val="32"/>
                <w:highlight w:val="none"/>
              </w:rPr>
            </w:pPr>
          </w:p>
        </w:tc>
        <w:tc>
          <w:tcPr>
            <w:tcW w:w="1779" w:type="dxa"/>
            <w:vAlign w:val="center"/>
          </w:tcPr>
          <w:p w14:paraId="53960860">
            <w:pPr>
              <w:jc w:val="center"/>
              <w:rPr>
                <w:rFonts w:hint="eastAsia" w:ascii="宋体" w:hAnsi="宋体" w:cs="宋体"/>
                <w:color w:val="auto"/>
                <w:sz w:val="24"/>
                <w:szCs w:val="32"/>
                <w:highlight w:val="none"/>
              </w:rPr>
            </w:pPr>
          </w:p>
        </w:tc>
      </w:tr>
      <w:tr w14:paraId="0963B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vAlign w:val="center"/>
          </w:tcPr>
          <w:p w14:paraId="5E415447">
            <w:pPr>
              <w:jc w:val="center"/>
              <w:rPr>
                <w:rFonts w:hint="eastAsia" w:ascii="宋体" w:hAnsi="宋体" w:cs="宋体"/>
                <w:color w:val="auto"/>
                <w:sz w:val="24"/>
                <w:szCs w:val="32"/>
                <w:highlight w:val="none"/>
              </w:rPr>
            </w:pPr>
          </w:p>
        </w:tc>
        <w:tc>
          <w:tcPr>
            <w:tcW w:w="2364" w:type="dxa"/>
            <w:vAlign w:val="center"/>
          </w:tcPr>
          <w:p w14:paraId="0B4B084E">
            <w:pPr>
              <w:jc w:val="center"/>
              <w:rPr>
                <w:rFonts w:hint="eastAsia" w:ascii="宋体" w:hAnsi="宋体" w:cs="宋体"/>
                <w:color w:val="auto"/>
                <w:sz w:val="24"/>
                <w:szCs w:val="32"/>
                <w:highlight w:val="none"/>
              </w:rPr>
            </w:pPr>
          </w:p>
        </w:tc>
        <w:tc>
          <w:tcPr>
            <w:tcW w:w="3441" w:type="dxa"/>
            <w:gridSpan w:val="2"/>
            <w:vAlign w:val="center"/>
          </w:tcPr>
          <w:p w14:paraId="588A4A03">
            <w:pPr>
              <w:jc w:val="center"/>
              <w:rPr>
                <w:rFonts w:hint="eastAsia" w:ascii="宋体" w:hAnsi="宋体" w:cs="宋体"/>
                <w:color w:val="auto"/>
                <w:sz w:val="24"/>
                <w:szCs w:val="32"/>
                <w:highlight w:val="none"/>
              </w:rPr>
            </w:pPr>
          </w:p>
        </w:tc>
        <w:tc>
          <w:tcPr>
            <w:tcW w:w="998" w:type="dxa"/>
            <w:gridSpan w:val="2"/>
            <w:vAlign w:val="center"/>
          </w:tcPr>
          <w:p w14:paraId="4C463F56">
            <w:pPr>
              <w:jc w:val="center"/>
              <w:rPr>
                <w:rFonts w:hint="eastAsia" w:ascii="宋体" w:hAnsi="宋体" w:cs="宋体"/>
                <w:color w:val="auto"/>
                <w:sz w:val="24"/>
                <w:szCs w:val="32"/>
                <w:highlight w:val="none"/>
              </w:rPr>
            </w:pPr>
          </w:p>
        </w:tc>
        <w:tc>
          <w:tcPr>
            <w:tcW w:w="1779" w:type="dxa"/>
            <w:vAlign w:val="center"/>
          </w:tcPr>
          <w:p w14:paraId="3DF8B5D0">
            <w:pPr>
              <w:jc w:val="center"/>
              <w:rPr>
                <w:rFonts w:hint="eastAsia" w:ascii="宋体" w:hAnsi="宋体" w:cs="宋体"/>
                <w:color w:val="auto"/>
                <w:sz w:val="24"/>
                <w:szCs w:val="32"/>
                <w:highlight w:val="none"/>
              </w:rPr>
            </w:pPr>
          </w:p>
        </w:tc>
      </w:tr>
      <w:tr w14:paraId="064417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vAlign w:val="center"/>
          </w:tcPr>
          <w:p w14:paraId="50A8B2A7">
            <w:pPr>
              <w:jc w:val="center"/>
              <w:rPr>
                <w:rFonts w:hint="eastAsia" w:ascii="宋体" w:hAnsi="宋体" w:cs="宋体"/>
                <w:color w:val="auto"/>
                <w:sz w:val="24"/>
                <w:szCs w:val="32"/>
                <w:highlight w:val="none"/>
              </w:rPr>
            </w:pPr>
          </w:p>
        </w:tc>
        <w:tc>
          <w:tcPr>
            <w:tcW w:w="2364" w:type="dxa"/>
            <w:vAlign w:val="center"/>
          </w:tcPr>
          <w:p w14:paraId="72DA9ECF">
            <w:pPr>
              <w:jc w:val="center"/>
              <w:rPr>
                <w:rFonts w:hint="eastAsia" w:ascii="宋体" w:hAnsi="宋体" w:cs="宋体"/>
                <w:color w:val="auto"/>
                <w:sz w:val="24"/>
                <w:szCs w:val="32"/>
                <w:highlight w:val="none"/>
              </w:rPr>
            </w:pPr>
          </w:p>
        </w:tc>
        <w:tc>
          <w:tcPr>
            <w:tcW w:w="3441" w:type="dxa"/>
            <w:gridSpan w:val="2"/>
            <w:vAlign w:val="center"/>
          </w:tcPr>
          <w:p w14:paraId="480B6BDA">
            <w:pPr>
              <w:jc w:val="center"/>
              <w:rPr>
                <w:rFonts w:hint="eastAsia" w:ascii="宋体" w:hAnsi="宋体" w:cs="宋体"/>
                <w:color w:val="auto"/>
                <w:sz w:val="24"/>
                <w:szCs w:val="32"/>
                <w:highlight w:val="none"/>
              </w:rPr>
            </w:pPr>
          </w:p>
        </w:tc>
        <w:tc>
          <w:tcPr>
            <w:tcW w:w="998" w:type="dxa"/>
            <w:gridSpan w:val="2"/>
            <w:vAlign w:val="center"/>
          </w:tcPr>
          <w:p w14:paraId="79355F63">
            <w:pPr>
              <w:jc w:val="center"/>
              <w:rPr>
                <w:rFonts w:hint="eastAsia" w:ascii="宋体" w:hAnsi="宋体" w:cs="宋体"/>
                <w:color w:val="auto"/>
                <w:sz w:val="24"/>
                <w:szCs w:val="32"/>
                <w:highlight w:val="none"/>
              </w:rPr>
            </w:pPr>
          </w:p>
        </w:tc>
        <w:tc>
          <w:tcPr>
            <w:tcW w:w="1779" w:type="dxa"/>
            <w:vAlign w:val="center"/>
          </w:tcPr>
          <w:p w14:paraId="0F9946F6">
            <w:pPr>
              <w:jc w:val="center"/>
              <w:rPr>
                <w:rFonts w:hint="eastAsia" w:ascii="宋体" w:hAnsi="宋体" w:cs="宋体"/>
                <w:color w:val="auto"/>
                <w:sz w:val="24"/>
                <w:szCs w:val="32"/>
                <w:highlight w:val="none"/>
              </w:rPr>
            </w:pPr>
          </w:p>
        </w:tc>
      </w:tr>
      <w:tr w14:paraId="7B2AB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118" w:type="dxa"/>
            <w:vAlign w:val="center"/>
          </w:tcPr>
          <w:p w14:paraId="7D4ECB33">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实际供货日期</w:t>
            </w:r>
          </w:p>
        </w:tc>
        <w:tc>
          <w:tcPr>
            <w:tcW w:w="3943" w:type="dxa"/>
            <w:gridSpan w:val="2"/>
            <w:vAlign w:val="center"/>
          </w:tcPr>
          <w:p w14:paraId="52D6702B">
            <w:pPr>
              <w:jc w:val="center"/>
              <w:rPr>
                <w:rFonts w:hint="eastAsia" w:ascii="宋体" w:hAnsi="宋体" w:cs="宋体"/>
                <w:color w:val="auto"/>
                <w:sz w:val="24"/>
                <w:szCs w:val="32"/>
                <w:highlight w:val="none"/>
              </w:rPr>
            </w:pPr>
          </w:p>
        </w:tc>
        <w:tc>
          <w:tcPr>
            <w:tcW w:w="2522" w:type="dxa"/>
            <w:gridSpan w:val="2"/>
            <w:vAlign w:val="center"/>
          </w:tcPr>
          <w:p w14:paraId="0799F937">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合同交货验收日期</w:t>
            </w:r>
          </w:p>
        </w:tc>
        <w:tc>
          <w:tcPr>
            <w:tcW w:w="2117" w:type="dxa"/>
            <w:gridSpan w:val="2"/>
            <w:vAlign w:val="center"/>
          </w:tcPr>
          <w:p w14:paraId="38FA736B">
            <w:pPr>
              <w:jc w:val="center"/>
              <w:rPr>
                <w:rFonts w:hint="eastAsia" w:ascii="宋体" w:hAnsi="宋体" w:cs="宋体"/>
                <w:color w:val="auto"/>
                <w:sz w:val="24"/>
                <w:szCs w:val="32"/>
                <w:highlight w:val="none"/>
              </w:rPr>
            </w:pPr>
          </w:p>
        </w:tc>
      </w:tr>
      <w:tr w14:paraId="5FD25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118" w:type="dxa"/>
            <w:tcMar>
              <w:top w:w="0" w:type="dxa"/>
              <w:left w:w="108" w:type="dxa"/>
              <w:bottom w:w="0" w:type="dxa"/>
              <w:right w:w="108" w:type="dxa"/>
            </w:tcMar>
            <w:vAlign w:val="center"/>
          </w:tcPr>
          <w:p w14:paraId="2FF3EED3">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验收具体内容</w:t>
            </w:r>
          </w:p>
        </w:tc>
        <w:tc>
          <w:tcPr>
            <w:tcW w:w="8582" w:type="dxa"/>
            <w:gridSpan w:val="6"/>
            <w:tcMar>
              <w:top w:w="0" w:type="dxa"/>
              <w:left w:w="108" w:type="dxa"/>
              <w:bottom w:w="0" w:type="dxa"/>
              <w:right w:w="108" w:type="dxa"/>
            </w:tcMar>
            <w:vAlign w:val="center"/>
          </w:tcPr>
          <w:p w14:paraId="3C1DD71D">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(按招标采购文件、投标响应文件及验收方案等。可附件)</w:t>
            </w:r>
          </w:p>
        </w:tc>
      </w:tr>
      <w:tr w14:paraId="5B38BC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118" w:type="dxa"/>
            <w:tcMar>
              <w:top w:w="0" w:type="dxa"/>
              <w:left w:w="108" w:type="dxa"/>
              <w:bottom w:w="0" w:type="dxa"/>
              <w:right w:w="108" w:type="dxa"/>
            </w:tcMar>
            <w:vAlign w:val="center"/>
          </w:tcPr>
          <w:p w14:paraId="2298C5EB">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验收小组意见</w:t>
            </w:r>
          </w:p>
        </w:tc>
        <w:tc>
          <w:tcPr>
            <w:tcW w:w="8582" w:type="dxa"/>
            <w:gridSpan w:val="6"/>
            <w:vAlign w:val="center"/>
          </w:tcPr>
          <w:p w14:paraId="59ED94CC">
            <w:pPr>
              <w:jc w:val="center"/>
              <w:rPr>
                <w:rFonts w:hint="eastAsia" w:ascii="宋体" w:hAnsi="宋体" w:cs="宋体"/>
                <w:color w:val="auto"/>
                <w:sz w:val="24"/>
                <w:szCs w:val="32"/>
                <w:highlight w:val="none"/>
              </w:rPr>
            </w:pPr>
          </w:p>
          <w:p w14:paraId="0A723A71">
            <w:pPr>
              <w:jc w:val="center"/>
              <w:rPr>
                <w:rFonts w:hint="eastAsia" w:ascii="宋体" w:hAnsi="宋体" w:cs="宋体"/>
                <w:color w:val="auto"/>
                <w:sz w:val="24"/>
                <w:szCs w:val="32"/>
                <w:highlight w:val="none"/>
              </w:rPr>
            </w:pPr>
          </w:p>
        </w:tc>
      </w:tr>
      <w:tr w14:paraId="76E2D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2AB1825C">
            <w:pPr>
              <w:rPr>
                <w:rFonts w:hint="eastAsia" w:ascii="宋体" w:hAnsi="宋体" w:cs="宋体"/>
                <w:color w:val="auto"/>
                <w:sz w:val="24"/>
                <w:szCs w:val="32"/>
                <w:highlight w:val="none"/>
              </w:rPr>
            </w:pPr>
            <w:r>
              <w:rPr>
                <w:rFonts w:hint="eastAsia" w:ascii="宋体" w:hAnsi="宋体" w:cs="宋体"/>
                <w:color w:val="auto"/>
                <w:sz w:val="24"/>
                <w:szCs w:val="32"/>
                <w:highlight w:val="none"/>
              </w:rPr>
              <w:t>验收小组成员签字：</w:t>
            </w:r>
          </w:p>
        </w:tc>
      </w:tr>
      <w:tr w14:paraId="465F6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78AE00BE">
            <w:pPr>
              <w:rPr>
                <w:rFonts w:hint="eastAsia" w:ascii="宋体" w:hAnsi="宋体" w:cs="宋体"/>
                <w:color w:val="auto"/>
                <w:sz w:val="24"/>
                <w:szCs w:val="32"/>
                <w:highlight w:val="none"/>
              </w:rPr>
            </w:pPr>
            <w:r>
              <w:rPr>
                <w:rFonts w:hint="eastAsia" w:ascii="宋体" w:hAnsi="宋体" w:cs="宋体"/>
                <w:color w:val="auto"/>
                <w:sz w:val="24"/>
                <w:szCs w:val="32"/>
                <w:highlight w:val="none"/>
              </w:rPr>
              <w:t>参与验收其他或监督人员签字：</w:t>
            </w:r>
          </w:p>
        </w:tc>
      </w:tr>
      <w:tr w14:paraId="756065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14:paraId="548A1C8B">
            <w:pPr>
              <w:rPr>
                <w:rFonts w:hint="eastAsia" w:ascii="宋体" w:hAnsi="宋体" w:cs="宋体"/>
                <w:color w:val="auto"/>
                <w:sz w:val="24"/>
                <w:szCs w:val="32"/>
                <w:highlight w:val="none"/>
              </w:rPr>
            </w:pPr>
            <w:r>
              <w:rPr>
                <w:rFonts w:hint="eastAsia" w:ascii="宋体" w:hAnsi="宋体" w:cs="宋体"/>
                <w:color w:val="auto"/>
                <w:sz w:val="24"/>
                <w:szCs w:val="32"/>
                <w:highlight w:val="none"/>
              </w:rPr>
              <w:t>供应商签字或盖章：</w:t>
            </w:r>
          </w:p>
          <w:p w14:paraId="5175F456">
            <w:pPr>
              <w:rPr>
                <w:rFonts w:hint="eastAsia" w:ascii="宋体" w:hAnsi="宋体" w:cs="宋体"/>
                <w:color w:val="auto"/>
                <w:sz w:val="24"/>
                <w:szCs w:val="32"/>
                <w:highlight w:val="none"/>
              </w:rPr>
            </w:pPr>
            <w:r>
              <w:rPr>
                <w:rFonts w:hint="eastAsia" w:ascii="宋体" w:hAnsi="宋体" w:cs="宋体"/>
                <w:color w:val="auto"/>
                <w:sz w:val="24"/>
                <w:szCs w:val="32"/>
                <w:highlight w:val="none"/>
              </w:rPr>
              <w:t>联系方式：         年 月 日</w:t>
            </w:r>
          </w:p>
        </w:tc>
        <w:tc>
          <w:tcPr>
            <w:tcW w:w="4639" w:type="dxa"/>
            <w:gridSpan w:val="4"/>
            <w:vAlign w:val="center"/>
          </w:tcPr>
          <w:p w14:paraId="352B5A0A">
            <w:pPr>
              <w:rPr>
                <w:rFonts w:hint="eastAsia" w:ascii="宋体" w:hAnsi="宋体" w:cs="宋体"/>
                <w:color w:val="auto"/>
                <w:sz w:val="24"/>
                <w:szCs w:val="32"/>
                <w:highlight w:val="none"/>
              </w:rPr>
            </w:pPr>
            <w:r>
              <w:rPr>
                <w:rFonts w:hint="eastAsia" w:ascii="宋体" w:hAnsi="宋体" w:cs="宋体"/>
                <w:color w:val="auto"/>
                <w:sz w:val="24"/>
                <w:szCs w:val="32"/>
                <w:highlight w:val="none"/>
              </w:rPr>
              <w:t>采购单位盖章：</w:t>
            </w:r>
          </w:p>
          <w:p w14:paraId="5B2A0075">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年 月 日</w:t>
            </w:r>
          </w:p>
        </w:tc>
      </w:tr>
    </w:tbl>
    <w:p w14:paraId="0E2815F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备注：本报告单一式4份（采购单位1份、供应商1份、采购监督部门备案1份、采购代理机构1份）。</w:t>
      </w:r>
    </w:p>
    <w:p w14:paraId="32DEEF4F">
      <w:pPr>
        <w:snapToGrid w:val="0"/>
        <w:spacing w:before="320" w:after="350"/>
        <w:jc w:val="center"/>
        <w:outlineLvl w:val="0"/>
        <w:rPr>
          <w:rFonts w:hint="eastAsia" w:ascii="宋体" w:hAnsi="宋体" w:cs="宋体"/>
          <w:b/>
          <w:bCs/>
          <w:color w:val="auto"/>
          <w:sz w:val="36"/>
          <w:szCs w:val="36"/>
          <w:highlight w:val="none"/>
        </w:rPr>
      </w:pPr>
      <w:r>
        <w:rPr>
          <w:rFonts w:hint="eastAsia" w:ascii="宋体" w:hAnsi="宋体" w:cs="宋体"/>
          <w:color w:val="auto"/>
          <w:highlight w:val="none"/>
        </w:rPr>
        <w:br w:type="page"/>
      </w:r>
      <w:bookmarkStart w:id="109" w:name="_Toc4800"/>
      <w:r>
        <w:rPr>
          <w:rFonts w:hint="eastAsia" w:ascii="宋体" w:hAnsi="宋体" w:cs="宋体"/>
          <w:b/>
          <w:bCs/>
          <w:color w:val="auto"/>
          <w:sz w:val="36"/>
          <w:szCs w:val="36"/>
          <w:highlight w:val="none"/>
        </w:rPr>
        <w:t>第六章  投标文件格式</w:t>
      </w:r>
      <w:bookmarkEnd w:id="109"/>
    </w:p>
    <w:p w14:paraId="2D8F6FFC">
      <w:pPr>
        <w:pStyle w:val="21"/>
        <w:ind w:firstLine="0" w:firstLineChars="0"/>
        <w:rPr>
          <w:color w:val="auto"/>
          <w:highlight w:val="none"/>
        </w:rPr>
      </w:pPr>
    </w:p>
    <w:p w14:paraId="72C7D88E">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一、投标文件格式</w:t>
      </w:r>
    </w:p>
    <w:p w14:paraId="77CBC0C2">
      <w:pPr>
        <w:snapToGrid w:val="0"/>
        <w:spacing w:before="120" w:beforeLines="50" w:after="50"/>
        <w:jc w:val="center"/>
        <w:rPr>
          <w:rFonts w:hint="eastAsia" w:ascii="宋体" w:hAnsi="宋体" w:cs="宋体"/>
          <w:b/>
          <w:color w:val="auto"/>
          <w:szCs w:val="21"/>
          <w:highlight w:val="none"/>
        </w:rPr>
      </w:pPr>
    </w:p>
    <w:p w14:paraId="5EAED85F">
      <w:pPr>
        <w:snapToGrid w:val="0"/>
        <w:spacing w:before="120" w:beforeLines="50" w:after="50"/>
        <w:jc w:val="center"/>
        <w:rPr>
          <w:rFonts w:hint="eastAsia" w:ascii="宋体" w:hAnsi="宋体" w:cs="宋体"/>
          <w:b/>
          <w:color w:val="auto"/>
          <w:szCs w:val="21"/>
          <w:highlight w:val="none"/>
        </w:rPr>
      </w:pPr>
    </w:p>
    <w:p w14:paraId="74AFA520">
      <w:pPr>
        <w:snapToGrid w:val="0"/>
        <w:spacing w:before="120" w:beforeLines="50" w:after="50"/>
        <w:jc w:val="center"/>
        <w:rPr>
          <w:rFonts w:hint="eastAsia" w:ascii="宋体" w:hAnsi="宋体" w:cs="宋体"/>
          <w:bCs/>
          <w:color w:val="auto"/>
          <w:szCs w:val="21"/>
          <w:highlight w:val="none"/>
        </w:rPr>
      </w:pPr>
    </w:p>
    <w:p w14:paraId="115EBD0E">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7A878272">
      <w:pPr>
        <w:snapToGrid w:val="0"/>
        <w:spacing w:before="120" w:beforeLines="50" w:after="50"/>
        <w:rPr>
          <w:rFonts w:hint="eastAsia" w:ascii="宋体" w:hAnsi="宋体" w:cs="宋体"/>
          <w:bCs/>
          <w:color w:val="auto"/>
          <w:szCs w:val="21"/>
          <w:highlight w:val="none"/>
        </w:rPr>
      </w:pPr>
    </w:p>
    <w:p w14:paraId="3BA450BE">
      <w:pPr>
        <w:snapToGrid w:val="0"/>
        <w:spacing w:before="120" w:beforeLines="50" w:after="50"/>
        <w:ind w:firstLine="450" w:firstLineChars="15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29BA5048">
      <w:pPr>
        <w:snapToGrid w:val="0"/>
        <w:spacing w:before="120" w:beforeLines="50" w:after="50"/>
        <w:ind w:firstLine="450" w:firstLineChars="150"/>
        <w:rPr>
          <w:rFonts w:hint="eastAsia" w:ascii="宋体" w:hAnsi="宋体" w:cs="宋体"/>
          <w:bCs/>
          <w:color w:val="auto"/>
          <w:sz w:val="30"/>
          <w:szCs w:val="30"/>
          <w:highlight w:val="none"/>
        </w:rPr>
      </w:pPr>
    </w:p>
    <w:p w14:paraId="6BA6AA07">
      <w:pPr>
        <w:snapToGrid w:val="0"/>
        <w:spacing w:before="120" w:beforeLines="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73D5C082">
      <w:pPr>
        <w:snapToGrid w:val="0"/>
        <w:spacing w:before="120" w:beforeLines="50" w:after="50"/>
        <w:ind w:firstLine="450" w:firstLineChars="150"/>
        <w:rPr>
          <w:rFonts w:hint="eastAsia" w:ascii="宋体" w:hAnsi="宋体" w:cs="宋体"/>
          <w:bCs/>
          <w:color w:val="auto"/>
          <w:sz w:val="30"/>
          <w:szCs w:val="30"/>
          <w:highlight w:val="none"/>
        </w:rPr>
      </w:pPr>
    </w:p>
    <w:p w14:paraId="6A471FB4">
      <w:pPr>
        <w:snapToGrid w:val="0"/>
        <w:spacing w:before="120" w:beforeLines="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所投分标：</w:t>
      </w:r>
      <w:r>
        <w:rPr>
          <w:rFonts w:hint="eastAsia" w:ascii="宋体" w:hAnsi="宋体" w:cs="宋体"/>
          <w:bCs/>
          <w:color w:val="auto"/>
          <w:sz w:val="30"/>
          <w:szCs w:val="30"/>
          <w:highlight w:val="none"/>
          <w:u w:val="single"/>
        </w:rPr>
        <w:t xml:space="preserve">                       </w:t>
      </w:r>
    </w:p>
    <w:p w14:paraId="45982C8F">
      <w:pPr>
        <w:pStyle w:val="2"/>
        <w:rPr>
          <w:color w:val="auto"/>
          <w:highlight w:val="none"/>
        </w:rPr>
      </w:pPr>
    </w:p>
    <w:p w14:paraId="79F24090">
      <w:pPr>
        <w:pStyle w:val="2"/>
        <w:rPr>
          <w:color w:val="auto"/>
          <w:highlight w:val="none"/>
        </w:rPr>
      </w:pPr>
    </w:p>
    <w:p w14:paraId="5DA3D39D">
      <w:pPr>
        <w:pStyle w:val="9"/>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投标文件组成：</w:t>
      </w:r>
      <w:r>
        <w:rPr>
          <w:rFonts w:hint="eastAsia" w:ascii="宋体" w:hAnsi="宋体" w:cs="宋体"/>
          <w:bCs/>
          <w:color w:val="auto"/>
          <w:sz w:val="30"/>
          <w:szCs w:val="30"/>
          <w:highlight w:val="none"/>
          <w:u w:val="single"/>
        </w:rPr>
        <w:t xml:space="preserve">资格文件、报价文件、商务技术文件     </w:t>
      </w:r>
    </w:p>
    <w:p w14:paraId="70FA1F40">
      <w:pPr>
        <w:pStyle w:val="9"/>
        <w:snapToGrid w:val="0"/>
        <w:spacing w:before="50" w:after="50"/>
        <w:ind w:firstLine="450" w:firstLineChars="150"/>
        <w:rPr>
          <w:rFonts w:hint="eastAsia" w:ascii="宋体" w:hAnsi="宋体" w:cs="宋体"/>
          <w:bCs/>
          <w:color w:val="auto"/>
          <w:sz w:val="30"/>
          <w:szCs w:val="30"/>
          <w:highlight w:val="none"/>
        </w:rPr>
      </w:pPr>
    </w:p>
    <w:p w14:paraId="468DC5B2">
      <w:pPr>
        <w:pStyle w:val="9"/>
        <w:snapToGrid w:val="0"/>
        <w:spacing w:before="50" w:after="50"/>
        <w:ind w:firstLine="450" w:firstLineChars="15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p>
    <w:p w14:paraId="47E629C9">
      <w:pPr>
        <w:pStyle w:val="9"/>
        <w:snapToGrid w:val="0"/>
        <w:spacing w:before="50" w:after="50"/>
        <w:ind w:firstLine="450" w:firstLineChars="150"/>
        <w:rPr>
          <w:rFonts w:hint="eastAsia" w:ascii="宋体" w:hAnsi="宋体" w:cs="宋体"/>
          <w:bCs/>
          <w:color w:val="auto"/>
          <w:sz w:val="30"/>
          <w:szCs w:val="30"/>
          <w:highlight w:val="none"/>
        </w:rPr>
      </w:pPr>
    </w:p>
    <w:p w14:paraId="63DDE1FA">
      <w:pPr>
        <w:pStyle w:val="9"/>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法定代表人或其被授权代表</w:t>
      </w:r>
      <w:r>
        <w:rPr>
          <w:rFonts w:hint="eastAsia" w:ascii="宋体" w:hAnsi="宋体" w:cs="宋体"/>
          <w:b/>
          <w:color w:val="auto"/>
          <w:sz w:val="30"/>
          <w:szCs w:val="30"/>
          <w:highlight w:val="none"/>
        </w:rPr>
        <w:t>（签字或盖章）</w:t>
      </w:r>
      <w:r>
        <w:rPr>
          <w:rFonts w:hint="eastAsia" w:ascii="宋体" w:hAnsi="宋体" w:cs="宋体"/>
          <w:bCs/>
          <w:color w:val="auto"/>
          <w:sz w:val="30"/>
          <w:szCs w:val="30"/>
          <w:highlight w:val="non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52332B7B">
      <w:pPr>
        <w:pStyle w:val="9"/>
        <w:snapToGrid w:val="0"/>
        <w:spacing w:before="50" w:after="50"/>
        <w:ind w:firstLine="450" w:firstLineChars="150"/>
        <w:rPr>
          <w:rFonts w:hint="eastAsia" w:ascii="宋体" w:hAnsi="宋体" w:cs="宋体"/>
          <w:bCs/>
          <w:color w:val="auto"/>
          <w:sz w:val="30"/>
          <w:szCs w:val="30"/>
          <w:highlight w:val="none"/>
        </w:rPr>
      </w:pPr>
    </w:p>
    <w:p w14:paraId="1017EA99">
      <w:pPr>
        <w:pStyle w:val="9"/>
        <w:snapToGrid w:val="0"/>
        <w:spacing w:before="50" w:after="50"/>
        <w:ind w:firstLine="450" w:firstLineChars="150"/>
        <w:rPr>
          <w:rFonts w:hint="eastAsia" w:ascii="宋体" w:hAnsi="宋体" w:cs="宋体"/>
          <w:bCs/>
          <w:color w:val="auto"/>
          <w:sz w:val="30"/>
          <w:szCs w:val="30"/>
          <w:highlight w:val="none"/>
        </w:rPr>
      </w:pPr>
    </w:p>
    <w:p w14:paraId="008FAC0E">
      <w:pPr>
        <w:pStyle w:val="9"/>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开标时启封</w:t>
      </w:r>
    </w:p>
    <w:p w14:paraId="22C8389B">
      <w:pPr>
        <w:pStyle w:val="9"/>
        <w:snapToGrid w:val="0"/>
        <w:spacing w:before="50" w:after="50"/>
        <w:ind w:firstLine="450" w:firstLineChars="150"/>
        <w:rPr>
          <w:rFonts w:hint="eastAsia" w:ascii="宋体" w:hAnsi="宋体" w:cs="宋体"/>
          <w:bCs/>
          <w:color w:val="auto"/>
          <w:sz w:val="30"/>
          <w:szCs w:val="30"/>
          <w:highlight w:val="none"/>
        </w:rPr>
      </w:pPr>
    </w:p>
    <w:p w14:paraId="76304987">
      <w:pPr>
        <w:pStyle w:val="9"/>
        <w:snapToGrid w:val="0"/>
        <w:spacing w:before="50" w:after="50"/>
        <w:ind w:firstLine="450" w:firstLineChars="150"/>
        <w:rPr>
          <w:rFonts w:hint="eastAsia" w:ascii="宋体" w:hAnsi="宋体" w:cs="宋体"/>
          <w:bCs/>
          <w:color w:val="auto"/>
          <w:sz w:val="30"/>
          <w:szCs w:val="30"/>
          <w:highlight w:val="none"/>
        </w:rPr>
      </w:pPr>
    </w:p>
    <w:p w14:paraId="3581C6BA">
      <w:pPr>
        <w:pStyle w:val="9"/>
        <w:snapToGrid w:val="0"/>
        <w:spacing w:before="50" w:after="50"/>
        <w:ind w:firstLine="450" w:firstLineChars="150"/>
        <w:rPr>
          <w:rFonts w:hint="eastAsia" w:ascii="宋体" w:hAnsi="宋体" w:cs="宋体"/>
          <w:bCs/>
          <w:color w:val="auto"/>
          <w:sz w:val="30"/>
          <w:szCs w:val="30"/>
          <w:highlight w:val="none"/>
        </w:rPr>
      </w:pPr>
    </w:p>
    <w:p w14:paraId="4EB1A769">
      <w:pPr>
        <w:pStyle w:val="9"/>
        <w:snapToGrid w:val="0"/>
        <w:spacing w:before="50" w:after="50"/>
        <w:ind w:firstLine="450" w:firstLineChars="150"/>
        <w:rPr>
          <w:rFonts w:hint="eastAsia" w:ascii="宋体" w:hAnsi="宋体" w:cs="宋体"/>
          <w:bCs/>
          <w:color w:val="auto"/>
          <w:sz w:val="30"/>
          <w:szCs w:val="30"/>
          <w:highlight w:val="none"/>
        </w:rPr>
      </w:pPr>
    </w:p>
    <w:p w14:paraId="107038D2">
      <w:pPr>
        <w:pStyle w:val="9"/>
        <w:snapToGrid w:val="0"/>
        <w:spacing w:before="50" w:after="50"/>
        <w:ind w:firstLine="450" w:firstLineChars="150"/>
        <w:rPr>
          <w:rFonts w:hint="eastAsia" w:ascii="宋体" w:hAnsi="宋体" w:cs="宋体"/>
          <w:bCs/>
          <w:color w:val="auto"/>
          <w:sz w:val="30"/>
          <w:szCs w:val="30"/>
          <w:highlight w:val="none"/>
        </w:rPr>
      </w:pPr>
    </w:p>
    <w:p w14:paraId="3C408351">
      <w:pPr>
        <w:pStyle w:val="9"/>
        <w:snapToGrid w:val="0"/>
        <w:spacing w:before="50" w:after="50"/>
        <w:ind w:firstLine="450" w:firstLineChars="15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年    月    日</w:t>
      </w:r>
    </w:p>
    <w:p w14:paraId="11FA88A7">
      <w:pPr>
        <w:pStyle w:val="9"/>
        <w:snapToGrid w:val="0"/>
        <w:spacing w:before="50" w:after="50"/>
        <w:ind w:firstLine="450" w:firstLineChars="150"/>
        <w:rPr>
          <w:rFonts w:hint="eastAsia" w:ascii="宋体" w:hAnsi="宋体" w:cs="宋体"/>
          <w:bCs/>
          <w:color w:val="auto"/>
          <w:sz w:val="30"/>
          <w:szCs w:val="30"/>
          <w:highlight w:val="none"/>
        </w:rPr>
      </w:pPr>
    </w:p>
    <w:p w14:paraId="53593A6B">
      <w:pPr>
        <w:snapToGrid w:val="0"/>
        <w:spacing w:before="120" w:beforeLines="50" w:after="50"/>
        <w:jc w:val="center"/>
        <w:outlineLvl w:val="1"/>
        <w:rPr>
          <w:rFonts w:hint="eastAsia" w:ascii="宋体" w:hAnsi="宋体" w:cs="宋体"/>
          <w:color w:val="auto"/>
          <w:szCs w:val="21"/>
          <w:highlight w:val="none"/>
        </w:rPr>
      </w:pPr>
    </w:p>
    <w:p w14:paraId="21230D37">
      <w:pPr>
        <w:snapToGrid w:val="0"/>
        <w:spacing w:before="120" w:beforeLines="50" w:after="50"/>
        <w:rPr>
          <w:rFonts w:hint="eastAsia"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 xml:space="preserve"> 投标文件（资格文件）封面格式：</w:t>
      </w:r>
    </w:p>
    <w:p w14:paraId="58BEB180">
      <w:pPr>
        <w:snapToGrid w:val="0"/>
        <w:spacing w:before="120" w:beforeLines="50" w:after="50"/>
        <w:rPr>
          <w:rFonts w:hint="eastAsia" w:ascii="宋体" w:hAnsi="宋体" w:cs="宋体"/>
          <w:bCs/>
          <w:color w:val="auto"/>
          <w:szCs w:val="21"/>
          <w:highlight w:val="none"/>
        </w:rPr>
      </w:pPr>
    </w:p>
    <w:p w14:paraId="26AC5005">
      <w:pPr>
        <w:snapToGrid w:val="0"/>
        <w:spacing w:before="120" w:beforeLines="50" w:after="50"/>
        <w:rPr>
          <w:rFonts w:hint="eastAsia" w:ascii="宋体" w:hAnsi="宋体" w:cs="宋体"/>
          <w:bCs/>
          <w:color w:val="auto"/>
          <w:szCs w:val="21"/>
          <w:highlight w:val="none"/>
        </w:rPr>
      </w:pPr>
    </w:p>
    <w:p w14:paraId="3B86A576">
      <w:pPr>
        <w:snapToGrid w:val="0"/>
        <w:spacing w:before="120" w:beforeLines="50" w:after="50"/>
        <w:rPr>
          <w:rFonts w:hint="eastAsia" w:ascii="宋体" w:hAnsi="宋体" w:cs="宋体"/>
          <w:bCs/>
          <w:color w:val="auto"/>
          <w:szCs w:val="21"/>
          <w:highlight w:val="none"/>
        </w:rPr>
      </w:pPr>
    </w:p>
    <w:p w14:paraId="37866AF2">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3AC19FE7">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31204087">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3D584C31">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7F6FC2C6">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7D901100">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（资格文件）</w:t>
      </w:r>
    </w:p>
    <w:p w14:paraId="1AE91C92">
      <w:pPr>
        <w:snapToGrid w:val="0"/>
        <w:spacing w:before="120" w:beforeLines="50" w:after="50"/>
        <w:ind w:firstLine="9" w:firstLineChars="3"/>
        <w:jc w:val="center"/>
        <w:rPr>
          <w:rFonts w:hint="eastAsia" w:ascii="宋体" w:hAnsi="宋体" w:cs="宋体"/>
          <w:bCs/>
          <w:color w:val="auto"/>
          <w:sz w:val="32"/>
          <w:szCs w:val="32"/>
          <w:highlight w:val="none"/>
        </w:rPr>
      </w:pPr>
    </w:p>
    <w:p w14:paraId="7BF9D258">
      <w:pPr>
        <w:snapToGrid w:val="0"/>
        <w:spacing w:before="120" w:beforeLines="50" w:after="50"/>
        <w:rPr>
          <w:rFonts w:hint="eastAsia" w:ascii="宋体" w:hAnsi="宋体" w:cs="宋体"/>
          <w:bCs/>
          <w:color w:val="auto"/>
          <w:szCs w:val="21"/>
          <w:highlight w:val="none"/>
        </w:rPr>
      </w:pPr>
    </w:p>
    <w:p w14:paraId="3A077AD9">
      <w:pPr>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4C009A7E">
      <w:pPr>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4E33AE70">
      <w:pPr>
        <w:snapToGrid w:val="0"/>
        <w:spacing w:before="120" w:beforeLines="50" w:after="50" w:line="480" w:lineRule="auto"/>
        <w:ind w:firstLine="837" w:firstLineChars="279"/>
        <w:rPr>
          <w:rFonts w:hint="eastAsia" w:ascii="宋体" w:hAnsi="宋体" w:cs="宋体"/>
          <w:bCs/>
          <w:color w:val="auto"/>
          <w:sz w:val="30"/>
          <w:szCs w:val="30"/>
          <w:highlight w:val="none"/>
        </w:rPr>
      </w:pPr>
      <w:r>
        <w:rPr>
          <w:rFonts w:hint="eastAsia" w:ascii="宋体" w:hAnsi="宋体" w:cs="宋体"/>
          <w:bCs/>
          <w:color w:val="auto"/>
          <w:sz w:val="30"/>
          <w:szCs w:val="30"/>
          <w:highlight w:val="none"/>
        </w:rPr>
        <w:t>所投分标：</w:t>
      </w:r>
      <w:r>
        <w:rPr>
          <w:rFonts w:hint="eastAsia" w:ascii="宋体" w:hAnsi="宋体" w:cs="宋体"/>
          <w:bCs/>
          <w:color w:val="auto"/>
          <w:sz w:val="30"/>
          <w:szCs w:val="30"/>
          <w:highlight w:val="none"/>
          <w:u w:val="single"/>
        </w:rPr>
        <w:t xml:space="preserve">                       </w:t>
      </w:r>
    </w:p>
    <w:p w14:paraId="2FB7D049">
      <w:pPr>
        <w:pStyle w:val="9"/>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p>
    <w:p w14:paraId="39BE52F1">
      <w:pPr>
        <w:pStyle w:val="9"/>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法定代表人或其被授权代表</w:t>
      </w:r>
      <w:r>
        <w:rPr>
          <w:rFonts w:hint="eastAsia" w:ascii="宋体" w:hAnsi="宋体" w:cs="宋体"/>
          <w:b/>
          <w:color w:val="auto"/>
          <w:sz w:val="30"/>
          <w:szCs w:val="30"/>
          <w:highlight w:val="none"/>
        </w:rPr>
        <w:t>（签字或盖章）</w:t>
      </w:r>
      <w:r>
        <w:rPr>
          <w:rFonts w:hint="eastAsia" w:ascii="宋体" w:hAnsi="宋体" w:cs="宋体"/>
          <w:bCs/>
          <w:color w:val="auto"/>
          <w:sz w:val="30"/>
          <w:szCs w:val="30"/>
          <w:highlight w:val="none"/>
        </w:rPr>
        <w:t>：</w:t>
      </w:r>
      <w:r>
        <w:rPr>
          <w:rFonts w:hint="eastAsia" w:ascii="宋体" w:hAnsi="宋体" w:cs="宋体"/>
          <w:bCs/>
          <w:color w:val="auto"/>
          <w:sz w:val="30"/>
          <w:szCs w:val="30"/>
          <w:highlight w:val="none"/>
          <w:u w:val="single"/>
        </w:rPr>
        <w:t xml:space="preserve">        </w:t>
      </w:r>
    </w:p>
    <w:p w14:paraId="5580B9E5">
      <w:pPr>
        <w:pStyle w:val="9"/>
        <w:snapToGrid w:val="0"/>
        <w:spacing w:before="50" w:after="50" w:line="280" w:lineRule="exact"/>
        <w:ind w:firstLine="675" w:firstLineChars="225"/>
        <w:rPr>
          <w:rFonts w:hint="eastAsia" w:ascii="宋体" w:hAnsi="宋体" w:cs="宋体"/>
          <w:bCs/>
          <w:color w:val="auto"/>
          <w:sz w:val="30"/>
          <w:szCs w:val="30"/>
          <w:highlight w:val="none"/>
        </w:rPr>
      </w:pPr>
    </w:p>
    <w:p w14:paraId="466877EF">
      <w:pPr>
        <w:snapToGrid w:val="0"/>
        <w:spacing w:before="120" w:beforeLines="50" w:after="50"/>
        <w:ind w:firstLine="10"/>
        <w:jc w:val="center"/>
        <w:rPr>
          <w:rFonts w:hint="eastAsia" w:ascii="宋体" w:hAnsi="宋体" w:cs="宋体"/>
          <w:color w:val="auto"/>
          <w:sz w:val="30"/>
          <w:szCs w:val="30"/>
          <w:highlight w:val="none"/>
        </w:rPr>
      </w:pPr>
    </w:p>
    <w:p w14:paraId="30CDDB53">
      <w:pPr>
        <w:snapToGrid w:val="0"/>
        <w:spacing w:before="120" w:beforeLines="50" w:after="50"/>
        <w:ind w:firstLine="10"/>
        <w:jc w:val="center"/>
        <w:rPr>
          <w:rFonts w:hint="eastAsia" w:ascii="宋体" w:hAnsi="宋体" w:cs="宋体"/>
          <w:color w:val="auto"/>
          <w:sz w:val="30"/>
          <w:szCs w:val="30"/>
          <w:highlight w:val="none"/>
        </w:rPr>
      </w:pPr>
    </w:p>
    <w:p w14:paraId="6463CE46">
      <w:pPr>
        <w:snapToGrid w:val="0"/>
        <w:spacing w:before="120" w:beforeLines="50" w:after="50"/>
        <w:ind w:firstLine="10"/>
        <w:jc w:val="center"/>
        <w:rPr>
          <w:rFonts w:hint="eastAsia" w:ascii="宋体" w:hAnsi="宋体" w:cs="宋体"/>
          <w:color w:val="auto"/>
          <w:sz w:val="30"/>
          <w:szCs w:val="30"/>
          <w:highlight w:val="none"/>
        </w:rPr>
      </w:pPr>
    </w:p>
    <w:p w14:paraId="63ED4C70">
      <w:pPr>
        <w:snapToGrid w:val="0"/>
        <w:spacing w:before="120" w:beforeLines="50" w:after="50"/>
        <w:ind w:firstLine="10"/>
        <w:jc w:val="center"/>
        <w:rPr>
          <w:rFonts w:hint="eastAsia" w:ascii="宋体" w:hAnsi="宋体" w:cs="宋体"/>
          <w:color w:val="auto"/>
          <w:sz w:val="30"/>
          <w:szCs w:val="30"/>
          <w:highlight w:val="none"/>
        </w:rPr>
      </w:pPr>
    </w:p>
    <w:p w14:paraId="219A4BF1">
      <w:pPr>
        <w:snapToGrid w:val="0"/>
        <w:spacing w:before="120" w:beforeLines="50" w:after="50" w:line="320" w:lineRule="exact"/>
        <w:jc w:val="center"/>
        <w:rPr>
          <w:rFonts w:hint="eastAsia" w:ascii="宋体" w:hAnsi="宋体" w:cs="宋体"/>
          <w:bCs/>
          <w:color w:val="auto"/>
          <w:highlight w:val="none"/>
        </w:rPr>
      </w:pPr>
      <w:r>
        <w:rPr>
          <w:rFonts w:hint="eastAsia" w:ascii="宋体" w:hAnsi="宋体" w:cs="宋体"/>
          <w:color w:val="auto"/>
          <w:sz w:val="30"/>
          <w:szCs w:val="30"/>
          <w:highlight w:val="none"/>
        </w:rPr>
        <w:t>年  月  日</w:t>
      </w:r>
    </w:p>
    <w:p w14:paraId="37601B91">
      <w:pPr>
        <w:snapToGrid w:val="0"/>
        <w:spacing w:before="50" w:after="50"/>
        <w:rPr>
          <w:rFonts w:hint="eastAsia" w:ascii="宋体" w:hAnsi="宋体" w:cs="宋体"/>
          <w:b/>
          <w:bCs/>
          <w:color w:val="auto"/>
          <w:szCs w:val="21"/>
          <w:highlight w:val="none"/>
        </w:rPr>
      </w:pPr>
    </w:p>
    <w:p w14:paraId="7D0E5A4C">
      <w:pPr>
        <w:snapToGrid w:val="0"/>
        <w:spacing w:before="50" w:after="50"/>
        <w:rPr>
          <w:rFonts w:hint="eastAsia" w:ascii="宋体" w:hAnsi="宋体" w:cs="宋体"/>
          <w:b/>
          <w:bCs/>
          <w:color w:val="auto"/>
          <w:szCs w:val="21"/>
          <w:highlight w:val="none"/>
        </w:rPr>
      </w:pPr>
    </w:p>
    <w:p w14:paraId="2AAB0089">
      <w:pPr>
        <w:snapToGrid w:val="0"/>
        <w:spacing w:before="50" w:after="50"/>
        <w:rPr>
          <w:rFonts w:hint="eastAsia" w:ascii="宋体" w:hAnsi="宋体" w:cs="宋体"/>
          <w:b/>
          <w:bCs/>
          <w:color w:val="auto"/>
          <w:szCs w:val="21"/>
          <w:highlight w:val="none"/>
        </w:rPr>
      </w:pPr>
    </w:p>
    <w:p w14:paraId="7D404309">
      <w:pPr>
        <w:snapToGrid w:val="0"/>
        <w:spacing w:before="50" w:after="50"/>
        <w:rPr>
          <w:rFonts w:hint="eastAsia" w:ascii="宋体" w:hAnsi="宋体" w:cs="宋体"/>
          <w:b/>
          <w:bCs/>
          <w:color w:val="auto"/>
          <w:szCs w:val="21"/>
          <w:highlight w:val="none"/>
        </w:rPr>
      </w:pPr>
    </w:p>
    <w:p w14:paraId="2558A41C">
      <w:pPr>
        <w:snapToGrid w:val="0"/>
        <w:spacing w:before="50" w:after="50"/>
        <w:rPr>
          <w:rFonts w:hint="eastAsia" w:ascii="宋体" w:hAnsi="宋体" w:cs="宋体"/>
          <w:b/>
          <w:bCs/>
          <w:color w:val="auto"/>
          <w:szCs w:val="21"/>
          <w:highlight w:val="none"/>
        </w:rPr>
      </w:pPr>
    </w:p>
    <w:p w14:paraId="549C991E">
      <w:pPr>
        <w:snapToGrid w:val="0"/>
        <w:spacing w:before="50" w:after="50"/>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投标文件（资格文件）目录：</w:t>
      </w:r>
    </w:p>
    <w:p w14:paraId="16AAF0AA">
      <w:pPr>
        <w:tabs>
          <w:tab w:val="left" w:pos="3870"/>
          <w:tab w:val="left" w:pos="4085"/>
        </w:tabs>
        <w:snapToGrid w:val="0"/>
        <w:spacing w:line="500" w:lineRule="exact"/>
        <w:jc w:val="center"/>
        <w:rPr>
          <w:rFonts w:hint="eastAsia" w:ascii="宋体" w:hAnsi="宋体" w:cs="宋体"/>
          <w:color w:val="auto"/>
          <w:sz w:val="44"/>
          <w:szCs w:val="44"/>
          <w:highlight w:val="none"/>
        </w:rPr>
      </w:pPr>
    </w:p>
    <w:p w14:paraId="36DF584A">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资格文件目录</w:t>
      </w:r>
    </w:p>
    <w:p w14:paraId="314AE101">
      <w:pPr>
        <w:tabs>
          <w:tab w:val="left" w:pos="3870"/>
          <w:tab w:val="left" w:pos="4085"/>
        </w:tabs>
        <w:snapToGrid w:val="0"/>
        <w:spacing w:line="360" w:lineRule="exact"/>
        <w:ind w:firstLine="420" w:firstLineChars="200"/>
        <w:jc w:val="left"/>
        <w:rPr>
          <w:rFonts w:hint="eastAsia" w:ascii="宋体" w:hAnsi="宋体" w:cs="宋体"/>
          <w:color w:val="auto"/>
          <w:szCs w:val="21"/>
          <w:highlight w:val="none"/>
        </w:rPr>
      </w:pPr>
    </w:p>
    <w:p w14:paraId="20A6C034">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bookmarkStart w:id="110" w:name="_Toc835"/>
      <w:r>
        <w:rPr>
          <w:rFonts w:hint="eastAsia" w:ascii="宋体" w:hAnsi="宋体" w:cs="宋体"/>
          <w:color w:val="auto"/>
          <w:sz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cs="宋体"/>
          <w:b/>
          <w:color w:val="auto"/>
          <w:sz w:val="24"/>
          <w:highlight w:val="none"/>
        </w:rPr>
        <w:t>（必须提供，否则作无效投标处理）</w:t>
      </w:r>
    </w:p>
    <w:p w14:paraId="38284064">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（2）政府采购供应商资格信用承诺函；</w:t>
      </w:r>
      <w:r>
        <w:rPr>
          <w:rFonts w:hint="eastAsia" w:ascii="宋体" w:hAnsi="宋体" w:cs="宋体"/>
          <w:b/>
          <w:color w:val="auto"/>
          <w:sz w:val="24"/>
          <w:highlight w:val="none"/>
        </w:rPr>
        <w:t>（必须提供，否则作无效投标处理）</w:t>
      </w:r>
    </w:p>
    <w:p w14:paraId="7B3B0A53">
      <w:pPr>
        <w:tabs>
          <w:tab w:val="left" w:pos="3870"/>
          <w:tab w:val="left" w:pos="4085"/>
        </w:tabs>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w:t>
      </w:r>
      <w:r>
        <w:rPr>
          <w:rFonts w:hint="eastAsia" w:ascii="宋体" w:hAnsi="宋体" w:cs="宋体"/>
          <w:color w:val="auto"/>
          <w:sz w:val="24"/>
          <w:highlight w:val="none"/>
        </w:rPr>
        <w:t>投标声明书（按第六章要求格式填写）；</w:t>
      </w:r>
      <w:r>
        <w:rPr>
          <w:rFonts w:hint="eastAsia" w:ascii="宋体" w:hAnsi="宋体" w:cs="宋体"/>
          <w:b/>
          <w:color w:val="auto"/>
          <w:sz w:val="24"/>
          <w:highlight w:val="none"/>
        </w:rPr>
        <w:t>（必须提供，否则作无效投标处理）</w:t>
      </w:r>
    </w:p>
    <w:p w14:paraId="230815BA">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（4）投标人直接控股、管理关系信息表（按第六章要求格式填写）；</w:t>
      </w:r>
      <w:r>
        <w:rPr>
          <w:rFonts w:hint="eastAsia" w:ascii="宋体" w:hAnsi="宋体" w:cs="宋体"/>
          <w:b/>
          <w:color w:val="auto"/>
          <w:sz w:val="24"/>
          <w:highlight w:val="none"/>
        </w:rPr>
        <w:t>（必须提供，否则作无效投标处理）</w:t>
      </w:r>
    </w:p>
    <w:p w14:paraId="083658EA">
      <w:pPr>
        <w:pStyle w:val="14"/>
        <w:spacing w:line="400" w:lineRule="exact"/>
        <w:ind w:firstLine="420"/>
        <w:rPr>
          <w:rFonts w:hint="eastAsia" w:hAnsi="宋体" w:cs="宋体"/>
          <w:color w:val="auto"/>
          <w:sz w:val="24"/>
          <w:szCs w:val="24"/>
          <w:highlight w:val="none"/>
        </w:rPr>
      </w:pPr>
      <w:r>
        <w:rPr>
          <w:rFonts w:hint="eastAsia" w:hAnsi="宋体" w:cs="宋体"/>
          <w:color w:val="auto"/>
          <w:sz w:val="24"/>
          <w:szCs w:val="24"/>
          <w:highlight w:val="none"/>
        </w:rPr>
        <w:t>（5）投标人如为分支机构投标的，须提供其总公司对投标人针对本项目的授权书；（如有，格式自拟）</w:t>
      </w:r>
    </w:p>
    <w:p w14:paraId="27FDC268">
      <w:pPr>
        <w:tabs>
          <w:tab w:val="left" w:pos="3870"/>
          <w:tab w:val="left" w:pos="4085"/>
        </w:tabs>
        <w:snapToGrid w:val="0"/>
        <w:spacing w:line="360" w:lineRule="auto"/>
        <w:ind w:firstLine="420" w:firstLineChars="175"/>
        <w:jc w:val="left"/>
        <w:rPr>
          <w:rFonts w:hint="eastAsia" w:ascii="宋体" w:hAnsi="宋体" w:cs="宋体"/>
          <w:b/>
          <w:color w:val="auto"/>
          <w:sz w:val="24"/>
          <w:highlight w:val="none"/>
        </w:rPr>
      </w:pPr>
      <w:r>
        <w:rPr>
          <w:rFonts w:hint="eastAsia" w:ascii="宋体" w:hAnsi="宋体" w:cs="宋体"/>
          <w:color w:val="auto"/>
          <w:sz w:val="24"/>
          <w:highlight w:val="none"/>
        </w:rPr>
        <w:t>（6）中小企业声明函或残疾人福利单位声明函；</w:t>
      </w:r>
      <w:r>
        <w:rPr>
          <w:rFonts w:hint="eastAsia" w:ascii="宋体" w:hAnsi="宋体" w:cs="宋体"/>
          <w:b/>
          <w:bCs/>
          <w:color w:val="auto"/>
          <w:sz w:val="24"/>
          <w:highlight w:val="none"/>
        </w:rPr>
        <w:t>（标项二必须提供，按第六章要求格式填写，</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4D17C880">
      <w:pPr>
        <w:pStyle w:val="14"/>
        <w:spacing w:line="360" w:lineRule="auto"/>
        <w:ind w:firstLine="420" w:firstLineChars="175"/>
        <w:rPr>
          <w:rFonts w:hint="eastAsia" w:hAnsi="宋体" w:cs="宋体"/>
          <w:color w:val="auto"/>
          <w:sz w:val="24"/>
          <w:szCs w:val="24"/>
          <w:highlight w:val="none"/>
        </w:rPr>
      </w:pPr>
    </w:p>
    <w:p w14:paraId="2473C399">
      <w:pPr>
        <w:snapToGrid w:val="0"/>
        <w:spacing w:before="120" w:beforeLines="50" w:after="50" w:line="360" w:lineRule="auto"/>
        <w:ind w:firstLine="420" w:firstLineChars="175"/>
        <w:outlineLvl w:val="1"/>
        <w:rPr>
          <w:rFonts w:hint="eastAsia" w:ascii="宋体" w:hAnsi="宋体" w:cs="宋体"/>
          <w:color w:val="auto"/>
          <w:sz w:val="24"/>
          <w:highlight w:val="none"/>
        </w:rPr>
      </w:pPr>
    </w:p>
    <w:p w14:paraId="08238A0B">
      <w:pPr>
        <w:snapToGrid w:val="0"/>
        <w:spacing w:before="120" w:beforeLines="50" w:after="50" w:line="360" w:lineRule="auto"/>
        <w:ind w:firstLine="422" w:firstLineChars="175"/>
        <w:outlineLvl w:val="1"/>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注：以上目录是基本格式要求，各投标人可根据自身情况进一步向下增加内容或细化，并编写对应页码。</w:t>
      </w:r>
      <w:bookmarkEnd w:id="110"/>
    </w:p>
    <w:p w14:paraId="56738A15">
      <w:pPr>
        <w:snapToGrid w:val="0"/>
        <w:spacing w:before="120" w:beforeLines="50" w:after="50"/>
        <w:outlineLvl w:val="1"/>
        <w:rPr>
          <w:rFonts w:hint="eastAsia" w:ascii="宋体" w:hAnsi="宋体" w:cs="宋体"/>
          <w:b/>
          <w:bCs/>
          <w:color w:val="auto"/>
          <w:szCs w:val="21"/>
          <w:highlight w:val="none"/>
        </w:rPr>
      </w:pPr>
    </w:p>
    <w:p w14:paraId="29852969">
      <w:pPr>
        <w:spacing w:line="360" w:lineRule="auto"/>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24"/>
          <w:highlight w:val="none"/>
          <w:lang w:val="zh-CN"/>
        </w:rPr>
        <w:t>（1）</w:t>
      </w:r>
      <w:r>
        <w:rPr>
          <w:rFonts w:hint="eastAsia" w:ascii="宋体" w:hAnsi="宋体" w:cs="宋体"/>
          <w:b/>
          <w:color w:val="auto"/>
          <w:sz w:val="24"/>
          <w:highlight w:val="none"/>
        </w:rPr>
        <w:t>投标人有效的“营业执照”副本原件扫描件（或事业单位法人证书原件扫描件、民办非企业单位登记证书原件扫描件等；投标人为自然人的，提供身份证原件扫描件或其他电子文件）</w:t>
      </w:r>
    </w:p>
    <w:p w14:paraId="74927C8E">
      <w:pPr>
        <w:spacing w:line="360" w:lineRule="auto"/>
        <w:rPr>
          <w:rFonts w:hint="eastAsia" w:ascii="宋体" w:hAnsi="宋体" w:cs="宋体"/>
          <w:b/>
          <w:color w:val="auto"/>
          <w:sz w:val="24"/>
          <w:highlight w:val="none"/>
        </w:rPr>
      </w:pPr>
    </w:p>
    <w:p w14:paraId="32C14481">
      <w:pPr>
        <w:spacing w:line="360" w:lineRule="auto"/>
        <w:rPr>
          <w:rFonts w:hint="eastAsia" w:ascii="宋体" w:hAnsi="宋体" w:cs="宋体"/>
          <w:b/>
          <w:color w:val="auto"/>
          <w:sz w:val="24"/>
          <w:highlight w:val="none"/>
        </w:rPr>
      </w:pPr>
    </w:p>
    <w:p w14:paraId="3B6DD883">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0017F6A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25E2F13">
      <w:pPr>
        <w:spacing w:line="360" w:lineRule="auto"/>
        <w:jc w:val="center"/>
        <w:rPr>
          <w:rFonts w:hint="eastAsia" w:ascii="宋体" w:hAnsi="宋体" w:cs="宋体"/>
          <w:b/>
          <w:color w:val="auto"/>
          <w:sz w:val="24"/>
          <w:highlight w:val="none"/>
        </w:rPr>
      </w:pPr>
    </w:p>
    <w:p w14:paraId="6240AD8A">
      <w:pPr>
        <w:snapToGrid w:val="0"/>
        <w:spacing w:line="360" w:lineRule="auto"/>
        <w:ind w:right="480"/>
        <w:rPr>
          <w:rFonts w:hint="eastAsia" w:ascii="宋体" w:hAnsi="宋体" w:cs="宋体"/>
          <w:b/>
          <w:color w:val="auto"/>
          <w:kern w:val="0"/>
          <w:sz w:val="24"/>
          <w:highlight w:val="none"/>
        </w:rPr>
      </w:pPr>
    </w:p>
    <w:p w14:paraId="664E731A">
      <w:pPr>
        <w:snapToGrid w:val="0"/>
        <w:spacing w:line="360" w:lineRule="auto"/>
        <w:ind w:right="480"/>
        <w:rPr>
          <w:rFonts w:hint="eastAsia" w:ascii="黑体" w:hAnsi="黑体" w:eastAsia="黑体" w:cs="黑体"/>
          <w:b/>
          <w:bCs/>
          <w:color w:val="auto"/>
          <w:sz w:val="44"/>
          <w:szCs w:val="4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（2）政府采购供应商资格信用承诺函</w:t>
      </w:r>
    </w:p>
    <w:p w14:paraId="6AA2A2D4">
      <w:pPr>
        <w:snapToGrid w:val="0"/>
        <w:spacing w:before="50" w:after="120" w:afterLines="50" w:line="360" w:lineRule="auto"/>
        <w:jc w:val="center"/>
        <w:rPr>
          <w:rFonts w:hint="eastAsia" w:ascii="宋体" w:hAnsi="宋体" w:cs="宋体"/>
          <w:b/>
          <w:color w:val="auto"/>
          <w:kern w:val="0"/>
          <w:sz w:val="32"/>
          <w:szCs w:val="32"/>
          <w:highlight w:val="none"/>
        </w:rPr>
      </w:pPr>
    </w:p>
    <w:p w14:paraId="7C4D9EEA">
      <w:pPr>
        <w:snapToGrid w:val="0"/>
        <w:spacing w:before="50" w:after="120" w:afterLines="50" w:line="360" w:lineRule="auto"/>
        <w:jc w:val="center"/>
        <w:rPr>
          <w:color w:val="auto"/>
          <w:sz w:val="32"/>
          <w:szCs w:val="32"/>
          <w:highlight w:val="none"/>
        </w:rPr>
      </w:pPr>
      <w:r>
        <w:rPr>
          <w:rFonts w:hint="eastAsia" w:ascii="宋体" w:hAnsi="宋体" w:cs="宋体"/>
          <w:b/>
          <w:color w:val="auto"/>
          <w:kern w:val="0"/>
          <w:sz w:val="32"/>
          <w:szCs w:val="32"/>
          <w:highlight w:val="none"/>
        </w:rPr>
        <w:t>政府采购供应商资格信用承诺函</w:t>
      </w:r>
    </w:p>
    <w:p w14:paraId="48D67988">
      <w:pPr>
        <w:autoSpaceDE w:val="0"/>
        <w:autoSpaceDN w:val="0"/>
        <w:adjustRightIn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6701406D">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我方自愿参加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 xml:space="preserve">）的政府采购活动，并郑重承诺我方符合《中华人民共和国政府采购法》第二十二条规定的条件： </w:t>
      </w:r>
    </w:p>
    <w:p w14:paraId="361196A0">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5BCC49B8">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473510A1">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59CBC2D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78FE571E">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50610FC3">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36A67B0A">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2BCB0840">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b/>
          <w:bCs/>
          <w:color w:val="auto"/>
          <w:spacing w:val="6"/>
          <w:sz w:val="24"/>
          <w:highlight w:val="none"/>
        </w:rPr>
        <w:t>特此声明！</w:t>
      </w:r>
      <w:r>
        <w:rPr>
          <w:rFonts w:hint="eastAsia" w:ascii="宋体" w:hAnsi="宋体" w:cs="宋体"/>
          <w:color w:val="auto"/>
          <w:spacing w:val="6"/>
          <w:sz w:val="24"/>
          <w:highlight w:val="none"/>
        </w:rPr>
        <w:t xml:space="preserve"> </w:t>
      </w:r>
    </w:p>
    <w:p w14:paraId="27083C05">
      <w:pPr>
        <w:pStyle w:val="21"/>
        <w:tabs>
          <w:tab w:val="left" w:pos="0"/>
        </w:tabs>
        <w:spacing w:line="360" w:lineRule="auto"/>
        <w:ind w:firstLine="504"/>
        <w:rPr>
          <w:rFonts w:hint="eastAsia" w:ascii="宋体" w:hAnsi="宋体" w:cs="宋体"/>
          <w:color w:val="auto"/>
          <w:spacing w:val="6"/>
          <w:sz w:val="24"/>
          <w:highlight w:val="none"/>
        </w:rPr>
      </w:pPr>
    </w:p>
    <w:p w14:paraId="01F34B36">
      <w:pPr>
        <w:spacing w:line="360" w:lineRule="auto"/>
        <w:rPr>
          <w:rFonts w:hint="eastAsia" w:ascii="宋体" w:hAnsi="宋体" w:cs="宋体"/>
          <w:color w:val="auto"/>
          <w:sz w:val="24"/>
          <w:highlight w:val="none"/>
        </w:rPr>
      </w:pPr>
    </w:p>
    <w:p w14:paraId="6D98FD5A">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（签字）：</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 xml:space="preserve">   </w:t>
      </w:r>
    </w:p>
    <w:p w14:paraId="213C6261">
      <w:pPr>
        <w:pStyle w:val="14"/>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rPr>
        <w:t>政府采购供应商</w:t>
      </w:r>
      <w:r>
        <w:rPr>
          <w:rFonts w:hint="eastAsia" w:hAnsi="宋体" w:cs="宋体"/>
          <w:b/>
          <w:bCs/>
          <w:color w:val="auto"/>
          <w:sz w:val="24"/>
          <w:szCs w:val="24"/>
          <w:highlight w:val="none"/>
        </w:rPr>
        <w:t>（CA电子签章）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2496F762">
      <w:pPr>
        <w:pStyle w:val="14"/>
        <w:spacing w:line="360" w:lineRule="auto"/>
        <w:jc w:val="right"/>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4E9D43C4">
      <w:pPr>
        <w:pStyle w:val="14"/>
        <w:spacing w:line="360" w:lineRule="auto"/>
        <w:rPr>
          <w:rFonts w:hint="eastAsia" w:hAnsi="宋体" w:cs="宋体"/>
          <w:b/>
          <w:color w:val="auto"/>
          <w:sz w:val="24"/>
          <w:szCs w:val="24"/>
          <w:highlight w:val="none"/>
        </w:rPr>
      </w:pPr>
    </w:p>
    <w:p w14:paraId="023D95E4">
      <w:pPr>
        <w:pStyle w:val="14"/>
        <w:spacing w:line="360" w:lineRule="auto"/>
        <w:ind w:firstLine="482" w:firstLineChars="200"/>
        <w:rPr>
          <w:rFonts w:hint="eastAsia" w:hAnsi="宋体" w:cs="宋体"/>
          <w:b/>
          <w:color w:val="auto"/>
          <w:sz w:val="24"/>
          <w:szCs w:val="24"/>
          <w:highlight w:val="none"/>
        </w:rPr>
      </w:pPr>
    </w:p>
    <w:p w14:paraId="0FABFD95">
      <w:pPr>
        <w:pStyle w:val="14"/>
        <w:spacing w:line="360" w:lineRule="auto"/>
        <w:rPr>
          <w:rFonts w:hint="eastAsia" w:hAnsi="宋体" w:cs="宋体"/>
          <w:b/>
          <w:color w:val="auto"/>
          <w:sz w:val="24"/>
          <w:szCs w:val="24"/>
          <w:highlight w:val="none"/>
        </w:rPr>
      </w:pPr>
    </w:p>
    <w:p w14:paraId="542C07FC">
      <w:pPr>
        <w:pStyle w:val="14"/>
        <w:spacing w:line="360" w:lineRule="auto"/>
        <w:ind w:firstLine="482" w:firstLineChars="200"/>
        <w:rPr>
          <w:rFonts w:hint="eastAsia" w:hAnsi="宋体" w:cs="宋体"/>
          <w:b/>
          <w:color w:val="auto"/>
          <w:sz w:val="32"/>
          <w:szCs w:val="32"/>
          <w:highlight w:val="none"/>
          <w:lang w:val="zh-CN"/>
        </w:rPr>
      </w:pPr>
      <w:r>
        <w:rPr>
          <w:rFonts w:hint="eastAsia" w:hAnsi="宋体" w:cs="宋体"/>
          <w:b/>
          <w:color w:val="auto"/>
          <w:sz w:val="24"/>
          <w:szCs w:val="24"/>
          <w:highlight w:val="none"/>
        </w:rPr>
        <w:t>注：此项材料必须</w:t>
      </w:r>
      <w:r>
        <w:rPr>
          <w:rFonts w:hint="eastAsia" w:hAnsi="宋体" w:cs="宋体"/>
          <w:b/>
          <w:bCs/>
          <w:color w:val="auto"/>
          <w:sz w:val="24"/>
          <w:szCs w:val="24"/>
          <w:highlight w:val="none"/>
        </w:rPr>
        <w:t>以PDF格式上传。</w:t>
      </w:r>
    </w:p>
    <w:p w14:paraId="383B2AA2">
      <w:pPr>
        <w:snapToGrid w:val="0"/>
        <w:spacing w:line="360" w:lineRule="auto"/>
        <w:rPr>
          <w:rFonts w:hint="eastAsia" w:ascii="宋体" w:hAnsi="宋体" w:cs="宋体"/>
          <w:b/>
          <w:color w:val="auto"/>
          <w:szCs w:val="21"/>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24"/>
          <w:highlight w:val="none"/>
        </w:rPr>
        <w:t>（3）</w:t>
      </w:r>
      <w:r>
        <w:rPr>
          <w:rFonts w:hint="eastAsia" w:ascii="宋体" w:hAnsi="宋体" w:cs="宋体"/>
          <w:b/>
          <w:color w:val="auto"/>
          <w:sz w:val="24"/>
          <w:highlight w:val="none"/>
        </w:rPr>
        <w:t>投标声明书格式：</w:t>
      </w:r>
    </w:p>
    <w:p w14:paraId="50DF6BC2">
      <w:pPr>
        <w:snapToGrid w:val="0"/>
        <w:spacing w:before="120" w:beforeLines="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投标声明书</w:t>
      </w:r>
    </w:p>
    <w:p w14:paraId="2635C25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鹿寨县教育局、广西信和招标代理有限公司（</w:t>
      </w:r>
      <w:r>
        <w:rPr>
          <w:rFonts w:hint="eastAsia" w:ascii="宋体" w:hAnsi="宋体" w:cs="宋体"/>
          <w:color w:val="auto"/>
          <w:sz w:val="24"/>
          <w:highlight w:val="none"/>
        </w:rPr>
        <w:t>招标采购单位名称）：</w:t>
      </w:r>
    </w:p>
    <w:p w14:paraId="776CC39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（投标人名称）系中华人民共和国合法企业，经营地址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99599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（投标人名称）的法定代表人（负责人），我方愿意参加贵方组织的</w:t>
      </w:r>
      <w:r>
        <w:rPr>
          <w:rFonts w:hint="eastAsia" w:ascii="宋体" w:hAnsi="宋体" w:cs="宋体"/>
          <w:color w:val="auto"/>
          <w:sz w:val="24"/>
          <w:highlight w:val="none"/>
          <w:u w:val="single"/>
        </w:rPr>
        <w:t>(项目名称)               （项目编号：        ）</w:t>
      </w:r>
      <w:r>
        <w:rPr>
          <w:rFonts w:hint="eastAsia" w:ascii="宋体" w:hAnsi="宋体" w:cs="宋体"/>
          <w:color w:val="auto"/>
          <w:sz w:val="24"/>
          <w:highlight w:val="none"/>
        </w:rPr>
        <w:t>的投标，为便于贵方公正、择优地确定中标人及其投标产品和服务，我方就本次投标有关事项郑重声明如下：</w:t>
      </w:r>
    </w:p>
    <w:p w14:paraId="700EE3E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64ACE6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2.我方承诺已经具备《中华人民共和国政府采购法》第二十二条中规定的参加政府采购活动的供应商应当具备的条件：</w:t>
      </w:r>
    </w:p>
    <w:p w14:paraId="7EDDB81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AECF0D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EDFA2C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475454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EF6E1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6026A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68B79F8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6F9CC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3.我方参加政府采购活动前三年内，在经营活动中没有重大违法记录。</w:t>
      </w:r>
    </w:p>
    <w:p w14:paraId="3FDDD0D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4.经查询，在“信用中国”和“中国政府采购网”网站我方未被列入失信被执行人、重大税收违法失信主体、政府采购严重违法失信行为记录名单。</w:t>
      </w:r>
    </w:p>
    <w:p w14:paraId="3BA08B9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1917D309">
      <w:pPr>
        <w:pStyle w:val="29"/>
        <w:snapToGrid w:val="0"/>
        <w:spacing w:before="120" w:beforeLines="50"/>
        <w:ind w:firstLine="200"/>
        <w:rPr>
          <w:rFonts w:hint="eastAsia" w:ascii="宋体" w:hAnsi="宋体" w:cs="宋体"/>
          <w:color w:val="auto"/>
          <w:sz w:val="21"/>
          <w:szCs w:val="21"/>
          <w:highlight w:val="none"/>
        </w:rPr>
      </w:pPr>
    </w:p>
    <w:p w14:paraId="4207B611">
      <w:pPr>
        <w:pStyle w:val="14"/>
        <w:spacing w:line="36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CE0940D">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b/>
          <w:bCs/>
          <w:color w:val="auto"/>
          <w:sz w:val="24"/>
          <w:highlight w:val="none"/>
        </w:rPr>
        <w:t>签名:</w:t>
      </w:r>
      <w:r>
        <w:rPr>
          <w:rFonts w:hint="eastAsia" w:ascii="宋体" w:hAnsi="宋体" w:cs="宋体"/>
          <w:color w:val="auto"/>
          <w:sz w:val="24"/>
          <w:highlight w:val="none"/>
          <w:u w:val="single"/>
        </w:rPr>
        <w:t xml:space="preserve">                          </w:t>
      </w:r>
    </w:p>
    <w:p w14:paraId="0E9C8374">
      <w:pPr>
        <w:pStyle w:val="14"/>
        <w:spacing w:line="360" w:lineRule="auto"/>
        <w:ind w:firstLine="420"/>
        <w:rPr>
          <w:rFonts w:hint="eastAsia" w:hAnsi="宋体" w:cs="宋体"/>
          <w:color w:val="auto"/>
          <w:sz w:val="24"/>
          <w:szCs w:val="24"/>
          <w:highlight w:val="none"/>
        </w:rPr>
      </w:pPr>
      <w:r>
        <w:rPr>
          <w:rFonts w:hint="eastAsia" w:hAnsi="宋体" w:cs="宋体"/>
          <w:color w:val="auto"/>
          <w:sz w:val="24"/>
          <w:szCs w:val="24"/>
          <w:highlight w:val="none"/>
        </w:rPr>
        <w:t xml:space="preserve">                                                   年    月    日</w:t>
      </w:r>
    </w:p>
    <w:p w14:paraId="256BAC9E">
      <w:pPr>
        <w:snapToGrid w:val="0"/>
        <w:spacing w:before="50" w:after="120" w:afterLines="50" w:line="360" w:lineRule="auto"/>
        <w:rPr>
          <w:rFonts w:hint="eastAsia" w:ascii="宋体" w:hAnsi="宋体" w:cs="宋体"/>
          <w:b/>
          <w:color w:val="auto"/>
          <w:kern w:val="0"/>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（4）</w:t>
      </w:r>
      <w:r>
        <w:rPr>
          <w:rFonts w:hint="eastAsia" w:ascii="宋体" w:hAnsi="宋体" w:cs="宋体"/>
          <w:b/>
          <w:color w:val="auto"/>
          <w:kern w:val="0"/>
          <w:sz w:val="24"/>
          <w:highlight w:val="none"/>
        </w:rPr>
        <w:t>投标人直接控股、管理关系信息表格式</w:t>
      </w:r>
    </w:p>
    <w:p w14:paraId="2EC9FB12">
      <w:pPr>
        <w:snapToGrid w:val="0"/>
        <w:spacing w:before="50" w:after="120" w:afterLines="50"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投标人直接控股股东信息表</w:t>
      </w:r>
    </w:p>
    <w:tbl>
      <w:tblPr>
        <w:tblStyle w:val="22"/>
        <w:tblW w:w="0" w:type="auto"/>
        <w:tblInd w:w="0" w:type="dxa"/>
        <w:tblLayout w:type="fixed"/>
        <w:tblCellMar>
          <w:top w:w="0" w:type="dxa"/>
          <w:left w:w="0" w:type="dxa"/>
          <w:bottom w:w="0" w:type="dxa"/>
          <w:right w:w="0" w:type="dxa"/>
        </w:tblCellMar>
      </w:tblPr>
      <w:tblGrid>
        <w:gridCol w:w="828"/>
        <w:gridCol w:w="2269"/>
        <w:gridCol w:w="1239"/>
        <w:gridCol w:w="4006"/>
        <w:gridCol w:w="1134"/>
      </w:tblGrid>
      <w:tr w14:paraId="430A185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B1BAEE">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5D0AAF">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6FCDB1">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出资比例</w:t>
            </w:r>
          </w:p>
        </w:tc>
        <w:tc>
          <w:tcPr>
            <w:tcW w:w="4006"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32CB48">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AD43AC">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6E7CADC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55A3C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796DD2">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7711CA">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F26001">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59D63E">
            <w:pPr>
              <w:spacing w:line="360" w:lineRule="auto"/>
              <w:jc w:val="center"/>
              <w:rPr>
                <w:rFonts w:hint="eastAsia" w:ascii="宋体" w:hAnsi="宋体" w:cs="宋体"/>
                <w:color w:val="auto"/>
                <w:kern w:val="0"/>
                <w:sz w:val="24"/>
                <w:highlight w:val="none"/>
              </w:rPr>
            </w:pPr>
          </w:p>
        </w:tc>
      </w:tr>
      <w:tr w14:paraId="1E1F35A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22F63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4D9D31">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940D28">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C9A5C0">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E89815">
            <w:pPr>
              <w:spacing w:line="360" w:lineRule="auto"/>
              <w:jc w:val="center"/>
              <w:rPr>
                <w:rFonts w:hint="eastAsia" w:ascii="宋体" w:hAnsi="宋体" w:cs="宋体"/>
                <w:color w:val="auto"/>
                <w:kern w:val="0"/>
                <w:sz w:val="24"/>
                <w:highlight w:val="none"/>
              </w:rPr>
            </w:pPr>
          </w:p>
        </w:tc>
      </w:tr>
      <w:tr w14:paraId="6156EF4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E5ACB5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38C4B7">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8DF8C14">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0DAED0">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F82959">
            <w:pPr>
              <w:spacing w:line="360" w:lineRule="auto"/>
              <w:jc w:val="center"/>
              <w:rPr>
                <w:rFonts w:hint="eastAsia" w:ascii="宋体" w:hAnsi="宋体" w:cs="宋体"/>
                <w:color w:val="auto"/>
                <w:kern w:val="0"/>
                <w:sz w:val="24"/>
                <w:highlight w:val="none"/>
              </w:rPr>
            </w:pPr>
          </w:p>
        </w:tc>
      </w:tr>
      <w:tr w14:paraId="37600B6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258C1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7C5BBF">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D87EDC">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879AE8">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4EA014">
            <w:pPr>
              <w:spacing w:line="360" w:lineRule="auto"/>
              <w:jc w:val="center"/>
              <w:rPr>
                <w:rFonts w:hint="eastAsia" w:ascii="宋体" w:hAnsi="宋体" w:cs="宋体"/>
                <w:color w:val="auto"/>
                <w:kern w:val="0"/>
                <w:sz w:val="24"/>
                <w:highlight w:val="none"/>
              </w:rPr>
            </w:pPr>
          </w:p>
        </w:tc>
      </w:tr>
    </w:tbl>
    <w:p w14:paraId="7AA1B2EC">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注：</w:t>
      </w:r>
    </w:p>
    <w:p w14:paraId="2859FF66">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A7A2AE">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D18B0A5">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73D9610">
      <w:pPr>
        <w:snapToGrid w:val="0"/>
        <w:spacing w:line="360" w:lineRule="auto"/>
        <w:ind w:firstLine="420" w:firstLineChars="175"/>
        <w:jc w:val="left"/>
        <w:rPr>
          <w:rFonts w:hint="eastAsia" w:ascii="宋体" w:hAnsi="宋体" w:cs="宋体"/>
          <w:color w:val="auto"/>
          <w:sz w:val="24"/>
          <w:highlight w:val="none"/>
        </w:rPr>
      </w:pPr>
    </w:p>
    <w:p w14:paraId="50B2C1D9">
      <w:pPr>
        <w:snapToGrid w:val="0"/>
        <w:spacing w:line="360" w:lineRule="auto"/>
        <w:jc w:val="left"/>
        <w:rPr>
          <w:rFonts w:hint="eastAsia" w:ascii="宋体" w:hAnsi="宋体" w:cs="宋体"/>
          <w:color w:val="auto"/>
          <w:sz w:val="24"/>
          <w:highlight w:val="none"/>
        </w:rPr>
      </w:pPr>
    </w:p>
    <w:p w14:paraId="74C37A18">
      <w:pPr>
        <w:snapToGrid w:val="0"/>
        <w:spacing w:line="360" w:lineRule="auto"/>
        <w:ind w:firstLine="420" w:firstLineChars="175"/>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0A2FE9E0">
      <w:pPr>
        <w:snapToGrid w:val="0"/>
        <w:spacing w:line="360" w:lineRule="auto"/>
        <w:ind w:firstLine="420" w:firstLineChars="175"/>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2BF34A">
      <w:pPr>
        <w:snapToGrid w:val="0"/>
        <w:spacing w:line="360" w:lineRule="auto"/>
        <w:jc w:val="center"/>
        <w:rPr>
          <w:rFonts w:hint="eastAsia" w:ascii="宋体" w:hAnsi="宋体" w:cs="宋体"/>
          <w:b/>
          <w:color w:val="auto"/>
          <w:sz w:val="32"/>
          <w:szCs w:val="32"/>
          <w:highlight w:val="none"/>
        </w:rPr>
      </w:pPr>
    </w:p>
    <w:p w14:paraId="10215193">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p w14:paraId="69433942">
      <w:pPr>
        <w:snapToGrid w:val="0"/>
        <w:spacing w:line="360" w:lineRule="auto"/>
        <w:jc w:val="center"/>
        <w:rPr>
          <w:rFonts w:hint="eastAsia" w:ascii="宋体" w:hAnsi="宋体" w:cs="宋体"/>
          <w:b/>
          <w:color w:val="auto"/>
          <w:sz w:val="32"/>
          <w:szCs w:val="32"/>
          <w:highlight w:val="none"/>
        </w:rPr>
      </w:pPr>
    </w:p>
    <w:tbl>
      <w:tblPr>
        <w:tblStyle w:val="22"/>
        <w:tblW w:w="0" w:type="auto"/>
        <w:tblInd w:w="0" w:type="dxa"/>
        <w:tblLayout w:type="fixed"/>
        <w:tblCellMar>
          <w:top w:w="0" w:type="dxa"/>
          <w:left w:w="0" w:type="dxa"/>
          <w:bottom w:w="0" w:type="dxa"/>
          <w:right w:w="0" w:type="dxa"/>
        </w:tblCellMar>
      </w:tblPr>
      <w:tblGrid>
        <w:gridCol w:w="1005"/>
        <w:gridCol w:w="2659"/>
        <w:gridCol w:w="3924"/>
        <w:gridCol w:w="2064"/>
      </w:tblGrid>
      <w:tr w14:paraId="7A6BBE9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F89668">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AEF02B">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407A09">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969200">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567632D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7BE10E">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5759819">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58D1E4">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791DBA">
            <w:pPr>
              <w:spacing w:line="360" w:lineRule="auto"/>
              <w:jc w:val="center"/>
              <w:rPr>
                <w:rFonts w:hint="eastAsia" w:ascii="宋体" w:hAnsi="宋体" w:cs="宋体"/>
                <w:color w:val="auto"/>
                <w:kern w:val="0"/>
                <w:sz w:val="22"/>
                <w:szCs w:val="22"/>
                <w:highlight w:val="none"/>
              </w:rPr>
            </w:pPr>
          </w:p>
        </w:tc>
      </w:tr>
      <w:tr w14:paraId="3AE42F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88A2B8">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D72D10">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E86579">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89C8AB">
            <w:pPr>
              <w:spacing w:line="360" w:lineRule="auto"/>
              <w:jc w:val="center"/>
              <w:rPr>
                <w:rFonts w:hint="eastAsia" w:ascii="宋体" w:hAnsi="宋体" w:cs="宋体"/>
                <w:color w:val="auto"/>
                <w:kern w:val="0"/>
                <w:sz w:val="22"/>
                <w:szCs w:val="22"/>
                <w:highlight w:val="none"/>
              </w:rPr>
            </w:pPr>
          </w:p>
        </w:tc>
      </w:tr>
      <w:tr w14:paraId="37D0C17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05B45F">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8E58703">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796A84">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F7F724">
            <w:pPr>
              <w:spacing w:line="360" w:lineRule="auto"/>
              <w:jc w:val="center"/>
              <w:rPr>
                <w:rFonts w:hint="eastAsia" w:ascii="宋体" w:hAnsi="宋体" w:cs="宋体"/>
                <w:color w:val="auto"/>
                <w:kern w:val="0"/>
                <w:sz w:val="22"/>
                <w:szCs w:val="22"/>
                <w:highlight w:val="none"/>
              </w:rPr>
            </w:pPr>
          </w:p>
        </w:tc>
      </w:tr>
      <w:tr w14:paraId="154B1B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9BFF6C">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1A2CDB8">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BACC81">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4467B4">
            <w:pPr>
              <w:spacing w:line="360" w:lineRule="auto"/>
              <w:jc w:val="center"/>
              <w:rPr>
                <w:rFonts w:hint="eastAsia" w:ascii="宋体" w:hAnsi="宋体" w:cs="宋体"/>
                <w:color w:val="auto"/>
                <w:kern w:val="0"/>
                <w:sz w:val="22"/>
                <w:szCs w:val="22"/>
                <w:highlight w:val="none"/>
              </w:rPr>
            </w:pPr>
          </w:p>
        </w:tc>
      </w:tr>
    </w:tbl>
    <w:p w14:paraId="7D5DEBA1">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17257A6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3D4642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6131D9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3663C3A9">
      <w:pPr>
        <w:snapToGrid w:val="0"/>
        <w:spacing w:line="360" w:lineRule="auto"/>
        <w:jc w:val="left"/>
        <w:rPr>
          <w:rFonts w:hint="eastAsia" w:ascii="宋体" w:hAnsi="宋体" w:cs="宋体"/>
          <w:color w:val="auto"/>
          <w:szCs w:val="21"/>
          <w:highlight w:val="none"/>
        </w:rPr>
      </w:pPr>
    </w:p>
    <w:p w14:paraId="2C560A01">
      <w:pPr>
        <w:snapToGrid w:val="0"/>
        <w:spacing w:line="360" w:lineRule="auto"/>
        <w:jc w:val="left"/>
        <w:rPr>
          <w:rFonts w:hint="eastAsia" w:ascii="宋体" w:hAnsi="宋体" w:cs="宋体"/>
          <w:color w:val="auto"/>
          <w:szCs w:val="21"/>
          <w:highlight w:val="none"/>
        </w:rPr>
      </w:pPr>
    </w:p>
    <w:p w14:paraId="7BCA9982">
      <w:pPr>
        <w:snapToGrid w:val="0"/>
        <w:spacing w:line="360" w:lineRule="auto"/>
        <w:ind w:firstLine="2640" w:firstLineChars="11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p>
    <w:p w14:paraId="26700591">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925089">
      <w:pPr>
        <w:snapToGrid w:val="0"/>
        <w:spacing w:line="360" w:lineRule="auto"/>
        <w:ind w:firstLine="5160" w:firstLineChars="2150"/>
        <w:rPr>
          <w:rFonts w:hint="eastAsia" w:ascii="宋体" w:hAnsi="宋体" w:cs="宋体"/>
          <w:color w:val="auto"/>
          <w:kern w:val="0"/>
          <w:sz w:val="24"/>
          <w:highlight w:val="none"/>
          <w:lang w:val="zh-CN"/>
        </w:rPr>
      </w:pPr>
    </w:p>
    <w:p w14:paraId="32286ED6">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（5）投标人如为分支机构投标的，须提供其总公司对投标人针对本项目的授权书（如有，格式自拟）</w:t>
      </w:r>
    </w:p>
    <w:p w14:paraId="5430E421">
      <w:pPr>
        <w:pStyle w:val="30"/>
        <w:tabs>
          <w:tab w:val="left" w:pos="961"/>
        </w:tabs>
        <w:ind w:firstLine="0" w:firstLineChars="0"/>
        <w:rPr>
          <w:rFonts w:hint="eastAsia" w:ascii="宋体" w:hAnsi="宋体" w:cs="宋体"/>
          <w:b/>
          <w:color w:val="auto"/>
          <w:sz w:val="24"/>
          <w:highlight w:val="none"/>
        </w:rPr>
      </w:pPr>
    </w:p>
    <w:p w14:paraId="72AC9E67">
      <w:pPr>
        <w:pStyle w:val="30"/>
        <w:tabs>
          <w:tab w:val="left" w:pos="961"/>
        </w:tabs>
        <w:ind w:firstLine="0" w:firstLineChars="0"/>
        <w:rPr>
          <w:rFonts w:hint="eastAsia" w:ascii="宋体" w:hAnsi="宋体" w:cs="宋体"/>
          <w:color w:val="auto"/>
          <w:kern w:val="0"/>
          <w:sz w:val="24"/>
          <w:highlight w:val="none"/>
          <w:lang w:val="zh-CN"/>
        </w:rPr>
      </w:pPr>
    </w:p>
    <w:p w14:paraId="6345BC25">
      <w:pPr>
        <w:pStyle w:val="30"/>
        <w:tabs>
          <w:tab w:val="left" w:pos="961"/>
        </w:tabs>
        <w:ind w:firstLine="2640" w:firstLineChars="1100"/>
        <w:rPr>
          <w:rFonts w:hint="eastAsia" w:ascii="宋体" w:hAnsi="宋体" w:cs="宋体"/>
          <w:b/>
          <w:color w:val="auto"/>
          <w:sz w:val="24"/>
          <w:highlight w:val="none"/>
        </w:rPr>
      </w:pP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054FB27C">
      <w:pPr>
        <w:rPr>
          <w:rFonts w:hint="eastAsia" w:ascii="宋体" w:hAnsi="宋体" w:cs="宋体"/>
          <w:b/>
          <w:color w:val="auto"/>
          <w:sz w:val="24"/>
          <w:highlight w:val="none"/>
        </w:rPr>
      </w:pPr>
      <w:r>
        <w:rPr>
          <w:rFonts w:hint="eastAsia" w:ascii="宋体" w:hAnsi="宋体" w:cs="宋体"/>
          <w:b/>
          <w:color w:val="auto"/>
          <w:highlight w:val="none"/>
        </w:rPr>
        <w:br w:type="page"/>
      </w:r>
    </w:p>
    <w:p w14:paraId="5D7EE6C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（4）中小企业声明函、残疾人福利单位声明函格式（标项二：必须提供否则投标无效）：</w:t>
      </w:r>
    </w:p>
    <w:p w14:paraId="686784A7">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中小企业声明函（货物）</w:t>
      </w:r>
    </w:p>
    <w:p w14:paraId="6658F5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（项目名称）</w:t>
      </w:r>
      <w:r>
        <w:rPr>
          <w:rFonts w:hint="eastAsia" w:ascii="宋体" w:hAnsi="宋体" w:cs="宋体"/>
          <w:color w:val="auto"/>
          <w:kern w:val="0"/>
          <w:sz w:val="24"/>
          <w:highlight w:val="none"/>
          <w:lang w:bidi="ar"/>
        </w:rPr>
        <w:t xml:space="preserve">采购活动，提供的货物全部由符合政策要求的中小企业制造。相关企业（含联合体中的中小企业、签订分包意向协议的中小企业）的具体情况如下： </w:t>
      </w:r>
    </w:p>
    <w:p w14:paraId="7DC5786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 </w:t>
      </w:r>
      <w:r>
        <w:rPr>
          <w:rFonts w:hint="eastAsia" w:ascii="宋体" w:hAnsi="宋体" w:cs="宋体"/>
          <w:color w:val="auto"/>
          <w:kern w:val="0"/>
          <w:sz w:val="24"/>
          <w:highlight w:val="none"/>
          <w:u w:val="single"/>
          <w:lang w:bidi="ar"/>
        </w:rPr>
        <w:t xml:space="preserve">（标的名称）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w:t>
      </w: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 xml:space="preserve">，属于（中型企业、小型企业、微型企业）； </w:t>
      </w:r>
    </w:p>
    <w:p w14:paraId="1BA8232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u w:val="single"/>
          <w:lang w:bidi="ar"/>
        </w:rPr>
        <w:t xml:space="preserve"> （标的名称）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为万元，资产总额为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万元，属于（中型企业、小型企业、微型企业）； </w:t>
      </w:r>
    </w:p>
    <w:p w14:paraId="1C59DAE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p w14:paraId="3E2F7ED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14:paraId="3F2133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本企业对上述声明内容的真实性负责。如有虚假，将依法承担相应责任。 </w:t>
      </w:r>
    </w:p>
    <w:p w14:paraId="77B80CD7">
      <w:pPr>
        <w:widowControl/>
        <w:spacing w:line="360" w:lineRule="auto"/>
        <w:ind w:firstLine="480" w:firstLineChars="200"/>
        <w:jc w:val="left"/>
        <w:rPr>
          <w:rFonts w:hint="eastAsia" w:ascii="宋体" w:hAnsi="宋体" w:cs="宋体"/>
          <w:color w:val="auto"/>
          <w:kern w:val="0"/>
          <w:sz w:val="24"/>
          <w:highlight w:val="none"/>
          <w:lang w:bidi="ar"/>
        </w:rPr>
      </w:pPr>
    </w:p>
    <w:p w14:paraId="6AD19834">
      <w:pPr>
        <w:widowControl/>
        <w:spacing w:line="360" w:lineRule="auto"/>
        <w:ind w:firstLine="480" w:firstLineChars="200"/>
        <w:jc w:val="left"/>
        <w:rPr>
          <w:rFonts w:hint="eastAsia" w:ascii="宋体" w:hAnsi="宋体" w:cs="宋体"/>
          <w:color w:val="auto"/>
          <w:kern w:val="0"/>
          <w:sz w:val="24"/>
          <w:highlight w:val="none"/>
          <w:lang w:bidi="ar"/>
        </w:rPr>
      </w:pPr>
    </w:p>
    <w:p w14:paraId="05C8E5BA">
      <w:pPr>
        <w:widowControl/>
        <w:spacing w:line="360" w:lineRule="auto"/>
        <w:ind w:firstLine="5040" w:firstLineChars="2100"/>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企业名称（CA电子签章）：</w:t>
      </w:r>
      <w:r>
        <w:rPr>
          <w:rFonts w:hint="eastAsia" w:ascii="宋体" w:hAnsi="宋体" w:cs="宋体"/>
          <w:color w:val="auto"/>
          <w:kern w:val="0"/>
          <w:sz w:val="24"/>
          <w:highlight w:val="none"/>
          <w:u w:val="single"/>
          <w:lang w:bidi="ar"/>
        </w:rPr>
        <w:t xml:space="preserve">                 </w:t>
      </w:r>
    </w:p>
    <w:p w14:paraId="0721B42A">
      <w:pPr>
        <w:widowControl/>
        <w:spacing w:line="360" w:lineRule="auto"/>
        <w:ind w:firstLine="5040" w:firstLineChars="21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w:t>
      </w:r>
    </w:p>
    <w:p w14:paraId="33096D73">
      <w:pPr>
        <w:widowControl/>
        <w:ind w:firstLine="480" w:firstLineChars="200"/>
        <w:jc w:val="left"/>
        <w:rPr>
          <w:rFonts w:hint="eastAsia" w:ascii="宋体" w:hAnsi="宋体" w:cs="宋体"/>
          <w:color w:val="auto"/>
          <w:kern w:val="0"/>
          <w:sz w:val="24"/>
          <w:highlight w:val="none"/>
          <w:lang w:bidi="ar"/>
        </w:rPr>
      </w:pPr>
    </w:p>
    <w:p w14:paraId="0BB8A57B">
      <w:pPr>
        <w:widowControl/>
        <w:ind w:firstLine="480" w:firstLineChars="200"/>
        <w:jc w:val="left"/>
        <w:rPr>
          <w:rFonts w:hint="eastAsia" w:ascii="宋体" w:hAnsi="宋体" w:cs="宋体"/>
          <w:color w:val="auto"/>
          <w:kern w:val="0"/>
          <w:sz w:val="24"/>
          <w:highlight w:val="none"/>
          <w:lang w:bidi="ar"/>
        </w:rPr>
      </w:pPr>
    </w:p>
    <w:p w14:paraId="45B104D9">
      <w:pPr>
        <w:widowControl/>
        <w:ind w:firstLine="480" w:firstLineChars="200"/>
        <w:jc w:val="left"/>
        <w:rPr>
          <w:rFonts w:hint="eastAsia" w:ascii="宋体" w:hAnsi="宋体" w:cs="宋体"/>
          <w:color w:val="auto"/>
          <w:kern w:val="0"/>
          <w:sz w:val="24"/>
          <w:highlight w:val="none"/>
          <w:lang w:bidi="ar"/>
        </w:rPr>
      </w:pPr>
    </w:p>
    <w:p w14:paraId="3313D645">
      <w:pPr>
        <w:widowControl/>
        <w:ind w:firstLine="480" w:firstLineChars="200"/>
        <w:jc w:val="left"/>
        <w:rPr>
          <w:rFonts w:hint="eastAsia" w:ascii="宋体" w:hAnsi="宋体" w:cs="宋体"/>
          <w:color w:val="auto"/>
          <w:kern w:val="0"/>
          <w:sz w:val="24"/>
          <w:highlight w:val="none"/>
          <w:lang w:bidi="ar"/>
        </w:rPr>
      </w:pPr>
    </w:p>
    <w:p w14:paraId="1B0FDBF3">
      <w:pPr>
        <w:widowControl/>
        <w:ind w:firstLine="482" w:firstLineChars="200"/>
        <w:jc w:val="left"/>
        <w:rPr>
          <w:rFonts w:hint="eastAsia" w:ascii="宋体" w:hAnsi="宋体" w:cs="宋体"/>
          <w:color w:val="auto"/>
          <w:kern w:val="0"/>
          <w:sz w:val="24"/>
          <w:highlight w:val="none"/>
          <w:lang w:bidi="ar"/>
        </w:rPr>
      </w:pPr>
      <w:r>
        <w:rPr>
          <w:rFonts w:hint="eastAsia" w:ascii="宋体" w:hAnsi="宋体" w:cs="宋体"/>
          <w:b/>
          <w:bCs/>
          <w:color w:val="auto"/>
          <w:sz w:val="24"/>
          <w:highlight w:val="none"/>
        </w:rPr>
        <w:t>注：本项目中小企业划分标准所属行业名称为：</w:t>
      </w:r>
      <w:r>
        <w:rPr>
          <w:rFonts w:hint="eastAsia" w:ascii="宋体" w:hAnsi="宋体" w:cs="宋体"/>
          <w:b/>
          <w:bCs/>
          <w:color w:val="auto"/>
          <w:sz w:val="24"/>
          <w:highlight w:val="none"/>
          <w:u w:val="single"/>
        </w:rPr>
        <w:t>工业</w:t>
      </w:r>
      <w:r>
        <w:rPr>
          <w:rFonts w:hint="eastAsia" w:ascii="宋体" w:hAnsi="宋体" w:cs="宋体"/>
          <w:b/>
          <w:bCs/>
          <w:color w:val="auto"/>
          <w:sz w:val="24"/>
          <w:highlight w:val="none"/>
        </w:rPr>
        <w:t>。</w:t>
      </w:r>
    </w:p>
    <w:p w14:paraId="4A75CCAC">
      <w:pPr>
        <w:widowControl/>
        <w:jc w:val="left"/>
        <w:rPr>
          <w:rFonts w:hint="eastAsia" w:ascii="宋体" w:hAnsi="宋体" w:cs="宋体"/>
          <w:color w:val="auto"/>
          <w:kern w:val="0"/>
          <w:sz w:val="24"/>
          <w:highlight w:val="none"/>
          <w:lang w:bidi="ar"/>
        </w:rPr>
      </w:pPr>
    </w:p>
    <w:p w14:paraId="2439C2B2">
      <w:pPr>
        <w:snapToGrid w:val="0"/>
        <w:spacing w:before="120" w:beforeLines="50" w:after="50" w:line="320" w:lineRule="exact"/>
        <w:rPr>
          <w:rFonts w:hint="eastAsia" w:ascii="宋体" w:hAnsi="宋体" w:cs="宋体"/>
          <w:color w:val="auto"/>
          <w:kern w:val="0"/>
          <w:szCs w:val="21"/>
          <w:highlight w:val="none"/>
        </w:rPr>
      </w:pP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从业人员、营业收入、资产总额填报上一年度数据，无上一年度数据的新成立企业可不填报。</w:t>
      </w:r>
    </w:p>
    <w:p w14:paraId="56EEE2D5">
      <w:pPr>
        <w:pStyle w:val="11"/>
        <w:spacing w:line="400" w:lineRule="exact"/>
        <w:rPr>
          <w:rFonts w:hint="eastAsia" w:ascii="宋体" w:hAnsi="宋体" w:cs="宋体"/>
          <w:b/>
          <w:color w:val="auto"/>
          <w:kern w:val="2"/>
          <w:highlight w:val="none"/>
        </w:rPr>
      </w:pPr>
    </w:p>
    <w:p w14:paraId="2580D9C0">
      <w:pPr>
        <w:pStyle w:val="11"/>
        <w:spacing w:line="400" w:lineRule="exact"/>
        <w:rPr>
          <w:rFonts w:hint="eastAsia" w:ascii="宋体" w:hAnsi="宋体" w:cs="宋体"/>
          <w:bCs/>
          <w:color w:val="auto"/>
          <w:szCs w:val="21"/>
          <w:highlight w:val="none"/>
        </w:rPr>
      </w:pPr>
      <w:r>
        <w:rPr>
          <w:rFonts w:hint="eastAsia" w:ascii="宋体" w:hAnsi="宋体" w:cs="宋体"/>
          <w:b/>
          <w:color w:val="auto"/>
          <w:kern w:val="2"/>
          <w:highlight w:val="none"/>
        </w:rPr>
        <w:br w:type="page"/>
      </w:r>
      <w:r>
        <w:rPr>
          <w:rFonts w:hint="eastAsia" w:ascii="宋体" w:hAnsi="宋体" w:cs="宋体"/>
          <w:b/>
          <w:color w:val="auto"/>
          <w:highlight w:val="none"/>
        </w:rPr>
        <w:t>2.</w:t>
      </w:r>
      <w:r>
        <w:rPr>
          <w:rFonts w:hint="eastAsia" w:ascii="宋体" w:hAnsi="宋体" w:cs="宋体"/>
          <w:b/>
          <w:bCs/>
          <w:color w:val="auto"/>
          <w:highlight w:val="none"/>
        </w:rPr>
        <w:t xml:space="preserve"> 投标文件（报价文件）封面格式：</w:t>
      </w:r>
    </w:p>
    <w:p w14:paraId="5B2E6274">
      <w:pPr>
        <w:snapToGrid w:val="0"/>
        <w:spacing w:before="120" w:beforeLines="50" w:after="50"/>
        <w:ind w:firstLine="13" w:firstLineChars="3"/>
        <w:jc w:val="center"/>
        <w:rPr>
          <w:rFonts w:hint="eastAsia" w:ascii="宋体" w:hAnsi="宋体" w:cs="宋体"/>
          <w:bCs/>
          <w:color w:val="auto"/>
          <w:sz w:val="44"/>
          <w:szCs w:val="44"/>
          <w:highlight w:val="none"/>
        </w:rPr>
      </w:pPr>
    </w:p>
    <w:p w14:paraId="1D83F5D4">
      <w:pPr>
        <w:snapToGrid w:val="0"/>
        <w:spacing w:before="120" w:beforeLines="50" w:after="50"/>
        <w:jc w:val="center"/>
        <w:rPr>
          <w:rFonts w:hint="eastAsia" w:ascii="宋体" w:hAnsi="宋体" w:cs="宋体"/>
          <w:b/>
          <w:color w:val="auto"/>
          <w:sz w:val="44"/>
          <w:szCs w:val="44"/>
          <w:highlight w:val="none"/>
        </w:rPr>
      </w:pPr>
    </w:p>
    <w:p w14:paraId="6A7A78E4">
      <w:pPr>
        <w:snapToGrid w:val="0"/>
        <w:spacing w:before="120" w:beforeLines="50" w:after="50"/>
        <w:jc w:val="center"/>
        <w:rPr>
          <w:rFonts w:hint="eastAsia" w:ascii="宋体" w:hAnsi="宋体" w:cs="宋体"/>
          <w:b/>
          <w:color w:val="auto"/>
          <w:sz w:val="44"/>
          <w:szCs w:val="44"/>
          <w:highlight w:val="none"/>
        </w:rPr>
      </w:pPr>
    </w:p>
    <w:p w14:paraId="777CA97A">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047EA7AF">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（报价文件）</w:t>
      </w:r>
    </w:p>
    <w:p w14:paraId="09F38984">
      <w:pPr>
        <w:snapToGrid w:val="0"/>
        <w:spacing w:before="120" w:beforeLines="50" w:after="50"/>
        <w:ind w:firstLine="9" w:firstLineChars="3"/>
        <w:jc w:val="center"/>
        <w:rPr>
          <w:rFonts w:hint="eastAsia" w:ascii="宋体" w:hAnsi="宋体" w:cs="宋体"/>
          <w:bCs/>
          <w:color w:val="auto"/>
          <w:sz w:val="32"/>
          <w:szCs w:val="32"/>
          <w:highlight w:val="none"/>
        </w:rPr>
      </w:pPr>
    </w:p>
    <w:p w14:paraId="5EEF557B">
      <w:pPr>
        <w:snapToGrid w:val="0"/>
        <w:spacing w:before="120" w:beforeLines="50" w:after="50"/>
        <w:rPr>
          <w:rFonts w:hint="eastAsia" w:ascii="宋体" w:hAnsi="宋体" w:cs="宋体"/>
          <w:bCs/>
          <w:color w:val="auto"/>
          <w:szCs w:val="21"/>
          <w:highlight w:val="none"/>
        </w:rPr>
      </w:pPr>
    </w:p>
    <w:p w14:paraId="1EAF494B">
      <w:pPr>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459B9484">
      <w:pPr>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7C9D76B9">
      <w:pPr>
        <w:pStyle w:val="9"/>
        <w:snapToGrid w:val="0"/>
        <w:spacing w:line="480" w:lineRule="auto"/>
        <w:ind w:firstLine="837" w:firstLineChars="279"/>
        <w:rPr>
          <w:rFonts w:hint="eastAsia" w:ascii="宋体" w:hAnsi="宋体" w:cs="宋体"/>
          <w:bCs/>
          <w:color w:val="auto"/>
          <w:sz w:val="30"/>
          <w:szCs w:val="30"/>
          <w:highlight w:val="none"/>
        </w:rPr>
      </w:pPr>
      <w:r>
        <w:rPr>
          <w:rFonts w:hint="eastAsia" w:ascii="宋体" w:hAnsi="宋体" w:cs="宋体"/>
          <w:bCs/>
          <w:color w:val="auto"/>
          <w:sz w:val="30"/>
          <w:szCs w:val="30"/>
          <w:highlight w:val="none"/>
        </w:rPr>
        <w:t>所投分标：</w:t>
      </w:r>
      <w:r>
        <w:rPr>
          <w:rFonts w:hint="eastAsia" w:ascii="宋体" w:hAnsi="宋体" w:cs="宋体"/>
          <w:bCs/>
          <w:color w:val="auto"/>
          <w:sz w:val="30"/>
          <w:szCs w:val="30"/>
          <w:highlight w:val="none"/>
          <w:u w:val="single"/>
        </w:rPr>
        <w:t xml:space="preserve">                                  </w:t>
      </w:r>
    </w:p>
    <w:p w14:paraId="3FE09131">
      <w:pPr>
        <w:pStyle w:val="9"/>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p>
    <w:p w14:paraId="252ED38D">
      <w:pPr>
        <w:pStyle w:val="9"/>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法定代表人或其被授权代表</w:t>
      </w:r>
      <w:r>
        <w:rPr>
          <w:rFonts w:hint="eastAsia" w:ascii="宋体" w:hAnsi="宋体" w:cs="宋体"/>
          <w:b/>
          <w:color w:val="auto"/>
          <w:sz w:val="30"/>
          <w:szCs w:val="30"/>
          <w:highlight w:val="none"/>
        </w:rPr>
        <w:t>（签字或盖章）</w:t>
      </w:r>
      <w:r>
        <w:rPr>
          <w:rFonts w:hint="eastAsia" w:ascii="宋体" w:hAnsi="宋体" w:cs="宋体"/>
          <w:bCs/>
          <w:color w:val="auto"/>
          <w:sz w:val="30"/>
          <w:szCs w:val="30"/>
          <w:highlight w:val="none"/>
        </w:rPr>
        <w:t>：</w:t>
      </w:r>
      <w:r>
        <w:rPr>
          <w:rFonts w:hint="eastAsia" w:ascii="宋体" w:hAnsi="宋体" w:cs="宋体"/>
          <w:bCs/>
          <w:color w:val="auto"/>
          <w:sz w:val="30"/>
          <w:szCs w:val="30"/>
          <w:highlight w:val="none"/>
          <w:u w:val="single"/>
        </w:rPr>
        <w:t xml:space="preserve">        </w:t>
      </w:r>
    </w:p>
    <w:p w14:paraId="10769E65">
      <w:pPr>
        <w:pStyle w:val="9"/>
        <w:snapToGrid w:val="0"/>
        <w:spacing w:before="50" w:after="50" w:line="280" w:lineRule="exact"/>
        <w:ind w:firstLine="675" w:firstLineChars="225"/>
        <w:rPr>
          <w:rFonts w:hint="eastAsia" w:ascii="宋体" w:hAnsi="宋体" w:cs="宋体"/>
          <w:bCs/>
          <w:color w:val="auto"/>
          <w:sz w:val="30"/>
          <w:szCs w:val="30"/>
          <w:highlight w:val="none"/>
        </w:rPr>
      </w:pPr>
    </w:p>
    <w:p w14:paraId="31A737D3">
      <w:pPr>
        <w:pStyle w:val="9"/>
        <w:snapToGrid w:val="0"/>
        <w:spacing w:before="50" w:after="50" w:line="280" w:lineRule="exact"/>
        <w:ind w:firstLine="675" w:firstLineChars="225"/>
        <w:rPr>
          <w:rFonts w:hint="eastAsia" w:ascii="宋体" w:hAnsi="宋体" w:cs="宋体"/>
          <w:bCs/>
          <w:color w:val="auto"/>
          <w:sz w:val="30"/>
          <w:szCs w:val="30"/>
          <w:highlight w:val="none"/>
        </w:rPr>
      </w:pPr>
    </w:p>
    <w:p w14:paraId="771556CA">
      <w:pPr>
        <w:pStyle w:val="9"/>
        <w:snapToGrid w:val="0"/>
        <w:spacing w:before="50" w:after="50" w:line="280" w:lineRule="exact"/>
        <w:ind w:firstLine="0"/>
        <w:rPr>
          <w:rFonts w:hint="eastAsia" w:ascii="宋体" w:hAnsi="宋体" w:cs="宋体"/>
          <w:bCs/>
          <w:color w:val="auto"/>
          <w:sz w:val="30"/>
          <w:szCs w:val="30"/>
          <w:highlight w:val="none"/>
        </w:rPr>
      </w:pPr>
    </w:p>
    <w:p w14:paraId="08AF8BFB">
      <w:pPr>
        <w:pStyle w:val="9"/>
        <w:snapToGrid w:val="0"/>
        <w:spacing w:before="50" w:after="50" w:line="280" w:lineRule="exact"/>
        <w:ind w:firstLine="675" w:firstLineChars="225"/>
        <w:rPr>
          <w:rFonts w:hint="eastAsia" w:ascii="宋体" w:hAnsi="宋体" w:cs="宋体"/>
          <w:bCs/>
          <w:color w:val="auto"/>
          <w:sz w:val="30"/>
          <w:szCs w:val="30"/>
          <w:highlight w:val="none"/>
        </w:rPr>
      </w:pPr>
    </w:p>
    <w:p w14:paraId="5199D4C1">
      <w:pPr>
        <w:snapToGrid w:val="0"/>
        <w:spacing w:before="120" w:beforeLines="50" w:after="50"/>
        <w:ind w:firstLine="1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年  月  日</w:t>
      </w:r>
    </w:p>
    <w:p w14:paraId="1583CF46">
      <w:pPr>
        <w:snapToGrid w:val="0"/>
        <w:spacing w:before="50" w:after="50"/>
        <w:rPr>
          <w:rFonts w:hint="eastAsia" w:ascii="宋体" w:hAnsi="宋体" w:cs="宋体"/>
          <w:b/>
          <w:color w:val="auto"/>
          <w:szCs w:val="21"/>
          <w:highlight w:val="none"/>
        </w:rPr>
      </w:pPr>
    </w:p>
    <w:p w14:paraId="7CB37E20">
      <w:pPr>
        <w:snapToGrid w:val="0"/>
        <w:spacing w:line="380" w:lineRule="exact"/>
        <w:ind w:firstLine="413" w:firstLineChars="196"/>
        <w:jc w:val="left"/>
        <w:rPr>
          <w:rFonts w:hint="eastAsia" w:ascii="宋体" w:hAnsi="宋体" w:cs="宋体"/>
          <w:b/>
          <w:color w:val="auto"/>
          <w:szCs w:val="21"/>
          <w:highlight w:val="none"/>
        </w:rPr>
      </w:pPr>
    </w:p>
    <w:p w14:paraId="0CFA9FB1">
      <w:pPr>
        <w:snapToGrid w:val="0"/>
        <w:spacing w:before="50" w:after="50"/>
        <w:rPr>
          <w:rFonts w:hint="eastAsia"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 w:val="24"/>
          <w:highlight w:val="none"/>
        </w:rPr>
        <w:t>投标文件（</w:t>
      </w:r>
      <w:r>
        <w:rPr>
          <w:rFonts w:hint="eastAsia" w:ascii="宋体" w:hAnsi="宋体" w:cs="宋体"/>
          <w:b/>
          <w:color w:val="auto"/>
          <w:sz w:val="24"/>
          <w:highlight w:val="none"/>
        </w:rPr>
        <w:t>报价文件</w:t>
      </w:r>
      <w:r>
        <w:rPr>
          <w:rFonts w:hint="eastAsia" w:ascii="宋体" w:hAnsi="宋体" w:cs="宋体"/>
          <w:b/>
          <w:bCs/>
          <w:color w:val="auto"/>
          <w:sz w:val="24"/>
          <w:highlight w:val="none"/>
        </w:rPr>
        <w:t>）目录：</w:t>
      </w:r>
    </w:p>
    <w:p w14:paraId="05CD0BC4">
      <w:pPr>
        <w:tabs>
          <w:tab w:val="left" w:pos="3870"/>
          <w:tab w:val="left" w:pos="4085"/>
        </w:tabs>
        <w:snapToGrid w:val="0"/>
        <w:spacing w:line="500" w:lineRule="exact"/>
        <w:jc w:val="center"/>
        <w:rPr>
          <w:rFonts w:hint="eastAsia" w:ascii="宋体" w:hAnsi="宋体" w:cs="宋体"/>
          <w:color w:val="auto"/>
          <w:sz w:val="44"/>
          <w:szCs w:val="44"/>
          <w:highlight w:val="none"/>
        </w:rPr>
      </w:pPr>
    </w:p>
    <w:p w14:paraId="2649161A">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5CE1AA40">
      <w:pPr>
        <w:snapToGrid w:val="0"/>
        <w:spacing w:line="360" w:lineRule="exact"/>
        <w:ind w:firstLine="411" w:firstLineChars="196"/>
        <w:jc w:val="left"/>
        <w:rPr>
          <w:rFonts w:hint="eastAsia" w:ascii="宋体" w:hAnsi="宋体" w:cs="宋体"/>
          <w:color w:val="auto"/>
          <w:szCs w:val="21"/>
          <w:highlight w:val="none"/>
        </w:rPr>
      </w:pPr>
    </w:p>
    <w:p w14:paraId="584D4C0A">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（1）投标函；</w:t>
      </w:r>
    </w:p>
    <w:p w14:paraId="286AFFF7">
      <w:pPr>
        <w:tabs>
          <w:tab w:val="left" w:pos="3870"/>
          <w:tab w:val="left" w:pos="4085"/>
        </w:tabs>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（2）开标一览表；</w:t>
      </w:r>
    </w:p>
    <w:p w14:paraId="2BEA6286">
      <w:pPr>
        <w:tabs>
          <w:tab w:val="left" w:pos="3870"/>
          <w:tab w:val="left" w:pos="4085"/>
        </w:tabs>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（3）报价明细表；</w:t>
      </w:r>
    </w:p>
    <w:p w14:paraId="59D28692">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（4）中小企业声明函、残疾人福利单位声明函；（标项一：如有，请按格式提供）</w:t>
      </w:r>
    </w:p>
    <w:p w14:paraId="7C816B59">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（5）投标人针对报价需要说明的其他文件和说明。（如有，格式自拟）</w:t>
      </w:r>
    </w:p>
    <w:p w14:paraId="0C002D25">
      <w:pPr>
        <w:snapToGrid w:val="0"/>
        <w:spacing w:line="380" w:lineRule="exact"/>
        <w:ind w:firstLine="472" w:firstLineChars="196"/>
        <w:jc w:val="left"/>
        <w:rPr>
          <w:rFonts w:hint="eastAsia" w:ascii="宋体" w:hAnsi="宋体" w:cs="宋体"/>
          <w:b/>
          <w:color w:val="auto"/>
          <w:sz w:val="24"/>
          <w:highlight w:val="none"/>
        </w:rPr>
      </w:pPr>
    </w:p>
    <w:p w14:paraId="7DD0A8FF">
      <w:pPr>
        <w:snapToGrid w:val="0"/>
        <w:spacing w:before="120" w:beforeLines="50" w:after="50" w:line="360" w:lineRule="auto"/>
        <w:ind w:firstLine="422" w:firstLineChars="175"/>
        <w:outlineLvl w:val="1"/>
        <w:rPr>
          <w:rFonts w:hint="eastAsia" w:ascii="宋体" w:hAnsi="宋体" w:cs="宋体"/>
          <w:b/>
          <w:bCs/>
          <w:color w:val="auto"/>
          <w:sz w:val="24"/>
          <w:highlight w:val="none"/>
        </w:rPr>
      </w:pPr>
      <w:bookmarkStart w:id="111" w:name="_Toc22566"/>
      <w:r>
        <w:rPr>
          <w:rFonts w:hint="eastAsia" w:ascii="宋体" w:hAnsi="宋体" w:cs="宋体"/>
          <w:b/>
          <w:bCs/>
          <w:color w:val="auto"/>
          <w:sz w:val="24"/>
          <w:highlight w:val="none"/>
        </w:rPr>
        <w:t>注：以上目录是基本格式要求，各投标人可根据自身情况进一步向下增加内容或细化，并编写对应页码。</w:t>
      </w:r>
      <w:bookmarkEnd w:id="111"/>
    </w:p>
    <w:p w14:paraId="48F0468E">
      <w:pPr>
        <w:snapToGrid w:val="0"/>
        <w:spacing w:line="380" w:lineRule="exact"/>
        <w:ind w:firstLine="413" w:firstLineChars="196"/>
        <w:jc w:val="left"/>
        <w:rPr>
          <w:rFonts w:hint="eastAsia" w:ascii="宋体" w:hAnsi="宋体" w:cs="宋体"/>
          <w:b/>
          <w:color w:val="auto"/>
          <w:szCs w:val="21"/>
          <w:highlight w:val="none"/>
        </w:rPr>
      </w:pPr>
    </w:p>
    <w:p w14:paraId="44CFA29B">
      <w:pPr>
        <w:snapToGrid w:val="0"/>
        <w:spacing w:before="120" w:beforeLines="50" w:after="50"/>
        <w:outlineLvl w:val="1"/>
        <w:rPr>
          <w:rFonts w:hint="eastAsia" w:ascii="宋体" w:hAnsi="宋体" w:cs="宋体"/>
          <w:b/>
          <w:color w:val="auto"/>
          <w:szCs w:val="21"/>
          <w:highlight w:val="none"/>
        </w:rPr>
      </w:pPr>
      <w:r>
        <w:rPr>
          <w:rFonts w:hint="eastAsia" w:ascii="宋体" w:hAnsi="宋体" w:cs="宋体"/>
          <w:b/>
          <w:color w:val="auto"/>
          <w:szCs w:val="21"/>
          <w:highlight w:val="none"/>
        </w:rPr>
        <w:br w:type="page"/>
      </w:r>
      <w:bookmarkStart w:id="112" w:name="_Toc15022"/>
      <w:r>
        <w:rPr>
          <w:rFonts w:hint="eastAsia" w:ascii="宋体" w:hAnsi="宋体" w:cs="宋体"/>
          <w:b/>
          <w:bCs/>
          <w:color w:val="auto"/>
          <w:sz w:val="24"/>
          <w:highlight w:val="none"/>
        </w:rPr>
        <w:t>（1）投标函格式：</w:t>
      </w:r>
      <w:bookmarkEnd w:id="112"/>
    </w:p>
    <w:p w14:paraId="6C9DF929">
      <w:pPr>
        <w:snapToGrid w:val="0"/>
        <w:spacing w:before="120" w:beforeLines="50" w:after="50" w:line="320" w:lineRule="exact"/>
        <w:jc w:val="center"/>
        <w:rPr>
          <w:rFonts w:hint="eastAsia" w:ascii="宋体" w:hAnsi="宋体" w:cs="宋体"/>
          <w:b/>
          <w:bCs/>
          <w:color w:val="auto"/>
          <w:sz w:val="32"/>
          <w:szCs w:val="32"/>
          <w:highlight w:val="none"/>
        </w:rPr>
      </w:pPr>
    </w:p>
    <w:p w14:paraId="036C8678">
      <w:pPr>
        <w:snapToGrid w:val="0"/>
        <w:spacing w:before="120" w:beforeLines="50" w:after="50" w:line="3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 标 函</w:t>
      </w:r>
    </w:p>
    <w:p w14:paraId="756F64B6">
      <w:pPr>
        <w:snapToGrid w:val="0"/>
        <w:spacing w:before="120" w:beforeLines="50" w:after="50" w:line="320" w:lineRule="exact"/>
        <w:jc w:val="center"/>
        <w:rPr>
          <w:rFonts w:hint="eastAsia" w:ascii="宋体" w:hAnsi="宋体" w:cs="宋体"/>
          <w:b/>
          <w:color w:val="auto"/>
          <w:szCs w:val="21"/>
          <w:highlight w:val="none"/>
        </w:rPr>
      </w:pPr>
    </w:p>
    <w:p w14:paraId="4D77800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鹿寨县教育局、广西信和招标代理有限公司</w:t>
      </w:r>
      <w:r>
        <w:rPr>
          <w:rFonts w:hint="eastAsia" w:ascii="宋体" w:hAnsi="宋体" w:cs="宋体"/>
          <w:color w:val="auto"/>
          <w:sz w:val="24"/>
          <w:highlight w:val="none"/>
        </w:rPr>
        <w:t>（招标采购单位名称）：</w:t>
      </w:r>
    </w:p>
    <w:p w14:paraId="7C771ADA">
      <w:pPr>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w:t>
      </w:r>
      <w:r>
        <w:rPr>
          <w:rFonts w:hint="eastAsia" w:ascii="宋体" w:hAnsi="宋体" w:cs="宋体"/>
          <w:color w:val="auto"/>
          <w:sz w:val="24"/>
          <w:highlight w:val="none"/>
          <w:u w:val="single"/>
        </w:rPr>
        <w:t>资格文件、报价文件、商务技术文件</w:t>
      </w:r>
      <w:r>
        <w:rPr>
          <w:rFonts w:hint="eastAsia" w:ascii="宋体" w:hAnsi="宋体" w:cs="宋体"/>
          <w:color w:val="auto"/>
          <w:sz w:val="24"/>
          <w:highlight w:val="none"/>
        </w:rPr>
        <w:t>。</w:t>
      </w:r>
    </w:p>
    <w:p w14:paraId="004E11A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据此函，签字代表宣布同意如下：</w:t>
      </w:r>
    </w:p>
    <w:p w14:paraId="4E07582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ACEBED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387D30E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3.本投标有效期自开标日起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天（日历天）。</w:t>
      </w:r>
    </w:p>
    <w:p w14:paraId="35CACB9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4.如中标，本投标文件至本项目合同（协议）履行完毕止均保持有效，本投标人将按“招标文件”及政府采购法律、法规的规定履行合同（协议）责任和义务。</w:t>
      </w:r>
    </w:p>
    <w:p w14:paraId="3FF225D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47A39BB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6A990B0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0C47EB3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3E16C21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投标人名称（全称）：</w:t>
      </w:r>
      <w:r>
        <w:rPr>
          <w:rFonts w:hint="eastAsia" w:ascii="宋体" w:hAnsi="宋体" w:cs="宋体"/>
          <w:color w:val="auto"/>
          <w:sz w:val="24"/>
          <w:highlight w:val="none"/>
          <w:u w:val="single"/>
        </w:rPr>
        <w:t xml:space="preserve">                                               </w:t>
      </w:r>
    </w:p>
    <w:p w14:paraId="0A20DFE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2A3A317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588F4A2">
      <w:pPr>
        <w:pStyle w:val="14"/>
        <w:ind w:firstLine="4515" w:firstLineChars="2150"/>
        <w:rPr>
          <w:rFonts w:hint="eastAsia" w:hAnsi="宋体" w:cs="宋体"/>
          <w:color w:val="auto"/>
          <w:sz w:val="21"/>
          <w:highlight w:val="none"/>
        </w:rPr>
      </w:pPr>
    </w:p>
    <w:p w14:paraId="421DA020">
      <w:pPr>
        <w:pStyle w:val="14"/>
        <w:spacing w:line="360" w:lineRule="auto"/>
        <w:ind w:firstLine="5160" w:firstLineChars="2150"/>
        <w:rPr>
          <w:rFonts w:hint="eastAsia" w:hAnsi="宋体" w:cs="宋体"/>
          <w:color w:val="auto"/>
          <w:sz w:val="24"/>
          <w:szCs w:val="24"/>
          <w:highlight w:val="none"/>
        </w:rPr>
      </w:pPr>
    </w:p>
    <w:p w14:paraId="0594CB16">
      <w:pPr>
        <w:pStyle w:val="14"/>
        <w:spacing w:line="36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83FCE34">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02D6781C">
      <w:pPr>
        <w:snapToGrid w:val="0"/>
        <w:spacing w:before="50" w:after="50" w:line="360" w:lineRule="auto"/>
        <w:ind w:right="-817" w:rightChars="-389" w:firstLine="6480" w:firstLineChars="27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78CA8E21">
      <w:pPr>
        <w:pStyle w:val="14"/>
        <w:spacing w:line="400" w:lineRule="exact"/>
        <w:rPr>
          <w:rFonts w:hint="eastAsia" w:hAnsi="宋体" w:cs="宋体"/>
          <w:color w:val="auto"/>
          <w:sz w:val="21"/>
          <w:highlight w:val="none"/>
        </w:rPr>
      </w:pPr>
      <w:r>
        <w:rPr>
          <w:rFonts w:hint="eastAsia" w:hAnsi="宋体" w:cs="宋体"/>
          <w:color w:val="auto"/>
          <w:highlight w:val="none"/>
        </w:rPr>
        <w:br w:type="page"/>
      </w:r>
      <w:r>
        <w:rPr>
          <w:rFonts w:hint="eastAsia" w:hAnsi="宋体" w:cs="宋体"/>
          <w:b/>
          <w:bCs/>
          <w:color w:val="auto"/>
          <w:sz w:val="21"/>
          <w:highlight w:val="none"/>
        </w:rPr>
        <w:t>（2）开标一览表格式：</w:t>
      </w:r>
    </w:p>
    <w:p w14:paraId="0DBB7E88">
      <w:pPr>
        <w:snapToGrid w:val="0"/>
        <w:spacing w:before="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开标一览表</w:t>
      </w:r>
    </w:p>
    <w:p w14:paraId="6CF1D93B">
      <w:pPr>
        <w:snapToGrid w:val="0"/>
        <w:spacing w:before="50" w:after="50"/>
        <w:rPr>
          <w:rFonts w:hint="eastAsia" w:ascii="宋体" w:hAnsi="宋体" w:cs="宋体"/>
          <w:b/>
          <w:color w:val="auto"/>
          <w:sz w:val="30"/>
          <w:highlight w:val="none"/>
        </w:rPr>
      </w:pPr>
    </w:p>
    <w:p w14:paraId="33AFCCA6">
      <w:pPr>
        <w:snapToGrid w:val="0"/>
        <w:spacing w:before="120" w:beforeLines="50" w:after="50" w:line="280" w:lineRule="exact"/>
        <w:rPr>
          <w:rFonts w:hint="eastAsia"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z w:val="24"/>
          <w:highlight w:val="none"/>
          <w:lang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27A49F">
      <w:pPr>
        <w:snapToGrid w:val="0"/>
        <w:spacing w:before="120" w:beforeLines="50" w:after="50" w:line="280" w:lineRule="exact"/>
        <w:rPr>
          <w:rFonts w:hint="eastAsia" w:ascii="宋体" w:hAnsi="宋体" w:cs="宋体"/>
          <w:bCs/>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19E2D8E">
      <w:pPr>
        <w:snapToGrid w:val="0"/>
        <w:spacing w:before="50" w:after="50"/>
        <w:rPr>
          <w:rFonts w:hint="eastAsia" w:ascii="宋体" w:hAnsi="宋体" w:cs="宋体"/>
          <w:color w:val="auto"/>
          <w:sz w:val="24"/>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C466D16">
      <w:pPr>
        <w:snapToGrid w:val="0"/>
        <w:spacing w:before="50" w:after="50"/>
        <w:jc w:val="right"/>
        <w:rPr>
          <w:rFonts w:hint="eastAsia" w:ascii="宋体" w:hAnsi="宋体" w:cs="宋体"/>
          <w:color w:val="auto"/>
          <w:sz w:val="24"/>
          <w:highlight w:val="none"/>
        </w:rPr>
      </w:pPr>
      <w:r>
        <w:rPr>
          <w:rFonts w:hint="eastAsia" w:ascii="宋体" w:hAnsi="宋体" w:cs="宋体"/>
          <w:color w:val="auto"/>
          <w:sz w:val="24"/>
          <w:highlight w:val="none"/>
        </w:rPr>
        <w:t>单位：元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1110"/>
        <w:gridCol w:w="4074"/>
      </w:tblGrid>
      <w:tr w14:paraId="487ED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D3D04A">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0CEA84EC">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标项名称</w:t>
            </w:r>
          </w:p>
        </w:tc>
        <w:tc>
          <w:tcPr>
            <w:tcW w:w="1110" w:type="dxa"/>
            <w:tcBorders>
              <w:top w:val="single" w:color="auto" w:sz="4" w:space="0"/>
              <w:left w:val="single" w:color="auto" w:sz="4" w:space="0"/>
              <w:bottom w:val="single" w:color="auto" w:sz="4" w:space="0"/>
              <w:right w:val="single" w:color="auto" w:sz="4" w:space="0"/>
            </w:tcBorders>
            <w:vAlign w:val="center"/>
          </w:tcPr>
          <w:p w14:paraId="1BFA03A4">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4074" w:type="dxa"/>
            <w:tcBorders>
              <w:top w:val="single" w:color="auto" w:sz="4" w:space="0"/>
              <w:left w:val="single" w:color="auto" w:sz="4" w:space="0"/>
              <w:bottom w:val="single" w:color="auto" w:sz="4" w:space="0"/>
              <w:right w:val="single" w:color="auto" w:sz="4" w:space="0"/>
            </w:tcBorders>
            <w:vAlign w:val="center"/>
          </w:tcPr>
          <w:p w14:paraId="616A5D01">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p>
        </w:tc>
      </w:tr>
      <w:tr w14:paraId="65C5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60F166">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56199F09">
            <w:pPr>
              <w:snapToGrid w:val="0"/>
              <w:spacing w:before="50" w:after="50"/>
              <w:jc w:val="center"/>
              <w:rPr>
                <w:rFonts w:hint="eastAsia" w:ascii="宋体" w:hAnsi="宋体" w:cs="宋体"/>
                <w:b/>
                <w:color w:val="auto"/>
                <w:sz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2FF6F2F6">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一项</w:t>
            </w:r>
          </w:p>
        </w:tc>
        <w:tc>
          <w:tcPr>
            <w:tcW w:w="4074" w:type="dxa"/>
            <w:tcBorders>
              <w:top w:val="single" w:color="auto" w:sz="4" w:space="0"/>
              <w:left w:val="single" w:color="auto" w:sz="4" w:space="0"/>
              <w:bottom w:val="single" w:color="auto" w:sz="4" w:space="0"/>
              <w:right w:val="single" w:color="auto" w:sz="4" w:space="0"/>
            </w:tcBorders>
            <w:vAlign w:val="center"/>
          </w:tcPr>
          <w:p w14:paraId="2FD3A747">
            <w:pPr>
              <w:snapToGrid w:val="0"/>
              <w:spacing w:before="50" w:after="50"/>
              <w:jc w:val="center"/>
              <w:rPr>
                <w:rFonts w:hint="eastAsia" w:ascii="宋体" w:hAnsi="宋体" w:cs="宋体"/>
                <w:b/>
                <w:color w:val="auto"/>
                <w:sz w:val="24"/>
                <w:highlight w:val="none"/>
              </w:rPr>
            </w:pPr>
          </w:p>
        </w:tc>
      </w:tr>
      <w:tr w14:paraId="0115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26" w:type="dxa"/>
            <w:gridSpan w:val="4"/>
            <w:tcBorders>
              <w:top w:val="single" w:color="auto" w:sz="4" w:space="0"/>
              <w:left w:val="single" w:color="auto" w:sz="4" w:space="0"/>
              <w:bottom w:val="single" w:color="auto" w:sz="4" w:space="0"/>
              <w:right w:val="single" w:color="auto" w:sz="4" w:space="0"/>
            </w:tcBorders>
            <w:vAlign w:val="center"/>
          </w:tcPr>
          <w:p w14:paraId="54D4C1A1">
            <w:pPr>
              <w:snapToGrid w:val="0"/>
              <w:spacing w:before="50" w:after="50"/>
              <w:rPr>
                <w:rFonts w:hint="eastAsia" w:ascii="宋体" w:hAnsi="宋体" w:cs="宋体"/>
                <w:b/>
                <w:color w:val="auto"/>
                <w:sz w:val="24"/>
                <w:highlight w:val="none"/>
              </w:rPr>
            </w:pPr>
            <w:r>
              <w:rPr>
                <w:rFonts w:hint="eastAsia" w:ascii="宋体" w:hAnsi="宋体" w:cs="宋体"/>
                <w:b/>
                <w:color w:val="auto"/>
                <w:sz w:val="24"/>
                <w:highlight w:val="none"/>
              </w:rPr>
              <w:t>交货时间：</w:t>
            </w:r>
          </w:p>
        </w:tc>
      </w:tr>
      <w:tr w14:paraId="7E0C4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26" w:type="dxa"/>
            <w:gridSpan w:val="4"/>
            <w:tcBorders>
              <w:top w:val="single" w:color="auto" w:sz="4" w:space="0"/>
              <w:left w:val="single" w:color="auto" w:sz="4" w:space="0"/>
              <w:bottom w:val="single" w:color="auto" w:sz="4" w:space="0"/>
              <w:right w:val="single" w:color="auto" w:sz="4" w:space="0"/>
            </w:tcBorders>
            <w:vAlign w:val="center"/>
          </w:tcPr>
          <w:p w14:paraId="23FB62DC">
            <w:pPr>
              <w:snapToGrid w:val="0"/>
              <w:spacing w:before="50" w:after="50"/>
              <w:rPr>
                <w:rFonts w:hint="eastAsia" w:ascii="宋体" w:hAnsi="宋体" w:cs="宋体"/>
                <w:b/>
                <w:color w:val="auto"/>
                <w:sz w:val="24"/>
                <w:highlight w:val="none"/>
              </w:rPr>
            </w:pPr>
            <w:r>
              <w:rPr>
                <w:rFonts w:hint="eastAsia" w:ascii="宋体" w:hAnsi="宋体" w:cs="宋体"/>
                <w:color w:val="auto"/>
                <w:sz w:val="24"/>
                <w:highlight w:val="none"/>
              </w:rPr>
              <w:t>总价合计金额：</w:t>
            </w:r>
            <w:r>
              <w:rPr>
                <w:rFonts w:hint="eastAsia" w:ascii="宋体" w:hAnsi="宋体" w:cs="宋体"/>
                <w:color w:val="auto"/>
                <w:sz w:val="24"/>
                <w:highlight w:val="none"/>
                <w:u w:val="single"/>
              </w:rPr>
              <w:t>大写                                （小写：￥                  ）</w:t>
            </w:r>
          </w:p>
        </w:tc>
      </w:tr>
    </w:tbl>
    <w:p w14:paraId="3892AE6F">
      <w:pPr>
        <w:snapToGrid w:val="0"/>
        <w:spacing w:before="50" w:after="50"/>
        <w:jc w:val="left"/>
        <w:rPr>
          <w:rFonts w:hint="eastAsia" w:ascii="宋体" w:hAnsi="宋体" w:cs="宋体"/>
          <w:color w:val="auto"/>
          <w:sz w:val="24"/>
          <w:highlight w:val="none"/>
        </w:rPr>
      </w:pPr>
    </w:p>
    <w:p w14:paraId="6E3AB4B5">
      <w:pPr>
        <w:snapToGrid w:val="0"/>
        <w:spacing w:before="50" w:after="50"/>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注：1、报价一经涂改，应在涂改处投标人全称并加盖CA电子签章或者由法定代表人（负责人）或授权委托人签字（或加盖CA电子签字章），否则其投标作无效标处理。</w:t>
      </w:r>
    </w:p>
    <w:p w14:paraId="5D338288">
      <w:pPr>
        <w:snapToGrid w:val="0"/>
        <w:spacing w:before="50" w:after="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2、投标费用包括项目实施所需的人工费、服务费、购买及制作标书费、税费及其他一切费用。</w:t>
      </w:r>
    </w:p>
    <w:p w14:paraId="1C238223">
      <w:pPr>
        <w:snapToGrid w:val="0"/>
        <w:spacing w:before="50" w:after="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3、以上报价应与“投标报价明细表”中的“投标总价”相一致。</w:t>
      </w:r>
    </w:p>
    <w:p w14:paraId="19442D51">
      <w:pPr>
        <w:snapToGrid w:val="0"/>
        <w:spacing w:before="50" w:after="50"/>
        <w:ind w:firstLine="420" w:firstLineChars="200"/>
        <w:rPr>
          <w:rFonts w:hint="eastAsia" w:ascii="宋体" w:hAnsi="宋体" w:cs="宋体"/>
          <w:color w:val="auto"/>
          <w:szCs w:val="21"/>
          <w:highlight w:val="none"/>
        </w:rPr>
      </w:pPr>
    </w:p>
    <w:p w14:paraId="678B4388">
      <w:pPr>
        <w:snapToGrid w:val="0"/>
        <w:spacing w:before="50" w:after="50"/>
        <w:ind w:firstLine="420" w:firstLineChars="200"/>
        <w:rPr>
          <w:rFonts w:hint="eastAsia" w:ascii="宋体" w:hAnsi="宋体" w:cs="宋体"/>
          <w:color w:val="auto"/>
          <w:szCs w:val="21"/>
          <w:highlight w:val="none"/>
        </w:rPr>
      </w:pPr>
    </w:p>
    <w:p w14:paraId="64AAA0B4">
      <w:pPr>
        <w:pStyle w:val="14"/>
        <w:spacing w:line="360" w:lineRule="auto"/>
        <w:ind w:firstLine="1800" w:firstLineChars="7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color w:val="auto"/>
          <w:kern w:val="2"/>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00E4139A">
      <w:pPr>
        <w:spacing w:line="360" w:lineRule="auto"/>
        <w:ind w:firstLine="1080" w:firstLineChars="450"/>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48D0B83D">
      <w:pPr>
        <w:snapToGrid w:val="0"/>
        <w:spacing w:before="50" w:after="50" w:line="360" w:lineRule="auto"/>
        <w:ind w:left="-6" w:leftChars="-3" w:right="-817" w:rightChars="-389"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A38C5F8">
      <w:pPr>
        <w:pStyle w:val="14"/>
        <w:ind w:firstLine="4725" w:firstLineChars="2250"/>
        <w:rPr>
          <w:rFonts w:hint="eastAsia" w:hAnsi="宋体" w:cs="宋体"/>
          <w:color w:val="auto"/>
          <w:sz w:val="21"/>
          <w:highlight w:val="none"/>
          <w:u w:val="single"/>
        </w:rPr>
      </w:pPr>
    </w:p>
    <w:p w14:paraId="3F0F76D0">
      <w:pPr>
        <w:pStyle w:val="14"/>
        <w:spacing w:line="440" w:lineRule="exact"/>
        <w:rPr>
          <w:rFonts w:hint="eastAsia" w:hAnsi="宋体" w:cs="宋体"/>
          <w:color w:val="auto"/>
          <w:highlight w:val="none"/>
        </w:rPr>
      </w:pPr>
    </w:p>
    <w:p w14:paraId="4F4DDA7C">
      <w:pPr>
        <w:pStyle w:val="14"/>
        <w:spacing w:line="440" w:lineRule="exact"/>
        <w:rPr>
          <w:rFonts w:hint="eastAsia" w:hAnsi="宋体" w:cs="宋体"/>
          <w:color w:val="auto"/>
          <w:sz w:val="21"/>
          <w:highlight w:val="none"/>
        </w:rPr>
      </w:pPr>
      <w:r>
        <w:rPr>
          <w:rFonts w:hint="eastAsia" w:hAnsi="宋体" w:cs="宋体"/>
          <w:color w:val="auto"/>
          <w:highlight w:val="none"/>
        </w:rPr>
        <w:br w:type="page"/>
      </w:r>
      <w:r>
        <w:rPr>
          <w:rFonts w:hint="eastAsia" w:hAnsi="宋体" w:cs="宋体"/>
          <w:b/>
          <w:bCs/>
          <w:color w:val="auto"/>
          <w:sz w:val="24"/>
          <w:szCs w:val="24"/>
          <w:highlight w:val="none"/>
        </w:rPr>
        <w:t>（3）报价明细表格式：</w:t>
      </w:r>
    </w:p>
    <w:p w14:paraId="78C3A77A">
      <w:pPr>
        <w:pStyle w:val="14"/>
        <w:snapToGrid w:val="0"/>
        <w:spacing w:before="295" w:after="295"/>
        <w:jc w:val="center"/>
        <w:rPr>
          <w:rFonts w:hint="eastAsia" w:hAnsi="宋体" w:cs="宋体"/>
          <w:b/>
          <w:bCs/>
          <w:color w:val="auto"/>
          <w:sz w:val="32"/>
          <w:szCs w:val="32"/>
          <w:highlight w:val="none"/>
        </w:rPr>
      </w:pPr>
      <w:r>
        <w:rPr>
          <w:rFonts w:hint="eastAsia" w:hAnsi="宋体" w:cs="宋体"/>
          <w:b/>
          <w:bCs/>
          <w:color w:val="auto"/>
          <w:sz w:val="32"/>
          <w:szCs w:val="32"/>
          <w:highlight w:val="none"/>
        </w:rPr>
        <w:t>报价明细表</w:t>
      </w:r>
    </w:p>
    <w:p w14:paraId="04FCEAC3">
      <w:pPr>
        <w:rPr>
          <w:color w:val="auto"/>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5C6DCA1">
      <w:pPr>
        <w:pStyle w:val="14"/>
        <w:snapToGrid w:val="0"/>
        <w:spacing w:before="295" w:after="295"/>
        <w:ind w:firstLine="2100" w:firstLineChars="1050"/>
        <w:jc w:val="right"/>
        <w:rPr>
          <w:rFonts w:hint="eastAsia" w:hAnsi="宋体" w:cs="宋体"/>
          <w:color w:val="auto"/>
          <w:highlight w:val="none"/>
        </w:rPr>
      </w:pPr>
      <w:r>
        <w:rPr>
          <w:rFonts w:hint="eastAsia" w:hAnsi="宋体" w:cs="宋体"/>
          <w:color w:val="auto"/>
          <w:highlight w:val="none"/>
        </w:rPr>
        <w:t xml:space="preserve">                                           </w:t>
      </w:r>
      <w:r>
        <w:rPr>
          <w:rFonts w:hint="eastAsia" w:hAnsi="宋体" w:cs="宋体"/>
          <w:color w:val="auto"/>
          <w:sz w:val="24"/>
          <w:szCs w:val="28"/>
          <w:highlight w:val="none"/>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34"/>
        <w:gridCol w:w="1080"/>
        <w:gridCol w:w="1440"/>
        <w:gridCol w:w="1034"/>
        <w:gridCol w:w="1563"/>
        <w:gridCol w:w="1287"/>
        <w:gridCol w:w="931"/>
      </w:tblGrid>
      <w:tr w14:paraId="587AA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690B099E">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14:paraId="677CD96C">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3BADFB12">
            <w:pPr>
              <w:pStyle w:val="31"/>
              <w:rPr>
                <w:rFonts w:hint="eastAsia" w:ascii="宋体" w:eastAsia="宋体" w:cs="宋体"/>
                <w:b w:val="0"/>
                <w:color w:val="auto"/>
                <w:sz w:val="24"/>
                <w:szCs w:val="24"/>
                <w:highlight w:val="none"/>
              </w:rPr>
            </w:pPr>
            <w:r>
              <w:rPr>
                <w:rFonts w:hint="eastAsia" w:ascii="宋体" w:eastAsia="宋体" w:cs="宋体"/>
                <w:b w:val="0"/>
                <w:color w:val="auto"/>
                <w:sz w:val="24"/>
                <w:szCs w:val="24"/>
                <w:highlight w:val="none"/>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1C85BE87">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034" w:type="dxa"/>
            <w:tcBorders>
              <w:top w:val="single" w:color="auto" w:sz="4" w:space="0"/>
              <w:left w:val="single" w:color="auto" w:sz="4" w:space="0"/>
              <w:bottom w:val="single" w:color="auto" w:sz="4" w:space="0"/>
              <w:right w:val="single" w:color="auto" w:sz="4" w:space="0"/>
            </w:tcBorders>
            <w:vAlign w:val="center"/>
          </w:tcPr>
          <w:p w14:paraId="51EB047A">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单位及数量</w:t>
            </w:r>
          </w:p>
        </w:tc>
        <w:tc>
          <w:tcPr>
            <w:tcW w:w="1563" w:type="dxa"/>
            <w:tcBorders>
              <w:top w:val="single" w:color="auto" w:sz="4" w:space="0"/>
              <w:left w:val="single" w:color="auto" w:sz="4" w:space="0"/>
              <w:bottom w:val="single" w:color="auto" w:sz="4" w:space="0"/>
              <w:right w:val="single" w:color="auto" w:sz="4" w:space="0"/>
            </w:tcBorders>
            <w:vAlign w:val="center"/>
          </w:tcPr>
          <w:p w14:paraId="4017A871">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287" w:type="dxa"/>
            <w:tcBorders>
              <w:top w:val="single" w:color="auto" w:sz="4" w:space="0"/>
              <w:left w:val="single" w:color="auto" w:sz="4" w:space="0"/>
              <w:bottom w:val="single" w:color="auto" w:sz="4" w:space="0"/>
              <w:right w:val="single" w:color="auto" w:sz="4" w:space="0"/>
            </w:tcBorders>
            <w:vAlign w:val="center"/>
          </w:tcPr>
          <w:p w14:paraId="66A5D502">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金额</w:t>
            </w:r>
          </w:p>
        </w:tc>
        <w:tc>
          <w:tcPr>
            <w:tcW w:w="931" w:type="dxa"/>
            <w:tcBorders>
              <w:top w:val="single" w:color="auto" w:sz="4" w:space="0"/>
              <w:left w:val="single" w:color="auto" w:sz="4" w:space="0"/>
              <w:bottom w:val="single" w:color="auto" w:sz="4" w:space="0"/>
              <w:right w:val="single" w:color="auto" w:sz="4" w:space="0"/>
            </w:tcBorders>
            <w:vAlign w:val="center"/>
          </w:tcPr>
          <w:p w14:paraId="02E9A564">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企业类型</w:t>
            </w:r>
          </w:p>
        </w:tc>
      </w:tr>
      <w:tr w14:paraId="184E4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3EDAB34">
            <w:pPr>
              <w:tabs>
                <w:tab w:val="left" w:pos="1418"/>
              </w:tabs>
              <w:snapToGrid w:val="0"/>
              <w:spacing w:before="50" w:after="50"/>
              <w:jc w:val="center"/>
              <w:rPr>
                <w:rFonts w:hint="eastAsia" w:ascii="宋体" w:hAnsi="宋体" w:cs="宋体"/>
                <w:color w:val="auto"/>
                <w:spacing w:val="20"/>
                <w:sz w:val="24"/>
                <w:highlight w:val="none"/>
              </w:rPr>
            </w:pPr>
          </w:p>
        </w:tc>
        <w:tc>
          <w:tcPr>
            <w:tcW w:w="1234" w:type="dxa"/>
            <w:tcBorders>
              <w:top w:val="single" w:color="auto" w:sz="4" w:space="0"/>
              <w:left w:val="single" w:color="auto" w:sz="4" w:space="0"/>
              <w:bottom w:val="single" w:color="auto" w:sz="4" w:space="0"/>
              <w:right w:val="single" w:color="auto" w:sz="4" w:space="0"/>
            </w:tcBorders>
          </w:tcPr>
          <w:p w14:paraId="7FCDF122">
            <w:pPr>
              <w:tabs>
                <w:tab w:val="left" w:pos="1418"/>
              </w:tabs>
              <w:snapToGrid w:val="0"/>
              <w:spacing w:before="50" w:after="50"/>
              <w:jc w:val="center"/>
              <w:rPr>
                <w:rFonts w:hint="eastAsia" w:ascii="宋体" w:hAnsi="宋体" w:cs="宋体"/>
                <w:color w:val="auto"/>
                <w:spacing w:val="2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AA8A050">
            <w:pPr>
              <w:tabs>
                <w:tab w:val="left" w:pos="1418"/>
              </w:tabs>
              <w:snapToGrid w:val="0"/>
              <w:spacing w:before="50" w:after="50"/>
              <w:jc w:val="center"/>
              <w:rPr>
                <w:rFonts w:hint="eastAsia" w:ascii="宋体" w:hAnsi="宋体" w:cs="宋体"/>
                <w:color w:val="auto"/>
                <w:spacing w:val="2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21AD362">
            <w:pPr>
              <w:tabs>
                <w:tab w:val="left" w:pos="1418"/>
              </w:tabs>
              <w:snapToGrid w:val="0"/>
              <w:spacing w:before="50" w:after="50"/>
              <w:jc w:val="center"/>
              <w:rPr>
                <w:rFonts w:hint="eastAsia" w:ascii="宋体" w:hAnsi="宋体" w:cs="宋体"/>
                <w:color w:val="auto"/>
                <w:spacing w:val="20"/>
                <w:sz w:val="24"/>
                <w:highlight w:val="none"/>
              </w:rPr>
            </w:pPr>
          </w:p>
        </w:tc>
        <w:tc>
          <w:tcPr>
            <w:tcW w:w="1034" w:type="dxa"/>
            <w:tcBorders>
              <w:top w:val="single" w:color="auto" w:sz="4" w:space="0"/>
              <w:left w:val="single" w:color="auto" w:sz="4" w:space="0"/>
              <w:bottom w:val="single" w:color="auto" w:sz="4" w:space="0"/>
              <w:right w:val="single" w:color="auto" w:sz="4" w:space="0"/>
            </w:tcBorders>
          </w:tcPr>
          <w:p w14:paraId="6A2C4AE3">
            <w:pPr>
              <w:tabs>
                <w:tab w:val="left" w:pos="1418"/>
              </w:tabs>
              <w:snapToGrid w:val="0"/>
              <w:spacing w:before="50" w:after="50"/>
              <w:jc w:val="center"/>
              <w:rPr>
                <w:rFonts w:hint="eastAsia" w:ascii="宋体" w:hAnsi="宋体" w:cs="宋体"/>
                <w:color w:val="auto"/>
                <w:spacing w:val="20"/>
                <w:sz w:val="24"/>
                <w:highlight w:val="none"/>
              </w:rPr>
            </w:pPr>
          </w:p>
        </w:tc>
        <w:tc>
          <w:tcPr>
            <w:tcW w:w="1563" w:type="dxa"/>
            <w:tcBorders>
              <w:top w:val="single" w:color="auto" w:sz="4" w:space="0"/>
              <w:left w:val="single" w:color="auto" w:sz="4" w:space="0"/>
              <w:bottom w:val="single" w:color="auto" w:sz="4" w:space="0"/>
              <w:right w:val="single" w:color="auto" w:sz="4" w:space="0"/>
            </w:tcBorders>
          </w:tcPr>
          <w:p w14:paraId="4041E312">
            <w:pPr>
              <w:tabs>
                <w:tab w:val="left" w:pos="1418"/>
              </w:tabs>
              <w:snapToGrid w:val="0"/>
              <w:spacing w:before="50" w:after="50"/>
              <w:jc w:val="center"/>
              <w:rPr>
                <w:rFonts w:hint="eastAsia" w:ascii="宋体" w:hAnsi="宋体" w:cs="宋体"/>
                <w:color w:val="auto"/>
                <w:spacing w:val="20"/>
                <w:sz w:val="24"/>
                <w:highlight w:val="none"/>
              </w:rPr>
            </w:pPr>
          </w:p>
        </w:tc>
        <w:tc>
          <w:tcPr>
            <w:tcW w:w="1287" w:type="dxa"/>
            <w:tcBorders>
              <w:top w:val="single" w:color="auto" w:sz="4" w:space="0"/>
              <w:left w:val="single" w:color="auto" w:sz="4" w:space="0"/>
              <w:bottom w:val="single" w:color="auto" w:sz="4" w:space="0"/>
              <w:right w:val="single" w:color="auto" w:sz="4" w:space="0"/>
            </w:tcBorders>
          </w:tcPr>
          <w:p w14:paraId="3AB10600">
            <w:pPr>
              <w:tabs>
                <w:tab w:val="left" w:pos="1418"/>
              </w:tabs>
              <w:snapToGrid w:val="0"/>
              <w:spacing w:before="50" w:after="50"/>
              <w:jc w:val="center"/>
              <w:rPr>
                <w:rFonts w:hint="eastAsia" w:ascii="宋体" w:hAnsi="宋体" w:cs="宋体"/>
                <w:color w:val="auto"/>
                <w:spacing w:val="20"/>
                <w:sz w:val="24"/>
                <w:highlight w:val="none"/>
              </w:rPr>
            </w:pPr>
          </w:p>
        </w:tc>
        <w:tc>
          <w:tcPr>
            <w:tcW w:w="931" w:type="dxa"/>
            <w:tcBorders>
              <w:top w:val="single" w:color="auto" w:sz="4" w:space="0"/>
              <w:left w:val="single" w:color="auto" w:sz="4" w:space="0"/>
              <w:bottom w:val="single" w:color="auto" w:sz="4" w:space="0"/>
              <w:right w:val="single" w:color="auto" w:sz="4" w:space="0"/>
            </w:tcBorders>
          </w:tcPr>
          <w:p w14:paraId="34400D62">
            <w:pPr>
              <w:tabs>
                <w:tab w:val="left" w:pos="1418"/>
              </w:tabs>
              <w:snapToGrid w:val="0"/>
              <w:spacing w:before="50" w:after="50"/>
              <w:jc w:val="center"/>
              <w:rPr>
                <w:rFonts w:hint="eastAsia" w:ascii="宋体" w:hAnsi="宋体" w:cs="宋体"/>
                <w:color w:val="auto"/>
                <w:spacing w:val="20"/>
                <w:sz w:val="24"/>
                <w:highlight w:val="none"/>
              </w:rPr>
            </w:pPr>
          </w:p>
        </w:tc>
      </w:tr>
      <w:tr w14:paraId="3FDA3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EA80B98">
            <w:pPr>
              <w:tabs>
                <w:tab w:val="left" w:pos="1418"/>
              </w:tabs>
              <w:snapToGrid w:val="0"/>
              <w:spacing w:before="50" w:after="50"/>
              <w:jc w:val="center"/>
              <w:rPr>
                <w:rFonts w:hint="eastAsia" w:ascii="宋体" w:hAnsi="宋体" w:cs="宋体"/>
                <w:color w:val="auto"/>
                <w:spacing w:val="20"/>
                <w:sz w:val="24"/>
                <w:highlight w:val="none"/>
              </w:rPr>
            </w:pPr>
          </w:p>
        </w:tc>
        <w:tc>
          <w:tcPr>
            <w:tcW w:w="1234" w:type="dxa"/>
            <w:tcBorders>
              <w:top w:val="single" w:color="auto" w:sz="4" w:space="0"/>
              <w:left w:val="single" w:color="auto" w:sz="4" w:space="0"/>
              <w:bottom w:val="single" w:color="auto" w:sz="4" w:space="0"/>
              <w:right w:val="single" w:color="auto" w:sz="4" w:space="0"/>
            </w:tcBorders>
          </w:tcPr>
          <w:p w14:paraId="5FD189CD">
            <w:pPr>
              <w:tabs>
                <w:tab w:val="left" w:pos="1418"/>
              </w:tabs>
              <w:snapToGrid w:val="0"/>
              <w:spacing w:before="50" w:after="50"/>
              <w:jc w:val="center"/>
              <w:rPr>
                <w:rFonts w:hint="eastAsia" w:ascii="宋体" w:hAnsi="宋体" w:cs="宋体"/>
                <w:color w:val="auto"/>
                <w:spacing w:val="2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4A07789">
            <w:pPr>
              <w:tabs>
                <w:tab w:val="left" w:pos="1418"/>
              </w:tabs>
              <w:snapToGrid w:val="0"/>
              <w:spacing w:before="50" w:after="50"/>
              <w:jc w:val="center"/>
              <w:rPr>
                <w:rFonts w:hint="eastAsia" w:ascii="宋体" w:hAnsi="宋体" w:cs="宋体"/>
                <w:color w:val="auto"/>
                <w:spacing w:val="2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B167220">
            <w:pPr>
              <w:tabs>
                <w:tab w:val="left" w:pos="1418"/>
              </w:tabs>
              <w:snapToGrid w:val="0"/>
              <w:spacing w:before="50" w:after="50"/>
              <w:jc w:val="center"/>
              <w:rPr>
                <w:rFonts w:hint="eastAsia" w:ascii="宋体" w:hAnsi="宋体" w:cs="宋体"/>
                <w:color w:val="auto"/>
                <w:spacing w:val="20"/>
                <w:sz w:val="24"/>
                <w:highlight w:val="none"/>
              </w:rPr>
            </w:pPr>
          </w:p>
        </w:tc>
        <w:tc>
          <w:tcPr>
            <w:tcW w:w="1034" w:type="dxa"/>
            <w:tcBorders>
              <w:top w:val="single" w:color="auto" w:sz="4" w:space="0"/>
              <w:left w:val="single" w:color="auto" w:sz="4" w:space="0"/>
              <w:bottom w:val="single" w:color="auto" w:sz="4" w:space="0"/>
              <w:right w:val="single" w:color="auto" w:sz="4" w:space="0"/>
            </w:tcBorders>
          </w:tcPr>
          <w:p w14:paraId="472507AC">
            <w:pPr>
              <w:tabs>
                <w:tab w:val="left" w:pos="1418"/>
              </w:tabs>
              <w:snapToGrid w:val="0"/>
              <w:spacing w:before="50" w:after="50"/>
              <w:jc w:val="center"/>
              <w:rPr>
                <w:rFonts w:hint="eastAsia" w:ascii="宋体" w:hAnsi="宋体" w:cs="宋体"/>
                <w:color w:val="auto"/>
                <w:spacing w:val="20"/>
                <w:sz w:val="24"/>
                <w:highlight w:val="none"/>
              </w:rPr>
            </w:pPr>
          </w:p>
        </w:tc>
        <w:tc>
          <w:tcPr>
            <w:tcW w:w="1563" w:type="dxa"/>
            <w:tcBorders>
              <w:top w:val="single" w:color="auto" w:sz="4" w:space="0"/>
              <w:left w:val="single" w:color="auto" w:sz="4" w:space="0"/>
              <w:bottom w:val="single" w:color="auto" w:sz="4" w:space="0"/>
              <w:right w:val="single" w:color="auto" w:sz="4" w:space="0"/>
            </w:tcBorders>
          </w:tcPr>
          <w:p w14:paraId="72A42759">
            <w:pPr>
              <w:tabs>
                <w:tab w:val="left" w:pos="1418"/>
              </w:tabs>
              <w:snapToGrid w:val="0"/>
              <w:spacing w:before="50" w:after="50"/>
              <w:jc w:val="center"/>
              <w:rPr>
                <w:rFonts w:hint="eastAsia" w:ascii="宋体" w:hAnsi="宋体" w:cs="宋体"/>
                <w:color w:val="auto"/>
                <w:spacing w:val="20"/>
                <w:sz w:val="24"/>
                <w:highlight w:val="none"/>
              </w:rPr>
            </w:pPr>
          </w:p>
        </w:tc>
        <w:tc>
          <w:tcPr>
            <w:tcW w:w="1287" w:type="dxa"/>
            <w:tcBorders>
              <w:top w:val="single" w:color="auto" w:sz="4" w:space="0"/>
              <w:left w:val="single" w:color="auto" w:sz="4" w:space="0"/>
              <w:bottom w:val="single" w:color="auto" w:sz="4" w:space="0"/>
              <w:right w:val="single" w:color="auto" w:sz="4" w:space="0"/>
            </w:tcBorders>
          </w:tcPr>
          <w:p w14:paraId="1E8687AE">
            <w:pPr>
              <w:tabs>
                <w:tab w:val="left" w:pos="1418"/>
              </w:tabs>
              <w:snapToGrid w:val="0"/>
              <w:spacing w:before="50" w:after="50"/>
              <w:jc w:val="center"/>
              <w:rPr>
                <w:rFonts w:hint="eastAsia" w:ascii="宋体" w:hAnsi="宋体" w:cs="宋体"/>
                <w:color w:val="auto"/>
                <w:spacing w:val="20"/>
                <w:sz w:val="24"/>
                <w:highlight w:val="none"/>
              </w:rPr>
            </w:pPr>
          </w:p>
        </w:tc>
        <w:tc>
          <w:tcPr>
            <w:tcW w:w="931" w:type="dxa"/>
            <w:tcBorders>
              <w:top w:val="single" w:color="auto" w:sz="4" w:space="0"/>
              <w:left w:val="single" w:color="auto" w:sz="4" w:space="0"/>
              <w:bottom w:val="single" w:color="auto" w:sz="4" w:space="0"/>
              <w:right w:val="single" w:color="auto" w:sz="4" w:space="0"/>
            </w:tcBorders>
          </w:tcPr>
          <w:p w14:paraId="2A0FEBEA">
            <w:pPr>
              <w:tabs>
                <w:tab w:val="left" w:pos="1418"/>
              </w:tabs>
              <w:snapToGrid w:val="0"/>
              <w:spacing w:before="50" w:after="50"/>
              <w:jc w:val="center"/>
              <w:rPr>
                <w:rFonts w:hint="eastAsia" w:ascii="宋体" w:hAnsi="宋体" w:cs="宋体"/>
                <w:color w:val="auto"/>
                <w:spacing w:val="20"/>
                <w:sz w:val="24"/>
                <w:highlight w:val="none"/>
              </w:rPr>
            </w:pPr>
          </w:p>
        </w:tc>
      </w:tr>
      <w:tr w14:paraId="1AB37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89" w:type="dxa"/>
            <w:gridSpan w:val="8"/>
            <w:tcBorders>
              <w:top w:val="single" w:color="auto" w:sz="4" w:space="0"/>
              <w:left w:val="single" w:color="auto" w:sz="4" w:space="0"/>
              <w:bottom w:val="single" w:color="auto" w:sz="4" w:space="0"/>
              <w:right w:val="single" w:color="auto" w:sz="4" w:space="0"/>
            </w:tcBorders>
          </w:tcPr>
          <w:p w14:paraId="30A3E5CB">
            <w:pPr>
              <w:tabs>
                <w:tab w:val="left" w:pos="1418"/>
              </w:tabs>
              <w:snapToGrid w:val="0"/>
              <w:spacing w:before="50" w:after="50"/>
              <w:rPr>
                <w:rFonts w:hint="eastAsia" w:ascii="宋体" w:hAnsi="宋体" w:cs="宋体"/>
                <w:color w:val="auto"/>
                <w:sz w:val="24"/>
                <w:highlight w:val="none"/>
                <w:u w:val="single"/>
              </w:rPr>
            </w:pPr>
            <w:r>
              <w:rPr>
                <w:rFonts w:hint="eastAsia" w:ascii="宋体" w:hAnsi="宋体" w:cs="宋体"/>
                <w:color w:val="auto"/>
                <w:sz w:val="24"/>
                <w:highlight w:val="none"/>
              </w:rPr>
              <w:t>投标总价：大写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7282C288">
      <w:pPr>
        <w:snapToGrid w:val="0"/>
        <w:spacing w:before="50" w:after="50"/>
        <w:rPr>
          <w:rFonts w:hint="eastAsia" w:ascii="宋体" w:hAnsi="宋体" w:cs="宋体"/>
          <w:color w:val="auto"/>
          <w:spacing w:val="20"/>
          <w:sz w:val="24"/>
          <w:highlight w:val="none"/>
          <w:u w:val="single"/>
        </w:rPr>
      </w:pPr>
    </w:p>
    <w:p w14:paraId="1D6DCE33">
      <w:pPr>
        <w:snapToGrid w:val="0"/>
        <w:spacing w:before="50" w:after="5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注：企业类型划分为中型、小型、微型三种类型，按投标货物生产厂商或提供的服务所属企业类型填写。</w:t>
      </w:r>
    </w:p>
    <w:p w14:paraId="188C387F">
      <w:pPr>
        <w:snapToGrid w:val="0"/>
        <w:spacing w:before="50" w:after="50"/>
        <w:rPr>
          <w:rFonts w:hint="eastAsia" w:ascii="宋体" w:hAnsi="宋体" w:cs="宋体"/>
          <w:color w:val="auto"/>
          <w:spacing w:val="20"/>
          <w:szCs w:val="21"/>
          <w:highlight w:val="none"/>
          <w:u w:val="single"/>
        </w:rPr>
      </w:pPr>
    </w:p>
    <w:p w14:paraId="56601BEE">
      <w:pPr>
        <w:snapToGrid w:val="0"/>
        <w:spacing w:before="50" w:after="50"/>
        <w:rPr>
          <w:rFonts w:hint="eastAsia" w:ascii="宋体" w:hAnsi="宋体" w:cs="宋体"/>
          <w:color w:val="auto"/>
          <w:spacing w:val="20"/>
          <w:szCs w:val="21"/>
          <w:highlight w:val="none"/>
          <w:u w:val="single"/>
        </w:rPr>
      </w:pPr>
    </w:p>
    <w:p w14:paraId="401C515A">
      <w:pPr>
        <w:pStyle w:val="14"/>
        <w:ind w:firstLine="1800" w:firstLineChars="7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color w:val="auto"/>
          <w:kern w:val="2"/>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969C602">
      <w:pPr>
        <w:pStyle w:val="14"/>
        <w:rPr>
          <w:rFonts w:hint="eastAsia" w:hAnsi="宋体" w:cs="宋体"/>
          <w:color w:val="auto"/>
          <w:sz w:val="24"/>
          <w:szCs w:val="24"/>
          <w:highlight w:val="none"/>
        </w:rPr>
      </w:pPr>
    </w:p>
    <w:p w14:paraId="09DE0C2D">
      <w:pPr>
        <w:ind w:firstLine="1080" w:firstLineChars="450"/>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2685DED6">
      <w:pPr>
        <w:snapToGrid w:val="0"/>
        <w:spacing w:before="50" w:after="50"/>
        <w:ind w:left="-6" w:leftChars="-3" w:right="-817" w:rightChars="-389"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8C26BF7">
      <w:pPr>
        <w:snapToGrid w:val="0"/>
        <w:spacing w:before="50"/>
        <w:ind w:firstLine="6360" w:firstLineChars="2650"/>
        <w:jc w:val="left"/>
        <w:rPr>
          <w:rFonts w:hint="eastAsia" w:ascii="宋体" w:hAnsi="宋体" w:cs="宋体"/>
          <w:b/>
          <w:color w:val="auto"/>
          <w:sz w:val="24"/>
          <w:highlight w:val="none"/>
        </w:rPr>
      </w:pPr>
      <w:r>
        <w:rPr>
          <w:rFonts w:hint="eastAsia" w:ascii="宋体" w:hAnsi="宋体" w:cs="宋体"/>
          <w:color w:val="auto"/>
          <w:sz w:val="24"/>
          <w:highlight w:val="none"/>
        </w:rPr>
        <w:t>日期：    年   月   日</w:t>
      </w:r>
    </w:p>
    <w:p w14:paraId="55B4D3B9">
      <w:pPr>
        <w:snapToGrid w:val="0"/>
        <w:spacing w:before="50" w:after="50" w:line="360" w:lineRule="auto"/>
        <w:jc w:val="left"/>
        <w:rPr>
          <w:rFonts w:hint="eastAsia" w:ascii="宋体" w:hAnsi="宋体" w:cs="宋体"/>
          <w:color w:val="auto"/>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（4）</w:t>
      </w:r>
      <w:r>
        <w:rPr>
          <w:rFonts w:hint="eastAsia" w:ascii="宋体" w:hAnsi="宋体" w:cs="宋体"/>
          <w:b/>
          <w:bCs/>
          <w:color w:val="auto"/>
          <w:szCs w:val="21"/>
          <w:highlight w:val="none"/>
        </w:rPr>
        <w:t>中小企业声明函、残疾人福利单位声明函格式（标项一：如有）：</w:t>
      </w:r>
    </w:p>
    <w:p w14:paraId="152B36C1">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中小企业声明函（货物）</w:t>
      </w:r>
    </w:p>
    <w:p w14:paraId="35E035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（项目名称）</w:t>
      </w:r>
      <w:r>
        <w:rPr>
          <w:rFonts w:hint="eastAsia" w:ascii="宋体" w:hAnsi="宋体" w:cs="宋体"/>
          <w:color w:val="auto"/>
          <w:kern w:val="0"/>
          <w:sz w:val="24"/>
          <w:highlight w:val="none"/>
          <w:lang w:bidi="ar"/>
        </w:rPr>
        <w:t xml:space="preserve">采购活动，提供的货物全部由符合政策要求的中小企业制造。相关企业（含联合体中的中小企业、签订分包意向协议的中小企业）的具体情况如下： </w:t>
      </w:r>
    </w:p>
    <w:p w14:paraId="7579C91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 </w:t>
      </w:r>
      <w:r>
        <w:rPr>
          <w:rFonts w:hint="eastAsia" w:ascii="宋体" w:hAnsi="宋体" w:cs="宋体"/>
          <w:color w:val="auto"/>
          <w:kern w:val="0"/>
          <w:sz w:val="24"/>
          <w:highlight w:val="none"/>
          <w:u w:val="single"/>
          <w:lang w:bidi="ar"/>
        </w:rPr>
        <w:t xml:space="preserve">（标的名称）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w:t>
      </w: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 xml:space="preserve">，属于（中型企业、小型企业、微型企业）； </w:t>
      </w:r>
    </w:p>
    <w:p w14:paraId="5C24F4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u w:val="single"/>
          <w:lang w:bidi="ar"/>
        </w:rPr>
        <w:t xml:space="preserve"> （标的名称）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为万元，资产总额为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万元，属于（中型企业、小型企业、微型企业）； </w:t>
      </w:r>
    </w:p>
    <w:p w14:paraId="10D4824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p w14:paraId="439602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14:paraId="6CE06C9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本企业对上述声明内容的真实性负责。如有虚假，将依法承担相应责任。 </w:t>
      </w:r>
    </w:p>
    <w:p w14:paraId="78B3EBC5">
      <w:pPr>
        <w:widowControl/>
        <w:spacing w:line="360" w:lineRule="auto"/>
        <w:ind w:firstLine="480" w:firstLineChars="200"/>
        <w:jc w:val="left"/>
        <w:rPr>
          <w:rFonts w:hint="eastAsia" w:ascii="宋体" w:hAnsi="宋体" w:cs="宋体"/>
          <w:color w:val="auto"/>
          <w:kern w:val="0"/>
          <w:sz w:val="24"/>
          <w:highlight w:val="none"/>
          <w:lang w:bidi="ar"/>
        </w:rPr>
      </w:pPr>
    </w:p>
    <w:p w14:paraId="2968E6DE">
      <w:pPr>
        <w:widowControl/>
        <w:spacing w:line="360" w:lineRule="auto"/>
        <w:ind w:firstLine="480" w:firstLineChars="200"/>
        <w:jc w:val="left"/>
        <w:rPr>
          <w:rFonts w:hint="eastAsia" w:ascii="宋体" w:hAnsi="宋体" w:cs="宋体"/>
          <w:color w:val="auto"/>
          <w:kern w:val="0"/>
          <w:sz w:val="24"/>
          <w:highlight w:val="none"/>
          <w:lang w:bidi="ar"/>
        </w:rPr>
      </w:pPr>
    </w:p>
    <w:p w14:paraId="386DA7B1">
      <w:pPr>
        <w:widowControl/>
        <w:spacing w:line="360" w:lineRule="auto"/>
        <w:ind w:firstLine="5040" w:firstLineChars="2100"/>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企业名称（CA电子签章）：</w:t>
      </w:r>
      <w:r>
        <w:rPr>
          <w:rFonts w:hint="eastAsia" w:ascii="宋体" w:hAnsi="宋体" w:cs="宋体"/>
          <w:color w:val="auto"/>
          <w:kern w:val="0"/>
          <w:sz w:val="24"/>
          <w:highlight w:val="none"/>
          <w:u w:val="single"/>
          <w:lang w:bidi="ar"/>
        </w:rPr>
        <w:t xml:space="preserve">                 </w:t>
      </w:r>
    </w:p>
    <w:p w14:paraId="61C7115B">
      <w:pPr>
        <w:widowControl/>
        <w:spacing w:line="360" w:lineRule="auto"/>
        <w:ind w:firstLine="5040" w:firstLineChars="21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w:t>
      </w:r>
    </w:p>
    <w:p w14:paraId="2CF1CB04">
      <w:pPr>
        <w:widowControl/>
        <w:ind w:firstLine="480" w:firstLineChars="200"/>
        <w:jc w:val="left"/>
        <w:rPr>
          <w:rFonts w:hint="eastAsia" w:ascii="宋体" w:hAnsi="宋体" w:cs="宋体"/>
          <w:color w:val="auto"/>
          <w:kern w:val="0"/>
          <w:sz w:val="24"/>
          <w:highlight w:val="none"/>
          <w:lang w:bidi="ar"/>
        </w:rPr>
      </w:pPr>
    </w:p>
    <w:p w14:paraId="53063510">
      <w:pPr>
        <w:widowControl/>
        <w:ind w:firstLine="480" w:firstLineChars="200"/>
        <w:jc w:val="left"/>
        <w:rPr>
          <w:rFonts w:hint="eastAsia" w:ascii="宋体" w:hAnsi="宋体" w:cs="宋体"/>
          <w:color w:val="auto"/>
          <w:kern w:val="0"/>
          <w:sz w:val="24"/>
          <w:highlight w:val="none"/>
          <w:lang w:bidi="ar"/>
        </w:rPr>
      </w:pPr>
    </w:p>
    <w:p w14:paraId="302E9422">
      <w:pPr>
        <w:widowControl/>
        <w:ind w:firstLine="480" w:firstLineChars="200"/>
        <w:jc w:val="left"/>
        <w:rPr>
          <w:rFonts w:hint="eastAsia" w:ascii="宋体" w:hAnsi="宋体" w:cs="宋体"/>
          <w:color w:val="auto"/>
          <w:kern w:val="0"/>
          <w:sz w:val="24"/>
          <w:highlight w:val="none"/>
          <w:lang w:bidi="ar"/>
        </w:rPr>
      </w:pPr>
    </w:p>
    <w:p w14:paraId="05F5B6B8">
      <w:pPr>
        <w:widowControl/>
        <w:ind w:firstLine="480" w:firstLineChars="200"/>
        <w:jc w:val="left"/>
        <w:rPr>
          <w:rFonts w:hint="eastAsia" w:ascii="宋体" w:hAnsi="宋体" w:cs="宋体"/>
          <w:color w:val="auto"/>
          <w:kern w:val="0"/>
          <w:sz w:val="24"/>
          <w:highlight w:val="none"/>
          <w:lang w:bidi="ar"/>
        </w:rPr>
      </w:pPr>
    </w:p>
    <w:p w14:paraId="3E6F6691">
      <w:pPr>
        <w:widowControl/>
        <w:jc w:val="left"/>
        <w:rPr>
          <w:rFonts w:hint="eastAsia" w:ascii="宋体" w:hAnsi="宋体" w:cs="宋体"/>
          <w:color w:val="auto"/>
          <w:kern w:val="0"/>
          <w:sz w:val="24"/>
          <w:highlight w:val="none"/>
          <w:lang w:bidi="ar"/>
        </w:rPr>
      </w:pPr>
    </w:p>
    <w:p w14:paraId="52BEAB95">
      <w:pPr>
        <w:snapToGrid w:val="0"/>
        <w:spacing w:before="120" w:beforeLines="50" w:after="50" w:line="320" w:lineRule="exact"/>
        <w:rPr>
          <w:rFonts w:hint="eastAsia" w:ascii="宋体" w:hAnsi="宋体" w:cs="宋体"/>
          <w:color w:val="auto"/>
          <w:kern w:val="0"/>
          <w:szCs w:val="21"/>
          <w:highlight w:val="none"/>
        </w:rPr>
      </w:pP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从业人员、营业收入、资产总额填报上一年度数据，无上一年度数据的新成立企业可不填报。</w:t>
      </w:r>
    </w:p>
    <w:p w14:paraId="77C943F9">
      <w:pPr>
        <w:widowControl/>
        <w:shd w:val="clear" w:color="auto" w:fill="FFFFFF"/>
        <w:spacing w:after="240" w:line="360" w:lineRule="atLeast"/>
        <w:ind w:firstLine="840" w:firstLineChars="350"/>
        <w:jc w:val="left"/>
        <w:rPr>
          <w:rFonts w:hint="eastAsia" w:ascii="宋体" w:hAnsi="宋体" w:cs="宋体"/>
          <w:color w:val="auto"/>
          <w:kern w:val="0"/>
          <w:szCs w:val="21"/>
          <w:highlight w:val="none"/>
        </w:rPr>
      </w:pPr>
      <w:r>
        <w:rPr>
          <w:rFonts w:hint="eastAsia" w:ascii="宋体" w:hAnsi="宋体" w:cs="宋体"/>
          <w:color w:val="auto"/>
          <w:kern w:val="0"/>
          <w:sz w:val="24"/>
          <w:highlight w:val="none"/>
          <w:lang w:bidi="ar"/>
        </w:rPr>
        <w:br w:type="page"/>
      </w:r>
    </w:p>
    <w:p w14:paraId="7F41A748">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残疾人福利单位声明函</w:t>
      </w:r>
    </w:p>
    <w:p w14:paraId="14BB70DE">
      <w:pPr>
        <w:widowControl/>
        <w:shd w:val="clear" w:color="auto" w:fill="FFFFFF"/>
        <w:spacing w:after="240" w:line="360" w:lineRule="auto"/>
        <w:ind w:firstLine="840" w:firstLineChars="350"/>
        <w:jc w:val="left"/>
        <w:rPr>
          <w:rFonts w:hint="eastAsia" w:ascii="宋体" w:hAnsi="宋体" w:cs="宋体"/>
          <w:color w:val="auto"/>
          <w:sz w:val="24"/>
          <w:highlight w:val="none"/>
        </w:rPr>
      </w:pPr>
      <w:r>
        <w:rPr>
          <w:rFonts w:hint="eastAsia" w:ascii="宋体" w:hAnsi="宋体" w:cs="宋体"/>
          <w:color w:val="auto"/>
          <w:kern w:val="0"/>
          <w:sz w:val="24"/>
          <w:highlight w:val="none"/>
        </w:rPr>
        <w:t>本公司郑重声明，</w:t>
      </w:r>
      <w:r>
        <w:rPr>
          <w:rFonts w:hint="eastAsia" w:ascii="宋体" w:hAnsi="宋体" w:cs="宋体"/>
          <w:color w:val="auto"/>
          <w:sz w:val="24"/>
          <w:highlight w:val="none"/>
        </w:rPr>
        <w:t>根据《财政部 民政部 中国残疾人联合会关于促进残疾人就业政府采购政策的通知》（财库〔2017〕 141号）的规定</w:t>
      </w:r>
      <w:r>
        <w:rPr>
          <w:rFonts w:hint="eastAsia" w:ascii="宋体" w:hAnsi="宋体" w:cs="宋体"/>
          <w:color w:val="auto"/>
          <w:kern w:val="0"/>
          <w:sz w:val="24"/>
          <w:highlight w:val="none"/>
        </w:rPr>
        <w:t>，</w:t>
      </w:r>
      <w:r>
        <w:rPr>
          <w:rFonts w:hint="eastAsia" w:ascii="宋体" w:hAnsi="宋体" w:cs="宋体"/>
          <w:color w:val="auto"/>
          <w:sz w:val="24"/>
          <w:highlight w:val="none"/>
        </w:rPr>
        <w:t>本单位为符合条件的残疾人福利性单位，且本单位参加____________单位的__________________项目采购活动提供本单位制造的货物（由本单位承担工程/提供服务），或者提供其他残疾人福利性单位制造的货物（不包括使用非残疾人福利性单位注册商标的货物）。</w:t>
      </w:r>
    </w:p>
    <w:p w14:paraId="75E5A3ED">
      <w:pPr>
        <w:spacing w:line="360" w:lineRule="auto"/>
        <w:ind w:left="-105" w:leftChars="-50" w:firstLine="840" w:firstLineChars="350"/>
        <w:rPr>
          <w:rFonts w:hint="eastAsia" w:ascii="宋体" w:hAnsi="宋体" w:cs="宋体"/>
          <w:color w:val="auto"/>
          <w:sz w:val="24"/>
          <w:highlight w:val="none"/>
        </w:rPr>
      </w:pPr>
    </w:p>
    <w:p w14:paraId="05CEAC8B">
      <w:pPr>
        <w:spacing w:line="360" w:lineRule="auto"/>
        <w:ind w:left="-105" w:leftChars="-50" w:firstLine="840" w:firstLineChars="35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BE0445">
      <w:pPr>
        <w:spacing w:line="360" w:lineRule="auto"/>
        <w:ind w:left="-105" w:leftChars="-50" w:firstLine="735" w:firstLineChars="350"/>
        <w:rPr>
          <w:rFonts w:hint="eastAsia" w:ascii="宋体" w:hAnsi="宋体" w:cs="宋体"/>
          <w:color w:val="auto"/>
          <w:szCs w:val="21"/>
          <w:highlight w:val="none"/>
        </w:rPr>
      </w:pPr>
    </w:p>
    <w:p w14:paraId="68B6B89C">
      <w:pPr>
        <w:widowControl/>
        <w:shd w:val="clear" w:color="auto" w:fill="FFFFFF"/>
        <w:spacing w:after="240" w:line="360" w:lineRule="atLeast"/>
        <w:jc w:val="left"/>
        <w:rPr>
          <w:rFonts w:hint="eastAsia" w:ascii="宋体" w:hAnsi="宋体" w:cs="宋体"/>
          <w:color w:val="auto"/>
          <w:szCs w:val="21"/>
          <w:highlight w:val="none"/>
        </w:rPr>
      </w:pPr>
    </w:p>
    <w:p w14:paraId="44D527F1">
      <w:pPr>
        <w:widowControl/>
        <w:shd w:val="clear" w:color="auto" w:fill="FFFFFF"/>
        <w:spacing w:after="240" w:line="360" w:lineRule="atLeast"/>
        <w:jc w:val="left"/>
        <w:rPr>
          <w:rFonts w:hint="eastAsia" w:ascii="宋体" w:hAnsi="宋体" w:cs="宋体"/>
          <w:color w:val="auto"/>
          <w:szCs w:val="21"/>
          <w:highlight w:val="none"/>
        </w:rPr>
      </w:pPr>
    </w:p>
    <w:p w14:paraId="406A1846">
      <w:pPr>
        <w:ind w:right="420" w:firstLine="6480" w:firstLineChars="2700"/>
        <w:rPr>
          <w:rFonts w:hint="eastAsia"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b/>
          <w:bCs/>
          <w:color w:val="auto"/>
          <w:sz w:val="24"/>
          <w:szCs w:val="32"/>
          <w:highlight w:val="none"/>
        </w:rPr>
        <w:t>CA电子签章</w:t>
      </w:r>
      <w:r>
        <w:rPr>
          <w:rFonts w:hint="eastAsia" w:ascii="宋体" w:hAnsi="宋体" w:cs="宋体"/>
          <w:color w:val="auto"/>
          <w:sz w:val="24"/>
          <w:highlight w:val="none"/>
        </w:rPr>
        <w:t>）：</w:t>
      </w:r>
    </w:p>
    <w:p w14:paraId="41321976">
      <w:pPr>
        <w:ind w:right="420" w:firstLine="6480" w:firstLineChars="2700"/>
        <w:rPr>
          <w:rFonts w:hint="eastAsia" w:ascii="宋体" w:hAnsi="宋体" w:cs="宋体"/>
          <w:color w:val="auto"/>
          <w:sz w:val="24"/>
          <w:highlight w:val="none"/>
        </w:rPr>
      </w:pPr>
    </w:p>
    <w:p w14:paraId="3A078A27">
      <w:pPr>
        <w:ind w:right="420" w:firstLine="6480" w:firstLineChars="2700"/>
        <w:rPr>
          <w:rFonts w:hint="eastAsia" w:ascii="宋体" w:hAnsi="宋体" w:cs="宋体"/>
          <w:color w:val="auto"/>
          <w:sz w:val="24"/>
          <w:highlight w:val="none"/>
        </w:rPr>
      </w:pPr>
      <w:r>
        <w:rPr>
          <w:rFonts w:hint="eastAsia" w:ascii="宋体" w:hAnsi="宋体" w:cs="宋体"/>
          <w:color w:val="auto"/>
          <w:sz w:val="24"/>
          <w:highlight w:val="none"/>
        </w:rPr>
        <w:t>日  期：</w:t>
      </w:r>
    </w:p>
    <w:p w14:paraId="4E4BBC2E">
      <w:pPr>
        <w:tabs>
          <w:tab w:val="left" w:pos="3870"/>
          <w:tab w:val="left" w:pos="4085"/>
        </w:tabs>
        <w:snapToGrid w:val="0"/>
        <w:spacing w:line="360" w:lineRule="exact"/>
        <w:jc w:val="left"/>
        <w:rPr>
          <w:rFonts w:hint="eastAsia" w:ascii="宋体" w:hAnsi="宋体" w:cs="宋体"/>
          <w:color w:val="auto"/>
          <w:highlight w:val="none"/>
        </w:rPr>
      </w:pPr>
    </w:p>
    <w:p w14:paraId="4A7F0B86">
      <w:pPr>
        <w:tabs>
          <w:tab w:val="left" w:pos="3870"/>
          <w:tab w:val="left" w:pos="4085"/>
        </w:tabs>
        <w:snapToGrid w:val="0"/>
        <w:spacing w:line="360" w:lineRule="exact"/>
        <w:jc w:val="left"/>
        <w:rPr>
          <w:rFonts w:hint="eastAsia"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（5）投标人针对报价需要说明的其他文件和说明（如有，格式自拟）</w:t>
      </w:r>
    </w:p>
    <w:p w14:paraId="06E9F338">
      <w:pPr>
        <w:tabs>
          <w:tab w:val="left" w:pos="3870"/>
          <w:tab w:val="left" w:pos="4085"/>
        </w:tabs>
        <w:snapToGrid w:val="0"/>
        <w:spacing w:line="360" w:lineRule="exact"/>
        <w:jc w:val="left"/>
        <w:rPr>
          <w:rFonts w:hint="eastAsia" w:ascii="宋体" w:hAnsi="宋体" w:cs="宋体"/>
          <w:color w:val="auto"/>
          <w:szCs w:val="21"/>
          <w:highlight w:val="none"/>
        </w:rPr>
      </w:pPr>
    </w:p>
    <w:p w14:paraId="58244F29">
      <w:pPr>
        <w:tabs>
          <w:tab w:val="left" w:pos="3870"/>
          <w:tab w:val="left" w:pos="4085"/>
        </w:tabs>
        <w:snapToGrid w:val="0"/>
        <w:spacing w:line="360" w:lineRule="exact"/>
        <w:jc w:val="left"/>
        <w:rPr>
          <w:rFonts w:hint="eastAsia" w:ascii="宋体" w:hAnsi="宋体" w:cs="宋体"/>
          <w:color w:val="auto"/>
          <w:szCs w:val="21"/>
          <w:highlight w:val="none"/>
        </w:rPr>
      </w:pPr>
    </w:p>
    <w:p w14:paraId="03FDAAFE">
      <w:pPr>
        <w:pStyle w:val="14"/>
        <w:ind w:firstLine="2880" w:firstLineChars="12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595969C">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6BFAB53">
      <w:pPr>
        <w:ind w:right="420" w:firstLine="6480" w:firstLineChars="2700"/>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421C6206">
      <w:pPr>
        <w:tabs>
          <w:tab w:val="left" w:pos="3870"/>
          <w:tab w:val="left" w:pos="4085"/>
        </w:tabs>
        <w:snapToGrid w:val="0"/>
        <w:spacing w:line="360" w:lineRule="exact"/>
        <w:jc w:val="left"/>
        <w:rPr>
          <w:rFonts w:hint="eastAsia" w:ascii="宋体" w:hAnsi="宋体" w:cs="宋体"/>
          <w:color w:val="auto"/>
          <w:szCs w:val="21"/>
          <w:highlight w:val="none"/>
        </w:rPr>
      </w:pPr>
    </w:p>
    <w:p w14:paraId="55E955F9">
      <w:pPr>
        <w:tabs>
          <w:tab w:val="left" w:pos="3870"/>
          <w:tab w:val="left" w:pos="4085"/>
        </w:tabs>
        <w:snapToGrid w:val="0"/>
        <w:spacing w:line="360" w:lineRule="exact"/>
        <w:jc w:val="left"/>
        <w:rPr>
          <w:rFonts w:hint="eastAsia" w:ascii="宋体" w:hAnsi="宋体" w:cs="宋体"/>
          <w:color w:val="auto"/>
          <w:szCs w:val="21"/>
          <w:highlight w:val="none"/>
        </w:rPr>
      </w:pPr>
    </w:p>
    <w:p w14:paraId="73940A78">
      <w:pPr>
        <w:pStyle w:val="14"/>
        <w:spacing w:line="320" w:lineRule="exact"/>
        <w:rPr>
          <w:rFonts w:hint="eastAsia" w:hAnsi="宋体" w:cs="宋体"/>
          <w:b/>
          <w:bCs/>
          <w:color w:val="auto"/>
          <w:highlight w:val="none"/>
        </w:rPr>
      </w:pPr>
      <w:r>
        <w:rPr>
          <w:rFonts w:hint="eastAsia" w:hAnsi="宋体" w:cs="宋体"/>
          <w:color w:val="auto"/>
          <w:highlight w:val="none"/>
        </w:rPr>
        <w:br w:type="page"/>
      </w:r>
      <w:r>
        <w:rPr>
          <w:rFonts w:hint="eastAsia" w:hAnsi="宋体" w:cs="宋体"/>
          <w:b/>
          <w:color w:val="auto"/>
          <w:sz w:val="24"/>
          <w:szCs w:val="28"/>
          <w:highlight w:val="none"/>
        </w:rPr>
        <w:t>3.</w:t>
      </w:r>
      <w:r>
        <w:rPr>
          <w:rFonts w:hint="eastAsia" w:hAnsi="宋体" w:cs="宋体"/>
          <w:b/>
          <w:bCs/>
          <w:color w:val="auto"/>
          <w:sz w:val="24"/>
          <w:szCs w:val="28"/>
          <w:highlight w:val="none"/>
        </w:rPr>
        <w:t>投标文件（商务技术文件）封面格式：</w:t>
      </w:r>
    </w:p>
    <w:p w14:paraId="116295B5">
      <w:pPr>
        <w:snapToGrid w:val="0"/>
        <w:spacing w:before="120" w:beforeLines="50" w:after="50"/>
        <w:rPr>
          <w:rFonts w:hint="eastAsia" w:ascii="宋体" w:hAnsi="宋体" w:cs="宋体"/>
          <w:bCs/>
          <w:color w:val="auto"/>
          <w:szCs w:val="21"/>
          <w:highlight w:val="none"/>
        </w:rPr>
      </w:pPr>
    </w:p>
    <w:p w14:paraId="0E15FAD4">
      <w:pPr>
        <w:snapToGrid w:val="0"/>
        <w:spacing w:before="120" w:beforeLines="50" w:after="50"/>
        <w:rPr>
          <w:rFonts w:hint="eastAsia" w:ascii="宋体" w:hAnsi="宋体" w:cs="宋体"/>
          <w:bCs/>
          <w:color w:val="auto"/>
          <w:szCs w:val="21"/>
          <w:highlight w:val="none"/>
        </w:rPr>
      </w:pPr>
    </w:p>
    <w:p w14:paraId="7C4441B9">
      <w:pPr>
        <w:snapToGrid w:val="0"/>
        <w:spacing w:before="120" w:beforeLines="50" w:after="50"/>
        <w:rPr>
          <w:rFonts w:hint="eastAsia" w:ascii="宋体" w:hAnsi="宋体" w:cs="宋体"/>
          <w:bCs/>
          <w:color w:val="auto"/>
          <w:szCs w:val="21"/>
          <w:highlight w:val="none"/>
        </w:rPr>
      </w:pPr>
    </w:p>
    <w:p w14:paraId="619A4493">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7645AAAB">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69B15835">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5391CD48">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1B7D2FCE">
      <w:pPr>
        <w:snapToGrid w:val="0"/>
        <w:spacing w:before="120" w:beforeLines="50" w:after="50"/>
        <w:ind w:firstLine="14" w:firstLineChars="3"/>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投  标  文  件</w:t>
      </w:r>
    </w:p>
    <w:p w14:paraId="2C9FB3D9">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（商务技术文件）</w:t>
      </w:r>
    </w:p>
    <w:p w14:paraId="05C366A6">
      <w:pPr>
        <w:snapToGrid w:val="0"/>
        <w:spacing w:before="120" w:beforeLines="50" w:after="50"/>
        <w:ind w:firstLine="9" w:firstLineChars="3"/>
        <w:jc w:val="center"/>
        <w:rPr>
          <w:rFonts w:hint="eastAsia" w:ascii="宋体" w:hAnsi="宋体" w:cs="宋体"/>
          <w:bCs/>
          <w:color w:val="auto"/>
          <w:sz w:val="32"/>
          <w:szCs w:val="32"/>
          <w:highlight w:val="none"/>
        </w:rPr>
      </w:pPr>
    </w:p>
    <w:p w14:paraId="3445A77A">
      <w:pPr>
        <w:snapToGrid w:val="0"/>
        <w:spacing w:before="120" w:beforeLines="50" w:after="50" w:line="480" w:lineRule="auto"/>
        <w:rPr>
          <w:rFonts w:hint="eastAsia" w:ascii="宋体" w:hAnsi="宋体" w:cs="宋体"/>
          <w:bCs/>
          <w:color w:val="auto"/>
          <w:szCs w:val="21"/>
          <w:highlight w:val="none"/>
        </w:rPr>
      </w:pPr>
    </w:p>
    <w:p w14:paraId="6F36BD7F">
      <w:pPr>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2210AA99">
      <w:pPr>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746D73FD">
      <w:pPr>
        <w:snapToGrid w:val="0"/>
        <w:spacing w:before="120" w:beforeLines="50" w:after="50" w:line="480" w:lineRule="auto"/>
        <w:ind w:firstLine="837" w:firstLineChars="279"/>
        <w:rPr>
          <w:rFonts w:hint="eastAsia" w:ascii="宋体" w:hAnsi="宋体" w:cs="宋体"/>
          <w:bCs/>
          <w:color w:val="auto"/>
          <w:sz w:val="30"/>
          <w:szCs w:val="30"/>
          <w:highlight w:val="none"/>
        </w:rPr>
      </w:pPr>
      <w:r>
        <w:rPr>
          <w:rFonts w:hint="eastAsia" w:ascii="宋体" w:hAnsi="宋体" w:cs="宋体"/>
          <w:bCs/>
          <w:color w:val="auto"/>
          <w:sz w:val="30"/>
          <w:szCs w:val="30"/>
          <w:highlight w:val="none"/>
        </w:rPr>
        <w:t>所投分标：</w:t>
      </w:r>
      <w:r>
        <w:rPr>
          <w:rFonts w:hint="eastAsia" w:ascii="宋体" w:hAnsi="宋体" w:cs="宋体"/>
          <w:bCs/>
          <w:color w:val="auto"/>
          <w:sz w:val="30"/>
          <w:szCs w:val="30"/>
          <w:highlight w:val="none"/>
          <w:u w:val="single"/>
        </w:rPr>
        <w:t xml:space="preserve">                       </w:t>
      </w:r>
    </w:p>
    <w:p w14:paraId="2607AAE5">
      <w:pPr>
        <w:pStyle w:val="9"/>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p>
    <w:p w14:paraId="0F33E1F2">
      <w:pPr>
        <w:pStyle w:val="9"/>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法定代表人或其被授权代表</w:t>
      </w:r>
      <w:r>
        <w:rPr>
          <w:rFonts w:hint="eastAsia" w:ascii="宋体" w:hAnsi="宋体" w:cs="宋体"/>
          <w:b/>
          <w:color w:val="auto"/>
          <w:sz w:val="30"/>
          <w:szCs w:val="30"/>
          <w:highlight w:val="none"/>
        </w:rPr>
        <w:t>（签字或盖章）</w:t>
      </w:r>
      <w:r>
        <w:rPr>
          <w:rFonts w:hint="eastAsia" w:ascii="宋体" w:hAnsi="宋体" w:cs="宋体"/>
          <w:bCs/>
          <w:color w:val="auto"/>
          <w:sz w:val="30"/>
          <w:szCs w:val="30"/>
          <w:highlight w:val="none"/>
        </w:rPr>
        <w:t>：</w:t>
      </w:r>
      <w:r>
        <w:rPr>
          <w:rFonts w:hint="eastAsia" w:ascii="宋体" w:hAnsi="宋体" w:cs="宋体"/>
          <w:bCs/>
          <w:color w:val="auto"/>
          <w:sz w:val="30"/>
          <w:szCs w:val="30"/>
          <w:highlight w:val="none"/>
          <w:u w:val="single"/>
        </w:rPr>
        <w:t xml:space="preserve">        </w:t>
      </w:r>
    </w:p>
    <w:p w14:paraId="546FB0B8">
      <w:pPr>
        <w:pStyle w:val="9"/>
        <w:snapToGrid w:val="0"/>
        <w:spacing w:before="50" w:after="50" w:line="280" w:lineRule="exact"/>
        <w:ind w:firstLine="675" w:firstLineChars="225"/>
        <w:rPr>
          <w:rFonts w:hint="eastAsia" w:ascii="宋体" w:hAnsi="宋体" w:cs="宋体"/>
          <w:bCs/>
          <w:color w:val="auto"/>
          <w:sz w:val="30"/>
          <w:szCs w:val="30"/>
          <w:highlight w:val="none"/>
        </w:rPr>
      </w:pPr>
    </w:p>
    <w:p w14:paraId="5BDB5856">
      <w:pPr>
        <w:snapToGrid w:val="0"/>
        <w:spacing w:before="120" w:beforeLines="50" w:after="50"/>
        <w:rPr>
          <w:rFonts w:hint="eastAsia" w:ascii="宋体" w:hAnsi="宋体" w:cs="宋体"/>
          <w:color w:val="auto"/>
          <w:sz w:val="30"/>
          <w:szCs w:val="30"/>
          <w:highlight w:val="none"/>
        </w:rPr>
      </w:pPr>
    </w:p>
    <w:p w14:paraId="08D8BEC0">
      <w:pPr>
        <w:snapToGrid w:val="0"/>
        <w:spacing w:before="120" w:beforeLines="50" w:after="50"/>
        <w:ind w:firstLine="10"/>
        <w:jc w:val="center"/>
        <w:rPr>
          <w:rFonts w:hint="eastAsia" w:ascii="宋体" w:hAnsi="宋体" w:cs="宋体"/>
          <w:color w:val="auto"/>
          <w:sz w:val="30"/>
          <w:szCs w:val="30"/>
          <w:highlight w:val="none"/>
        </w:rPr>
      </w:pPr>
    </w:p>
    <w:p w14:paraId="7E1A879D">
      <w:pPr>
        <w:snapToGrid w:val="0"/>
        <w:spacing w:before="120" w:beforeLines="50" w:after="50"/>
        <w:rPr>
          <w:rFonts w:hint="eastAsia" w:ascii="宋体" w:hAnsi="宋体" w:cs="宋体"/>
          <w:color w:val="auto"/>
          <w:sz w:val="30"/>
          <w:szCs w:val="30"/>
          <w:highlight w:val="none"/>
        </w:rPr>
      </w:pPr>
    </w:p>
    <w:p w14:paraId="5AD19742">
      <w:pPr>
        <w:snapToGrid w:val="0"/>
        <w:spacing w:before="120" w:beforeLines="50" w:after="50" w:line="320" w:lineRule="exact"/>
        <w:jc w:val="center"/>
        <w:rPr>
          <w:rFonts w:hint="eastAsia" w:ascii="宋体" w:hAnsi="宋体" w:cs="宋体"/>
          <w:bCs/>
          <w:color w:val="auto"/>
          <w:highlight w:val="none"/>
        </w:rPr>
      </w:pPr>
      <w:r>
        <w:rPr>
          <w:rFonts w:hint="eastAsia" w:ascii="宋体" w:hAnsi="宋体" w:cs="宋体"/>
          <w:color w:val="auto"/>
          <w:sz w:val="30"/>
          <w:szCs w:val="30"/>
          <w:highlight w:val="none"/>
        </w:rPr>
        <w:t>年  月  日</w:t>
      </w:r>
    </w:p>
    <w:p w14:paraId="35A49751">
      <w:pPr>
        <w:snapToGrid w:val="0"/>
        <w:spacing w:before="50" w:after="50"/>
        <w:rPr>
          <w:rFonts w:hint="eastAsia"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Cs w:val="21"/>
          <w:highlight w:val="none"/>
        </w:rPr>
        <w:t>投标文件（</w:t>
      </w:r>
      <w:r>
        <w:rPr>
          <w:rFonts w:hint="eastAsia" w:ascii="宋体" w:hAnsi="宋体" w:cs="宋体"/>
          <w:b/>
          <w:color w:val="auto"/>
          <w:szCs w:val="21"/>
          <w:highlight w:val="none"/>
        </w:rPr>
        <w:t>商务技术文件</w:t>
      </w:r>
      <w:r>
        <w:rPr>
          <w:rFonts w:hint="eastAsia" w:ascii="宋体" w:hAnsi="宋体" w:cs="宋体"/>
          <w:b/>
          <w:bCs/>
          <w:color w:val="auto"/>
          <w:szCs w:val="21"/>
          <w:highlight w:val="none"/>
        </w:rPr>
        <w:t>）目录：</w:t>
      </w:r>
    </w:p>
    <w:p w14:paraId="064DDE30">
      <w:pPr>
        <w:tabs>
          <w:tab w:val="left" w:pos="3870"/>
          <w:tab w:val="left" w:pos="4085"/>
        </w:tabs>
        <w:snapToGrid w:val="0"/>
        <w:spacing w:line="500" w:lineRule="exact"/>
        <w:jc w:val="center"/>
        <w:rPr>
          <w:rFonts w:hint="eastAsia" w:ascii="宋体" w:hAnsi="宋体" w:cs="宋体"/>
          <w:color w:val="auto"/>
          <w:sz w:val="44"/>
          <w:szCs w:val="44"/>
          <w:highlight w:val="none"/>
        </w:rPr>
      </w:pPr>
    </w:p>
    <w:p w14:paraId="74519028">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商务技术文件目录</w:t>
      </w:r>
    </w:p>
    <w:p w14:paraId="78143BA0">
      <w:pPr>
        <w:snapToGrid w:val="0"/>
        <w:spacing w:line="360" w:lineRule="exact"/>
        <w:ind w:firstLine="413" w:firstLineChars="196"/>
        <w:jc w:val="left"/>
        <w:rPr>
          <w:rFonts w:hint="eastAsia" w:ascii="宋体" w:hAnsi="宋体" w:cs="宋体"/>
          <w:b/>
          <w:color w:val="auto"/>
          <w:szCs w:val="21"/>
          <w:highlight w:val="none"/>
        </w:rPr>
      </w:pPr>
    </w:p>
    <w:p w14:paraId="3B4054F3">
      <w:pPr>
        <w:tabs>
          <w:tab w:val="left" w:pos="3870"/>
          <w:tab w:val="left" w:pos="4085"/>
        </w:tabs>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3.1.商务资信文件</w:t>
      </w:r>
    </w:p>
    <w:p w14:paraId="2E07B071">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3.1.1商务文件</w:t>
      </w:r>
    </w:p>
    <w:p w14:paraId="7808A16F">
      <w:pPr>
        <w:tabs>
          <w:tab w:val="left" w:pos="3870"/>
          <w:tab w:val="left" w:pos="4085"/>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无串通投标行为的承诺函</w:t>
      </w:r>
      <w:r>
        <w:rPr>
          <w:rFonts w:hint="eastAsia" w:ascii="宋体" w:hAnsi="宋体" w:cs="宋体"/>
          <w:color w:val="auto"/>
          <w:sz w:val="24"/>
          <w:highlight w:val="none"/>
        </w:rPr>
        <w:t>；</w:t>
      </w:r>
    </w:p>
    <w:p w14:paraId="7E261CFA">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（2）法定代表人（负责人）身份证明书；</w:t>
      </w:r>
    </w:p>
    <w:p w14:paraId="17329431">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（3）法定代表人（负责人）授权委托书及委托代理人有效身份证件（</w:t>
      </w:r>
      <w:r>
        <w:rPr>
          <w:rFonts w:hint="eastAsia" w:ascii="宋体" w:hAnsi="宋体" w:cs="宋体"/>
          <w:bCs/>
          <w:color w:val="auto"/>
          <w:sz w:val="24"/>
          <w:highlight w:val="none"/>
        </w:rPr>
        <w:t>正反面原件</w:t>
      </w:r>
      <w:r>
        <w:rPr>
          <w:rFonts w:hint="eastAsia" w:ascii="宋体" w:hAnsi="宋体" w:cs="宋体"/>
          <w:color w:val="auto"/>
          <w:sz w:val="24"/>
          <w:highlight w:val="none"/>
        </w:rPr>
        <w:t>）</w:t>
      </w:r>
      <w:r>
        <w:rPr>
          <w:rFonts w:hint="eastAsia" w:ascii="宋体" w:hAnsi="宋体" w:cs="宋体"/>
          <w:bCs/>
          <w:color w:val="auto"/>
          <w:sz w:val="24"/>
          <w:highlight w:val="none"/>
        </w:rPr>
        <w:t>扫描件</w:t>
      </w:r>
      <w:r>
        <w:rPr>
          <w:rFonts w:hint="eastAsia" w:ascii="宋体" w:hAnsi="宋体" w:cs="宋体"/>
          <w:color w:val="auto"/>
          <w:sz w:val="24"/>
          <w:highlight w:val="none"/>
        </w:rPr>
        <w:t>（委托代理时）；</w:t>
      </w:r>
    </w:p>
    <w:p w14:paraId="0A6BC88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（4）商务响应表；</w:t>
      </w:r>
    </w:p>
    <w:p w14:paraId="63F8F41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（5）售后服务方案承诺；</w:t>
      </w:r>
    </w:p>
    <w:p w14:paraId="60B97C75">
      <w:pPr>
        <w:tabs>
          <w:tab w:val="left" w:pos="3870"/>
          <w:tab w:val="left" w:pos="4085"/>
        </w:tabs>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color w:val="auto"/>
          <w:sz w:val="24"/>
          <w:highlight w:val="none"/>
        </w:rPr>
        <w:t>3.1.2资信文件</w:t>
      </w:r>
    </w:p>
    <w:p w14:paraId="46E88DB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w:t>
      </w:r>
      <w:r>
        <w:rPr>
          <w:rFonts w:hint="eastAsia" w:ascii="宋体" w:hAnsi="宋体" w:cs="宋体"/>
          <w:bCs/>
          <w:color w:val="auto"/>
          <w:sz w:val="24"/>
          <w:highlight w:val="none"/>
        </w:rPr>
        <w:t>自2022年1月1日以来的</w:t>
      </w:r>
      <w:r>
        <w:rPr>
          <w:rFonts w:hint="eastAsia" w:ascii="宋体" w:hAnsi="宋体" w:cs="宋体"/>
          <w:color w:val="auto"/>
          <w:sz w:val="24"/>
          <w:highlight w:val="none"/>
        </w:rPr>
        <w:t>同类项目成功案例证明材料（如有）；</w:t>
      </w:r>
    </w:p>
    <w:p w14:paraId="6292617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（2）投标人认为必要提供的声明及文件资料（如有）；</w:t>
      </w:r>
    </w:p>
    <w:p w14:paraId="24B17828">
      <w:pPr>
        <w:tabs>
          <w:tab w:val="left" w:pos="3870"/>
          <w:tab w:val="left" w:pos="4085"/>
        </w:tabs>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color w:val="auto"/>
          <w:sz w:val="24"/>
          <w:highlight w:val="none"/>
        </w:rPr>
        <w:t>3.1.2技术文件</w:t>
      </w:r>
    </w:p>
    <w:p w14:paraId="475B684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（1）技术响应表；</w:t>
      </w:r>
    </w:p>
    <w:p w14:paraId="18BC4C27">
      <w:pPr>
        <w:pStyle w:val="13"/>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（2）投标货物配置清单；</w:t>
      </w:r>
    </w:p>
    <w:p w14:paraId="0AC23E47">
      <w:pPr>
        <w:pStyle w:val="13"/>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（3）项目实施方案；</w:t>
      </w:r>
    </w:p>
    <w:p w14:paraId="58DBCF8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（4）项目实施人员一览表；</w:t>
      </w:r>
    </w:p>
    <w:p w14:paraId="03B6696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（5）选配件、专用耗材、售后服务优惠表；</w:t>
      </w:r>
    </w:p>
    <w:p w14:paraId="07F6871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（6）投标人对本项目的合理化建议和改进措施（如有，格式自拟）；</w:t>
      </w:r>
    </w:p>
    <w:p w14:paraId="17A820D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（7）投标人需要说明的其他文件和说明（如有，格式自拟）；</w:t>
      </w:r>
    </w:p>
    <w:p w14:paraId="2800C281">
      <w:pPr>
        <w:snapToGrid w:val="0"/>
        <w:spacing w:line="360" w:lineRule="exact"/>
        <w:ind w:firstLine="482" w:firstLineChars="200"/>
        <w:jc w:val="left"/>
        <w:rPr>
          <w:rFonts w:hint="eastAsia" w:ascii="宋体" w:hAnsi="宋体" w:cs="宋体"/>
          <w:b/>
          <w:bCs/>
          <w:color w:val="auto"/>
          <w:sz w:val="24"/>
          <w:highlight w:val="none"/>
        </w:rPr>
      </w:pPr>
    </w:p>
    <w:p w14:paraId="4032A601">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注：以上目录是基本格式要求，各投标人可根据自身情况进一步向下增加内容或细化，并编写对应页码。</w:t>
      </w:r>
    </w:p>
    <w:p w14:paraId="721757B7">
      <w:pPr>
        <w:snapToGrid w:val="0"/>
        <w:spacing w:before="120" w:beforeLines="50" w:after="50"/>
        <w:outlineLvl w:val="1"/>
        <w:rPr>
          <w:rFonts w:hint="eastAsia" w:ascii="宋体" w:hAnsi="宋体" w:cs="宋体"/>
          <w:b/>
          <w:bCs/>
          <w:color w:val="auto"/>
          <w:szCs w:val="21"/>
          <w:highlight w:val="none"/>
        </w:rPr>
      </w:pPr>
    </w:p>
    <w:p w14:paraId="048D0224">
      <w:pPr>
        <w:snapToGrid w:val="0"/>
        <w:spacing w:before="120" w:beforeLines="50" w:after="50"/>
        <w:outlineLvl w:val="1"/>
        <w:rPr>
          <w:rFonts w:hint="eastAsia" w:ascii="宋体" w:hAnsi="宋体" w:cs="宋体"/>
          <w:b/>
          <w:bCs/>
          <w:color w:val="auto"/>
          <w:sz w:val="24"/>
          <w:highlight w:val="none"/>
        </w:rPr>
      </w:pPr>
      <w:r>
        <w:rPr>
          <w:rFonts w:hint="eastAsia" w:ascii="宋体" w:hAnsi="宋体" w:cs="宋体"/>
          <w:b/>
          <w:color w:val="auto"/>
          <w:szCs w:val="21"/>
          <w:highlight w:val="none"/>
        </w:rPr>
        <w:br w:type="page"/>
      </w:r>
      <w:bookmarkStart w:id="113" w:name="_Toc12850"/>
      <w:r>
        <w:rPr>
          <w:rFonts w:hint="eastAsia" w:ascii="宋体" w:hAnsi="宋体" w:cs="宋体"/>
          <w:b/>
          <w:color w:val="auto"/>
          <w:sz w:val="24"/>
          <w:highlight w:val="none"/>
        </w:rPr>
        <w:t>3.1.1商务文件</w:t>
      </w:r>
      <w:bookmarkEnd w:id="113"/>
    </w:p>
    <w:p w14:paraId="3097DFE4">
      <w:pPr>
        <w:snapToGrid w:val="0"/>
        <w:spacing w:before="120" w:beforeLines="50" w:after="50"/>
        <w:rPr>
          <w:rFonts w:hint="eastAsia" w:ascii="宋体" w:hAnsi="宋体" w:cs="宋体"/>
          <w:b/>
          <w:bCs/>
          <w:color w:val="auto"/>
          <w:sz w:val="24"/>
          <w:highlight w:val="none"/>
        </w:rPr>
      </w:pPr>
      <w:r>
        <w:rPr>
          <w:rFonts w:hint="eastAsia" w:ascii="宋体" w:hAnsi="宋体" w:cs="宋体"/>
          <w:b/>
          <w:bCs/>
          <w:color w:val="auto"/>
          <w:sz w:val="24"/>
          <w:highlight w:val="none"/>
        </w:rPr>
        <w:t>（1）无串通投标行为的承诺函格式：</w:t>
      </w:r>
    </w:p>
    <w:p w14:paraId="4D750C3D">
      <w:pPr>
        <w:snapToGrid w:val="0"/>
        <w:spacing w:before="120" w:beforeLines="50" w:after="50"/>
        <w:ind w:left="420"/>
        <w:rPr>
          <w:rFonts w:hint="eastAsia" w:ascii="宋体" w:hAnsi="宋体" w:cs="宋体"/>
          <w:b/>
          <w:color w:val="auto"/>
          <w:sz w:val="28"/>
          <w:szCs w:val="28"/>
          <w:highlight w:val="none"/>
        </w:rPr>
      </w:pPr>
    </w:p>
    <w:p w14:paraId="1E6354E8">
      <w:pPr>
        <w:snapToGrid w:val="0"/>
        <w:spacing w:before="120" w:beforeLines="50" w:after="50"/>
        <w:ind w:left="420"/>
        <w:jc w:val="center"/>
        <w:rPr>
          <w:rFonts w:hint="eastAsia" w:ascii="宋体" w:hAnsi="宋体" w:cs="宋体"/>
          <w:b/>
          <w:color w:val="auto"/>
          <w:szCs w:val="21"/>
          <w:highlight w:val="none"/>
        </w:rPr>
      </w:pPr>
      <w:r>
        <w:rPr>
          <w:rFonts w:hint="eastAsia" w:ascii="宋体" w:hAnsi="宋体" w:cs="宋体"/>
          <w:b/>
          <w:color w:val="auto"/>
          <w:sz w:val="32"/>
          <w:szCs w:val="32"/>
          <w:highlight w:val="none"/>
        </w:rPr>
        <w:t>无串通投标行为承诺函</w:t>
      </w:r>
    </w:p>
    <w:p w14:paraId="63BD0C77">
      <w:pPr>
        <w:snapToGrid w:val="0"/>
        <w:spacing w:before="120" w:beforeLines="50" w:after="50" w:line="360" w:lineRule="exact"/>
        <w:jc w:val="left"/>
        <w:rPr>
          <w:rFonts w:hint="eastAsia"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6694164F">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1.不同投标人的投标文件由同一单位或者个人编制；或者不同投标人报名的IP地址一致的；</w:t>
      </w:r>
    </w:p>
    <w:p w14:paraId="5A28AFD0">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65ED939B">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6644815D">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6D23C7BD">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10B2A0A3">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2FC9542C">
      <w:pPr>
        <w:snapToGrid w:val="0"/>
        <w:spacing w:before="120" w:beforeLines="50" w:after="50" w:line="360" w:lineRule="exact"/>
        <w:jc w:val="left"/>
        <w:rPr>
          <w:rFonts w:hint="eastAsia"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59AEF65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1.投标人直接或者间接从采购人或者采购代理机构处获得其他投标人的相关信息并修改其投标文件或者投标文件；</w:t>
      </w:r>
    </w:p>
    <w:p w14:paraId="282D906C">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2.投标人按照采购人或者采购代理机构的授意撤换、修改投标文件或者投标文件；</w:t>
      </w:r>
    </w:p>
    <w:p w14:paraId="770A3BC6">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3.投标人之间协商报价、技术方案等投标文件或者投标文件的实质性内容；</w:t>
      </w:r>
    </w:p>
    <w:p w14:paraId="5EA41224">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5758C89E">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04153190">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3C1B24D3">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78607F60">
      <w:pPr>
        <w:snapToGrid w:val="0"/>
        <w:spacing w:before="120" w:beforeLines="50" w:after="50" w:line="36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29038614">
      <w:pPr>
        <w:pStyle w:val="14"/>
        <w:ind w:firstLine="3900" w:firstLineChars="1950"/>
        <w:rPr>
          <w:rFonts w:hint="eastAsia" w:hAnsi="宋体" w:cs="宋体"/>
          <w:color w:val="auto"/>
          <w:highlight w:val="none"/>
        </w:rPr>
      </w:pPr>
    </w:p>
    <w:p w14:paraId="073B7F04">
      <w:pPr>
        <w:pStyle w:val="14"/>
        <w:ind w:firstLine="3900" w:firstLineChars="1950"/>
        <w:rPr>
          <w:rFonts w:hint="eastAsia" w:hAnsi="宋体" w:cs="宋体"/>
          <w:color w:val="auto"/>
          <w:highlight w:val="none"/>
        </w:rPr>
      </w:pPr>
    </w:p>
    <w:p w14:paraId="10847673">
      <w:pPr>
        <w:pStyle w:val="14"/>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b/>
          <w:bCs/>
          <w:color w:val="auto"/>
          <w:sz w:val="24"/>
          <w:szCs w:val="24"/>
          <w:highlight w:val="none"/>
        </w:rPr>
        <w:t>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4C0E3E2">
      <w:pPr>
        <w:tabs>
          <w:tab w:val="left" w:pos="3870"/>
          <w:tab w:val="left" w:pos="4085"/>
        </w:tabs>
        <w:snapToGrid w:val="0"/>
        <w:spacing w:line="360" w:lineRule="auto"/>
        <w:ind w:firstLine="6000" w:firstLineChars="25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6F3213B">
      <w:pPr>
        <w:snapToGrid w:val="0"/>
        <w:spacing w:line="360" w:lineRule="auto"/>
        <w:ind w:firstLine="5640" w:firstLineChars="2350"/>
        <w:rPr>
          <w:rFonts w:hint="eastAsia" w:ascii="宋体" w:hAnsi="宋体" w:cs="宋体"/>
          <w:color w:val="auto"/>
          <w:kern w:val="0"/>
          <w:sz w:val="24"/>
          <w:highlight w:val="none"/>
          <w:lang w:val="zh-CN"/>
        </w:rPr>
      </w:pPr>
    </w:p>
    <w:p w14:paraId="284E9CE4">
      <w:pPr>
        <w:snapToGrid w:val="0"/>
        <w:spacing w:line="380" w:lineRule="exact"/>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（2）法定代表人身份证明格式：</w:t>
      </w:r>
    </w:p>
    <w:p w14:paraId="6AE5A31A">
      <w:pPr>
        <w:pStyle w:val="14"/>
        <w:ind w:left="-10" w:firstLine="10" w:firstLineChars="3"/>
        <w:jc w:val="center"/>
        <w:rPr>
          <w:rFonts w:hint="eastAsia" w:hAnsi="宋体" w:cs="宋体"/>
          <w:b/>
          <w:color w:val="auto"/>
          <w:sz w:val="32"/>
          <w:highlight w:val="none"/>
        </w:rPr>
      </w:pPr>
    </w:p>
    <w:p w14:paraId="06AF1934">
      <w:pPr>
        <w:pStyle w:val="14"/>
        <w:ind w:left="-10" w:firstLine="10" w:firstLineChars="3"/>
        <w:jc w:val="center"/>
        <w:rPr>
          <w:rFonts w:hint="eastAsia" w:hAnsi="宋体" w:cs="宋体"/>
          <w:b/>
          <w:color w:val="auto"/>
          <w:sz w:val="32"/>
          <w:highlight w:val="none"/>
        </w:rPr>
      </w:pPr>
      <w:r>
        <w:rPr>
          <w:rFonts w:hint="eastAsia" w:hAnsi="宋体" w:cs="宋体"/>
          <w:b/>
          <w:color w:val="auto"/>
          <w:sz w:val="32"/>
          <w:highlight w:val="none"/>
        </w:rPr>
        <w:t>法定代表人身份证明书</w:t>
      </w:r>
    </w:p>
    <w:p w14:paraId="0666A401">
      <w:pPr>
        <w:rPr>
          <w:color w:val="auto"/>
          <w:highlight w:val="none"/>
        </w:rPr>
      </w:pPr>
    </w:p>
    <w:p w14:paraId="2AAE721D">
      <w:pPr>
        <w:pStyle w:val="14"/>
        <w:spacing w:line="360" w:lineRule="exact"/>
        <w:ind w:firstLine="277"/>
        <w:rPr>
          <w:rFonts w:hint="eastAsia" w:hAnsi="宋体" w:cs="宋体"/>
          <w:color w:val="auto"/>
          <w:sz w:val="21"/>
          <w:highlight w:val="none"/>
        </w:rPr>
      </w:pPr>
    </w:p>
    <w:p w14:paraId="015C7B69">
      <w:pPr>
        <w:pStyle w:val="14"/>
        <w:spacing w:line="360" w:lineRule="exact"/>
        <w:ind w:firstLine="277"/>
        <w:rPr>
          <w:rFonts w:hint="eastAsia" w:hAnsi="宋体" w:cs="宋体"/>
          <w:color w:val="auto"/>
          <w:sz w:val="24"/>
          <w:szCs w:val="24"/>
          <w:highlight w:val="none"/>
          <w:u w:val="single"/>
        </w:rPr>
      </w:pPr>
      <w:r>
        <w:rPr>
          <w:rFonts w:hint="eastAsia" w:hAnsi="宋体" w:cs="宋体"/>
          <w:color w:val="auto"/>
          <w:sz w:val="24"/>
          <w:szCs w:val="24"/>
          <w:highlight w:val="none"/>
        </w:rPr>
        <w:t>单位名称：</w:t>
      </w:r>
      <w:r>
        <w:rPr>
          <w:rFonts w:hint="eastAsia" w:hAnsi="宋体" w:cs="宋体"/>
          <w:color w:val="auto"/>
          <w:sz w:val="24"/>
          <w:szCs w:val="24"/>
          <w:highlight w:val="none"/>
          <w:u w:val="single"/>
        </w:rPr>
        <w:t xml:space="preserve">                         </w:t>
      </w:r>
    </w:p>
    <w:p w14:paraId="53F71973">
      <w:pPr>
        <w:pStyle w:val="14"/>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单位性质：</w:t>
      </w:r>
      <w:r>
        <w:rPr>
          <w:rFonts w:hint="eastAsia" w:hAnsi="宋体" w:cs="宋体"/>
          <w:color w:val="auto"/>
          <w:sz w:val="24"/>
          <w:szCs w:val="24"/>
          <w:highlight w:val="none"/>
          <w:u w:val="single"/>
        </w:rPr>
        <w:t xml:space="preserve">                         </w:t>
      </w:r>
    </w:p>
    <w:p w14:paraId="4998345C">
      <w:pPr>
        <w:pStyle w:val="14"/>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地    址：</w:t>
      </w:r>
      <w:r>
        <w:rPr>
          <w:rFonts w:hint="eastAsia" w:hAnsi="宋体" w:cs="宋体"/>
          <w:color w:val="auto"/>
          <w:sz w:val="24"/>
          <w:szCs w:val="24"/>
          <w:highlight w:val="none"/>
          <w:u w:val="single"/>
        </w:rPr>
        <w:t xml:space="preserve">                         </w:t>
      </w:r>
    </w:p>
    <w:p w14:paraId="6F1D7BB8">
      <w:pPr>
        <w:pStyle w:val="14"/>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成立时间：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59203AED">
      <w:pPr>
        <w:pStyle w:val="14"/>
        <w:spacing w:line="360" w:lineRule="exact"/>
        <w:ind w:firstLine="277"/>
        <w:rPr>
          <w:rFonts w:hint="eastAsia" w:hAnsi="宋体" w:cs="宋体"/>
          <w:color w:val="auto"/>
          <w:sz w:val="24"/>
          <w:szCs w:val="24"/>
          <w:highlight w:val="none"/>
          <w:u w:val="single"/>
        </w:rPr>
      </w:pPr>
      <w:r>
        <w:rPr>
          <w:rFonts w:hint="eastAsia" w:hAnsi="宋体" w:cs="宋体"/>
          <w:color w:val="auto"/>
          <w:sz w:val="24"/>
          <w:szCs w:val="24"/>
          <w:highlight w:val="none"/>
        </w:rPr>
        <w:t>经营期限：</w:t>
      </w:r>
      <w:r>
        <w:rPr>
          <w:rFonts w:hint="eastAsia" w:hAnsi="宋体" w:cs="宋体"/>
          <w:color w:val="auto"/>
          <w:sz w:val="24"/>
          <w:szCs w:val="24"/>
          <w:highlight w:val="none"/>
          <w:u w:val="single"/>
        </w:rPr>
        <w:t xml:space="preserve">                          </w:t>
      </w:r>
    </w:p>
    <w:p w14:paraId="44818451">
      <w:pPr>
        <w:pStyle w:val="14"/>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职务：</w:t>
      </w:r>
      <w:r>
        <w:rPr>
          <w:rFonts w:hint="eastAsia" w:hAnsi="宋体" w:cs="宋体"/>
          <w:color w:val="auto"/>
          <w:sz w:val="24"/>
          <w:szCs w:val="24"/>
          <w:highlight w:val="none"/>
          <w:u w:val="single"/>
        </w:rPr>
        <w:t xml:space="preserve">       </w:t>
      </w:r>
    </w:p>
    <w:p w14:paraId="37BDF8AF">
      <w:pPr>
        <w:pStyle w:val="14"/>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（投标人单位名称）  </w:t>
      </w:r>
      <w:r>
        <w:rPr>
          <w:rFonts w:hint="eastAsia" w:hAnsi="宋体" w:cs="宋体"/>
          <w:color w:val="auto"/>
          <w:sz w:val="24"/>
          <w:szCs w:val="24"/>
          <w:highlight w:val="none"/>
        </w:rPr>
        <w:t>的法定代表人。</w:t>
      </w:r>
    </w:p>
    <w:p w14:paraId="0DFA2293">
      <w:pPr>
        <w:pStyle w:val="14"/>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特此证明。</w:t>
      </w:r>
    </w:p>
    <w:p w14:paraId="500D2270">
      <w:pPr>
        <w:pStyle w:val="14"/>
        <w:spacing w:line="360" w:lineRule="auto"/>
        <w:ind w:firstLine="2640" w:firstLineChars="1100"/>
        <w:rPr>
          <w:rFonts w:hint="eastAsia" w:hAnsi="宋体" w:cs="宋体"/>
          <w:color w:val="auto"/>
          <w:sz w:val="24"/>
          <w:szCs w:val="24"/>
          <w:highlight w:val="none"/>
        </w:rPr>
      </w:pPr>
    </w:p>
    <w:p w14:paraId="22EF1601">
      <w:pPr>
        <w:pStyle w:val="14"/>
        <w:spacing w:line="360" w:lineRule="auto"/>
        <w:ind w:firstLine="2640" w:firstLineChars="11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92BECBE">
      <w:pPr>
        <w:tabs>
          <w:tab w:val="left" w:pos="3870"/>
          <w:tab w:val="left" w:pos="4085"/>
        </w:tabs>
        <w:snapToGrid w:val="0"/>
        <w:spacing w:line="360" w:lineRule="auto"/>
        <w:ind w:firstLine="6000" w:firstLineChars="25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52620B2">
      <w:pPr>
        <w:pStyle w:val="14"/>
        <w:spacing w:line="360" w:lineRule="exact"/>
        <w:rPr>
          <w:rFonts w:hint="eastAsia" w:hAnsi="宋体" w:cs="宋体"/>
          <w:color w:val="auto"/>
          <w:sz w:val="21"/>
          <w:highlight w:val="none"/>
        </w:rPr>
      </w:pPr>
      <w:r>
        <w:rPr>
          <w:rFonts w:hint="eastAsia" w:hAnsi="宋体" w:cs="宋体"/>
          <w:color w:val="auto"/>
          <w:sz w:val="21"/>
          <w:highlight w:val="none"/>
        </w:rPr>
        <w:t xml:space="preserve">                                                                                                                                                                                        </w:t>
      </w:r>
    </w:p>
    <w:p w14:paraId="12C1272E">
      <w:pPr>
        <w:pStyle w:val="14"/>
        <w:spacing w:line="480" w:lineRule="exact"/>
        <w:rPr>
          <w:rFonts w:hint="eastAsia" w:hAnsi="宋体" w:cs="宋体"/>
          <w:color w:val="auto"/>
          <w:sz w:val="21"/>
          <w:highlight w:val="none"/>
        </w:rPr>
      </w:pPr>
      <w:r>
        <w:rPr>
          <w:rFonts w:hint="eastAsia" w:hAnsi="宋体" w:cs="宋体"/>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9525</wp:posOffset>
                </wp:positionV>
                <wp:extent cx="3023235" cy="1856105"/>
                <wp:effectExtent l="4445" t="4445" r="20320" b="6350"/>
                <wp:wrapNone/>
                <wp:docPr id="5" name="矩形 5"/>
                <wp:cNvGraphicFramePr/>
                <a:graphic xmlns:a="http://schemas.openxmlformats.org/drawingml/2006/main">
                  <a:graphicData uri="http://schemas.microsoft.com/office/word/2010/wordprocessingShape">
                    <wps:wsp>
                      <wps:cNvSpPr/>
                      <wps:spPr>
                        <a:xfrm>
                          <a:off x="0" y="0"/>
                          <a:ext cx="3023235"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02C398"/>
                          <w:p w14:paraId="6E169D85"/>
                          <w:p w14:paraId="74A5E888"/>
                          <w:p w14:paraId="1BD694EE"/>
                          <w:p w14:paraId="121C3B1E"/>
                          <w:p w14:paraId="60149A67"/>
                          <w:p w14:paraId="11745D94">
                            <w:pPr>
                              <w:jc w:val="center"/>
                            </w:pPr>
                            <w:r>
                              <w:rPr>
                                <w:rFonts w:hint="eastAsia"/>
                              </w:rPr>
                              <w:t>法定代表人第二代居民身份证原件扫描件</w:t>
                            </w:r>
                          </w:p>
                          <w:p w14:paraId="3836A96B">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259.5pt;margin-top:0.75pt;height:146.15pt;width:238.05pt;z-index:251660288;mso-width-relative:page;mso-height-relative:page;" fillcolor="#FFFFFF" filled="t" stroked="t" coordsize="21600,21600" o:gfxdata="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mS2HXAAAACQEAAA8AAAAAAAAAAQAgAAAAIgAAAGRycy9k&#10;b3ducmV2LnhtbFBLAQIUABQAAAAIAIdO4kDXO5DQAwIAACoEAAAOAAAAAAAAAAEAIAAAACYBAABk&#10;cnMvZTJvRG9jLnhtbFBLBQYAAAAABgAGAFkBAACbBQAAAAA=&#10;">
                <v:fill on="t" focussize="0,0"/>
                <v:stroke color="#000000" joinstyle="miter"/>
                <v:imagedata o:title=""/>
                <o:lock v:ext="edit" aspectratio="f"/>
                <v:textbox>
                  <w:txbxContent>
                    <w:p w14:paraId="7D02C398"/>
                    <w:p w14:paraId="6E169D85"/>
                    <w:p w14:paraId="74A5E888"/>
                    <w:p w14:paraId="1BD694EE"/>
                    <w:p w14:paraId="121C3B1E"/>
                    <w:p w14:paraId="60149A67"/>
                    <w:p w14:paraId="11745D94">
                      <w:pPr>
                        <w:jc w:val="center"/>
                      </w:pPr>
                      <w:r>
                        <w:rPr>
                          <w:rFonts w:hint="eastAsia"/>
                        </w:rPr>
                        <w:t>法定代表人第二代居民身份证原件扫描件</w:t>
                      </w:r>
                    </w:p>
                    <w:p w14:paraId="3836A96B">
                      <w:pPr>
                        <w:jc w:val="center"/>
                        <w:rPr>
                          <w:b/>
                        </w:rPr>
                      </w:pPr>
                      <w:r>
                        <w:rPr>
                          <w:rFonts w:hint="eastAsia"/>
                          <w:b/>
                        </w:rPr>
                        <w:t>（背面）</w:t>
                      </w:r>
                    </w:p>
                  </w:txbxContent>
                </v:textbox>
              </v:rect>
            </w:pict>
          </mc:Fallback>
        </mc:AlternateContent>
      </w:r>
      <w:r>
        <w:rPr>
          <w:rFonts w:hint="eastAsia" w:hAnsi="宋体" w:cs="宋体"/>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12700</wp:posOffset>
                </wp:positionV>
                <wp:extent cx="3116580" cy="1859280"/>
                <wp:effectExtent l="4445" t="5080" r="22225" b="21590"/>
                <wp:wrapNone/>
                <wp:docPr id="4" name="矩形 4"/>
                <wp:cNvGraphicFramePr/>
                <a:graphic xmlns:a="http://schemas.openxmlformats.org/drawingml/2006/main">
                  <a:graphicData uri="http://schemas.microsoft.com/office/word/2010/wordprocessingShape">
                    <wps:wsp>
                      <wps:cNvSpPr/>
                      <wps:spPr>
                        <a:xfrm>
                          <a:off x="0" y="0"/>
                          <a:ext cx="3116580" cy="1859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AB70C1"/>
                          <w:p w14:paraId="39118C95"/>
                          <w:p w14:paraId="714AFC41"/>
                          <w:p w14:paraId="64BC386E"/>
                          <w:p w14:paraId="23CDC6AE"/>
                          <w:p w14:paraId="284BB836"/>
                          <w:p w14:paraId="7BE6AF87">
                            <w:pPr>
                              <w:jc w:val="center"/>
                            </w:pPr>
                            <w:r>
                              <w:rPr>
                                <w:rFonts w:hint="eastAsia"/>
                              </w:rPr>
                              <w:t>法定代表人第二代居民身份证原件扫描件</w:t>
                            </w:r>
                          </w:p>
                          <w:p w14:paraId="5BE8CBEC">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pt;margin-top:1pt;height:146.4pt;width:245.4pt;z-index:251661312;mso-width-relative:page;mso-height-relative:page;" fillcolor="#FFFFFF" filled="t" stroked="t" coordsize="21600,21600" o:gfxdata="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o9PHtUAAAAIAQAADwAAAAAAAAABACAAAAAiAAAAZHJzL2Rvd25y&#10;ZXYueG1sUEsBAhQAFAAAAAgAh07iQAWu+noBAgAAKgQAAA4AAAAAAAAAAQAgAAAAJAEAAGRycy9l&#10;Mm9Eb2MueG1sUEsFBgAAAAAGAAYAWQEAAJcFAAAAAA==&#10;">
                <v:fill on="t" focussize="0,0"/>
                <v:stroke color="#000000" joinstyle="miter"/>
                <v:imagedata o:title=""/>
                <o:lock v:ext="edit" aspectratio="f"/>
                <v:textbox>
                  <w:txbxContent>
                    <w:p w14:paraId="51AB70C1"/>
                    <w:p w14:paraId="39118C95"/>
                    <w:p w14:paraId="714AFC41"/>
                    <w:p w14:paraId="64BC386E"/>
                    <w:p w14:paraId="23CDC6AE"/>
                    <w:p w14:paraId="284BB836"/>
                    <w:p w14:paraId="7BE6AF87">
                      <w:pPr>
                        <w:jc w:val="center"/>
                      </w:pPr>
                      <w:r>
                        <w:rPr>
                          <w:rFonts w:hint="eastAsia"/>
                        </w:rPr>
                        <w:t>法定代表人第二代居民身份证原件扫描件</w:t>
                      </w:r>
                    </w:p>
                    <w:p w14:paraId="5BE8CBEC">
                      <w:pPr>
                        <w:jc w:val="center"/>
                        <w:rPr>
                          <w:b/>
                        </w:rPr>
                      </w:pPr>
                      <w:r>
                        <w:rPr>
                          <w:rFonts w:hint="eastAsia"/>
                          <w:b/>
                        </w:rPr>
                        <w:t>（正面）</w:t>
                      </w:r>
                    </w:p>
                  </w:txbxContent>
                </v:textbox>
              </v:rect>
            </w:pict>
          </mc:Fallback>
        </mc:AlternateContent>
      </w:r>
      <w:r>
        <w:rPr>
          <w:rFonts w:hint="eastAsia" w:hAnsi="宋体" w:cs="宋体"/>
          <w:color w:val="auto"/>
          <w:sz w:val="21"/>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6" name="直接连接符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HVPfQAAAA&#10;AgEAAA8AAAAAAAAAAQAgAAAAIgAAAGRycy9kb3ducmV2LnhtbFBLAQIUABQAAAAIAIdO4kDHtjZO&#10;7AEAANgDAAAOAAAAAAAAAAEAIAAAAB8BAABkcnMvZTJvRG9jLnhtbFBLBQYAAAAABgAGAFkBAAB9&#10;BQAAAAA=&#10;">
                <v:fill on="f" focussize="0,0"/>
                <v:stroke color="#000000" joinstyle="round"/>
                <v:imagedata o:title=""/>
                <o:lock v:ext="edit" aspectratio="f"/>
                <w10:wrap type="topAndBottom"/>
              </v:line>
            </w:pict>
          </mc:Fallback>
        </mc:AlternateContent>
      </w:r>
      <w:r>
        <w:rPr>
          <w:rFonts w:hint="eastAsia" w:hAnsi="宋体" w:cs="宋体"/>
          <w:color w:val="auto"/>
          <w:sz w:val="21"/>
          <w:highlight w:val="none"/>
        </w:rPr>
        <w:t xml:space="preserve">  </w:t>
      </w:r>
    </w:p>
    <w:p w14:paraId="1708D360">
      <w:pPr>
        <w:pStyle w:val="14"/>
        <w:spacing w:line="480" w:lineRule="exact"/>
        <w:rPr>
          <w:rFonts w:hint="eastAsia" w:hAnsi="宋体" w:cs="宋体"/>
          <w:color w:val="auto"/>
          <w:sz w:val="21"/>
          <w:highlight w:val="none"/>
        </w:rPr>
      </w:pPr>
    </w:p>
    <w:p w14:paraId="48A1BE2D">
      <w:pPr>
        <w:pStyle w:val="14"/>
        <w:spacing w:line="480" w:lineRule="exact"/>
        <w:rPr>
          <w:rFonts w:hint="eastAsia" w:hAnsi="宋体" w:cs="宋体"/>
          <w:color w:val="auto"/>
          <w:sz w:val="21"/>
          <w:highlight w:val="none"/>
        </w:rPr>
      </w:pPr>
    </w:p>
    <w:p w14:paraId="000995F3">
      <w:pPr>
        <w:pStyle w:val="14"/>
        <w:spacing w:line="480" w:lineRule="exact"/>
        <w:rPr>
          <w:rFonts w:hint="eastAsia" w:hAnsi="宋体" w:cs="宋体"/>
          <w:color w:val="auto"/>
          <w:sz w:val="21"/>
          <w:highlight w:val="none"/>
        </w:rPr>
      </w:pPr>
    </w:p>
    <w:p w14:paraId="0ACA3757">
      <w:pPr>
        <w:pStyle w:val="14"/>
        <w:spacing w:line="480" w:lineRule="exact"/>
        <w:rPr>
          <w:rFonts w:hint="eastAsia" w:hAnsi="宋体" w:cs="宋体"/>
          <w:color w:val="auto"/>
          <w:sz w:val="21"/>
          <w:highlight w:val="none"/>
        </w:rPr>
      </w:pPr>
    </w:p>
    <w:p w14:paraId="0AB9B098">
      <w:pPr>
        <w:pStyle w:val="14"/>
        <w:spacing w:line="240" w:lineRule="atLeast"/>
        <w:ind w:firstLine="6300" w:firstLineChars="3000"/>
        <w:rPr>
          <w:rFonts w:hint="eastAsia" w:hAnsi="宋体" w:cs="宋体"/>
          <w:color w:val="auto"/>
          <w:sz w:val="21"/>
          <w:highlight w:val="none"/>
        </w:rPr>
      </w:pPr>
    </w:p>
    <w:p w14:paraId="10B869E4">
      <w:pPr>
        <w:pStyle w:val="14"/>
        <w:spacing w:line="480" w:lineRule="exact"/>
        <w:rPr>
          <w:rFonts w:hint="eastAsia" w:hAnsi="宋体" w:cs="宋体"/>
          <w:color w:val="auto"/>
          <w:sz w:val="21"/>
          <w:highlight w:val="none"/>
        </w:rPr>
      </w:pPr>
    </w:p>
    <w:p w14:paraId="0DC319BB">
      <w:pPr>
        <w:pStyle w:val="14"/>
        <w:spacing w:line="240" w:lineRule="exact"/>
        <w:rPr>
          <w:rFonts w:hint="eastAsia" w:hAnsi="宋体" w:cs="宋体"/>
          <w:color w:val="auto"/>
          <w:sz w:val="21"/>
          <w:highlight w:val="none"/>
        </w:rPr>
      </w:pPr>
    </w:p>
    <w:p w14:paraId="10BECA4F">
      <w:pPr>
        <w:jc w:val="center"/>
        <w:rPr>
          <w:rFonts w:hint="eastAsia" w:ascii="宋体" w:hAnsi="宋体" w:cs="宋体"/>
          <w:color w:val="auto"/>
          <w:highlight w:val="none"/>
          <w:u w:val="single"/>
        </w:rPr>
      </w:pPr>
      <w:r>
        <w:rPr>
          <w:rFonts w:hint="eastAsia" w:ascii="宋体" w:hAnsi="宋体" w:cs="宋体"/>
          <w:color w:val="auto"/>
          <w:szCs w:val="21"/>
          <w:highlight w:val="none"/>
        </w:rPr>
        <w:t xml:space="preserve">                         </w:t>
      </w:r>
    </w:p>
    <w:p w14:paraId="026402E7">
      <w:pPr>
        <w:pStyle w:val="14"/>
        <w:spacing w:line="240" w:lineRule="atLeast"/>
        <w:ind w:firstLine="5460" w:firstLineChars="2600"/>
        <w:rPr>
          <w:rFonts w:hint="eastAsia" w:hAnsi="宋体" w:cs="宋体"/>
          <w:color w:val="auto"/>
          <w:sz w:val="21"/>
          <w:highlight w:val="none"/>
          <w:u w:val="single"/>
        </w:rPr>
      </w:pPr>
    </w:p>
    <w:p w14:paraId="51CFFCCD">
      <w:pPr>
        <w:pStyle w:val="14"/>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b/>
          <w:bCs/>
          <w:color w:val="auto"/>
          <w:sz w:val="24"/>
          <w:szCs w:val="24"/>
          <w:highlight w:val="none"/>
        </w:rPr>
        <w:t>签名（</w:t>
      </w:r>
      <w:r>
        <w:rPr>
          <w:rFonts w:hint="eastAsia" w:hAnsi="宋体" w:cs="宋体"/>
          <w:b/>
          <w:color w:val="auto"/>
          <w:sz w:val="24"/>
          <w:szCs w:val="24"/>
          <w:highlight w:val="none"/>
        </w:rPr>
        <w:t>或加盖CA电子签字章</w:t>
      </w:r>
      <w:r>
        <w:rPr>
          <w:rFonts w:hint="eastAsia" w:hAnsi="宋体" w:cs="宋体"/>
          <w:b/>
          <w:bCs/>
          <w:color w:val="auto"/>
          <w:sz w:val="24"/>
          <w:szCs w:val="24"/>
          <w:highlight w:val="none"/>
        </w:rPr>
        <w:t>）：</w:t>
      </w:r>
      <w:r>
        <w:rPr>
          <w:rFonts w:hint="eastAsia" w:hAnsi="宋体" w:cs="宋体"/>
          <w:color w:val="auto"/>
          <w:sz w:val="24"/>
          <w:szCs w:val="24"/>
          <w:highlight w:val="none"/>
          <w:u w:val="single"/>
        </w:rPr>
        <w:t xml:space="preserve">          </w:t>
      </w:r>
    </w:p>
    <w:p w14:paraId="3322248E">
      <w:pPr>
        <w:pStyle w:val="14"/>
        <w:spacing w:line="360" w:lineRule="auto"/>
        <w:rPr>
          <w:rFonts w:hint="eastAsia" w:hAnsi="宋体" w:cs="宋体"/>
          <w:color w:val="auto"/>
          <w:sz w:val="24"/>
          <w:szCs w:val="24"/>
          <w:highlight w:val="none"/>
        </w:rPr>
      </w:pPr>
    </w:p>
    <w:p w14:paraId="3FE118F4">
      <w:pPr>
        <w:pStyle w:val="14"/>
        <w:spacing w:line="360" w:lineRule="auto"/>
        <w:rPr>
          <w:rFonts w:hint="eastAsia" w:hAnsi="宋体" w:cs="宋体"/>
          <w:color w:val="auto"/>
          <w:sz w:val="24"/>
          <w:szCs w:val="24"/>
          <w:highlight w:val="none"/>
        </w:rPr>
      </w:pPr>
      <w:r>
        <w:rPr>
          <w:rFonts w:hint="eastAsia" w:hAnsi="宋体" w:cs="宋体"/>
          <w:color w:val="auto"/>
          <w:sz w:val="24"/>
          <w:szCs w:val="24"/>
          <w:highlight w:val="none"/>
        </w:rPr>
        <w:t>注：</w:t>
      </w:r>
    </w:p>
    <w:p w14:paraId="3987196A">
      <w:pPr>
        <w:pStyle w:val="14"/>
        <w:spacing w:line="360" w:lineRule="auto"/>
        <w:rPr>
          <w:rFonts w:hint="eastAsia" w:hAnsi="宋体" w:cs="宋体"/>
          <w:color w:val="auto"/>
          <w:sz w:val="24"/>
          <w:szCs w:val="24"/>
          <w:highlight w:val="none"/>
        </w:rPr>
      </w:pPr>
      <w:r>
        <w:rPr>
          <w:rFonts w:hint="eastAsia" w:hAnsi="宋体" w:cs="宋体"/>
          <w:color w:val="auto"/>
          <w:sz w:val="24"/>
          <w:szCs w:val="24"/>
          <w:highlight w:val="none"/>
        </w:rPr>
        <w:t>1、法定代表人必须在法定代表人身份证明书上亲笔签名</w:t>
      </w:r>
      <w:r>
        <w:rPr>
          <w:rFonts w:hint="eastAsia" w:hAnsi="宋体" w:cs="宋体"/>
          <w:b/>
          <w:color w:val="auto"/>
          <w:sz w:val="24"/>
          <w:szCs w:val="24"/>
          <w:highlight w:val="none"/>
        </w:rPr>
        <w:t>（或加盖CA电子签字章）</w:t>
      </w:r>
      <w:r>
        <w:rPr>
          <w:rFonts w:hint="eastAsia" w:hAnsi="宋体" w:cs="宋体"/>
          <w:color w:val="auto"/>
          <w:sz w:val="24"/>
          <w:szCs w:val="24"/>
          <w:highlight w:val="none"/>
        </w:rPr>
        <w:t>，不得使用印章、签名章或者其他电子制版签名代替，</w:t>
      </w:r>
      <w:r>
        <w:rPr>
          <w:rFonts w:hint="eastAsia" w:hAnsi="宋体" w:cs="宋体"/>
          <w:b/>
          <w:bCs/>
          <w:color w:val="auto"/>
          <w:sz w:val="24"/>
          <w:szCs w:val="24"/>
          <w:highlight w:val="none"/>
        </w:rPr>
        <w:t>否则作无效投标处理</w:t>
      </w:r>
      <w:r>
        <w:rPr>
          <w:rFonts w:hint="eastAsia" w:hAnsi="宋体" w:cs="宋体"/>
          <w:color w:val="auto"/>
          <w:sz w:val="24"/>
          <w:szCs w:val="24"/>
          <w:highlight w:val="none"/>
        </w:rPr>
        <w:t>。</w:t>
      </w:r>
    </w:p>
    <w:p w14:paraId="0EE6CA02">
      <w:pPr>
        <w:pStyle w:val="14"/>
        <w:spacing w:line="360" w:lineRule="auto"/>
        <w:rPr>
          <w:rFonts w:hint="eastAsia" w:hAnsi="宋体" w:cs="宋体"/>
          <w:color w:val="auto"/>
          <w:spacing w:val="-4"/>
          <w:sz w:val="21"/>
          <w:highlight w:val="none"/>
        </w:rPr>
      </w:pPr>
      <w:r>
        <w:rPr>
          <w:rFonts w:hint="eastAsia" w:hAnsi="宋体" w:cs="宋体"/>
          <w:color w:val="auto"/>
          <w:sz w:val="24"/>
          <w:szCs w:val="24"/>
          <w:highlight w:val="none"/>
        </w:rPr>
        <w:t>2、自然人投标的无需提供。</w:t>
      </w:r>
      <w:r>
        <w:rPr>
          <w:rFonts w:hint="eastAsia" w:hAnsi="宋体" w:cs="宋体"/>
          <w:b/>
          <w:color w:val="auto"/>
          <w:highlight w:val="none"/>
        </w:rPr>
        <w:br w:type="page"/>
      </w:r>
      <w:r>
        <w:rPr>
          <w:rFonts w:hint="eastAsia" w:hAnsi="宋体" w:cs="宋体"/>
          <w:b/>
          <w:bCs/>
          <w:color w:val="auto"/>
          <w:sz w:val="24"/>
          <w:szCs w:val="24"/>
          <w:highlight w:val="none"/>
        </w:rPr>
        <w:t>（3）法定代表人（负责人）授权委托书及委托代理人有效身份证件（正反面原件）扫描件（委托代理时）格式：</w:t>
      </w:r>
    </w:p>
    <w:p w14:paraId="46E061AD">
      <w:pPr>
        <w:pStyle w:val="14"/>
        <w:spacing w:line="320" w:lineRule="exact"/>
        <w:jc w:val="center"/>
        <w:rPr>
          <w:rFonts w:hint="eastAsia" w:hAnsi="宋体" w:cs="宋体"/>
          <w:color w:val="auto"/>
          <w:sz w:val="32"/>
          <w:highlight w:val="none"/>
        </w:rPr>
      </w:pPr>
    </w:p>
    <w:p w14:paraId="29101778">
      <w:pPr>
        <w:pStyle w:val="14"/>
        <w:jc w:val="center"/>
        <w:rPr>
          <w:rFonts w:hint="eastAsia" w:hAnsi="宋体" w:cs="宋体"/>
          <w:b/>
          <w:bCs/>
          <w:color w:val="auto"/>
          <w:sz w:val="32"/>
          <w:highlight w:val="none"/>
        </w:rPr>
      </w:pPr>
      <w:r>
        <w:rPr>
          <w:rFonts w:hint="eastAsia" w:hAnsi="宋体" w:cs="宋体"/>
          <w:b/>
          <w:bCs/>
          <w:color w:val="auto"/>
          <w:sz w:val="32"/>
          <w:highlight w:val="none"/>
        </w:rPr>
        <w:t>法定代表人（负责人）授权委托书</w:t>
      </w:r>
    </w:p>
    <w:p w14:paraId="69612677">
      <w:pPr>
        <w:snapToGrid w:val="0"/>
        <w:spacing w:line="400" w:lineRule="exact"/>
        <w:rPr>
          <w:rFonts w:hint="eastAsia" w:ascii="宋体" w:hAnsi="宋体" w:cs="宋体"/>
          <w:bCs/>
          <w:color w:val="auto"/>
          <w:sz w:val="24"/>
          <w:highlight w:val="none"/>
        </w:rPr>
      </w:pPr>
    </w:p>
    <w:p w14:paraId="4F0D9532">
      <w:pPr>
        <w:snapToGrid w:val="0"/>
        <w:spacing w:line="400" w:lineRule="exact"/>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鹿寨县教育局、广西信和招标代理有限公司</w:t>
      </w:r>
      <w:r>
        <w:rPr>
          <w:rFonts w:hint="eastAsia" w:ascii="宋体" w:hAnsi="宋体" w:cs="宋体"/>
          <w:color w:val="auto"/>
          <w:sz w:val="24"/>
          <w:highlight w:val="none"/>
        </w:rPr>
        <w:t>（招标采购单位名称）：</w:t>
      </w:r>
    </w:p>
    <w:p w14:paraId="5721839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我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（投标人名称）的法定代表人（负责人），现授权委托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项目的投标活动，并代表我方全权办理针对上述项目的投标、开标、转为其他方式采购、评标、签约等具体事务和签署相关文件。</w:t>
      </w:r>
    </w:p>
    <w:p w14:paraId="3BC13ACD">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7EF99E3D">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49388D3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198E1E9F">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szCs w:val="32"/>
          <w:highlight w:val="none"/>
        </w:rPr>
        <w:t>委托代理人</w:t>
      </w:r>
      <w:r>
        <w:rPr>
          <w:rFonts w:hint="eastAsia" w:ascii="宋体" w:hAnsi="宋体" w:cs="宋体"/>
          <w:b/>
          <w:color w:val="auto"/>
          <w:sz w:val="24"/>
          <w:highlight w:val="none"/>
        </w:rPr>
        <w:t>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b/>
          <w:color w:val="auto"/>
          <w:sz w:val="24"/>
          <w:highlight w:val="none"/>
        </w:rPr>
        <w:t>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C39709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所在部门职务：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2A1E90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被授权人身份证号码：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874F7EC">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A57FECA">
      <w:pPr>
        <w:pStyle w:val="14"/>
        <w:spacing w:line="360" w:lineRule="auto"/>
        <w:ind w:firstLine="3900" w:firstLineChars="1950"/>
        <w:rPr>
          <w:rFonts w:hint="eastAsia" w:hAnsi="宋体" w:cs="宋体"/>
          <w:color w:val="auto"/>
          <w:sz w:val="24"/>
          <w:szCs w:val="24"/>
          <w:highlight w:val="none"/>
        </w:rPr>
      </w:pPr>
      <w:r>
        <w:rPr>
          <w:rFonts w:hint="eastAsia" w:hAnsi="宋体" w:cs="宋体"/>
          <w:color w:val="auto"/>
          <w:highlight w:val="none"/>
        </w:rPr>
        <w:t xml:space="preserve"> </w:t>
      </w: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CD64DFF">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47AF579">
      <w:pPr>
        <w:pStyle w:val="14"/>
        <w:spacing w:line="360" w:lineRule="exact"/>
        <w:rPr>
          <w:rFonts w:hint="eastAsia" w:hAnsi="宋体" w:cs="宋体"/>
          <w:color w:val="auto"/>
          <w:highlight w:val="none"/>
        </w:rPr>
      </w:pPr>
      <w:r>
        <w:rPr>
          <w:rFonts w:hint="eastAsia" w:hAnsi="宋体" w:cs="宋体"/>
          <w:color w:val="auto"/>
          <w:highlight w:val="none"/>
        </w:rPr>
        <w:t xml:space="preserve">                                                                                                                                                                                        </w:t>
      </w:r>
    </w:p>
    <w:p w14:paraId="7C27E185">
      <w:pPr>
        <w:pStyle w:val="14"/>
        <w:spacing w:line="480" w:lineRule="exact"/>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31115</wp:posOffset>
                </wp:positionV>
                <wp:extent cx="2990850" cy="1831975"/>
                <wp:effectExtent l="5080" t="4445" r="13970" b="11430"/>
                <wp:wrapNone/>
                <wp:docPr id="7" name="矩形 7"/>
                <wp:cNvGraphicFramePr/>
                <a:graphic xmlns:a="http://schemas.openxmlformats.org/drawingml/2006/main">
                  <a:graphicData uri="http://schemas.microsoft.com/office/word/2010/wordprocessingShape">
                    <wps:wsp>
                      <wps:cNvSpPr/>
                      <wps:spPr>
                        <a:xfrm>
                          <a:off x="0" y="0"/>
                          <a:ext cx="2990850" cy="1831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D2CBB"/>
                          <w:p w14:paraId="0E89C48C"/>
                          <w:p w14:paraId="5645F4B1"/>
                          <w:p w14:paraId="54C90F3A"/>
                          <w:p w14:paraId="405A179C"/>
                          <w:p w14:paraId="5B4898F5">
                            <w:pPr>
                              <w:jc w:val="center"/>
                            </w:pPr>
                            <w:r>
                              <w:rPr>
                                <w:rFonts w:hint="eastAsia"/>
                              </w:rPr>
                              <w:t>委托代理人第二代居民身份证原件扫描件</w:t>
                            </w:r>
                          </w:p>
                          <w:p w14:paraId="0B20CE51">
                            <w:pPr>
                              <w:jc w:val="center"/>
                            </w:pPr>
                            <w:r>
                              <w:rPr>
                                <w:rFonts w:hint="eastAsia"/>
                                <w:b/>
                              </w:rPr>
                              <w:t>（正面）</w:t>
                            </w:r>
                          </w:p>
                          <w:p w14:paraId="0497AEB4">
                            <w:pPr>
                              <w:jc w:val="center"/>
                            </w:pPr>
                          </w:p>
                        </w:txbxContent>
                      </wps:txbx>
                      <wps:bodyPr upright="1"/>
                    </wps:wsp>
                  </a:graphicData>
                </a:graphic>
              </wp:anchor>
            </w:drawing>
          </mc:Choice>
          <mc:Fallback>
            <w:pict>
              <v:rect id="_x0000_s1026" o:spid="_x0000_s1026" o:spt="1" style="position:absolute;left:0pt;margin-left:9pt;margin-top:2.45pt;height:144.25pt;width:235.5pt;z-index:251664384;mso-width-relative:page;mso-height-relative:page;" fillcolor="#FFFFFF" filled="t" stroked="t" coordsize="21600,21600" o:gfxdata="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EfYDWAAAACAEAAA8AAAAAAAAAAQAgAAAAIgAAAGRycy9kb3du&#10;cmV2LnhtbFBLAQIUABQAAAAIAIdO4kBv5WdAAQIAACoEAAAOAAAAAAAAAAEAIAAAACUBAABkcnMv&#10;ZTJvRG9jLnhtbFBLBQYAAAAABgAGAFkBAACYBQAAAAA=&#10;">
                <v:fill on="t" focussize="0,0"/>
                <v:stroke color="#000000" joinstyle="miter"/>
                <v:imagedata o:title=""/>
                <o:lock v:ext="edit" aspectratio="f"/>
                <v:textbox>
                  <w:txbxContent>
                    <w:p w14:paraId="215D2CBB"/>
                    <w:p w14:paraId="0E89C48C"/>
                    <w:p w14:paraId="5645F4B1"/>
                    <w:p w14:paraId="54C90F3A"/>
                    <w:p w14:paraId="405A179C"/>
                    <w:p w14:paraId="5B4898F5">
                      <w:pPr>
                        <w:jc w:val="center"/>
                      </w:pPr>
                      <w:r>
                        <w:rPr>
                          <w:rFonts w:hint="eastAsia"/>
                        </w:rPr>
                        <w:t>委托代理人第二代居民身份证原件扫描件</w:t>
                      </w:r>
                    </w:p>
                    <w:p w14:paraId="0B20CE51">
                      <w:pPr>
                        <w:jc w:val="center"/>
                      </w:pPr>
                      <w:r>
                        <w:rPr>
                          <w:rFonts w:hint="eastAsia"/>
                          <w:b/>
                        </w:rPr>
                        <w:t>（正面）</w:t>
                      </w:r>
                    </w:p>
                    <w:p w14:paraId="0497AEB4">
                      <w:pPr>
                        <w:jc w:val="center"/>
                      </w:pPr>
                    </w:p>
                  </w:txbxContent>
                </v:textbox>
              </v:rect>
            </w:pict>
          </mc:Fallback>
        </mc:AlternateContent>
      </w:r>
      <w:r>
        <w:rPr>
          <w:rFonts w:hint="eastAsia"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3155950</wp:posOffset>
                </wp:positionH>
                <wp:positionV relativeFrom="paragraph">
                  <wp:posOffset>23495</wp:posOffset>
                </wp:positionV>
                <wp:extent cx="3034665" cy="1818640"/>
                <wp:effectExtent l="4445" t="4445" r="8890" b="5715"/>
                <wp:wrapNone/>
                <wp:docPr id="8" name="矩形 8"/>
                <wp:cNvGraphicFramePr/>
                <a:graphic xmlns:a="http://schemas.openxmlformats.org/drawingml/2006/main">
                  <a:graphicData uri="http://schemas.microsoft.com/office/word/2010/wordprocessingShape">
                    <wps:wsp>
                      <wps:cNvSpPr/>
                      <wps:spPr>
                        <a:xfrm>
                          <a:off x="0" y="0"/>
                          <a:ext cx="3034665" cy="1818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84C69F"/>
                          <w:p w14:paraId="11C498FB"/>
                          <w:p w14:paraId="3E2D9925"/>
                          <w:p w14:paraId="7658F09D"/>
                          <w:p w14:paraId="4D139E83"/>
                          <w:p w14:paraId="04B4DB97">
                            <w:pPr>
                              <w:jc w:val="center"/>
                            </w:pPr>
                            <w:r>
                              <w:rPr>
                                <w:rFonts w:hint="eastAsia"/>
                              </w:rPr>
                              <w:t>委托代理人第二代居民身份证原件扫描件</w:t>
                            </w:r>
                          </w:p>
                          <w:p w14:paraId="2958D4B9">
                            <w:pPr>
                              <w:jc w:val="center"/>
                            </w:pPr>
                            <w:r>
                              <w:rPr>
                                <w:rFonts w:hint="eastAsia"/>
                                <w:b/>
                              </w:rPr>
                              <w:t>（背面）</w:t>
                            </w:r>
                          </w:p>
                        </w:txbxContent>
                      </wps:txbx>
                      <wps:bodyPr upright="1"/>
                    </wps:wsp>
                  </a:graphicData>
                </a:graphic>
              </wp:anchor>
            </w:drawing>
          </mc:Choice>
          <mc:Fallback>
            <w:pict>
              <v:rect id="_x0000_s1026" o:spid="_x0000_s1026" o:spt="1" style="position:absolute;left:0pt;margin-left:248.5pt;margin-top:1.85pt;height:143.2pt;width:238.95pt;z-index:251663360;mso-width-relative:page;mso-height-relative:page;" fillcolor="#FFFFFF" filled="t" stroked="t" coordsize="21600,21600" o:gfxdata="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Frl9gAAAAJAQAADwAAAAAAAAABACAAAAAiAAAAZHJz&#10;L2Rvd25yZXYueG1sUEsBAhQAFAAAAAgAh07iQI9EKCEEAgAAKgQAAA4AAAAAAAAAAQAgAAAAJwEA&#10;AGRycy9lMm9Eb2MueG1sUEsFBgAAAAAGAAYAWQEAAJ0FAAAAAA==&#10;">
                <v:fill on="t" focussize="0,0"/>
                <v:stroke color="#000000" joinstyle="miter"/>
                <v:imagedata o:title=""/>
                <o:lock v:ext="edit" aspectratio="f"/>
                <v:textbox>
                  <w:txbxContent>
                    <w:p w14:paraId="4584C69F"/>
                    <w:p w14:paraId="11C498FB"/>
                    <w:p w14:paraId="3E2D9925"/>
                    <w:p w14:paraId="7658F09D"/>
                    <w:p w14:paraId="4D139E83"/>
                    <w:p w14:paraId="04B4DB97">
                      <w:pPr>
                        <w:jc w:val="center"/>
                      </w:pPr>
                      <w:r>
                        <w:rPr>
                          <w:rFonts w:hint="eastAsia"/>
                        </w:rPr>
                        <w:t>委托代理人第二代居民身份证原件扫描件</w:t>
                      </w:r>
                    </w:p>
                    <w:p w14:paraId="2958D4B9">
                      <w:pPr>
                        <w:jc w:val="center"/>
                      </w:pPr>
                      <w:r>
                        <w:rPr>
                          <w:rFonts w:hint="eastAsia"/>
                          <w:b/>
                        </w:rPr>
                        <w:t>（背面）</w:t>
                      </w:r>
                    </w:p>
                  </w:txbxContent>
                </v:textbox>
              </v:rect>
            </w:pict>
          </mc:Fallback>
        </mc:AlternateContent>
      </w:r>
      <w:r>
        <w:rPr>
          <w:rFonts w:hint="eastAsia" w:hAnsi="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HVPfQAAAA&#10;AgEAAA8AAAAAAAAAAQAgAAAAIgAAAGRycy9kb3ducmV2LnhtbFBLAQIUABQAAAAIAIdO4kAifTLN&#10;7AEAANgDAAAOAAAAAAAAAAEAIAAAAB8BAABkcnMvZTJvRG9jLnhtbFBLBQYAAAAABgAGAFkBAAB9&#10;BQ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14:paraId="21039EDC">
      <w:pPr>
        <w:pStyle w:val="14"/>
        <w:spacing w:line="480" w:lineRule="exact"/>
        <w:rPr>
          <w:rFonts w:hint="eastAsia" w:hAnsi="宋体" w:cs="宋体"/>
          <w:color w:val="auto"/>
          <w:highlight w:val="none"/>
        </w:rPr>
      </w:pPr>
    </w:p>
    <w:p w14:paraId="22F214FF">
      <w:pPr>
        <w:pStyle w:val="14"/>
        <w:spacing w:line="480" w:lineRule="exact"/>
        <w:rPr>
          <w:rFonts w:hint="eastAsia" w:hAnsi="宋体" w:cs="宋体"/>
          <w:color w:val="auto"/>
          <w:highlight w:val="none"/>
        </w:rPr>
      </w:pPr>
    </w:p>
    <w:p w14:paraId="3C1C4185">
      <w:pPr>
        <w:pStyle w:val="14"/>
        <w:spacing w:line="480" w:lineRule="exact"/>
        <w:rPr>
          <w:rFonts w:hint="eastAsia" w:hAnsi="宋体" w:cs="宋体"/>
          <w:color w:val="auto"/>
          <w:highlight w:val="none"/>
        </w:rPr>
      </w:pPr>
    </w:p>
    <w:p w14:paraId="230A5EB7">
      <w:pPr>
        <w:pStyle w:val="14"/>
        <w:spacing w:line="480" w:lineRule="exact"/>
        <w:rPr>
          <w:rFonts w:hint="eastAsia" w:hAnsi="宋体" w:cs="宋体"/>
          <w:color w:val="auto"/>
          <w:highlight w:val="none"/>
        </w:rPr>
      </w:pPr>
    </w:p>
    <w:p w14:paraId="5FE04C53">
      <w:pPr>
        <w:pStyle w:val="14"/>
        <w:spacing w:line="240" w:lineRule="atLeast"/>
        <w:ind w:firstLine="5200" w:firstLineChars="2600"/>
        <w:rPr>
          <w:rFonts w:hint="eastAsia" w:hAnsi="宋体" w:cs="宋体"/>
          <w:color w:val="auto"/>
          <w:highlight w:val="none"/>
          <w:u w:val="single"/>
        </w:rPr>
      </w:pPr>
    </w:p>
    <w:p w14:paraId="3ADCEEAF">
      <w:pPr>
        <w:pStyle w:val="14"/>
        <w:spacing w:line="240" w:lineRule="atLeast"/>
        <w:ind w:firstLine="5200" w:firstLineChars="2600"/>
        <w:rPr>
          <w:rFonts w:hint="eastAsia" w:hAnsi="宋体" w:cs="宋体"/>
          <w:color w:val="auto"/>
          <w:highlight w:val="none"/>
          <w:u w:val="single"/>
        </w:rPr>
      </w:pPr>
    </w:p>
    <w:p w14:paraId="48BD83F1">
      <w:pPr>
        <w:pStyle w:val="14"/>
        <w:spacing w:line="240" w:lineRule="exact"/>
        <w:rPr>
          <w:rFonts w:hint="eastAsia" w:hAnsi="宋体" w:cs="宋体"/>
          <w:color w:val="auto"/>
          <w:sz w:val="44"/>
          <w:highlight w:val="none"/>
        </w:rPr>
      </w:pPr>
    </w:p>
    <w:p w14:paraId="297BA29F">
      <w:pPr>
        <w:pStyle w:val="14"/>
        <w:spacing w:line="240" w:lineRule="exact"/>
        <w:rPr>
          <w:rFonts w:hint="eastAsia" w:hAnsi="宋体" w:cs="宋体"/>
          <w:color w:val="auto"/>
          <w:sz w:val="44"/>
          <w:highlight w:val="none"/>
        </w:rPr>
      </w:pPr>
    </w:p>
    <w:p w14:paraId="071A8116">
      <w:pPr>
        <w:jc w:val="center"/>
        <w:rPr>
          <w:rFonts w:hint="eastAsia" w:ascii="宋体" w:hAnsi="宋体" w:cs="宋体"/>
          <w:color w:val="auto"/>
          <w:highlight w:val="none"/>
        </w:rPr>
      </w:pPr>
      <w:r>
        <w:rPr>
          <w:rFonts w:hint="eastAsia" w:ascii="宋体" w:hAnsi="宋体" w:cs="宋体"/>
          <w:color w:val="auto"/>
          <w:highlight w:val="none"/>
        </w:rPr>
        <w:t xml:space="preserve">                             </w:t>
      </w:r>
    </w:p>
    <w:p w14:paraId="1ED6DBDF">
      <w:pPr>
        <w:spacing w:line="360" w:lineRule="auto"/>
        <w:rPr>
          <w:rFonts w:hint="eastAsia" w:ascii="宋体" w:hAnsi="宋体" w:cs="宋体"/>
          <w:color w:val="auto"/>
          <w:sz w:val="24"/>
          <w:highlight w:val="none"/>
        </w:rPr>
        <w:sectPr>
          <w:footerReference r:id="rId10" w:type="first"/>
          <w:footerReference r:id="rId9" w:type="default"/>
          <w:pgSz w:w="11906" w:h="16838"/>
          <w:pgMar w:top="1134" w:right="1134" w:bottom="1134" w:left="1247" w:header="851" w:footer="992" w:gutter="0"/>
          <w:pgNumType w:fmt="numberInDash" w:start="1"/>
          <w:cols w:space="720" w:num="1"/>
          <w:docGrid w:linePitch="312" w:charSpace="0"/>
        </w:sectPr>
      </w:pPr>
      <w:r>
        <w:rPr>
          <w:rFonts w:hint="eastAsia" w:ascii="宋体" w:hAnsi="宋体" w:cs="宋体"/>
          <w:color w:val="auto"/>
          <w:sz w:val="24"/>
          <w:highlight w:val="none"/>
        </w:rPr>
        <w:t>注：法定代表人和委托代理人必须在法定代表人授权委托书上亲笔签名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b/>
          <w:bCs/>
          <w:color w:val="auto"/>
          <w:sz w:val="24"/>
          <w:highlight w:val="none"/>
        </w:rPr>
        <w:t>否则作无效投标处理</w:t>
      </w:r>
      <w:r>
        <w:rPr>
          <w:rFonts w:hint="eastAsia" w:ascii="宋体" w:hAnsi="宋体" w:cs="宋体"/>
          <w:color w:val="auto"/>
          <w:sz w:val="24"/>
          <w:highlight w:val="none"/>
        </w:rPr>
        <w:t>。</w:t>
      </w:r>
      <w:r>
        <w:rPr>
          <w:rFonts w:hint="eastAsia" w:ascii="宋体" w:hAnsi="宋体" w:cs="宋体"/>
          <w:color w:val="auto"/>
          <w:sz w:val="24"/>
          <w:szCs w:val="32"/>
          <w:highlight w:val="none"/>
          <w:lang w:val="zh-CN"/>
        </w:rPr>
        <w:t xml:space="preserve"> </w:t>
      </w:r>
      <w:r>
        <w:rPr>
          <w:rFonts w:hint="eastAsia" w:ascii="宋体" w:hAnsi="宋体" w:cs="宋体"/>
          <w:color w:val="auto"/>
          <w:highlight w:val="none"/>
          <w:lang w:val="zh-CN"/>
        </w:rPr>
        <w:t xml:space="preserve">   </w:t>
      </w:r>
    </w:p>
    <w:p w14:paraId="33BDBA4D">
      <w:pPr>
        <w:snapToGrid w:val="0"/>
        <w:spacing w:before="50"/>
        <w:jc w:val="left"/>
        <w:rPr>
          <w:rFonts w:hint="eastAsia" w:ascii="宋体" w:hAnsi="宋体" w:cs="宋体"/>
          <w:b/>
          <w:color w:val="auto"/>
          <w:sz w:val="24"/>
          <w:highlight w:val="none"/>
        </w:rPr>
      </w:pPr>
      <w:r>
        <w:rPr>
          <w:rFonts w:hint="eastAsia" w:ascii="宋体" w:hAnsi="宋体" w:cs="宋体"/>
          <w:b/>
          <w:color w:val="auto"/>
          <w:sz w:val="24"/>
          <w:highlight w:val="none"/>
        </w:rPr>
        <w:t>（4）商务响应表格式：</w:t>
      </w:r>
    </w:p>
    <w:p w14:paraId="10A0EFF8">
      <w:pPr>
        <w:pStyle w:val="13"/>
        <w:rPr>
          <w:rFonts w:hint="eastAsia" w:ascii="宋体" w:hAnsi="宋体" w:eastAsia="宋体" w:cs="宋体"/>
          <w:color w:val="auto"/>
          <w:highlight w:val="none"/>
        </w:rPr>
      </w:pPr>
    </w:p>
    <w:p w14:paraId="0922C853">
      <w:pPr>
        <w:spacing w:line="360" w:lineRule="exact"/>
        <w:rPr>
          <w:rFonts w:hint="eastAsia" w:ascii="宋体" w:hAnsi="宋体" w:cs="宋体"/>
          <w:b/>
          <w:color w:val="auto"/>
          <w:sz w:val="32"/>
          <w:szCs w:val="32"/>
          <w:highlight w:val="none"/>
        </w:rPr>
      </w:pPr>
      <w:r>
        <w:rPr>
          <w:rFonts w:hint="eastAsia" w:ascii="宋体" w:hAnsi="宋体" w:cs="宋体"/>
          <w:color w:val="auto"/>
          <w:highlight w:val="none"/>
        </w:rPr>
        <w:t xml:space="preserve">                             </w:t>
      </w:r>
      <w:r>
        <w:rPr>
          <w:rFonts w:hint="eastAsia" w:ascii="宋体" w:hAnsi="宋体" w:cs="宋体"/>
          <w:color w:val="auto"/>
          <w:sz w:val="32"/>
          <w:szCs w:val="32"/>
          <w:highlight w:val="none"/>
        </w:rPr>
        <w:t xml:space="preserve">      </w:t>
      </w:r>
      <w:r>
        <w:rPr>
          <w:rFonts w:hint="eastAsia" w:ascii="宋体" w:hAnsi="宋体" w:cs="宋体"/>
          <w:b/>
          <w:color w:val="auto"/>
          <w:sz w:val="32"/>
          <w:szCs w:val="32"/>
          <w:highlight w:val="none"/>
        </w:rPr>
        <w:t>商务响应表</w:t>
      </w:r>
    </w:p>
    <w:p w14:paraId="166BD9B8">
      <w:pPr>
        <w:rPr>
          <w:rFonts w:hint="eastAsia" w:ascii="宋体" w:hAnsi="宋体" w:cs="宋体"/>
          <w:color w:val="auto"/>
          <w:sz w:val="24"/>
          <w:szCs w:val="20"/>
          <w:highlight w:val="none"/>
          <w:u w:val="singl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2"/>
        <w:tblW w:w="98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120"/>
        <w:gridCol w:w="2985"/>
        <w:gridCol w:w="1500"/>
        <w:gridCol w:w="852"/>
      </w:tblGrid>
      <w:tr w14:paraId="6BAED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96" w:type="dxa"/>
            <w:tcBorders>
              <w:top w:val="single" w:color="auto" w:sz="12" w:space="0"/>
            </w:tcBorders>
            <w:vAlign w:val="center"/>
          </w:tcPr>
          <w:p w14:paraId="428C18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3120" w:type="dxa"/>
            <w:tcBorders>
              <w:top w:val="single" w:color="auto" w:sz="12" w:space="0"/>
            </w:tcBorders>
            <w:vAlign w:val="center"/>
          </w:tcPr>
          <w:p w14:paraId="13A20EB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招标文件的商务条款</w:t>
            </w:r>
          </w:p>
        </w:tc>
        <w:tc>
          <w:tcPr>
            <w:tcW w:w="2985" w:type="dxa"/>
            <w:tcBorders>
              <w:top w:val="single" w:color="auto" w:sz="12" w:space="0"/>
            </w:tcBorders>
            <w:vAlign w:val="center"/>
          </w:tcPr>
          <w:p w14:paraId="4B1BE3D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投标文件承诺的商务条款</w:t>
            </w:r>
          </w:p>
        </w:tc>
        <w:tc>
          <w:tcPr>
            <w:tcW w:w="1500" w:type="dxa"/>
            <w:tcBorders>
              <w:top w:val="single" w:color="auto" w:sz="12" w:space="0"/>
            </w:tcBorders>
            <w:vAlign w:val="center"/>
          </w:tcPr>
          <w:p w14:paraId="08017D8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852" w:type="dxa"/>
            <w:tcBorders>
              <w:top w:val="single" w:color="auto" w:sz="12" w:space="0"/>
            </w:tcBorders>
            <w:vAlign w:val="center"/>
          </w:tcPr>
          <w:p w14:paraId="3C38D7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74810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14:paraId="2DA18E28">
            <w:pPr>
              <w:spacing w:line="360" w:lineRule="auto"/>
              <w:jc w:val="center"/>
              <w:rPr>
                <w:rFonts w:hint="eastAsia" w:ascii="宋体" w:hAnsi="宋体" w:cs="宋体"/>
                <w:color w:val="auto"/>
                <w:sz w:val="24"/>
                <w:szCs w:val="32"/>
                <w:highlight w:val="none"/>
              </w:rPr>
            </w:pPr>
          </w:p>
        </w:tc>
        <w:tc>
          <w:tcPr>
            <w:tcW w:w="3120" w:type="dxa"/>
            <w:vAlign w:val="center"/>
          </w:tcPr>
          <w:p w14:paraId="29D76EAC">
            <w:pPr>
              <w:spacing w:line="360" w:lineRule="auto"/>
              <w:jc w:val="center"/>
              <w:rPr>
                <w:rFonts w:hint="eastAsia" w:ascii="宋体" w:hAnsi="宋体" w:cs="宋体"/>
                <w:color w:val="auto"/>
                <w:sz w:val="24"/>
                <w:highlight w:val="none"/>
              </w:rPr>
            </w:pPr>
          </w:p>
        </w:tc>
        <w:tc>
          <w:tcPr>
            <w:tcW w:w="2985" w:type="dxa"/>
            <w:vAlign w:val="center"/>
          </w:tcPr>
          <w:p w14:paraId="48BD83AB">
            <w:pPr>
              <w:spacing w:line="360" w:lineRule="auto"/>
              <w:jc w:val="center"/>
              <w:rPr>
                <w:rFonts w:hint="eastAsia" w:ascii="宋体" w:hAnsi="宋体" w:cs="宋体"/>
                <w:color w:val="auto"/>
                <w:sz w:val="24"/>
                <w:highlight w:val="none"/>
              </w:rPr>
            </w:pPr>
          </w:p>
        </w:tc>
        <w:tc>
          <w:tcPr>
            <w:tcW w:w="1500" w:type="dxa"/>
            <w:vAlign w:val="center"/>
          </w:tcPr>
          <w:p w14:paraId="29710007">
            <w:pPr>
              <w:spacing w:line="360" w:lineRule="auto"/>
              <w:jc w:val="center"/>
              <w:rPr>
                <w:rFonts w:hint="eastAsia" w:ascii="宋体" w:hAnsi="宋体" w:cs="宋体"/>
                <w:color w:val="auto"/>
                <w:sz w:val="24"/>
                <w:highlight w:val="none"/>
              </w:rPr>
            </w:pPr>
          </w:p>
        </w:tc>
        <w:tc>
          <w:tcPr>
            <w:tcW w:w="852" w:type="dxa"/>
            <w:vAlign w:val="center"/>
          </w:tcPr>
          <w:p w14:paraId="6F1ADC44">
            <w:pPr>
              <w:spacing w:line="360" w:lineRule="auto"/>
              <w:jc w:val="center"/>
              <w:rPr>
                <w:rFonts w:hint="eastAsia" w:ascii="宋体" w:hAnsi="宋体" w:cs="宋体"/>
                <w:color w:val="auto"/>
                <w:sz w:val="24"/>
                <w:highlight w:val="none"/>
              </w:rPr>
            </w:pPr>
          </w:p>
        </w:tc>
      </w:tr>
      <w:tr w14:paraId="61003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14:paraId="1405F2A8">
            <w:pPr>
              <w:spacing w:line="360" w:lineRule="auto"/>
              <w:jc w:val="center"/>
              <w:rPr>
                <w:rFonts w:hint="eastAsia" w:ascii="宋体" w:hAnsi="宋体" w:cs="宋体"/>
                <w:color w:val="auto"/>
                <w:sz w:val="24"/>
                <w:szCs w:val="32"/>
                <w:highlight w:val="none"/>
              </w:rPr>
            </w:pPr>
          </w:p>
        </w:tc>
        <w:tc>
          <w:tcPr>
            <w:tcW w:w="3120" w:type="dxa"/>
            <w:vAlign w:val="center"/>
          </w:tcPr>
          <w:p w14:paraId="433AE016">
            <w:pPr>
              <w:spacing w:line="360" w:lineRule="auto"/>
              <w:jc w:val="center"/>
              <w:rPr>
                <w:rFonts w:hint="eastAsia" w:ascii="宋体" w:hAnsi="宋体" w:cs="宋体"/>
                <w:color w:val="auto"/>
                <w:sz w:val="24"/>
                <w:highlight w:val="none"/>
              </w:rPr>
            </w:pPr>
          </w:p>
        </w:tc>
        <w:tc>
          <w:tcPr>
            <w:tcW w:w="2985" w:type="dxa"/>
            <w:vAlign w:val="center"/>
          </w:tcPr>
          <w:p w14:paraId="44B389A7">
            <w:pPr>
              <w:spacing w:line="360" w:lineRule="auto"/>
              <w:jc w:val="center"/>
              <w:rPr>
                <w:rFonts w:hint="eastAsia" w:ascii="宋体" w:hAnsi="宋体" w:cs="宋体"/>
                <w:color w:val="auto"/>
                <w:sz w:val="24"/>
                <w:highlight w:val="none"/>
              </w:rPr>
            </w:pPr>
          </w:p>
        </w:tc>
        <w:tc>
          <w:tcPr>
            <w:tcW w:w="1500" w:type="dxa"/>
            <w:vAlign w:val="center"/>
          </w:tcPr>
          <w:p w14:paraId="36B4A775">
            <w:pPr>
              <w:spacing w:line="360" w:lineRule="auto"/>
              <w:jc w:val="center"/>
              <w:rPr>
                <w:rFonts w:hint="eastAsia" w:ascii="宋体" w:hAnsi="宋体" w:cs="宋体"/>
                <w:color w:val="auto"/>
                <w:sz w:val="24"/>
                <w:highlight w:val="none"/>
              </w:rPr>
            </w:pPr>
          </w:p>
        </w:tc>
        <w:tc>
          <w:tcPr>
            <w:tcW w:w="852" w:type="dxa"/>
            <w:vAlign w:val="center"/>
          </w:tcPr>
          <w:p w14:paraId="4B88FA89">
            <w:pPr>
              <w:spacing w:line="360" w:lineRule="auto"/>
              <w:jc w:val="center"/>
              <w:rPr>
                <w:rFonts w:hint="eastAsia" w:ascii="宋体" w:hAnsi="宋体" w:cs="宋体"/>
                <w:color w:val="auto"/>
                <w:sz w:val="24"/>
                <w:highlight w:val="none"/>
              </w:rPr>
            </w:pPr>
          </w:p>
        </w:tc>
      </w:tr>
      <w:tr w14:paraId="02EDE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14:paraId="60E82C69">
            <w:pPr>
              <w:spacing w:line="360" w:lineRule="auto"/>
              <w:jc w:val="center"/>
              <w:rPr>
                <w:rFonts w:hint="eastAsia" w:ascii="宋体" w:hAnsi="宋体" w:cs="宋体"/>
                <w:color w:val="auto"/>
                <w:sz w:val="24"/>
                <w:szCs w:val="32"/>
                <w:highlight w:val="none"/>
              </w:rPr>
            </w:pPr>
          </w:p>
        </w:tc>
        <w:tc>
          <w:tcPr>
            <w:tcW w:w="3120" w:type="dxa"/>
            <w:vAlign w:val="center"/>
          </w:tcPr>
          <w:p w14:paraId="45FC9B6D">
            <w:pPr>
              <w:spacing w:line="360" w:lineRule="auto"/>
              <w:jc w:val="center"/>
              <w:rPr>
                <w:rFonts w:hint="eastAsia" w:ascii="宋体" w:hAnsi="宋体" w:cs="宋体"/>
                <w:color w:val="auto"/>
                <w:sz w:val="24"/>
                <w:highlight w:val="none"/>
              </w:rPr>
            </w:pPr>
          </w:p>
        </w:tc>
        <w:tc>
          <w:tcPr>
            <w:tcW w:w="2985" w:type="dxa"/>
            <w:vAlign w:val="center"/>
          </w:tcPr>
          <w:p w14:paraId="06E371ED">
            <w:pPr>
              <w:spacing w:line="360" w:lineRule="auto"/>
              <w:jc w:val="center"/>
              <w:rPr>
                <w:rFonts w:hint="eastAsia" w:ascii="宋体" w:hAnsi="宋体" w:cs="宋体"/>
                <w:color w:val="auto"/>
                <w:sz w:val="24"/>
                <w:highlight w:val="none"/>
              </w:rPr>
            </w:pPr>
          </w:p>
        </w:tc>
        <w:tc>
          <w:tcPr>
            <w:tcW w:w="1500" w:type="dxa"/>
            <w:vAlign w:val="center"/>
          </w:tcPr>
          <w:p w14:paraId="5E9655F5">
            <w:pPr>
              <w:spacing w:line="360" w:lineRule="auto"/>
              <w:jc w:val="center"/>
              <w:rPr>
                <w:rFonts w:hint="eastAsia" w:ascii="宋体" w:hAnsi="宋体" w:cs="宋体"/>
                <w:color w:val="auto"/>
                <w:sz w:val="24"/>
                <w:highlight w:val="none"/>
              </w:rPr>
            </w:pPr>
          </w:p>
        </w:tc>
        <w:tc>
          <w:tcPr>
            <w:tcW w:w="852" w:type="dxa"/>
            <w:vAlign w:val="center"/>
          </w:tcPr>
          <w:p w14:paraId="486C6F12">
            <w:pPr>
              <w:spacing w:line="360" w:lineRule="auto"/>
              <w:jc w:val="center"/>
              <w:rPr>
                <w:rFonts w:hint="eastAsia" w:ascii="宋体" w:hAnsi="宋体" w:cs="宋体"/>
                <w:color w:val="auto"/>
                <w:sz w:val="24"/>
                <w:highlight w:val="none"/>
              </w:rPr>
            </w:pPr>
          </w:p>
        </w:tc>
      </w:tr>
      <w:tr w14:paraId="4F7DC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14:paraId="7B011982">
            <w:pPr>
              <w:spacing w:line="360" w:lineRule="auto"/>
              <w:jc w:val="center"/>
              <w:rPr>
                <w:rFonts w:hint="eastAsia" w:ascii="宋体" w:hAnsi="宋体" w:cs="宋体"/>
                <w:color w:val="auto"/>
                <w:sz w:val="24"/>
                <w:szCs w:val="32"/>
                <w:highlight w:val="none"/>
              </w:rPr>
            </w:pPr>
          </w:p>
        </w:tc>
        <w:tc>
          <w:tcPr>
            <w:tcW w:w="3120" w:type="dxa"/>
            <w:vAlign w:val="center"/>
          </w:tcPr>
          <w:p w14:paraId="743C9D51">
            <w:pPr>
              <w:spacing w:line="360" w:lineRule="auto"/>
              <w:jc w:val="center"/>
              <w:rPr>
                <w:rFonts w:hint="eastAsia" w:ascii="宋体" w:hAnsi="宋体" w:cs="宋体"/>
                <w:color w:val="auto"/>
                <w:sz w:val="24"/>
                <w:highlight w:val="none"/>
              </w:rPr>
            </w:pPr>
          </w:p>
        </w:tc>
        <w:tc>
          <w:tcPr>
            <w:tcW w:w="2985" w:type="dxa"/>
            <w:vAlign w:val="center"/>
          </w:tcPr>
          <w:p w14:paraId="546C1E64">
            <w:pPr>
              <w:spacing w:line="360" w:lineRule="auto"/>
              <w:jc w:val="center"/>
              <w:rPr>
                <w:rFonts w:hint="eastAsia" w:ascii="宋体" w:hAnsi="宋体" w:cs="宋体"/>
                <w:color w:val="auto"/>
                <w:sz w:val="24"/>
                <w:highlight w:val="none"/>
              </w:rPr>
            </w:pPr>
          </w:p>
        </w:tc>
        <w:tc>
          <w:tcPr>
            <w:tcW w:w="1500" w:type="dxa"/>
            <w:vAlign w:val="center"/>
          </w:tcPr>
          <w:p w14:paraId="52D6C6CE">
            <w:pPr>
              <w:spacing w:line="360" w:lineRule="auto"/>
              <w:jc w:val="center"/>
              <w:rPr>
                <w:rFonts w:hint="eastAsia" w:ascii="宋体" w:hAnsi="宋体" w:cs="宋体"/>
                <w:color w:val="auto"/>
                <w:sz w:val="24"/>
                <w:highlight w:val="none"/>
              </w:rPr>
            </w:pPr>
          </w:p>
        </w:tc>
        <w:tc>
          <w:tcPr>
            <w:tcW w:w="852" w:type="dxa"/>
            <w:vAlign w:val="center"/>
          </w:tcPr>
          <w:p w14:paraId="1495BCEE">
            <w:pPr>
              <w:spacing w:line="360" w:lineRule="auto"/>
              <w:jc w:val="center"/>
              <w:rPr>
                <w:rFonts w:hint="eastAsia" w:ascii="宋体" w:hAnsi="宋体" w:cs="宋体"/>
                <w:color w:val="auto"/>
                <w:sz w:val="24"/>
                <w:highlight w:val="none"/>
              </w:rPr>
            </w:pPr>
          </w:p>
        </w:tc>
      </w:tr>
      <w:tr w14:paraId="5955D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14:paraId="2725FD3C">
            <w:pPr>
              <w:spacing w:line="360" w:lineRule="auto"/>
              <w:jc w:val="center"/>
              <w:rPr>
                <w:rFonts w:hint="eastAsia" w:ascii="宋体" w:hAnsi="宋体" w:cs="宋体"/>
                <w:color w:val="auto"/>
                <w:sz w:val="24"/>
                <w:szCs w:val="32"/>
                <w:highlight w:val="none"/>
              </w:rPr>
            </w:pPr>
          </w:p>
        </w:tc>
        <w:tc>
          <w:tcPr>
            <w:tcW w:w="3120" w:type="dxa"/>
            <w:vAlign w:val="center"/>
          </w:tcPr>
          <w:p w14:paraId="7770B133">
            <w:pPr>
              <w:spacing w:line="360" w:lineRule="auto"/>
              <w:jc w:val="center"/>
              <w:rPr>
                <w:rFonts w:hint="eastAsia" w:ascii="宋体" w:hAnsi="宋体" w:cs="宋体"/>
                <w:color w:val="auto"/>
                <w:sz w:val="24"/>
                <w:highlight w:val="none"/>
              </w:rPr>
            </w:pPr>
          </w:p>
        </w:tc>
        <w:tc>
          <w:tcPr>
            <w:tcW w:w="2985" w:type="dxa"/>
            <w:vAlign w:val="center"/>
          </w:tcPr>
          <w:p w14:paraId="394AD987">
            <w:pPr>
              <w:spacing w:line="360" w:lineRule="auto"/>
              <w:jc w:val="center"/>
              <w:rPr>
                <w:rFonts w:hint="eastAsia" w:ascii="宋体" w:hAnsi="宋体" w:cs="宋体"/>
                <w:color w:val="auto"/>
                <w:sz w:val="24"/>
                <w:highlight w:val="none"/>
              </w:rPr>
            </w:pPr>
          </w:p>
        </w:tc>
        <w:tc>
          <w:tcPr>
            <w:tcW w:w="1500" w:type="dxa"/>
            <w:vAlign w:val="center"/>
          </w:tcPr>
          <w:p w14:paraId="0787EE62">
            <w:pPr>
              <w:spacing w:line="360" w:lineRule="auto"/>
              <w:jc w:val="center"/>
              <w:rPr>
                <w:rFonts w:hint="eastAsia" w:ascii="宋体" w:hAnsi="宋体" w:cs="宋体"/>
                <w:color w:val="auto"/>
                <w:sz w:val="24"/>
                <w:highlight w:val="none"/>
              </w:rPr>
            </w:pPr>
          </w:p>
        </w:tc>
        <w:tc>
          <w:tcPr>
            <w:tcW w:w="852" w:type="dxa"/>
            <w:vAlign w:val="center"/>
          </w:tcPr>
          <w:p w14:paraId="04D0CD05">
            <w:pPr>
              <w:spacing w:line="360" w:lineRule="auto"/>
              <w:jc w:val="center"/>
              <w:rPr>
                <w:rFonts w:hint="eastAsia" w:ascii="宋体" w:hAnsi="宋体" w:cs="宋体"/>
                <w:color w:val="auto"/>
                <w:sz w:val="24"/>
                <w:highlight w:val="none"/>
              </w:rPr>
            </w:pPr>
          </w:p>
        </w:tc>
      </w:tr>
      <w:tr w14:paraId="3B364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14:paraId="4DB6292E">
            <w:pPr>
              <w:widowControl/>
              <w:spacing w:line="360" w:lineRule="auto"/>
              <w:jc w:val="center"/>
              <w:rPr>
                <w:rFonts w:hint="eastAsia" w:ascii="宋体" w:hAnsi="宋体" w:cs="宋体"/>
                <w:color w:val="auto"/>
                <w:kern w:val="0"/>
                <w:sz w:val="24"/>
                <w:highlight w:val="none"/>
              </w:rPr>
            </w:pPr>
          </w:p>
        </w:tc>
        <w:tc>
          <w:tcPr>
            <w:tcW w:w="3120" w:type="dxa"/>
            <w:vAlign w:val="center"/>
          </w:tcPr>
          <w:p w14:paraId="6056A858">
            <w:pPr>
              <w:spacing w:line="360" w:lineRule="auto"/>
              <w:jc w:val="center"/>
              <w:rPr>
                <w:rFonts w:hint="eastAsia" w:ascii="宋体" w:hAnsi="宋体" w:cs="宋体"/>
                <w:color w:val="auto"/>
                <w:sz w:val="24"/>
                <w:highlight w:val="none"/>
              </w:rPr>
            </w:pPr>
          </w:p>
        </w:tc>
        <w:tc>
          <w:tcPr>
            <w:tcW w:w="2985" w:type="dxa"/>
            <w:vAlign w:val="center"/>
          </w:tcPr>
          <w:p w14:paraId="7785219D">
            <w:pPr>
              <w:spacing w:line="360" w:lineRule="auto"/>
              <w:jc w:val="center"/>
              <w:rPr>
                <w:rFonts w:hint="eastAsia" w:ascii="宋体" w:hAnsi="宋体" w:cs="宋体"/>
                <w:color w:val="auto"/>
                <w:sz w:val="24"/>
                <w:highlight w:val="none"/>
              </w:rPr>
            </w:pPr>
          </w:p>
        </w:tc>
        <w:tc>
          <w:tcPr>
            <w:tcW w:w="1500" w:type="dxa"/>
            <w:vAlign w:val="center"/>
          </w:tcPr>
          <w:p w14:paraId="49678895">
            <w:pPr>
              <w:spacing w:line="360" w:lineRule="auto"/>
              <w:jc w:val="center"/>
              <w:rPr>
                <w:rFonts w:hint="eastAsia" w:ascii="宋体" w:hAnsi="宋体" w:cs="宋体"/>
                <w:color w:val="auto"/>
                <w:sz w:val="24"/>
                <w:highlight w:val="none"/>
              </w:rPr>
            </w:pPr>
          </w:p>
        </w:tc>
        <w:tc>
          <w:tcPr>
            <w:tcW w:w="852" w:type="dxa"/>
            <w:vAlign w:val="center"/>
          </w:tcPr>
          <w:p w14:paraId="23EFA268">
            <w:pPr>
              <w:spacing w:line="360" w:lineRule="auto"/>
              <w:jc w:val="center"/>
              <w:rPr>
                <w:rFonts w:hint="eastAsia" w:ascii="宋体" w:hAnsi="宋体" w:cs="宋体"/>
                <w:color w:val="auto"/>
                <w:sz w:val="24"/>
                <w:highlight w:val="none"/>
              </w:rPr>
            </w:pPr>
          </w:p>
        </w:tc>
      </w:tr>
      <w:tr w14:paraId="1C092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14:paraId="2C5A0E72">
            <w:pPr>
              <w:widowControl/>
              <w:spacing w:line="360" w:lineRule="auto"/>
              <w:jc w:val="center"/>
              <w:rPr>
                <w:rFonts w:hint="eastAsia" w:ascii="宋体" w:hAnsi="宋体" w:cs="宋体"/>
                <w:color w:val="auto"/>
                <w:sz w:val="24"/>
                <w:highlight w:val="none"/>
              </w:rPr>
            </w:pPr>
          </w:p>
        </w:tc>
        <w:tc>
          <w:tcPr>
            <w:tcW w:w="3120" w:type="dxa"/>
            <w:vAlign w:val="center"/>
          </w:tcPr>
          <w:p w14:paraId="15E8EB1B">
            <w:pPr>
              <w:spacing w:line="360" w:lineRule="auto"/>
              <w:jc w:val="center"/>
              <w:rPr>
                <w:rFonts w:hint="eastAsia" w:ascii="宋体" w:hAnsi="宋体" w:cs="宋体"/>
                <w:color w:val="auto"/>
                <w:sz w:val="24"/>
                <w:highlight w:val="none"/>
              </w:rPr>
            </w:pPr>
          </w:p>
        </w:tc>
        <w:tc>
          <w:tcPr>
            <w:tcW w:w="2985" w:type="dxa"/>
            <w:vAlign w:val="center"/>
          </w:tcPr>
          <w:p w14:paraId="23902D6C">
            <w:pPr>
              <w:spacing w:line="360" w:lineRule="auto"/>
              <w:jc w:val="center"/>
              <w:rPr>
                <w:rFonts w:hint="eastAsia" w:ascii="宋体" w:hAnsi="宋体" w:cs="宋体"/>
                <w:color w:val="auto"/>
                <w:sz w:val="24"/>
                <w:highlight w:val="none"/>
              </w:rPr>
            </w:pPr>
          </w:p>
        </w:tc>
        <w:tc>
          <w:tcPr>
            <w:tcW w:w="1500" w:type="dxa"/>
            <w:vAlign w:val="center"/>
          </w:tcPr>
          <w:p w14:paraId="6D2B4E11">
            <w:pPr>
              <w:spacing w:line="360" w:lineRule="auto"/>
              <w:jc w:val="center"/>
              <w:rPr>
                <w:rFonts w:hint="eastAsia" w:ascii="宋体" w:hAnsi="宋体" w:cs="宋体"/>
                <w:color w:val="auto"/>
                <w:sz w:val="24"/>
                <w:highlight w:val="none"/>
              </w:rPr>
            </w:pPr>
          </w:p>
        </w:tc>
        <w:tc>
          <w:tcPr>
            <w:tcW w:w="852" w:type="dxa"/>
            <w:vAlign w:val="center"/>
          </w:tcPr>
          <w:p w14:paraId="315EC71B">
            <w:pPr>
              <w:spacing w:line="360" w:lineRule="auto"/>
              <w:jc w:val="center"/>
              <w:rPr>
                <w:rFonts w:hint="eastAsia" w:ascii="宋体" w:hAnsi="宋体" w:cs="宋体"/>
                <w:color w:val="auto"/>
                <w:sz w:val="24"/>
                <w:highlight w:val="none"/>
              </w:rPr>
            </w:pPr>
          </w:p>
        </w:tc>
      </w:tr>
      <w:tr w14:paraId="28DF8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14:paraId="25B937B5">
            <w:pPr>
              <w:widowControl/>
              <w:spacing w:line="360" w:lineRule="auto"/>
              <w:jc w:val="center"/>
              <w:rPr>
                <w:rFonts w:hint="eastAsia" w:ascii="宋体" w:hAnsi="宋体" w:cs="宋体"/>
                <w:color w:val="auto"/>
                <w:sz w:val="24"/>
                <w:highlight w:val="none"/>
              </w:rPr>
            </w:pPr>
          </w:p>
        </w:tc>
        <w:tc>
          <w:tcPr>
            <w:tcW w:w="3120" w:type="dxa"/>
            <w:vAlign w:val="center"/>
          </w:tcPr>
          <w:p w14:paraId="4D9ACF94">
            <w:pPr>
              <w:spacing w:line="360" w:lineRule="auto"/>
              <w:jc w:val="center"/>
              <w:rPr>
                <w:rFonts w:hint="eastAsia" w:ascii="宋体" w:hAnsi="宋体" w:cs="宋体"/>
                <w:color w:val="auto"/>
                <w:sz w:val="24"/>
                <w:highlight w:val="none"/>
              </w:rPr>
            </w:pPr>
          </w:p>
        </w:tc>
        <w:tc>
          <w:tcPr>
            <w:tcW w:w="2985" w:type="dxa"/>
            <w:vAlign w:val="center"/>
          </w:tcPr>
          <w:p w14:paraId="471A3CC7">
            <w:pPr>
              <w:spacing w:line="360" w:lineRule="auto"/>
              <w:jc w:val="center"/>
              <w:rPr>
                <w:rFonts w:hint="eastAsia" w:ascii="宋体" w:hAnsi="宋体" w:cs="宋体"/>
                <w:color w:val="auto"/>
                <w:sz w:val="24"/>
                <w:highlight w:val="none"/>
              </w:rPr>
            </w:pPr>
          </w:p>
        </w:tc>
        <w:tc>
          <w:tcPr>
            <w:tcW w:w="1500" w:type="dxa"/>
            <w:vAlign w:val="center"/>
          </w:tcPr>
          <w:p w14:paraId="549A7A3B">
            <w:pPr>
              <w:spacing w:line="360" w:lineRule="auto"/>
              <w:jc w:val="center"/>
              <w:rPr>
                <w:rFonts w:hint="eastAsia" w:ascii="宋体" w:hAnsi="宋体" w:cs="宋体"/>
                <w:color w:val="auto"/>
                <w:sz w:val="24"/>
                <w:highlight w:val="none"/>
              </w:rPr>
            </w:pPr>
          </w:p>
        </w:tc>
        <w:tc>
          <w:tcPr>
            <w:tcW w:w="852" w:type="dxa"/>
            <w:vAlign w:val="center"/>
          </w:tcPr>
          <w:p w14:paraId="454FFE67">
            <w:pPr>
              <w:spacing w:line="360" w:lineRule="auto"/>
              <w:jc w:val="center"/>
              <w:rPr>
                <w:rFonts w:hint="eastAsia" w:ascii="宋体" w:hAnsi="宋体" w:cs="宋体"/>
                <w:color w:val="auto"/>
                <w:sz w:val="24"/>
                <w:highlight w:val="none"/>
              </w:rPr>
            </w:pPr>
          </w:p>
        </w:tc>
      </w:tr>
    </w:tbl>
    <w:p w14:paraId="236AE9F2">
      <w:pPr>
        <w:pStyle w:val="14"/>
        <w:tabs>
          <w:tab w:val="left" w:pos="5580"/>
        </w:tabs>
        <w:spacing w:line="240" w:lineRule="exact"/>
        <w:rPr>
          <w:rFonts w:hint="eastAsia" w:hAnsi="宋体" w:cs="宋体"/>
          <w:color w:val="auto"/>
          <w:sz w:val="24"/>
          <w:szCs w:val="24"/>
          <w:highlight w:val="none"/>
        </w:rPr>
      </w:pPr>
    </w:p>
    <w:p w14:paraId="579D9EC9">
      <w:pPr>
        <w:spacing w:line="360" w:lineRule="auto"/>
        <w:ind w:firstLine="420" w:firstLineChars="175"/>
        <w:rPr>
          <w:color w:val="auto"/>
          <w:sz w:val="24"/>
          <w:highlight w:val="none"/>
        </w:rPr>
      </w:pPr>
      <w:r>
        <w:rPr>
          <w:rFonts w:hint="eastAsia"/>
          <w:color w:val="auto"/>
          <w:sz w:val="24"/>
          <w:highlight w:val="none"/>
        </w:rPr>
        <w:t>注：（1）投标人应对照第二章《项目采购需求》 中所列商务要求逐条对应填报，并在“是否响应”栏注明“是”或“否”。</w:t>
      </w:r>
    </w:p>
    <w:p w14:paraId="54E175DC">
      <w:pPr>
        <w:spacing w:line="360" w:lineRule="auto"/>
        <w:ind w:firstLine="420" w:firstLineChars="175"/>
        <w:rPr>
          <w:color w:val="auto"/>
          <w:sz w:val="24"/>
          <w:highlight w:val="none"/>
        </w:rPr>
      </w:pPr>
      <w:r>
        <w:rPr>
          <w:rFonts w:hint="eastAsia"/>
          <w:color w:val="auto"/>
          <w:sz w:val="24"/>
          <w:highlight w:val="none"/>
        </w:rPr>
        <w:t>（2）商务需求投标与招标文件要求相同的为无偏离，优于招标文件要求的为正偏离，低于招标文件要求的为负偏离，负偏离为不响应，商务需求不响应的投标无效。并在“偏离说明”栏注明“无偏离”或“正偏离”或“负偏离”</w:t>
      </w:r>
    </w:p>
    <w:p w14:paraId="687367E3">
      <w:pPr>
        <w:pStyle w:val="13"/>
        <w:ind w:firstLine="357" w:firstLineChars="150"/>
        <w:rPr>
          <w:rFonts w:hint="eastAsia" w:ascii="宋体" w:hAnsi="宋体" w:eastAsia="宋体" w:cs="宋体"/>
          <w:color w:val="auto"/>
          <w:highlight w:val="none"/>
        </w:rPr>
      </w:pPr>
      <w:r>
        <w:rPr>
          <w:rFonts w:hint="eastAsia" w:ascii="宋体" w:hAnsi="宋体" w:eastAsia="宋体" w:cs="宋体"/>
          <w:color w:val="auto"/>
          <w:spacing w:val="-1"/>
          <w:szCs w:val="21"/>
          <w:highlight w:val="none"/>
        </w:rPr>
        <w:t>。</w:t>
      </w:r>
    </w:p>
    <w:p w14:paraId="2E65700B">
      <w:pPr>
        <w:pStyle w:val="14"/>
        <w:ind w:firstLine="3255" w:firstLineChars="1550"/>
        <w:rPr>
          <w:rFonts w:hint="eastAsia" w:hAnsi="宋体" w:cs="宋体"/>
          <w:color w:val="auto"/>
          <w:sz w:val="21"/>
          <w:highlight w:val="none"/>
        </w:rPr>
      </w:pPr>
    </w:p>
    <w:p w14:paraId="04882426">
      <w:pPr>
        <w:pStyle w:val="14"/>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5DF8A9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BD492F5">
      <w:pPr>
        <w:snapToGrid w:val="0"/>
        <w:spacing w:before="50" w:after="156" w:afterLines="50"/>
        <w:rPr>
          <w:rFonts w:hint="eastAsia" w:ascii="宋体" w:hAnsi="宋体" w:cs="宋体"/>
          <w:b/>
          <w:bCs/>
          <w:color w:val="auto"/>
          <w:highlight w:val="none"/>
        </w:rPr>
      </w:pPr>
    </w:p>
    <w:p w14:paraId="45167B39">
      <w:pPr>
        <w:pStyle w:val="13"/>
        <w:rPr>
          <w:rFonts w:hint="eastAsia" w:ascii="宋体" w:hAnsi="宋体" w:eastAsia="宋体" w:cs="宋体"/>
          <w:color w:val="auto"/>
          <w:highlight w:val="none"/>
        </w:rPr>
      </w:pPr>
    </w:p>
    <w:p w14:paraId="0A8218B8">
      <w:pPr>
        <w:snapToGrid w:val="0"/>
        <w:spacing w:before="50" w:after="156" w:afterLines="50"/>
        <w:rPr>
          <w:rFonts w:hint="eastAsia" w:ascii="宋体" w:hAnsi="宋体" w:cs="宋体"/>
          <w:b/>
          <w:color w:val="auto"/>
          <w:szCs w:val="21"/>
          <w:highlight w:val="none"/>
        </w:rPr>
      </w:pPr>
    </w:p>
    <w:p w14:paraId="3BFB0A9C">
      <w:pPr>
        <w:snapToGrid w:val="0"/>
        <w:spacing w:before="50" w:after="156" w:afterLines="50"/>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（5）售后服务方案承诺格式：</w:t>
      </w:r>
    </w:p>
    <w:p w14:paraId="28D2CC41">
      <w:pPr>
        <w:pStyle w:val="14"/>
        <w:spacing w:line="400" w:lineRule="exact"/>
        <w:jc w:val="center"/>
        <w:rPr>
          <w:rFonts w:hint="eastAsia" w:hAnsi="宋体" w:cs="宋体"/>
          <w:b/>
          <w:color w:val="auto"/>
          <w:sz w:val="32"/>
          <w:szCs w:val="32"/>
          <w:highlight w:val="none"/>
        </w:rPr>
      </w:pPr>
    </w:p>
    <w:p w14:paraId="39F29B53">
      <w:pPr>
        <w:pStyle w:val="14"/>
        <w:spacing w:line="400" w:lineRule="exact"/>
        <w:jc w:val="center"/>
        <w:rPr>
          <w:rFonts w:hint="eastAsia" w:hAnsi="宋体" w:cs="宋体"/>
          <w:b/>
          <w:bCs/>
          <w:color w:val="auto"/>
          <w:sz w:val="32"/>
          <w:szCs w:val="32"/>
          <w:highlight w:val="none"/>
        </w:rPr>
      </w:pPr>
      <w:r>
        <w:rPr>
          <w:rFonts w:hint="eastAsia" w:hAnsi="宋体" w:cs="宋体"/>
          <w:b/>
          <w:bCs/>
          <w:color w:val="auto"/>
          <w:sz w:val="32"/>
          <w:szCs w:val="32"/>
          <w:highlight w:val="none"/>
        </w:rPr>
        <w:t>售后服务方案承诺</w:t>
      </w:r>
    </w:p>
    <w:p w14:paraId="2B3DA475">
      <w:pPr>
        <w:rPr>
          <w:rFonts w:hint="eastAsia" w:ascii="宋体" w:hAnsi="宋体" w:cs="宋体"/>
          <w:color w:val="auto"/>
          <w:sz w:val="24"/>
          <w:highlight w:val="none"/>
        </w:rPr>
      </w:pPr>
    </w:p>
    <w:p w14:paraId="76DAE628">
      <w:pPr>
        <w:rPr>
          <w:color w:val="auto"/>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6BC7B93">
      <w:pPr>
        <w:rPr>
          <w:color w:val="auto"/>
          <w:highlight w:val="none"/>
        </w:rPr>
      </w:pPr>
    </w:p>
    <w:p w14:paraId="47DD97BC">
      <w:pPr>
        <w:pStyle w:val="14"/>
        <w:spacing w:line="440" w:lineRule="exact"/>
        <w:ind w:firstLine="480" w:firstLineChars="200"/>
        <w:rPr>
          <w:rFonts w:hint="eastAsia" w:hAnsi="宋体" w:cs="宋体"/>
          <w:color w:val="auto"/>
          <w:sz w:val="24"/>
          <w:szCs w:val="24"/>
          <w:highlight w:val="none"/>
        </w:rPr>
      </w:pPr>
    </w:p>
    <w:p w14:paraId="1B12DF44">
      <w:pPr>
        <w:pStyle w:val="14"/>
        <w:spacing w:line="440" w:lineRule="exact"/>
        <w:rPr>
          <w:rFonts w:hint="eastAsia" w:hAnsi="宋体" w:cs="宋体"/>
          <w:color w:val="auto"/>
          <w:sz w:val="24"/>
          <w:szCs w:val="24"/>
          <w:highlight w:val="none"/>
        </w:rPr>
      </w:pPr>
      <w:r>
        <w:rPr>
          <w:rFonts w:hint="eastAsia" w:hAnsi="宋体" w:cs="宋体"/>
          <w:color w:val="auto"/>
          <w:sz w:val="24"/>
          <w:szCs w:val="24"/>
          <w:highlight w:val="none"/>
        </w:rPr>
        <w:t>由投标人按第二章《招标项目采购需求》要求自行填写，必须真实、诚信。</w:t>
      </w:r>
    </w:p>
    <w:p w14:paraId="3E0BF09F">
      <w:pPr>
        <w:pStyle w:val="14"/>
        <w:rPr>
          <w:rFonts w:hint="eastAsia" w:hAnsi="宋体" w:cs="宋体"/>
          <w:color w:val="auto"/>
          <w:highlight w:val="none"/>
        </w:rPr>
      </w:pPr>
    </w:p>
    <w:p w14:paraId="6B1AD116">
      <w:pPr>
        <w:pStyle w:val="14"/>
        <w:rPr>
          <w:rFonts w:hint="eastAsia" w:hAnsi="宋体" w:cs="宋体"/>
          <w:color w:val="auto"/>
          <w:highlight w:val="none"/>
        </w:rPr>
      </w:pPr>
    </w:p>
    <w:p w14:paraId="7ED42436">
      <w:pPr>
        <w:pStyle w:val="14"/>
        <w:rPr>
          <w:rFonts w:hint="eastAsia" w:hAnsi="宋体" w:cs="宋体"/>
          <w:color w:val="auto"/>
          <w:sz w:val="21"/>
          <w:highlight w:val="none"/>
        </w:rPr>
      </w:pPr>
    </w:p>
    <w:p w14:paraId="2B7E2920">
      <w:pPr>
        <w:pStyle w:val="14"/>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21FC6DB2">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C08FA90">
      <w:pPr>
        <w:snapToGrid w:val="0"/>
        <w:spacing w:before="50"/>
        <w:jc w:val="left"/>
        <w:rPr>
          <w:rFonts w:hint="eastAsia" w:ascii="宋体" w:hAnsi="宋体" w:cs="宋体"/>
          <w:b/>
          <w:color w:val="auto"/>
          <w:szCs w:val="21"/>
          <w:highlight w:val="none"/>
        </w:rPr>
      </w:pPr>
    </w:p>
    <w:p w14:paraId="2F81494B">
      <w:pPr>
        <w:pStyle w:val="13"/>
        <w:rPr>
          <w:rFonts w:hint="eastAsia" w:ascii="宋体" w:hAnsi="宋体" w:eastAsia="宋体" w:cs="宋体"/>
          <w:color w:val="auto"/>
          <w:highlight w:val="none"/>
        </w:rPr>
      </w:pPr>
    </w:p>
    <w:p w14:paraId="0DE59A24">
      <w:pPr>
        <w:snapToGrid w:val="0"/>
        <w:spacing w:before="50"/>
        <w:jc w:val="left"/>
        <w:rPr>
          <w:rFonts w:hint="eastAsia" w:ascii="宋体" w:hAnsi="宋体" w:cs="宋体"/>
          <w:b/>
          <w:color w:val="auto"/>
          <w:szCs w:val="21"/>
          <w:highlight w:val="none"/>
        </w:rPr>
      </w:pPr>
    </w:p>
    <w:p w14:paraId="3C570D07">
      <w:pPr>
        <w:pStyle w:val="13"/>
        <w:rPr>
          <w:rFonts w:hint="eastAsia" w:ascii="宋体" w:hAnsi="宋体" w:eastAsia="宋体" w:cs="宋体"/>
          <w:color w:val="auto"/>
          <w:highlight w:val="none"/>
        </w:rPr>
      </w:pPr>
    </w:p>
    <w:p w14:paraId="729B96FD">
      <w:pPr>
        <w:snapToGrid w:val="0"/>
        <w:spacing w:before="50"/>
        <w:jc w:val="left"/>
        <w:rPr>
          <w:rFonts w:hint="eastAsia" w:ascii="宋体" w:hAnsi="宋体" w:cs="宋体"/>
          <w:b/>
          <w:color w:val="auto"/>
          <w:szCs w:val="21"/>
          <w:highlight w:val="none"/>
        </w:rPr>
      </w:pPr>
    </w:p>
    <w:p w14:paraId="55FC52C2">
      <w:pPr>
        <w:snapToGrid w:val="0"/>
        <w:spacing w:before="50"/>
        <w:jc w:val="lef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3.1.2资信文件</w:t>
      </w:r>
    </w:p>
    <w:p w14:paraId="4BFFB737">
      <w:pPr>
        <w:rPr>
          <w:rFonts w:hint="eastAsia" w:ascii="宋体" w:hAnsi="宋体" w:cs="宋体"/>
          <w:color w:val="auto"/>
          <w:kern w:val="0"/>
          <w:szCs w:val="21"/>
          <w:highlight w:val="none"/>
          <w:lang w:val="zh-CN"/>
        </w:rPr>
      </w:pPr>
    </w:p>
    <w:p w14:paraId="2C24918C">
      <w:pPr>
        <w:snapToGrid w:val="0"/>
        <w:spacing w:before="50" w:after="156" w:afterLines="50"/>
        <w:jc w:val="left"/>
        <w:rPr>
          <w:rFonts w:hint="eastAsia" w:ascii="宋体" w:hAnsi="宋体" w:cs="宋体"/>
          <w:b/>
          <w:color w:val="auto"/>
          <w:szCs w:val="21"/>
          <w:highlight w:val="none"/>
        </w:rPr>
      </w:pPr>
      <w:r>
        <w:rPr>
          <w:rFonts w:hint="eastAsia" w:ascii="宋体" w:hAnsi="宋体" w:cs="宋体"/>
          <w:b/>
          <w:color w:val="auto"/>
          <w:sz w:val="24"/>
          <w:highlight w:val="none"/>
        </w:rPr>
        <w:t>（1）投标人的类似成功案例的业绩证明文件（如有）：</w:t>
      </w:r>
    </w:p>
    <w:p w14:paraId="11F0762A">
      <w:pPr>
        <w:pStyle w:val="19"/>
        <w:snapToGrid w:val="0"/>
        <w:ind w:left="643" w:hanging="643"/>
        <w:jc w:val="center"/>
        <w:rPr>
          <w:rFonts w:hint="eastAsia" w:ascii="宋体" w:hAnsi="宋体" w:cs="宋体"/>
          <w:b/>
          <w:bCs/>
          <w:color w:val="auto"/>
          <w:sz w:val="32"/>
          <w:szCs w:val="32"/>
          <w:highlight w:val="none"/>
        </w:rPr>
      </w:pPr>
    </w:p>
    <w:p w14:paraId="50F1D59D">
      <w:pPr>
        <w:pStyle w:val="19"/>
        <w:snapToGrid w:val="0"/>
        <w:ind w:left="643" w:hanging="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投标人同类项目实施情况一览表</w:t>
      </w:r>
    </w:p>
    <w:p w14:paraId="689CD641">
      <w:pPr>
        <w:rPr>
          <w:color w:val="auto"/>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3D45CDE">
      <w:pPr>
        <w:rPr>
          <w:rFonts w:hint="eastAsia" w:ascii="宋体" w:hAnsi="宋体" w:cs="宋体"/>
          <w:color w:val="auto"/>
          <w:kern w:val="0"/>
          <w:szCs w:val="21"/>
          <w:highlight w:val="none"/>
          <w:lang w:val="zh-CN"/>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085"/>
        <w:gridCol w:w="836"/>
        <w:gridCol w:w="1077"/>
        <w:gridCol w:w="1616"/>
        <w:gridCol w:w="2115"/>
      </w:tblGrid>
      <w:tr w14:paraId="0BEF4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88" w:type="dxa"/>
            <w:tcBorders>
              <w:top w:val="single" w:color="auto" w:sz="12" w:space="0"/>
            </w:tcBorders>
            <w:vAlign w:val="center"/>
          </w:tcPr>
          <w:p w14:paraId="64FBA80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采购单位名称</w:t>
            </w:r>
          </w:p>
        </w:tc>
        <w:tc>
          <w:tcPr>
            <w:tcW w:w="2085" w:type="dxa"/>
            <w:tcBorders>
              <w:top w:val="single" w:color="auto" w:sz="12" w:space="0"/>
            </w:tcBorders>
            <w:vAlign w:val="center"/>
          </w:tcPr>
          <w:p w14:paraId="25693C2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设备或项目名称</w:t>
            </w:r>
          </w:p>
        </w:tc>
        <w:tc>
          <w:tcPr>
            <w:tcW w:w="836" w:type="dxa"/>
            <w:tcBorders>
              <w:top w:val="single" w:color="auto" w:sz="12" w:space="0"/>
            </w:tcBorders>
            <w:vAlign w:val="center"/>
          </w:tcPr>
          <w:p w14:paraId="51348AF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采购数量</w:t>
            </w:r>
          </w:p>
        </w:tc>
        <w:tc>
          <w:tcPr>
            <w:tcW w:w="1077" w:type="dxa"/>
            <w:tcBorders>
              <w:top w:val="single" w:color="auto" w:sz="12" w:space="0"/>
            </w:tcBorders>
            <w:vAlign w:val="center"/>
          </w:tcPr>
          <w:p w14:paraId="67C307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616" w:type="dxa"/>
            <w:tcBorders>
              <w:top w:val="single" w:color="auto" w:sz="12" w:space="0"/>
            </w:tcBorders>
            <w:vAlign w:val="center"/>
          </w:tcPr>
          <w:p w14:paraId="401421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5F47EFD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2115" w:type="dxa"/>
            <w:tcBorders>
              <w:top w:val="single" w:color="auto" w:sz="12" w:space="0"/>
            </w:tcBorders>
            <w:vAlign w:val="center"/>
          </w:tcPr>
          <w:p w14:paraId="65C9DB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采购单位联系人及联系电话</w:t>
            </w:r>
          </w:p>
        </w:tc>
      </w:tr>
      <w:tr w14:paraId="1E653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vAlign w:val="center"/>
          </w:tcPr>
          <w:p w14:paraId="74850161">
            <w:pPr>
              <w:spacing w:line="360" w:lineRule="auto"/>
              <w:ind w:firstLine="482" w:firstLineChars="200"/>
              <w:rPr>
                <w:rFonts w:hint="eastAsia" w:ascii="宋体" w:hAnsi="宋体" w:cs="宋体"/>
                <w:b/>
                <w:bCs/>
                <w:color w:val="auto"/>
                <w:sz w:val="24"/>
                <w:highlight w:val="none"/>
              </w:rPr>
            </w:pPr>
          </w:p>
        </w:tc>
        <w:tc>
          <w:tcPr>
            <w:tcW w:w="2085" w:type="dxa"/>
          </w:tcPr>
          <w:p w14:paraId="2D92DF06">
            <w:pPr>
              <w:spacing w:line="360" w:lineRule="auto"/>
              <w:rPr>
                <w:rFonts w:hint="eastAsia" w:ascii="宋体" w:hAnsi="宋体" w:cs="宋体"/>
                <w:color w:val="auto"/>
                <w:sz w:val="24"/>
                <w:highlight w:val="none"/>
              </w:rPr>
            </w:pPr>
          </w:p>
        </w:tc>
        <w:tc>
          <w:tcPr>
            <w:tcW w:w="836" w:type="dxa"/>
          </w:tcPr>
          <w:p w14:paraId="7682BB86">
            <w:pPr>
              <w:spacing w:line="360" w:lineRule="auto"/>
              <w:rPr>
                <w:rFonts w:hint="eastAsia" w:ascii="宋体" w:hAnsi="宋体" w:cs="宋体"/>
                <w:color w:val="auto"/>
                <w:sz w:val="24"/>
                <w:highlight w:val="none"/>
              </w:rPr>
            </w:pPr>
          </w:p>
        </w:tc>
        <w:tc>
          <w:tcPr>
            <w:tcW w:w="1077" w:type="dxa"/>
          </w:tcPr>
          <w:p w14:paraId="1060F56D">
            <w:pPr>
              <w:spacing w:line="360" w:lineRule="auto"/>
              <w:rPr>
                <w:rFonts w:hint="eastAsia" w:ascii="宋体" w:hAnsi="宋体" w:cs="宋体"/>
                <w:color w:val="auto"/>
                <w:sz w:val="24"/>
                <w:highlight w:val="none"/>
              </w:rPr>
            </w:pPr>
          </w:p>
        </w:tc>
        <w:tc>
          <w:tcPr>
            <w:tcW w:w="1616" w:type="dxa"/>
          </w:tcPr>
          <w:p w14:paraId="72B3FFE1">
            <w:pPr>
              <w:spacing w:line="360" w:lineRule="auto"/>
              <w:rPr>
                <w:rFonts w:hint="eastAsia" w:ascii="宋体" w:hAnsi="宋体" w:cs="宋体"/>
                <w:color w:val="auto"/>
                <w:sz w:val="24"/>
                <w:highlight w:val="none"/>
              </w:rPr>
            </w:pPr>
          </w:p>
        </w:tc>
        <w:tc>
          <w:tcPr>
            <w:tcW w:w="2115" w:type="dxa"/>
          </w:tcPr>
          <w:p w14:paraId="7E6C5E29">
            <w:pPr>
              <w:spacing w:line="360" w:lineRule="auto"/>
              <w:rPr>
                <w:rFonts w:hint="eastAsia" w:ascii="宋体" w:hAnsi="宋体" w:cs="宋体"/>
                <w:color w:val="auto"/>
                <w:sz w:val="24"/>
                <w:highlight w:val="none"/>
              </w:rPr>
            </w:pPr>
          </w:p>
        </w:tc>
      </w:tr>
      <w:tr w14:paraId="52830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vAlign w:val="center"/>
          </w:tcPr>
          <w:p w14:paraId="2CB46A36">
            <w:pPr>
              <w:spacing w:line="360" w:lineRule="auto"/>
              <w:ind w:firstLine="482" w:firstLineChars="200"/>
              <w:rPr>
                <w:rFonts w:hint="eastAsia" w:ascii="宋体" w:hAnsi="宋体" w:cs="宋体"/>
                <w:b/>
                <w:bCs/>
                <w:color w:val="auto"/>
                <w:sz w:val="24"/>
                <w:highlight w:val="none"/>
              </w:rPr>
            </w:pPr>
          </w:p>
        </w:tc>
        <w:tc>
          <w:tcPr>
            <w:tcW w:w="2085" w:type="dxa"/>
          </w:tcPr>
          <w:p w14:paraId="205B76AE">
            <w:pPr>
              <w:spacing w:line="360" w:lineRule="auto"/>
              <w:rPr>
                <w:rFonts w:hint="eastAsia" w:ascii="宋体" w:hAnsi="宋体" w:cs="宋体"/>
                <w:color w:val="auto"/>
                <w:sz w:val="24"/>
                <w:highlight w:val="none"/>
              </w:rPr>
            </w:pPr>
          </w:p>
        </w:tc>
        <w:tc>
          <w:tcPr>
            <w:tcW w:w="836" w:type="dxa"/>
          </w:tcPr>
          <w:p w14:paraId="6FE4BB9D">
            <w:pPr>
              <w:spacing w:line="360" w:lineRule="auto"/>
              <w:rPr>
                <w:rFonts w:hint="eastAsia" w:ascii="宋体" w:hAnsi="宋体" w:cs="宋体"/>
                <w:color w:val="auto"/>
                <w:sz w:val="24"/>
                <w:highlight w:val="none"/>
              </w:rPr>
            </w:pPr>
          </w:p>
        </w:tc>
        <w:tc>
          <w:tcPr>
            <w:tcW w:w="1077" w:type="dxa"/>
          </w:tcPr>
          <w:p w14:paraId="34FE5E09">
            <w:pPr>
              <w:spacing w:line="360" w:lineRule="auto"/>
              <w:rPr>
                <w:rFonts w:hint="eastAsia" w:ascii="宋体" w:hAnsi="宋体" w:cs="宋体"/>
                <w:color w:val="auto"/>
                <w:sz w:val="24"/>
                <w:highlight w:val="none"/>
              </w:rPr>
            </w:pPr>
          </w:p>
        </w:tc>
        <w:tc>
          <w:tcPr>
            <w:tcW w:w="1616" w:type="dxa"/>
          </w:tcPr>
          <w:p w14:paraId="1D6A5D9B">
            <w:pPr>
              <w:spacing w:line="360" w:lineRule="auto"/>
              <w:rPr>
                <w:rFonts w:hint="eastAsia" w:ascii="宋体" w:hAnsi="宋体" w:cs="宋体"/>
                <w:color w:val="auto"/>
                <w:sz w:val="24"/>
                <w:highlight w:val="none"/>
              </w:rPr>
            </w:pPr>
          </w:p>
        </w:tc>
        <w:tc>
          <w:tcPr>
            <w:tcW w:w="2115" w:type="dxa"/>
          </w:tcPr>
          <w:p w14:paraId="1495D116">
            <w:pPr>
              <w:spacing w:line="360" w:lineRule="auto"/>
              <w:rPr>
                <w:rFonts w:hint="eastAsia" w:ascii="宋体" w:hAnsi="宋体" w:cs="宋体"/>
                <w:color w:val="auto"/>
                <w:sz w:val="24"/>
                <w:highlight w:val="none"/>
              </w:rPr>
            </w:pPr>
          </w:p>
        </w:tc>
      </w:tr>
      <w:tr w14:paraId="7CAC6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vAlign w:val="center"/>
          </w:tcPr>
          <w:p w14:paraId="06D5A551">
            <w:pPr>
              <w:spacing w:line="360" w:lineRule="auto"/>
              <w:ind w:firstLine="482" w:firstLineChars="200"/>
              <w:rPr>
                <w:rFonts w:hint="eastAsia" w:ascii="宋体" w:hAnsi="宋体" w:cs="宋体"/>
                <w:b/>
                <w:bCs/>
                <w:color w:val="auto"/>
                <w:sz w:val="24"/>
                <w:highlight w:val="none"/>
              </w:rPr>
            </w:pPr>
          </w:p>
        </w:tc>
        <w:tc>
          <w:tcPr>
            <w:tcW w:w="2085" w:type="dxa"/>
          </w:tcPr>
          <w:p w14:paraId="4D33CCB2">
            <w:pPr>
              <w:spacing w:line="360" w:lineRule="auto"/>
              <w:rPr>
                <w:rFonts w:hint="eastAsia" w:ascii="宋体" w:hAnsi="宋体" w:cs="宋体"/>
                <w:color w:val="auto"/>
                <w:sz w:val="24"/>
                <w:highlight w:val="none"/>
              </w:rPr>
            </w:pPr>
          </w:p>
        </w:tc>
        <w:tc>
          <w:tcPr>
            <w:tcW w:w="836" w:type="dxa"/>
          </w:tcPr>
          <w:p w14:paraId="5740B250">
            <w:pPr>
              <w:spacing w:line="360" w:lineRule="auto"/>
              <w:rPr>
                <w:rFonts w:hint="eastAsia" w:ascii="宋体" w:hAnsi="宋体" w:cs="宋体"/>
                <w:color w:val="auto"/>
                <w:sz w:val="24"/>
                <w:highlight w:val="none"/>
              </w:rPr>
            </w:pPr>
          </w:p>
        </w:tc>
        <w:tc>
          <w:tcPr>
            <w:tcW w:w="1077" w:type="dxa"/>
          </w:tcPr>
          <w:p w14:paraId="6805853F">
            <w:pPr>
              <w:spacing w:line="360" w:lineRule="auto"/>
              <w:rPr>
                <w:rFonts w:hint="eastAsia" w:ascii="宋体" w:hAnsi="宋体" w:cs="宋体"/>
                <w:color w:val="auto"/>
                <w:sz w:val="24"/>
                <w:highlight w:val="none"/>
              </w:rPr>
            </w:pPr>
          </w:p>
        </w:tc>
        <w:tc>
          <w:tcPr>
            <w:tcW w:w="1616" w:type="dxa"/>
          </w:tcPr>
          <w:p w14:paraId="36D5A817">
            <w:pPr>
              <w:spacing w:line="360" w:lineRule="auto"/>
              <w:rPr>
                <w:rFonts w:hint="eastAsia" w:ascii="宋体" w:hAnsi="宋体" w:cs="宋体"/>
                <w:color w:val="auto"/>
                <w:sz w:val="24"/>
                <w:highlight w:val="none"/>
              </w:rPr>
            </w:pPr>
          </w:p>
        </w:tc>
        <w:tc>
          <w:tcPr>
            <w:tcW w:w="2115" w:type="dxa"/>
          </w:tcPr>
          <w:p w14:paraId="3D9E4AE7">
            <w:pPr>
              <w:spacing w:line="360" w:lineRule="auto"/>
              <w:rPr>
                <w:rFonts w:hint="eastAsia" w:ascii="宋体" w:hAnsi="宋体" w:cs="宋体"/>
                <w:color w:val="auto"/>
                <w:sz w:val="24"/>
                <w:highlight w:val="none"/>
              </w:rPr>
            </w:pPr>
          </w:p>
        </w:tc>
      </w:tr>
      <w:tr w14:paraId="1B149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vAlign w:val="center"/>
          </w:tcPr>
          <w:p w14:paraId="7C8047B0">
            <w:pPr>
              <w:spacing w:line="360" w:lineRule="auto"/>
              <w:ind w:firstLine="482" w:firstLineChars="200"/>
              <w:rPr>
                <w:rFonts w:hint="eastAsia" w:ascii="宋体" w:hAnsi="宋体" w:cs="宋体"/>
                <w:b/>
                <w:bCs/>
                <w:color w:val="auto"/>
                <w:sz w:val="24"/>
                <w:highlight w:val="none"/>
              </w:rPr>
            </w:pPr>
          </w:p>
        </w:tc>
        <w:tc>
          <w:tcPr>
            <w:tcW w:w="2085" w:type="dxa"/>
          </w:tcPr>
          <w:p w14:paraId="604B1782">
            <w:pPr>
              <w:spacing w:line="360" w:lineRule="auto"/>
              <w:rPr>
                <w:rFonts w:hint="eastAsia" w:ascii="宋体" w:hAnsi="宋体" w:cs="宋体"/>
                <w:color w:val="auto"/>
                <w:sz w:val="24"/>
                <w:highlight w:val="none"/>
              </w:rPr>
            </w:pPr>
          </w:p>
        </w:tc>
        <w:tc>
          <w:tcPr>
            <w:tcW w:w="836" w:type="dxa"/>
          </w:tcPr>
          <w:p w14:paraId="3BD1B7B5">
            <w:pPr>
              <w:spacing w:line="360" w:lineRule="auto"/>
              <w:rPr>
                <w:rFonts w:hint="eastAsia" w:ascii="宋体" w:hAnsi="宋体" w:cs="宋体"/>
                <w:color w:val="auto"/>
                <w:sz w:val="24"/>
                <w:highlight w:val="none"/>
              </w:rPr>
            </w:pPr>
          </w:p>
        </w:tc>
        <w:tc>
          <w:tcPr>
            <w:tcW w:w="1077" w:type="dxa"/>
          </w:tcPr>
          <w:p w14:paraId="778180A7">
            <w:pPr>
              <w:spacing w:line="360" w:lineRule="auto"/>
              <w:rPr>
                <w:rFonts w:hint="eastAsia" w:ascii="宋体" w:hAnsi="宋体" w:cs="宋体"/>
                <w:color w:val="auto"/>
                <w:sz w:val="24"/>
                <w:highlight w:val="none"/>
              </w:rPr>
            </w:pPr>
          </w:p>
        </w:tc>
        <w:tc>
          <w:tcPr>
            <w:tcW w:w="1616" w:type="dxa"/>
          </w:tcPr>
          <w:p w14:paraId="3E318812">
            <w:pPr>
              <w:spacing w:line="360" w:lineRule="auto"/>
              <w:rPr>
                <w:rFonts w:hint="eastAsia" w:ascii="宋体" w:hAnsi="宋体" w:cs="宋体"/>
                <w:color w:val="auto"/>
                <w:sz w:val="24"/>
                <w:highlight w:val="none"/>
              </w:rPr>
            </w:pPr>
          </w:p>
        </w:tc>
        <w:tc>
          <w:tcPr>
            <w:tcW w:w="2115" w:type="dxa"/>
          </w:tcPr>
          <w:p w14:paraId="0D3DE8B1">
            <w:pPr>
              <w:spacing w:line="360" w:lineRule="auto"/>
              <w:rPr>
                <w:rFonts w:hint="eastAsia" w:ascii="宋体" w:hAnsi="宋体" w:cs="宋体"/>
                <w:color w:val="auto"/>
                <w:sz w:val="24"/>
                <w:highlight w:val="none"/>
              </w:rPr>
            </w:pPr>
          </w:p>
        </w:tc>
      </w:tr>
      <w:tr w14:paraId="679C9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vAlign w:val="center"/>
          </w:tcPr>
          <w:p w14:paraId="7F5B8316">
            <w:pPr>
              <w:spacing w:line="360" w:lineRule="auto"/>
              <w:ind w:firstLine="482" w:firstLineChars="200"/>
              <w:rPr>
                <w:rFonts w:hint="eastAsia" w:ascii="宋体" w:hAnsi="宋体" w:cs="宋体"/>
                <w:b/>
                <w:bCs/>
                <w:color w:val="auto"/>
                <w:sz w:val="24"/>
                <w:highlight w:val="none"/>
              </w:rPr>
            </w:pPr>
          </w:p>
        </w:tc>
        <w:tc>
          <w:tcPr>
            <w:tcW w:w="2085" w:type="dxa"/>
          </w:tcPr>
          <w:p w14:paraId="74C0E9DC">
            <w:pPr>
              <w:spacing w:line="360" w:lineRule="auto"/>
              <w:rPr>
                <w:rFonts w:hint="eastAsia" w:ascii="宋体" w:hAnsi="宋体" w:cs="宋体"/>
                <w:color w:val="auto"/>
                <w:sz w:val="24"/>
                <w:highlight w:val="none"/>
              </w:rPr>
            </w:pPr>
          </w:p>
        </w:tc>
        <w:tc>
          <w:tcPr>
            <w:tcW w:w="836" w:type="dxa"/>
          </w:tcPr>
          <w:p w14:paraId="27D89B54">
            <w:pPr>
              <w:spacing w:line="360" w:lineRule="auto"/>
              <w:rPr>
                <w:rFonts w:hint="eastAsia" w:ascii="宋体" w:hAnsi="宋体" w:cs="宋体"/>
                <w:color w:val="auto"/>
                <w:sz w:val="24"/>
                <w:highlight w:val="none"/>
              </w:rPr>
            </w:pPr>
          </w:p>
        </w:tc>
        <w:tc>
          <w:tcPr>
            <w:tcW w:w="1077" w:type="dxa"/>
          </w:tcPr>
          <w:p w14:paraId="3BCBA97A">
            <w:pPr>
              <w:spacing w:line="360" w:lineRule="auto"/>
              <w:rPr>
                <w:rFonts w:hint="eastAsia" w:ascii="宋体" w:hAnsi="宋体" w:cs="宋体"/>
                <w:color w:val="auto"/>
                <w:sz w:val="24"/>
                <w:highlight w:val="none"/>
              </w:rPr>
            </w:pPr>
          </w:p>
        </w:tc>
        <w:tc>
          <w:tcPr>
            <w:tcW w:w="1616" w:type="dxa"/>
          </w:tcPr>
          <w:p w14:paraId="0F317D7F">
            <w:pPr>
              <w:spacing w:line="360" w:lineRule="auto"/>
              <w:rPr>
                <w:rFonts w:hint="eastAsia" w:ascii="宋体" w:hAnsi="宋体" w:cs="宋体"/>
                <w:color w:val="auto"/>
                <w:sz w:val="24"/>
                <w:highlight w:val="none"/>
              </w:rPr>
            </w:pPr>
          </w:p>
        </w:tc>
        <w:tc>
          <w:tcPr>
            <w:tcW w:w="2115" w:type="dxa"/>
          </w:tcPr>
          <w:p w14:paraId="78A8323F">
            <w:pPr>
              <w:spacing w:line="360" w:lineRule="auto"/>
              <w:rPr>
                <w:rFonts w:hint="eastAsia" w:ascii="宋体" w:hAnsi="宋体" w:cs="宋体"/>
                <w:color w:val="auto"/>
                <w:sz w:val="24"/>
                <w:highlight w:val="none"/>
              </w:rPr>
            </w:pPr>
          </w:p>
        </w:tc>
      </w:tr>
      <w:tr w14:paraId="4EDCA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vAlign w:val="center"/>
          </w:tcPr>
          <w:p w14:paraId="7D137D3E">
            <w:pPr>
              <w:spacing w:line="360" w:lineRule="auto"/>
              <w:ind w:firstLine="482" w:firstLineChars="200"/>
              <w:rPr>
                <w:rFonts w:hint="eastAsia" w:ascii="宋体" w:hAnsi="宋体" w:cs="宋体"/>
                <w:b/>
                <w:bCs/>
                <w:color w:val="auto"/>
                <w:sz w:val="24"/>
                <w:highlight w:val="none"/>
              </w:rPr>
            </w:pPr>
          </w:p>
        </w:tc>
        <w:tc>
          <w:tcPr>
            <w:tcW w:w="2085" w:type="dxa"/>
          </w:tcPr>
          <w:p w14:paraId="6FB89F91">
            <w:pPr>
              <w:spacing w:line="360" w:lineRule="auto"/>
              <w:rPr>
                <w:rFonts w:hint="eastAsia" w:ascii="宋体" w:hAnsi="宋体" w:cs="宋体"/>
                <w:color w:val="auto"/>
                <w:sz w:val="24"/>
                <w:highlight w:val="none"/>
              </w:rPr>
            </w:pPr>
          </w:p>
        </w:tc>
        <w:tc>
          <w:tcPr>
            <w:tcW w:w="836" w:type="dxa"/>
          </w:tcPr>
          <w:p w14:paraId="18CE7B2F">
            <w:pPr>
              <w:spacing w:line="360" w:lineRule="auto"/>
              <w:rPr>
                <w:rFonts w:hint="eastAsia" w:ascii="宋体" w:hAnsi="宋体" w:cs="宋体"/>
                <w:color w:val="auto"/>
                <w:sz w:val="24"/>
                <w:highlight w:val="none"/>
              </w:rPr>
            </w:pPr>
          </w:p>
        </w:tc>
        <w:tc>
          <w:tcPr>
            <w:tcW w:w="1077" w:type="dxa"/>
          </w:tcPr>
          <w:p w14:paraId="44587724">
            <w:pPr>
              <w:spacing w:line="360" w:lineRule="auto"/>
              <w:rPr>
                <w:rFonts w:hint="eastAsia" w:ascii="宋体" w:hAnsi="宋体" w:cs="宋体"/>
                <w:color w:val="auto"/>
                <w:sz w:val="24"/>
                <w:highlight w:val="none"/>
              </w:rPr>
            </w:pPr>
          </w:p>
        </w:tc>
        <w:tc>
          <w:tcPr>
            <w:tcW w:w="1616" w:type="dxa"/>
          </w:tcPr>
          <w:p w14:paraId="10DF7B58">
            <w:pPr>
              <w:spacing w:line="360" w:lineRule="auto"/>
              <w:rPr>
                <w:rFonts w:hint="eastAsia" w:ascii="宋体" w:hAnsi="宋体" w:cs="宋体"/>
                <w:color w:val="auto"/>
                <w:sz w:val="24"/>
                <w:highlight w:val="none"/>
              </w:rPr>
            </w:pPr>
          </w:p>
        </w:tc>
        <w:tc>
          <w:tcPr>
            <w:tcW w:w="2115" w:type="dxa"/>
          </w:tcPr>
          <w:p w14:paraId="688B9B95">
            <w:pPr>
              <w:spacing w:line="360" w:lineRule="auto"/>
              <w:rPr>
                <w:rFonts w:hint="eastAsia" w:ascii="宋体" w:hAnsi="宋体" w:cs="宋体"/>
                <w:color w:val="auto"/>
                <w:sz w:val="24"/>
                <w:highlight w:val="none"/>
              </w:rPr>
            </w:pPr>
          </w:p>
        </w:tc>
      </w:tr>
      <w:tr w14:paraId="02FE2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vAlign w:val="center"/>
          </w:tcPr>
          <w:p w14:paraId="0125290C">
            <w:pPr>
              <w:spacing w:line="360" w:lineRule="auto"/>
              <w:rPr>
                <w:rFonts w:hint="eastAsia" w:ascii="宋体" w:hAnsi="宋体" w:cs="宋体"/>
                <w:b/>
                <w:color w:val="auto"/>
                <w:sz w:val="24"/>
                <w:highlight w:val="none"/>
              </w:rPr>
            </w:pPr>
          </w:p>
        </w:tc>
        <w:tc>
          <w:tcPr>
            <w:tcW w:w="2085" w:type="dxa"/>
          </w:tcPr>
          <w:p w14:paraId="09A46091">
            <w:pPr>
              <w:spacing w:line="360" w:lineRule="auto"/>
              <w:rPr>
                <w:rFonts w:hint="eastAsia" w:ascii="宋体" w:hAnsi="宋体" w:cs="宋体"/>
                <w:color w:val="auto"/>
                <w:sz w:val="24"/>
                <w:highlight w:val="none"/>
              </w:rPr>
            </w:pPr>
          </w:p>
        </w:tc>
        <w:tc>
          <w:tcPr>
            <w:tcW w:w="836" w:type="dxa"/>
          </w:tcPr>
          <w:p w14:paraId="02195ECA">
            <w:pPr>
              <w:spacing w:line="360" w:lineRule="auto"/>
              <w:rPr>
                <w:rFonts w:hint="eastAsia" w:ascii="宋体" w:hAnsi="宋体" w:cs="宋体"/>
                <w:color w:val="auto"/>
                <w:sz w:val="24"/>
                <w:highlight w:val="none"/>
              </w:rPr>
            </w:pPr>
          </w:p>
        </w:tc>
        <w:tc>
          <w:tcPr>
            <w:tcW w:w="1077" w:type="dxa"/>
          </w:tcPr>
          <w:p w14:paraId="22562EA2">
            <w:pPr>
              <w:spacing w:line="360" w:lineRule="auto"/>
              <w:rPr>
                <w:rFonts w:hint="eastAsia" w:ascii="宋体" w:hAnsi="宋体" w:cs="宋体"/>
                <w:color w:val="auto"/>
                <w:sz w:val="24"/>
                <w:highlight w:val="none"/>
              </w:rPr>
            </w:pPr>
          </w:p>
        </w:tc>
        <w:tc>
          <w:tcPr>
            <w:tcW w:w="1616" w:type="dxa"/>
          </w:tcPr>
          <w:p w14:paraId="5F47C45F">
            <w:pPr>
              <w:spacing w:line="360" w:lineRule="auto"/>
              <w:rPr>
                <w:rFonts w:hint="eastAsia" w:ascii="宋体" w:hAnsi="宋体" w:cs="宋体"/>
                <w:color w:val="auto"/>
                <w:sz w:val="24"/>
                <w:highlight w:val="none"/>
              </w:rPr>
            </w:pPr>
          </w:p>
        </w:tc>
        <w:tc>
          <w:tcPr>
            <w:tcW w:w="2115" w:type="dxa"/>
          </w:tcPr>
          <w:p w14:paraId="5F455C98">
            <w:pPr>
              <w:spacing w:line="360" w:lineRule="auto"/>
              <w:rPr>
                <w:rFonts w:hint="eastAsia" w:ascii="宋体" w:hAnsi="宋体" w:cs="宋体"/>
                <w:color w:val="auto"/>
                <w:sz w:val="24"/>
                <w:highlight w:val="none"/>
              </w:rPr>
            </w:pPr>
          </w:p>
        </w:tc>
      </w:tr>
      <w:tr w14:paraId="136B2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vAlign w:val="center"/>
          </w:tcPr>
          <w:p w14:paraId="6A4187D9">
            <w:pPr>
              <w:spacing w:line="360" w:lineRule="auto"/>
              <w:rPr>
                <w:rFonts w:hint="eastAsia" w:ascii="宋体" w:hAnsi="宋体" w:cs="宋体"/>
                <w:b/>
                <w:color w:val="auto"/>
                <w:sz w:val="24"/>
                <w:highlight w:val="none"/>
              </w:rPr>
            </w:pPr>
          </w:p>
        </w:tc>
        <w:tc>
          <w:tcPr>
            <w:tcW w:w="2085" w:type="dxa"/>
          </w:tcPr>
          <w:p w14:paraId="6F057DAD">
            <w:pPr>
              <w:spacing w:line="360" w:lineRule="auto"/>
              <w:rPr>
                <w:rFonts w:hint="eastAsia" w:ascii="宋体" w:hAnsi="宋体" w:cs="宋体"/>
                <w:color w:val="auto"/>
                <w:sz w:val="24"/>
                <w:highlight w:val="none"/>
              </w:rPr>
            </w:pPr>
          </w:p>
        </w:tc>
        <w:tc>
          <w:tcPr>
            <w:tcW w:w="836" w:type="dxa"/>
          </w:tcPr>
          <w:p w14:paraId="40B351A1">
            <w:pPr>
              <w:spacing w:line="360" w:lineRule="auto"/>
              <w:rPr>
                <w:rFonts w:hint="eastAsia" w:ascii="宋体" w:hAnsi="宋体" w:cs="宋体"/>
                <w:color w:val="auto"/>
                <w:sz w:val="24"/>
                <w:highlight w:val="none"/>
              </w:rPr>
            </w:pPr>
          </w:p>
        </w:tc>
        <w:tc>
          <w:tcPr>
            <w:tcW w:w="1077" w:type="dxa"/>
          </w:tcPr>
          <w:p w14:paraId="3A4F6A07">
            <w:pPr>
              <w:spacing w:line="360" w:lineRule="auto"/>
              <w:rPr>
                <w:rFonts w:hint="eastAsia" w:ascii="宋体" w:hAnsi="宋体" w:cs="宋体"/>
                <w:color w:val="auto"/>
                <w:sz w:val="24"/>
                <w:highlight w:val="none"/>
              </w:rPr>
            </w:pPr>
          </w:p>
        </w:tc>
        <w:tc>
          <w:tcPr>
            <w:tcW w:w="1616" w:type="dxa"/>
          </w:tcPr>
          <w:p w14:paraId="13A34E89">
            <w:pPr>
              <w:spacing w:line="360" w:lineRule="auto"/>
              <w:rPr>
                <w:rFonts w:hint="eastAsia" w:ascii="宋体" w:hAnsi="宋体" w:cs="宋体"/>
                <w:color w:val="auto"/>
                <w:sz w:val="24"/>
                <w:highlight w:val="none"/>
              </w:rPr>
            </w:pPr>
          </w:p>
        </w:tc>
        <w:tc>
          <w:tcPr>
            <w:tcW w:w="2115" w:type="dxa"/>
          </w:tcPr>
          <w:p w14:paraId="7B0895E3">
            <w:pPr>
              <w:spacing w:line="360" w:lineRule="auto"/>
              <w:rPr>
                <w:rFonts w:hint="eastAsia" w:ascii="宋体" w:hAnsi="宋体" w:cs="宋体"/>
                <w:color w:val="auto"/>
                <w:sz w:val="24"/>
                <w:highlight w:val="none"/>
              </w:rPr>
            </w:pPr>
          </w:p>
        </w:tc>
      </w:tr>
      <w:tr w14:paraId="0F61E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vAlign w:val="center"/>
          </w:tcPr>
          <w:p w14:paraId="10D8BF90">
            <w:pPr>
              <w:spacing w:line="360" w:lineRule="auto"/>
              <w:rPr>
                <w:rFonts w:hint="eastAsia" w:ascii="宋体" w:hAnsi="宋体" w:cs="宋体"/>
                <w:b/>
                <w:color w:val="auto"/>
                <w:sz w:val="24"/>
                <w:highlight w:val="none"/>
              </w:rPr>
            </w:pPr>
          </w:p>
        </w:tc>
        <w:tc>
          <w:tcPr>
            <w:tcW w:w="2085" w:type="dxa"/>
          </w:tcPr>
          <w:p w14:paraId="6639B666">
            <w:pPr>
              <w:spacing w:line="360" w:lineRule="auto"/>
              <w:rPr>
                <w:rFonts w:hint="eastAsia" w:ascii="宋体" w:hAnsi="宋体" w:cs="宋体"/>
                <w:color w:val="auto"/>
                <w:sz w:val="24"/>
                <w:highlight w:val="none"/>
              </w:rPr>
            </w:pPr>
          </w:p>
        </w:tc>
        <w:tc>
          <w:tcPr>
            <w:tcW w:w="836" w:type="dxa"/>
          </w:tcPr>
          <w:p w14:paraId="4F176502">
            <w:pPr>
              <w:spacing w:line="360" w:lineRule="auto"/>
              <w:rPr>
                <w:rFonts w:hint="eastAsia" w:ascii="宋体" w:hAnsi="宋体" w:cs="宋体"/>
                <w:color w:val="auto"/>
                <w:sz w:val="24"/>
                <w:highlight w:val="none"/>
              </w:rPr>
            </w:pPr>
          </w:p>
        </w:tc>
        <w:tc>
          <w:tcPr>
            <w:tcW w:w="1077" w:type="dxa"/>
          </w:tcPr>
          <w:p w14:paraId="4F8AE487">
            <w:pPr>
              <w:spacing w:line="360" w:lineRule="auto"/>
              <w:rPr>
                <w:rFonts w:hint="eastAsia" w:ascii="宋体" w:hAnsi="宋体" w:cs="宋体"/>
                <w:color w:val="auto"/>
                <w:sz w:val="24"/>
                <w:highlight w:val="none"/>
              </w:rPr>
            </w:pPr>
          </w:p>
        </w:tc>
        <w:tc>
          <w:tcPr>
            <w:tcW w:w="1616" w:type="dxa"/>
          </w:tcPr>
          <w:p w14:paraId="1E6DF0FA">
            <w:pPr>
              <w:spacing w:line="360" w:lineRule="auto"/>
              <w:rPr>
                <w:rFonts w:hint="eastAsia" w:ascii="宋体" w:hAnsi="宋体" w:cs="宋体"/>
                <w:color w:val="auto"/>
                <w:sz w:val="24"/>
                <w:highlight w:val="none"/>
              </w:rPr>
            </w:pPr>
          </w:p>
        </w:tc>
        <w:tc>
          <w:tcPr>
            <w:tcW w:w="2115" w:type="dxa"/>
          </w:tcPr>
          <w:p w14:paraId="7AC269CE">
            <w:pPr>
              <w:spacing w:line="360" w:lineRule="auto"/>
              <w:rPr>
                <w:rFonts w:hint="eastAsia" w:ascii="宋体" w:hAnsi="宋体" w:cs="宋体"/>
                <w:color w:val="auto"/>
                <w:sz w:val="24"/>
                <w:highlight w:val="none"/>
              </w:rPr>
            </w:pPr>
          </w:p>
        </w:tc>
      </w:tr>
      <w:tr w14:paraId="65171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vAlign w:val="center"/>
          </w:tcPr>
          <w:p w14:paraId="3ABB2DFD">
            <w:pPr>
              <w:spacing w:line="360" w:lineRule="auto"/>
              <w:rPr>
                <w:rFonts w:hint="eastAsia" w:ascii="宋体" w:hAnsi="宋体" w:cs="宋体"/>
                <w:b/>
                <w:color w:val="auto"/>
                <w:sz w:val="24"/>
                <w:highlight w:val="none"/>
              </w:rPr>
            </w:pPr>
          </w:p>
        </w:tc>
        <w:tc>
          <w:tcPr>
            <w:tcW w:w="2085" w:type="dxa"/>
          </w:tcPr>
          <w:p w14:paraId="39E018EE">
            <w:pPr>
              <w:spacing w:line="360" w:lineRule="auto"/>
              <w:rPr>
                <w:rFonts w:hint="eastAsia" w:ascii="宋体" w:hAnsi="宋体" w:cs="宋体"/>
                <w:color w:val="auto"/>
                <w:sz w:val="24"/>
                <w:highlight w:val="none"/>
              </w:rPr>
            </w:pPr>
          </w:p>
        </w:tc>
        <w:tc>
          <w:tcPr>
            <w:tcW w:w="836" w:type="dxa"/>
          </w:tcPr>
          <w:p w14:paraId="65292A04">
            <w:pPr>
              <w:spacing w:line="360" w:lineRule="auto"/>
              <w:rPr>
                <w:rFonts w:hint="eastAsia" w:ascii="宋体" w:hAnsi="宋体" w:cs="宋体"/>
                <w:color w:val="auto"/>
                <w:sz w:val="24"/>
                <w:highlight w:val="none"/>
              </w:rPr>
            </w:pPr>
          </w:p>
        </w:tc>
        <w:tc>
          <w:tcPr>
            <w:tcW w:w="1077" w:type="dxa"/>
          </w:tcPr>
          <w:p w14:paraId="773DC732">
            <w:pPr>
              <w:spacing w:line="360" w:lineRule="auto"/>
              <w:rPr>
                <w:rFonts w:hint="eastAsia" w:ascii="宋体" w:hAnsi="宋体" w:cs="宋体"/>
                <w:color w:val="auto"/>
                <w:sz w:val="24"/>
                <w:highlight w:val="none"/>
              </w:rPr>
            </w:pPr>
          </w:p>
        </w:tc>
        <w:tc>
          <w:tcPr>
            <w:tcW w:w="1616" w:type="dxa"/>
          </w:tcPr>
          <w:p w14:paraId="180FD103">
            <w:pPr>
              <w:spacing w:line="360" w:lineRule="auto"/>
              <w:rPr>
                <w:rFonts w:hint="eastAsia" w:ascii="宋体" w:hAnsi="宋体" w:cs="宋体"/>
                <w:color w:val="auto"/>
                <w:sz w:val="24"/>
                <w:highlight w:val="none"/>
              </w:rPr>
            </w:pPr>
          </w:p>
        </w:tc>
        <w:tc>
          <w:tcPr>
            <w:tcW w:w="2115" w:type="dxa"/>
          </w:tcPr>
          <w:p w14:paraId="31D21FB5">
            <w:pPr>
              <w:spacing w:line="360" w:lineRule="auto"/>
              <w:rPr>
                <w:rFonts w:hint="eastAsia" w:ascii="宋体" w:hAnsi="宋体" w:cs="宋体"/>
                <w:color w:val="auto"/>
                <w:sz w:val="24"/>
                <w:highlight w:val="none"/>
              </w:rPr>
            </w:pPr>
          </w:p>
        </w:tc>
      </w:tr>
      <w:tr w14:paraId="4E2A2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vAlign w:val="center"/>
          </w:tcPr>
          <w:p w14:paraId="42F5F902">
            <w:pPr>
              <w:spacing w:line="360" w:lineRule="auto"/>
              <w:rPr>
                <w:rFonts w:hint="eastAsia" w:ascii="宋体" w:hAnsi="宋体" w:cs="宋体"/>
                <w:b/>
                <w:color w:val="auto"/>
                <w:sz w:val="24"/>
                <w:highlight w:val="none"/>
              </w:rPr>
            </w:pPr>
          </w:p>
        </w:tc>
        <w:tc>
          <w:tcPr>
            <w:tcW w:w="2085" w:type="dxa"/>
          </w:tcPr>
          <w:p w14:paraId="715EA647">
            <w:pPr>
              <w:spacing w:line="360" w:lineRule="auto"/>
              <w:rPr>
                <w:rFonts w:hint="eastAsia" w:ascii="宋体" w:hAnsi="宋体" w:cs="宋体"/>
                <w:color w:val="auto"/>
                <w:sz w:val="24"/>
                <w:highlight w:val="none"/>
              </w:rPr>
            </w:pPr>
          </w:p>
        </w:tc>
        <w:tc>
          <w:tcPr>
            <w:tcW w:w="836" w:type="dxa"/>
          </w:tcPr>
          <w:p w14:paraId="571DE8DA">
            <w:pPr>
              <w:spacing w:line="360" w:lineRule="auto"/>
              <w:rPr>
                <w:rFonts w:hint="eastAsia" w:ascii="宋体" w:hAnsi="宋体" w:cs="宋体"/>
                <w:color w:val="auto"/>
                <w:sz w:val="24"/>
                <w:highlight w:val="none"/>
              </w:rPr>
            </w:pPr>
          </w:p>
        </w:tc>
        <w:tc>
          <w:tcPr>
            <w:tcW w:w="1077" w:type="dxa"/>
          </w:tcPr>
          <w:p w14:paraId="317AE52A">
            <w:pPr>
              <w:spacing w:line="360" w:lineRule="auto"/>
              <w:rPr>
                <w:rFonts w:hint="eastAsia" w:ascii="宋体" w:hAnsi="宋体" w:cs="宋体"/>
                <w:color w:val="auto"/>
                <w:sz w:val="24"/>
                <w:highlight w:val="none"/>
              </w:rPr>
            </w:pPr>
          </w:p>
        </w:tc>
        <w:tc>
          <w:tcPr>
            <w:tcW w:w="1616" w:type="dxa"/>
          </w:tcPr>
          <w:p w14:paraId="52B63A4C">
            <w:pPr>
              <w:spacing w:line="360" w:lineRule="auto"/>
              <w:rPr>
                <w:rFonts w:hint="eastAsia" w:ascii="宋体" w:hAnsi="宋体" w:cs="宋体"/>
                <w:color w:val="auto"/>
                <w:sz w:val="24"/>
                <w:highlight w:val="none"/>
              </w:rPr>
            </w:pPr>
          </w:p>
        </w:tc>
        <w:tc>
          <w:tcPr>
            <w:tcW w:w="2115" w:type="dxa"/>
          </w:tcPr>
          <w:p w14:paraId="33E75EBC">
            <w:pPr>
              <w:spacing w:line="360" w:lineRule="auto"/>
              <w:rPr>
                <w:rFonts w:hint="eastAsia" w:ascii="宋体" w:hAnsi="宋体" w:cs="宋体"/>
                <w:color w:val="auto"/>
                <w:sz w:val="24"/>
                <w:highlight w:val="none"/>
              </w:rPr>
            </w:pPr>
          </w:p>
        </w:tc>
      </w:tr>
      <w:tr w14:paraId="338EE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vAlign w:val="center"/>
          </w:tcPr>
          <w:p w14:paraId="420336DD">
            <w:pPr>
              <w:spacing w:line="360" w:lineRule="auto"/>
              <w:rPr>
                <w:rFonts w:hint="eastAsia" w:ascii="宋体" w:hAnsi="宋体" w:cs="宋体"/>
                <w:b/>
                <w:color w:val="auto"/>
                <w:sz w:val="24"/>
                <w:highlight w:val="none"/>
              </w:rPr>
            </w:pPr>
          </w:p>
        </w:tc>
        <w:tc>
          <w:tcPr>
            <w:tcW w:w="2085" w:type="dxa"/>
          </w:tcPr>
          <w:p w14:paraId="105C8A37">
            <w:pPr>
              <w:spacing w:line="360" w:lineRule="auto"/>
              <w:rPr>
                <w:rFonts w:hint="eastAsia" w:ascii="宋体" w:hAnsi="宋体" w:cs="宋体"/>
                <w:color w:val="auto"/>
                <w:sz w:val="24"/>
                <w:highlight w:val="none"/>
              </w:rPr>
            </w:pPr>
          </w:p>
        </w:tc>
        <w:tc>
          <w:tcPr>
            <w:tcW w:w="836" w:type="dxa"/>
          </w:tcPr>
          <w:p w14:paraId="492F0FDC">
            <w:pPr>
              <w:spacing w:line="360" w:lineRule="auto"/>
              <w:rPr>
                <w:rFonts w:hint="eastAsia" w:ascii="宋体" w:hAnsi="宋体" w:cs="宋体"/>
                <w:color w:val="auto"/>
                <w:sz w:val="24"/>
                <w:highlight w:val="none"/>
              </w:rPr>
            </w:pPr>
          </w:p>
        </w:tc>
        <w:tc>
          <w:tcPr>
            <w:tcW w:w="1077" w:type="dxa"/>
          </w:tcPr>
          <w:p w14:paraId="2D804763">
            <w:pPr>
              <w:spacing w:line="360" w:lineRule="auto"/>
              <w:rPr>
                <w:rFonts w:hint="eastAsia" w:ascii="宋体" w:hAnsi="宋体" w:cs="宋体"/>
                <w:color w:val="auto"/>
                <w:sz w:val="24"/>
                <w:highlight w:val="none"/>
              </w:rPr>
            </w:pPr>
          </w:p>
        </w:tc>
        <w:tc>
          <w:tcPr>
            <w:tcW w:w="1616" w:type="dxa"/>
          </w:tcPr>
          <w:p w14:paraId="2D3F59FD">
            <w:pPr>
              <w:spacing w:line="360" w:lineRule="auto"/>
              <w:rPr>
                <w:rFonts w:hint="eastAsia" w:ascii="宋体" w:hAnsi="宋体" w:cs="宋体"/>
                <w:color w:val="auto"/>
                <w:sz w:val="24"/>
                <w:highlight w:val="none"/>
              </w:rPr>
            </w:pPr>
          </w:p>
        </w:tc>
        <w:tc>
          <w:tcPr>
            <w:tcW w:w="2115" w:type="dxa"/>
          </w:tcPr>
          <w:p w14:paraId="726BFB26">
            <w:pPr>
              <w:spacing w:line="360" w:lineRule="auto"/>
              <w:rPr>
                <w:rFonts w:hint="eastAsia" w:ascii="宋体" w:hAnsi="宋体" w:cs="宋体"/>
                <w:color w:val="auto"/>
                <w:sz w:val="24"/>
                <w:highlight w:val="none"/>
              </w:rPr>
            </w:pPr>
          </w:p>
        </w:tc>
      </w:tr>
      <w:tr w14:paraId="57668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vAlign w:val="center"/>
          </w:tcPr>
          <w:p w14:paraId="0B9458E4">
            <w:pPr>
              <w:spacing w:line="360" w:lineRule="auto"/>
              <w:rPr>
                <w:rFonts w:hint="eastAsia" w:ascii="宋体" w:hAnsi="宋体" w:cs="宋体"/>
                <w:b/>
                <w:color w:val="auto"/>
                <w:sz w:val="24"/>
                <w:highlight w:val="none"/>
              </w:rPr>
            </w:pPr>
          </w:p>
        </w:tc>
        <w:tc>
          <w:tcPr>
            <w:tcW w:w="2085" w:type="dxa"/>
          </w:tcPr>
          <w:p w14:paraId="5522D721">
            <w:pPr>
              <w:spacing w:line="360" w:lineRule="auto"/>
              <w:rPr>
                <w:rFonts w:hint="eastAsia" w:ascii="宋体" w:hAnsi="宋体" w:cs="宋体"/>
                <w:color w:val="auto"/>
                <w:sz w:val="24"/>
                <w:highlight w:val="none"/>
              </w:rPr>
            </w:pPr>
          </w:p>
        </w:tc>
        <w:tc>
          <w:tcPr>
            <w:tcW w:w="836" w:type="dxa"/>
          </w:tcPr>
          <w:p w14:paraId="34A3DE96">
            <w:pPr>
              <w:spacing w:line="360" w:lineRule="auto"/>
              <w:rPr>
                <w:rFonts w:hint="eastAsia" w:ascii="宋体" w:hAnsi="宋体" w:cs="宋体"/>
                <w:color w:val="auto"/>
                <w:sz w:val="24"/>
                <w:highlight w:val="none"/>
              </w:rPr>
            </w:pPr>
          </w:p>
        </w:tc>
        <w:tc>
          <w:tcPr>
            <w:tcW w:w="1077" w:type="dxa"/>
          </w:tcPr>
          <w:p w14:paraId="0D9EF2EB">
            <w:pPr>
              <w:spacing w:line="360" w:lineRule="auto"/>
              <w:rPr>
                <w:rFonts w:hint="eastAsia" w:ascii="宋体" w:hAnsi="宋体" w:cs="宋体"/>
                <w:color w:val="auto"/>
                <w:sz w:val="24"/>
                <w:highlight w:val="none"/>
              </w:rPr>
            </w:pPr>
          </w:p>
        </w:tc>
        <w:tc>
          <w:tcPr>
            <w:tcW w:w="1616" w:type="dxa"/>
          </w:tcPr>
          <w:p w14:paraId="25D9CD5B">
            <w:pPr>
              <w:spacing w:line="360" w:lineRule="auto"/>
              <w:rPr>
                <w:rFonts w:hint="eastAsia" w:ascii="宋体" w:hAnsi="宋体" w:cs="宋体"/>
                <w:color w:val="auto"/>
                <w:sz w:val="24"/>
                <w:highlight w:val="none"/>
              </w:rPr>
            </w:pPr>
          </w:p>
        </w:tc>
        <w:tc>
          <w:tcPr>
            <w:tcW w:w="2115" w:type="dxa"/>
          </w:tcPr>
          <w:p w14:paraId="2FA7E770">
            <w:pPr>
              <w:spacing w:line="360" w:lineRule="auto"/>
              <w:rPr>
                <w:rFonts w:hint="eastAsia" w:ascii="宋体" w:hAnsi="宋体" w:cs="宋体"/>
                <w:color w:val="auto"/>
                <w:sz w:val="24"/>
                <w:highlight w:val="none"/>
              </w:rPr>
            </w:pPr>
          </w:p>
        </w:tc>
      </w:tr>
      <w:tr w14:paraId="1DABD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88" w:type="dxa"/>
            <w:vAlign w:val="center"/>
          </w:tcPr>
          <w:p w14:paraId="12C39791">
            <w:pPr>
              <w:spacing w:line="360" w:lineRule="auto"/>
              <w:rPr>
                <w:rFonts w:hint="eastAsia" w:ascii="宋体" w:hAnsi="宋体" w:cs="宋体"/>
                <w:b/>
                <w:color w:val="auto"/>
                <w:sz w:val="24"/>
                <w:highlight w:val="none"/>
              </w:rPr>
            </w:pPr>
          </w:p>
        </w:tc>
        <w:tc>
          <w:tcPr>
            <w:tcW w:w="2085" w:type="dxa"/>
          </w:tcPr>
          <w:p w14:paraId="749A41F5">
            <w:pPr>
              <w:spacing w:line="360" w:lineRule="auto"/>
              <w:rPr>
                <w:rFonts w:hint="eastAsia" w:ascii="宋体" w:hAnsi="宋体" w:cs="宋体"/>
                <w:color w:val="auto"/>
                <w:sz w:val="24"/>
                <w:highlight w:val="none"/>
              </w:rPr>
            </w:pPr>
          </w:p>
        </w:tc>
        <w:tc>
          <w:tcPr>
            <w:tcW w:w="836" w:type="dxa"/>
          </w:tcPr>
          <w:p w14:paraId="5CE13B41">
            <w:pPr>
              <w:spacing w:line="360" w:lineRule="auto"/>
              <w:rPr>
                <w:rFonts w:hint="eastAsia" w:ascii="宋体" w:hAnsi="宋体" w:cs="宋体"/>
                <w:color w:val="auto"/>
                <w:sz w:val="24"/>
                <w:highlight w:val="none"/>
              </w:rPr>
            </w:pPr>
          </w:p>
        </w:tc>
        <w:tc>
          <w:tcPr>
            <w:tcW w:w="1077" w:type="dxa"/>
          </w:tcPr>
          <w:p w14:paraId="47AB1224">
            <w:pPr>
              <w:spacing w:line="360" w:lineRule="auto"/>
              <w:rPr>
                <w:rFonts w:hint="eastAsia" w:ascii="宋体" w:hAnsi="宋体" w:cs="宋体"/>
                <w:color w:val="auto"/>
                <w:sz w:val="24"/>
                <w:highlight w:val="none"/>
              </w:rPr>
            </w:pPr>
          </w:p>
        </w:tc>
        <w:tc>
          <w:tcPr>
            <w:tcW w:w="1616" w:type="dxa"/>
          </w:tcPr>
          <w:p w14:paraId="08E3CDA4">
            <w:pPr>
              <w:spacing w:line="360" w:lineRule="auto"/>
              <w:rPr>
                <w:rFonts w:hint="eastAsia" w:ascii="宋体" w:hAnsi="宋体" w:cs="宋体"/>
                <w:color w:val="auto"/>
                <w:sz w:val="24"/>
                <w:highlight w:val="none"/>
              </w:rPr>
            </w:pPr>
          </w:p>
        </w:tc>
        <w:tc>
          <w:tcPr>
            <w:tcW w:w="2115" w:type="dxa"/>
          </w:tcPr>
          <w:p w14:paraId="2654C8E6">
            <w:pPr>
              <w:spacing w:line="360" w:lineRule="auto"/>
              <w:rPr>
                <w:rFonts w:hint="eastAsia" w:ascii="宋体" w:hAnsi="宋体" w:cs="宋体"/>
                <w:color w:val="auto"/>
                <w:sz w:val="24"/>
                <w:highlight w:val="none"/>
              </w:rPr>
            </w:pPr>
          </w:p>
        </w:tc>
      </w:tr>
    </w:tbl>
    <w:p w14:paraId="65107CF6">
      <w:pPr>
        <w:rPr>
          <w:rFonts w:hint="eastAsia" w:ascii="宋体" w:hAnsi="宋体" w:cs="宋体"/>
          <w:color w:val="auto"/>
          <w:kern w:val="0"/>
          <w:szCs w:val="21"/>
          <w:highlight w:val="none"/>
          <w:lang w:val="zh-CN"/>
        </w:rPr>
      </w:pPr>
    </w:p>
    <w:p w14:paraId="4496E3CD">
      <w:pPr>
        <w:pStyle w:val="21"/>
        <w:ind w:firstLine="0" w:firstLineChars="0"/>
        <w:rPr>
          <w:rFonts w:hint="eastAsia" w:ascii="宋体" w:hAnsi="宋体" w:cs="宋体"/>
          <w:color w:val="auto"/>
          <w:sz w:val="24"/>
          <w:szCs w:val="16"/>
          <w:highlight w:val="none"/>
          <w:lang w:val="zh-CN"/>
        </w:rPr>
      </w:pPr>
      <w:r>
        <w:rPr>
          <w:rFonts w:hint="eastAsia" w:ascii="宋体" w:hAnsi="宋体" w:cs="宋体"/>
          <w:color w:val="auto"/>
          <w:sz w:val="24"/>
          <w:szCs w:val="16"/>
          <w:highlight w:val="none"/>
          <w:lang w:val="zh-CN"/>
        </w:rPr>
        <w:t>注：此项材料必须以PDF格式上传。投标人同类项目合同复印件加盖投标人 CA 电子签章。</w:t>
      </w:r>
    </w:p>
    <w:p w14:paraId="6BAE01AB">
      <w:pPr>
        <w:pStyle w:val="21"/>
        <w:ind w:firstLine="0" w:firstLineChars="0"/>
        <w:rPr>
          <w:color w:val="auto"/>
          <w:highlight w:val="none"/>
          <w:lang w:val="zh-CN"/>
        </w:rPr>
      </w:pPr>
    </w:p>
    <w:p w14:paraId="0D82E0EE">
      <w:pPr>
        <w:jc w:val="center"/>
        <w:rPr>
          <w:rFonts w:hint="eastAsia" w:ascii="宋体" w:hAnsi="宋体" w:cs="宋体"/>
          <w:color w:val="auto"/>
          <w:kern w:val="0"/>
          <w:szCs w:val="21"/>
          <w:highlight w:val="none"/>
          <w:lang w:val="zh-CN"/>
        </w:rPr>
      </w:pPr>
    </w:p>
    <w:p w14:paraId="70FBBBD6">
      <w:pPr>
        <w:pStyle w:val="14"/>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0461F57C">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D134986">
      <w:pPr>
        <w:snapToGrid w:val="0"/>
        <w:spacing w:before="50" w:after="156" w:afterLines="50"/>
        <w:rPr>
          <w:rFonts w:hint="eastAsia" w:ascii="宋体" w:hAnsi="宋体" w:cs="宋体"/>
          <w:b/>
          <w:bCs/>
          <w:color w:val="auto"/>
          <w:highlight w:val="none"/>
        </w:rPr>
      </w:pPr>
    </w:p>
    <w:p w14:paraId="27F86B5A">
      <w:pPr>
        <w:jc w:val="center"/>
        <w:rPr>
          <w:rFonts w:hint="eastAsia" w:ascii="宋体" w:hAnsi="宋体" w:cs="宋体"/>
          <w:color w:val="auto"/>
          <w:kern w:val="0"/>
          <w:szCs w:val="21"/>
          <w:highlight w:val="none"/>
          <w:lang w:val="zh-CN"/>
        </w:rPr>
      </w:pPr>
    </w:p>
    <w:p w14:paraId="003B3517">
      <w:pPr>
        <w:jc w:val="center"/>
        <w:rPr>
          <w:rFonts w:hint="eastAsia" w:ascii="宋体" w:hAnsi="宋体" w:cs="宋体"/>
          <w:color w:val="auto"/>
          <w:kern w:val="0"/>
          <w:szCs w:val="21"/>
          <w:highlight w:val="none"/>
          <w:lang w:val="zh-CN"/>
        </w:rPr>
      </w:pPr>
    </w:p>
    <w:p w14:paraId="7A705B37">
      <w:pPr>
        <w:jc w:val="center"/>
        <w:rPr>
          <w:rFonts w:hint="eastAsia" w:ascii="宋体" w:hAnsi="宋体" w:cs="宋体"/>
          <w:color w:val="auto"/>
          <w:kern w:val="0"/>
          <w:szCs w:val="21"/>
          <w:highlight w:val="none"/>
          <w:lang w:val="zh-CN"/>
        </w:rPr>
      </w:pPr>
    </w:p>
    <w:p w14:paraId="43683F19">
      <w:pPr>
        <w:jc w:val="center"/>
        <w:rPr>
          <w:rFonts w:hint="eastAsia" w:ascii="宋体" w:hAnsi="宋体" w:cs="宋体"/>
          <w:color w:val="auto"/>
          <w:kern w:val="0"/>
          <w:szCs w:val="21"/>
          <w:highlight w:val="none"/>
          <w:lang w:val="zh-CN"/>
        </w:rPr>
      </w:pPr>
    </w:p>
    <w:p w14:paraId="11497C86">
      <w:pPr>
        <w:jc w:val="left"/>
        <w:rPr>
          <w:rFonts w:hint="eastAsia" w:ascii="宋体" w:hAnsi="宋体" w:cs="宋体"/>
          <w:color w:val="auto"/>
          <w:kern w:val="0"/>
          <w:sz w:val="24"/>
          <w:highlight w:val="none"/>
          <w:lang w:val="zh-CN"/>
        </w:rPr>
      </w:pPr>
      <w:r>
        <w:rPr>
          <w:rFonts w:hint="eastAsia" w:ascii="宋体" w:hAnsi="宋体" w:cs="宋体"/>
          <w:b/>
          <w:color w:val="auto"/>
          <w:sz w:val="24"/>
          <w:highlight w:val="none"/>
        </w:rPr>
        <w:t>3.2.技术文件</w:t>
      </w:r>
    </w:p>
    <w:p w14:paraId="4B3ADD5F">
      <w:pPr>
        <w:snapToGrid w:val="0"/>
        <w:spacing w:before="50"/>
        <w:jc w:val="left"/>
        <w:rPr>
          <w:rFonts w:hint="eastAsia" w:ascii="宋体" w:hAnsi="宋体" w:cs="宋体"/>
          <w:b/>
          <w:color w:val="auto"/>
          <w:sz w:val="24"/>
          <w:highlight w:val="none"/>
        </w:rPr>
      </w:pPr>
    </w:p>
    <w:p w14:paraId="2C4B644C">
      <w:pPr>
        <w:snapToGrid w:val="0"/>
        <w:spacing w:before="50"/>
        <w:jc w:val="left"/>
        <w:rPr>
          <w:rFonts w:hint="eastAsia" w:ascii="宋体" w:hAnsi="宋体" w:cs="宋体"/>
          <w:b/>
          <w:color w:val="auto"/>
          <w:sz w:val="24"/>
          <w:highlight w:val="none"/>
        </w:rPr>
      </w:pPr>
      <w:r>
        <w:rPr>
          <w:rFonts w:hint="eastAsia" w:ascii="宋体" w:hAnsi="宋体" w:cs="宋体"/>
          <w:b/>
          <w:color w:val="auto"/>
          <w:sz w:val="24"/>
          <w:highlight w:val="none"/>
        </w:rPr>
        <w:t>（1）技术响应表格式：</w:t>
      </w:r>
    </w:p>
    <w:p w14:paraId="635388D4">
      <w:pPr>
        <w:spacing w:line="360" w:lineRule="exact"/>
        <w:rPr>
          <w:rFonts w:hint="eastAsia" w:ascii="宋体" w:hAnsi="宋体" w:cs="宋体"/>
          <w:color w:val="auto"/>
          <w:highlight w:val="none"/>
        </w:rPr>
      </w:pPr>
    </w:p>
    <w:p w14:paraId="16B52953">
      <w:pPr>
        <w:spacing w:line="3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技术响应表</w:t>
      </w:r>
    </w:p>
    <w:p w14:paraId="3EFF15BE">
      <w:pPr>
        <w:rPr>
          <w:color w:val="auto"/>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AF1E387">
      <w:pPr>
        <w:pStyle w:val="2"/>
        <w:ind w:left="0" w:leftChars="0"/>
        <w:rPr>
          <w:color w:val="auto"/>
          <w:highlight w:val="none"/>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752"/>
        <w:gridCol w:w="2158"/>
        <w:gridCol w:w="2329"/>
        <w:gridCol w:w="1214"/>
        <w:gridCol w:w="1348"/>
      </w:tblGrid>
      <w:tr w14:paraId="62312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57" w:type="dxa"/>
            <w:tcBorders>
              <w:top w:val="single" w:color="auto" w:sz="12" w:space="0"/>
            </w:tcBorders>
            <w:vAlign w:val="center"/>
          </w:tcPr>
          <w:p w14:paraId="0CB29327">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52" w:type="dxa"/>
            <w:tcBorders>
              <w:top w:val="single" w:color="auto" w:sz="12" w:space="0"/>
            </w:tcBorders>
            <w:vAlign w:val="center"/>
          </w:tcPr>
          <w:p w14:paraId="39C4023B">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2158" w:type="dxa"/>
            <w:tcBorders>
              <w:top w:val="single" w:color="auto" w:sz="12" w:space="0"/>
            </w:tcBorders>
            <w:vAlign w:val="center"/>
          </w:tcPr>
          <w:p w14:paraId="2F965AB7">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招标文件要求</w:t>
            </w:r>
          </w:p>
        </w:tc>
        <w:tc>
          <w:tcPr>
            <w:tcW w:w="2329" w:type="dxa"/>
            <w:tcBorders>
              <w:top w:val="single" w:color="auto" w:sz="12" w:space="0"/>
            </w:tcBorders>
            <w:vAlign w:val="center"/>
          </w:tcPr>
          <w:p w14:paraId="3622EAAF">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投标文件承诺</w:t>
            </w:r>
          </w:p>
        </w:tc>
        <w:tc>
          <w:tcPr>
            <w:tcW w:w="1214" w:type="dxa"/>
            <w:tcBorders>
              <w:top w:val="single" w:color="auto" w:sz="12" w:space="0"/>
            </w:tcBorders>
            <w:vAlign w:val="center"/>
          </w:tcPr>
          <w:p w14:paraId="74920AFF">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偏离情况</w:t>
            </w:r>
          </w:p>
        </w:tc>
        <w:tc>
          <w:tcPr>
            <w:tcW w:w="1348" w:type="dxa"/>
            <w:tcBorders>
              <w:top w:val="single" w:color="auto" w:sz="12" w:space="0"/>
            </w:tcBorders>
            <w:vAlign w:val="center"/>
          </w:tcPr>
          <w:p w14:paraId="21BCC728">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3DEF6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11B3CA5C">
            <w:pPr>
              <w:pStyle w:val="13"/>
              <w:jc w:val="center"/>
              <w:rPr>
                <w:rFonts w:hint="eastAsia" w:ascii="宋体" w:hAnsi="宋体" w:eastAsia="宋体" w:cs="宋体"/>
                <w:color w:val="auto"/>
                <w:highlight w:val="none"/>
              </w:rPr>
            </w:pPr>
          </w:p>
        </w:tc>
        <w:tc>
          <w:tcPr>
            <w:tcW w:w="1752" w:type="dxa"/>
            <w:vAlign w:val="center"/>
          </w:tcPr>
          <w:p w14:paraId="3966E9D6">
            <w:pPr>
              <w:spacing w:line="320" w:lineRule="exact"/>
              <w:jc w:val="center"/>
              <w:rPr>
                <w:rFonts w:hint="eastAsia" w:ascii="宋体" w:hAnsi="宋体" w:cs="宋体"/>
                <w:color w:val="auto"/>
                <w:sz w:val="24"/>
                <w:highlight w:val="none"/>
              </w:rPr>
            </w:pPr>
          </w:p>
        </w:tc>
        <w:tc>
          <w:tcPr>
            <w:tcW w:w="2158" w:type="dxa"/>
            <w:vAlign w:val="center"/>
          </w:tcPr>
          <w:p w14:paraId="3C259C58">
            <w:pPr>
              <w:spacing w:line="320" w:lineRule="exact"/>
              <w:jc w:val="center"/>
              <w:rPr>
                <w:rFonts w:hint="eastAsia" w:ascii="宋体" w:hAnsi="宋体" w:cs="宋体"/>
                <w:color w:val="auto"/>
                <w:sz w:val="24"/>
                <w:highlight w:val="none"/>
              </w:rPr>
            </w:pPr>
          </w:p>
        </w:tc>
        <w:tc>
          <w:tcPr>
            <w:tcW w:w="2329" w:type="dxa"/>
            <w:vAlign w:val="center"/>
          </w:tcPr>
          <w:p w14:paraId="09EBC180">
            <w:pPr>
              <w:spacing w:line="320" w:lineRule="exact"/>
              <w:jc w:val="center"/>
              <w:rPr>
                <w:rFonts w:hint="eastAsia" w:ascii="宋体" w:hAnsi="宋体" w:cs="宋体"/>
                <w:color w:val="auto"/>
                <w:sz w:val="24"/>
                <w:highlight w:val="none"/>
              </w:rPr>
            </w:pPr>
          </w:p>
        </w:tc>
        <w:tc>
          <w:tcPr>
            <w:tcW w:w="1214" w:type="dxa"/>
            <w:vAlign w:val="center"/>
          </w:tcPr>
          <w:p w14:paraId="346B03B2">
            <w:pPr>
              <w:spacing w:line="320" w:lineRule="exact"/>
              <w:jc w:val="center"/>
              <w:rPr>
                <w:rFonts w:hint="eastAsia" w:ascii="宋体" w:hAnsi="宋体" w:cs="宋体"/>
                <w:color w:val="auto"/>
                <w:sz w:val="24"/>
                <w:highlight w:val="none"/>
              </w:rPr>
            </w:pPr>
          </w:p>
        </w:tc>
        <w:tc>
          <w:tcPr>
            <w:tcW w:w="1348" w:type="dxa"/>
            <w:vAlign w:val="center"/>
          </w:tcPr>
          <w:p w14:paraId="0879A659">
            <w:pPr>
              <w:spacing w:line="320" w:lineRule="exact"/>
              <w:jc w:val="center"/>
              <w:rPr>
                <w:rFonts w:hint="eastAsia" w:ascii="宋体" w:hAnsi="宋体" w:cs="宋体"/>
                <w:color w:val="auto"/>
                <w:sz w:val="24"/>
                <w:highlight w:val="none"/>
              </w:rPr>
            </w:pPr>
          </w:p>
        </w:tc>
      </w:tr>
      <w:tr w14:paraId="7B169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234D4342">
            <w:pPr>
              <w:jc w:val="center"/>
              <w:rPr>
                <w:rFonts w:hint="eastAsia" w:ascii="宋体" w:hAnsi="宋体" w:cs="宋体"/>
                <w:color w:val="auto"/>
                <w:sz w:val="24"/>
                <w:highlight w:val="none"/>
              </w:rPr>
            </w:pPr>
          </w:p>
        </w:tc>
        <w:tc>
          <w:tcPr>
            <w:tcW w:w="1752" w:type="dxa"/>
            <w:vAlign w:val="center"/>
          </w:tcPr>
          <w:p w14:paraId="661A0F0B">
            <w:pPr>
              <w:spacing w:line="320" w:lineRule="exact"/>
              <w:jc w:val="center"/>
              <w:rPr>
                <w:rFonts w:hint="eastAsia" w:ascii="宋体" w:hAnsi="宋体" w:cs="宋体"/>
                <w:color w:val="auto"/>
                <w:sz w:val="24"/>
                <w:highlight w:val="none"/>
              </w:rPr>
            </w:pPr>
          </w:p>
        </w:tc>
        <w:tc>
          <w:tcPr>
            <w:tcW w:w="2158" w:type="dxa"/>
            <w:vAlign w:val="center"/>
          </w:tcPr>
          <w:p w14:paraId="10C0118F">
            <w:pPr>
              <w:spacing w:line="320" w:lineRule="exact"/>
              <w:jc w:val="center"/>
              <w:rPr>
                <w:rFonts w:hint="eastAsia" w:ascii="宋体" w:hAnsi="宋体" w:cs="宋体"/>
                <w:color w:val="auto"/>
                <w:sz w:val="24"/>
                <w:highlight w:val="none"/>
              </w:rPr>
            </w:pPr>
          </w:p>
        </w:tc>
        <w:tc>
          <w:tcPr>
            <w:tcW w:w="2329" w:type="dxa"/>
            <w:vAlign w:val="center"/>
          </w:tcPr>
          <w:p w14:paraId="336E5864">
            <w:pPr>
              <w:spacing w:line="320" w:lineRule="exact"/>
              <w:jc w:val="center"/>
              <w:rPr>
                <w:rFonts w:hint="eastAsia" w:ascii="宋体" w:hAnsi="宋体" w:cs="宋体"/>
                <w:color w:val="auto"/>
                <w:sz w:val="24"/>
                <w:highlight w:val="none"/>
              </w:rPr>
            </w:pPr>
          </w:p>
        </w:tc>
        <w:tc>
          <w:tcPr>
            <w:tcW w:w="1214" w:type="dxa"/>
            <w:vAlign w:val="center"/>
          </w:tcPr>
          <w:p w14:paraId="2B41CC12">
            <w:pPr>
              <w:spacing w:line="320" w:lineRule="exact"/>
              <w:jc w:val="center"/>
              <w:rPr>
                <w:rFonts w:hint="eastAsia" w:ascii="宋体" w:hAnsi="宋体" w:cs="宋体"/>
                <w:color w:val="auto"/>
                <w:sz w:val="24"/>
                <w:highlight w:val="none"/>
              </w:rPr>
            </w:pPr>
          </w:p>
        </w:tc>
        <w:tc>
          <w:tcPr>
            <w:tcW w:w="1348" w:type="dxa"/>
            <w:vAlign w:val="center"/>
          </w:tcPr>
          <w:p w14:paraId="163E9CEB">
            <w:pPr>
              <w:spacing w:line="320" w:lineRule="exact"/>
              <w:jc w:val="center"/>
              <w:rPr>
                <w:rFonts w:hint="eastAsia" w:ascii="宋体" w:hAnsi="宋体" w:cs="宋体"/>
                <w:color w:val="auto"/>
                <w:sz w:val="24"/>
                <w:highlight w:val="none"/>
              </w:rPr>
            </w:pPr>
          </w:p>
        </w:tc>
      </w:tr>
      <w:tr w14:paraId="02B82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2CA014C4">
            <w:pPr>
              <w:jc w:val="center"/>
              <w:rPr>
                <w:rFonts w:hint="eastAsia" w:ascii="宋体" w:hAnsi="宋体" w:cs="宋体"/>
                <w:color w:val="auto"/>
                <w:sz w:val="24"/>
                <w:highlight w:val="none"/>
              </w:rPr>
            </w:pPr>
          </w:p>
        </w:tc>
        <w:tc>
          <w:tcPr>
            <w:tcW w:w="1752" w:type="dxa"/>
            <w:vAlign w:val="center"/>
          </w:tcPr>
          <w:p w14:paraId="14495E79">
            <w:pPr>
              <w:spacing w:line="320" w:lineRule="exact"/>
              <w:jc w:val="center"/>
              <w:rPr>
                <w:rFonts w:hint="eastAsia" w:ascii="宋体" w:hAnsi="宋体" w:cs="宋体"/>
                <w:color w:val="auto"/>
                <w:sz w:val="24"/>
                <w:highlight w:val="none"/>
              </w:rPr>
            </w:pPr>
          </w:p>
        </w:tc>
        <w:tc>
          <w:tcPr>
            <w:tcW w:w="2158" w:type="dxa"/>
            <w:vAlign w:val="center"/>
          </w:tcPr>
          <w:p w14:paraId="5DBA156E">
            <w:pPr>
              <w:spacing w:line="320" w:lineRule="exact"/>
              <w:jc w:val="center"/>
              <w:rPr>
                <w:rFonts w:hint="eastAsia" w:ascii="宋体" w:hAnsi="宋体" w:cs="宋体"/>
                <w:color w:val="auto"/>
                <w:sz w:val="24"/>
                <w:highlight w:val="none"/>
              </w:rPr>
            </w:pPr>
          </w:p>
        </w:tc>
        <w:tc>
          <w:tcPr>
            <w:tcW w:w="2329" w:type="dxa"/>
            <w:vAlign w:val="center"/>
          </w:tcPr>
          <w:p w14:paraId="46D5161F">
            <w:pPr>
              <w:spacing w:line="320" w:lineRule="exact"/>
              <w:jc w:val="center"/>
              <w:rPr>
                <w:rFonts w:hint="eastAsia" w:ascii="宋体" w:hAnsi="宋体" w:cs="宋体"/>
                <w:color w:val="auto"/>
                <w:sz w:val="24"/>
                <w:highlight w:val="none"/>
              </w:rPr>
            </w:pPr>
          </w:p>
        </w:tc>
        <w:tc>
          <w:tcPr>
            <w:tcW w:w="1214" w:type="dxa"/>
            <w:vAlign w:val="center"/>
          </w:tcPr>
          <w:p w14:paraId="77BE7215">
            <w:pPr>
              <w:spacing w:line="320" w:lineRule="exact"/>
              <w:jc w:val="center"/>
              <w:rPr>
                <w:rFonts w:hint="eastAsia" w:ascii="宋体" w:hAnsi="宋体" w:cs="宋体"/>
                <w:color w:val="auto"/>
                <w:sz w:val="24"/>
                <w:highlight w:val="none"/>
              </w:rPr>
            </w:pPr>
          </w:p>
        </w:tc>
        <w:tc>
          <w:tcPr>
            <w:tcW w:w="1348" w:type="dxa"/>
            <w:vAlign w:val="center"/>
          </w:tcPr>
          <w:p w14:paraId="602B9320">
            <w:pPr>
              <w:spacing w:line="320" w:lineRule="exact"/>
              <w:jc w:val="center"/>
              <w:rPr>
                <w:rFonts w:hint="eastAsia" w:ascii="宋体" w:hAnsi="宋体" w:cs="宋体"/>
                <w:color w:val="auto"/>
                <w:sz w:val="24"/>
                <w:highlight w:val="none"/>
              </w:rPr>
            </w:pPr>
          </w:p>
        </w:tc>
      </w:tr>
      <w:tr w14:paraId="64C263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6E40CF2B">
            <w:pPr>
              <w:jc w:val="center"/>
              <w:rPr>
                <w:rFonts w:hint="eastAsia" w:ascii="宋体" w:hAnsi="宋体" w:cs="宋体"/>
                <w:color w:val="auto"/>
                <w:sz w:val="24"/>
                <w:highlight w:val="none"/>
              </w:rPr>
            </w:pPr>
          </w:p>
        </w:tc>
        <w:tc>
          <w:tcPr>
            <w:tcW w:w="1752" w:type="dxa"/>
            <w:vAlign w:val="center"/>
          </w:tcPr>
          <w:p w14:paraId="4758A593">
            <w:pPr>
              <w:spacing w:line="320" w:lineRule="exact"/>
              <w:jc w:val="center"/>
              <w:rPr>
                <w:rFonts w:hint="eastAsia" w:ascii="宋体" w:hAnsi="宋体" w:cs="宋体"/>
                <w:color w:val="auto"/>
                <w:sz w:val="24"/>
                <w:highlight w:val="none"/>
              </w:rPr>
            </w:pPr>
          </w:p>
        </w:tc>
        <w:tc>
          <w:tcPr>
            <w:tcW w:w="2158" w:type="dxa"/>
            <w:vAlign w:val="center"/>
          </w:tcPr>
          <w:p w14:paraId="2ED4DA09">
            <w:pPr>
              <w:spacing w:line="320" w:lineRule="exact"/>
              <w:jc w:val="center"/>
              <w:rPr>
                <w:rFonts w:hint="eastAsia" w:ascii="宋体" w:hAnsi="宋体" w:cs="宋体"/>
                <w:color w:val="auto"/>
                <w:sz w:val="24"/>
                <w:highlight w:val="none"/>
              </w:rPr>
            </w:pPr>
          </w:p>
        </w:tc>
        <w:tc>
          <w:tcPr>
            <w:tcW w:w="2329" w:type="dxa"/>
            <w:vAlign w:val="center"/>
          </w:tcPr>
          <w:p w14:paraId="36BD58BF">
            <w:pPr>
              <w:spacing w:line="320" w:lineRule="exact"/>
              <w:jc w:val="center"/>
              <w:rPr>
                <w:rFonts w:hint="eastAsia" w:ascii="宋体" w:hAnsi="宋体" w:cs="宋体"/>
                <w:color w:val="auto"/>
                <w:sz w:val="24"/>
                <w:highlight w:val="none"/>
              </w:rPr>
            </w:pPr>
          </w:p>
        </w:tc>
        <w:tc>
          <w:tcPr>
            <w:tcW w:w="1214" w:type="dxa"/>
            <w:vAlign w:val="center"/>
          </w:tcPr>
          <w:p w14:paraId="19026A2F">
            <w:pPr>
              <w:spacing w:line="320" w:lineRule="exact"/>
              <w:jc w:val="center"/>
              <w:rPr>
                <w:rFonts w:hint="eastAsia" w:ascii="宋体" w:hAnsi="宋体" w:cs="宋体"/>
                <w:color w:val="auto"/>
                <w:sz w:val="24"/>
                <w:highlight w:val="none"/>
              </w:rPr>
            </w:pPr>
          </w:p>
        </w:tc>
        <w:tc>
          <w:tcPr>
            <w:tcW w:w="1348" w:type="dxa"/>
            <w:vAlign w:val="center"/>
          </w:tcPr>
          <w:p w14:paraId="0CB05BE7">
            <w:pPr>
              <w:spacing w:line="320" w:lineRule="exact"/>
              <w:jc w:val="center"/>
              <w:rPr>
                <w:rFonts w:hint="eastAsia" w:ascii="宋体" w:hAnsi="宋体" w:cs="宋体"/>
                <w:color w:val="auto"/>
                <w:sz w:val="24"/>
                <w:highlight w:val="none"/>
              </w:rPr>
            </w:pPr>
          </w:p>
        </w:tc>
      </w:tr>
      <w:tr w14:paraId="5FD8B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10774EAD">
            <w:pPr>
              <w:pStyle w:val="13"/>
              <w:jc w:val="center"/>
              <w:rPr>
                <w:rFonts w:hint="eastAsia" w:ascii="宋体" w:hAnsi="宋体" w:eastAsia="宋体" w:cs="宋体"/>
                <w:color w:val="auto"/>
                <w:highlight w:val="none"/>
              </w:rPr>
            </w:pPr>
          </w:p>
        </w:tc>
        <w:tc>
          <w:tcPr>
            <w:tcW w:w="1752" w:type="dxa"/>
            <w:vAlign w:val="center"/>
          </w:tcPr>
          <w:p w14:paraId="4C12005D">
            <w:pPr>
              <w:spacing w:line="320" w:lineRule="exact"/>
              <w:jc w:val="center"/>
              <w:rPr>
                <w:rFonts w:hint="eastAsia" w:ascii="宋体" w:hAnsi="宋体" w:cs="宋体"/>
                <w:b/>
                <w:color w:val="auto"/>
                <w:kern w:val="0"/>
                <w:sz w:val="24"/>
                <w:highlight w:val="none"/>
              </w:rPr>
            </w:pPr>
          </w:p>
        </w:tc>
        <w:tc>
          <w:tcPr>
            <w:tcW w:w="2158" w:type="dxa"/>
            <w:vAlign w:val="center"/>
          </w:tcPr>
          <w:p w14:paraId="69A4CE7E">
            <w:pPr>
              <w:spacing w:line="320" w:lineRule="exact"/>
              <w:jc w:val="center"/>
              <w:rPr>
                <w:rFonts w:hint="eastAsia" w:ascii="宋体" w:hAnsi="宋体" w:cs="宋体"/>
                <w:color w:val="auto"/>
                <w:sz w:val="24"/>
                <w:highlight w:val="none"/>
              </w:rPr>
            </w:pPr>
          </w:p>
        </w:tc>
        <w:tc>
          <w:tcPr>
            <w:tcW w:w="2329" w:type="dxa"/>
            <w:vAlign w:val="center"/>
          </w:tcPr>
          <w:p w14:paraId="7292A863">
            <w:pPr>
              <w:spacing w:line="320" w:lineRule="exact"/>
              <w:jc w:val="center"/>
              <w:rPr>
                <w:rFonts w:hint="eastAsia" w:ascii="宋体" w:hAnsi="宋体" w:cs="宋体"/>
                <w:color w:val="auto"/>
                <w:sz w:val="24"/>
                <w:highlight w:val="none"/>
              </w:rPr>
            </w:pPr>
          </w:p>
        </w:tc>
        <w:tc>
          <w:tcPr>
            <w:tcW w:w="1214" w:type="dxa"/>
            <w:vAlign w:val="center"/>
          </w:tcPr>
          <w:p w14:paraId="7F52DE63">
            <w:pPr>
              <w:spacing w:line="320" w:lineRule="exact"/>
              <w:jc w:val="center"/>
              <w:rPr>
                <w:rFonts w:hint="eastAsia" w:ascii="宋体" w:hAnsi="宋体" w:cs="宋体"/>
                <w:color w:val="auto"/>
                <w:sz w:val="24"/>
                <w:highlight w:val="none"/>
              </w:rPr>
            </w:pPr>
          </w:p>
        </w:tc>
        <w:tc>
          <w:tcPr>
            <w:tcW w:w="1348" w:type="dxa"/>
            <w:vAlign w:val="center"/>
          </w:tcPr>
          <w:p w14:paraId="292A890E">
            <w:pPr>
              <w:spacing w:line="320" w:lineRule="exact"/>
              <w:jc w:val="center"/>
              <w:rPr>
                <w:rFonts w:hint="eastAsia" w:ascii="宋体" w:hAnsi="宋体" w:cs="宋体"/>
                <w:color w:val="auto"/>
                <w:sz w:val="24"/>
                <w:highlight w:val="none"/>
              </w:rPr>
            </w:pPr>
          </w:p>
        </w:tc>
      </w:tr>
      <w:tr w14:paraId="223A9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1842CEB4">
            <w:pPr>
              <w:pStyle w:val="13"/>
              <w:jc w:val="center"/>
              <w:rPr>
                <w:rFonts w:hint="eastAsia" w:ascii="宋体" w:hAnsi="宋体" w:eastAsia="宋体" w:cs="宋体"/>
                <w:color w:val="auto"/>
                <w:highlight w:val="none"/>
              </w:rPr>
            </w:pPr>
          </w:p>
        </w:tc>
        <w:tc>
          <w:tcPr>
            <w:tcW w:w="1752" w:type="dxa"/>
            <w:vAlign w:val="center"/>
          </w:tcPr>
          <w:p w14:paraId="56008D35">
            <w:pPr>
              <w:spacing w:line="320" w:lineRule="exact"/>
              <w:jc w:val="center"/>
              <w:rPr>
                <w:rFonts w:hint="eastAsia" w:ascii="宋体" w:hAnsi="宋体" w:cs="宋体"/>
                <w:color w:val="auto"/>
                <w:sz w:val="24"/>
                <w:highlight w:val="none"/>
              </w:rPr>
            </w:pPr>
          </w:p>
        </w:tc>
        <w:tc>
          <w:tcPr>
            <w:tcW w:w="2158" w:type="dxa"/>
            <w:vAlign w:val="center"/>
          </w:tcPr>
          <w:p w14:paraId="6E35FE79">
            <w:pPr>
              <w:spacing w:line="320" w:lineRule="exact"/>
              <w:jc w:val="center"/>
              <w:rPr>
                <w:rFonts w:hint="eastAsia" w:ascii="宋体" w:hAnsi="宋体" w:cs="宋体"/>
                <w:color w:val="auto"/>
                <w:sz w:val="24"/>
                <w:highlight w:val="none"/>
              </w:rPr>
            </w:pPr>
          </w:p>
        </w:tc>
        <w:tc>
          <w:tcPr>
            <w:tcW w:w="2329" w:type="dxa"/>
            <w:vAlign w:val="center"/>
          </w:tcPr>
          <w:p w14:paraId="28704818">
            <w:pPr>
              <w:spacing w:line="320" w:lineRule="exact"/>
              <w:jc w:val="center"/>
              <w:rPr>
                <w:rFonts w:hint="eastAsia" w:ascii="宋体" w:hAnsi="宋体" w:cs="宋体"/>
                <w:color w:val="auto"/>
                <w:sz w:val="24"/>
                <w:highlight w:val="none"/>
              </w:rPr>
            </w:pPr>
          </w:p>
        </w:tc>
        <w:tc>
          <w:tcPr>
            <w:tcW w:w="1214" w:type="dxa"/>
            <w:vAlign w:val="center"/>
          </w:tcPr>
          <w:p w14:paraId="768A75FD">
            <w:pPr>
              <w:spacing w:line="320" w:lineRule="exact"/>
              <w:jc w:val="center"/>
              <w:rPr>
                <w:rFonts w:hint="eastAsia" w:ascii="宋体" w:hAnsi="宋体" w:cs="宋体"/>
                <w:color w:val="auto"/>
                <w:sz w:val="24"/>
                <w:highlight w:val="none"/>
              </w:rPr>
            </w:pPr>
          </w:p>
        </w:tc>
        <w:tc>
          <w:tcPr>
            <w:tcW w:w="1348" w:type="dxa"/>
            <w:vAlign w:val="center"/>
          </w:tcPr>
          <w:p w14:paraId="38DD70BC">
            <w:pPr>
              <w:spacing w:line="320" w:lineRule="exact"/>
              <w:jc w:val="center"/>
              <w:rPr>
                <w:rFonts w:hint="eastAsia" w:ascii="宋体" w:hAnsi="宋体" w:cs="宋体"/>
                <w:color w:val="auto"/>
                <w:sz w:val="24"/>
                <w:highlight w:val="none"/>
              </w:rPr>
            </w:pPr>
          </w:p>
        </w:tc>
      </w:tr>
      <w:tr w14:paraId="7D174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3E0BD52F">
            <w:pPr>
              <w:jc w:val="center"/>
              <w:rPr>
                <w:rFonts w:hint="eastAsia" w:ascii="宋体" w:hAnsi="宋体" w:cs="宋体"/>
                <w:color w:val="auto"/>
                <w:sz w:val="24"/>
                <w:highlight w:val="none"/>
              </w:rPr>
            </w:pPr>
          </w:p>
        </w:tc>
        <w:tc>
          <w:tcPr>
            <w:tcW w:w="1752" w:type="dxa"/>
            <w:vAlign w:val="center"/>
          </w:tcPr>
          <w:p w14:paraId="66FE4E27">
            <w:pPr>
              <w:spacing w:line="320" w:lineRule="exact"/>
              <w:jc w:val="center"/>
              <w:rPr>
                <w:rFonts w:hint="eastAsia" w:ascii="宋体" w:hAnsi="宋体" w:cs="宋体"/>
                <w:b/>
                <w:color w:val="auto"/>
                <w:kern w:val="0"/>
                <w:sz w:val="24"/>
                <w:highlight w:val="none"/>
              </w:rPr>
            </w:pPr>
          </w:p>
        </w:tc>
        <w:tc>
          <w:tcPr>
            <w:tcW w:w="2158" w:type="dxa"/>
            <w:vAlign w:val="center"/>
          </w:tcPr>
          <w:p w14:paraId="45092574">
            <w:pPr>
              <w:spacing w:line="320" w:lineRule="exact"/>
              <w:jc w:val="center"/>
              <w:rPr>
                <w:rFonts w:hint="eastAsia" w:ascii="宋体" w:hAnsi="宋体" w:cs="宋体"/>
                <w:color w:val="auto"/>
                <w:sz w:val="24"/>
                <w:highlight w:val="none"/>
              </w:rPr>
            </w:pPr>
          </w:p>
        </w:tc>
        <w:tc>
          <w:tcPr>
            <w:tcW w:w="2329" w:type="dxa"/>
            <w:vAlign w:val="center"/>
          </w:tcPr>
          <w:p w14:paraId="0AEEB394">
            <w:pPr>
              <w:spacing w:line="320" w:lineRule="exact"/>
              <w:jc w:val="center"/>
              <w:rPr>
                <w:rFonts w:hint="eastAsia" w:ascii="宋体" w:hAnsi="宋体" w:cs="宋体"/>
                <w:color w:val="auto"/>
                <w:sz w:val="24"/>
                <w:highlight w:val="none"/>
              </w:rPr>
            </w:pPr>
          </w:p>
        </w:tc>
        <w:tc>
          <w:tcPr>
            <w:tcW w:w="1214" w:type="dxa"/>
            <w:vAlign w:val="center"/>
          </w:tcPr>
          <w:p w14:paraId="026BDF7B">
            <w:pPr>
              <w:spacing w:line="320" w:lineRule="exact"/>
              <w:jc w:val="center"/>
              <w:rPr>
                <w:rFonts w:hint="eastAsia" w:ascii="宋体" w:hAnsi="宋体" w:cs="宋体"/>
                <w:color w:val="auto"/>
                <w:sz w:val="24"/>
                <w:highlight w:val="none"/>
              </w:rPr>
            </w:pPr>
          </w:p>
        </w:tc>
        <w:tc>
          <w:tcPr>
            <w:tcW w:w="1348" w:type="dxa"/>
            <w:vAlign w:val="center"/>
          </w:tcPr>
          <w:p w14:paraId="7F691353">
            <w:pPr>
              <w:spacing w:line="320" w:lineRule="exact"/>
              <w:jc w:val="center"/>
              <w:rPr>
                <w:rFonts w:hint="eastAsia" w:ascii="宋体" w:hAnsi="宋体" w:cs="宋体"/>
                <w:color w:val="auto"/>
                <w:sz w:val="24"/>
                <w:highlight w:val="none"/>
              </w:rPr>
            </w:pPr>
          </w:p>
        </w:tc>
      </w:tr>
      <w:tr w14:paraId="5BAEC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00F2A42B">
            <w:pPr>
              <w:jc w:val="center"/>
              <w:rPr>
                <w:rFonts w:hint="eastAsia" w:ascii="宋体" w:hAnsi="宋体" w:cs="宋体"/>
                <w:color w:val="auto"/>
                <w:sz w:val="24"/>
                <w:highlight w:val="none"/>
              </w:rPr>
            </w:pPr>
          </w:p>
        </w:tc>
        <w:tc>
          <w:tcPr>
            <w:tcW w:w="1752" w:type="dxa"/>
            <w:vAlign w:val="center"/>
          </w:tcPr>
          <w:p w14:paraId="7790C562">
            <w:pPr>
              <w:spacing w:line="320" w:lineRule="exact"/>
              <w:jc w:val="center"/>
              <w:rPr>
                <w:rFonts w:hint="eastAsia" w:ascii="宋体" w:hAnsi="宋体" w:cs="宋体"/>
                <w:color w:val="auto"/>
                <w:sz w:val="24"/>
                <w:highlight w:val="none"/>
              </w:rPr>
            </w:pPr>
          </w:p>
        </w:tc>
        <w:tc>
          <w:tcPr>
            <w:tcW w:w="2158" w:type="dxa"/>
            <w:vAlign w:val="center"/>
          </w:tcPr>
          <w:p w14:paraId="07F1308D">
            <w:pPr>
              <w:spacing w:line="320" w:lineRule="exact"/>
              <w:jc w:val="center"/>
              <w:rPr>
                <w:rFonts w:hint="eastAsia" w:ascii="宋体" w:hAnsi="宋体" w:cs="宋体"/>
                <w:color w:val="auto"/>
                <w:sz w:val="24"/>
                <w:highlight w:val="none"/>
              </w:rPr>
            </w:pPr>
          </w:p>
        </w:tc>
        <w:tc>
          <w:tcPr>
            <w:tcW w:w="2329" w:type="dxa"/>
            <w:vAlign w:val="center"/>
          </w:tcPr>
          <w:p w14:paraId="4AE0381C">
            <w:pPr>
              <w:spacing w:line="320" w:lineRule="exact"/>
              <w:jc w:val="center"/>
              <w:rPr>
                <w:rFonts w:hint="eastAsia" w:ascii="宋体" w:hAnsi="宋体" w:cs="宋体"/>
                <w:color w:val="auto"/>
                <w:sz w:val="24"/>
                <w:highlight w:val="none"/>
              </w:rPr>
            </w:pPr>
          </w:p>
        </w:tc>
        <w:tc>
          <w:tcPr>
            <w:tcW w:w="1214" w:type="dxa"/>
            <w:vAlign w:val="center"/>
          </w:tcPr>
          <w:p w14:paraId="16D56E6E">
            <w:pPr>
              <w:spacing w:line="320" w:lineRule="exact"/>
              <w:jc w:val="center"/>
              <w:rPr>
                <w:rFonts w:hint="eastAsia" w:ascii="宋体" w:hAnsi="宋体" w:cs="宋体"/>
                <w:color w:val="auto"/>
                <w:sz w:val="24"/>
                <w:highlight w:val="none"/>
              </w:rPr>
            </w:pPr>
          </w:p>
        </w:tc>
        <w:tc>
          <w:tcPr>
            <w:tcW w:w="1348" w:type="dxa"/>
            <w:vAlign w:val="center"/>
          </w:tcPr>
          <w:p w14:paraId="14FA26CA">
            <w:pPr>
              <w:spacing w:line="320" w:lineRule="exact"/>
              <w:jc w:val="center"/>
              <w:rPr>
                <w:rFonts w:hint="eastAsia" w:ascii="宋体" w:hAnsi="宋体" w:cs="宋体"/>
                <w:color w:val="auto"/>
                <w:sz w:val="24"/>
                <w:highlight w:val="none"/>
              </w:rPr>
            </w:pPr>
          </w:p>
        </w:tc>
      </w:tr>
      <w:tr w14:paraId="37E1B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5B6313D8">
            <w:pPr>
              <w:jc w:val="center"/>
              <w:rPr>
                <w:rFonts w:hint="eastAsia" w:ascii="宋体" w:hAnsi="宋体" w:cs="宋体"/>
                <w:color w:val="auto"/>
                <w:sz w:val="24"/>
                <w:highlight w:val="none"/>
              </w:rPr>
            </w:pPr>
          </w:p>
        </w:tc>
        <w:tc>
          <w:tcPr>
            <w:tcW w:w="1752" w:type="dxa"/>
            <w:vAlign w:val="center"/>
          </w:tcPr>
          <w:p w14:paraId="02FD1A71">
            <w:pPr>
              <w:spacing w:line="320" w:lineRule="exact"/>
              <w:jc w:val="center"/>
              <w:rPr>
                <w:rFonts w:hint="eastAsia" w:ascii="宋体" w:hAnsi="宋体" w:cs="宋体"/>
                <w:color w:val="auto"/>
                <w:sz w:val="24"/>
                <w:highlight w:val="none"/>
              </w:rPr>
            </w:pPr>
          </w:p>
        </w:tc>
        <w:tc>
          <w:tcPr>
            <w:tcW w:w="2158" w:type="dxa"/>
            <w:vAlign w:val="center"/>
          </w:tcPr>
          <w:p w14:paraId="42EC13C7">
            <w:pPr>
              <w:spacing w:line="320" w:lineRule="exact"/>
              <w:jc w:val="center"/>
              <w:rPr>
                <w:rFonts w:hint="eastAsia" w:ascii="宋体" w:hAnsi="宋体" w:cs="宋体"/>
                <w:color w:val="auto"/>
                <w:sz w:val="24"/>
                <w:highlight w:val="none"/>
              </w:rPr>
            </w:pPr>
          </w:p>
        </w:tc>
        <w:tc>
          <w:tcPr>
            <w:tcW w:w="2329" w:type="dxa"/>
            <w:vAlign w:val="center"/>
          </w:tcPr>
          <w:p w14:paraId="75BF9202">
            <w:pPr>
              <w:spacing w:line="320" w:lineRule="exact"/>
              <w:jc w:val="center"/>
              <w:rPr>
                <w:rFonts w:hint="eastAsia" w:ascii="宋体" w:hAnsi="宋体" w:cs="宋体"/>
                <w:color w:val="auto"/>
                <w:sz w:val="24"/>
                <w:highlight w:val="none"/>
              </w:rPr>
            </w:pPr>
          </w:p>
        </w:tc>
        <w:tc>
          <w:tcPr>
            <w:tcW w:w="1214" w:type="dxa"/>
            <w:vAlign w:val="center"/>
          </w:tcPr>
          <w:p w14:paraId="515149F7">
            <w:pPr>
              <w:spacing w:line="320" w:lineRule="exact"/>
              <w:jc w:val="center"/>
              <w:rPr>
                <w:rFonts w:hint="eastAsia" w:ascii="宋体" w:hAnsi="宋体" w:cs="宋体"/>
                <w:color w:val="auto"/>
                <w:sz w:val="24"/>
                <w:highlight w:val="none"/>
              </w:rPr>
            </w:pPr>
          </w:p>
        </w:tc>
        <w:tc>
          <w:tcPr>
            <w:tcW w:w="1348" w:type="dxa"/>
            <w:vAlign w:val="center"/>
          </w:tcPr>
          <w:p w14:paraId="368F70A8">
            <w:pPr>
              <w:spacing w:line="320" w:lineRule="exact"/>
              <w:jc w:val="center"/>
              <w:rPr>
                <w:rFonts w:hint="eastAsia" w:ascii="宋体" w:hAnsi="宋体" w:cs="宋体"/>
                <w:color w:val="auto"/>
                <w:sz w:val="24"/>
                <w:highlight w:val="none"/>
              </w:rPr>
            </w:pPr>
          </w:p>
        </w:tc>
      </w:tr>
      <w:tr w14:paraId="13AA0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68D27EF3">
            <w:pPr>
              <w:spacing w:line="320" w:lineRule="exact"/>
              <w:jc w:val="center"/>
              <w:rPr>
                <w:rFonts w:hint="eastAsia" w:ascii="宋体" w:hAnsi="宋体" w:cs="宋体"/>
                <w:b/>
                <w:color w:val="auto"/>
                <w:sz w:val="24"/>
                <w:highlight w:val="none"/>
              </w:rPr>
            </w:pPr>
          </w:p>
        </w:tc>
        <w:tc>
          <w:tcPr>
            <w:tcW w:w="1752" w:type="dxa"/>
            <w:vAlign w:val="center"/>
          </w:tcPr>
          <w:p w14:paraId="6E5D1E92">
            <w:pPr>
              <w:spacing w:line="320" w:lineRule="exact"/>
              <w:jc w:val="center"/>
              <w:rPr>
                <w:rFonts w:hint="eastAsia" w:ascii="宋体" w:hAnsi="宋体" w:cs="宋体"/>
                <w:color w:val="auto"/>
                <w:sz w:val="24"/>
                <w:highlight w:val="none"/>
              </w:rPr>
            </w:pPr>
          </w:p>
        </w:tc>
        <w:tc>
          <w:tcPr>
            <w:tcW w:w="2158" w:type="dxa"/>
            <w:vAlign w:val="center"/>
          </w:tcPr>
          <w:p w14:paraId="056AAF45">
            <w:pPr>
              <w:spacing w:line="320" w:lineRule="exact"/>
              <w:jc w:val="center"/>
              <w:rPr>
                <w:rFonts w:hint="eastAsia" w:ascii="宋体" w:hAnsi="宋体" w:cs="宋体"/>
                <w:color w:val="auto"/>
                <w:sz w:val="24"/>
                <w:highlight w:val="none"/>
              </w:rPr>
            </w:pPr>
          </w:p>
        </w:tc>
        <w:tc>
          <w:tcPr>
            <w:tcW w:w="2329" w:type="dxa"/>
            <w:vAlign w:val="center"/>
          </w:tcPr>
          <w:p w14:paraId="68D290A7">
            <w:pPr>
              <w:spacing w:line="320" w:lineRule="exact"/>
              <w:jc w:val="center"/>
              <w:rPr>
                <w:rFonts w:hint="eastAsia" w:ascii="宋体" w:hAnsi="宋体" w:cs="宋体"/>
                <w:color w:val="auto"/>
                <w:sz w:val="24"/>
                <w:highlight w:val="none"/>
              </w:rPr>
            </w:pPr>
          </w:p>
        </w:tc>
        <w:tc>
          <w:tcPr>
            <w:tcW w:w="1214" w:type="dxa"/>
            <w:vAlign w:val="center"/>
          </w:tcPr>
          <w:p w14:paraId="71044569">
            <w:pPr>
              <w:spacing w:line="320" w:lineRule="exact"/>
              <w:jc w:val="center"/>
              <w:rPr>
                <w:rFonts w:hint="eastAsia" w:ascii="宋体" w:hAnsi="宋体" w:cs="宋体"/>
                <w:color w:val="auto"/>
                <w:sz w:val="24"/>
                <w:highlight w:val="none"/>
              </w:rPr>
            </w:pPr>
          </w:p>
        </w:tc>
        <w:tc>
          <w:tcPr>
            <w:tcW w:w="1348" w:type="dxa"/>
            <w:vAlign w:val="center"/>
          </w:tcPr>
          <w:p w14:paraId="4BE7B8D1">
            <w:pPr>
              <w:spacing w:line="320" w:lineRule="exact"/>
              <w:jc w:val="center"/>
              <w:rPr>
                <w:rFonts w:hint="eastAsia" w:ascii="宋体" w:hAnsi="宋体" w:cs="宋体"/>
                <w:color w:val="auto"/>
                <w:sz w:val="24"/>
                <w:highlight w:val="none"/>
              </w:rPr>
            </w:pPr>
          </w:p>
        </w:tc>
      </w:tr>
      <w:tr w14:paraId="05D66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7C7C0694">
            <w:pPr>
              <w:spacing w:line="320" w:lineRule="exact"/>
              <w:jc w:val="center"/>
              <w:rPr>
                <w:rFonts w:hint="eastAsia" w:ascii="宋体" w:hAnsi="宋体" w:cs="宋体"/>
                <w:b/>
                <w:color w:val="auto"/>
                <w:sz w:val="24"/>
                <w:highlight w:val="none"/>
              </w:rPr>
            </w:pPr>
          </w:p>
        </w:tc>
        <w:tc>
          <w:tcPr>
            <w:tcW w:w="1752" w:type="dxa"/>
            <w:vAlign w:val="center"/>
          </w:tcPr>
          <w:p w14:paraId="3D1558AC">
            <w:pPr>
              <w:spacing w:line="320" w:lineRule="exact"/>
              <w:jc w:val="center"/>
              <w:rPr>
                <w:rFonts w:hint="eastAsia" w:ascii="宋体" w:hAnsi="宋体" w:cs="宋体"/>
                <w:color w:val="auto"/>
                <w:sz w:val="24"/>
                <w:highlight w:val="none"/>
              </w:rPr>
            </w:pPr>
          </w:p>
        </w:tc>
        <w:tc>
          <w:tcPr>
            <w:tcW w:w="2158" w:type="dxa"/>
            <w:vAlign w:val="center"/>
          </w:tcPr>
          <w:p w14:paraId="76F79087">
            <w:pPr>
              <w:spacing w:line="320" w:lineRule="exact"/>
              <w:jc w:val="center"/>
              <w:rPr>
                <w:rFonts w:hint="eastAsia" w:ascii="宋体" w:hAnsi="宋体" w:cs="宋体"/>
                <w:color w:val="auto"/>
                <w:sz w:val="24"/>
                <w:highlight w:val="none"/>
              </w:rPr>
            </w:pPr>
          </w:p>
        </w:tc>
        <w:tc>
          <w:tcPr>
            <w:tcW w:w="2329" w:type="dxa"/>
            <w:vAlign w:val="center"/>
          </w:tcPr>
          <w:p w14:paraId="12708747">
            <w:pPr>
              <w:spacing w:line="320" w:lineRule="exact"/>
              <w:jc w:val="center"/>
              <w:rPr>
                <w:rFonts w:hint="eastAsia" w:ascii="宋体" w:hAnsi="宋体" w:cs="宋体"/>
                <w:color w:val="auto"/>
                <w:sz w:val="24"/>
                <w:highlight w:val="none"/>
              </w:rPr>
            </w:pPr>
          </w:p>
        </w:tc>
        <w:tc>
          <w:tcPr>
            <w:tcW w:w="1214" w:type="dxa"/>
            <w:vAlign w:val="center"/>
          </w:tcPr>
          <w:p w14:paraId="02026891">
            <w:pPr>
              <w:spacing w:line="320" w:lineRule="exact"/>
              <w:jc w:val="center"/>
              <w:rPr>
                <w:rFonts w:hint="eastAsia" w:ascii="宋体" w:hAnsi="宋体" w:cs="宋体"/>
                <w:color w:val="auto"/>
                <w:sz w:val="24"/>
                <w:highlight w:val="none"/>
              </w:rPr>
            </w:pPr>
          </w:p>
        </w:tc>
        <w:tc>
          <w:tcPr>
            <w:tcW w:w="1348" w:type="dxa"/>
            <w:vAlign w:val="center"/>
          </w:tcPr>
          <w:p w14:paraId="317237E0">
            <w:pPr>
              <w:spacing w:line="320" w:lineRule="exact"/>
              <w:jc w:val="center"/>
              <w:rPr>
                <w:rFonts w:hint="eastAsia" w:ascii="宋体" w:hAnsi="宋体" w:cs="宋体"/>
                <w:color w:val="auto"/>
                <w:sz w:val="24"/>
                <w:highlight w:val="none"/>
              </w:rPr>
            </w:pPr>
          </w:p>
        </w:tc>
      </w:tr>
      <w:tr w14:paraId="3B59C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0CE876FD">
            <w:pPr>
              <w:spacing w:line="320" w:lineRule="exact"/>
              <w:jc w:val="center"/>
              <w:rPr>
                <w:rFonts w:hint="eastAsia" w:ascii="宋体" w:hAnsi="宋体" w:cs="宋体"/>
                <w:color w:val="auto"/>
                <w:sz w:val="24"/>
                <w:highlight w:val="none"/>
              </w:rPr>
            </w:pPr>
          </w:p>
        </w:tc>
        <w:tc>
          <w:tcPr>
            <w:tcW w:w="1752" w:type="dxa"/>
            <w:vAlign w:val="center"/>
          </w:tcPr>
          <w:p w14:paraId="4D296F52">
            <w:pPr>
              <w:spacing w:line="320" w:lineRule="exact"/>
              <w:jc w:val="center"/>
              <w:rPr>
                <w:rFonts w:hint="eastAsia" w:ascii="宋体" w:hAnsi="宋体" w:cs="宋体"/>
                <w:color w:val="auto"/>
                <w:sz w:val="24"/>
                <w:highlight w:val="none"/>
              </w:rPr>
            </w:pPr>
          </w:p>
        </w:tc>
        <w:tc>
          <w:tcPr>
            <w:tcW w:w="2158" w:type="dxa"/>
            <w:vAlign w:val="center"/>
          </w:tcPr>
          <w:p w14:paraId="49A08B75">
            <w:pPr>
              <w:spacing w:line="320" w:lineRule="exact"/>
              <w:jc w:val="center"/>
              <w:rPr>
                <w:rFonts w:hint="eastAsia" w:ascii="宋体" w:hAnsi="宋体" w:cs="宋体"/>
                <w:color w:val="auto"/>
                <w:sz w:val="24"/>
                <w:highlight w:val="none"/>
              </w:rPr>
            </w:pPr>
          </w:p>
        </w:tc>
        <w:tc>
          <w:tcPr>
            <w:tcW w:w="2329" w:type="dxa"/>
            <w:vAlign w:val="center"/>
          </w:tcPr>
          <w:p w14:paraId="2F12EC35">
            <w:pPr>
              <w:spacing w:line="320" w:lineRule="exact"/>
              <w:jc w:val="center"/>
              <w:rPr>
                <w:rFonts w:hint="eastAsia" w:ascii="宋体" w:hAnsi="宋体" w:cs="宋体"/>
                <w:color w:val="auto"/>
                <w:sz w:val="24"/>
                <w:highlight w:val="none"/>
              </w:rPr>
            </w:pPr>
          </w:p>
        </w:tc>
        <w:tc>
          <w:tcPr>
            <w:tcW w:w="1214" w:type="dxa"/>
            <w:vAlign w:val="center"/>
          </w:tcPr>
          <w:p w14:paraId="03FC8BE4">
            <w:pPr>
              <w:spacing w:line="320" w:lineRule="exact"/>
              <w:jc w:val="center"/>
              <w:rPr>
                <w:rFonts w:hint="eastAsia" w:ascii="宋体" w:hAnsi="宋体" w:cs="宋体"/>
                <w:color w:val="auto"/>
                <w:sz w:val="24"/>
                <w:highlight w:val="none"/>
              </w:rPr>
            </w:pPr>
          </w:p>
        </w:tc>
        <w:tc>
          <w:tcPr>
            <w:tcW w:w="1348" w:type="dxa"/>
            <w:vAlign w:val="center"/>
          </w:tcPr>
          <w:p w14:paraId="0A8F6D1E">
            <w:pPr>
              <w:spacing w:line="320" w:lineRule="exact"/>
              <w:jc w:val="center"/>
              <w:rPr>
                <w:rFonts w:hint="eastAsia" w:ascii="宋体" w:hAnsi="宋体" w:cs="宋体"/>
                <w:color w:val="auto"/>
                <w:sz w:val="24"/>
                <w:highlight w:val="none"/>
              </w:rPr>
            </w:pPr>
          </w:p>
        </w:tc>
      </w:tr>
      <w:tr w14:paraId="063E8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7F82AC0B">
            <w:pPr>
              <w:spacing w:line="320" w:lineRule="exact"/>
              <w:jc w:val="center"/>
              <w:rPr>
                <w:rFonts w:hint="eastAsia" w:ascii="宋体" w:hAnsi="宋体" w:cs="宋体"/>
                <w:color w:val="auto"/>
                <w:sz w:val="24"/>
                <w:highlight w:val="none"/>
              </w:rPr>
            </w:pPr>
          </w:p>
        </w:tc>
        <w:tc>
          <w:tcPr>
            <w:tcW w:w="1752" w:type="dxa"/>
            <w:vAlign w:val="center"/>
          </w:tcPr>
          <w:p w14:paraId="530F18E8">
            <w:pPr>
              <w:spacing w:line="320" w:lineRule="exact"/>
              <w:jc w:val="center"/>
              <w:rPr>
                <w:rFonts w:hint="eastAsia" w:ascii="宋体" w:hAnsi="宋体" w:cs="宋体"/>
                <w:color w:val="auto"/>
                <w:sz w:val="24"/>
                <w:highlight w:val="none"/>
              </w:rPr>
            </w:pPr>
          </w:p>
        </w:tc>
        <w:tc>
          <w:tcPr>
            <w:tcW w:w="2158" w:type="dxa"/>
            <w:vAlign w:val="center"/>
          </w:tcPr>
          <w:p w14:paraId="053B6050">
            <w:pPr>
              <w:spacing w:line="320" w:lineRule="exact"/>
              <w:jc w:val="center"/>
              <w:rPr>
                <w:rFonts w:hint="eastAsia" w:ascii="宋体" w:hAnsi="宋体" w:cs="宋体"/>
                <w:color w:val="auto"/>
                <w:sz w:val="24"/>
                <w:highlight w:val="none"/>
              </w:rPr>
            </w:pPr>
          </w:p>
        </w:tc>
        <w:tc>
          <w:tcPr>
            <w:tcW w:w="2329" w:type="dxa"/>
            <w:vAlign w:val="center"/>
          </w:tcPr>
          <w:p w14:paraId="51EAA358">
            <w:pPr>
              <w:spacing w:line="320" w:lineRule="exact"/>
              <w:jc w:val="center"/>
              <w:rPr>
                <w:rFonts w:hint="eastAsia" w:ascii="宋体" w:hAnsi="宋体" w:cs="宋体"/>
                <w:color w:val="auto"/>
                <w:sz w:val="24"/>
                <w:highlight w:val="none"/>
              </w:rPr>
            </w:pPr>
          </w:p>
        </w:tc>
        <w:tc>
          <w:tcPr>
            <w:tcW w:w="1214" w:type="dxa"/>
            <w:vAlign w:val="center"/>
          </w:tcPr>
          <w:p w14:paraId="31894F58">
            <w:pPr>
              <w:spacing w:line="320" w:lineRule="exact"/>
              <w:jc w:val="center"/>
              <w:rPr>
                <w:rFonts w:hint="eastAsia" w:ascii="宋体" w:hAnsi="宋体" w:cs="宋体"/>
                <w:color w:val="auto"/>
                <w:sz w:val="24"/>
                <w:highlight w:val="none"/>
              </w:rPr>
            </w:pPr>
          </w:p>
        </w:tc>
        <w:tc>
          <w:tcPr>
            <w:tcW w:w="1348" w:type="dxa"/>
            <w:vAlign w:val="center"/>
          </w:tcPr>
          <w:p w14:paraId="7BB5BDC7">
            <w:pPr>
              <w:spacing w:line="320" w:lineRule="exact"/>
              <w:jc w:val="center"/>
              <w:rPr>
                <w:rFonts w:hint="eastAsia" w:ascii="宋体" w:hAnsi="宋体" w:cs="宋体"/>
                <w:color w:val="auto"/>
                <w:sz w:val="24"/>
                <w:highlight w:val="none"/>
              </w:rPr>
            </w:pPr>
          </w:p>
        </w:tc>
      </w:tr>
      <w:tr w14:paraId="7F6B7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26EEFF0E">
            <w:pPr>
              <w:spacing w:line="320" w:lineRule="exact"/>
              <w:jc w:val="center"/>
              <w:rPr>
                <w:rFonts w:hint="eastAsia" w:ascii="宋体" w:hAnsi="宋体" w:cs="宋体"/>
                <w:b/>
                <w:color w:val="auto"/>
                <w:sz w:val="24"/>
                <w:highlight w:val="none"/>
              </w:rPr>
            </w:pPr>
          </w:p>
        </w:tc>
        <w:tc>
          <w:tcPr>
            <w:tcW w:w="1752" w:type="dxa"/>
            <w:vAlign w:val="center"/>
          </w:tcPr>
          <w:p w14:paraId="39BB9627">
            <w:pPr>
              <w:spacing w:line="320" w:lineRule="exact"/>
              <w:jc w:val="center"/>
              <w:rPr>
                <w:rFonts w:hint="eastAsia" w:ascii="宋体" w:hAnsi="宋体" w:cs="宋体"/>
                <w:b/>
                <w:color w:val="auto"/>
                <w:sz w:val="24"/>
                <w:highlight w:val="none"/>
              </w:rPr>
            </w:pPr>
          </w:p>
        </w:tc>
        <w:tc>
          <w:tcPr>
            <w:tcW w:w="2158" w:type="dxa"/>
            <w:vAlign w:val="center"/>
          </w:tcPr>
          <w:p w14:paraId="6C7C1661">
            <w:pPr>
              <w:spacing w:line="320" w:lineRule="exact"/>
              <w:jc w:val="center"/>
              <w:rPr>
                <w:rFonts w:hint="eastAsia" w:ascii="宋体" w:hAnsi="宋体" w:cs="宋体"/>
                <w:color w:val="auto"/>
                <w:sz w:val="24"/>
                <w:highlight w:val="none"/>
              </w:rPr>
            </w:pPr>
          </w:p>
        </w:tc>
        <w:tc>
          <w:tcPr>
            <w:tcW w:w="2329" w:type="dxa"/>
            <w:vAlign w:val="center"/>
          </w:tcPr>
          <w:p w14:paraId="6F737AA0">
            <w:pPr>
              <w:spacing w:line="320" w:lineRule="exact"/>
              <w:jc w:val="center"/>
              <w:rPr>
                <w:rFonts w:hint="eastAsia" w:ascii="宋体" w:hAnsi="宋体" w:cs="宋体"/>
                <w:color w:val="auto"/>
                <w:sz w:val="24"/>
                <w:highlight w:val="none"/>
              </w:rPr>
            </w:pPr>
          </w:p>
        </w:tc>
        <w:tc>
          <w:tcPr>
            <w:tcW w:w="1214" w:type="dxa"/>
            <w:vAlign w:val="center"/>
          </w:tcPr>
          <w:p w14:paraId="3C3441D7">
            <w:pPr>
              <w:spacing w:line="320" w:lineRule="exact"/>
              <w:jc w:val="center"/>
              <w:rPr>
                <w:rFonts w:hint="eastAsia" w:ascii="宋体" w:hAnsi="宋体" w:cs="宋体"/>
                <w:color w:val="auto"/>
                <w:sz w:val="24"/>
                <w:highlight w:val="none"/>
              </w:rPr>
            </w:pPr>
          </w:p>
        </w:tc>
        <w:tc>
          <w:tcPr>
            <w:tcW w:w="1348" w:type="dxa"/>
            <w:vAlign w:val="center"/>
          </w:tcPr>
          <w:p w14:paraId="3BCE965E">
            <w:pPr>
              <w:spacing w:line="320" w:lineRule="exact"/>
              <w:jc w:val="center"/>
              <w:rPr>
                <w:rFonts w:hint="eastAsia" w:ascii="宋体" w:hAnsi="宋体" w:cs="宋体"/>
                <w:color w:val="auto"/>
                <w:sz w:val="24"/>
                <w:highlight w:val="none"/>
              </w:rPr>
            </w:pPr>
          </w:p>
        </w:tc>
      </w:tr>
      <w:tr w14:paraId="2024C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589AE6BE">
            <w:pPr>
              <w:jc w:val="center"/>
              <w:rPr>
                <w:rFonts w:hint="eastAsia" w:ascii="宋体" w:hAnsi="宋体" w:cs="宋体"/>
                <w:color w:val="auto"/>
                <w:sz w:val="24"/>
                <w:highlight w:val="none"/>
              </w:rPr>
            </w:pPr>
          </w:p>
        </w:tc>
        <w:tc>
          <w:tcPr>
            <w:tcW w:w="1752" w:type="dxa"/>
            <w:vAlign w:val="center"/>
          </w:tcPr>
          <w:p w14:paraId="4992F3E5">
            <w:pPr>
              <w:spacing w:line="320" w:lineRule="exact"/>
              <w:jc w:val="center"/>
              <w:rPr>
                <w:rFonts w:hint="eastAsia" w:ascii="宋体" w:hAnsi="宋体" w:cs="宋体"/>
                <w:color w:val="auto"/>
                <w:sz w:val="24"/>
                <w:highlight w:val="none"/>
              </w:rPr>
            </w:pPr>
          </w:p>
        </w:tc>
        <w:tc>
          <w:tcPr>
            <w:tcW w:w="2158" w:type="dxa"/>
            <w:vAlign w:val="center"/>
          </w:tcPr>
          <w:p w14:paraId="25A36F1C">
            <w:pPr>
              <w:spacing w:line="320" w:lineRule="exact"/>
              <w:jc w:val="center"/>
              <w:rPr>
                <w:rFonts w:hint="eastAsia" w:ascii="宋体" w:hAnsi="宋体" w:cs="宋体"/>
                <w:color w:val="auto"/>
                <w:sz w:val="24"/>
                <w:highlight w:val="none"/>
              </w:rPr>
            </w:pPr>
          </w:p>
        </w:tc>
        <w:tc>
          <w:tcPr>
            <w:tcW w:w="2329" w:type="dxa"/>
            <w:vAlign w:val="center"/>
          </w:tcPr>
          <w:p w14:paraId="09EA53A0">
            <w:pPr>
              <w:spacing w:line="320" w:lineRule="exact"/>
              <w:jc w:val="center"/>
              <w:rPr>
                <w:rFonts w:hint="eastAsia" w:ascii="宋体" w:hAnsi="宋体" w:cs="宋体"/>
                <w:color w:val="auto"/>
                <w:sz w:val="24"/>
                <w:highlight w:val="none"/>
              </w:rPr>
            </w:pPr>
          </w:p>
        </w:tc>
        <w:tc>
          <w:tcPr>
            <w:tcW w:w="1214" w:type="dxa"/>
            <w:vAlign w:val="center"/>
          </w:tcPr>
          <w:p w14:paraId="7D96DB6A">
            <w:pPr>
              <w:spacing w:line="320" w:lineRule="exact"/>
              <w:jc w:val="center"/>
              <w:rPr>
                <w:rFonts w:hint="eastAsia" w:ascii="宋体" w:hAnsi="宋体" w:cs="宋体"/>
                <w:color w:val="auto"/>
                <w:sz w:val="24"/>
                <w:highlight w:val="none"/>
              </w:rPr>
            </w:pPr>
          </w:p>
        </w:tc>
        <w:tc>
          <w:tcPr>
            <w:tcW w:w="1348" w:type="dxa"/>
            <w:vAlign w:val="center"/>
          </w:tcPr>
          <w:p w14:paraId="1F6C7DDA">
            <w:pPr>
              <w:spacing w:line="320" w:lineRule="exact"/>
              <w:jc w:val="center"/>
              <w:rPr>
                <w:rFonts w:hint="eastAsia" w:ascii="宋体" w:hAnsi="宋体" w:cs="宋体"/>
                <w:color w:val="auto"/>
                <w:sz w:val="24"/>
                <w:highlight w:val="none"/>
              </w:rPr>
            </w:pPr>
          </w:p>
        </w:tc>
      </w:tr>
      <w:tr w14:paraId="7FED5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vAlign w:val="center"/>
          </w:tcPr>
          <w:p w14:paraId="3F4914EE">
            <w:pPr>
              <w:jc w:val="center"/>
              <w:rPr>
                <w:rFonts w:hint="eastAsia" w:ascii="宋体" w:hAnsi="宋体" w:cs="宋体"/>
                <w:color w:val="auto"/>
                <w:sz w:val="24"/>
                <w:highlight w:val="none"/>
              </w:rPr>
            </w:pPr>
          </w:p>
        </w:tc>
        <w:tc>
          <w:tcPr>
            <w:tcW w:w="1752" w:type="dxa"/>
            <w:vAlign w:val="center"/>
          </w:tcPr>
          <w:p w14:paraId="71B4CEE4">
            <w:pPr>
              <w:spacing w:line="320" w:lineRule="exact"/>
              <w:jc w:val="center"/>
              <w:rPr>
                <w:rFonts w:hint="eastAsia" w:ascii="宋体" w:hAnsi="宋体" w:cs="宋体"/>
                <w:color w:val="auto"/>
                <w:sz w:val="24"/>
                <w:highlight w:val="none"/>
              </w:rPr>
            </w:pPr>
          </w:p>
        </w:tc>
        <w:tc>
          <w:tcPr>
            <w:tcW w:w="2158" w:type="dxa"/>
            <w:vAlign w:val="center"/>
          </w:tcPr>
          <w:p w14:paraId="4071F844">
            <w:pPr>
              <w:spacing w:line="320" w:lineRule="exact"/>
              <w:jc w:val="center"/>
              <w:rPr>
                <w:rFonts w:hint="eastAsia" w:ascii="宋体" w:hAnsi="宋体" w:cs="宋体"/>
                <w:color w:val="auto"/>
                <w:sz w:val="24"/>
                <w:highlight w:val="none"/>
              </w:rPr>
            </w:pPr>
          </w:p>
        </w:tc>
        <w:tc>
          <w:tcPr>
            <w:tcW w:w="2329" w:type="dxa"/>
            <w:vAlign w:val="center"/>
          </w:tcPr>
          <w:p w14:paraId="6F4E10DB">
            <w:pPr>
              <w:spacing w:line="320" w:lineRule="exact"/>
              <w:jc w:val="center"/>
              <w:rPr>
                <w:rFonts w:hint="eastAsia" w:ascii="宋体" w:hAnsi="宋体" w:cs="宋体"/>
                <w:color w:val="auto"/>
                <w:sz w:val="24"/>
                <w:highlight w:val="none"/>
              </w:rPr>
            </w:pPr>
          </w:p>
        </w:tc>
        <w:tc>
          <w:tcPr>
            <w:tcW w:w="1214" w:type="dxa"/>
            <w:vAlign w:val="center"/>
          </w:tcPr>
          <w:p w14:paraId="20E99EB1">
            <w:pPr>
              <w:spacing w:line="320" w:lineRule="exact"/>
              <w:jc w:val="center"/>
              <w:rPr>
                <w:rFonts w:hint="eastAsia" w:ascii="宋体" w:hAnsi="宋体" w:cs="宋体"/>
                <w:color w:val="auto"/>
                <w:sz w:val="24"/>
                <w:highlight w:val="none"/>
              </w:rPr>
            </w:pPr>
          </w:p>
        </w:tc>
        <w:tc>
          <w:tcPr>
            <w:tcW w:w="1348" w:type="dxa"/>
            <w:vAlign w:val="center"/>
          </w:tcPr>
          <w:p w14:paraId="3D79ACF7">
            <w:pPr>
              <w:spacing w:line="320" w:lineRule="exact"/>
              <w:jc w:val="center"/>
              <w:rPr>
                <w:rFonts w:hint="eastAsia" w:ascii="宋体" w:hAnsi="宋体" w:cs="宋体"/>
                <w:color w:val="auto"/>
                <w:sz w:val="24"/>
                <w:highlight w:val="none"/>
              </w:rPr>
            </w:pPr>
          </w:p>
        </w:tc>
      </w:tr>
    </w:tbl>
    <w:p w14:paraId="4E2AB7E0">
      <w:pPr>
        <w:spacing w:line="360" w:lineRule="auto"/>
        <w:ind w:firstLine="420" w:firstLineChars="175"/>
        <w:rPr>
          <w:color w:val="auto"/>
          <w:sz w:val="24"/>
          <w:szCs w:val="32"/>
          <w:highlight w:val="none"/>
        </w:rPr>
      </w:pPr>
      <w:r>
        <w:rPr>
          <w:rFonts w:hint="eastAsia"/>
          <w:color w:val="auto"/>
          <w:sz w:val="24"/>
          <w:szCs w:val="32"/>
          <w:highlight w:val="none"/>
        </w:rPr>
        <w:t>注：（1）投标人应对照第二章《项目采购需求》中所列技术参数、性能指标要求逐条对应填报投标货物的技术参数、性能指标等承诺，并在“偏离情况”栏注明“正偏离”、 “负偏离”或“无偏离”，当出现“正偏离”情况时应详细填写偏离情况说明及提供相应有效证明材料。</w:t>
      </w:r>
    </w:p>
    <w:p w14:paraId="57DCF63F">
      <w:pPr>
        <w:spacing w:line="360" w:lineRule="auto"/>
        <w:ind w:firstLine="420" w:firstLineChars="175"/>
        <w:rPr>
          <w:color w:val="auto"/>
          <w:sz w:val="24"/>
          <w:szCs w:val="32"/>
          <w:highlight w:val="none"/>
        </w:rPr>
      </w:pPr>
      <w:r>
        <w:rPr>
          <w:rFonts w:hint="eastAsia"/>
          <w:color w:val="auto"/>
          <w:sz w:val="24"/>
          <w:szCs w:val="32"/>
          <w:highlight w:val="none"/>
        </w:rPr>
        <w:t>（2）投标技术参数性能指标与招标要求相同的为无偏离，高于招标要求的为正偏离，低于招标要求的为负偏离。</w:t>
      </w:r>
    </w:p>
    <w:p w14:paraId="52DFC1FA">
      <w:pPr>
        <w:snapToGrid w:val="0"/>
        <w:spacing w:before="156" w:beforeLines="50"/>
        <w:rPr>
          <w:rFonts w:hint="eastAsia" w:ascii="宋体" w:hAnsi="宋体" w:cs="宋体"/>
          <w:color w:val="auto"/>
          <w:szCs w:val="21"/>
          <w:highlight w:val="none"/>
        </w:rPr>
      </w:pPr>
    </w:p>
    <w:p w14:paraId="6D216DA8">
      <w:pPr>
        <w:pStyle w:val="14"/>
        <w:spacing w:line="360" w:lineRule="auto"/>
        <w:ind w:firstLine="2160" w:firstLineChars="9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678BE11">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1206BB7">
      <w:pPr>
        <w:snapToGrid w:val="0"/>
        <w:spacing w:before="50" w:after="156" w:afterLines="50"/>
        <w:rPr>
          <w:rFonts w:hint="eastAsia" w:ascii="宋体" w:hAnsi="宋体" w:cs="宋体"/>
          <w:b/>
          <w:bCs/>
          <w:color w:val="auto"/>
          <w:highlight w:val="none"/>
        </w:rPr>
      </w:pPr>
    </w:p>
    <w:p w14:paraId="63D127A4">
      <w:pPr>
        <w:snapToGrid w:val="0"/>
        <w:spacing w:before="50" w:after="156" w:afterLines="50"/>
        <w:rPr>
          <w:rFonts w:hint="eastAsia" w:ascii="宋体" w:hAnsi="宋体" w:cs="宋体"/>
          <w:color w:val="auto"/>
          <w:szCs w:val="21"/>
          <w:highlight w:val="none"/>
        </w:rPr>
      </w:pPr>
    </w:p>
    <w:p w14:paraId="69EAA873">
      <w:pPr>
        <w:pStyle w:val="13"/>
        <w:rPr>
          <w:rFonts w:hint="eastAsia" w:ascii="宋体" w:hAnsi="宋体" w:eastAsia="宋体" w:cs="宋体"/>
          <w:color w:val="auto"/>
          <w:highlight w:val="none"/>
        </w:rPr>
      </w:pPr>
    </w:p>
    <w:p w14:paraId="6A4D36DD">
      <w:pPr>
        <w:snapToGrid w:val="0"/>
        <w:spacing w:before="50"/>
        <w:jc w:val="left"/>
        <w:rPr>
          <w:rFonts w:hint="eastAsia" w:ascii="宋体" w:hAnsi="宋体" w:cs="宋体"/>
          <w:color w:val="auto"/>
          <w:spacing w:val="-2"/>
          <w:sz w:val="28"/>
          <w:szCs w:val="28"/>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（2）投标货物配置清单格式：</w:t>
      </w:r>
    </w:p>
    <w:p w14:paraId="2F3EBC7D">
      <w:pPr>
        <w:spacing w:before="91" w:line="190" w:lineRule="auto"/>
        <w:jc w:val="center"/>
        <w:rPr>
          <w:rFonts w:hint="eastAsia" w:ascii="宋体" w:hAnsi="宋体" w:cs="宋体"/>
          <w:b/>
          <w:bCs/>
          <w:color w:val="auto"/>
          <w:spacing w:val="-2"/>
          <w:sz w:val="32"/>
          <w:szCs w:val="32"/>
          <w:highlight w:val="none"/>
        </w:rPr>
      </w:pPr>
      <w:r>
        <w:rPr>
          <w:rFonts w:hint="eastAsia" w:ascii="宋体" w:hAnsi="宋体" w:cs="宋体"/>
          <w:b/>
          <w:bCs/>
          <w:color w:val="auto"/>
          <w:spacing w:val="-2"/>
          <w:sz w:val="32"/>
          <w:szCs w:val="32"/>
          <w:highlight w:val="none"/>
        </w:rPr>
        <w:t>投标货物配置清单</w:t>
      </w:r>
    </w:p>
    <w:p w14:paraId="14D1D916">
      <w:pPr>
        <w:rPr>
          <w:rFonts w:hint="eastAsia" w:ascii="宋体" w:hAnsi="宋体" w:cs="宋体"/>
          <w:color w:val="auto"/>
          <w:sz w:val="24"/>
          <w:highlight w:val="none"/>
        </w:rPr>
      </w:pPr>
    </w:p>
    <w:p w14:paraId="5181D405">
      <w:pPr>
        <w:rPr>
          <w:color w:val="auto"/>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CAF920A">
      <w:pPr>
        <w:rPr>
          <w:rFonts w:hint="eastAsia" w:ascii="宋体" w:hAnsi="宋体"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768"/>
        <w:gridCol w:w="1083"/>
        <w:gridCol w:w="1627"/>
        <w:gridCol w:w="980"/>
        <w:gridCol w:w="1987"/>
        <w:gridCol w:w="894"/>
      </w:tblGrid>
      <w:tr w14:paraId="30268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6827BBF">
            <w:pPr>
              <w:snapToGrid w:val="0"/>
              <w:spacing w:before="50" w:after="50" w:line="440" w:lineRule="exact"/>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06D240CE">
            <w:pPr>
              <w:snapToGrid w:val="0"/>
              <w:spacing w:before="50" w:after="50" w:line="440" w:lineRule="exact"/>
              <w:jc w:val="center"/>
              <w:rPr>
                <w:rFonts w:hint="eastAsia" w:ascii="宋体" w:hAnsi="宋体"/>
                <w:b/>
                <w:bCs/>
                <w:color w:val="auto"/>
                <w:sz w:val="24"/>
                <w:highlight w:val="none"/>
              </w:rPr>
            </w:pPr>
            <w:r>
              <w:rPr>
                <w:rFonts w:hint="eastAsia" w:ascii="宋体" w:hAnsi="宋体"/>
                <w:b/>
                <w:bCs/>
                <w:color w:val="auto"/>
                <w:sz w:val="24"/>
                <w:highlight w:val="none"/>
              </w:rPr>
              <w:t>货物名称</w:t>
            </w:r>
          </w:p>
        </w:tc>
        <w:tc>
          <w:tcPr>
            <w:tcW w:w="1083" w:type="dxa"/>
            <w:tcBorders>
              <w:top w:val="single" w:color="auto" w:sz="4" w:space="0"/>
              <w:left w:val="single" w:color="auto" w:sz="4" w:space="0"/>
              <w:bottom w:val="single" w:color="auto" w:sz="4" w:space="0"/>
              <w:right w:val="single" w:color="auto" w:sz="4" w:space="0"/>
            </w:tcBorders>
            <w:vAlign w:val="center"/>
          </w:tcPr>
          <w:p w14:paraId="4B0CE066">
            <w:pPr>
              <w:snapToGrid w:val="0"/>
              <w:spacing w:before="50" w:after="50" w:line="440" w:lineRule="exact"/>
              <w:jc w:val="center"/>
              <w:rPr>
                <w:rFonts w:hint="eastAsia" w:ascii="宋体" w:hAnsi="宋体"/>
                <w:b/>
                <w:bCs/>
                <w:color w:val="auto"/>
                <w:sz w:val="24"/>
                <w:highlight w:val="none"/>
              </w:rPr>
            </w:pPr>
            <w:r>
              <w:rPr>
                <w:rFonts w:hint="eastAsia" w:ascii="宋体" w:hAnsi="宋体"/>
                <w:b/>
                <w:bCs/>
                <w:color w:val="auto"/>
                <w:sz w:val="24"/>
                <w:highlight w:val="none"/>
              </w:rPr>
              <w:t>品牌</w:t>
            </w:r>
          </w:p>
        </w:tc>
        <w:tc>
          <w:tcPr>
            <w:tcW w:w="1627" w:type="dxa"/>
            <w:tcBorders>
              <w:top w:val="single" w:color="auto" w:sz="4" w:space="0"/>
              <w:left w:val="single" w:color="auto" w:sz="4" w:space="0"/>
              <w:bottom w:val="single" w:color="auto" w:sz="4" w:space="0"/>
              <w:right w:val="single" w:color="auto" w:sz="4" w:space="0"/>
            </w:tcBorders>
            <w:vAlign w:val="center"/>
          </w:tcPr>
          <w:p w14:paraId="4809806C">
            <w:pPr>
              <w:snapToGrid w:val="0"/>
              <w:spacing w:before="50" w:after="50" w:line="440" w:lineRule="exact"/>
              <w:jc w:val="center"/>
              <w:rPr>
                <w:rFonts w:hint="eastAsia" w:ascii="宋体" w:hAnsi="宋体"/>
                <w:b/>
                <w:bCs/>
                <w:color w:val="auto"/>
                <w:sz w:val="24"/>
                <w:highlight w:val="none"/>
              </w:rPr>
            </w:pPr>
            <w:r>
              <w:rPr>
                <w:rFonts w:hint="eastAsia" w:ascii="宋体" w:hAnsi="宋体"/>
                <w:b/>
                <w:bCs/>
                <w:color w:val="auto"/>
                <w:sz w:val="24"/>
                <w:highlight w:val="none"/>
              </w:rPr>
              <w:t>规格型号</w:t>
            </w:r>
          </w:p>
        </w:tc>
        <w:tc>
          <w:tcPr>
            <w:tcW w:w="980" w:type="dxa"/>
            <w:tcBorders>
              <w:top w:val="single" w:color="auto" w:sz="4" w:space="0"/>
              <w:left w:val="single" w:color="auto" w:sz="4" w:space="0"/>
              <w:bottom w:val="single" w:color="auto" w:sz="4" w:space="0"/>
              <w:right w:val="single" w:color="auto" w:sz="4" w:space="0"/>
            </w:tcBorders>
            <w:vAlign w:val="center"/>
          </w:tcPr>
          <w:p w14:paraId="2F908122">
            <w:pPr>
              <w:snapToGrid w:val="0"/>
              <w:spacing w:before="50" w:after="50" w:line="440" w:lineRule="exact"/>
              <w:jc w:val="center"/>
              <w:rPr>
                <w:rFonts w:hint="eastAsia" w:ascii="宋体" w:hAnsi="宋体"/>
                <w:b/>
                <w:bCs/>
                <w:color w:val="auto"/>
                <w:sz w:val="24"/>
                <w:highlight w:val="none"/>
              </w:rPr>
            </w:pPr>
            <w:r>
              <w:rPr>
                <w:rFonts w:hint="eastAsia" w:ascii="宋体" w:hAnsi="宋体"/>
                <w:b/>
                <w:bCs/>
                <w:color w:val="auto"/>
                <w:sz w:val="24"/>
                <w:highlight w:val="none"/>
              </w:rPr>
              <w:t>数量及单位</w:t>
            </w:r>
          </w:p>
        </w:tc>
        <w:tc>
          <w:tcPr>
            <w:tcW w:w="1987" w:type="dxa"/>
            <w:tcBorders>
              <w:top w:val="single" w:color="auto" w:sz="4" w:space="0"/>
              <w:left w:val="single" w:color="auto" w:sz="4" w:space="0"/>
              <w:bottom w:val="single" w:color="auto" w:sz="4" w:space="0"/>
              <w:right w:val="single" w:color="auto" w:sz="4" w:space="0"/>
            </w:tcBorders>
            <w:vAlign w:val="center"/>
          </w:tcPr>
          <w:p w14:paraId="55B6BD48">
            <w:pPr>
              <w:snapToGrid w:val="0"/>
              <w:spacing w:before="50" w:after="50" w:line="440" w:lineRule="exact"/>
              <w:jc w:val="center"/>
              <w:rPr>
                <w:rFonts w:hint="eastAsia" w:ascii="宋体" w:hAnsi="宋体"/>
                <w:b/>
                <w:bCs/>
                <w:color w:val="auto"/>
                <w:sz w:val="24"/>
                <w:highlight w:val="none"/>
              </w:rPr>
            </w:pPr>
            <w:r>
              <w:rPr>
                <w:rFonts w:hint="eastAsia" w:ascii="宋体" w:hAnsi="宋体"/>
                <w:b/>
                <w:bCs/>
                <w:color w:val="auto"/>
                <w:sz w:val="24"/>
                <w:highlight w:val="none"/>
              </w:rPr>
              <w:t>性能及指标</w:t>
            </w:r>
          </w:p>
        </w:tc>
        <w:tc>
          <w:tcPr>
            <w:tcW w:w="894" w:type="dxa"/>
            <w:tcBorders>
              <w:top w:val="single" w:color="auto" w:sz="4" w:space="0"/>
              <w:left w:val="single" w:color="auto" w:sz="4" w:space="0"/>
              <w:bottom w:val="single" w:color="auto" w:sz="4" w:space="0"/>
              <w:right w:val="single" w:color="auto" w:sz="4" w:space="0"/>
            </w:tcBorders>
            <w:vAlign w:val="center"/>
          </w:tcPr>
          <w:p w14:paraId="5E885B61">
            <w:pPr>
              <w:snapToGrid w:val="0"/>
              <w:spacing w:before="50" w:after="50" w:line="440" w:lineRule="exact"/>
              <w:jc w:val="center"/>
              <w:rPr>
                <w:rFonts w:hint="eastAsia" w:ascii="宋体" w:hAnsi="宋体"/>
                <w:b/>
                <w:bCs/>
                <w:color w:val="auto"/>
                <w:sz w:val="24"/>
                <w:highlight w:val="none"/>
              </w:rPr>
            </w:pPr>
            <w:r>
              <w:rPr>
                <w:rFonts w:hint="eastAsia" w:ascii="宋体" w:hAnsi="宋体"/>
                <w:b/>
                <w:bCs/>
                <w:color w:val="auto"/>
                <w:sz w:val="24"/>
                <w:highlight w:val="none"/>
              </w:rPr>
              <w:t>产地</w:t>
            </w:r>
          </w:p>
        </w:tc>
      </w:tr>
      <w:tr w14:paraId="7E71B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1C1AF18">
            <w:pPr>
              <w:snapToGrid w:val="0"/>
              <w:spacing w:before="50" w:after="50" w:line="440" w:lineRule="exact"/>
              <w:jc w:val="center"/>
              <w:rPr>
                <w:rFonts w:hint="eastAsia" w:ascii="宋体" w:hAnsi="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E671B84">
            <w:pPr>
              <w:snapToGrid w:val="0"/>
              <w:spacing w:before="50" w:after="50" w:line="440" w:lineRule="exact"/>
              <w:jc w:val="center"/>
              <w:rPr>
                <w:rFonts w:hint="eastAsia" w:ascii="宋体" w:hAnsi="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24974ABB">
            <w:pPr>
              <w:snapToGrid w:val="0"/>
              <w:spacing w:before="50" w:after="50" w:line="440" w:lineRule="exact"/>
              <w:jc w:val="center"/>
              <w:rPr>
                <w:rFonts w:hint="eastAsia" w:ascii="宋体" w:hAnsi="宋体"/>
                <w:color w:val="auto"/>
                <w:szCs w:val="21"/>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B1AAF1D">
            <w:pPr>
              <w:snapToGrid w:val="0"/>
              <w:spacing w:before="50" w:after="50" w:line="440" w:lineRule="exact"/>
              <w:jc w:val="center"/>
              <w:rPr>
                <w:rFonts w:hint="eastAsia" w:ascii="宋体" w:hAnsi="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29BCDACE">
            <w:pPr>
              <w:snapToGrid w:val="0"/>
              <w:spacing w:before="50" w:after="50" w:line="440" w:lineRule="exact"/>
              <w:jc w:val="center"/>
              <w:rPr>
                <w:rFonts w:hint="eastAsia" w:ascii="宋体" w:hAnsi="宋体"/>
                <w:color w:val="auto"/>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4D22E08F">
            <w:pPr>
              <w:snapToGrid w:val="0"/>
              <w:spacing w:before="50" w:after="50" w:line="440" w:lineRule="exact"/>
              <w:jc w:val="center"/>
              <w:rPr>
                <w:rFonts w:hint="eastAsia" w:ascii="宋体" w:hAnsi="宋体"/>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4E0DB1FA">
            <w:pPr>
              <w:snapToGrid w:val="0"/>
              <w:spacing w:before="50" w:after="50" w:line="440" w:lineRule="exact"/>
              <w:jc w:val="center"/>
              <w:rPr>
                <w:rFonts w:hint="eastAsia" w:ascii="宋体" w:hAnsi="宋体"/>
                <w:color w:val="auto"/>
                <w:szCs w:val="21"/>
                <w:highlight w:val="none"/>
              </w:rPr>
            </w:pPr>
          </w:p>
        </w:tc>
      </w:tr>
      <w:tr w14:paraId="7573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A8BAD9A">
            <w:pPr>
              <w:snapToGrid w:val="0"/>
              <w:spacing w:before="50" w:after="50" w:line="440" w:lineRule="exact"/>
              <w:jc w:val="center"/>
              <w:rPr>
                <w:rFonts w:hint="eastAsia" w:ascii="宋体" w:hAnsi="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B8FEE33">
            <w:pPr>
              <w:snapToGrid w:val="0"/>
              <w:spacing w:before="50" w:after="50" w:line="440" w:lineRule="exact"/>
              <w:jc w:val="center"/>
              <w:rPr>
                <w:rFonts w:hint="eastAsia" w:ascii="宋体" w:hAnsi="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2BB1DAAB">
            <w:pPr>
              <w:snapToGrid w:val="0"/>
              <w:spacing w:before="50" w:after="50" w:line="440" w:lineRule="exact"/>
              <w:jc w:val="center"/>
              <w:rPr>
                <w:rFonts w:hint="eastAsia" w:ascii="宋体" w:hAnsi="宋体"/>
                <w:color w:val="auto"/>
                <w:szCs w:val="21"/>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11E982D">
            <w:pPr>
              <w:snapToGrid w:val="0"/>
              <w:spacing w:before="50" w:after="50" w:line="440" w:lineRule="exact"/>
              <w:jc w:val="center"/>
              <w:rPr>
                <w:rFonts w:hint="eastAsia" w:ascii="宋体" w:hAnsi="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6DC0F02E">
            <w:pPr>
              <w:snapToGrid w:val="0"/>
              <w:spacing w:before="50" w:after="50" w:line="440" w:lineRule="exact"/>
              <w:jc w:val="center"/>
              <w:rPr>
                <w:rFonts w:hint="eastAsia" w:ascii="宋体" w:hAnsi="宋体"/>
                <w:color w:val="auto"/>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1DCAFBE4">
            <w:pPr>
              <w:snapToGrid w:val="0"/>
              <w:spacing w:before="50" w:after="50" w:line="440" w:lineRule="exact"/>
              <w:jc w:val="center"/>
              <w:rPr>
                <w:rFonts w:hint="eastAsia" w:ascii="宋体" w:hAnsi="宋体"/>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0F2E11F4">
            <w:pPr>
              <w:snapToGrid w:val="0"/>
              <w:spacing w:before="50" w:after="50" w:line="440" w:lineRule="exact"/>
              <w:jc w:val="center"/>
              <w:rPr>
                <w:rFonts w:hint="eastAsia" w:ascii="宋体" w:hAnsi="宋体"/>
                <w:color w:val="auto"/>
                <w:szCs w:val="21"/>
                <w:highlight w:val="none"/>
              </w:rPr>
            </w:pPr>
          </w:p>
        </w:tc>
      </w:tr>
      <w:tr w14:paraId="04AE4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90F3A56">
            <w:pPr>
              <w:snapToGrid w:val="0"/>
              <w:spacing w:before="50" w:after="50" w:line="440" w:lineRule="exact"/>
              <w:jc w:val="center"/>
              <w:rPr>
                <w:rFonts w:hint="eastAsia" w:ascii="宋体" w:hAnsi="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83DDAC6">
            <w:pPr>
              <w:snapToGrid w:val="0"/>
              <w:spacing w:before="50" w:after="50" w:line="440" w:lineRule="exact"/>
              <w:jc w:val="center"/>
              <w:rPr>
                <w:rFonts w:hint="eastAsia" w:ascii="宋体" w:hAnsi="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47FE9620">
            <w:pPr>
              <w:snapToGrid w:val="0"/>
              <w:spacing w:before="50" w:after="50" w:line="440" w:lineRule="exact"/>
              <w:jc w:val="center"/>
              <w:rPr>
                <w:rFonts w:hint="eastAsia" w:ascii="宋体" w:hAnsi="宋体"/>
                <w:color w:val="auto"/>
                <w:szCs w:val="21"/>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CD22C4F">
            <w:pPr>
              <w:snapToGrid w:val="0"/>
              <w:spacing w:before="50" w:after="50" w:line="440" w:lineRule="exact"/>
              <w:jc w:val="center"/>
              <w:rPr>
                <w:rFonts w:hint="eastAsia" w:ascii="宋体" w:hAnsi="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75FA8EA4">
            <w:pPr>
              <w:snapToGrid w:val="0"/>
              <w:spacing w:before="50" w:after="50" w:line="440" w:lineRule="exact"/>
              <w:jc w:val="center"/>
              <w:rPr>
                <w:rFonts w:hint="eastAsia" w:ascii="宋体" w:hAnsi="宋体"/>
                <w:color w:val="auto"/>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283F0F68">
            <w:pPr>
              <w:snapToGrid w:val="0"/>
              <w:spacing w:before="50" w:after="50" w:line="440" w:lineRule="exact"/>
              <w:jc w:val="center"/>
              <w:rPr>
                <w:rFonts w:hint="eastAsia" w:ascii="宋体" w:hAnsi="宋体"/>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163EDCEE">
            <w:pPr>
              <w:snapToGrid w:val="0"/>
              <w:spacing w:before="50" w:after="50" w:line="440" w:lineRule="exact"/>
              <w:jc w:val="center"/>
              <w:rPr>
                <w:rFonts w:hint="eastAsia" w:ascii="宋体" w:hAnsi="宋体"/>
                <w:color w:val="auto"/>
                <w:szCs w:val="21"/>
                <w:highlight w:val="none"/>
              </w:rPr>
            </w:pPr>
          </w:p>
        </w:tc>
      </w:tr>
      <w:tr w14:paraId="5735B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D3D6F06">
            <w:pPr>
              <w:snapToGrid w:val="0"/>
              <w:spacing w:before="50" w:after="50" w:line="440" w:lineRule="exact"/>
              <w:jc w:val="center"/>
              <w:rPr>
                <w:rFonts w:hint="eastAsia" w:ascii="宋体" w:hAnsi="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28D9114C">
            <w:pPr>
              <w:snapToGrid w:val="0"/>
              <w:spacing w:before="50" w:after="50" w:line="440" w:lineRule="exact"/>
              <w:jc w:val="center"/>
              <w:rPr>
                <w:rFonts w:hint="eastAsia" w:ascii="宋体" w:hAnsi="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2A795B77">
            <w:pPr>
              <w:snapToGrid w:val="0"/>
              <w:spacing w:before="50" w:after="50" w:line="440" w:lineRule="exact"/>
              <w:jc w:val="center"/>
              <w:rPr>
                <w:rFonts w:hint="eastAsia" w:ascii="宋体" w:hAnsi="宋体"/>
                <w:color w:val="auto"/>
                <w:szCs w:val="21"/>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CB6A951">
            <w:pPr>
              <w:snapToGrid w:val="0"/>
              <w:spacing w:before="50" w:after="50" w:line="440" w:lineRule="exact"/>
              <w:jc w:val="center"/>
              <w:rPr>
                <w:rFonts w:hint="eastAsia" w:ascii="宋体" w:hAnsi="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568A4E08">
            <w:pPr>
              <w:snapToGrid w:val="0"/>
              <w:spacing w:before="50" w:after="50" w:line="440" w:lineRule="exact"/>
              <w:jc w:val="center"/>
              <w:rPr>
                <w:rFonts w:hint="eastAsia" w:ascii="宋体" w:hAnsi="宋体"/>
                <w:color w:val="auto"/>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12E07F4C">
            <w:pPr>
              <w:snapToGrid w:val="0"/>
              <w:spacing w:before="50" w:after="50" w:line="440" w:lineRule="exact"/>
              <w:jc w:val="center"/>
              <w:rPr>
                <w:rFonts w:hint="eastAsia" w:ascii="宋体" w:hAnsi="宋体"/>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498039C9">
            <w:pPr>
              <w:snapToGrid w:val="0"/>
              <w:spacing w:before="50" w:after="50" w:line="440" w:lineRule="exact"/>
              <w:jc w:val="center"/>
              <w:rPr>
                <w:rFonts w:hint="eastAsia" w:ascii="宋体" w:hAnsi="宋体"/>
                <w:color w:val="auto"/>
                <w:szCs w:val="21"/>
                <w:highlight w:val="none"/>
              </w:rPr>
            </w:pPr>
          </w:p>
        </w:tc>
      </w:tr>
      <w:tr w14:paraId="2445A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1B4BE96">
            <w:pPr>
              <w:snapToGrid w:val="0"/>
              <w:spacing w:before="50" w:after="50" w:line="440" w:lineRule="exact"/>
              <w:jc w:val="center"/>
              <w:rPr>
                <w:rFonts w:hint="eastAsia" w:ascii="宋体" w:hAnsi="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4E004D38">
            <w:pPr>
              <w:snapToGrid w:val="0"/>
              <w:spacing w:before="50" w:after="50" w:line="440" w:lineRule="exact"/>
              <w:jc w:val="center"/>
              <w:rPr>
                <w:rFonts w:hint="eastAsia" w:ascii="宋体" w:hAnsi="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7C9F372E">
            <w:pPr>
              <w:snapToGrid w:val="0"/>
              <w:spacing w:before="50" w:after="50" w:line="440" w:lineRule="exact"/>
              <w:jc w:val="center"/>
              <w:rPr>
                <w:rFonts w:hint="eastAsia" w:ascii="宋体" w:hAnsi="宋体"/>
                <w:color w:val="auto"/>
                <w:szCs w:val="21"/>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314D7C0">
            <w:pPr>
              <w:snapToGrid w:val="0"/>
              <w:spacing w:before="50" w:after="50" w:line="440" w:lineRule="exact"/>
              <w:jc w:val="center"/>
              <w:rPr>
                <w:rFonts w:hint="eastAsia" w:ascii="宋体" w:hAnsi="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51A593ED">
            <w:pPr>
              <w:snapToGrid w:val="0"/>
              <w:spacing w:before="50" w:after="50" w:line="440" w:lineRule="exact"/>
              <w:jc w:val="center"/>
              <w:rPr>
                <w:rFonts w:hint="eastAsia" w:ascii="宋体" w:hAnsi="宋体"/>
                <w:color w:val="auto"/>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5828C743">
            <w:pPr>
              <w:snapToGrid w:val="0"/>
              <w:spacing w:before="50" w:after="50" w:line="440" w:lineRule="exact"/>
              <w:jc w:val="center"/>
              <w:rPr>
                <w:rFonts w:hint="eastAsia" w:ascii="宋体" w:hAnsi="宋体"/>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2F712FDB">
            <w:pPr>
              <w:snapToGrid w:val="0"/>
              <w:spacing w:before="50" w:after="50" w:line="440" w:lineRule="exact"/>
              <w:jc w:val="center"/>
              <w:rPr>
                <w:rFonts w:hint="eastAsia" w:ascii="宋体" w:hAnsi="宋体"/>
                <w:color w:val="auto"/>
                <w:szCs w:val="21"/>
                <w:highlight w:val="none"/>
              </w:rPr>
            </w:pPr>
          </w:p>
        </w:tc>
      </w:tr>
      <w:tr w14:paraId="79E62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1F534702">
            <w:pPr>
              <w:snapToGrid w:val="0"/>
              <w:spacing w:before="50" w:after="50" w:line="440" w:lineRule="exact"/>
              <w:jc w:val="center"/>
              <w:rPr>
                <w:rFonts w:hint="eastAsia" w:ascii="宋体" w:hAnsi="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58D7E953">
            <w:pPr>
              <w:snapToGrid w:val="0"/>
              <w:spacing w:before="50" w:after="50" w:line="440" w:lineRule="exact"/>
              <w:jc w:val="center"/>
              <w:rPr>
                <w:rFonts w:hint="eastAsia" w:ascii="宋体" w:hAnsi="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6E1EE792">
            <w:pPr>
              <w:snapToGrid w:val="0"/>
              <w:spacing w:before="50" w:after="50" w:line="440" w:lineRule="exact"/>
              <w:jc w:val="center"/>
              <w:rPr>
                <w:rFonts w:hint="eastAsia" w:ascii="宋体" w:hAnsi="宋体"/>
                <w:color w:val="auto"/>
                <w:szCs w:val="21"/>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2A6C4C0">
            <w:pPr>
              <w:snapToGrid w:val="0"/>
              <w:spacing w:before="50" w:after="50" w:line="440" w:lineRule="exact"/>
              <w:jc w:val="center"/>
              <w:rPr>
                <w:rFonts w:hint="eastAsia" w:ascii="宋体" w:hAnsi="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42D6C534">
            <w:pPr>
              <w:snapToGrid w:val="0"/>
              <w:spacing w:before="50" w:after="50" w:line="440" w:lineRule="exact"/>
              <w:jc w:val="center"/>
              <w:rPr>
                <w:rFonts w:hint="eastAsia" w:ascii="宋体" w:hAnsi="宋体"/>
                <w:color w:val="auto"/>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4458325C">
            <w:pPr>
              <w:snapToGrid w:val="0"/>
              <w:spacing w:before="50" w:after="50" w:line="440" w:lineRule="exact"/>
              <w:jc w:val="center"/>
              <w:rPr>
                <w:rFonts w:hint="eastAsia" w:ascii="宋体" w:hAnsi="宋体"/>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0690BE6E">
            <w:pPr>
              <w:snapToGrid w:val="0"/>
              <w:spacing w:before="50" w:after="50" w:line="440" w:lineRule="exact"/>
              <w:jc w:val="center"/>
              <w:rPr>
                <w:rFonts w:hint="eastAsia" w:ascii="宋体" w:hAnsi="宋体"/>
                <w:color w:val="auto"/>
                <w:szCs w:val="21"/>
                <w:highlight w:val="none"/>
              </w:rPr>
            </w:pPr>
          </w:p>
        </w:tc>
      </w:tr>
      <w:tr w14:paraId="4AE7F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E974722">
            <w:pPr>
              <w:snapToGrid w:val="0"/>
              <w:spacing w:before="50" w:after="50" w:line="440" w:lineRule="exact"/>
              <w:jc w:val="center"/>
              <w:rPr>
                <w:rFonts w:hint="eastAsia" w:ascii="宋体" w:hAnsi="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5C908DD6">
            <w:pPr>
              <w:snapToGrid w:val="0"/>
              <w:spacing w:before="50" w:after="50" w:line="440" w:lineRule="exact"/>
              <w:jc w:val="center"/>
              <w:rPr>
                <w:rFonts w:hint="eastAsia" w:ascii="宋体" w:hAnsi="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309E2435">
            <w:pPr>
              <w:snapToGrid w:val="0"/>
              <w:spacing w:before="50" w:after="50" w:line="440" w:lineRule="exact"/>
              <w:jc w:val="center"/>
              <w:rPr>
                <w:rFonts w:hint="eastAsia" w:ascii="宋体" w:hAnsi="宋体"/>
                <w:color w:val="auto"/>
                <w:szCs w:val="21"/>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DDFDA73">
            <w:pPr>
              <w:snapToGrid w:val="0"/>
              <w:spacing w:before="50" w:after="50" w:line="440" w:lineRule="exact"/>
              <w:jc w:val="center"/>
              <w:rPr>
                <w:rFonts w:hint="eastAsia" w:ascii="宋体" w:hAnsi="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4FCC3568">
            <w:pPr>
              <w:snapToGrid w:val="0"/>
              <w:spacing w:before="50" w:after="50" w:line="440" w:lineRule="exact"/>
              <w:jc w:val="center"/>
              <w:rPr>
                <w:rFonts w:hint="eastAsia" w:ascii="宋体" w:hAnsi="宋体"/>
                <w:color w:val="auto"/>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6829C97F">
            <w:pPr>
              <w:snapToGrid w:val="0"/>
              <w:spacing w:before="50" w:after="50" w:line="440" w:lineRule="exact"/>
              <w:jc w:val="center"/>
              <w:rPr>
                <w:rFonts w:hint="eastAsia" w:ascii="宋体" w:hAnsi="宋体"/>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2623EA80">
            <w:pPr>
              <w:snapToGrid w:val="0"/>
              <w:spacing w:before="50" w:after="50" w:line="440" w:lineRule="exact"/>
              <w:jc w:val="center"/>
              <w:rPr>
                <w:rFonts w:hint="eastAsia" w:ascii="宋体" w:hAnsi="宋体"/>
                <w:color w:val="auto"/>
                <w:szCs w:val="21"/>
                <w:highlight w:val="none"/>
              </w:rPr>
            </w:pPr>
          </w:p>
        </w:tc>
      </w:tr>
      <w:tr w14:paraId="06631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EFEEA06">
            <w:pPr>
              <w:snapToGrid w:val="0"/>
              <w:spacing w:before="50" w:after="50" w:line="440" w:lineRule="exact"/>
              <w:jc w:val="center"/>
              <w:rPr>
                <w:rFonts w:hint="eastAsia" w:ascii="宋体" w:hAnsi="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5464C803">
            <w:pPr>
              <w:snapToGrid w:val="0"/>
              <w:spacing w:before="50" w:after="50" w:line="440" w:lineRule="exact"/>
              <w:jc w:val="center"/>
              <w:rPr>
                <w:rFonts w:hint="eastAsia" w:ascii="宋体" w:hAnsi="宋体"/>
                <w:color w:val="auto"/>
                <w:szCs w:val="21"/>
                <w:highlight w:val="none"/>
              </w:rPr>
            </w:pPr>
            <w:r>
              <w:rPr>
                <w:rFonts w:ascii="宋体" w:hAnsi="宋体"/>
                <w:color w:val="auto"/>
                <w:szCs w:val="21"/>
                <w:highlight w:val="none"/>
              </w:rPr>
              <w:t>……</w:t>
            </w:r>
          </w:p>
        </w:tc>
        <w:tc>
          <w:tcPr>
            <w:tcW w:w="1083" w:type="dxa"/>
            <w:tcBorders>
              <w:top w:val="single" w:color="auto" w:sz="4" w:space="0"/>
              <w:left w:val="single" w:color="auto" w:sz="4" w:space="0"/>
              <w:bottom w:val="single" w:color="auto" w:sz="4" w:space="0"/>
              <w:right w:val="single" w:color="auto" w:sz="4" w:space="0"/>
            </w:tcBorders>
            <w:vAlign w:val="center"/>
          </w:tcPr>
          <w:p w14:paraId="395A0125">
            <w:pPr>
              <w:snapToGrid w:val="0"/>
              <w:spacing w:before="50" w:after="50" w:line="440" w:lineRule="exact"/>
              <w:jc w:val="center"/>
              <w:rPr>
                <w:rFonts w:hint="eastAsia" w:ascii="宋体" w:hAnsi="宋体"/>
                <w:color w:val="auto"/>
                <w:szCs w:val="21"/>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CEAAB0D">
            <w:pPr>
              <w:snapToGrid w:val="0"/>
              <w:spacing w:before="50" w:after="50" w:line="440" w:lineRule="exact"/>
              <w:jc w:val="center"/>
              <w:rPr>
                <w:rFonts w:hint="eastAsia" w:ascii="宋体" w:hAnsi="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61B0FDEB">
            <w:pPr>
              <w:snapToGrid w:val="0"/>
              <w:spacing w:before="50" w:after="50" w:line="440" w:lineRule="exact"/>
              <w:jc w:val="center"/>
              <w:rPr>
                <w:rFonts w:hint="eastAsia" w:ascii="宋体" w:hAnsi="宋体"/>
                <w:color w:val="auto"/>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5E0A054C">
            <w:pPr>
              <w:snapToGrid w:val="0"/>
              <w:spacing w:before="50" w:after="50" w:line="440" w:lineRule="exact"/>
              <w:jc w:val="center"/>
              <w:rPr>
                <w:rFonts w:hint="eastAsia" w:ascii="宋体" w:hAnsi="宋体"/>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417A2826">
            <w:pPr>
              <w:snapToGrid w:val="0"/>
              <w:spacing w:before="50" w:after="50" w:line="440" w:lineRule="exact"/>
              <w:jc w:val="center"/>
              <w:rPr>
                <w:rFonts w:hint="eastAsia" w:ascii="宋体" w:hAnsi="宋体"/>
                <w:color w:val="auto"/>
                <w:szCs w:val="21"/>
                <w:highlight w:val="none"/>
              </w:rPr>
            </w:pPr>
          </w:p>
        </w:tc>
      </w:tr>
    </w:tbl>
    <w:p w14:paraId="2279ACAB">
      <w:pPr>
        <w:pStyle w:val="14"/>
        <w:ind w:firstLine="105" w:firstLineChars="50"/>
        <w:rPr>
          <w:rFonts w:hint="eastAsia" w:hAnsi="宋体"/>
          <w:b/>
          <w:bCs/>
          <w:color w:val="auto"/>
          <w:sz w:val="21"/>
          <w:highlight w:val="none"/>
        </w:rPr>
      </w:pPr>
      <w:r>
        <w:rPr>
          <w:rFonts w:hint="eastAsia" w:hAnsi="宋体"/>
          <w:b/>
          <w:bCs/>
          <w:color w:val="auto"/>
          <w:sz w:val="21"/>
          <w:highlight w:val="none"/>
        </w:rPr>
        <w:t>注：若本表格式可根据投标人实际需求作调整或附上相应附件，但所投货物的性能及指标须详细列出。</w:t>
      </w:r>
    </w:p>
    <w:p w14:paraId="30E1D165">
      <w:pPr>
        <w:rPr>
          <w:rFonts w:hint="eastAsia" w:ascii="宋体" w:hAnsi="宋体" w:cs="宋体"/>
          <w:color w:val="auto"/>
          <w:highlight w:val="none"/>
        </w:rPr>
      </w:pPr>
    </w:p>
    <w:p w14:paraId="622AEF26">
      <w:pPr>
        <w:spacing w:line="120" w:lineRule="exact"/>
        <w:rPr>
          <w:rFonts w:hint="eastAsia" w:ascii="宋体" w:hAnsi="宋体" w:cs="宋体"/>
          <w:color w:val="auto"/>
          <w:highlight w:val="none"/>
        </w:rPr>
      </w:pPr>
    </w:p>
    <w:p w14:paraId="24256E61">
      <w:pPr>
        <w:pStyle w:val="13"/>
        <w:rPr>
          <w:rFonts w:hint="eastAsia" w:ascii="宋体" w:hAnsi="宋体" w:eastAsia="宋体" w:cs="宋体"/>
          <w:color w:val="auto"/>
          <w:highlight w:val="none"/>
        </w:rPr>
      </w:pPr>
    </w:p>
    <w:p w14:paraId="4B085674">
      <w:pPr>
        <w:pStyle w:val="13"/>
        <w:rPr>
          <w:rFonts w:hint="eastAsia" w:ascii="宋体" w:hAnsi="宋体" w:eastAsia="宋体" w:cs="宋体"/>
          <w:color w:val="auto"/>
          <w:highlight w:val="none"/>
        </w:rPr>
      </w:pPr>
    </w:p>
    <w:p w14:paraId="19E98A77">
      <w:pPr>
        <w:pStyle w:val="14"/>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2F71C768">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AFBA1E5">
      <w:pPr>
        <w:snapToGrid w:val="0"/>
        <w:spacing w:before="50" w:after="156" w:afterLines="50"/>
        <w:rPr>
          <w:rFonts w:hint="eastAsia" w:ascii="宋体" w:hAnsi="宋体" w:cs="宋体"/>
          <w:b/>
          <w:color w:val="auto"/>
          <w:sz w:val="24"/>
          <w:highlight w:val="none"/>
        </w:rPr>
      </w:pPr>
    </w:p>
    <w:p w14:paraId="627EA21C">
      <w:pPr>
        <w:snapToGrid w:val="0"/>
        <w:spacing w:before="50" w:after="156" w:afterLines="50"/>
        <w:rPr>
          <w:rFonts w:hint="eastAsia" w:ascii="宋体" w:hAnsi="宋体" w:cs="宋体"/>
          <w:b/>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（3）项目实施方案格式：</w:t>
      </w:r>
    </w:p>
    <w:p w14:paraId="2F1DF6CC">
      <w:pPr>
        <w:pStyle w:val="14"/>
        <w:spacing w:line="400" w:lineRule="exact"/>
        <w:jc w:val="center"/>
        <w:rPr>
          <w:rFonts w:hint="eastAsia" w:hAnsi="宋体" w:cs="宋体"/>
          <w:color w:val="auto"/>
          <w:sz w:val="32"/>
          <w:szCs w:val="32"/>
          <w:highlight w:val="none"/>
        </w:rPr>
      </w:pPr>
    </w:p>
    <w:p w14:paraId="2B91B5CB">
      <w:pPr>
        <w:pStyle w:val="14"/>
        <w:spacing w:line="400" w:lineRule="exact"/>
        <w:jc w:val="center"/>
        <w:rPr>
          <w:rFonts w:hint="eastAsia" w:hAnsi="宋体" w:cs="宋体"/>
          <w:b/>
          <w:bCs/>
          <w:color w:val="auto"/>
          <w:sz w:val="32"/>
          <w:szCs w:val="32"/>
          <w:highlight w:val="none"/>
        </w:rPr>
      </w:pPr>
      <w:r>
        <w:rPr>
          <w:rFonts w:hint="eastAsia" w:hAnsi="宋体" w:cs="宋体"/>
          <w:b/>
          <w:bCs/>
          <w:color w:val="auto"/>
          <w:sz w:val="32"/>
          <w:szCs w:val="32"/>
          <w:highlight w:val="none"/>
        </w:rPr>
        <w:t>项目实施方案</w:t>
      </w:r>
    </w:p>
    <w:p w14:paraId="0FF803BE">
      <w:pPr>
        <w:pStyle w:val="14"/>
        <w:spacing w:line="440" w:lineRule="exact"/>
        <w:ind w:firstLine="420" w:firstLineChars="200"/>
        <w:rPr>
          <w:rFonts w:hint="eastAsia" w:hAnsi="宋体" w:cs="宋体"/>
          <w:color w:val="auto"/>
          <w:sz w:val="21"/>
          <w:highlight w:val="none"/>
        </w:rPr>
      </w:pPr>
    </w:p>
    <w:p w14:paraId="38B43F14">
      <w:pPr>
        <w:rPr>
          <w:color w:val="auto"/>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5E4BECD">
      <w:pPr>
        <w:rPr>
          <w:color w:val="auto"/>
          <w:highlight w:val="none"/>
        </w:rPr>
      </w:pPr>
    </w:p>
    <w:p w14:paraId="6378A4D3">
      <w:pPr>
        <w:pStyle w:val="14"/>
        <w:spacing w:line="440" w:lineRule="exact"/>
        <w:rPr>
          <w:rFonts w:hint="eastAsia" w:hAnsi="宋体" w:cs="宋体"/>
          <w:color w:val="auto"/>
          <w:sz w:val="24"/>
          <w:szCs w:val="24"/>
          <w:highlight w:val="none"/>
        </w:rPr>
      </w:pPr>
    </w:p>
    <w:p w14:paraId="2658114A">
      <w:pPr>
        <w:pStyle w:val="14"/>
        <w:spacing w:line="440" w:lineRule="exact"/>
        <w:rPr>
          <w:rFonts w:hint="eastAsia" w:hAnsi="宋体" w:cs="宋体"/>
          <w:color w:val="auto"/>
          <w:sz w:val="24"/>
          <w:szCs w:val="24"/>
          <w:highlight w:val="none"/>
        </w:rPr>
      </w:pPr>
      <w:r>
        <w:rPr>
          <w:rFonts w:hint="eastAsia" w:hAnsi="宋体" w:cs="宋体"/>
          <w:color w:val="auto"/>
          <w:sz w:val="24"/>
          <w:szCs w:val="24"/>
          <w:highlight w:val="none"/>
        </w:rPr>
        <w:t>由投标人按第二章《招标项目采购需求》要求自行填写，必须真实、诚信。</w:t>
      </w:r>
    </w:p>
    <w:p w14:paraId="1B9C072C">
      <w:pPr>
        <w:pStyle w:val="14"/>
        <w:rPr>
          <w:rFonts w:hint="eastAsia" w:hAnsi="宋体" w:cs="宋体"/>
          <w:color w:val="auto"/>
          <w:highlight w:val="none"/>
        </w:rPr>
      </w:pPr>
    </w:p>
    <w:p w14:paraId="4BCBDACE">
      <w:pPr>
        <w:pStyle w:val="14"/>
        <w:rPr>
          <w:rFonts w:hint="eastAsia" w:hAnsi="宋体" w:cs="宋体"/>
          <w:color w:val="auto"/>
          <w:sz w:val="21"/>
          <w:highlight w:val="none"/>
        </w:rPr>
      </w:pPr>
    </w:p>
    <w:p w14:paraId="6695F709">
      <w:pPr>
        <w:pStyle w:val="14"/>
        <w:spacing w:line="360" w:lineRule="auto"/>
        <w:ind w:firstLine="1920" w:firstLineChars="800"/>
        <w:rPr>
          <w:rFonts w:hint="eastAsia" w:hAnsi="宋体" w:cs="宋体"/>
          <w:color w:val="auto"/>
          <w:sz w:val="24"/>
          <w:szCs w:val="24"/>
          <w:highlight w:val="none"/>
        </w:rPr>
      </w:pPr>
    </w:p>
    <w:p w14:paraId="22330B2F">
      <w:pPr>
        <w:pStyle w:val="14"/>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B40C7AB">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F38AA70">
      <w:pPr>
        <w:snapToGrid w:val="0"/>
        <w:spacing w:before="50"/>
        <w:jc w:val="left"/>
        <w:rPr>
          <w:rFonts w:hint="eastAsia" w:ascii="宋体" w:hAnsi="宋体" w:cs="宋体"/>
          <w:b/>
          <w:color w:val="auto"/>
          <w:szCs w:val="21"/>
          <w:highlight w:val="none"/>
        </w:rPr>
      </w:pPr>
    </w:p>
    <w:p w14:paraId="5BEF50D2">
      <w:pPr>
        <w:snapToGrid w:val="0"/>
        <w:spacing w:before="50"/>
        <w:jc w:val="left"/>
        <w:rPr>
          <w:rFonts w:hint="eastAsia" w:ascii="宋体" w:hAnsi="宋体" w:cs="宋体"/>
          <w:b/>
          <w:color w:val="auto"/>
          <w:szCs w:val="21"/>
          <w:highlight w:val="none"/>
        </w:rPr>
      </w:pPr>
    </w:p>
    <w:p w14:paraId="06FC62BB">
      <w:pPr>
        <w:pStyle w:val="13"/>
        <w:rPr>
          <w:rFonts w:hint="eastAsia" w:ascii="宋体" w:hAnsi="宋体" w:eastAsia="宋体" w:cs="宋体"/>
          <w:color w:val="auto"/>
          <w:highlight w:val="none"/>
        </w:rPr>
      </w:pPr>
    </w:p>
    <w:p w14:paraId="1B645CA1">
      <w:pPr>
        <w:snapToGrid w:val="0"/>
        <w:spacing w:before="50" w:after="156" w:afterLines="50"/>
        <w:rPr>
          <w:rFonts w:hint="eastAsia" w:ascii="宋体" w:hAnsi="宋体" w:cs="宋体"/>
          <w:b/>
          <w:color w:val="auto"/>
          <w:szCs w:val="21"/>
          <w:highlight w:val="none"/>
        </w:rPr>
      </w:pPr>
    </w:p>
    <w:p w14:paraId="744244E8">
      <w:pPr>
        <w:pStyle w:val="13"/>
        <w:rPr>
          <w:rFonts w:hint="eastAsia" w:ascii="宋体" w:hAnsi="宋体" w:eastAsia="宋体" w:cs="宋体"/>
          <w:color w:val="auto"/>
          <w:highlight w:val="none"/>
        </w:rPr>
      </w:pPr>
    </w:p>
    <w:p w14:paraId="2D5A6FDE">
      <w:pPr>
        <w:snapToGrid w:val="0"/>
        <w:spacing w:before="50"/>
        <w:jc w:val="left"/>
        <w:rPr>
          <w:rFonts w:hint="eastAsia" w:ascii="宋体" w:hAnsi="宋体" w:cs="宋体"/>
          <w:b/>
          <w:color w:val="auto"/>
          <w:szCs w:val="21"/>
          <w:highlight w:val="none"/>
        </w:rPr>
      </w:pPr>
    </w:p>
    <w:p w14:paraId="01826D98">
      <w:pPr>
        <w:snapToGrid w:val="0"/>
        <w:spacing w:before="50"/>
        <w:jc w:val="left"/>
        <w:rPr>
          <w:rFonts w:hint="eastAsia" w:ascii="宋体" w:hAnsi="宋体" w:cs="宋体"/>
          <w:b/>
          <w:color w:val="auto"/>
          <w:szCs w:val="21"/>
          <w:highlight w:val="none"/>
        </w:rPr>
      </w:pPr>
    </w:p>
    <w:p w14:paraId="03B320D0">
      <w:pPr>
        <w:snapToGrid w:val="0"/>
        <w:spacing w:before="50"/>
        <w:jc w:val="left"/>
        <w:rPr>
          <w:rFonts w:hint="eastAsia" w:ascii="宋体" w:hAnsi="宋体" w:cs="宋体"/>
          <w:b/>
          <w:color w:val="auto"/>
          <w:szCs w:val="21"/>
          <w:highlight w:val="none"/>
        </w:rPr>
      </w:pPr>
    </w:p>
    <w:p w14:paraId="09FE6EB5">
      <w:pPr>
        <w:snapToGrid w:val="0"/>
        <w:spacing w:before="50"/>
        <w:jc w:val="left"/>
        <w:rPr>
          <w:rFonts w:hint="eastAsia" w:ascii="宋体" w:hAnsi="宋体" w:cs="宋体"/>
          <w:b/>
          <w:color w:val="auto"/>
          <w:szCs w:val="21"/>
          <w:highlight w:val="none"/>
        </w:rPr>
      </w:pPr>
    </w:p>
    <w:p w14:paraId="00E9DC00">
      <w:pPr>
        <w:snapToGrid w:val="0"/>
        <w:spacing w:before="50"/>
        <w:jc w:val="left"/>
        <w:rPr>
          <w:rFonts w:hint="eastAsia" w:ascii="宋体" w:hAnsi="宋体" w:cs="宋体"/>
          <w:b/>
          <w:color w:val="auto"/>
          <w:szCs w:val="21"/>
          <w:highlight w:val="none"/>
        </w:rPr>
      </w:pPr>
    </w:p>
    <w:p w14:paraId="26A98FB9">
      <w:pPr>
        <w:snapToGrid w:val="0"/>
        <w:spacing w:before="50"/>
        <w:jc w:val="left"/>
        <w:rPr>
          <w:rFonts w:hint="eastAsia" w:ascii="宋体" w:hAnsi="宋体" w:cs="宋体"/>
          <w:b/>
          <w:color w:val="auto"/>
          <w:szCs w:val="21"/>
          <w:highlight w:val="none"/>
        </w:rPr>
      </w:pPr>
    </w:p>
    <w:p w14:paraId="51FB802F">
      <w:pPr>
        <w:tabs>
          <w:tab w:val="left" w:pos="3870"/>
          <w:tab w:val="left" w:pos="4085"/>
        </w:tabs>
        <w:snapToGrid w:val="0"/>
        <w:spacing w:line="360" w:lineRule="auto"/>
        <w:jc w:val="left"/>
        <w:rPr>
          <w:rFonts w:hint="eastAsia" w:ascii="宋体" w:hAnsi="宋体" w:cs="宋体"/>
          <w:b/>
          <w:color w:val="auto"/>
          <w:szCs w:val="21"/>
          <w:highlight w:val="none"/>
        </w:rPr>
      </w:pPr>
    </w:p>
    <w:p w14:paraId="387169A2">
      <w:pPr>
        <w:snapToGrid w:val="0"/>
        <w:spacing w:before="50"/>
        <w:jc w:val="left"/>
        <w:rPr>
          <w:rFonts w:hint="eastAsia" w:ascii="宋体" w:hAnsi="宋体" w:cs="宋体"/>
          <w:b/>
          <w:color w:val="auto"/>
          <w:szCs w:val="21"/>
          <w:highlight w:val="none"/>
        </w:rPr>
      </w:pPr>
    </w:p>
    <w:p w14:paraId="71EE4E88">
      <w:pPr>
        <w:pStyle w:val="13"/>
        <w:rPr>
          <w:rFonts w:hint="eastAsia" w:ascii="宋体" w:hAnsi="宋体" w:eastAsia="宋体" w:cs="宋体"/>
          <w:color w:val="auto"/>
          <w:highlight w:val="none"/>
        </w:rPr>
      </w:pPr>
    </w:p>
    <w:p w14:paraId="5E4799B6">
      <w:pPr>
        <w:pStyle w:val="13"/>
        <w:rPr>
          <w:rFonts w:hint="eastAsia" w:ascii="宋体" w:hAnsi="宋体" w:eastAsia="宋体" w:cs="宋体"/>
          <w:color w:val="auto"/>
          <w:highlight w:val="none"/>
        </w:rPr>
      </w:pPr>
    </w:p>
    <w:p w14:paraId="7BE0C0F1">
      <w:pPr>
        <w:pStyle w:val="13"/>
        <w:rPr>
          <w:rFonts w:hint="eastAsia" w:ascii="宋体" w:hAnsi="宋体" w:eastAsia="宋体" w:cs="宋体"/>
          <w:color w:val="auto"/>
          <w:highlight w:val="none"/>
        </w:rPr>
      </w:pPr>
    </w:p>
    <w:p w14:paraId="7856D7FB">
      <w:pPr>
        <w:pStyle w:val="13"/>
        <w:rPr>
          <w:rFonts w:hint="eastAsia" w:ascii="宋体" w:hAnsi="宋体" w:eastAsia="宋体" w:cs="宋体"/>
          <w:color w:val="auto"/>
          <w:highlight w:val="none"/>
        </w:rPr>
      </w:pPr>
    </w:p>
    <w:p w14:paraId="36A8B0E5">
      <w:pPr>
        <w:pStyle w:val="13"/>
        <w:rPr>
          <w:rFonts w:hint="eastAsia" w:ascii="宋体" w:hAnsi="宋体" w:eastAsia="宋体" w:cs="宋体"/>
          <w:color w:val="auto"/>
          <w:highlight w:val="none"/>
        </w:rPr>
      </w:pPr>
    </w:p>
    <w:p w14:paraId="00970CA6">
      <w:pPr>
        <w:pStyle w:val="13"/>
        <w:rPr>
          <w:rFonts w:hint="eastAsia" w:ascii="宋体" w:hAnsi="宋体" w:eastAsia="宋体" w:cs="宋体"/>
          <w:color w:val="auto"/>
          <w:highlight w:val="none"/>
        </w:rPr>
      </w:pPr>
    </w:p>
    <w:p w14:paraId="3DCCEC69">
      <w:pPr>
        <w:pStyle w:val="13"/>
        <w:rPr>
          <w:rFonts w:hint="eastAsia" w:ascii="宋体" w:hAnsi="宋体" w:eastAsia="宋体" w:cs="宋体"/>
          <w:color w:val="auto"/>
          <w:highlight w:val="none"/>
        </w:rPr>
      </w:pPr>
    </w:p>
    <w:p w14:paraId="79964325">
      <w:pPr>
        <w:snapToGrid w:val="0"/>
        <w:spacing w:before="50"/>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（4）项目实施人员一览表格式：</w:t>
      </w:r>
    </w:p>
    <w:p w14:paraId="149AE74B">
      <w:pPr>
        <w:snapToGrid w:val="0"/>
        <w:spacing w:before="156" w:beforeLines="50" w:after="50"/>
        <w:jc w:val="center"/>
        <w:rPr>
          <w:rFonts w:hint="eastAsia" w:ascii="宋体" w:hAnsi="宋体" w:cs="宋体"/>
          <w:b/>
          <w:color w:val="auto"/>
          <w:szCs w:val="21"/>
          <w:highlight w:val="none"/>
        </w:rPr>
      </w:pPr>
    </w:p>
    <w:p w14:paraId="15A7DDAC">
      <w:pPr>
        <w:snapToGrid w:val="0"/>
        <w:spacing w:before="156"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项目实施人员（主要从业人员及其技术资格）一览表</w:t>
      </w:r>
    </w:p>
    <w:p w14:paraId="63EFD684">
      <w:pPr>
        <w:rPr>
          <w:rFonts w:hint="eastAsia" w:ascii="宋体" w:hAnsi="宋体" w:cs="宋体"/>
          <w:color w:val="auto"/>
          <w:sz w:val="24"/>
          <w:highlight w:val="none"/>
        </w:rPr>
      </w:pPr>
    </w:p>
    <w:p w14:paraId="0305674A">
      <w:pPr>
        <w:rPr>
          <w:rFonts w:hint="eastAsia" w:ascii="宋体" w:hAnsi="宋体" w:cs="宋体"/>
          <w:color w:val="auto"/>
          <w:szCs w:val="21"/>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4"/>
        <w:gridCol w:w="1094"/>
        <w:gridCol w:w="1812"/>
        <w:gridCol w:w="1374"/>
        <w:gridCol w:w="2583"/>
        <w:gridCol w:w="1341"/>
      </w:tblGrid>
      <w:tr w14:paraId="034B4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0158337D">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094" w:type="dxa"/>
            <w:tcBorders>
              <w:top w:val="single" w:color="auto" w:sz="4" w:space="0"/>
              <w:left w:val="single" w:color="auto" w:sz="4" w:space="0"/>
              <w:bottom w:val="single" w:color="auto" w:sz="4" w:space="0"/>
              <w:right w:val="single" w:color="auto" w:sz="4" w:space="0"/>
            </w:tcBorders>
            <w:vAlign w:val="center"/>
          </w:tcPr>
          <w:p w14:paraId="2FBBFF55">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812" w:type="dxa"/>
            <w:tcBorders>
              <w:top w:val="single" w:color="auto" w:sz="4" w:space="0"/>
              <w:left w:val="single" w:color="auto" w:sz="4" w:space="0"/>
              <w:bottom w:val="single" w:color="auto" w:sz="4" w:space="0"/>
              <w:right w:val="single" w:color="auto" w:sz="4" w:space="0"/>
            </w:tcBorders>
            <w:vAlign w:val="center"/>
          </w:tcPr>
          <w:p w14:paraId="5A3F1DD6">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专业技术资格</w:t>
            </w:r>
          </w:p>
        </w:tc>
        <w:tc>
          <w:tcPr>
            <w:tcW w:w="1374" w:type="dxa"/>
            <w:tcBorders>
              <w:top w:val="single" w:color="auto" w:sz="4" w:space="0"/>
              <w:left w:val="single" w:color="auto" w:sz="4" w:space="0"/>
              <w:bottom w:val="single" w:color="auto" w:sz="4" w:space="0"/>
              <w:right w:val="single" w:color="auto" w:sz="4" w:space="0"/>
            </w:tcBorders>
            <w:vAlign w:val="center"/>
          </w:tcPr>
          <w:p w14:paraId="4268901E">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证书编号</w:t>
            </w:r>
          </w:p>
        </w:tc>
        <w:tc>
          <w:tcPr>
            <w:tcW w:w="2583" w:type="dxa"/>
            <w:tcBorders>
              <w:top w:val="single" w:color="auto" w:sz="4" w:space="0"/>
              <w:left w:val="single" w:color="auto" w:sz="4" w:space="0"/>
              <w:bottom w:val="single" w:color="auto" w:sz="4" w:space="0"/>
              <w:right w:val="single" w:color="auto" w:sz="4" w:space="0"/>
            </w:tcBorders>
            <w:vAlign w:val="center"/>
          </w:tcPr>
          <w:p w14:paraId="406DAA50">
            <w:pPr>
              <w:snapToGrid w:val="0"/>
              <w:spacing w:before="156"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参加本单位工作时间</w:t>
            </w:r>
          </w:p>
        </w:tc>
        <w:tc>
          <w:tcPr>
            <w:tcW w:w="1341" w:type="dxa"/>
            <w:tcBorders>
              <w:top w:val="single" w:color="auto" w:sz="4" w:space="0"/>
              <w:left w:val="single" w:color="auto" w:sz="4" w:space="0"/>
              <w:bottom w:val="single" w:color="auto" w:sz="4" w:space="0"/>
              <w:right w:val="single" w:color="auto" w:sz="4" w:space="0"/>
            </w:tcBorders>
            <w:vAlign w:val="center"/>
          </w:tcPr>
          <w:p w14:paraId="4A2B899E">
            <w:pPr>
              <w:snapToGrid w:val="0"/>
              <w:spacing w:before="156"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0D46B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792EC38C">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1210C6C1">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28A58C18">
            <w:pPr>
              <w:snapToGrid w:val="0"/>
              <w:spacing w:before="156" w:beforeLines="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71FC2E1C">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vAlign w:val="center"/>
          </w:tcPr>
          <w:p w14:paraId="7281ED9E">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D85B391">
            <w:pPr>
              <w:snapToGrid w:val="0"/>
              <w:spacing w:before="156" w:beforeLines="50" w:after="50"/>
              <w:jc w:val="center"/>
              <w:rPr>
                <w:rFonts w:hint="eastAsia" w:ascii="宋体" w:hAnsi="宋体" w:cs="宋体"/>
                <w:color w:val="auto"/>
                <w:sz w:val="24"/>
                <w:highlight w:val="none"/>
              </w:rPr>
            </w:pPr>
          </w:p>
        </w:tc>
      </w:tr>
      <w:tr w14:paraId="0A410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6C88FD81">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5E7222DD">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5BB072CB">
            <w:pPr>
              <w:snapToGrid w:val="0"/>
              <w:spacing w:before="156" w:beforeLines="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1B30AEEA">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vAlign w:val="center"/>
          </w:tcPr>
          <w:p w14:paraId="35B30054">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F206EA2">
            <w:pPr>
              <w:snapToGrid w:val="0"/>
              <w:spacing w:before="156" w:beforeLines="50" w:after="50"/>
              <w:jc w:val="center"/>
              <w:rPr>
                <w:rFonts w:hint="eastAsia" w:ascii="宋体" w:hAnsi="宋体" w:cs="宋体"/>
                <w:color w:val="auto"/>
                <w:sz w:val="24"/>
                <w:highlight w:val="none"/>
              </w:rPr>
            </w:pPr>
          </w:p>
        </w:tc>
      </w:tr>
      <w:tr w14:paraId="5B29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7BD16FD6">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2CBC50B7">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4F714C94">
            <w:pPr>
              <w:pStyle w:val="15"/>
              <w:snapToGrid w:val="0"/>
              <w:spacing w:before="156" w:beforeLines="50" w:after="50"/>
              <w:ind w:left="5250"/>
              <w:jc w:val="center"/>
              <w:rPr>
                <w:rFonts w:hint="eastAsia" w:hAnsi="宋体" w:cs="宋体"/>
                <w:color w:val="auto"/>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4893AA46">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vAlign w:val="center"/>
          </w:tcPr>
          <w:p w14:paraId="63F81778">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3FA940D8">
            <w:pPr>
              <w:snapToGrid w:val="0"/>
              <w:spacing w:before="156" w:beforeLines="50" w:after="50"/>
              <w:jc w:val="center"/>
              <w:rPr>
                <w:rFonts w:hint="eastAsia" w:ascii="宋体" w:hAnsi="宋体" w:cs="宋体"/>
                <w:color w:val="auto"/>
                <w:sz w:val="24"/>
                <w:highlight w:val="none"/>
              </w:rPr>
            </w:pPr>
          </w:p>
        </w:tc>
      </w:tr>
      <w:tr w14:paraId="575F7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5E7B1D14">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3417822D">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04E9C022">
            <w:pPr>
              <w:pStyle w:val="15"/>
              <w:snapToGrid w:val="0"/>
              <w:spacing w:before="156" w:beforeLines="50" w:after="50"/>
              <w:ind w:left="5250"/>
              <w:jc w:val="center"/>
              <w:rPr>
                <w:rFonts w:hint="eastAsia" w:hAnsi="宋体" w:cs="宋体"/>
                <w:color w:val="auto"/>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167C8C48">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vAlign w:val="center"/>
          </w:tcPr>
          <w:p w14:paraId="431E54E9">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DAC55AB">
            <w:pPr>
              <w:snapToGrid w:val="0"/>
              <w:spacing w:before="156" w:beforeLines="50" w:after="50"/>
              <w:jc w:val="center"/>
              <w:rPr>
                <w:rFonts w:hint="eastAsia" w:ascii="宋体" w:hAnsi="宋体" w:cs="宋体"/>
                <w:color w:val="auto"/>
                <w:sz w:val="24"/>
                <w:highlight w:val="none"/>
              </w:rPr>
            </w:pPr>
          </w:p>
        </w:tc>
      </w:tr>
      <w:tr w14:paraId="41B07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0489CF25">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35DC6974">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63C644A8">
            <w:pPr>
              <w:pStyle w:val="15"/>
              <w:snapToGrid w:val="0"/>
              <w:spacing w:before="156" w:beforeLines="50" w:after="50"/>
              <w:ind w:left="5250"/>
              <w:jc w:val="center"/>
              <w:rPr>
                <w:rFonts w:hint="eastAsia" w:hAnsi="宋体" w:cs="宋体"/>
                <w:color w:val="auto"/>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4844BFBE">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vAlign w:val="center"/>
          </w:tcPr>
          <w:p w14:paraId="107CA648">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903CBDC">
            <w:pPr>
              <w:snapToGrid w:val="0"/>
              <w:spacing w:before="156" w:beforeLines="50" w:after="50"/>
              <w:jc w:val="center"/>
              <w:rPr>
                <w:rFonts w:hint="eastAsia" w:ascii="宋体" w:hAnsi="宋体" w:cs="宋体"/>
                <w:color w:val="auto"/>
                <w:sz w:val="24"/>
                <w:highlight w:val="none"/>
              </w:rPr>
            </w:pPr>
          </w:p>
        </w:tc>
      </w:tr>
      <w:tr w14:paraId="0FA73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29D746BE">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42C1B65F">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1C7E4211">
            <w:pPr>
              <w:pStyle w:val="15"/>
              <w:snapToGrid w:val="0"/>
              <w:spacing w:before="156" w:beforeLines="50" w:after="50"/>
              <w:ind w:left="5250"/>
              <w:jc w:val="center"/>
              <w:rPr>
                <w:rFonts w:hint="eastAsia" w:hAnsi="宋体" w:cs="宋体"/>
                <w:color w:val="auto"/>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32B93AB4">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vAlign w:val="center"/>
          </w:tcPr>
          <w:p w14:paraId="070DCB88">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3745E677">
            <w:pPr>
              <w:snapToGrid w:val="0"/>
              <w:spacing w:before="156" w:beforeLines="50" w:after="50"/>
              <w:jc w:val="center"/>
              <w:rPr>
                <w:rFonts w:hint="eastAsia" w:ascii="宋体" w:hAnsi="宋体" w:cs="宋体"/>
                <w:color w:val="auto"/>
                <w:sz w:val="24"/>
                <w:highlight w:val="none"/>
              </w:rPr>
            </w:pPr>
          </w:p>
        </w:tc>
      </w:tr>
    </w:tbl>
    <w:p w14:paraId="1CEA5835">
      <w:pPr>
        <w:snapToGrid w:val="0"/>
        <w:spacing w:before="50" w:after="156" w:afterLines="50"/>
        <w:jc w:val="left"/>
        <w:rPr>
          <w:rFonts w:hint="eastAsia" w:ascii="宋体" w:hAnsi="宋体" w:cs="宋体"/>
          <w:color w:val="auto"/>
          <w:sz w:val="24"/>
          <w:highlight w:val="none"/>
        </w:rPr>
      </w:pPr>
      <w:r>
        <w:rPr>
          <w:rFonts w:hint="eastAsia" w:ascii="宋体" w:hAnsi="宋体" w:cs="宋体"/>
          <w:color w:val="auto"/>
          <w:sz w:val="24"/>
          <w:highlight w:val="none"/>
        </w:rPr>
        <w:t>注：在填写时，如本表格不适合投标单位的实际情况，可根据本表格式自行制表填写。</w:t>
      </w:r>
    </w:p>
    <w:p w14:paraId="6546A14C">
      <w:pPr>
        <w:pStyle w:val="14"/>
        <w:ind w:firstLine="4305" w:firstLineChars="2050"/>
        <w:rPr>
          <w:rFonts w:hint="eastAsia" w:hAnsi="宋体" w:cs="宋体"/>
          <w:color w:val="auto"/>
          <w:sz w:val="21"/>
          <w:highlight w:val="none"/>
        </w:rPr>
      </w:pPr>
    </w:p>
    <w:p w14:paraId="61A6DBB7">
      <w:pPr>
        <w:pStyle w:val="14"/>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5947E607">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6507F9F">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93CD1E0">
      <w:pPr>
        <w:snapToGrid w:val="0"/>
        <w:spacing w:before="50"/>
        <w:jc w:val="left"/>
        <w:rPr>
          <w:rFonts w:hint="eastAsia" w:ascii="宋体" w:hAnsi="宋体" w:cs="宋体"/>
          <w:color w:val="auto"/>
          <w:szCs w:val="21"/>
          <w:highlight w:val="none"/>
        </w:rPr>
      </w:pPr>
    </w:p>
    <w:p w14:paraId="3D4C536B">
      <w:pPr>
        <w:spacing w:before="91" w:line="190" w:lineRule="auto"/>
        <w:ind w:firstLine="3848"/>
        <w:rPr>
          <w:rFonts w:hint="eastAsia" w:ascii="宋体" w:hAnsi="宋体" w:cs="宋体"/>
          <w:color w:val="auto"/>
          <w:szCs w:val="21"/>
          <w:highlight w:val="none"/>
        </w:rPr>
      </w:pPr>
    </w:p>
    <w:p w14:paraId="34290FEE">
      <w:pPr>
        <w:pStyle w:val="13"/>
        <w:rPr>
          <w:rFonts w:hint="eastAsia" w:ascii="宋体" w:hAnsi="宋体" w:eastAsia="宋体" w:cs="宋体"/>
          <w:color w:val="auto"/>
          <w:highlight w:val="none"/>
        </w:rPr>
      </w:pPr>
    </w:p>
    <w:p w14:paraId="2654F20F">
      <w:pPr>
        <w:pStyle w:val="13"/>
        <w:rPr>
          <w:rFonts w:hint="eastAsia" w:ascii="宋体" w:hAnsi="宋体" w:eastAsia="宋体" w:cs="宋体"/>
          <w:color w:val="auto"/>
          <w:highlight w:val="none"/>
        </w:rPr>
      </w:pPr>
    </w:p>
    <w:p w14:paraId="23D6DFB3">
      <w:pPr>
        <w:pStyle w:val="13"/>
        <w:rPr>
          <w:rFonts w:hint="eastAsia" w:ascii="宋体" w:hAnsi="宋体" w:eastAsia="宋体" w:cs="宋体"/>
          <w:color w:val="auto"/>
          <w:highlight w:val="none"/>
        </w:rPr>
      </w:pPr>
    </w:p>
    <w:p w14:paraId="05509CFD">
      <w:pPr>
        <w:pStyle w:val="13"/>
        <w:rPr>
          <w:rFonts w:hint="eastAsia" w:ascii="宋体" w:hAnsi="宋体" w:eastAsia="宋体" w:cs="宋体"/>
          <w:color w:val="auto"/>
          <w:highlight w:val="none"/>
        </w:rPr>
      </w:pPr>
    </w:p>
    <w:p w14:paraId="00A349EA">
      <w:pPr>
        <w:snapToGrid w:val="0"/>
        <w:spacing w:before="50"/>
        <w:jc w:val="lef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（5）服务承诺方案格式：</w:t>
      </w:r>
    </w:p>
    <w:p w14:paraId="13574BBC">
      <w:pPr>
        <w:snapToGrid w:val="0"/>
        <w:spacing w:before="50"/>
        <w:jc w:val="left"/>
        <w:rPr>
          <w:rFonts w:hint="eastAsia" w:ascii="宋体" w:hAnsi="宋体" w:cs="宋体"/>
          <w:color w:val="auto"/>
          <w:szCs w:val="21"/>
          <w:highlight w:val="none"/>
        </w:rPr>
      </w:pPr>
    </w:p>
    <w:p w14:paraId="170127D8">
      <w:pPr>
        <w:spacing w:line="360" w:lineRule="auto"/>
        <w:jc w:val="center"/>
        <w:outlineLvl w:val="2"/>
        <w:rPr>
          <w:rFonts w:hint="eastAsia" w:ascii="宋体" w:hAnsi="宋体" w:cs="宋体"/>
          <w:b/>
          <w:bCs/>
          <w:color w:val="auto"/>
          <w:sz w:val="32"/>
          <w:szCs w:val="32"/>
          <w:highlight w:val="none"/>
        </w:rPr>
      </w:pPr>
      <w:bookmarkStart w:id="114" w:name="_Toc26174"/>
      <w:r>
        <w:rPr>
          <w:rFonts w:hint="eastAsia" w:ascii="宋体" w:hAnsi="宋体" w:cs="宋体"/>
          <w:b/>
          <w:bCs/>
          <w:color w:val="auto"/>
          <w:sz w:val="32"/>
          <w:szCs w:val="32"/>
          <w:highlight w:val="none"/>
        </w:rPr>
        <w:t>服务承诺方案</w:t>
      </w:r>
      <w:bookmarkEnd w:id="114"/>
    </w:p>
    <w:p w14:paraId="22623F75">
      <w:pPr>
        <w:rPr>
          <w:rFonts w:hint="eastAsia" w:ascii="宋体" w:hAnsi="宋体" w:cs="宋体"/>
          <w:color w:val="auto"/>
          <w:sz w:val="24"/>
          <w:highlight w:val="none"/>
        </w:rPr>
      </w:pPr>
    </w:p>
    <w:p w14:paraId="2E292D41">
      <w:pPr>
        <w:ind w:firstLine="420" w:firstLineChars="175"/>
        <w:rPr>
          <w:color w:val="auto"/>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CB9EC37">
      <w:pPr>
        <w:pStyle w:val="14"/>
        <w:spacing w:line="360" w:lineRule="auto"/>
        <w:rPr>
          <w:rFonts w:hint="eastAsia" w:hAnsi="宋体" w:cs="宋体"/>
          <w:b/>
          <w:bCs/>
          <w:color w:val="auto"/>
          <w:sz w:val="24"/>
          <w:szCs w:val="24"/>
          <w:highlight w:val="none"/>
        </w:rPr>
      </w:pPr>
    </w:p>
    <w:p w14:paraId="03A7FB20">
      <w:pPr>
        <w:pStyle w:val="14"/>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第1条  对合同条款、付款方式全部予以响应。</w:t>
      </w:r>
    </w:p>
    <w:p w14:paraId="5E599D2A">
      <w:pPr>
        <w:pStyle w:val="1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第2条 （由投标人按第二章《项目采购需求》要求自行填写，所作的承诺作为构成合同不可分割的部分，必须真实、诚信，如提供虚假承诺或在中标、成交后不按其承诺履行的，将依法追究违约责任，并按《中华人民共和国政府采购法》规定予以处罚。）</w:t>
      </w:r>
    </w:p>
    <w:p w14:paraId="2EEF4A59">
      <w:pPr>
        <w:pStyle w:val="14"/>
        <w:spacing w:line="360" w:lineRule="auto"/>
        <w:ind w:firstLine="480" w:firstLineChars="200"/>
        <w:rPr>
          <w:rFonts w:hint="eastAsia" w:hAnsi="宋体" w:cs="宋体"/>
          <w:color w:val="auto"/>
          <w:sz w:val="24"/>
          <w:szCs w:val="24"/>
          <w:highlight w:val="none"/>
        </w:rPr>
      </w:pPr>
    </w:p>
    <w:p w14:paraId="2D03F600">
      <w:pPr>
        <w:pStyle w:val="14"/>
        <w:spacing w:line="360" w:lineRule="auto"/>
        <w:rPr>
          <w:rFonts w:hint="eastAsia" w:hAnsi="宋体" w:cs="宋体"/>
          <w:color w:val="auto"/>
          <w:sz w:val="24"/>
          <w:szCs w:val="24"/>
          <w:highlight w:val="none"/>
        </w:rPr>
      </w:pPr>
    </w:p>
    <w:p w14:paraId="0C01244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备注：以上为服务承诺格式，第1条为供应商必须列明，其余条款供应商可根据实际情况一一列明。</w:t>
      </w:r>
    </w:p>
    <w:p w14:paraId="22D9C689">
      <w:pPr>
        <w:snapToGrid w:val="0"/>
        <w:spacing w:before="50"/>
        <w:jc w:val="left"/>
        <w:rPr>
          <w:rFonts w:hint="eastAsia" w:ascii="宋体" w:hAnsi="宋体" w:cs="宋体"/>
          <w:color w:val="auto"/>
          <w:szCs w:val="21"/>
          <w:highlight w:val="none"/>
        </w:rPr>
      </w:pPr>
    </w:p>
    <w:p w14:paraId="17A22A39">
      <w:pPr>
        <w:snapToGrid w:val="0"/>
        <w:spacing w:before="50"/>
        <w:jc w:val="left"/>
        <w:rPr>
          <w:rFonts w:hint="eastAsia" w:ascii="宋体" w:hAnsi="宋体" w:cs="宋体"/>
          <w:color w:val="auto"/>
          <w:szCs w:val="21"/>
          <w:highlight w:val="none"/>
        </w:rPr>
      </w:pPr>
    </w:p>
    <w:p w14:paraId="433A85E1">
      <w:pPr>
        <w:pStyle w:val="14"/>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72ED2EB">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A5E5478">
      <w:pPr>
        <w:snapToGrid w:val="0"/>
        <w:spacing w:before="50"/>
        <w:jc w:val="left"/>
        <w:rPr>
          <w:rFonts w:hint="eastAsia" w:ascii="宋体" w:hAnsi="宋体" w:cs="宋体"/>
          <w:color w:val="auto"/>
          <w:szCs w:val="21"/>
          <w:highlight w:val="none"/>
        </w:rPr>
      </w:pPr>
    </w:p>
    <w:p w14:paraId="2FDB43EE">
      <w:pPr>
        <w:snapToGrid w:val="0"/>
        <w:spacing w:before="50"/>
        <w:jc w:val="left"/>
        <w:rPr>
          <w:rFonts w:hint="eastAsia" w:ascii="宋体" w:hAnsi="宋体" w:cs="宋体"/>
          <w:color w:val="auto"/>
          <w:szCs w:val="21"/>
          <w:highlight w:val="none"/>
        </w:rPr>
      </w:pPr>
    </w:p>
    <w:p w14:paraId="09C9CE1E">
      <w:pPr>
        <w:snapToGrid w:val="0"/>
        <w:spacing w:before="50"/>
        <w:jc w:val="left"/>
        <w:rPr>
          <w:rFonts w:hint="eastAsia" w:ascii="宋体" w:hAnsi="宋体" w:cs="宋体"/>
          <w:color w:val="auto"/>
          <w:szCs w:val="21"/>
          <w:highlight w:val="none"/>
        </w:rPr>
      </w:pPr>
    </w:p>
    <w:p w14:paraId="1DF50169">
      <w:pPr>
        <w:snapToGrid w:val="0"/>
        <w:spacing w:before="50"/>
        <w:jc w:val="left"/>
        <w:rPr>
          <w:rFonts w:hint="eastAsia" w:ascii="宋体" w:hAnsi="宋体" w:cs="宋体"/>
          <w:color w:val="auto"/>
          <w:szCs w:val="21"/>
          <w:highlight w:val="none"/>
        </w:rPr>
      </w:pPr>
    </w:p>
    <w:p w14:paraId="5B43C893">
      <w:pPr>
        <w:snapToGrid w:val="0"/>
        <w:spacing w:before="50"/>
        <w:jc w:val="left"/>
        <w:rPr>
          <w:rFonts w:hint="eastAsia" w:ascii="宋体" w:hAnsi="宋体" w:cs="宋体"/>
          <w:color w:val="auto"/>
          <w:szCs w:val="21"/>
          <w:highlight w:val="none"/>
        </w:rPr>
      </w:pPr>
    </w:p>
    <w:p w14:paraId="5272886B">
      <w:pPr>
        <w:snapToGrid w:val="0"/>
        <w:spacing w:before="50"/>
        <w:jc w:val="left"/>
        <w:rPr>
          <w:rFonts w:hint="eastAsia" w:ascii="宋体" w:hAnsi="宋体" w:cs="宋体"/>
          <w:color w:val="auto"/>
          <w:szCs w:val="21"/>
          <w:highlight w:val="none"/>
        </w:rPr>
      </w:pPr>
    </w:p>
    <w:p w14:paraId="0EE8429F">
      <w:pPr>
        <w:snapToGrid w:val="0"/>
        <w:spacing w:before="50"/>
        <w:jc w:val="left"/>
        <w:rPr>
          <w:rFonts w:hint="eastAsia" w:ascii="宋体" w:hAnsi="宋体" w:cs="宋体"/>
          <w:color w:val="auto"/>
          <w:szCs w:val="21"/>
          <w:highlight w:val="none"/>
        </w:rPr>
      </w:pPr>
    </w:p>
    <w:p w14:paraId="7F5087C1">
      <w:pPr>
        <w:snapToGrid w:val="0"/>
        <w:spacing w:before="50"/>
        <w:jc w:val="left"/>
        <w:rPr>
          <w:rFonts w:hint="eastAsia" w:ascii="宋体" w:hAnsi="宋体" w:cs="宋体"/>
          <w:color w:val="auto"/>
          <w:szCs w:val="21"/>
          <w:highlight w:val="none"/>
        </w:rPr>
      </w:pPr>
    </w:p>
    <w:p w14:paraId="4F74E794">
      <w:pPr>
        <w:snapToGrid w:val="0"/>
        <w:spacing w:before="50"/>
        <w:jc w:val="left"/>
        <w:rPr>
          <w:rFonts w:hint="eastAsia" w:ascii="宋体" w:hAnsi="宋体" w:cs="宋体"/>
          <w:color w:val="auto"/>
          <w:szCs w:val="21"/>
          <w:highlight w:val="none"/>
        </w:rPr>
      </w:pPr>
    </w:p>
    <w:p w14:paraId="52E50B55">
      <w:pPr>
        <w:snapToGrid w:val="0"/>
        <w:spacing w:before="50"/>
        <w:jc w:val="left"/>
        <w:rPr>
          <w:rFonts w:hint="eastAsia" w:ascii="宋体" w:hAnsi="宋体" w:cs="宋体"/>
          <w:color w:val="auto"/>
          <w:szCs w:val="21"/>
          <w:highlight w:val="none"/>
        </w:rPr>
      </w:pPr>
    </w:p>
    <w:p w14:paraId="37F08B4E">
      <w:pPr>
        <w:snapToGrid w:val="0"/>
        <w:spacing w:before="50"/>
        <w:jc w:val="left"/>
        <w:rPr>
          <w:rFonts w:hint="eastAsia" w:ascii="宋体" w:hAnsi="宋体" w:cs="宋体"/>
          <w:color w:val="auto"/>
          <w:szCs w:val="21"/>
          <w:highlight w:val="none"/>
        </w:rPr>
      </w:pPr>
    </w:p>
    <w:p w14:paraId="221CF77E">
      <w:pPr>
        <w:snapToGrid w:val="0"/>
        <w:spacing w:before="50"/>
        <w:jc w:val="left"/>
        <w:rPr>
          <w:rFonts w:hint="eastAsia" w:ascii="宋体" w:hAnsi="宋体" w:cs="宋体"/>
          <w:color w:val="auto"/>
          <w:szCs w:val="21"/>
          <w:highlight w:val="none"/>
        </w:rPr>
      </w:pPr>
    </w:p>
    <w:p w14:paraId="4C4F738A">
      <w:pPr>
        <w:snapToGrid w:val="0"/>
        <w:spacing w:before="50"/>
        <w:jc w:val="left"/>
        <w:rPr>
          <w:rFonts w:hint="eastAsia" w:ascii="宋体" w:hAnsi="宋体" w:cs="宋体"/>
          <w:color w:val="auto"/>
          <w:szCs w:val="21"/>
          <w:highlight w:val="none"/>
        </w:rPr>
      </w:pPr>
    </w:p>
    <w:p w14:paraId="1F105C03">
      <w:pPr>
        <w:snapToGrid w:val="0"/>
        <w:spacing w:before="50"/>
        <w:jc w:val="left"/>
        <w:rPr>
          <w:rFonts w:hint="eastAsia" w:ascii="宋体" w:hAnsi="宋体" w:cs="宋体"/>
          <w:color w:val="auto"/>
          <w:szCs w:val="21"/>
          <w:highlight w:val="none"/>
        </w:rPr>
      </w:pPr>
    </w:p>
    <w:p w14:paraId="51A6A1A0">
      <w:pPr>
        <w:snapToGrid w:val="0"/>
        <w:spacing w:before="50"/>
        <w:jc w:val="left"/>
        <w:rPr>
          <w:rFonts w:hint="eastAsia" w:ascii="宋体" w:hAnsi="宋体" w:cs="宋体"/>
          <w:color w:val="auto"/>
          <w:szCs w:val="21"/>
          <w:highlight w:val="none"/>
        </w:rPr>
      </w:pPr>
    </w:p>
    <w:p w14:paraId="00935C5B">
      <w:pPr>
        <w:snapToGrid w:val="0"/>
        <w:spacing w:before="50"/>
        <w:jc w:val="left"/>
        <w:rPr>
          <w:rFonts w:hint="eastAsia" w:ascii="宋体" w:hAnsi="宋体" w:cs="宋体"/>
          <w:color w:val="auto"/>
          <w:szCs w:val="21"/>
          <w:highlight w:val="none"/>
        </w:rPr>
      </w:pPr>
    </w:p>
    <w:p w14:paraId="304AD1BF">
      <w:pPr>
        <w:snapToGrid w:val="0"/>
        <w:spacing w:before="50"/>
        <w:jc w:val="left"/>
        <w:rPr>
          <w:rFonts w:hint="eastAsia" w:ascii="宋体" w:hAnsi="宋体" w:cs="宋体"/>
          <w:color w:val="auto"/>
          <w:szCs w:val="21"/>
          <w:highlight w:val="none"/>
        </w:rPr>
      </w:pPr>
    </w:p>
    <w:p w14:paraId="415D5931">
      <w:pPr>
        <w:snapToGrid w:val="0"/>
        <w:spacing w:before="50"/>
        <w:jc w:val="left"/>
        <w:rPr>
          <w:rFonts w:hint="eastAsia" w:ascii="宋体" w:hAnsi="宋体" w:cs="宋体"/>
          <w:color w:val="auto"/>
          <w:szCs w:val="21"/>
          <w:highlight w:val="none"/>
        </w:rPr>
      </w:pPr>
    </w:p>
    <w:p w14:paraId="353372BF">
      <w:pPr>
        <w:snapToGrid w:val="0"/>
        <w:spacing w:before="50"/>
        <w:jc w:val="left"/>
        <w:rPr>
          <w:rFonts w:hint="eastAsia" w:ascii="宋体" w:hAnsi="宋体" w:cs="宋体"/>
          <w:color w:val="auto"/>
          <w:szCs w:val="21"/>
          <w:highlight w:val="none"/>
        </w:rPr>
      </w:pPr>
    </w:p>
    <w:p w14:paraId="11C5E58D">
      <w:pPr>
        <w:snapToGrid w:val="0"/>
        <w:spacing w:before="50"/>
        <w:jc w:val="left"/>
        <w:rPr>
          <w:rFonts w:hint="eastAsia"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（6）选配件、专用耗材、售后服务优惠表格式：</w:t>
      </w:r>
    </w:p>
    <w:p w14:paraId="700415BB">
      <w:pPr>
        <w:pStyle w:val="14"/>
        <w:spacing w:line="440" w:lineRule="exact"/>
        <w:ind w:firstLine="420"/>
        <w:jc w:val="center"/>
        <w:rPr>
          <w:rFonts w:hint="eastAsia" w:hAnsi="宋体"/>
          <w:b/>
          <w:color w:val="auto"/>
          <w:sz w:val="32"/>
          <w:highlight w:val="none"/>
        </w:rPr>
      </w:pPr>
    </w:p>
    <w:p w14:paraId="67C29A05">
      <w:pPr>
        <w:pStyle w:val="14"/>
        <w:spacing w:line="440" w:lineRule="exact"/>
        <w:ind w:firstLine="420"/>
        <w:jc w:val="center"/>
        <w:rPr>
          <w:rFonts w:hint="eastAsia" w:hAnsi="宋体"/>
          <w:b/>
          <w:color w:val="auto"/>
          <w:sz w:val="32"/>
          <w:highlight w:val="none"/>
        </w:rPr>
      </w:pPr>
      <w:r>
        <w:rPr>
          <w:rFonts w:hint="eastAsia" w:hAnsi="宋体"/>
          <w:b/>
          <w:color w:val="auto"/>
          <w:sz w:val="32"/>
          <w:highlight w:val="none"/>
        </w:rPr>
        <w:t>选配件、专用耗材、售后服务优惠表</w:t>
      </w:r>
    </w:p>
    <w:p w14:paraId="2F9BB205">
      <w:pPr>
        <w:rPr>
          <w:color w:val="auto"/>
          <w:highlight w:val="none"/>
        </w:rPr>
      </w:pPr>
    </w:p>
    <w:p w14:paraId="03093B7E">
      <w:pPr>
        <w:rPr>
          <w:color w:val="auto"/>
          <w:highlight w:val="none"/>
        </w:rPr>
      </w:pPr>
      <w:r>
        <w:rPr>
          <w:rFonts w:hint="eastAsia" w:ascii="宋体" w:hAnsi="宋体" w:cs="宋体"/>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43C03CD">
      <w:pPr>
        <w:pStyle w:val="14"/>
        <w:spacing w:line="440" w:lineRule="exact"/>
        <w:ind w:firstLine="400" w:firstLineChars="200"/>
        <w:rPr>
          <w:rFonts w:hint="eastAsia" w:hAnsi="宋体"/>
          <w:color w:val="auto"/>
          <w:highlight w:val="none"/>
        </w:rPr>
      </w:pPr>
    </w:p>
    <w:tbl>
      <w:tblPr>
        <w:tblStyle w:val="22"/>
        <w:tblW w:w="9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1875"/>
        <w:gridCol w:w="1875"/>
        <w:gridCol w:w="1875"/>
        <w:gridCol w:w="1876"/>
      </w:tblGrid>
      <w:tr w14:paraId="2EC93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1875" w:type="dxa"/>
            <w:vAlign w:val="center"/>
          </w:tcPr>
          <w:p w14:paraId="5D6A9DB3">
            <w:pPr>
              <w:pStyle w:val="14"/>
              <w:spacing w:line="440" w:lineRule="exact"/>
              <w:jc w:val="center"/>
              <w:rPr>
                <w:rFonts w:hint="eastAsia" w:hAnsi="宋体"/>
                <w:b/>
                <w:bCs/>
                <w:color w:val="auto"/>
                <w:sz w:val="24"/>
                <w:szCs w:val="28"/>
                <w:highlight w:val="none"/>
              </w:rPr>
            </w:pPr>
            <w:r>
              <w:rPr>
                <w:rFonts w:hAnsi="宋体"/>
                <w:b/>
                <w:bCs/>
                <w:color w:val="auto"/>
                <w:sz w:val="24"/>
                <w:szCs w:val="28"/>
                <w:highlight w:val="none"/>
              </w:rPr>
              <w:t>序号</w:t>
            </w:r>
          </w:p>
        </w:tc>
        <w:tc>
          <w:tcPr>
            <w:tcW w:w="1875" w:type="dxa"/>
            <w:vAlign w:val="center"/>
          </w:tcPr>
          <w:p w14:paraId="5E30BEC8">
            <w:pPr>
              <w:pStyle w:val="14"/>
              <w:spacing w:line="440" w:lineRule="exact"/>
              <w:jc w:val="center"/>
              <w:rPr>
                <w:rFonts w:hint="eastAsia" w:hAnsi="宋体"/>
                <w:b/>
                <w:bCs/>
                <w:color w:val="auto"/>
                <w:sz w:val="24"/>
                <w:szCs w:val="28"/>
                <w:highlight w:val="none"/>
              </w:rPr>
            </w:pPr>
            <w:r>
              <w:rPr>
                <w:rFonts w:hAnsi="宋体"/>
                <w:b/>
                <w:bCs/>
                <w:color w:val="auto"/>
                <w:sz w:val="24"/>
                <w:szCs w:val="28"/>
                <w:highlight w:val="none"/>
              </w:rPr>
              <w:t>优惠内容</w:t>
            </w:r>
          </w:p>
        </w:tc>
        <w:tc>
          <w:tcPr>
            <w:tcW w:w="1875" w:type="dxa"/>
            <w:vAlign w:val="center"/>
          </w:tcPr>
          <w:p w14:paraId="0F13E7EF">
            <w:pPr>
              <w:pStyle w:val="14"/>
              <w:spacing w:line="440" w:lineRule="exact"/>
              <w:jc w:val="center"/>
              <w:rPr>
                <w:rFonts w:hint="eastAsia" w:hAnsi="宋体"/>
                <w:b/>
                <w:bCs/>
                <w:color w:val="auto"/>
                <w:sz w:val="24"/>
                <w:szCs w:val="28"/>
                <w:highlight w:val="none"/>
              </w:rPr>
            </w:pPr>
            <w:r>
              <w:rPr>
                <w:rFonts w:hAnsi="宋体"/>
                <w:b/>
                <w:bCs/>
                <w:color w:val="auto"/>
                <w:sz w:val="24"/>
                <w:szCs w:val="28"/>
                <w:highlight w:val="none"/>
              </w:rPr>
              <w:t>适用机型</w:t>
            </w:r>
          </w:p>
        </w:tc>
        <w:tc>
          <w:tcPr>
            <w:tcW w:w="1875" w:type="dxa"/>
            <w:vAlign w:val="center"/>
          </w:tcPr>
          <w:p w14:paraId="09B5772C">
            <w:pPr>
              <w:pStyle w:val="14"/>
              <w:spacing w:line="440" w:lineRule="exact"/>
              <w:jc w:val="center"/>
              <w:rPr>
                <w:rFonts w:hint="eastAsia" w:hAnsi="宋体"/>
                <w:b/>
                <w:bCs/>
                <w:color w:val="auto"/>
                <w:sz w:val="24"/>
                <w:szCs w:val="28"/>
                <w:highlight w:val="none"/>
              </w:rPr>
            </w:pPr>
            <w:r>
              <w:rPr>
                <w:rFonts w:hAnsi="宋体"/>
                <w:b/>
                <w:bCs/>
                <w:color w:val="auto"/>
                <w:sz w:val="24"/>
                <w:szCs w:val="28"/>
                <w:highlight w:val="none"/>
              </w:rPr>
              <w:t>单价</w:t>
            </w:r>
          </w:p>
        </w:tc>
        <w:tc>
          <w:tcPr>
            <w:tcW w:w="1876" w:type="dxa"/>
            <w:vAlign w:val="center"/>
          </w:tcPr>
          <w:p w14:paraId="11A98112">
            <w:pPr>
              <w:pStyle w:val="14"/>
              <w:spacing w:line="440" w:lineRule="exact"/>
              <w:jc w:val="center"/>
              <w:rPr>
                <w:rFonts w:hint="eastAsia" w:hAnsi="宋体"/>
                <w:b/>
                <w:bCs/>
                <w:color w:val="auto"/>
                <w:sz w:val="24"/>
                <w:szCs w:val="28"/>
                <w:highlight w:val="none"/>
              </w:rPr>
            </w:pPr>
            <w:r>
              <w:rPr>
                <w:rFonts w:hAnsi="宋体"/>
                <w:b/>
                <w:bCs/>
                <w:color w:val="auto"/>
                <w:sz w:val="24"/>
                <w:szCs w:val="28"/>
                <w:highlight w:val="none"/>
              </w:rPr>
              <w:t>比投标报价优惠率</w:t>
            </w:r>
          </w:p>
        </w:tc>
      </w:tr>
      <w:tr w14:paraId="21F3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875" w:type="dxa"/>
            <w:vAlign w:val="center"/>
          </w:tcPr>
          <w:p w14:paraId="78707564">
            <w:pPr>
              <w:pStyle w:val="14"/>
              <w:spacing w:line="440" w:lineRule="exact"/>
              <w:rPr>
                <w:rFonts w:hint="eastAsia" w:hAnsi="宋体"/>
                <w:color w:val="auto"/>
                <w:sz w:val="24"/>
                <w:szCs w:val="28"/>
                <w:highlight w:val="none"/>
              </w:rPr>
            </w:pPr>
          </w:p>
        </w:tc>
        <w:tc>
          <w:tcPr>
            <w:tcW w:w="1875" w:type="dxa"/>
            <w:vAlign w:val="center"/>
          </w:tcPr>
          <w:p w14:paraId="0D547D4F">
            <w:pPr>
              <w:pStyle w:val="14"/>
              <w:spacing w:line="440" w:lineRule="exact"/>
              <w:rPr>
                <w:rFonts w:hint="eastAsia" w:hAnsi="宋体"/>
                <w:color w:val="auto"/>
                <w:sz w:val="24"/>
                <w:szCs w:val="28"/>
                <w:highlight w:val="none"/>
              </w:rPr>
            </w:pPr>
          </w:p>
        </w:tc>
        <w:tc>
          <w:tcPr>
            <w:tcW w:w="1875" w:type="dxa"/>
            <w:vAlign w:val="center"/>
          </w:tcPr>
          <w:p w14:paraId="7D57FC76">
            <w:pPr>
              <w:pStyle w:val="14"/>
              <w:spacing w:line="440" w:lineRule="exact"/>
              <w:rPr>
                <w:rFonts w:hint="eastAsia" w:hAnsi="宋体"/>
                <w:color w:val="auto"/>
                <w:sz w:val="24"/>
                <w:szCs w:val="28"/>
                <w:highlight w:val="none"/>
              </w:rPr>
            </w:pPr>
          </w:p>
        </w:tc>
        <w:tc>
          <w:tcPr>
            <w:tcW w:w="1875" w:type="dxa"/>
            <w:vAlign w:val="center"/>
          </w:tcPr>
          <w:p w14:paraId="337D46FC">
            <w:pPr>
              <w:pStyle w:val="14"/>
              <w:spacing w:line="440" w:lineRule="exact"/>
              <w:rPr>
                <w:rFonts w:hint="eastAsia" w:hAnsi="宋体"/>
                <w:color w:val="auto"/>
                <w:sz w:val="24"/>
                <w:szCs w:val="28"/>
                <w:highlight w:val="none"/>
              </w:rPr>
            </w:pPr>
          </w:p>
        </w:tc>
        <w:tc>
          <w:tcPr>
            <w:tcW w:w="1876" w:type="dxa"/>
            <w:vAlign w:val="center"/>
          </w:tcPr>
          <w:p w14:paraId="6818FECC">
            <w:pPr>
              <w:pStyle w:val="14"/>
              <w:spacing w:line="440" w:lineRule="exact"/>
              <w:rPr>
                <w:rFonts w:hint="eastAsia" w:hAnsi="宋体"/>
                <w:color w:val="auto"/>
                <w:sz w:val="24"/>
                <w:szCs w:val="28"/>
                <w:highlight w:val="none"/>
              </w:rPr>
            </w:pPr>
          </w:p>
        </w:tc>
      </w:tr>
      <w:tr w14:paraId="68B82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875" w:type="dxa"/>
            <w:vAlign w:val="center"/>
          </w:tcPr>
          <w:p w14:paraId="1E8E16FA">
            <w:pPr>
              <w:pStyle w:val="14"/>
              <w:spacing w:line="440" w:lineRule="exact"/>
              <w:rPr>
                <w:rFonts w:hint="eastAsia" w:hAnsi="宋体"/>
                <w:color w:val="auto"/>
                <w:sz w:val="24"/>
                <w:szCs w:val="28"/>
                <w:highlight w:val="none"/>
              </w:rPr>
            </w:pPr>
          </w:p>
        </w:tc>
        <w:tc>
          <w:tcPr>
            <w:tcW w:w="1875" w:type="dxa"/>
            <w:vAlign w:val="center"/>
          </w:tcPr>
          <w:p w14:paraId="4C142A78">
            <w:pPr>
              <w:pStyle w:val="14"/>
              <w:spacing w:line="440" w:lineRule="exact"/>
              <w:rPr>
                <w:rFonts w:hint="eastAsia" w:hAnsi="宋体"/>
                <w:color w:val="auto"/>
                <w:sz w:val="24"/>
                <w:szCs w:val="28"/>
                <w:highlight w:val="none"/>
              </w:rPr>
            </w:pPr>
          </w:p>
        </w:tc>
        <w:tc>
          <w:tcPr>
            <w:tcW w:w="1875" w:type="dxa"/>
            <w:vAlign w:val="center"/>
          </w:tcPr>
          <w:p w14:paraId="3CAE1988">
            <w:pPr>
              <w:pStyle w:val="14"/>
              <w:spacing w:line="440" w:lineRule="exact"/>
              <w:rPr>
                <w:rFonts w:hint="eastAsia" w:hAnsi="宋体"/>
                <w:color w:val="auto"/>
                <w:sz w:val="24"/>
                <w:szCs w:val="28"/>
                <w:highlight w:val="none"/>
              </w:rPr>
            </w:pPr>
          </w:p>
        </w:tc>
        <w:tc>
          <w:tcPr>
            <w:tcW w:w="1875" w:type="dxa"/>
            <w:vAlign w:val="center"/>
          </w:tcPr>
          <w:p w14:paraId="7E164B5F">
            <w:pPr>
              <w:pStyle w:val="14"/>
              <w:spacing w:line="440" w:lineRule="exact"/>
              <w:rPr>
                <w:rFonts w:hint="eastAsia" w:hAnsi="宋体"/>
                <w:color w:val="auto"/>
                <w:sz w:val="24"/>
                <w:szCs w:val="28"/>
                <w:highlight w:val="none"/>
              </w:rPr>
            </w:pPr>
          </w:p>
        </w:tc>
        <w:tc>
          <w:tcPr>
            <w:tcW w:w="1876" w:type="dxa"/>
            <w:vAlign w:val="center"/>
          </w:tcPr>
          <w:p w14:paraId="38567AF7">
            <w:pPr>
              <w:pStyle w:val="14"/>
              <w:spacing w:line="440" w:lineRule="exact"/>
              <w:rPr>
                <w:rFonts w:hint="eastAsia" w:hAnsi="宋体"/>
                <w:color w:val="auto"/>
                <w:sz w:val="24"/>
                <w:szCs w:val="28"/>
                <w:highlight w:val="none"/>
              </w:rPr>
            </w:pPr>
          </w:p>
        </w:tc>
      </w:tr>
      <w:tr w14:paraId="637A1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875" w:type="dxa"/>
            <w:vAlign w:val="center"/>
          </w:tcPr>
          <w:p w14:paraId="7CDD8785">
            <w:pPr>
              <w:pStyle w:val="14"/>
              <w:spacing w:line="440" w:lineRule="exact"/>
              <w:rPr>
                <w:rFonts w:hint="eastAsia" w:hAnsi="宋体"/>
                <w:color w:val="auto"/>
                <w:sz w:val="24"/>
                <w:szCs w:val="28"/>
                <w:highlight w:val="none"/>
              </w:rPr>
            </w:pPr>
          </w:p>
        </w:tc>
        <w:tc>
          <w:tcPr>
            <w:tcW w:w="1875" w:type="dxa"/>
            <w:vAlign w:val="center"/>
          </w:tcPr>
          <w:p w14:paraId="59A4E609">
            <w:pPr>
              <w:pStyle w:val="14"/>
              <w:spacing w:line="440" w:lineRule="exact"/>
              <w:rPr>
                <w:rFonts w:hint="eastAsia" w:hAnsi="宋体"/>
                <w:color w:val="auto"/>
                <w:sz w:val="24"/>
                <w:szCs w:val="28"/>
                <w:highlight w:val="none"/>
              </w:rPr>
            </w:pPr>
          </w:p>
        </w:tc>
        <w:tc>
          <w:tcPr>
            <w:tcW w:w="1875" w:type="dxa"/>
            <w:vAlign w:val="center"/>
          </w:tcPr>
          <w:p w14:paraId="2619D6B1">
            <w:pPr>
              <w:pStyle w:val="14"/>
              <w:spacing w:line="440" w:lineRule="exact"/>
              <w:rPr>
                <w:rFonts w:hint="eastAsia" w:hAnsi="宋体"/>
                <w:color w:val="auto"/>
                <w:sz w:val="24"/>
                <w:szCs w:val="28"/>
                <w:highlight w:val="none"/>
              </w:rPr>
            </w:pPr>
          </w:p>
        </w:tc>
        <w:tc>
          <w:tcPr>
            <w:tcW w:w="1875" w:type="dxa"/>
            <w:vAlign w:val="center"/>
          </w:tcPr>
          <w:p w14:paraId="484DFB99">
            <w:pPr>
              <w:pStyle w:val="14"/>
              <w:spacing w:line="440" w:lineRule="exact"/>
              <w:rPr>
                <w:rFonts w:hint="eastAsia" w:hAnsi="宋体"/>
                <w:color w:val="auto"/>
                <w:sz w:val="24"/>
                <w:szCs w:val="28"/>
                <w:highlight w:val="none"/>
              </w:rPr>
            </w:pPr>
          </w:p>
        </w:tc>
        <w:tc>
          <w:tcPr>
            <w:tcW w:w="1876" w:type="dxa"/>
            <w:vAlign w:val="center"/>
          </w:tcPr>
          <w:p w14:paraId="72B9F85E">
            <w:pPr>
              <w:pStyle w:val="14"/>
              <w:spacing w:line="440" w:lineRule="exact"/>
              <w:rPr>
                <w:rFonts w:hint="eastAsia" w:hAnsi="宋体"/>
                <w:color w:val="auto"/>
                <w:sz w:val="24"/>
                <w:szCs w:val="28"/>
                <w:highlight w:val="none"/>
              </w:rPr>
            </w:pPr>
          </w:p>
        </w:tc>
      </w:tr>
    </w:tbl>
    <w:p w14:paraId="5E7F84D4">
      <w:pPr>
        <w:pStyle w:val="14"/>
        <w:spacing w:line="360" w:lineRule="auto"/>
        <w:ind w:firstLine="1920" w:firstLineChars="800"/>
        <w:rPr>
          <w:rFonts w:hint="eastAsia" w:hAnsi="宋体" w:cs="宋体"/>
          <w:color w:val="auto"/>
          <w:sz w:val="24"/>
          <w:szCs w:val="24"/>
          <w:highlight w:val="none"/>
        </w:rPr>
      </w:pPr>
    </w:p>
    <w:p w14:paraId="5D1790FB">
      <w:pPr>
        <w:pStyle w:val="14"/>
        <w:spacing w:line="360" w:lineRule="auto"/>
        <w:ind w:firstLine="1920" w:firstLineChars="800"/>
        <w:rPr>
          <w:rFonts w:hint="eastAsia" w:hAnsi="宋体" w:cs="宋体"/>
          <w:color w:val="auto"/>
          <w:sz w:val="24"/>
          <w:szCs w:val="24"/>
          <w:highlight w:val="none"/>
        </w:rPr>
      </w:pPr>
    </w:p>
    <w:p w14:paraId="6C21D076">
      <w:pPr>
        <w:pStyle w:val="14"/>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6847328E">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E6B5CD0">
      <w:pPr>
        <w:snapToGrid w:val="0"/>
        <w:spacing w:before="50" w:after="156" w:afterLines="50"/>
        <w:jc w:val="left"/>
        <w:rPr>
          <w:rFonts w:hint="eastAsia" w:ascii="宋体" w:hAnsi="宋体" w:cs="宋体"/>
          <w:color w:val="auto"/>
          <w:szCs w:val="21"/>
          <w:highlight w:val="none"/>
        </w:rPr>
      </w:pPr>
    </w:p>
    <w:p w14:paraId="47D44844">
      <w:pPr>
        <w:snapToGrid w:val="0"/>
        <w:spacing w:before="50"/>
        <w:jc w:val="left"/>
        <w:rPr>
          <w:rFonts w:hint="eastAsia"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（7）投标人对本项目的合理化建议和改进措施（如有，格式自拟）</w:t>
      </w:r>
    </w:p>
    <w:p w14:paraId="35E53517">
      <w:pPr>
        <w:pStyle w:val="14"/>
        <w:rPr>
          <w:rFonts w:hint="eastAsia" w:hAnsi="宋体" w:cs="宋体"/>
          <w:color w:val="auto"/>
          <w:sz w:val="21"/>
          <w:highlight w:val="none"/>
        </w:rPr>
      </w:pPr>
      <w:r>
        <w:rPr>
          <w:rFonts w:hint="eastAsia" w:hAnsi="宋体" w:cs="宋体"/>
          <w:color w:val="auto"/>
          <w:sz w:val="21"/>
          <w:highlight w:val="none"/>
        </w:rPr>
        <w:t xml:space="preserve"> </w:t>
      </w:r>
    </w:p>
    <w:p w14:paraId="35328BC6">
      <w:pPr>
        <w:pStyle w:val="14"/>
        <w:rPr>
          <w:rFonts w:hint="eastAsia" w:hAnsi="宋体" w:cs="宋体"/>
          <w:color w:val="auto"/>
          <w:sz w:val="21"/>
          <w:highlight w:val="none"/>
        </w:rPr>
      </w:pPr>
    </w:p>
    <w:p w14:paraId="6F28EB4A">
      <w:pPr>
        <w:pStyle w:val="14"/>
        <w:spacing w:line="360" w:lineRule="auto"/>
        <w:ind w:firstLine="2160" w:firstLineChars="9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0FD7773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80519DF">
      <w:pPr>
        <w:pStyle w:val="14"/>
        <w:ind w:firstLine="3300" w:firstLineChars="1650"/>
        <w:rPr>
          <w:rFonts w:hint="eastAsia" w:hAnsi="宋体" w:cs="宋体"/>
          <w:color w:val="auto"/>
          <w:highlight w:val="none"/>
        </w:rPr>
      </w:pPr>
    </w:p>
    <w:p w14:paraId="56BE763F">
      <w:pPr>
        <w:snapToGrid w:val="0"/>
        <w:spacing w:before="50" w:after="156" w:afterLines="50"/>
        <w:jc w:val="left"/>
        <w:rPr>
          <w:rFonts w:hint="eastAsia" w:ascii="宋体" w:hAnsi="宋体" w:cs="宋体"/>
          <w:color w:val="auto"/>
          <w:szCs w:val="21"/>
          <w:highlight w:val="none"/>
        </w:rPr>
      </w:pPr>
    </w:p>
    <w:p w14:paraId="63CB40DA">
      <w:pPr>
        <w:pStyle w:val="21"/>
        <w:ind w:firstLine="0" w:firstLineChars="0"/>
        <w:rPr>
          <w:rFonts w:hint="eastAsia" w:ascii="宋体" w:hAnsi="宋体" w:cs="宋体"/>
          <w:color w:val="auto"/>
          <w:szCs w:val="21"/>
          <w:highlight w:val="none"/>
        </w:rPr>
      </w:pPr>
    </w:p>
    <w:p w14:paraId="0783CF9A">
      <w:pPr>
        <w:snapToGrid w:val="0"/>
        <w:spacing w:before="50" w:after="156" w:afterLines="50"/>
        <w:jc w:val="left"/>
        <w:rPr>
          <w:rFonts w:hint="eastAsia" w:ascii="宋体" w:hAnsi="宋体" w:cs="宋体"/>
          <w:color w:val="auto"/>
          <w:szCs w:val="21"/>
          <w:highlight w:val="none"/>
        </w:rPr>
      </w:pPr>
    </w:p>
    <w:p w14:paraId="66C009B4">
      <w:pPr>
        <w:snapToGrid w:val="0"/>
        <w:spacing w:before="50" w:after="156" w:afterLines="50"/>
        <w:jc w:val="left"/>
        <w:rPr>
          <w:rFonts w:hint="eastAsia" w:ascii="宋体" w:hAnsi="宋体" w:cs="宋体"/>
          <w:b/>
          <w:bCs/>
          <w:color w:val="auto"/>
          <w:sz w:val="24"/>
          <w:highlight w:val="none"/>
        </w:rPr>
      </w:pPr>
      <w:r>
        <w:rPr>
          <w:rFonts w:hint="eastAsia" w:ascii="宋体" w:hAnsi="宋体" w:cs="宋体"/>
          <w:b/>
          <w:bCs/>
          <w:color w:val="auto"/>
          <w:sz w:val="24"/>
          <w:highlight w:val="none"/>
        </w:rPr>
        <w:t>（8）投标人需要说明的其他文件和说明（如有，格式自拟）</w:t>
      </w:r>
    </w:p>
    <w:p w14:paraId="70413885">
      <w:pPr>
        <w:snapToGrid w:val="0"/>
        <w:spacing w:before="50" w:after="156" w:afterLines="50"/>
        <w:jc w:val="left"/>
        <w:rPr>
          <w:rFonts w:hint="eastAsia" w:ascii="宋体" w:hAnsi="宋体" w:cs="宋体"/>
          <w:color w:val="auto"/>
          <w:szCs w:val="21"/>
          <w:highlight w:val="none"/>
        </w:rPr>
      </w:pPr>
    </w:p>
    <w:p w14:paraId="1122495F">
      <w:pPr>
        <w:snapToGrid w:val="0"/>
        <w:spacing w:before="50" w:after="156" w:afterLines="50"/>
        <w:jc w:val="left"/>
        <w:rPr>
          <w:rFonts w:hint="eastAsia" w:ascii="宋体" w:hAnsi="宋体" w:cs="宋体"/>
          <w:color w:val="auto"/>
          <w:szCs w:val="21"/>
          <w:highlight w:val="none"/>
        </w:rPr>
      </w:pPr>
    </w:p>
    <w:p w14:paraId="6B656925">
      <w:pPr>
        <w:pStyle w:val="14"/>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2C7FB404">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A29D5CB">
      <w:pPr>
        <w:snapToGrid w:val="0"/>
        <w:spacing w:before="50" w:after="156" w:afterLines="50"/>
        <w:jc w:val="left"/>
        <w:rPr>
          <w:rFonts w:hint="eastAsia" w:ascii="宋体" w:hAnsi="宋体" w:cs="宋体"/>
          <w:color w:val="auto"/>
          <w:szCs w:val="21"/>
          <w:highlight w:val="none"/>
        </w:rPr>
      </w:pPr>
    </w:p>
    <w:p w14:paraId="71FBAC80">
      <w:pPr>
        <w:snapToGrid w:val="0"/>
        <w:spacing w:before="50" w:after="156" w:afterLines="50"/>
        <w:jc w:val="left"/>
        <w:rPr>
          <w:rFonts w:hint="eastAsia" w:ascii="宋体" w:hAnsi="宋体" w:cs="宋体"/>
          <w:color w:val="auto"/>
          <w:szCs w:val="21"/>
          <w:highlight w:val="none"/>
        </w:rPr>
      </w:pPr>
    </w:p>
    <w:p w14:paraId="5F15AFF2">
      <w:pPr>
        <w:rPr>
          <w:color w:val="auto"/>
          <w:highlight w:val="none"/>
        </w:rPr>
      </w:pPr>
    </w:p>
    <w:sectPr>
      <w:headerReference r:id="rId11" w:type="default"/>
      <w:footerReference r:id="rId12" w:type="default"/>
      <w:pgSz w:w="11906" w:h="16838"/>
      <w:pgMar w:top="1134" w:right="1247" w:bottom="1134"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C429A">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71FCB8">
                          <w:pPr>
                            <w:pStyle w:val="16"/>
                            <w:rPr>
                              <w:rStyle w:val="25"/>
                            </w:rPr>
                          </w:pPr>
                          <w:r>
                            <w:fldChar w:fldCharType="begin"/>
                          </w:r>
                          <w:r>
                            <w:rPr>
                              <w:rStyle w:val="25"/>
                            </w:rPr>
                            <w:instrText xml:space="preserve">PAGE  </w:instrText>
                          </w:r>
                          <w:r>
                            <w:fldChar w:fldCharType="separate"/>
                          </w:r>
                          <w:r>
                            <w:rPr>
                              <w:rStyle w:val="25"/>
                            </w:rP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E71FCB8">
                    <w:pPr>
                      <w:pStyle w:val="16"/>
                      <w:rPr>
                        <w:rStyle w:val="25"/>
                      </w:rPr>
                    </w:pPr>
                    <w:r>
                      <w:fldChar w:fldCharType="begin"/>
                    </w:r>
                    <w:r>
                      <w:rPr>
                        <w:rStyle w:val="25"/>
                      </w:rPr>
                      <w:instrText xml:space="preserve">PAGE  </w:instrText>
                    </w:r>
                    <w:r>
                      <w:fldChar w:fldCharType="separate"/>
                    </w:r>
                    <w:r>
                      <w:rPr>
                        <w:rStyle w:val="25"/>
                      </w:rP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F8DE5">
    <w:pPr>
      <w:pStyle w:val="16"/>
      <w:framePr w:wrap="around" w:vAnchor="text" w:hAnchor="margin" w:xAlign="center" w:y="1"/>
      <w:rPr>
        <w:rStyle w:val="25"/>
      </w:rPr>
    </w:pPr>
    <w:r>
      <w:fldChar w:fldCharType="begin"/>
    </w:r>
    <w:r>
      <w:rPr>
        <w:rStyle w:val="25"/>
      </w:rPr>
      <w:instrText xml:space="preserve">PAGE  </w:instrText>
    </w:r>
    <w:r>
      <w:fldChar w:fldCharType="end"/>
    </w:r>
  </w:p>
  <w:p w14:paraId="66F33DA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BD94">
    <w:pPr>
      <w:pStyle w:val="16"/>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B567">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AC9A">
    <w:pPr>
      <w:pStyle w:val="16"/>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3E0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79DFF0">
                          <w:pPr>
                            <w:pStyle w:val="16"/>
                            <w:rPr>
                              <w:rStyle w:val="25"/>
                            </w:rPr>
                          </w:pPr>
                          <w:r>
                            <w:fldChar w:fldCharType="begin"/>
                          </w:r>
                          <w:r>
                            <w:rPr>
                              <w:rStyle w:val="25"/>
                            </w:rPr>
                            <w:instrText xml:space="preserve">PAGE  </w:instrText>
                          </w:r>
                          <w:r>
                            <w:fldChar w:fldCharType="separate"/>
                          </w:r>
                          <w:r>
                            <w:rPr>
                              <w:rStyle w:val="25"/>
                            </w:rPr>
                            <w:t>- 46 -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5E79DFF0">
                    <w:pPr>
                      <w:pStyle w:val="16"/>
                      <w:rPr>
                        <w:rStyle w:val="25"/>
                      </w:rPr>
                    </w:pPr>
                    <w:r>
                      <w:fldChar w:fldCharType="begin"/>
                    </w:r>
                    <w:r>
                      <w:rPr>
                        <w:rStyle w:val="25"/>
                      </w:rPr>
                      <w:instrText xml:space="preserve">PAGE  </w:instrText>
                    </w:r>
                    <w:r>
                      <w:fldChar w:fldCharType="separate"/>
                    </w:r>
                    <w:r>
                      <w:rPr>
                        <w:rStyle w:val="25"/>
                      </w:rPr>
                      <w:t>- 46 -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9544">
    <w:pPr>
      <w:pStyle w:val="16"/>
      <w:ind w:right="36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B21F5">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F15660">
                          <w:pPr>
                            <w:pStyle w:val="16"/>
                            <w:rPr>
                              <w:rStyle w:val="25"/>
                            </w:rPr>
                          </w:pPr>
                          <w:r>
                            <w:fldChar w:fldCharType="begin"/>
                          </w:r>
                          <w:r>
                            <w:rPr>
                              <w:rStyle w:val="25"/>
                            </w:rPr>
                            <w:instrText xml:space="preserve">PAGE  </w:instrText>
                          </w:r>
                          <w:r>
                            <w:fldChar w:fldCharType="separate"/>
                          </w:r>
                          <w:r>
                            <w:rPr>
                              <w:rStyle w:val="25"/>
                            </w:rPr>
                            <w:t>- 81 -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46F15660">
                    <w:pPr>
                      <w:pStyle w:val="16"/>
                      <w:rPr>
                        <w:rStyle w:val="25"/>
                      </w:rPr>
                    </w:pPr>
                    <w:r>
                      <w:fldChar w:fldCharType="begin"/>
                    </w:r>
                    <w:r>
                      <w:rPr>
                        <w:rStyle w:val="25"/>
                      </w:rPr>
                      <w:instrText xml:space="preserve">PAGE  </w:instrText>
                    </w:r>
                    <w:r>
                      <w:fldChar w:fldCharType="separate"/>
                    </w:r>
                    <w:r>
                      <w:rPr>
                        <w:rStyle w:val="25"/>
                      </w:rPr>
                      <w:t>- 81 -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D17B">
    <w:pPr>
      <w:pStyle w:val="17"/>
      <w:pBdr>
        <w:bottom w:val="single" w:color="auto" w:sz="6" w:space="0"/>
      </w:pBdr>
      <w:wordWrap w:val="0"/>
      <w:jc w:val="right"/>
      <w:rPr>
        <w:rFonts w:hint="eastAsia" w:ascii="宋体" w:hAnsi="宋体"/>
      </w:rPr>
    </w:pPr>
    <w:r>
      <w:rPr>
        <w:rFonts w:hint="eastAsia"/>
        <w:szCs w:val="21"/>
      </w:rPr>
      <w:t xml:space="preserve">                          </w:t>
    </w:r>
    <w:r>
      <w:rPr>
        <w:rFonts w:hint="eastAsia" w:ascii="宋体" w:hAnsi="宋体"/>
        <w:shd w:val="clear" w:color="auto" w:fill="FFFFFF"/>
      </w:rPr>
      <w:t>报告厅设备采购</w:t>
    </w:r>
    <w:r>
      <w:rPr>
        <w:rFonts w:hint="eastAsia" w:ascii="宋体" w:hAnsi="宋体"/>
      </w:rPr>
      <w:t>（LZZC2025-G1-230077-GXXH）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F546">
    <w:pPr>
      <w:pStyle w:val="17"/>
      <w:pBdr>
        <w:bottom w:val="single" w:color="auto" w:sz="6" w:space="0"/>
      </w:pBdr>
      <w:wordWrap w:val="0"/>
      <w:jc w:val="right"/>
      <w:rPr>
        <w:rFonts w:hint="eastAsia" w:ascii="宋体" w:hAnsi="宋体"/>
      </w:rPr>
    </w:pPr>
    <w:r>
      <w:rPr>
        <w:rFonts w:hint="eastAsia"/>
        <w:szCs w:val="21"/>
      </w:rPr>
      <w:t xml:space="preserve">                          </w:t>
    </w:r>
    <w:r>
      <w:rPr>
        <w:rFonts w:hint="eastAsia" w:ascii="宋体" w:hAnsi="宋体"/>
        <w:shd w:val="clear" w:color="auto" w:fill="FFFFFF"/>
      </w:rPr>
      <w:t>报告厅设备采购</w:t>
    </w:r>
    <w:r>
      <w:rPr>
        <w:rFonts w:hint="eastAsia" w:ascii="宋体" w:hAnsi="宋体"/>
      </w:rPr>
      <w:t>（LZZC2025-G1-230077-GXXH）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0D232"/>
    <w:multiLevelType w:val="singleLevel"/>
    <w:tmpl w:val="BF30D232"/>
    <w:lvl w:ilvl="0" w:tentative="0">
      <w:start w:val="2"/>
      <w:numFmt w:val="decimal"/>
      <w:suff w:val="nothing"/>
      <w:lvlText w:val="%1、"/>
      <w:lvlJc w:val="left"/>
    </w:lvl>
  </w:abstractNum>
  <w:abstractNum w:abstractNumId="1">
    <w:nsid w:val="C794BA45"/>
    <w:multiLevelType w:val="singleLevel"/>
    <w:tmpl w:val="C794BA45"/>
    <w:lvl w:ilvl="0" w:tentative="0">
      <w:start w:val="2"/>
      <w:numFmt w:val="decimal"/>
      <w:suff w:val="nothing"/>
      <w:lvlText w:val="（%1）"/>
      <w:lvlJc w:val="left"/>
    </w:lvl>
  </w:abstractNum>
  <w:abstractNum w:abstractNumId="2">
    <w:nsid w:val="05DDB9D0"/>
    <w:multiLevelType w:val="singleLevel"/>
    <w:tmpl w:val="05DDB9D0"/>
    <w:lvl w:ilvl="0" w:tentative="0">
      <w:start w:val="2"/>
      <w:numFmt w:val="decimal"/>
      <w:suff w:val="nothing"/>
      <w:lvlText w:val="（%1）"/>
      <w:lvlJc w:val="left"/>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readOnly" w:enforcement="1" w:cryptProviderType="rsaFull" w:cryptAlgorithmClass="hash" w:cryptAlgorithmType="typeAny" w:cryptAlgorithmSid="4" w:cryptSpinCount="0" w:hash="BlgReBWo+5gbby8znYZ/jE7edpI=" w:salt="uczORgoYIUqnd8jWQsRAE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7A"/>
    <w:rsid w:val="001665EC"/>
    <w:rsid w:val="00254F7C"/>
    <w:rsid w:val="003A7093"/>
    <w:rsid w:val="00462B42"/>
    <w:rsid w:val="005F04E3"/>
    <w:rsid w:val="00685551"/>
    <w:rsid w:val="007553AC"/>
    <w:rsid w:val="007E397A"/>
    <w:rsid w:val="00AB19BF"/>
    <w:rsid w:val="00B11242"/>
    <w:rsid w:val="00C26B7E"/>
    <w:rsid w:val="00D54E28"/>
    <w:rsid w:val="00F47984"/>
    <w:rsid w:val="013646EF"/>
    <w:rsid w:val="018F6A3E"/>
    <w:rsid w:val="02AE55E9"/>
    <w:rsid w:val="02EA4873"/>
    <w:rsid w:val="03074E87"/>
    <w:rsid w:val="04874344"/>
    <w:rsid w:val="04E62E18"/>
    <w:rsid w:val="052B4CCF"/>
    <w:rsid w:val="05E732EC"/>
    <w:rsid w:val="07CA07CF"/>
    <w:rsid w:val="09B94F9F"/>
    <w:rsid w:val="0B7849E6"/>
    <w:rsid w:val="0D215336"/>
    <w:rsid w:val="0D6214AA"/>
    <w:rsid w:val="0E741495"/>
    <w:rsid w:val="10994EC9"/>
    <w:rsid w:val="119D0D03"/>
    <w:rsid w:val="121A2353"/>
    <w:rsid w:val="15267261"/>
    <w:rsid w:val="1562473D"/>
    <w:rsid w:val="18426D26"/>
    <w:rsid w:val="1AB01F5F"/>
    <w:rsid w:val="1B636B19"/>
    <w:rsid w:val="1E537319"/>
    <w:rsid w:val="1E8A43AA"/>
    <w:rsid w:val="22CE3D05"/>
    <w:rsid w:val="23DC1B5F"/>
    <w:rsid w:val="260E7FC9"/>
    <w:rsid w:val="28BC1F5F"/>
    <w:rsid w:val="294A756A"/>
    <w:rsid w:val="298567F4"/>
    <w:rsid w:val="2A1C0F07"/>
    <w:rsid w:val="2BF37A45"/>
    <w:rsid w:val="2EDC6EB7"/>
    <w:rsid w:val="2EF90F9E"/>
    <w:rsid w:val="2F633134"/>
    <w:rsid w:val="2FE75B13"/>
    <w:rsid w:val="2FF124EE"/>
    <w:rsid w:val="317845AA"/>
    <w:rsid w:val="33A61841"/>
    <w:rsid w:val="36C24BE4"/>
    <w:rsid w:val="37007082"/>
    <w:rsid w:val="37C16C4A"/>
    <w:rsid w:val="39985250"/>
    <w:rsid w:val="3AD91D1C"/>
    <w:rsid w:val="3B8F4BBD"/>
    <w:rsid w:val="3C4037E2"/>
    <w:rsid w:val="3C5502A8"/>
    <w:rsid w:val="3C8446EA"/>
    <w:rsid w:val="41BA4AE6"/>
    <w:rsid w:val="41DF2AEE"/>
    <w:rsid w:val="454964D0"/>
    <w:rsid w:val="46D87B0C"/>
    <w:rsid w:val="4CD62D3F"/>
    <w:rsid w:val="4E2B70BB"/>
    <w:rsid w:val="4FCB5F3D"/>
    <w:rsid w:val="4FF9121F"/>
    <w:rsid w:val="51061CFE"/>
    <w:rsid w:val="53672943"/>
    <w:rsid w:val="53A0442A"/>
    <w:rsid w:val="55A75279"/>
    <w:rsid w:val="57B65C47"/>
    <w:rsid w:val="58E32A6C"/>
    <w:rsid w:val="591C5F7E"/>
    <w:rsid w:val="59545718"/>
    <w:rsid w:val="59B30690"/>
    <w:rsid w:val="5A582D49"/>
    <w:rsid w:val="5EDD7F5D"/>
    <w:rsid w:val="5F1B1B43"/>
    <w:rsid w:val="612001E9"/>
    <w:rsid w:val="61560474"/>
    <w:rsid w:val="63691DC0"/>
    <w:rsid w:val="652C12F7"/>
    <w:rsid w:val="6708058D"/>
    <w:rsid w:val="69894212"/>
    <w:rsid w:val="6C691082"/>
    <w:rsid w:val="6EE36ECA"/>
    <w:rsid w:val="6F525BAF"/>
    <w:rsid w:val="709B5A64"/>
    <w:rsid w:val="71235CA4"/>
    <w:rsid w:val="726A488A"/>
    <w:rsid w:val="72D60D96"/>
    <w:rsid w:val="79CC3B5B"/>
    <w:rsid w:val="7B921A77"/>
    <w:rsid w:val="7C460A98"/>
    <w:rsid w:val="7D730116"/>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4"/>
    <w:next w:val="6"/>
    <w:qFormat/>
    <w:uiPriority w:val="0"/>
    <w:pPr>
      <w:outlineLvl w:val="2"/>
    </w:pPr>
    <w:rPr>
      <w:rFonts w:ascii="Times New Roman" w:hAnsi="Times New Roman" w:eastAsia="宋体"/>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qFormat/>
    <w:uiPriority w:val="0"/>
    <w:pPr>
      <w:keepNext/>
      <w:keepLines/>
      <w:numPr>
        <w:ilvl w:val="4"/>
        <w:numId w:val="1"/>
      </w:numPr>
      <w:spacing w:before="280" w:after="290" w:line="376"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6">
    <w:name w:val="index 4"/>
    <w:basedOn w:val="1"/>
    <w:next w:val="1"/>
    <w:qFormat/>
    <w:uiPriority w:val="0"/>
  </w:style>
  <w:style w:type="paragraph" w:styleId="9">
    <w:name w:val="Normal Indent"/>
    <w:basedOn w:val="1"/>
    <w:qFormat/>
    <w:uiPriority w:val="0"/>
    <w:pPr>
      <w:ind w:firstLine="420"/>
    </w:pPr>
    <w:rPr>
      <w:szCs w:val="20"/>
    </w:rPr>
  </w:style>
  <w:style w:type="paragraph" w:styleId="10">
    <w:name w:val="annotation text"/>
    <w:basedOn w:val="1"/>
    <w:unhideWhenUsed/>
    <w:qFormat/>
    <w:uiPriority w:val="0"/>
    <w:pPr>
      <w:jc w:val="left"/>
    </w:pPr>
  </w:style>
  <w:style w:type="paragraph" w:styleId="11">
    <w:name w:val="Body Text"/>
    <w:basedOn w:val="1"/>
    <w:qFormat/>
    <w:uiPriority w:val="0"/>
    <w:pPr>
      <w:spacing w:line="380" w:lineRule="exact"/>
    </w:pPr>
    <w:rPr>
      <w:kern w:val="0"/>
      <w:sz w:val="24"/>
    </w:rPr>
  </w:style>
  <w:style w:type="paragraph" w:styleId="12">
    <w:name w:val="Body Text Indent"/>
    <w:basedOn w:val="1"/>
    <w:next w:val="13"/>
    <w:qFormat/>
    <w:uiPriority w:val="0"/>
    <w:pPr>
      <w:ind w:firstLine="830" w:firstLineChars="352"/>
    </w:pPr>
    <w:rPr>
      <w:rFonts w:ascii="仿宋_GB2312" w:eastAsia="仿宋_GB2312"/>
      <w:kern w:val="0"/>
      <w:sz w:val="32"/>
      <w:szCs w:val="20"/>
    </w:rPr>
  </w:style>
  <w:style w:type="paragraph" w:customStyle="1" w:styleId="1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4">
    <w:name w:val="Plain Text"/>
    <w:basedOn w:val="1"/>
    <w:next w:val="7"/>
    <w:qFormat/>
    <w:uiPriority w:val="0"/>
    <w:rPr>
      <w:rFonts w:ascii="宋体" w:hAnsi="Courier New"/>
      <w:kern w:val="0"/>
      <w:sz w:val="20"/>
      <w:szCs w:val="21"/>
    </w:rPr>
  </w:style>
  <w:style w:type="paragraph" w:styleId="15">
    <w:name w:val="Date"/>
    <w:basedOn w:val="1"/>
    <w:next w:val="1"/>
    <w:qFormat/>
    <w:uiPriority w:val="0"/>
    <w:pPr>
      <w:ind w:left="100" w:leftChars="2500"/>
    </w:pPr>
    <w:rPr>
      <w:rFonts w:ascii="宋体" w:hAnsi="Courier New"/>
      <w:kern w:val="0"/>
      <w:sz w:val="20"/>
      <w:szCs w:val="21"/>
    </w:rPr>
  </w:style>
  <w:style w:type="paragraph" w:styleId="16">
    <w:name w:val="footer"/>
    <w:basedOn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left" w:pos="1260"/>
        <w:tab w:val="right" w:leader="dot" w:pos="9000"/>
      </w:tabs>
      <w:spacing w:before="120" w:after="120" w:line="480" w:lineRule="exact"/>
      <w:ind w:firstLine="300" w:firstLineChars="100"/>
      <w:jc w:val="left"/>
    </w:pPr>
    <w:rPr>
      <w:rFonts w:ascii="宋体" w:hAnsi="宋体"/>
      <w:b/>
      <w:bCs/>
      <w:caps/>
      <w:sz w:val="24"/>
    </w:rPr>
  </w:style>
  <w:style w:type="paragraph" w:styleId="19">
    <w:name w:val="List"/>
    <w:basedOn w:val="1"/>
    <w:qFormat/>
    <w:uiPriority w:val="0"/>
    <w:pPr>
      <w:ind w:left="200" w:hanging="200" w:hangingChars="200"/>
    </w:pPr>
    <w:rPr>
      <w:sz w:val="28"/>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2"/>
    <w:basedOn w:val="1"/>
    <w:unhideWhenUsed/>
    <w:qFormat/>
    <w:uiPriority w:val="99"/>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HTML Sample"/>
    <w:basedOn w:val="24"/>
    <w:qFormat/>
    <w:uiPriority w:val="0"/>
    <w:rPr>
      <w:rFonts w:ascii="Courier New" w:hAnsi="Courier New"/>
    </w:rPr>
  </w:style>
  <w:style w:type="paragraph" w:customStyle="1" w:styleId="28">
    <w:name w:val="正文2"/>
    <w:basedOn w:val="1"/>
    <w:qFormat/>
    <w:uiPriority w:val="0"/>
    <w:pPr>
      <w:adjustRightInd w:val="0"/>
      <w:spacing w:before="156" w:line="360" w:lineRule="auto"/>
      <w:ind w:firstLine="510" w:firstLineChars="200"/>
    </w:pPr>
    <w:rPr>
      <w:sz w:val="24"/>
      <w:szCs w:val="20"/>
    </w:rPr>
  </w:style>
  <w:style w:type="paragraph" w:customStyle="1" w:styleId="29">
    <w:name w:val="默认段落字体 Para Char Char Char Char Char Char Char Char Char1 Char Char Char Char"/>
    <w:basedOn w:val="1"/>
    <w:qFormat/>
    <w:uiPriority w:val="0"/>
    <w:rPr>
      <w:rFonts w:ascii="Tahoma" w:hAnsi="Tahoma"/>
      <w:sz w:val="24"/>
      <w:szCs w:val="20"/>
    </w:rPr>
  </w:style>
  <w:style w:type="paragraph" w:styleId="30">
    <w:name w:val="List Paragraph"/>
    <w:basedOn w:val="1"/>
    <w:qFormat/>
    <w:uiPriority w:val="34"/>
    <w:pPr>
      <w:ind w:firstLine="420" w:firstLineChars="200"/>
    </w:pPr>
  </w:style>
  <w:style w:type="paragraph" w:customStyle="1" w:styleId="31">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32">
    <w:name w:val="font41"/>
    <w:basedOn w:val="24"/>
    <w:qFormat/>
    <w:uiPriority w:val="0"/>
    <w:rPr>
      <w:rFonts w:hint="eastAsia" w:ascii="微软雅黑" w:hAnsi="微软雅黑" w:eastAsia="微软雅黑" w:cs="微软雅黑"/>
      <w:color w:val="000000"/>
      <w:sz w:val="20"/>
      <w:szCs w:val="20"/>
      <w:u w:val="none"/>
    </w:rPr>
  </w:style>
  <w:style w:type="character" w:customStyle="1" w:styleId="33">
    <w:name w:val="font31"/>
    <w:basedOn w:val="24"/>
    <w:qFormat/>
    <w:uiPriority w:val="0"/>
    <w:rPr>
      <w:rFonts w:hint="eastAsia" w:ascii="微软雅黑" w:hAnsi="微软雅黑" w:eastAsia="微软雅黑" w:cs="微软雅黑"/>
      <w:color w:val="000000"/>
      <w:sz w:val="24"/>
      <w:szCs w:val="24"/>
      <w:u w:val="none"/>
    </w:rPr>
  </w:style>
  <w:style w:type="table" w:customStyle="1" w:styleId="34">
    <w:name w:val="Normal Table_file_499_file_2556"/>
    <w:semiHidden/>
    <w:qFormat/>
    <w:uiPriority w:val="0"/>
    <w:tblPr>
      <w:tblCellMar>
        <w:top w:w="0" w:type="dxa"/>
        <w:left w:w="108" w:type="dxa"/>
        <w:bottom w:w="0" w:type="dxa"/>
        <w:right w:w="108" w:type="dxa"/>
      </w:tblCellMar>
    </w:tblPr>
  </w:style>
  <w:style w:type="paragraph" w:customStyle="1" w:styleId="35">
    <w:name w:val="p15_file_239_file_499_file_2556"/>
    <w:basedOn w:val="36"/>
    <w:qFormat/>
    <w:uiPriority w:val="0"/>
    <w:pPr>
      <w:widowControl/>
    </w:pPr>
    <w:rPr>
      <w:rFonts w:ascii="宋体" w:hAnsi="宋体" w:cs="宋体"/>
      <w:kern w:val="0"/>
      <w:szCs w:val="21"/>
    </w:rPr>
  </w:style>
  <w:style w:type="paragraph" w:customStyle="1" w:styleId="36">
    <w:name w:val="Normal_file_239_file_499_file_25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Plain Text_file_239_file_499_file_2556"/>
    <w:basedOn w:val="36"/>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1EEE4-E809-451D-AF5B-C68FD60FBBA8}">
  <ds:schemaRefs/>
</ds:datastoreItem>
</file>

<file path=docProps/app.xml><?xml version="1.0" encoding="utf-8"?>
<Properties xmlns="http://schemas.openxmlformats.org/officeDocument/2006/extended-properties" xmlns:vt="http://schemas.openxmlformats.org/officeDocument/2006/docPropsVTypes">
  <Template>Normal</Template>
  <Pages>114</Pages>
  <Words>61632</Words>
  <Characters>66239</Characters>
  <Lines>532</Lines>
  <Paragraphs>149</Paragraphs>
  <TotalTime>29</TotalTime>
  <ScaleCrop>false</ScaleCrop>
  <LinksUpToDate>false</LinksUpToDate>
  <CharactersWithSpaces>71412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2025-05-15T07:44:00Z</dcterms:created>
  <dc:creator>Administrator</dc:creator>
  <cp:lastModifiedBy>PAPER</cp:lastModifiedBy>
  <dcterms:modified xsi:type="dcterms:W3CDTF">2025-09-02T02:11:32Z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eyJoZGlkIjoiNjYyZGVlZGE1Mzg2OTExNTJjMjgzMzc2NjU3NTA3MzIiLCJ1c2VySWQiOiIyMjY0MzA1MjYifQ==</vt:lpwstr>
  </property>
  <property fmtid="{D5CDD505-2E9C-101B-9397-08002B2CF9AE}" pid="4" name="ICV">
    <vt:lpwstr>B9E08CAE3596479DB2EFD83005265B5C_13</vt:lpwstr>
  </property>
</Properties>
</file>