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DBBF5">
      <w:pPr>
        <w:ind w:firstLine="198" w:firstLineChars="41"/>
        <w:jc w:val="center"/>
        <w:rPr>
          <w:rFonts w:ascii="宋体" w:hAnsi="宋体" w:cs="宋体"/>
          <w:b/>
          <w:bCs/>
          <w:color w:val="auto"/>
          <w:sz w:val="48"/>
          <w:szCs w:val="48"/>
          <w:highlight w:val="none"/>
        </w:rPr>
      </w:pPr>
      <w:bookmarkStart w:id="34" w:name="_GoBack"/>
      <w:bookmarkEnd w:id="34"/>
      <w:r>
        <w:rPr>
          <w:rFonts w:hint="eastAsia" w:ascii="宋体" w:hAnsi="宋体" w:eastAsia="宋体" w:cs="宋体"/>
          <w:b/>
          <w:bCs/>
          <w:color w:val="auto"/>
          <w:sz w:val="48"/>
          <w:szCs w:val="48"/>
          <w:highlight w:val="none"/>
          <w:lang w:eastAsia="zh-CN"/>
        </w:rPr>
        <w:drawing>
          <wp:anchor distT="0" distB="0" distL="114300" distR="114300" simplePos="0" relativeHeight="251672576" behindDoc="0" locked="0" layoutInCell="1" allowOverlap="1">
            <wp:simplePos x="0" y="0"/>
            <wp:positionH relativeFrom="column">
              <wp:posOffset>-804545</wp:posOffset>
            </wp:positionH>
            <wp:positionV relativeFrom="paragraph">
              <wp:posOffset>-746125</wp:posOffset>
            </wp:positionV>
            <wp:extent cx="7564120" cy="10701020"/>
            <wp:effectExtent l="0" t="0" r="17780" b="5080"/>
            <wp:wrapNone/>
            <wp:docPr id="2" name="图片 2" descr="采购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采购文件封面"/>
                    <pic:cNvPicPr>
                      <a:picLocks noChangeAspect="1"/>
                    </pic:cNvPicPr>
                  </pic:nvPicPr>
                  <pic:blipFill>
                    <a:blip r:embed="rId8"/>
                    <a:stretch>
                      <a:fillRect/>
                    </a:stretch>
                  </pic:blipFill>
                  <pic:spPr>
                    <a:xfrm>
                      <a:off x="0" y="0"/>
                      <a:ext cx="7564120" cy="10701020"/>
                    </a:xfrm>
                    <a:prstGeom prst="rect">
                      <a:avLst/>
                    </a:prstGeom>
                  </pic:spPr>
                </pic:pic>
              </a:graphicData>
            </a:graphic>
          </wp:anchor>
        </w:drawing>
      </w:r>
      <w:r>
        <w:rPr>
          <w:rFonts w:hint="eastAsia" w:ascii="宋体" w:hAnsi="宋体" w:cs="宋体"/>
          <w:b/>
          <w:bCs/>
          <w:color w:val="auto"/>
          <w:sz w:val="48"/>
          <w:szCs w:val="48"/>
          <w:highlight w:val="none"/>
        </w:rPr>
        <w:t>广西德元工程项目管理有限责任公司</w:t>
      </w:r>
    </w:p>
    <w:p w14:paraId="6CEA357E">
      <w:pPr>
        <w:pStyle w:val="18"/>
        <w:ind w:left="5250" w:firstLine="400"/>
        <w:rPr>
          <w:rFonts w:ascii="宋体" w:hAnsi="宋体" w:cs="宋体"/>
          <w:color w:val="auto"/>
          <w:szCs w:val="21"/>
          <w:highlight w:val="none"/>
        </w:rPr>
      </w:pPr>
      <w:r>
        <w:rPr>
          <w:rFonts w:hint="eastAsia" w:ascii="宋体" w:hAnsi="宋体" w:cs="宋体"/>
          <w:color w:val="auto"/>
          <w:sz w:val="20"/>
          <w:highlight w:val="none"/>
          <w:u w:val="single"/>
        </w:rPr>
        <mc:AlternateContent>
          <mc:Choice Requires="wps">
            <w:drawing>
              <wp:anchor distT="0" distB="0" distL="114300" distR="114300" simplePos="0" relativeHeight="251669504" behindDoc="0" locked="0" layoutInCell="1" allowOverlap="1">
                <wp:simplePos x="0" y="0"/>
                <wp:positionH relativeFrom="column">
                  <wp:posOffset>-132715</wp:posOffset>
                </wp:positionH>
                <wp:positionV relativeFrom="paragraph">
                  <wp:posOffset>69215</wp:posOffset>
                </wp:positionV>
                <wp:extent cx="5944235" cy="8255"/>
                <wp:effectExtent l="19050" t="19050" r="18415" b="29845"/>
                <wp:wrapNone/>
                <wp:docPr id="14" name="直接连接符 1"/>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flip:y;margin-left:-10.45pt;margin-top:5.45pt;height:0.65pt;width:468.05pt;z-index:251669504;mso-width-relative:page;mso-height-relative:page;" filled="f" stroked="t" coordsize="21600,21600" o:gfxdata="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eftHNcAAAAJAQAADwAAAAAAAAABACAAAAAiAAAAZHJzL2Rvd25yZXYueG1sUEsB&#10;AhQAFAAAAAgAh07iQDsIC5/2AQAA5wMAAA4AAAAAAAAAAQAgAAAAJgEAAGRycy9lMm9Eb2MueG1s&#10;UEsFBgAAAAAGAAYAWQEAAI4FA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39111B03">
      <w:pPr>
        <w:snapToGrid w:val="0"/>
        <w:jc w:val="center"/>
        <w:rPr>
          <w:rFonts w:ascii="宋体" w:hAnsi="宋体" w:cs="宋体"/>
          <w:b/>
          <w:color w:val="auto"/>
          <w:sz w:val="52"/>
          <w:szCs w:val="52"/>
          <w:highlight w:val="none"/>
        </w:rPr>
      </w:pPr>
    </w:p>
    <w:p w14:paraId="214B546E">
      <w:pPr>
        <w:snapToGrid w:val="0"/>
        <w:jc w:val="center"/>
        <w:rPr>
          <w:rFonts w:ascii="宋体" w:hAnsi="宋体" w:cs="宋体"/>
          <w:b/>
          <w:color w:val="auto"/>
          <w:sz w:val="44"/>
          <w:szCs w:val="44"/>
          <w:highlight w:val="none"/>
        </w:rPr>
      </w:pPr>
      <w:r>
        <w:rPr>
          <w:rFonts w:hint="eastAsia" w:ascii="宋体" w:hAnsi="宋体" w:cs="宋体"/>
          <w:b/>
          <w:color w:val="auto"/>
          <w:sz w:val="72"/>
          <w:szCs w:val="72"/>
          <w:highlight w:val="none"/>
        </w:rPr>
        <w:t>竞争性磋商采购文件</w:t>
      </w:r>
    </w:p>
    <w:p w14:paraId="05BD3DA2">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（服务类）</w:t>
      </w:r>
    </w:p>
    <w:p w14:paraId="0B4557F5">
      <w:pPr>
        <w:jc w:val="center"/>
        <w:rPr>
          <w:rFonts w:ascii="宋体" w:hAnsi="宋体" w:cs="宋体"/>
          <w:b/>
          <w:color w:val="auto"/>
          <w:sz w:val="32"/>
          <w:szCs w:val="32"/>
          <w:highlight w:val="none"/>
        </w:rPr>
      </w:pPr>
      <w:r>
        <w:rPr>
          <w:rFonts w:hint="eastAsia" w:ascii="宋体" w:hAnsi="宋体" w:cs="宋体"/>
          <w:color w:val="auto"/>
          <w:highlight w:val="none"/>
        </w:rPr>
        <w:drawing>
          <wp:anchor distT="0" distB="0" distL="114300" distR="114300" simplePos="0" relativeHeight="251671552" behindDoc="0" locked="0" layoutInCell="1" allowOverlap="1">
            <wp:simplePos x="0" y="0"/>
            <wp:positionH relativeFrom="column">
              <wp:posOffset>1981835</wp:posOffset>
            </wp:positionH>
            <wp:positionV relativeFrom="paragraph">
              <wp:posOffset>110490</wp:posOffset>
            </wp:positionV>
            <wp:extent cx="1991995" cy="2016760"/>
            <wp:effectExtent l="0" t="0" r="8255" b="2540"/>
            <wp:wrapSquare wrapText="bothSides"/>
            <wp:docPr id="1" name="图片 3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公司logo"/>
                    <pic:cNvPicPr>
                      <a:picLocks noChangeAspect="1"/>
                    </pic:cNvPicPr>
                  </pic:nvPicPr>
                  <pic:blipFill>
                    <a:blip r:embed="rId9" cstate="print"/>
                    <a:stretch>
                      <a:fillRect/>
                    </a:stretch>
                  </pic:blipFill>
                  <pic:spPr>
                    <a:xfrm>
                      <a:off x="0" y="0"/>
                      <a:ext cx="1991995" cy="2016760"/>
                    </a:xfrm>
                    <a:prstGeom prst="rect">
                      <a:avLst/>
                    </a:prstGeom>
                    <a:noFill/>
                    <a:ln>
                      <a:noFill/>
                    </a:ln>
                  </pic:spPr>
                </pic:pic>
              </a:graphicData>
            </a:graphic>
          </wp:anchor>
        </w:drawing>
      </w:r>
    </w:p>
    <w:p w14:paraId="798F0825">
      <w:pPr>
        <w:jc w:val="center"/>
        <w:rPr>
          <w:rFonts w:ascii="宋体" w:hAnsi="宋体" w:cs="宋体"/>
          <w:b/>
          <w:color w:val="auto"/>
          <w:sz w:val="32"/>
          <w:szCs w:val="32"/>
          <w:highlight w:val="none"/>
        </w:rPr>
      </w:pPr>
    </w:p>
    <w:p w14:paraId="4E5C9AB9">
      <w:pPr>
        <w:jc w:val="center"/>
        <w:rPr>
          <w:rFonts w:ascii="宋体" w:hAnsi="宋体" w:cs="宋体"/>
          <w:b/>
          <w:color w:val="auto"/>
          <w:sz w:val="32"/>
          <w:szCs w:val="32"/>
          <w:highlight w:val="none"/>
        </w:rPr>
      </w:pPr>
    </w:p>
    <w:p w14:paraId="1374AA72">
      <w:pPr>
        <w:spacing w:line="360" w:lineRule="auto"/>
        <w:ind w:left="2243" w:leftChars="456" w:hanging="1285" w:hangingChars="400"/>
        <w:rPr>
          <w:rFonts w:ascii="宋体" w:hAnsi="宋体" w:cs="宋体"/>
          <w:b/>
          <w:color w:val="auto"/>
          <w:sz w:val="32"/>
          <w:szCs w:val="32"/>
          <w:highlight w:val="none"/>
        </w:rPr>
      </w:pPr>
    </w:p>
    <w:p w14:paraId="26C1F5AB">
      <w:pPr>
        <w:spacing w:line="360" w:lineRule="auto"/>
        <w:ind w:left="2243" w:leftChars="456" w:hanging="1285" w:hangingChars="400"/>
        <w:rPr>
          <w:rFonts w:ascii="宋体" w:hAnsi="宋体" w:cs="宋体"/>
          <w:b/>
          <w:color w:val="auto"/>
          <w:sz w:val="32"/>
          <w:szCs w:val="32"/>
          <w:highlight w:val="none"/>
        </w:rPr>
      </w:pPr>
    </w:p>
    <w:p w14:paraId="7D208ADB">
      <w:pPr>
        <w:spacing w:line="360" w:lineRule="auto"/>
        <w:ind w:left="2243" w:leftChars="456" w:hanging="1285" w:hangingChars="400"/>
        <w:rPr>
          <w:rFonts w:ascii="宋体" w:hAnsi="宋体" w:cs="宋体"/>
          <w:b/>
          <w:color w:val="auto"/>
          <w:sz w:val="32"/>
          <w:szCs w:val="32"/>
          <w:highlight w:val="none"/>
        </w:rPr>
      </w:pPr>
    </w:p>
    <w:p w14:paraId="3C38F8B5">
      <w:pPr>
        <w:spacing w:line="360" w:lineRule="auto"/>
        <w:ind w:left="2243" w:leftChars="456" w:hanging="1285" w:hangingChars="400"/>
        <w:rPr>
          <w:rFonts w:ascii="宋体" w:hAnsi="宋体" w:cs="宋体"/>
          <w:b/>
          <w:color w:val="auto"/>
          <w:sz w:val="32"/>
          <w:szCs w:val="32"/>
          <w:highlight w:val="none"/>
        </w:rPr>
      </w:pPr>
    </w:p>
    <w:p w14:paraId="5A44D70F">
      <w:pPr>
        <w:keepNext w:val="0"/>
        <w:keepLines w:val="0"/>
        <w:pageBreakBefore w:val="0"/>
        <w:widowControl w:val="0"/>
        <w:kinsoku/>
        <w:wordWrap/>
        <w:overflowPunct/>
        <w:topLinePunct w:val="0"/>
        <w:autoSpaceDE/>
        <w:autoSpaceDN/>
        <w:bidi w:val="0"/>
        <w:adjustRightInd/>
        <w:snapToGrid/>
        <w:spacing w:line="360" w:lineRule="auto"/>
        <w:ind w:left="0" w:leftChars="0" w:firstLine="321" w:firstLineChars="100"/>
        <w:textAlignment w:val="auto"/>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桂林市“平急两用”公共基础设施建设专项规划编制</w:t>
      </w:r>
    </w:p>
    <w:p w14:paraId="59FD5608">
      <w:pPr>
        <w:keepNext w:val="0"/>
        <w:keepLines w:val="0"/>
        <w:pageBreakBefore w:val="0"/>
        <w:widowControl w:val="0"/>
        <w:kinsoku/>
        <w:wordWrap/>
        <w:overflowPunct/>
        <w:topLinePunct w:val="0"/>
        <w:autoSpaceDE/>
        <w:autoSpaceDN/>
        <w:bidi w:val="0"/>
        <w:adjustRightInd/>
        <w:snapToGrid/>
        <w:spacing w:line="360" w:lineRule="auto"/>
        <w:ind w:left="0" w:leftChars="0" w:firstLine="321" w:firstLineChars="100"/>
        <w:textAlignment w:val="auto"/>
        <w:rPr>
          <w:rFonts w:ascii="宋体" w:hAnsi="宋体" w:cs="宋体"/>
          <w:color w:val="auto"/>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GLZC2025-C3-990656-GXDY</w:t>
      </w:r>
      <w:r>
        <w:rPr>
          <w:rFonts w:hint="eastAsia" w:ascii="宋体" w:hAnsi="宋体" w:cs="宋体"/>
          <w:b/>
          <w:color w:val="auto"/>
          <w:sz w:val="32"/>
          <w:szCs w:val="32"/>
          <w:highlight w:val="none"/>
        </w:rPr>
        <w:t xml:space="preserve"> </w:t>
      </w:r>
    </w:p>
    <w:p w14:paraId="184E1352">
      <w:pPr>
        <w:spacing w:line="360" w:lineRule="auto"/>
        <w:ind w:firstLine="890" w:firstLineChars="445"/>
        <w:rPr>
          <w:rFonts w:ascii="宋体" w:hAnsi="宋体" w:cs="宋体"/>
          <w:b/>
          <w:color w:val="auto"/>
          <w:sz w:val="32"/>
          <w:szCs w:val="32"/>
          <w:highlight w:val="none"/>
        </w:rPr>
      </w:pPr>
      <w:r>
        <w:rPr>
          <w:rFonts w:hint="eastAsia" w:ascii="宋体" w:hAnsi="宋体" w:cs="宋体"/>
          <w:color w:val="auto"/>
          <w:sz w:val="20"/>
          <w:highlight w:val="none"/>
          <w:u w:val="single"/>
        </w:rPr>
        <mc:AlternateContent>
          <mc:Choice Requires="wps">
            <w:drawing>
              <wp:anchor distT="0" distB="0" distL="114300" distR="114300" simplePos="0" relativeHeight="251670528" behindDoc="0" locked="0" layoutInCell="1" allowOverlap="1">
                <wp:simplePos x="0" y="0"/>
                <wp:positionH relativeFrom="column">
                  <wp:posOffset>-160655</wp:posOffset>
                </wp:positionH>
                <wp:positionV relativeFrom="paragraph">
                  <wp:posOffset>167640</wp:posOffset>
                </wp:positionV>
                <wp:extent cx="5944235" cy="8255"/>
                <wp:effectExtent l="19050" t="19050" r="18415" b="29845"/>
                <wp:wrapNone/>
                <wp:docPr id="13" name="直接连接符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接连接符 2" o:spid="_x0000_s1026" o:spt="20" style="position:absolute;left:0pt;flip:y;margin-left:-12.65pt;margin-top:13.2pt;height:0.65pt;width:468.05pt;z-index:251670528;mso-width-relative:page;mso-height-relative:page;" filled="f" stroked="t" coordsize="21600,21600" o:gfxdata="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pJzQ2AAAAAkBAAAPAAAAAAAAAAEAIAAAACIAAABkcnMvZG93bnJldi54bWxQ&#10;SwECFAAUAAAACACHTuJAGi7LOfcBAADnAwAADgAAAAAAAAABACAAAAAnAQAAZHJzL2Uyb0RvYy54&#10;bWxQSwUGAAAAAAYABgBZAQAAkAUAAAAA&#10;">
                <v:fill on="f" focussize="0,0"/>
                <v:stroke weight="2.25pt" color="#000000" joinstyle="round"/>
                <v:imagedata o:title=""/>
                <o:lock v:ext="edit" aspectratio="f"/>
              </v:line>
            </w:pict>
          </mc:Fallback>
        </mc:AlternateContent>
      </w:r>
    </w:p>
    <w:p w14:paraId="304B2E8C">
      <w:pPr>
        <w:spacing w:line="360" w:lineRule="auto"/>
        <w:ind w:firstLine="1430" w:firstLineChars="445"/>
        <w:rPr>
          <w:rFonts w:ascii="宋体" w:hAnsi="宋体" w:cs="宋体"/>
          <w:b/>
          <w:color w:val="auto"/>
          <w:sz w:val="32"/>
          <w:szCs w:val="32"/>
          <w:highlight w:val="none"/>
        </w:rPr>
      </w:pPr>
    </w:p>
    <w:p w14:paraId="42CB1518">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采购人：</w:t>
      </w:r>
      <w:r>
        <w:rPr>
          <w:rFonts w:hint="eastAsia" w:ascii="宋体" w:hAnsi="宋体" w:cs="宋体"/>
          <w:b/>
          <w:color w:val="auto"/>
          <w:sz w:val="32"/>
          <w:szCs w:val="32"/>
          <w:highlight w:val="none"/>
          <w:lang w:eastAsia="zh-CN"/>
        </w:rPr>
        <w:t>桂林市住房和城乡建设局</w:t>
      </w:r>
    </w:p>
    <w:p w14:paraId="4F0AA251">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采购代理机构：广西德元工程项目管理有限责任公司</w:t>
      </w:r>
    </w:p>
    <w:p w14:paraId="265F8B91">
      <w:pPr>
        <w:spacing w:line="360" w:lineRule="auto"/>
        <w:rPr>
          <w:rFonts w:ascii="宋体" w:hAnsi="宋体" w:cs="宋体"/>
          <w:b/>
          <w:color w:val="auto"/>
          <w:sz w:val="32"/>
          <w:szCs w:val="32"/>
          <w:highlight w:val="none"/>
        </w:rPr>
      </w:pPr>
    </w:p>
    <w:p w14:paraId="2C067DEE">
      <w:pPr>
        <w:pStyle w:val="22"/>
        <w:snapToGrid w:val="0"/>
        <w:spacing w:before="120" w:after="120" w:line="440" w:lineRule="exact"/>
        <w:jc w:val="center"/>
        <w:rPr>
          <w:rFonts w:hAnsi="宋体" w:cs="宋体"/>
          <w:b/>
          <w:bCs/>
          <w:color w:val="auto"/>
          <w:w w:val="95"/>
          <w:sz w:val="32"/>
          <w:szCs w:val="32"/>
          <w:highlight w:val="none"/>
        </w:rPr>
      </w:pPr>
      <w:r>
        <w:rPr>
          <w:rFonts w:hint="eastAsia" w:hAnsi="宋体" w:cs="宋体"/>
          <w:b/>
          <w:color w:val="auto"/>
          <w:sz w:val="32"/>
          <w:szCs w:val="32"/>
          <w:highlight w:val="none"/>
        </w:rPr>
        <w:t>2025年</w:t>
      </w:r>
      <w:r>
        <w:rPr>
          <w:rFonts w:hint="eastAsia" w:hAnsi="宋体" w:cs="宋体"/>
          <w:b/>
          <w:color w:val="auto"/>
          <w:sz w:val="32"/>
          <w:szCs w:val="32"/>
          <w:highlight w:val="none"/>
          <w:lang w:val="en-US" w:eastAsia="zh-CN"/>
        </w:rPr>
        <w:t>12</w:t>
      </w:r>
      <w:r>
        <w:rPr>
          <w:rFonts w:hint="eastAsia" w:hAnsi="宋体" w:cs="宋体"/>
          <w:b/>
          <w:color w:val="auto"/>
          <w:sz w:val="32"/>
          <w:szCs w:val="32"/>
          <w:highlight w:val="none"/>
        </w:rPr>
        <w:t>月</w:t>
      </w:r>
    </w:p>
    <w:p w14:paraId="2B51C879">
      <w:pPr>
        <w:pStyle w:val="22"/>
        <w:snapToGrid w:val="0"/>
        <w:spacing w:before="120" w:after="120" w:line="440" w:lineRule="exact"/>
        <w:jc w:val="center"/>
        <w:rPr>
          <w:rFonts w:hAnsi="宋体" w:cs="宋体"/>
          <w:b/>
          <w:bCs/>
          <w:color w:val="auto"/>
          <w:w w:val="95"/>
          <w:sz w:val="32"/>
          <w:szCs w:val="32"/>
          <w:highlight w:val="none"/>
        </w:rPr>
      </w:pPr>
    </w:p>
    <w:p w14:paraId="5E2C05EE">
      <w:pPr>
        <w:spacing w:line="440" w:lineRule="exact"/>
        <w:jc w:val="center"/>
        <w:rPr>
          <w:rFonts w:ascii="宋体" w:hAnsi="宋体" w:cs="宋体"/>
          <w:color w:val="auto"/>
          <w:sz w:val="44"/>
          <w:szCs w:val="44"/>
          <w:highlight w:val="none"/>
        </w:rPr>
      </w:pPr>
    </w:p>
    <w:p w14:paraId="32F0A776">
      <w:pPr>
        <w:spacing w:line="440" w:lineRule="exact"/>
        <w:jc w:val="center"/>
        <w:rPr>
          <w:rFonts w:ascii="宋体" w:hAnsi="宋体" w:cs="宋体"/>
          <w:color w:val="auto"/>
          <w:sz w:val="44"/>
          <w:szCs w:val="44"/>
          <w:highlight w:val="none"/>
        </w:rPr>
      </w:pPr>
    </w:p>
    <w:p w14:paraId="1D540E06">
      <w:pPr>
        <w:spacing w:line="440" w:lineRule="exact"/>
        <w:jc w:val="center"/>
        <w:rPr>
          <w:rFonts w:ascii="宋体" w:hAnsi="宋体" w:cs="宋体"/>
          <w:color w:val="auto"/>
          <w:sz w:val="44"/>
          <w:szCs w:val="44"/>
          <w:highlight w:val="none"/>
        </w:rPr>
      </w:pPr>
    </w:p>
    <w:p w14:paraId="65EF5249">
      <w:pPr>
        <w:jc w:val="center"/>
        <w:rPr>
          <w:rFonts w:hint="eastAsia" w:ascii="宋体" w:hAnsi="宋体" w:cs="宋体"/>
          <w:color w:val="auto"/>
          <w:sz w:val="44"/>
          <w:szCs w:val="44"/>
          <w:highlight w:val="none"/>
        </w:rPr>
        <w:sectPr>
          <w:headerReference r:id="rId3" w:type="default"/>
          <w:pgSz w:w="11906" w:h="16838"/>
          <w:pgMar w:top="1134" w:right="1247" w:bottom="1134" w:left="1247" w:header="851" w:footer="992" w:gutter="0"/>
          <w:cols w:space="720" w:num="1"/>
          <w:docGrid w:linePitch="312" w:charSpace="0"/>
        </w:sectPr>
      </w:pPr>
    </w:p>
    <w:p w14:paraId="13787A8B">
      <w:pPr>
        <w:jc w:val="center"/>
        <w:rPr>
          <w:rFonts w:ascii="宋体" w:hAnsi="宋体" w:cs="宋体"/>
          <w:color w:val="auto"/>
          <w:sz w:val="44"/>
          <w:szCs w:val="44"/>
          <w:highlight w:val="none"/>
        </w:rPr>
      </w:pPr>
      <w:r>
        <w:rPr>
          <w:rFonts w:hint="eastAsia" w:ascii="宋体" w:hAnsi="宋体" w:cs="宋体"/>
          <w:color w:val="auto"/>
          <w:sz w:val="44"/>
          <w:szCs w:val="44"/>
          <w:highlight w:val="none"/>
        </w:rPr>
        <w:t>目       录</w:t>
      </w:r>
    </w:p>
    <w:p w14:paraId="22F94BB1">
      <w:pPr>
        <w:spacing w:line="440" w:lineRule="exact"/>
        <w:jc w:val="left"/>
        <w:rPr>
          <w:rFonts w:ascii="宋体" w:hAnsi="宋体" w:cs="宋体"/>
          <w:color w:val="auto"/>
          <w:sz w:val="32"/>
          <w:szCs w:val="32"/>
          <w:highlight w:val="none"/>
        </w:rPr>
      </w:pPr>
    </w:p>
    <w:p w14:paraId="170B92F2">
      <w:pPr>
        <w:pStyle w:val="29"/>
        <w:spacing w:line="440" w:lineRule="exact"/>
        <w:ind w:left="0" w:leftChars="0" w:firstLine="472" w:firstLineChars="147"/>
        <w:rPr>
          <w:rFonts w:cs="宋体"/>
          <w:b w:val="0"/>
          <w:bCs w:val="0"/>
          <w:caps w:val="0"/>
          <w:color w:val="auto"/>
          <w:sz w:val="21"/>
          <w:szCs w:val="22"/>
          <w:highlight w:val="none"/>
        </w:rPr>
      </w:pPr>
      <w:r>
        <w:rPr>
          <w:rFonts w:hint="eastAsia" w:cs="宋体"/>
          <w:color w:val="auto"/>
          <w:sz w:val="32"/>
          <w:szCs w:val="32"/>
          <w:highlight w:val="none"/>
        </w:rPr>
        <w:fldChar w:fldCharType="begin"/>
      </w:r>
      <w:r>
        <w:rPr>
          <w:rStyle w:val="48"/>
          <w:rFonts w:hint="eastAsia" w:cs="宋体"/>
          <w:color w:val="auto"/>
          <w:sz w:val="32"/>
          <w:szCs w:val="32"/>
          <w:highlight w:val="none"/>
        </w:rPr>
        <w:instrText xml:space="preserve"> TOC \o "1-3" \h \z </w:instrText>
      </w:r>
      <w:r>
        <w:rPr>
          <w:rFonts w:hint="eastAsia"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"_Toc88747291" </w:instrText>
      </w:r>
      <w:r>
        <w:rPr>
          <w:color w:val="auto"/>
          <w:highlight w:val="none"/>
        </w:rPr>
        <w:fldChar w:fldCharType="separate"/>
      </w:r>
      <w:r>
        <w:rPr>
          <w:rStyle w:val="48"/>
          <w:rFonts w:hint="eastAsia" w:cs="宋体"/>
          <w:color w:val="auto"/>
          <w:highlight w:val="none"/>
        </w:rPr>
        <w:t>第一章</w:t>
      </w:r>
      <w:r>
        <w:rPr>
          <w:rStyle w:val="48"/>
          <w:rFonts w:hint="eastAsia" w:cs="宋体"/>
          <w:color w:val="auto"/>
          <w:highlight w:val="none"/>
          <w:lang w:val="en-US" w:eastAsia="zh-CN"/>
        </w:rPr>
        <w:t xml:space="preserve"> </w:t>
      </w:r>
      <w:r>
        <w:rPr>
          <w:rStyle w:val="48"/>
          <w:rFonts w:hint="eastAsia" w:cs="宋体"/>
          <w:color w:val="auto"/>
          <w:highlight w:val="none"/>
        </w:rPr>
        <w:t>竞争性磋商采购公告</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_Toc88747291 \h </w:instrText>
      </w:r>
      <w:r>
        <w:rPr>
          <w:rFonts w:hint="eastAsia" w:cs="宋体"/>
          <w:color w:val="auto"/>
          <w:highlight w:val="none"/>
        </w:rPr>
        <w:fldChar w:fldCharType="separate"/>
      </w:r>
      <w:r>
        <w:rPr>
          <w:rFonts w:hint="eastAsia" w:cs="宋体"/>
          <w:color w:val="auto"/>
          <w:highlight w:val="none"/>
        </w:rPr>
        <w:t>1</w:t>
      </w:r>
      <w:r>
        <w:rPr>
          <w:rFonts w:hint="eastAsia" w:cs="宋体"/>
          <w:color w:val="auto"/>
          <w:highlight w:val="none"/>
        </w:rPr>
        <w:fldChar w:fldCharType="end"/>
      </w:r>
      <w:r>
        <w:rPr>
          <w:rFonts w:hint="eastAsia" w:cs="宋体"/>
          <w:color w:val="auto"/>
          <w:highlight w:val="none"/>
        </w:rPr>
        <w:fldChar w:fldCharType="end"/>
      </w:r>
    </w:p>
    <w:p w14:paraId="027F75E5">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"_Toc88747292" </w:instrText>
      </w:r>
      <w:r>
        <w:rPr>
          <w:color w:val="auto"/>
          <w:highlight w:val="none"/>
        </w:rPr>
        <w:fldChar w:fldCharType="separate"/>
      </w:r>
      <w:r>
        <w:rPr>
          <w:rStyle w:val="48"/>
          <w:rFonts w:hint="eastAsia" w:cs="宋体"/>
          <w:color w:val="auto"/>
          <w:highlight w:val="none"/>
        </w:rPr>
        <w:t>第二章</w:t>
      </w:r>
      <w:r>
        <w:rPr>
          <w:rStyle w:val="48"/>
          <w:rFonts w:hint="eastAsia" w:cs="宋体"/>
          <w:color w:val="auto"/>
          <w:highlight w:val="none"/>
          <w:lang w:val="en-US" w:eastAsia="zh-CN"/>
        </w:rPr>
        <w:t xml:space="preserve"> </w:t>
      </w:r>
      <w:r>
        <w:rPr>
          <w:rStyle w:val="48"/>
          <w:rFonts w:hint="eastAsia" w:cs="宋体"/>
          <w:color w:val="auto"/>
          <w:highlight w:val="none"/>
        </w:rPr>
        <w:t>供应商须知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_Toc88747292 \h </w:instrText>
      </w:r>
      <w:r>
        <w:rPr>
          <w:rFonts w:hint="eastAsia" w:cs="宋体"/>
          <w:color w:val="auto"/>
          <w:highlight w:val="none"/>
        </w:rPr>
        <w:fldChar w:fldCharType="separate"/>
      </w:r>
      <w:r>
        <w:rPr>
          <w:rFonts w:hint="eastAsia" w:cs="宋体"/>
          <w:color w:val="auto"/>
          <w:highlight w:val="none"/>
        </w:rPr>
        <w:t>4</w:t>
      </w:r>
      <w:r>
        <w:rPr>
          <w:rFonts w:hint="eastAsia" w:cs="宋体"/>
          <w:color w:val="auto"/>
          <w:highlight w:val="none"/>
        </w:rPr>
        <w:fldChar w:fldCharType="end"/>
      </w:r>
      <w:r>
        <w:rPr>
          <w:rFonts w:hint="eastAsia" w:cs="宋体"/>
          <w:color w:val="auto"/>
          <w:highlight w:val="none"/>
        </w:rPr>
        <w:fldChar w:fldCharType="end"/>
      </w:r>
    </w:p>
    <w:p w14:paraId="25356A7A">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"_Toc88747293" </w:instrText>
      </w:r>
      <w:r>
        <w:rPr>
          <w:color w:val="auto"/>
          <w:highlight w:val="none"/>
        </w:rPr>
        <w:fldChar w:fldCharType="separate"/>
      </w:r>
      <w:r>
        <w:rPr>
          <w:rStyle w:val="48"/>
          <w:rFonts w:hint="eastAsia" w:cs="宋体"/>
          <w:color w:val="auto"/>
          <w:highlight w:val="none"/>
        </w:rPr>
        <w:t>第三章</w:t>
      </w:r>
      <w:r>
        <w:rPr>
          <w:rStyle w:val="48"/>
          <w:rFonts w:hint="eastAsia" w:cs="宋体"/>
          <w:color w:val="auto"/>
          <w:highlight w:val="none"/>
          <w:lang w:val="en-US" w:eastAsia="zh-CN"/>
        </w:rPr>
        <w:t xml:space="preserve"> </w:t>
      </w:r>
      <w:r>
        <w:rPr>
          <w:rStyle w:val="48"/>
          <w:rFonts w:hint="eastAsia" w:cs="宋体"/>
          <w:color w:val="auto"/>
          <w:highlight w:val="none"/>
        </w:rPr>
        <w:t>项目采购需求</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_Toc88747293 \h </w:instrText>
      </w:r>
      <w:r>
        <w:rPr>
          <w:rFonts w:hint="eastAsia" w:cs="宋体"/>
          <w:color w:val="auto"/>
          <w:highlight w:val="none"/>
        </w:rPr>
        <w:fldChar w:fldCharType="separate"/>
      </w:r>
      <w:r>
        <w:rPr>
          <w:rFonts w:hint="eastAsia" w:cs="宋体"/>
          <w:color w:val="auto"/>
          <w:highlight w:val="none"/>
        </w:rPr>
        <w:t>29</w:t>
      </w:r>
      <w:r>
        <w:rPr>
          <w:rFonts w:hint="eastAsia" w:cs="宋体"/>
          <w:color w:val="auto"/>
          <w:highlight w:val="none"/>
        </w:rPr>
        <w:fldChar w:fldCharType="end"/>
      </w:r>
      <w:r>
        <w:rPr>
          <w:rFonts w:hint="eastAsia" w:cs="宋体"/>
          <w:color w:val="auto"/>
          <w:highlight w:val="none"/>
        </w:rPr>
        <w:fldChar w:fldCharType="end"/>
      </w:r>
    </w:p>
    <w:p w14:paraId="7405F62A">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"_Toc88747294" </w:instrText>
      </w:r>
      <w:r>
        <w:rPr>
          <w:color w:val="auto"/>
          <w:highlight w:val="none"/>
        </w:rPr>
        <w:fldChar w:fldCharType="separate"/>
      </w:r>
      <w:r>
        <w:rPr>
          <w:rStyle w:val="48"/>
          <w:rFonts w:hint="eastAsia" w:cs="宋体"/>
          <w:color w:val="auto"/>
          <w:highlight w:val="none"/>
        </w:rPr>
        <w:t>第四章</w:t>
      </w:r>
      <w:r>
        <w:rPr>
          <w:rStyle w:val="48"/>
          <w:rFonts w:hint="eastAsia" w:cs="宋体"/>
          <w:color w:val="auto"/>
          <w:highlight w:val="none"/>
          <w:lang w:val="en-US" w:eastAsia="zh-CN"/>
        </w:rPr>
        <w:t xml:space="preserve"> </w:t>
      </w:r>
      <w:r>
        <w:rPr>
          <w:rStyle w:val="48"/>
          <w:rFonts w:hint="eastAsia" w:cs="宋体"/>
          <w:color w:val="auto"/>
          <w:highlight w:val="none"/>
        </w:rPr>
        <w:t>响应文件格式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_Toc88747294 \h </w:instrText>
      </w:r>
      <w:r>
        <w:rPr>
          <w:rFonts w:hint="eastAsia" w:cs="宋体"/>
          <w:color w:val="auto"/>
          <w:highlight w:val="none"/>
        </w:rPr>
        <w:fldChar w:fldCharType="separate"/>
      </w:r>
      <w:r>
        <w:rPr>
          <w:rFonts w:hint="eastAsia" w:cs="宋体"/>
          <w:color w:val="auto"/>
          <w:highlight w:val="none"/>
        </w:rPr>
        <w:t>36</w:t>
      </w:r>
      <w:r>
        <w:rPr>
          <w:rFonts w:hint="eastAsia" w:cs="宋体"/>
          <w:color w:val="auto"/>
          <w:highlight w:val="none"/>
        </w:rPr>
        <w:fldChar w:fldCharType="end"/>
      </w:r>
      <w:r>
        <w:rPr>
          <w:rFonts w:hint="eastAsia" w:cs="宋体"/>
          <w:color w:val="auto"/>
          <w:highlight w:val="none"/>
        </w:rPr>
        <w:fldChar w:fldCharType="end"/>
      </w:r>
    </w:p>
    <w:p w14:paraId="71DFE1BE">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"_Toc88747295" </w:instrText>
      </w:r>
      <w:r>
        <w:rPr>
          <w:color w:val="auto"/>
          <w:highlight w:val="none"/>
        </w:rPr>
        <w:fldChar w:fldCharType="separate"/>
      </w:r>
      <w:r>
        <w:rPr>
          <w:rStyle w:val="48"/>
          <w:rFonts w:hint="eastAsia" w:cs="宋体"/>
          <w:color w:val="auto"/>
          <w:highlight w:val="none"/>
        </w:rPr>
        <w:t>第五章</w:t>
      </w:r>
      <w:r>
        <w:rPr>
          <w:rStyle w:val="48"/>
          <w:rFonts w:hint="eastAsia" w:cs="宋体"/>
          <w:color w:val="auto"/>
          <w:highlight w:val="none"/>
          <w:lang w:val="en-US" w:eastAsia="zh-CN"/>
        </w:rPr>
        <w:t xml:space="preserve"> </w:t>
      </w:r>
      <w:r>
        <w:rPr>
          <w:rStyle w:val="48"/>
          <w:rFonts w:hint="eastAsia" w:cs="宋体"/>
          <w:color w:val="auto"/>
          <w:highlight w:val="none"/>
        </w:rPr>
        <w:t>合同主要条款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_Toc88747295 \h </w:instrText>
      </w:r>
      <w:r>
        <w:rPr>
          <w:rFonts w:hint="eastAsia" w:cs="宋体"/>
          <w:color w:val="auto"/>
          <w:highlight w:val="none"/>
        </w:rPr>
        <w:fldChar w:fldCharType="separate"/>
      </w:r>
      <w:r>
        <w:rPr>
          <w:rFonts w:hint="eastAsia" w:cs="宋体"/>
          <w:color w:val="auto"/>
          <w:highlight w:val="none"/>
        </w:rPr>
        <w:t>61</w:t>
      </w:r>
      <w:r>
        <w:rPr>
          <w:rFonts w:hint="eastAsia" w:cs="宋体"/>
          <w:color w:val="auto"/>
          <w:highlight w:val="none"/>
        </w:rPr>
        <w:fldChar w:fldCharType="end"/>
      </w:r>
      <w:r>
        <w:rPr>
          <w:rFonts w:hint="eastAsia" w:cs="宋体"/>
          <w:color w:val="auto"/>
          <w:highlight w:val="none"/>
        </w:rPr>
        <w:fldChar w:fldCharType="end"/>
      </w:r>
    </w:p>
    <w:p w14:paraId="61359FA2">
      <w:pPr>
        <w:pStyle w:val="29"/>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"_Toc88747296" </w:instrText>
      </w:r>
      <w:r>
        <w:rPr>
          <w:color w:val="auto"/>
          <w:highlight w:val="none"/>
        </w:rPr>
        <w:fldChar w:fldCharType="separate"/>
      </w:r>
      <w:r>
        <w:rPr>
          <w:rStyle w:val="48"/>
          <w:rFonts w:hint="eastAsia" w:cs="宋体"/>
          <w:color w:val="auto"/>
          <w:highlight w:val="none"/>
        </w:rPr>
        <w:t>第六章</w:t>
      </w:r>
      <w:r>
        <w:rPr>
          <w:rStyle w:val="48"/>
          <w:rFonts w:hint="eastAsia" w:cs="宋体"/>
          <w:color w:val="auto"/>
          <w:highlight w:val="none"/>
          <w:lang w:val="en-US" w:eastAsia="zh-CN"/>
        </w:rPr>
        <w:t xml:space="preserve"> </w:t>
      </w:r>
      <w:r>
        <w:rPr>
          <w:rStyle w:val="48"/>
          <w:rFonts w:hint="eastAsia" w:cs="宋体"/>
          <w:color w:val="auto"/>
          <w:highlight w:val="none"/>
        </w:rPr>
        <w:t>评审方法和评审标准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_Toc88747296 \h </w:instrText>
      </w:r>
      <w:r>
        <w:rPr>
          <w:rFonts w:hint="eastAsia" w:cs="宋体"/>
          <w:color w:val="auto"/>
          <w:highlight w:val="none"/>
        </w:rPr>
        <w:fldChar w:fldCharType="separate"/>
      </w:r>
      <w:r>
        <w:rPr>
          <w:rFonts w:hint="eastAsia" w:cs="宋体"/>
          <w:color w:val="auto"/>
          <w:highlight w:val="none"/>
        </w:rPr>
        <w:t>65</w:t>
      </w:r>
      <w:r>
        <w:rPr>
          <w:rFonts w:hint="eastAsia" w:cs="宋体"/>
          <w:color w:val="auto"/>
          <w:highlight w:val="none"/>
        </w:rPr>
        <w:fldChar w:fldCharType="end"/>
      </w:r>
      <w:r>
        <w:rPr>
          <w:rFonts w:hint="eastAsia" w:cs="宋体"/>
          <w:color w:val="auto"/>
          <w:highlight w:val="none"/>
        </w:rPr>
        <w:fldChar w:fldCharType="end"/>
      </w:r>
    </w:p>
    <w:p w14:paraId="38FDDA50">
      <w:pPr>
        <w:spacing w:line="440" w:lineRule="exact"/>
        <w:jc w:val="left"/>
        <w:rPr>
          <w:rStyle w:val="48"/>
          <w:rFonts w:ascii="宋体" w:hAnsi="宋体" w:cs="宋体"/>
          <w:b/>
          <w:color w:val="auto"/>
          <w:sz w:val="32"/>
          <w:szCs w:val="32"/>
          <w:highlight w:val="none"/>
        </w:rPr>
      </w:pPr>
      <w:r>
        <w:rPr>
          <w:rFonts w:hint="eastAsia" w:ascii="宋体" w:hAnsi="宋体" w:cs="宋体"/>
          <w:b/>
          <w:color w:val="auto"/>
          <w:sz w:val="32"/>
          <w:szCs w:val="32"/>
          <w:highlight w:val="none"/>
        </w:rPr>
        <w:fldChar w:fldCharType="end"/>
      </w:r>
    </w:p>
    <w:p w14:paraId="7B596611">
      <w:pPr>
        <w:spacing w:line="440" w:lineRule="exact"/>
        <w:jc w:val="left"/>
        <w:rPr>
          <w:rFonts w:ascii="宋体" w:hAnsi="宋体" w:cs="宋体"/>
          <w:color w:val="auto"/>
          <w:sz w:val="32"/>
          <w:szCs w:val="32"/>
          <w:highlight w:val="none"/>
        </w:rPr>
      </w:pPr>
    </w:p>
    <w:p w14:paraId="06AD38F1">
      <w:pPr>
        <w:pStyle w:val="4"/>
        <w:spacing w:line="440" w:lineRule="exact"/>
        <w:jc w:val="center"/>
        <w:rPr>
          <w:rFonts w:ascii="宋体" w:hAnsi="宋体" w:cs="宋体"/>
          <w:color w:val="auto"/>
          <w:sz w:val="32"/>
          <w:szCs w:val="32"/>
          <w:highlight w:val="none"/>
        </w:rPr>
        <w:sectPr>
          <w:pgSz w:w="11906" w:h="16838"/>
          <w:pgMar w:top="1134" w:right="1247" w:bottom="1134" w:left="1247" w:header="851" w:footer="992" w:gutter="0"/>
          <w:cols w:space="720" w:num="1"/>
          <w:docGrid w:linePitch="312" w:charSpace="0"/>
        </w:sectPr>
      </w:pPr>
      <w:bookmarkStart w:id="0" w:name="_Toc88747291"/>
    </w:p>
    <w:p w14:paraId="1094250C">
      <w:pPr>
        <w:pStyle w:val="4"/>
        <w:spacing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第一章 竞争性磋商采购公告</w:t>
      </w:r>
      <w:bookmarkEnd w:id="0"/>
    </w:p>
    <w:p w14:paraId="5B3CAC3D">
      <w:pPr>
        <w:pStyle w:val="188"/>
        <w:widowControl w:val="0"/>
        <w:spacing w:after="12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4D816C69">
      <w:pPr>
        <w:pStyle w:val="188"/>
        <w:widowControl w:val="0"/>
        <w:spacing w:after="12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桂林市“平急两用”公共基础设施建设专项规划编制</w:t>
      </w:r>
      <w:r>
        <w:rPr>
          <w:rFonts w:hint="eastAsia" w:ascii="宋体" w:hAnsi="宋体" w:cs="宋体"/>
          <w:color w:val="auto"/>
          <w:sz w:val="21"/>
          <w:szCs w:val="21"/>
          <w:highlight w:val="none"/>
        </w:rPr>
        <w:t>采购项目的潜在供应商应在广西政府采购云平台获取线上获取采购文件，并于</w:t>
      </w:r>
      <w:r>
        <w:rPr>
          <w:rFonts w:hint="eastAsia" w:ascii="宋体" w:hAnsi="宋体" w:cs="宋体"/>
          <w:color w:val="auto"/>
          <w:sz w:val="21"/>
          <w:szCs w:val="21"/>
          <w:highlight w:val="none"/>
          <w:u w:val="single"/>
          <w:lang w:eastAsia="zh-CN"/>
        </w:rPr>
        <w:t>2025年12月15日</w:t>
      </w:r>
      <w:r>
        <w:rPr>
          <w:rFonts w:hint="eastAsia" w:ascii="宋体" w:hAnsi="宋体" w:cs="宋体"/>
          <w:bCs/>
          <w:color w:val="auto"/>
          <w:sz w:val="21"/>
          <w:szCs w:val="21"/>
          <w:highlight w:val="none"/>
          <w:u w:val="single"/>
        </w:rPr>
        <w:t>09：30（</w:t>
      </w:r>
      <w:r>
        <w:rPr>
          <w:rFonts w:hint="eastAsia" w:ascii="宋体" w:hAnsi="宋体" w:cs="宋体"/>
          <w:bCs/>
          <w:color w:val="auto"/>
          <w:sz w:val="21"/>
          <w:szCs w:val="21"/>
          <w:highlight w:val="none"/>
        </w:rPr>
        <w:t>北京时间）前提交响应文件</w:t>
      </w:r>
      <w:r>
        <w:rPr>
          <w:rFonts w:hint="eastAsia" w:ascii="宋体" w:hAnsi="宋体" w:cs="宋体"/>
          <w:color w:val="auto"/>
          <w:sz w:val="21"/>
          <w:szCs w:val="21"/>
          <w:highlight w:val="none"/>
        </w:rPr>
        <w:t>。</w:t>
      </w:r>
      <w:bookmarkStart w:id="1" w:name="_Toc28359002"/>
      <w:bookmarkStart w:id="2" w:name="_Toc35393621"/>
      <w:bookmarkStart w:id="3" w:name="_Toc28359079"/>
      <w:bookmarkStart w:id="4" w:name="_Toc35393790"/>
      <w:bookmarkStart w:id="5" w:name="_Hlk24379207"/>
    </w:p>
    <w:p w14:paraId="51DC68D6">
      <w:pPr>
        <w:pStyle w:val="188"/>
        <w:widowControl w:val="0"/>
        <w:spacing w:after="120" w:line="440" w:lineRule="exact"/>
        <w:ind w:firstLine="422"/>
        <w:rPr>
          <w:rFonts w:ascii="宋体" w:hAnsi="宋体" w:cs="宋体"/>
          <w:color w:val="auto"/>
          <w:sz w:val="21"/>
          <w:szCs w:val="21"/>
          <w:highlight w:val="none"/>
        </w:rPr>
      </w:pPr>
      <w:r>
        <w:rPr>
          <w:rFonts w:hint="eastAsia" w:ascii="宋体" w:hAnsi="宋体" w:cs="宋体"/>
          <w:b/>
          <w:color w:val="auto"/>
          <w:sz w:val="21"/>
          <w:szCs w:val="21"/>
          <w:highlight w:val="none"/>
        </w:rPr>
        <w:t>一、项目基本情况</w:t>
      </w:r>
      <w:bookmarkEnd w:id="1"/>
      <w:bookmarkEnd w:id="2"/>
      <w:bookmarkEnd w:id="3"/>
      <w:bookmarkEnd w:id="4"/>
    </w:p>
    <w:p w14:paraId="72FA42E1">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GLZC2025-C3-990656-GXDY</w:t>
      </w:r>
    </w:p>
    <w:p w14:paraId="60DD5CEB">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桂林市“平急两用”公共基础设施建设专项规划编制</w:t>
      </w:r>
    </w:p>
    <w:p w14:paraId="5C720BC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bookmarkEnd w:id="5"/>
    <w:p w14:paraId="40076CC1">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预算总金额（元）：</w:t>
      </w:r>
      <w:r>
        <w:rPr>
          <w:rFonts w:hint="eastAsia" w:ascii="宋体" w:hAnsi="宋体" w:cs="宋体"/>
          <w:color w:val="auto"/>
          <w:szCs w:val="21"/>
          <w:highlight w:val="none"/>
          <w:lang w:eastAsia="zh-CN"/>
        </w:rPr>
        <w:t>1550000</w:t>
      </w:r>
      <w:r>
        <w:rPr>
          <w:rFonts w:hint="eastAsia" w:ascii="宋体" w:hAnsi="宋体" w:cs="宋体"/>
          <w:color w:val="auto"/>
          <w:szCs w:val="21"/>
          <w:highlight w:val="none"/>
          <w:lang w:val="en-US" w:eastAsia="zh-CN"/>
        </w:rPr>
        <w:t>.00</w:t>
      </w:r>
    </w:p>
    <w:p w14:paraId="265EB2B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17E87CFB">
      <w:pPr>
        <w:spacing w:line="440" w:lineRule="exact"/>
        <w:ind w:firstLine="420" w:firstLineChars="200"/>
        <w:rPr>
          <w:rFonts w:hint="eastAsia" w:ascii="宋体" w:hAnsi="宋体" w:cs="宋体"/>
          <w:color w:val="auto"/>
          <w:szCs w:val="21"/>
          <w:highlight w:val="none"/>
        </w:rPr>
      </w:pPr>
    </w:p>
    <w:p w14:paraId="5321B5F7">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桂林市“平急两用”公共基础设施建设专项规划编制</w:t>
      </w:r>
    </w:p>
    <w:p w14:paraId="2AED237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14:paraId="17443E1A">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1550000.00</w:t>
      </w:r>
    </w:p>
    <w:p w14:paraId="29490E8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桂林市“平急两用”公共基础设施建设专项规划编制</w:t>
      </w:r>
      <w:r>
        <w:rPr>
          <w:rFonts w:hint="eastAsia" w:ascii="宋体" w:hAnsi="宋体" w:cs="宋体"/>
          <w:color w:val="auto"/>
          <w:szCs w:val="21"/>
          <w:highlight w:val="none"/>
        </w:rPr>
        <w:t>项目一项，具体详见项目采购需求。</w:t>
      </w:r>
    </w:p>
    <w:p w14:paraId="1310B2C6">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最高限价（如有）：</w:t>
      </w:r>
      <w:r>
        <w:rPr>
          <w:rFonts w:hint="eastAsia" w:ascii="宋体" w:hAnsi="宋体" w:cs="宋体"/>
          <w:color w:val="auto"/>
          <w:szCs w:val="21"/>
          <w:highlight w:val="none"/>
          <w:lang w:eastAsia="zh-CN"/>
        </w:rPr>
        <w:t>1550000.00</w:t>
      </w:r>
    </w:p>
    <w:p w14:paraId="5F22C73D">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自合同签订之日起，于2026年2月10日之前完成前期调研工作；于2026年6月30日之前完成初步成果编制工作；于2026年12月31日之前完成征求意见、专家评审及报批工作。</w:t>
      </w:r>
    </w:p>
    <w:p w14:paraId="3123B3C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14:paraId="36DEE50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p>
    <w:p w14:paraId="52FC0BAA">
      <w:pPr>
        <w:spacing w:line="440" w:lineRule="exact"/>
        <w:ind w:firstLine="422" w:firstLineChars="200"/>
        <w:rPr>
          <w:rFonts w:hint="eastAsia" w:ascii="宋体" w:hAnsi="宋体" w:cs="宋体"/>
          <w:b/>
          <w:bCs/>
          <w:color w:val="auto"/>
          <w:szCs w:val="21"/>
          <w:highlight w:val="none"/>
        </w:rPr>
      </w:pPr>
    </w:p>
    <w:p w14:paraId="60C1B471">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二、申请人的资格要求：</w:t>
      </w:r>
    </w:p>
    <w:p w14:paraId="19F5816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579E883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val="0"/>
          <w:bCs w:val="0"/>
          <w:color w:val="auto"/>
          <w:szCs w:val="21"/>
          <w:highlight w:val="none"/>
          <w:lang w:val="en-US" w:eastAsia="zh-CN"/>
        </w:rPr>
        <w:t>无</w:t>
      </w:r>
      <w:r>
        <w:rPr>
          <w:rFonts w:hint="eastAsia" w:ascii="宋体" w:hAnsi="宋体" w:cs="宋体"/>
          <w:color w:val="auto"/>
          <w:szCs w:val="21"/>
          <w:highlight w:val="none"/>
        </w:rPr>
        <w:t>；</w:t>
      </w:r>
    </w:p>
    <w:p w14:paraId="2929432D">
      <w:pPr>
        <w:spacing w:line="440" w:lineRule="exact"/>
        <w:ind w:firstLine="420" w:firstLineChars="200"/>
        <w:rPr>
          <w:rFonts w:hint="eastAsia" w:ascii="宋体" w:hAnsi="宋体" w:eastAsia="宋体" w:cs="宋体"/>
          <w:iCs/>
          <w:color w:val="auto"/>
          <w:szCs w:val="21"/>
          <w:highlight w:val="none"/>
          <w:u w:val="single"/>
          <w:lang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供应商须具有有效的</w:t>
      </w:r>
      <w:r>
        <w:rPr>
          <w:rFonts w:hint="eastAsia" w:ascii="宋体" w:hAnsi="宋体" w:cs="宋体"/>
          <w:color w:val="auto"/>
          <w:szCs w:val="21"/>
          <w:highlight w:val="none"/>
        </w:rPr>
        <w:t>城乡规划</w:t>
      </w:r>
      <w:r>
        <w:rPr>
          <w:rFonts w:hint="eastAsia" w:ascii="宋体" w:hAnsi="宋体" w:cs="宋体"/>
          <w:color w:val="auto"/>
          <w:szCs w:val="21"/>
          <w:highlight w:val="none"/>
          <w:lang w:val="en-US" w:eastAsia="zh-CN"/>
        </w:rPr>
        <w:t>编制甲级或城乡规划（国土空间规划）编制甲级资质</w:t>
      </w:r>
      <w:r>
        <w:rPr>
          <w:rFonts w:hint="eastAsia" w:ascii="宋体" w:hAnsi="宋体" w:cs="宋体"/>
          <w:color w:val="auto"/>
          <w:szCs w:val="21"/>
          <w:highlight w:val="none"/>
          <w:lang w:eastAsia="zh-CN"/>
        </w:rPr>
        <w:t>。</w:t>
      </w:r>
    </w:p>
    <w:p w14:paraId="5D92EBBE">
      <w:pPr>
        <w:spacing w:line="440" w:lineRule="exact"/>
        <w:ind w:firstLine="422" w:firstLineChars="200"/>
        <w:rPr>
          <w:rFonts w:ascii="宋体" w:hAnsi="宋体" w:cs="宋体"/>
          <w:iCs/>
          <w:color w:val="auto"/>
          <w:szCs w:val="21"/>
          <w:highlight w:val="none"/>
          <w:u w:val="single"/>
        </w:rPr>
      </w:pPr>
      <w:r>
        <w:rPr>
          <w:rFonts w:hint="eastAsia" w:ascii="宋体" w:hAnsi="宋体" w:cs="宋体"/>
          <w:b/>
          <w:color w:val="auto"/>
          <w:szCs w:val="21"/>
          <w:highlight w:val="none"/>
        </w:rPr>
        <w:t>三、获取采购文件</w:t>
      </w:r>
    </w:p>
    <w:p w14:paraId="461E994C">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公告</w:t>
      </w:r>
      <w:r>
        <w:rPr>
          <w:rFonts w:hint="eastAsia" w:ascii="宋体" w:hAnsi="宋体" w:cs="宋体"/>
          <w:color w:val="auto"/>
          <w:szCs w:val="21"/>
          <w:highlight w:val="none"/>
        </w:rPr>
        <w:t>发布</w:t>
      </w:r>
      <w:r>
        <w:rPr>
          <w:rFonts w:hint="eastAsia" w:ascii="宋体" w:hAnsi="宋体" w:cs="宋体"/>
          <w:color w:val="auto"/>
          <w:szCs w:val="21"/>
          <w:highlight w:val="none"/>
          <w:lang w:val="en-US" w:eastAsia="zh-CN"/>
        </w:rPr>
        <w:t>时间起</w:t>
      </w:r>
      <w:r>
        <w:rPr>
          <w:rFonts w:hint="eastAsia" w:ascii="宋体" w:hAnsi="宋体" w:cs="宋体"/>
          <w:color w:val="auto"/>
          <w:szCs w:val="21"/>
          <w:highlight w:val="none"/>
        </w:rPr>
        <w:t>至磋商截止时间止。</w:t>
      </w:r>
    </w:p>
    <w:p w14:paraId="12385681">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地点（网址）：广西政府采购云平台线上获取。</w:t>
      </w:r>
    </w:p>
    <w:p w14:paraId="2CF84DD9">
      <w:pPr>
        <w:wordWrap w:val="0"/>
        <w:spacing w:line="440" w:lineRule="exact"/>
        <w:ind w:firstLine="539"/>
        <w:rPr>
          <w:rFonts w:ascii="宋体" w:hAnsi="宋体" w:cs="宋体"/>
          <w:color w:val="auto"/>
          <w:szCs w:val="21"/>
          <w:highlight w:val="none"/>
        </w:rPr>
      </w:pPr>
      <w:r>
        <w:rPr>
          <w:rFonts w:hint="eastAsia" w:ascii="宋体" w:hAnsi="宋体" w:cs="宋体"/>
          <w:color w:val="auto"/>
          <w:szCs w:val="21"/>
          <w:highlight w:val="none"/>
        </w:rPr>
        <w:t xml:space="preserve">方式：网上下载。本项目不发放纸质文件，供应商登录广西政府采购云平台https://www.gcy.zfcg.gxzf.gov.cn/在线申请获取采购文件（进入“项目采购”应用，在获取采购文件菜单中选择项目，申请获取采购文件） </w:t>
      </w:r>
    </w:p>
    <w:p w14:paraId="0E69D05D">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售价（元）：0</w:t>
      </w:r>
    </w:p>
    <w:p w14:paraId="0A4CA9A8">
      <w:pPr>
        <w:spacing w:line="440" w:lineRule="exact"/>
        <w:ind w:firstLine="540"/>
        <w:rPr>
          <w:rFonts w:ascii="宋体" w:hAnsi="宋体" w:cs="宋体"/>
          <w:color w:val="auto"/>
          <w:szCs w:val="21"/>
          <w:highlight w:val="none"/>
        </w:rPr>
      </w:pPr>
      <w:r>
        <w:rPr>
          <w:rFonts w:hint="eastAsia" w:ascii="宋体" w:hAnsi="宋体" w:cs="宋体"/>
          <w:b/>
          <w:color w:val="auto"/>
          <w:szCs w:val="21"/>
          <w:highlight w:val="none"/>
        </w:rPr>
        <w:t>四、响应文件提交</w:t>
      </w:r>
    </w:p>
    <w:p w14:paraId="76638F74">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2025年12月15日</w:t>
      </w:r>
      <w:r>
        <w:rPr>
          <w:rFonts w:hint="eastAsia" w:ascii="宋体" w:hAnsi="宋体" w:cs="宋体"/>
          <w:color w:val="auto"/>
          <w:szCs w:val="21"/>
          <w:highlight w:val="none"/>
        </w:rPr>
        <w:t xml:space="preserve"> 09:30（北京时间）</w:t>
      </w:r>
    </w:p>
    <w:p w14:paraId="628B1F37">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地点（网址）：请登录广西政府采购云平台投标客户端投标。</w:t>
      </w:r>
    </w:p>
    <w:p w14:paraId="40582E8B">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五、响应文件开启</w:t>
      </w:r>
    </w:p>
    <w:p w14:paraId="28416F4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开启时间：</w:t>
      </w:r>
      <w:r>
        <w:rPr>
          <w:rFonts w:hint="eastAsia" w:ascii="宋体" w:hAnsi="宋体" w:cs="宋体"/>
          <w:color w:val="auto"/>
          <w:szCs w:val="21"/>
          <w:highlight w:val="none"/>
          <w:lang w:eastAsia="zh-CN"/>
        </w:rPr>
        <w:t>2025年12月15日</w:t>
      </w:r>
      <w:r>
        <w:rPr>
          <w:rFonts w:hint="eastAsia" w:ascii="宋体" w:hAnsi="宋体" w:cs="宋体"/>
          <w:color w:val="auto"/>
          <w:szCs w:val="21"/>
          <w:highlight w:val="none"/>
        </w:rPr>
        <w:t xml:space="preserve"> 09:30（北京时间）</w:t>
      </w:r>
    </w:p>
    <w:p w14:paraId="4C20DB9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p w14:paraId="39DFD97D">
      <w:pPr>
        <w:spacing w:line="440" w:lineRule="exact"/>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六、公告期限</w:t>
      </w:r>
    </w:p>
    <w:p w14:paraId="2E5CF3C3">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CF60148">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七、其他补充事宜</w:t>
      </w:r>
    </w:p>
    <w:p w14:paraId="64D969E1">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1.本项目需要落实的政府采购政策：</w:t>
      </w:r>
    </w:p>
    <w:p w14:paraId="6A7EBFE3">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67E5EFD7">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（2）政府采购促进残疾人就业政策。</w:t>
      </w:r>
    </w:p>
    <w:p w14:paraId="14203CEF">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（3）政府采购支持监狱企业发展。</w:t>
      </w:r>
    </w:p>
    <w:p w14:paraId="604D4858">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（4）政府采购支持采用本国产品的政策。</w:t>
      </w:r>
    </w:p>
    <w:p w14:paraId="016FA5A3">
      <w:pPr>
        <w:pStyle w:val="22"/>
        <w:spacing w:line="440" w:lineRule="exact"/>
        <w:ind w:firstLine="420" w:firstLineChars="200"/>
        <w:rPr>
          <w:rFonts w:hAnsi="宋体" w:cs="宋体"/>
          <w:color w:val="auto"/>
          <w:sz w:val="21"/>
          <w:highlight w:val="none"/>
        </w:rPr>
      </w:pPr>
      <w:r>
        <w:rPr>
          <w:rFonts w:hint="eastAsia" w:hAnsi="宋体" w:cs="宋体"/>
          <w:color w:val="auto"/>
          <w:sz w:val="21"/>
          <w:highlight w:val="none"/>
        </w:rPr>
        <w:t>2.参加政府采购活动前三年内，在经营活动中没有重大违法记录和不良信用记录，被列入失信被执行人、</w:t>
      </w:r>
      <w:r>
        <w:rPr>
          <w:rFonts w:hint="eastAsia" w:hAnsi="宋体" w:cs="宋体"/>
          <w:color w:val="auto"/>
          <w:sz w:val="21"/>
          <w:highlight w:val="none"/>
          <w:lang w:eastAsia="zh-CN"/>
        </w:rPr>
        <w:t>重大税收违法失信主体</w:t>
      </w:r>
      <w:r>
        <w:rPr>
          <w:rFonts w:hint="eastAsia" w:hAnsi="宋体" w:cs="宋体"/>
          <w:color w:val="auto"/>
          <w:sz w:val="21"/>
          <w:highlight w:val="none"/>
        </w:rPr>
        <w:t>、政府采购严重违法失信行为记录名单及其他不符合《中华人民共和国政府采购法》第二十二条规定条件的供应商，将被拒绝其参与本次政府采购活动；</w:t>
      </w:r>
    </w:p>
    <w:p w14:paraId="7D2CC8EE">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5F725A7">
      <w:pPr>
        <w:pStyle w:val="22"/>
        <w:spacing w:line="440" w:lineRule="exact"/>
        <w:ind w:firstLine="420" w:firstLineChars="200"/>
        <w:rPr>
          <w:rFonts w:hAnsi="宋体" w:cs="宋体"/>
          <w:color w:val="auto"/>
          <w:sz w:val="21"/>
          <w:highlight w:val="none"/>
        </w:rPr>
      </w:pPr>
      <w:r>
        <w:rPr>
          <w:rFonts w:hint="eastAsia" w:hAnsi="宋体" w:cs="宋体"/>
          <w:color w:val="auto"/>
          <w:sz w:val="21"/>
          <w:highlight w:val="none"/>
        </w:rPr>
        <w:t>4.公告发布媒介：</w:t>
      </w:r>
    </w:p>
    <w:p w14:paraId="1ACA2F47">
      <w:pPr>
        <w:pStyle w:val="22"/>
        <w:spacing w:line="440" w:lineRule="exact"/>
        <w:ind w:firstLine="400" w:firstLineChars="200"/>
        <w:rPr>
          <w:rFonts w:hAnsi="宋体" w:cs="宋体"/>
          <w:color w:val="auto"/>
          <w:sz w:val="21"/>
          <w:highlight w:val="none"/>
        </w:rPr>
      </w:pPr>
      <w:r>
        <w:rPr>
          <w:color w:val="auto"/>
          <w:highlight w:val="none"/>
        </w:rPr>
        <w:fldChar w:fldCharType="begin"/>
      </w:r>
      <w:r>
        <w:rPr>
          <w:color w:val="auto"/>
          <w:highlight w:val="none"/>
        </w:rPr>
        <w:instrText xml:space="preserve"> HYPERLINK "http://www.ccgp.gov.cn（中国政府采购网）、http:/zfcg.gxzf.gov.cn（广西壮族自治区政府采购网）" </w:instrText>
      </w:r>
      <w:r>
        <w:rPr>
          <w:color w:val="auto"/>
          <w:highlight w:val="none"/>
        </w:rPr>
        <w:fldChar w:fldCharType="separate"/>
      </w:r>
      <w:r>
        <w:rPr>
          <w:rFonts w:hint="eastAsia" w:hAnsi="宋体" w:cs="宋体"/>
          <w:color w:val="auto"/>
          <w:sz w:val="21"/>
          <w:highlight w:val="none"/>
          <w:lang w:eastAsia="zh-CN"/>
        </w:rPr>
        <w:t>http://www.ccgp.gov.cn（中国政府采购网）、 http://zfcg.gxzf.gov.cn（广西壮族自治区政府采购网）、http://zfcg.czj.guilin.gov.cn/（桂林市政府采购网）</w:t>
      </w:r>
      <w:r>
        <w:rPr>
          <w:rFonts w:hint="eastAsia" w:hAnsi="宋体" w:cs="宋体"/>
          <w:color w:val="auto"/>
          <w:sz w:val="21"/>
          <w:highlight w:val="none"/>
        </w:rPr>
        <w:fldChar w:fldCharType="end"/>
      </w:r>
    </w:p>
    <w:p w14:paraId="6DB57EBC">
      <w:pPr>
        <w:pStyle w:val="22"/>
        <w:spacing w:line="440" w:lineRule="exact"/>
        <w:ind w:firstLine="420" w:firstLineChars="200"/>
        <w:rPr>
          <w:rFonts w:hAnsi="宋体" w:cs="宋体"/>
          <w:color w:val="auto"/>
          <w:sz w:val="21"/>
          <w:highlight w:val="none"/>
        </w:rPr>
      </w:pPr>
      <w:r>
        <w:rPr>
          <w:rFonts w:hint="eastAsia" w:hAnsi="宋体" w:cs="宋体"/>
          <w:color w:val="auto"/>
          <w:sz w:val="21"/>
          <w:highlight w:val="none"/>
        </w:rPr>
        <w:t>5、广西政府采购云平台电子投标相关事宜：</w:t>
      </w:r>
    </w:p>
    <w:p w14:paraId="4313EC54">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 “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23B9CB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p>
    <w:p w14:paraId="4C31FAD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319678C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ACCE4A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（4）供应商需要在具备有摄像头及语音功能且互联网网络状况良好的电脑登录“广西政府采购云平台”远程开标大厅参与本次磋商，否则后果自负。</w:t>
      </w:r>
    </w:p>
    <w:p w14:paraId="1C5F25CE">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八、对本次招标提出询问，请按以下方式联系。</w:t>
      </w:r>
    </w:p>
    <w:p w14:paraId="5CC26D83">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08D9C377">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eastAsia="zh-CN"/>
        </w:rPr>
        <w:t>桂林市住房和城乡建设局</w:t>
      </w:r>
      <w:r>
        <w:rPr>
          <w:rFonts w:hint="eastAsia" w:ascii="宋体" w:hAnsi="宋体" w:cs="宋体"/>
          <w:color w:val="auto"/>
          <w:szCs w:val="21"/>
          <w:highlight w:val="none"/>
          <w:u w:val="single"/>
        </w:rPr>
        <w:t>　</w:t>
      </w:r>
    </w:p>
    <w:p w14:paraId="1388DDA1">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eastAsia="zh-CN"/>
        </w:rPr>
        <w:t>桂林市临桂区青莲路建设大厦南楼</w:t>
      </w:r>
      <w:r>
        <w:rPr>
          <w:rFonts w:hint="eastAsia" w:ascii="宋体" w:hAnsi="宋体" w:cs="宋体"/>
          <w:color w:val="auto"/>
          <w:szCs w:val="21"/>
          <w:highlight w:val="none"/>
          <w:u w:val="single"/>
        </w:rPr>
        <w:t xml:space="preserve">　 </w:t>
      </w:r>
    </w:p>
    <w:p w14:paraId="45C16F92">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lang w:val="en-US" w:eastAsia="zh-CN"/>
        </w:rPr>
        <w:t xml:space="preserve"> 蒋芳利</w:t>
      </w:r>
      <w:r>
        <w:rPr>
          <w:rFonts w:hint="eastAsia" w:ascii="宋体" w:hAnsi="宋体" w:cs="宋体"/>
          <w:color w:val="auto"/>
          <w:szCs w:val="21"/>
          <w:highlight w:val="none"/>
          <w:u w:val="single"/>
        </w:rPr>
        <w:t xml:space="preserve"> </w:t>
      </w:r>
    </w:p>
    <w:p w14:paraId="2DC46750">
      <w:pPr>
        <w:widowControl/>
        <w:spacing w:line="440" w:lineRule="exact"/>
        <w:ind w:firstLine="465"/>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项目联系方式：</w:t>
      </w:r>
      <w:r>
        <w:rPr>
          <w:rFonts w:hint="eastAsia" w:ascii="宋体" w:hAnsi="宋体" w:cs="宋体"/>
          <w:color w:val="auto"/>
          <w:szCs w:val="21"/>
          <w:highlight w:val="none"/>
          <w:u w:val="single"/>
          <w:lang w:val="en-US" w:eastAsia="zh-CN"/>
        </w:rPr>
        <w:t xml:space="preserve"> 0773-2830317 </w:t>
      </w:r>
    </w:p>
    <w:p w14:paraId="04E67A73">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545EA5C8">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广西德元工程项目管理有限责任公司　</w:t>
      </w:r>
    </w:p>
    <w:p w14:paraId="17607DDF">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南宁市良庆区凯旋路15号绿地中心7号楼8楼　</w:t>
      </w:r>
    </w:p>
    <w:p w14:paraId="645154F7">
      <w:pPr>
        <w:widowControl/>
        <w:spacing w:line="440" w:lineRule="exact"/>
        <w:ind w:firstLine="465"/>
        <w:jc w:val="left"/>
        <w:rPr>
          <w:rFonts w:ascii="宋体" w:hAnsi="宋体" w:cs="宋体"/>
          <w:color w:val="auto"/>
          <w:szCs w:val="21"/>
          <w:highlight w:val="none"/>
          <w:u w:val="singl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eastAsia="zh-CN"/>
        </w:rPr>
        <w:t>覃喜娟、黄清霞、黎忠胜、刘倩</w:t>
      </w:r>
      <w:r>
        <w:rPr>
          <w:rFonts w:hint="eastAsia" w:ascii="宋体" w:hAnsi="宋体" w:cs="宋体"/>
          <w:color w:val="auto"/>
          <w:szCs w:val="21"/>
          <w:highlight w:val="none"/>
          <w:u w:val="single"/>
        </w:rPr>
        <w:t xml:space="preserve">     </w:t>
      </w:r>
    </w:p>
    <w:p w14:paraId="6C5129CC">
      <w:pPr>
        <w:widowControl/>
        <w:spacing w:line="440" w:lineRule="exact"/>
        <w:ind w:firstLine="465"/>
        <w:jc w:val="left"/>
        <w:rPr>
          <w:rFonts w:ascii="宋体" w:hAnsi="宋体" w:cs="宋体"/>
          <w:color w:val="auto"/>
          <w:szCs w:val="21"/>
          <w:highlight w:val="none"/>
          <w:u w:val="single"/>
        </w:rPr>
      </w:pPr>
      <w:r>
        <w:rPr>
          <w:rFonts w:hint="eastAsia" w:ascii="宋体" w:hAnsi="宋体" w:cs="宋体"/>
          <w:color w:val="auto"/>
          <w:szCs w:val="21"/>
          <w:highlight w:val="none"/>
        </w:rPr>
        <w:t>项目联系方式：</w:t>
      </w:r>
      <w:r>
        <w:rPr>
          <w:rFonts w:hint="eastAsia" w:ascii="宋体" w:hAnsi="宋体" w:cs="宋体"/>
          <w:color w:val="auto"/>
          <w:szCs w:val="21"/>
          <w:highlight w:val="none"/>
          <w:u w:val="single"/>
        </w:rPr>
        <w:t xml:space="preserve">　0771-5084767       </w:t>
      </w:r>
      <w:bookmarkStart w:id="6" w:name="_Toc88747292"/>
    </w:p>
    <w:p w14:paraId="6CD8AE29">
      <w:pPr>
        <w:pStyle w:val="4"/>
        <w:spacing w:line="440" w:lineRule="exact"/>
        <w:jc w:val="center"/>
        <w:rPr>
          <w:rFonts w:ascii="宋体" w:hAnsi="宋体" w:cs="宋体"/>
          <w:color w:val="auto"/>
          <w:sz w:val="32"/>
          <w:szCs w:val="32"/>
          <w:highlight w:val="none"/>
        </w:rPr>
        <w:sectPr>
          <w:footerReference r:id="rId4" w:type="default"/>
          <w:pgSz w:w="11906" w:h="16838"/>
          <w:pgMar w:top="1134" w:right="1247" w:bottom="1134" w:left="1247" w:header="851" w:footer="992" w:gutter="0"/>
          <w:pgNumType w:start="1"/>
          <w:cols w:space="720" w:num="1"/>
          <w:docGrid w:linePitch="312" w:charSpace="0"/>
        </w:sectPr>
      </w:pPr>
    </w:p>
    <w:p w14:paraId="640450DA">
      <w:pPr>
        <w:pStyle w:val="4"/>
        <w:spacing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第二章 供应商须知</w:t>
      </w:r>
      <w:bookmarkEnd w:id="6"/>
    </w:p>
    <w:tbl>
      <w:tblPr>
        <w:tblStyle w:val="41"/>
        <w:tblW w:w="90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6"/>
      </w:tblGrid>
      <w:tr w14:paraId="05E57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53" w:type="dxa"/>
            <w:gridSpan w:val="2"/>
          </w:tcPr>
          <w:p w14:paraId="579C8563">
            <w:pPr>
              <w:spacing w:before="120" w:beforeLines="50" w:line="440" w:lineRule="exact"/>
              <w:ind w:right="140" w:firstLine="200"/>
              <w:jc w:val="center"/>
              <w:rPr>
                <w:rFonts w:ascii="宋体" w:hAnsi="宋体" w:cs="宋体"/>
                <w:color w:val="auto"/>
                <w:sz w:val="28"/>
                <w:szCs w:val="28"/>
                <w:highlight w:val="none"/>
              </w:rPr>
            </w:pPr>
            <w:r>
              <w:rPr>
                <w:rFonts w:hint="eastAsia" w:ascii="宋体" w:hAnsi="宋体" w:cs="宋体"/>
                <w:color w:val="auto"/>
                <w:sz w:val="28"/>
                <w:szCs w:val="28"/>
                <w:highlight w:val="none"/>
              </w:rPr>
              <w:t>供应商须知前附表</w:t>
            </w:r>
          </w:p>
        </w:tc>
      </w:tr>
      <w:tr w14:paraId="5AB99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F22D0D6">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236" w:type="dxa"/>
          </w:tcPr>
          <w:p w14:paraId="1985B986">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内容</w:t>
            </w:r>
          </w:p>
        </w:tc>
      </w:tr>
      <w:tr w14:paraId="0003A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27005F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8236" w:type="dxa"/>
            <w:vAlign w:val="center"/>
          </w:tcPr>
          <w:p w14:paraId="57503B65">
            <w:pPr>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桂林市“平急两用”公共基础设施建设专项规划编制</w:t>
            </w:r>
          </w:p>
          <w:p w14:paraId="797CC5FA">
            <w:pPr>
              <w:spacing w:line="440" w:lineRule="exact"/>
              <w:rPr>
                <w:rFonts w:hint="eastAsia"/>
                <w:lang w:eastAsia="zh-CN"/>
              </w:rPr>
            </w:pPr>
            <w:r>
              <w:rPr>
                <w:rFonts w:hint="eastAsia" w:ascii="宋体" w:hAnsi="宋体" w:eastAsia="宋体" w:cs="宋体"/>
                <w:color w:val="auto"/>
                <w:szCs w:val="21"/>
                <w:highlight w:val="none"/>
                <w:lang w:eastAsia="zh-CN"/>
              </w:rPr>
              <w:t>项目编号：</w:t>
            </w:r>
            <w:r>
              <w:rPr>
                <w:rFonts w:hint="eastAsia" w:ascii="宋体" w:hAnsi="宋体" w:cs="宋体"/>
                <w:color w:val="auto"/>
                <w:szCs w:val="21"/>
                <w:highlight w:val="none"/>
                <w:lang w:eastAsia="zh-CN"/>
              </w:rPr>
              <w:t>GLZC2025-C3-990656-GXDY</w:t>
            </w:r>
          </w:p>
        </w:tc>
      </w:tr>
      <w:tr w14:paraId="1FFA1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5DD226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8236" w:type="dxa"/>
            <w:vAlign w:val="center"/>
          </w:tcPr>
          <w:p w14:paraId="0FFCC417">
            <w:pPr>
              <w:spacing w:line="440" w:lineRule="exact"/>
              <w:rPr>
                <w:rFonts w:ascii="宋体" w:hAnsi="宋体" w:cs="宋体"/>
                <w:color w:val="auto"/>
                <w:szCs w:val="21"/>
                <w:highlight w:val="none"/>
              </w:rPr>
            </w:pPr>
            <w:r>
              <w:rPr>
                <w:rFonts w:hint="eastAsia" w:ascii="宋体" w:hAnsi="宋体" w:cs="宋体"/>
                <w:color w:val="auto"/>
                <w:szCs w:val="21"/>
                <w:highlight w:val="none"/>
              </w:rPr>
              <w:t>供应商资格要求：</w:t>
            </w:r>
          </w:p>
          <w:p w14:paraId="4FC9B3E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8B4E8B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2.落实政府采购政策需满足的资格要求：无；</w:t>
            </w:r>
          </w:p>
          <w:p w14:paraId="17C11F05">
            <w:pPr>
              <w:spacing w:line="440" w:lineRule="exact"/>
              <w:ind w:firstLine="420" w:firstLineChars="200"/>
              <w:rPr>
                <w:rFonts w:hint="eastAsia" w:ascii="宋体" w:hAnsi="宋体" w:eastAsia="宋体" w:cs="宋体"/>
                <w:iCs/>
                <w:color w:val="auto"/>
                <w:szCs w:val="21"/>
                <w:highlight w:val="none"/>
                <w:u w:val="single"/>
                <w:lang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供应商须具有有效的</w:t>
            </w:r>
            <w:r>
              <w:rPr>
                <w:rFonts w:hint="eastAsia" w:ascii="宋体" w:hAnsi="宋体" w:cs="宋体"/>
                <w:color w:val="auto"/>
                <w:szCs w:val="21"/>
                <w:highlight w:val="none"/>
              </w:rPr>
              <w:t>城乡规划</w:t>
            </w:r>
            <w:r>
              <w:rPr>
                <w:rFonts w:hint="eastAsia" w:ascii="宋体" w:hAnsi="宋体" w:cs="宋体"/>
                <w:color w:val="auto"/>
                <w:szCs w:val="21"/>
                <w:highlight w:val="none"/>
                <w:lang w:val="en-US" w:eastAsia="zh-CN"/>
              </w:rPr>
              <w:t>编制甲级或城乡规划（国土空间规划）编制甲级资质</w:t>
            </w:r>
            <w:r>
              <w:rPr>
                <w:rFonts w:hint="eastAsia" w:ascii="宋体" w:hAnsi="宋体" w:cs="宋体"/>
                <w:b w:val="0"/>
                <w:bCs w:val="0"/>
                <w:color w:val="auto"/>
                <w:szCs w:val="21"/>
                <w:highlight w:val="none"/>
                <w:lang w:val="en-US" w:eastAsia="zh-CN"/>
              </w:rPr>
              <w:t>；</w:t>
            </w:r>
          </w:p>
          <w:p w14:paraId="7E8759A4">
            <w:pPr>
              <w:pStyle w:val="22"/>
              <w:spacing w:line="440" w:lineRule="exact"/>
              <w:ind w:firstLine="420" w:firstLineChars="200"/>
              <w:rPr>
                <w:rFonts w:hAnsi="宋体" w:cs="宋体"/>
                <w:color w:val="auto"/>
                <w:sz w:val="21"/>
                <w:highlight w:val="none"/>
              </w:rPr>
            </w:pPr>
            <w:r>
              <w:rPr>
                <w:rFonts w:hint="eastAsia" w:hAnsi="宋体" w:cs="宋体"/>
                <w:color w:val="auto"/>
                <w:sz w:val="21"/>
                <w:highlight w:val="none"/>
              </w:rPr>
              <w:t>4.参加政府采购活动前三年内，在经营活动中没有重大违法记录和不良信用记录，被列入失信被执行人、</w:t>
            </w:r>
            <w:r>
              <w:rPr>
                <w:rFonts w:hint="eastAsia" w:hAnsi="宋体" w:cs="宋体"/>
                <w:color w:val="auto"/>
                <w:sz w:val="21"/>
                <w:highlight w:val="none"/>
                <w:lang w:eastAsia="zh-CN"/>
              </w:rPr>
              <w:t>重大税收违法失信主体</w:t>
            </w:r>
            <w:r>
              <w:rPr>
                <w:rFonts w:hint="eastAsia" w:hAnsi="宋体" w:cs="宋体"/>
                <w:color w:val="auto"/>
                <w:sz w:val="21"/>
                <w:highlight w:val="none"/>
              </w:rPr>
              <w:t>、政府采购严重违法失信行为记录名单及其他不符合《中华人民共和国政府采购法》第二十二条规定条件的供应商，将被拒绝其参与本次政府采购活动；</w:t>
            </w:r>
          </w:p>
          <w:p w14:paraId="5F1E5646">
            <w:pPr>
              <w:pStyle w:val="22"/>
              <w:spacing w:line="440" w:lineRule="exact"/>
              <w:ind w:firstLine="420" w:firstLineChars="200"/>
              <w:rPr>
                <w:rFonts w:hAnsi="宋体" w:cs="宋体"/>
                <w:color w:val="auto"/>
                <w:sz w:val="24"/>
                <w:szCs w:val="24"/>
                <w:highlight w:val="none"/>
              </w:rPr>
            </w:pPr>
            <w:r>
              <w:rPr>
                <w:rFonts w:hint="eastAsia" w:hAnsi="宋体" w:cs="宋体"/>
                <w:color w:val="auto"/>
                <w:sz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7C6F9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7" w:type="dxa"/>
            <w:vAlign w:val="center"/>
          </w:tcPr>
          <w:p w14:paraId="1EAFEA9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236" w:type="dxa"/>
            <w:vAlign w:val="center"/>
          </w:tcPr>
          <w:p w14:paraId="18BE60AD">
            <w:pPr>
              <w:pStyle w:val="22"/>
              <w:spacing w:line="440" w:lineRule="exact"/>
              <w:rPr>
                <w:rFonts w:hAnsi="宋体" w:cs="宋体"/>
                <w:color w:val="auto"/>
                <w:highlight w:val="none"/>
              </w:rPr>
            </w:pPr>
            <w:r>
              <w:rPr>
                <w:rFonts w:hint="eastAsia" w:hAnsi="宋体" w:cs="宋体"/>
                <w:color w:val="auto"/>
                <w:sz w:val="21"/>
                <w:highlight w:val="none"/>
                <w:lang w:eastAsia="zh-CN"/>
              </w:rPr>
              <w:t>☑</w:t>
            </w:r>
            <w:r>
              <w:rPr>
                <w:rFonts w:hint="eastAsia" w:hAnsi="宋体" w:cs="宋体"/>
                <w:color w:val="auto"/>
                <w:sz w:val="21"/>
                <w:highlight w:val="none"/>
              </w:rPr>
              <w:t xml:space="preserve">本项目不收取磋商保证金。 </w:t>
            </w:r>
          </w:p>
        </w:tc>
      </w:tr>
      <w:tr w14:paraId="5B4A8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817" w:type="dxa"/>
            <w:vAlign w:val="center"/>
          </w:tcPr>
          <w:p w14:paraId="1614C74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8236" w:type="dxa"/>
            <w:vAlign w:val="center"/>
          </w:tcPr>
          <w:p w14:paraId="3ED6075E">
            <w:pPr>
              <w:spacing w:line="440" w:lineRule="exact"/>
              <w:rPr>
                <w:rFonts w:ascii="宋体" w:hAnsi="宋体" w:cs="宋体"/>
                <w:color w:val="auto"/>
                <w:szCs w:val="21"/>
                <w:highlight w:val="none"/>
              </w:rPr>
            </w:pPr>
            <w:r>
              <w:rPr>
                <w:rFonts w:hint="eastAsia" w:ascii="宋体" w:hAnsi="宋体" w:cs="宋体"/>
                <w:color w:val="auto"/>
                <w:szCs w:val="21"/>
                <w:highlight w:val="none"/>
              </w:rPr>
              <w:t>现场考察或答疑会：</w:t>
            </w:r>
          </w:p>
          <w:p w14:paraId="67870193">
            <w:pPr>
              <w:spacing w:line="440" w:lineRule="exact"/>
              <w:rPr>
                <w:rFonts w:ascii="宋体" w:hAnsi="宋体" w:cs="宋体"/>
                <w:color w:val="auto"/>
                <w:szCs w:val="21"/>
                <w:highlight w:val="none"/>
              </w:rPr>
            </w:pPr>
            <w:r>
              <w:rPr>
                <w:rFonts w:hint="eastAsia" w:ascii="宋体" w:hAnsi="宋体" w:cs="宋体"/>
                <w:color w:val="auto"/>
                <w:szCs w:val="21"/>
                <w:highlight w:val="none"/>
              </w:rPr>
              <w:t>□组织。集中考察时间：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，集中考察地点：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2EAA9E56">
            <w:pPr>
              <w:spacing w:line="440" w:lineRule="exact"/>
              <w:rPr>
                <w:rFonts w:ascii="宋体" w:hAnsi="宋体" w:cs="宋体"/>
                <w:color w:val="auto"/>
                <w:szCs w:val="21"/>
                <w:highlight w:val="none"/>
              </w:rPr>
            </w:pPr>
            <w:r>
              <w:rPr>
                <w:rFonts w:hint="eastAsia" w:hAnsi="宋体" w:cs="宋体"/>
                <w:color w:val="auto"/>
                <w:sz w:val="21"/>
                <w:highlight w:val="none"/>
                <w:lang w:eastAsia="zh-CN"/>
              </w:rPr>
              <w:t>☑</w:t>
            </w:r>
            <w:r>
              <w:rPr>
                <w:rFonts w:hint="eastAsia" w:ascii="宋体" w:hAnsi="宋体" w:cs="宋体"/>
                <w:color w:val="auto"/>
                <w:szCs w:val="21"/>
                <w:highlight w:val="none"/>
              </w:rPr>
              <w:t>不组织。供应商自行考察现场。</w:t>
            </w:r>
          </w:p>
        </w:tc>
      </w:tr>
      <w:tr w14:paraId="167C5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817" w:type="dxa"/>
            <w:vAlign w:val="center"/>
          </w:tcPr>
          <w:p w14:paraId="4364875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8236" w:type="dxa"/>
            <w:vAlign w:val="center"/>
          </w:tcPr>
          <w:p w14:paraId="22235B6A">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是否需要演示：</w:t>
            </w:r>
          </w:p>
          <w:p w14:paraId="4B586C9E">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不需演示。</w:t>
            </w:r>
          </w:p>
          <w:p w14:paraId="26D0C824">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需要演示</w:t>
            </w:r>
          </w:p>
          <w:p w14:paraId="225EAF35">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演示时间：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，地点：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tc>
      </w:tr>
      <w:tr w14:paraId="6D544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17" w:type="dxa"/>
            <w:vAlign w:val="center"/>
          </w:tcPr>
          <w:p w14:paraId="1E13E2B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8236" w:type="dxa"/>
            <w:vAlign w:val="center"/>
          </w:tcPr>
          <w:p w14:paraId="6FB2C742">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联合体竞标：</w:t>
            </w:r>
          </w:p>
          <w:p w14:paraId="4921339A">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接受联合体竞标。</w:t>
            </w:r>
          </w:p>
          <w:p w14:paraId="63DCAA99">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不接受联合体竞标</w:t>
            </w:r>
          </w:p>
        </w:tc>
      </w:tr>
      <w:tr w14:paraId="63E10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17" w:type="dxa"/>
            <w:vAlign w:val="center"/>
          </w:tcPr>
          <w:p w14:paraId="271D5F3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8236" w:type="dxa"/>
            <w:vAlign w:val="center"/>
          </w:tcPr>
          <w:p w14:paraId="1BF5BF60">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是否允许分包：</w:t>
            </w:r>
          </w:p>
          <w:p w14:paraId="0008A433">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☑不允许分包</w:t>
            </w:r>
          </w:p>
          <w:p w14:paraId="11C0BB0D">
            <w:pP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□允许分包</w:t>
            </w:r>
          </w:p>
          <w:p w14:paraId="33FE53F6">
            <w:pPr>
              <w:snapToGrid w:val="0"/>
              <w:spacing w:line="440" w:lineRule="exact"/>
              <w:rPr>
                <w:rFonts w:ascii="宋体" w:hAnsi="宋体" w:cs="宋体"/>
                <w:color w:val="auto"/>
                <w:szCs w:val="21"/>
                <w:highlight w:val="none"/>
              </w:rPr>
            </w:pPr>
            <w:r>
              <w:rPr>
                <w:rFonts w:hint="eastAsia" w:ascii="宋体" w:hAnsi="宋体" w:cs="宋体"/>
                <w:color w:val="auto"/>
                <w:kern w:val="0"/>
                <w:szCs w:val="21"/>
                <w:highlight w:val="none"/>
              </w:rPr>
              <w:t>分包内容：</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p>
        </w:tc>
      </w:tr>
      <w:tr w14:paraId="4E81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17" w:type="dxa"/>
            <w:vAlign w:val="center"/>
          </w:tcPr>
          <w:p w14:paraId="039824D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8236" w:type="dxa"/>
            <w:vAlign w:val="center"/>
          </w:tcPr>
          <w:p w14:paraId="5706B427">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响应文件组成：资格文件、商务和技术文件、报价文件。</w:t>
            </w:r>
          </w:p>
        </w:tc>
      </w:tr>
      <w:tr w14:paraId="61B6B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5202CB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8236" w:type="dxa"/>
            <w:vAlign w:val="center"/>
          </w:tcPr>
          <w:p w14:paraId="63347B8B">
            <w:pPr>
              <w:spacing w:line="440" w:lineRule="exact"/>
              <w:rPr>
                <w:rFonts w:ascii="宋体" w:hAnsi="宋体" w:cs="宋体"/>
                <w:color w:val="auto"/>
                <w:szCs w:val="21"/>
                <w:highlight w:val="none"/>
              </w:rPr>
            </w:pPr>
            <w:r>
              <w:rPr>
                <w:rFonts w:hint="eastAsia" w:ascii="宋体" w:hAnsi="宋体" w:cs="宋体"/>
                <w:color w:val="auto"/>
                <w:szCs w:val="21"/>
                <w:highlight w:val="none"/>
              </w:rPr>
              <w:t>最高限价：详见竞争性磋商公告。</w:t>
            </w:r>
          </w:p>
        </w:tc>
      </w:tr>
      <w:tr w14:paraId="0B285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8F1212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8236" w:type="dxa"/>
            <w:vAlign w:val="center"/>
          </w:tcPr>
          <w:p w14:paraId="0DE60A56">
            <w:pPr>
              <w:spacing w:line="440" w:lineRule="exact"/>
              <w:rPr>
                <w:rFonts w:ascii="宋体" w:hAnsi="宋体" w:cs="宋体"/>
                <w:color w:val="auto"/>
                <w:highlight w:val="none"/>
              </w:rPr>
            </w:pPr>
            <w:r>
              <w:rPr>
                <w:rFonts w:hint="eastAsia" w:ascii="宋体" w:hAnsi="宋体" w:cs="宋体"/>
                <w:color w:val="auto"/>
                <w:highlight w:val="none"/>
              </w:rPr>
              <w:t>竞标</w:t>
            </w:r>
            <w:r>
              <w:rPr>
                <w:rFonts w:hint="eastAsia" w:ascii="宋体" w:hAnsi="宋体" w:cs="宋体"/>
                <w:color w:val="auto"/>
                <w:szCs w:val="21"/>
                <w:highlight w:val="none"/>
              </w:rPr>
              <w:t>报价及费用：1、本项目竞标应以人民币报价；2、不论竞标结果如何，供应商均应自行承担所有与竞标有关的全部费用；3、代理服务费按</w:t>
            </w:r>
            <w:r>
              <w:rPr>
                <w:rFonts w:hint="eastAsia" w:ascii="宋体" w:hAnsi="宋体" w:cs="宋体"/>
                <w:color w:val="auto"/>
                <w:highlight w:val="none"/>
              </w:rPr>
              <w:t>以中标金额为计费额，按本须知正文第37.2条规定的标准（□货物招标/☑服务招标/□工程招标）采用差额定率累进法计算出收费基准价格，采购代理收费以（☑收费基准价格/□收费基准价格下浮</w:t>
            </w:r>
            <w:r>
              <w:rPr>
                <w:rFonts w:hint="eastAsia" w:ascii="宋体" w:hAnsi="宋体" w:cs="宋体"/>
                <w:color w:val="auto"/>
                <w:highlight w:val="none"/>
                <w:u w:val="single"/>
              </w:rPr>
              <w:t xml:space="preserve">  </w:t>
            </w:r>
            <w:r>
              <w:rPr>
                <w:rFonts w:hint="eastAsia" w:ascii="宋体" w:hAnsi="宋体" w:cs="宋体"/>
                <w:color w:val="auto"/>
                <w:highlight w:val="none"/>
              </w:rPr>
              <w:t>/□收费基准价格上浮</w:t>
            </w:r>
            <w:r>
              <w:rPr>
                <w:rFonts w:hint="eastAsia" w:ascii="宋体" w:hAnsi="宋体" w:cs="宋体"/>
                <w:color w:val="auto"/>
                <w:highlight w:val="none"/>
                <w:u w:val="single"/>
              </w:rPr>
              <w:t>%</w:t>
            </w:r>
            <w:r>
              <w:rPr>
                <w:rFonts w:hint="eastAsia" w:ascii="宋体" w:hAnsi="宋体" w:cs="宋体"/>
                <w:color w:val="auto"/>
                <w:highlight w:val="none"/>
              </w:rPr>
              <w:t>）收取。</w:t>
            </w:r>
          </w:p>
        </w:tc>
      </w:tr>
      <w:tr w14:paraId="760FF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4DA38F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8236" w:type="dxa"/>
            <w:vAlign w:val="center"/>
          </w:tcPr>
          <w:p w14:paraId="71128C90">
            <w:pPr>
              <w:spacing w:line="440" w:lineRule="exact"/>
              <w:rPr>
                <w:rFonts w:ascii="宋体" w:hAnsi="宋体" w:cs="宋体"/>
                <w:color w:val="auto"/>
                <w:szCs w:val="21"/>
                <w:highlight w:val="none"/>
              </w:rPr>
            </w:pPr>
            <w:r>
              <w:rPr>
                <w:rFonts w:hint="eastAsia" w:ascii="宋体" w:hAnsi="宋体" w:cs="宋体"/>
                <w:color w:val="auto"/>
                <w:szCs w:val="21"/>
                <w:highlight w:val="none"/>
              </w:rPr>
              <w:t>提交响应文件截止时间：</w:t>
            </w:r>
            <w:r>
              <w:rPr>
                <w:rFonts w:hint="eastAsia" w:ascii="宋体" w:hAnsi="宋体" w:cs="宋体"/>
                <w:color w:val="auto"/>
                <w:szCs w:val="21"/>
                <w:highlight w:val="none"/>
                <w:lang w:eastAsia="zh-CN"/>
              </w:rPr>
              <w:t>2025年12月15日</w:t>
            </w:r>
            <w:r>
              <w:rPr>
                <w:rFonts w:hint="eastAsia" w:ascii="宋体" w:hAnsi="宋体" w:cs="宋体"/>
                <w:color w:val="auto"/>
                <w:szCs w:val="21"/>
                <w:highlight w:val="none"/>
              </w:rPr>
              <w:t>09:30（北京时间）</w:t>
            </w:r>
          </w:p>
          <w:p w14:paraId="09AF340D">
            <w:pPr>
              <w:spacing w:line="440" w:lineRule="exact"/>
              <w:rPr>
                <w:rFonts w:ascii="宋体" w:hAnsi="宋体" w:cs="宋体"/>
                <w:color w:val="auto"/>
                <w:szCs w:val="21"/>
                <w:highlight w:val="none"/>
              </w:rPr>
            </w:pPr>
            <w:r>
              <w:rPr>
                <w:rFonts w:hint="eastAsia" w:ascii="宋体" w:hAnsi="宋体" w:cs="宋体"/>
                <w:color w:val="auto"/>
                <w:szCs w:val="21"/>
                <w:highlight w:val="none"/>
              </w:rPr>
              <w:t>投标地点（网址）：请登录广西政府采购云平台投标客户端投标</w:t>
            </w:r>
          </w:p>
          <w:p w14:paraId="52A33255">
            <w:pPr>
              <w:spacing w:line="440" w:lineRule="exact"/>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2025年12月15日</w:t>
            </w:r>
            <w:r>
              <w:rPr>
                <w:rFonts w:hint="eastAsia" w:ascii="宋体" w:hAnsi="宋体" w:cs="宋体"/>
                <w:color w:val="auto"/>
                <w:szCs w:val="21"/>
                <w:highlight w:val="none"/>
              </w:rPr>
              <w:t>09:30</w:t>
            </w:r>
          </w:p>
          <w:p w14:paraId="465E02B4">
            <w:pPr>
              <w:spacing w:line="440" w:lineRule="exact"/>
              <w:rPr>
                <w:rFonts w:ascii="宋体" w:hAnsi="宋体" w:cs="宋体"/>
                <w:color w:val="auto"/>
                <w:szCs w:val="21"/>
                <w:highlight w:val="none"/>
              </w:rPr>
            </w:pPr>
            <w:r>
              <w:rPr>
                <w:rFonts w:hint="eastAsia" w:ascii="宋体" w:hAnsi="宋体" w:cs="宋体"/>
                <w:color w:val="auto"/>
                <w:szCs w:val="21"/>
                <w:highlight w:val="none"/>
              </w:rPr>
              <w:t>开标地点：本次招标在广西政府采购云平台开标大厅电子开标大厅开标。</w:t>
            </w:r>
          </w:p>
          <w:p w14:paraId="0F347298">
            <w:pPr>
              <w:spacing w:line="440" w:lineRule="exact"/>
              <w:rPr>
                <w:rFonts w:ascii="宋体" w:hAnsi="宋体" w:cs="宋体"/>
                <w:color w:val="auto"/>
                <w:szCs w:val="21"/>
                <w:highlight w:val="none"/>
              </w:rPr>
            </w:pPr>
            <w:r>
              <w:rPr>
                <w:rFonts w:hint="eastAsia" w:ascii="宋体" w:hAnsi="宋体" w:cs="宋体"/>
                <w:color w:val="auto"/>
                <w:szCs w:val="21"/>
                <w:highlight w:val="none"/>
              </w:rPr>
              <w:t>CA证书在线解密：供应商投标时，需携带制作响应文件时用来加密的有效数字证书（CA认证）登录广西政府采购云平台电子开标大厅现场按规定时间对加密的响应文件进行解密，否则后果自负。</w:t>
            </w:r>
          </w:p>
          <w:p w14:paraId="7812D89D">
            <w:pPr>
              <w:spacing w:line="440" w:lineRule="exact"/>
              <w:rPr>
                <w:rFonts w:ascii="宋体" w:hAnsi="宋体" w:cs="宋体"/>
                <w:color w:val="auto"/>
                <w:szCs w:val="21"/>
                <w:highlight w:val="none"/>
              </w:rPr>
            </w:pPr>
            <w:r>
              <w:rPr>
                <w:rFonts w:hint="eastAsia" w:ascii="宋体" w:hAnsi="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14:paraId="77910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032B17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8236" w:type="dxa"/>
            <w:vAlign w:val="center"/>
          </w:tcPr>
          <w:p w14:paraId="6B666E65">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首次响应文件开启时间</w:t>
            </w:r>
          </w:p>
          <w:p w14:paraId="495F3022">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2025年12月15日</w:t>
            </w:r>
            <w:r>
              <w:rPr>
                <w:rFonts w:hint="eastAsia" w:ascii="宋体" w:hAnsi="宋体" w:cs="宋体"/>
                <w:color w:val="auto"/>
                <w:szCs w:val="21"/>
                <w:highlight w:val="none"/>
              </w:rPr>
              <w:t>09:30（北京时间）开标后</w:t>
            </w:r>
          </w:p>
          <w:p w14:paraId="448A590C">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p w14:paraId="7CA28E36">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磋商时间及地点：</w:t>
            </w:r>
          </w:p>
          <w:p w14:paraId="5E82B4E6">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2025年12月15日</w:t>
            </w:r>
            <w:r>
              <w:rPr>
                <w:rFonts w:hint="eastAsia" w:ascii="宋体" w:hAnsi="宋体" w:cs="宋体"/>
                <w:color w:val="auto"/>
                <w:szCs w:val="21"/>
                <w:highlight w:val="none"/>
              </w:rPr>
              <w:t>09:30截标后为与供应商磋商时间，具体时间由采购代理机构另行通知。</w:t>
            </w:r>
          </w:p>
          <w:p w14:paraId="6CD1F1AD">
            <w:pPr>
              <w:spacing w:line="440" w:lineRule="exact"/>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tc>
      </w:tr>
      <w:tr w14:paraId="69BCC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69A8C0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8236" w:type="dxa"/>
            <w:vAlign w:val="center"/>
          </w:tcPr>
          <w:p w14:paraId="7BCE0D7E">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磋商的顺序：</w:t>
            </w:r>
          </w:p>
          <w:p w14:paraId="1EA1FF4A">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□按照提交首次响应文件的顺序</w:t>
            </w:r>
          </w:p>
          <w:p w14:paraId="5827FACC">
            <w:pPr>
              <w:autoSpaceDE w:val="0"/>
              <w:autoSpaceDN w:val="0"/>
              <w:adjustRightInd w:val="0"/>
              <w:spacing w:line="440" w:lineRule="exact"/>
              <w:jc w:val="left"/>
              <w:rPr>
                <w:rFonts w:ascii="宋体" w:hAnsi="宋体" w:cs="宋体"/>
                <w:color w:val="auto"/>
                <w:szCs w:val="21"/>
                <w:highlight w:val="none"/>
              </w:rPr>
            </w:pPr>
            <w:r>
              <w:rPr>
                <w:rFonts w:hint="eastAsia" w:ascii="宋体" w:hAnsi="宋体" w:cs="宋体"/>
                <w:color w:val="auto"/>
                <w:kern w:val="0"/>
                <w:szCs w:val="21"/>
                <w:highlight w:val="none"/>
              </w:rPr>
              <w:t>☑随机排序</w:t>
            </w:r>
          </w:p>
        </w:tc>
      </w:tr>
      <w:tr w14:paraId="134C4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26C84B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8236" w:type="dxa"/>
            <w:vAlign w:val="center"/>
          </w:tcPr>
          <w:p w14:paraId="32BC4350">
            <w:pPr>
              <w:widowControl/>
              <w:spacing w:line="440" w:lineRule="exact"/>
              <w:jc w:val="left"/>
              <w:rPr>
                <w:rFonts w:ascii="宋体" w:hAnsi="宋体" w:cs="宋体"/>
                <w:color w:val="auto"/>
                <w:kern w:val="0"/>
                <w:sz w:val="24"/>
                <w:highlight w:val="none"/>
              </w:rPr>
            </w:pPr>
            <w:r>
              <w:rPr>
                <w:rFonts w:hint="eastAsia" w:ascii="宋体" w:hAnsi="宋体" w:cs="宋体"/>
                <w:color w:val="auto"/>
                <w:szCs w:val="21"/>
                <w:highlight w:val="none"/>
              </w:rPr>
              <w:t>评标办法及评分标准：综合评分法</w:t>
            </w:r>
          </w:p>
        </w:tc>
      </w:tr>
      <w:tr w14:paraId="0AE02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817" w:type="dxa"/>
            <w:vAlign w:val="center"/>
          </w:tcPr>
          <w:p w14:paraId="7879DB6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8236" w:type="dxa"/>
            <w:vAlign w:val="center"/>
          </w:tcPr>
          <w:p w14:paraId="3507AEDA">
            <w:pPr>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发布媒体：</w:t>
            </w:r>
            <w:r>
              <w:rPr>
                <w:rFonts w:hint="eastAsia" w:ascii="宋体" w:hAnsi="宋体" w:cs="宋体"/>
                <w:color w:val="auto"/>
                <w:szCs w:val="21"/>
                <w:highlight w:val="none"/>
                <w:lang w:eastAsia="zh-CN"/>
              </w:rPr>
              <w:t>http://www.ccgp.gov.cn（中国政府采购网）、 http://zfcg.gxzf.gov.cn（广西壮族自治区政府采购网）、http://zfcg.czj.guilin.gov.cn/（桂林市政府采购网）</w:t>
            </w:r>
          </w:p>
        </w:tc>
      </w:tr>
      <w:tr w14:paraId="26D33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17" w:type="dxa"/>
            <w:vAlign w:val="center"/>
          </w:tcPr>
          <w:p w14:paraId="64B157C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8236" w:type="dxa"/>
            <w:vAlign w:val="center"/>
          </w:tcPr>
          <w:p w14:paraId="6CFFD494">
            <w:pPr>
              <w:snapToGrid w:val="0"/>
              <w:spacing w:before="120" w:beforeLines="50" w:line="440" w:lineRule="exact"/>
              <w:rPr>
                <w:rFonts w:ascii="宋体" w:hAnsi="宋体" w:cs="宋体"/>
                <w:color w:val="auto"/>
                <w:sz w:val="24"/>
                <w:highlight w:val="none"/>
              </w:rPr>
            </w:pPr>
            <w:r>
              <w:rPr>
                <w:rFonts w:hint="eastAsia" w:ascii="宋体" w:hAnsi="宋体" w:cs="宋体"/>
                <w:color w:val="auto"/>
                <w:szCs w:val="21"/>
                <w:highlight w:val="none"/>
              </w:rPr>
              <w:t>成交公告及成交通知书：成交</w:t>
            </w:r>
            <w:r>
              <w:rPr>
                <w:rFonts w:hint="eastAsia" w:ascii="宋体" w:hAnsi="宋体" w:cs="宋体"/>
                <w:color w:val="auto"/>
                <w:highlight w:val="none"/>
              </w:rPr>
              <w:t>供应商确定后，采购代理机构或采购人须在“信用中国”网站（www.creditchina.gov.cn）和中国政府采购网（http://www.ccgp.gov.cn/）查询中标供应商主体信用记录，如其未被列入失信被执行人、</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、政府采购严重违法失信行为记录名单，则采购代理机构在中国政府采购网、广西政府采购网发布中标公告同时向中标供应商发出中标通知书；如其被列入失信被执行人、</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0960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6168FCD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8236" w:type="dxa"/>
            <w:vAlign w:val="center"/>
          </w:tcPr>
          <w:p w14:paraId="6FE65A69">
            <w:pPr>
              <w:snapToGrid w:val="0"/>
              <w:spacing w:line="440" w:lineRule="exact"/>
              <w:rPr>
                <w:rFonts w:ascii="宋体" w:hAnsi="宋体" w:cs="宋体"/>
                <w:color w:val="auto"/>
                <w:highlight w:val="none"/>
              </w:rPr>
            </w:pPr>
            <w:r>
              <w:rPr>
                <w:rFonts w:hint="eastAsia" w:ascii="宋体" w:hAnsi="宋体" w:cs="宋体"/>
                <w:color w:val="auto"/>
                <w:szCs w:val="21"/>
                <w:highlight w:val="none"/>
              </w:rPr>
              <w:t>签订合同时间：成交通知书发出之日起二十五日内。</w:t>
            </w:r>
          </w:p>
        </w:tc>
      </w:tr>
      <w:tr w14:paraId="6FA20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676F6BF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8236" w:type="dxa"/>
            <w:vAlign w:val="center"/>
          </w:tcPr>
          <w:p w14:paraId="3649482E">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szCs w:val="21"/>
                <w:highlight w:val="none"/>
              </w:rPr>
              <w:t>履约保证金：</w:t>
            </w:r>
            <w:r>
              <w:rPr>
                <w:rFonts w:hint="eastAsia" w:ascii="宋体" w:hAnsi="宋体" w:cs="宋体"/>
                <w:b/>
                <w:color w:val="auto"/>
                <w:szCs w:val="21"/>
                <w:highlight w:val="none"/>
              </w:rPr>
              <w:t>无。</w:t>
            </w:r>
          </w:p>
        </w:tc>
      </w:tr>
      <w:tr w14:paraId="2E639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3ACB2CC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8236" w:type="dxa"/>
            <w:vAlign w:val="center"/>
          </w:tcPr>
          <w:p w14:paraId="612A5A4F">
            <w:pPr>
              <w:snapToGrid w:val="0"/>
              <w:spacing w:line="440" w:lineRule="exact"/>
              <w:rPr>
                <w:rFonts w:ascii="宋体" w:hAnsi="宋体" w:cs="宋体"/>
                <w:color w:val="auto"/>
                <w:szCs w:val="21"/>
                <w:highlight w:val="none"/>
              </w:rPr>
            </w:pPr>
            <w:r>
              <w:rPr>
                <w:rFonts w:hint="eastAsia" w:ascii="宋体" w:hAnsi="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14:paraId="0E92C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619A9AE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8236" w:type="dxa"/>
            <w:vAlign w:val="center"/>
          </w:tcPr>
          <w:p w14:paraId="04B333B5">
            <w:pPr>
              <w:snapToGrid w:val="0"/>
              <w:spacing w:line="440" w:lineRule="exact"/>
              <w:rPr>
                <w:rFonts w:ascii="宋体" w:hAnsi="宋体" w:cs="宋体"/>
                <w:color w:val="auto"/>
                <w:highlight w:val="none"/>
              </w:rPr>
            </w:pPr>
            <w:r>
              <w:rPr>
                <w:rFonts w:hint="eastAsia" w:ascii="宋体" w:hAnsi="宋体" w:cs="宋体"/>
                <w:color w:val="auto"/>
                <w:szCs w:val="21"/>
                <w:highlight w:val="none"/>
              </w:rPr>
              <w:t>响应文件有效期：提交首次响应文件截止之日起60天内。</w:t>
            </w:r>
          </w:p>
        </w:tc>
      </w:tr>
      <w:tr w14:paraId="36DB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2308942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8236" w:type="dxa"/>
            <w:vAlign w:val="center"/>
          </w:tcPr>
          <w:p w14:paraId="60FA3606">
            <w:pPr>
              <w:autoSpaceDE w:val="0"/>
              <w:autoSpaceDN w:val="0"/>
              <w:snapToGrid w:val="0"/>
              <w:spacing w:line="440" w:lineRule="exact"/>
              <w:textAlignment w:val="bottom"/>
              <w:rPr>
                <w:rFonts w:ascii="宋体" w:hAnsi="宋体" w:cs="宋体"/>
                <w:color w:val="auto"/>
                <w:szCs w:val="21"/>
                <w:highlight w:val="none"/>
              </w:rPr>
            </w:pPr>
            <w:r>
              <w:rPr>
                <w:rFonts w:hint="eastAsia" w:ascii="宋体" w:hAnsi="宋体" w:cs="宋体"/>
                <w:color w:val="auto"/>
                <w:szCs w:val="21"/>
                <w:highlight w:val="none"/>
              </w:rPr>
              <w:t>采购资金来源：</w:t>
            </w:r>
            <w:r>
              <w:rPr>
                <w:rFonts w:hint="eastAsia" w:ascii="宋体" w:hAnsi="宋体" w:cs="宋体"/>
                <w:b/>
                <w:color w:val="auto"/>
                <w:highlight w:val="none"/>
              </w:rPr>
              <w:t>√</w:t>
            </w:r>
            <w:r>
              <w:rPr>
                <w:rFonts w:hint="eastAsia" w:ascii="宋体" w:hAnsi="宋体" w:cs="宋体"/>
                <w:color w:val="auto"/>
                <w:highlight w:val="none"/>
              </w:rPr>
              <w:t>预算资金、预算外资金、其他资金</w:t>
            </w:r>
          </w:p>
        </w:tc>
      </w:tr>
      <w:tr w14:paraId="375C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387C645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8236" w:type="dxa"/>
            <w:vAlign w:val="center"/>
          </w:tcPr>
          <w:p w14:paraId="401CD7E4">
            <w:pPr>
              <w:autoSpaceDE w:val="0"/>
              <w:autoSpaceDN w:val="0"/>
              <w:snapToGrid w:val="0"/>
              <w:spacing w:line="440" w:lineRule="exact"/>
              <w:textAlignment w:val="bottom"/>
              <w:rPr>
                <w:rFonts w:ascii="宋体" w:hAnsi="宋体" w:cs="宋体"/>
                <w:color w:val="auto"/>
                <w:szCs w:val="21"/>
                <w:highlight w:val="none"/>
              </w:rPr>
            </w:pPr>
            <w:r>
              <w:rPr>
                <w:rFonts w:hint="eastAsia" w:ascii="宋体" w:hAnsi="宋体" w:cs="宋体"/>
                <w:color w:val="auto"/>
                <w:szCs w:val="21"/>
                <w:highlight w:val="none"/>
              </w:rPr>
              <w:t>付款方式：</w:t>
            </w:r>
            <w:r>
              <w:rPr>
                <w:rFonts w:hint="eastAsia" w:ascii="宋体" w:hAnsi="宋体" w:cs="宋体"/>
                <w:color w:val="auto"/>
                <w:highlight w:val="none"/>
              </w:rPr>
              <w:t>国库集中支付或采购专户支付</w:t>
            </w:r>
            <w:r>
              <w:rPr>
                <w:rFonts w:hint="eastAsia" w:ascii="宋体" w:hAnsi="宋体" w:cs="宋体"/>
                <w:color w:val="auto"/>
                <w:highlight w:val="none"/>
                <w:lang w:val="en-US" w:eastAsia="zh-CN"/>
              </w:rPr>
              <w:t>或</w:t>
            </w:r>
            <w:r>
              <w:rPr>
                <w:rFonts w:hint="eastAsia" w:ascii="宋体" w:hAnsi="宋体" w:cs="宋体"/>
                <w:color w:val="auto"/>
                <w:highlight w:val="none"/>
              </w:rPr>
              <w:t>采购人自行支付</w:t>
            </w:r>
          </w:p>
        </w:tc>
      </w:tr>
      <w:tr w14:paraId="2AD98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351FAD5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8236" w:type="dxa"/>
            <w:vAlign w:val="center"/>
          </w:tcPr>
          <w:p w14:paraId="711860D5">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解释：本招标文件的解释权属于采购单位。</w:t>
            </w:r>
          </w:p>
        </w:tc>
      </w:tr>
      <w:tr w14:paraId="79609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4FAE79D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8236" w:type="dxa"/>
            <w:vAlign w:val="center"/>
          </w:tcPr>
          <w:p w14:paraId="236A97FE">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1、参与电子投标的准备工作：</w:t>
            </w:r>
          </w:p>
          <w:p w14:paraId="1A0B5BA8">
            <w:pPr>
              <w:wordWrap w:val="0"/>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64741726">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p>
          <w:p w14:paraId="3FA9BE5D">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1920D308">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AD11AEB">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（4）供应商需要在具备有摄像头及语音功能且互联网网络状况良好的电脑登录“广西政府采购云平台”远程开标大厅参与本次磋商，否则后果自负。</w:t>
            </w:r>
          </w:p>
        </w:tc>
      </w:tr>
      <w:tr w14:paraId="0B906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5D46B22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8236" w:type="dxa"/>
            <w:vAlign w:val="center"/>
          </w:tcPr>
          <w:p w14:paraId="3C32E723">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电子响应文件的制作、加密：</w:t>
            </w:r>
          </w:p>
          <w:p w14:paraId="0E1E13D0">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1、供应商制作电子响应文件前，应登陆广西政府采购云平台进行“申请获取采购文件”操作，否则，有可能导致无法在线编制响应文件并参与竞标，其不利后果由供应商自行承担。</w:t>
            </w:r>
          </w:p>
          <w:p w14:paraId="5C6A1323">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2、供应商下载或获取招标文件后，登录“广西政府采购云平台电子投标客户端”，按照本招标文件规定的响应文件格式、顺序以及“广西政府采购云平台”的要求，通过“广西政府采购云平台电子投标客户端”编制电子响应文件。</w:t>
            </w:r>
          </w:p>
          <w:p w14:paraId="78139BB8">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14:paraId="7749770E">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PDF的格式上传。因响应文件字迹潦草、表达不清、内容不完整、编排混乱导致响应文件被误读、漏读，或者在按招标文件规定的部位查找不到相关内容的，其不利后果由供应商自行承担。</w:t>
            </w:r>
          </w:p>
          <w:p w14:paraId="1A18CE59">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5、供应商编制、生成电子响应文件后应当加密响应文件。供应商未按规定编制并加密的响应文件，广西政府采购云平台将予以拒收。</w:t>
            </w:r>
          </w:p>
        </w:tc>
      </w:tr>
      <w:tr w14:paraId="75BE2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218618F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26</w:t>
            </w:r>
          </w:p>
        </w:tc>
        <w:tc>
          <w:tcPr>
            <w:tcW w:w="8236" w:type="dxa"/>
            <w:vAlign w:val="center"/>
          </w:tcPr>
          <w:p w14:paraId="2E5502E6">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供应商公章及签字：</w:t>
            </w:r>
          </w:p>
          <w:p w14:paraId="073C6A27">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1、本招标文件中描述供应商的“公章”是指供应商通过指定电子化政府采购平台办理数字证书（CA认证证书）获得的以法定主体行为名称制作的电子印章。</w:t>
            </w:r>
          </w:p>
          <w:p w14:paraId="237A4CAA">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2、本招标文件中要求供应商对其电子响应文件的相关内容加盖公章的，均指采用CA证书签章。</w:t>
            </w:r>
          </w:p>
          <w:p w14:paraId="05324061">
            <w:pPr>
              <w:pStyle w:val="208"/>
              <w:autoSpaceDE w:val="0"/>
              <w:autoSpaceDN w:val="0"/>
              <w:spacing w:line="440" w:lineRule="exact"/>
              <w:textAlignment w:val="bottom"/>
              <w:rPr>
                <w:rFonts w:ascii="宋体" w:hAnsi="宋体" w:cs="宋体"/>
                <w:color w:val="auto"/>
                <w:highlight w:val="none"/>
              </w:rPr>
            </w:pPr>
            <w:r>
              <w:rPr>
                <w:rFonts w:hint="eastAsia" w:ascii="宋体" w:hAnsi="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088F6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4374776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27</w:t>
            </w:r>
          </w:p>
        </w:tc>
        <w:tc>
          <w:tcPr>
            <w:tcW w:w="8236" w:type="dxa"/>
            <w:vAlign w:val="center"/>
          </w:tcPr>
          <w:p w14:paraId="7D5F36E3">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响应文件的解密：</w:t>
            </w:r>
          </w:p>
          <w:p w14:paraId="471A3118">
            <w:pPr>
              <w:autoSpaceDE w:val="0"/>
              <w:autoSpaceDN w:val="0"/>
              <w:snapToGrid w:val="0"/>
              <w:spacing w:line="440" w:lineRule="exact"/>
              <w:textAlignment w:val="bottom"/>
              <w:rPr>
                <w:rFonts w:ascii="宋体" w:hAnsi="宋体" w:cs="宋体"/>
                <w:color w:val="auto"/>
                <w:highlight w:val="none"/>
              </w:rPr>
            </w:pPr>
            <w:r>
              <w:rPr>
                <w:rFonts w:hint="eastAsia" w:ascii="宋体" w:hAnsi="宋体" w:cs="宋体"/>
                <w:color w:val="auto"/>
                <w:highlight w:val="none"/>
              </w:rPr>
              <w:t>采购代理机构将在“招标公告”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w:t>
            </w:r>
            <w:r>
              <w:rPr>
                <w:rFonts w:hint="eastAsia" w:ascii="宋体" w:hAnsi="宋体" w:cs="宋体"/>
                <w:bCs/>
                <w:color w:val="auto"/>
                <w:highlight w:val="none"/>
              </w:rPr>
              <w:t>详见本章30.电子交易活动的中止</w:t>
            </w:r>
            <w:r>
              <w:rPr>
                <w:rFonts w:hint="eastAsia" w:ascii="宋体" w:hAnsi="宋体" w:cs="宋体"/>
                <w:color w:val="auto"/>
                <w:highlight w:val="none"/>
              </w:rPr>
              <w:t>。)</w:t>
            </w:r>
          </w:p>
        </w:tc>
      </w:tr>
      <w:tr w14:paraId="04DD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560989C1">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p>
        </w:tc>
        <w:tc>
          <w:tcPr>
            <w:tcW w:w="8236" w:type="dxa"/>
            <w:vAlign w:val="center"/>
          </w:tcPr>
          <w:p w14:paraId="05046357">
            <w:pPr>
              <w:autoSpaceDE w:val="0"/>
              <w:autoSpaceDN w:val="0"/>
              <w:snapToGrid w:val="0"/>
              <w:spacing w:line="440" w:lineRule="exact"/>
              <w:textAlignment w:val="bottom"/>
              <w:rPr>
                <w:rFonts w:hint="eastAsia" w:ascii="宋体" w:hAnsi="宋体" w:cs="宋体"/>
                <w:color w:val="auto"/>
                <w:highlight w:val="none"/>
              </w:rPr>
            </w:pPr>
            <w:r>
              <w:rPr>
                <w:rFonts w:hint="eastAsia" w:ascii="宋体" w:hAnsi="宋体" w:cs="宋体"/>
                <w:color w:val="auto"/>
                <w:highlight w:val="none"/>
              </w:rPr>
              <w:t>监督管理机构</w:t>
            </w:r>
            <w:r>
              <w:rPr>
                <w:rFonts w:hint="eastAsia" w:ascii="宋体" w:hAnsi="宋体" w:cs="宋体"/>
                <w:color w:val="auto"/>
                <w:highlight w:val="none"/>
                <w:lang w:eastAsia="zh-CN"/>
              </w:rPr>
              <w:t>：</w:t>
            </w:r>
            <w:r>
              <w:rPr>
                <w:rFonts w:hint="eastAsia" w:ascii="宋体" w:hAnsi="宋体" w:eastAsia="宋体" w:cs="宋体"/>
                <w:color w:val="auto"/>
                <w:spacing w:val="11"/>
                <w:highlight w:val="none"/>
              </w:rPr>
              <w:t>桂林市财政局</w:t>
            </w:r>
            <w:r>
              <w:rPr>
                <w:rFonts w:hint="eastAsia" w:ascii="宋体" w:hAnsi="宋体" w:eastAsia="宋体" w:cs="宋体"/>
                <w:color w:val="auto"/>
                <w:spacing w:val="11"/>
                <w:highlight w:val="none"/>
                <w:lang w:val="en-US" w:eastAsia="zh-CN"/>
              </w:rPr>
              <w:t>（</w:t>
            </w:r>
            <w:r>
              <w:rPr>
                <w:rFonts w:hint="eastAsia" w:ascii="宋体" w:hAnsi="宋体" w:eastAsia="宋体" w:cs="宋体"/>
                <w:color w:val="auto"/>
                <w:spacing w:val="11"/>
                <w:highlight w:val="none"/>
              </w:rPr>
              <w:t>联系电话0773-2862142</w:t>
            </w:r>
            <w:r>
              <w:rPr>
                <w:rFonts w:hint="eastAsia" w:ascii="宋体" w:hAnsi="宋体" w:eastAsia="宋体" w:cs="宋体"/>
                <w:color w:val="auto"/>
                <w:spacing w:val="11"/>
                <w:highlight w:val="none"/>
                <w:lang w:val="en-US" w:eastAsia="zh-CN"/>
              </w:rPr>
              <w:t>）</w:t>
            </w:r>
          </w:p>
        </w:tc>
      </w:tr>
    </w:tbl>
    <w:p w14:paraId="030BBEED">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238C367A">
      <w:pPr>
        <w:spacing w:line="440" w:lineRule="exact"/>
        <w:rPr>
          <w:rFonts w:ascii="宋体" w:hAnsi="宋体" w:cs="宋体"/>
          <w:b/>
          <w:color w:val="auto"/>
          <w:szCs w:val="21"/>
          <w:highlight w:val="none"/>
        </w:rPr>
      </w:pPr>
      <w:r>
        <w:rPr>
          <w:rFonts w:hint="eastAsia" w:ascii="宋体" w:hAnsi="宋体" w:cs="宋体"/>
          <w:b/>
          <w:color w:val="auto"/>
          <w:szCs w:val="21"/>
          <w:highlight w:val="none"/>
        </w:rPr>
        <w:t>一、总则</w:t>
      </w:r>
    </w:p>
    <w:p w14:paraId="34D98A05">
      <w:pPr>
        <w:spacing w:line="440" w:lineRule="exact"/>
        <w:rPr>
          <w:rFonts w:ascii="宋体" w:hAnsi="宋体" w:cs="宋体"/>
          <w:b/>
          <w:color w:val="auto"/>
          <w:szCs w:val="21"/>
          <w:highlight w:val="none"/>
        </w:rPr>
      </w:pPr>
      <w:r>
        <w:rPr>
          <w:rFonts w:hint="eastAsia" w:ascii="宋体" w:hAnsi="宋体" w:cs="宋体"/>
          <w:b/>
          <w:color w:val="auto"/>
          <w:szCs w:val="21"/>
          <w:highlight w:val="none"/>
        </w:rPr>
        <w:t>1.适用范围</w:t>
      </w:r>
    </w:p>
    <w:p w14:paraId="5BD19A21">
      <w:pPr>
        <w:spacing w:line="440" w:lineRule="exact"/>
        <w:rPr>
          <w:rFonts w:ascii="宋体" w:hAnsi="宋体" w:cs="宋体"/>
          <w:color w:val="auto"/>
          <w:szCs w:val="21"/>
          <w:highlight w:val="none"/>
        </w:rPr>
      </w:pPr>
      <w:r>
        <w:rPr>
          <w:rFonts w:hint="eastAsia" w:ascii="宋体" w:hAnsi="宋体" w:cs="宋体"/>
          <w:color w:val="auto"/>
          <w:szCs w:val="21"/>
          <w:highlight w:val="none"/>
        </w:rPr>
        <w:t>1.1本竞争性磋商采购文件适用于本项目的竞争性磋商采购、竞争性磋商响应、评审、定标、验收、合同履约、付款等行为（法律、法规另有规定的，从其规定）。</w:t>
      </w:r>
    </w:p>
    <w:p w14:paraId="17011784">
      <w:pPr>
        <w:spacing w:line="440" w:lineRule="exact"/>
        <w:rPr>
          <w:rFonts w:ascii="宋体" w:hAnsi="宋体" w:cs="宋体"/>
          <w:b/>
          <w:color w:val="auto"/>
          <w:szCs w:val="21"/>
          <w:highlight w:val="none"/>
        </w:rPr>
      </w:pPr>
      <w:r>
        <w:rPr>
          <w:rFonts w:hint="eastAsia" w:ascii="宋体" w:hAnsi="宋体" w:cs="宋体"/>
          <w:b/>
          <w:color w:val="auto"/>
          <w:szCs w:val="21"/>
          <w:highlight w:val="none"/>
        </w:rPr>
        <w:t>2.定义</w:t>
      </w:r>
    </w:p>
    <w:p w14:paraId="6B21E818">
      <w:pPr>
        <w:spacing w:line="440" w:lineRule="exact"/>
        <w:rPr>
          <w:rFonts w:ascii="宋体" w:hAnsi="宋体" w:cs="宋体"/>
          <w:color w:val="auto"/>
          <w:szCs w:val="21"/>
          <w:highlight w:val="none"/>
        </w:rPr>
      </w:pPr>
      <w:r>
        <w:rPr>
          <w:rFonts w:hint="eastAsia" w:ascii="宋体" w:hAnsi="宋体" w:cs="宋体"/>
          <w:color w:val="auto"/>
          <w:szCs w:val="21"/>
          <w:highlight w:val="none"/>
        </w:rPr>
        <w:t>2.1“采购人”：详见竞争性磋商公告。</w:t>
      </w:r>
    </w:p>
    <w:p w14:paraId="0822F5D6">
      <w:pPr>
        <w:spacing w:line="440" w:lineRule="exact"/>
        <w:rPr>
          <w:rFonts w:ascii="宋体" w:hAnsi="宋体" w:cs="宋体"/>
          <w:color w:val="auto"/>
          <w:szCs w:val="21"/>
          <w:highlight w:val="none"/>
        </w:rPr>
      </w:pPr>
      <w:r>
        <w:rPr>
          <w:rFonts w:hint="eastAsia" w:ascii="宋体" w:hAnsi="宋体" w:cs="宋体"/>
          <w:color w:val="auto"/>
          <w:szCs w:val="21"/>
          <w:highlight w:val="none"/>
        </w:rPr>
        <w:t>2.2“采购代理机构”是指：广西德元工程项目管理有限责任公司。</w:t>
      </w:r>
    </w:p>
    <w:p w14:paraId="78031006">
      <w:pPr>
        <w:spacing w:line="440" w:lineRule="exact"/>
        <w:rPr>
          <w:rFonts w:ascii="宋体" w:hAnsi="宋体" w:cs="宋体"/>
          <w:color w:val="auto"/>
          <w:szCs w:val="21"/>
          <w:highlight w:val="none"/>
        </w:rPr>
      </w:pPr>
      <w:r>
        <w:rPr>
          <w:rFonts w:hint="eastAsia" w:ascii="宋体" w:hAnsi="宋体" w:cs="宋体"/>
          <w:color w:val="auto"/>
          <w:szCs w:val="21"/>
          <w:highlight w:val="none"/>
        </w:rPr>
        <w:t>2.3“供应商”是</w:t>
      </w:r>
      <w:r>
        <w:rPr>
          <w:rFonts w:hint="eastAsia" w:ascii="宋体" w:hAnsi="宋体" w:cs="宋体"/>
          <w:color w:val="auto"/>
          <w:highlight w:val="none"/>
        </w:rPr>
        <w:t>指响应磋商文件、参加磋商竞争的法人、其他组织或者自然人</w:t>
      </w:r>
      <w:r>
        <w:rPr>
          <w:rFonts w:hint="eastAsia" w:ascii="宋体" w:hAnsi="宋体" w:cs="宋体"/>
          <w:color w:val="auto"/>
          <w:szCs w:val="21"/>
          <w:highlight w:val="none"/>
        </w:rPr>
        <w:t>。如果该供应商在本次磋商采购中成交,即成为“成交供应商”。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47D18FC5">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4E39A9D7">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2.5“服务”</w:t>
      </w:r>
      <w:r>
        <w:rPr>
          <w:rFonts w:hint="eastAsia" w:ascii="宋体" w:hAnsi="宋体" w:cs="宋体"/>
          <w:color w:val="auto"/>
          <w:spacing w:val="-10"/>
          <w:szCs w:val="21"/>
          <w:highlight w:val="none"/>
        </w:rPr>
        <w:t>是</w:t>
      </w:r>
      <w:r>
        <w:rPr>
          <w:rFonts w:hint="eastAsia" w:ascii="宋体" w:hAnsi="宋体" w:cs="宋体"/>
          <w:color w:val="auto"/>
          <w:szCs w:val="21"/>
          <w:highlight w:val="none"/>
        </w:rPr>
        <w:t>指除货物和工程以外的其他政府采购对象。</w:t>
      </w:r>
    </w:p>
    <w:p w14:paraId="4E7A519D">
      <w:pPr>
        <w:spacing w:line="440" w:lineRule="exact"/>
        <w:rPr>
          <w:rFonts w:ascii="宋体" w:hAnsi="宋体" w:cs="宋体"/>
          <w:color w:val="auto"/>
          <w:szCs w:val="21"/>
          <w:highlight w:val="none"/>
        </w:rPr>
      </w:pPr>
      <w:r>
        <w:rPr>
          <w:rFonts w:hint="eastAsia" w:ascii="宋体" w:hAnsi="宋体" w:cs="宋体"/>
          <w:color w:val="auto"/>
          <w:szCs w:val="21"/>
          <w:highlight w:val="none"/>
        </w:rPr>
        <w:t>2.6“书面形式”包括是指合同书、信件和数据电文（包括电报、电传、传真、电子数据交换和电子邮件）等可以有形地表现所载内容的形式。</w:t>
      </w:r>
    </w:p>
    <w:p w14:paraId="5878F8D4">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2.7“响应文件”是指：供应商根据本文件要求，编制包含价格、商务、技术和服务等所有内容的文件。</w:t>
      </w:r>
    </w:p>
    <w:p w14:paraId="0B4ACCA4">
      <w:pPr>
        <w:spacing w:line="440" w:lineRule="exact"/>
        <w:rPr>
          <w:rFonts w:ascii="宋体" w:hAnsi="宋体" w:cs="宋体"/>
          <w:color w:val="auto"/>
          <w:szCs w:val="21"/>
          <w:highlight w:val="none"/>
        </w:rPr>
      </w:pPr>
      <w:r>
        <w:rPr>
          <w:rFonts w:hint="eastAsia" w:ascii="宋体" w:hAnsi="宋体" w:cs="宋体"/>
          <w:color w:val="auto"/>
          <w:szCs w:val="21"/>
          <w:highlight w:val="none"/>
        </w:rPr>
        <w:t>2.8“签字/签名”是指：指</w:t>
      </w:r>
      <w:r>
        <w:rPr>
          <w:rFonts w:hint="eastAsia" w:ascii="宋体" w:hAnsi="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4CCB84A5">
      <w:pPr>
        <w:spacing w:line="440" w:lineRule="exact"/>
        <w:rPr>
          <w:rFonts w:ascii="宋体" w:hAnsi="宋体" w:cs="宋体"/>
          <w:color w:val="auto"/>
          <w:szCs w:val="21"/>
          <w:highlight w:val="none"/>
        </w:rPr>
      </w:pPr>
      <w:r>
        <w:rPr>
          <w:rFonts w:hint="eastAsia" w:ascii="宋体" w:hAnsi="宋体" w:cs="宋体"/>
          <w:color w:val="auto"/>
          <w:szCs w:val="21"/>
          <w:highlight w:val="none"/>
        </w:rPr>
        <w:t>2.9“公章”是指供应商通过指定电子化政府采购平台办理数字证书（CA认证证书）获得的以法定主体行为名称制作的电子印章。本招标文件中要求供应商对其电子响应文件的相关内容加盖公章的，均指采用CA证书签章。</w:t>
      </w:r>
    </w:p>
    <w:p w14:paraId="6775C726">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2.10“</w:t>
      </w:r>
      <w:r>
        <w:rPr>
          <w:rFonts w:hint="eastAsia" w:ascii="宋体" w:hAnsi="宋体" w:cs="宋体"/>
          <w:color w:val="auto"/>
          <w:highlight w:val="none"/>
        </w:rPr>
        <w:t>▲</w:t>
      </w:r>
      <w:r>
        <w:rPr>
          <w:rFonts w:hint="eastAsia" w:ascii="宋体" w:hAnsi="宋体" w:cs="宋体"/>
          <w:color w:val="auto"/>
          <w:szCs w:val="21"/>
          <w:highlight w:val="none"/>
        </w:rPr>
        <w:t>”是指实质性要求条款。</w:t>
      </w:r>
    </w:p>
    <w:p w14:paraId="43441469">
      <w:pPr>
        <w:spacing w:line="440" w:lineRule="exact"/>
        <w:rPr>
          <w:rFonts w:ascii="宋体" w:hAnsi="宋体" w:cs="宋体"/>
          <w:color w:val="auto"/>
          <w:szCs w:val="21"/>
          <w:highlight w:val="none"/>
        </w:rPr>
      </w:pPr>
      <w:r>
        <w:rPr>
          <w:rFonts w:hint="eastAsia" w:ascii="宋体" w:hAnsi="宋体" w:cs="宋体"/>
          <w:color w:val="auto"/>
          <w:szCs w:val="21"/>
          <w:highlight w:val="none"/>
        </w:rPr>
        <w:t>2.11本磋商文件所称的“以上”“以下”“以内”“届满”，包括本数；所称的“不满”“超过”“以外”，不包括本数；如磋商文件另有特殊规定的从其规定。</w:t>
      </w:r>
    </w:p>
    <w:p w14:paraId="501C947C">
      <w:pPr>
        <w:spacing w:line="440" w:lineRule="exact"/>
        <w:rPr>
          <w:rFonts w:ascii="宋体" w:hAnsi="宋体" w:cs="宋体"/>
          <w:b/>
          <w:color w:val="auto"/>
          <w:szCs w:val="21"/>
          <w:highlight w:val="none"/>
        </w:rPr>
      </w:pPr>
      <w:r>
        <w:rPr>
          <w:rFonts w:hint="eastAsia" w:ascii="宋体" w:hAnsi="宋体" w:cs="宋体"/>
          <w:b/>
          <w:color w:val="auto"/>
          <w:szCs w:val="21"/>
          <w:highlight w:val="none"/>
        </w:rPr>
        <w:t>3.供应商的资格条件</w:t>
      </w:r>
    </w:p>
    <w:p w14:paraId="6A6A79CB">
      <w:pPr>
        <w:spacing w:line="440" w:lineRule="exact"/>
        <w:rPr>
          <w:rFonts w:ascii="宋体" w:hAnsi="宋体" w:cs="宋体"/>
          <w:color w:val="auto"/>
          <w:szCs w:val="21"/>
          <w:highlight w:val="none"/>
        </w:rPr>
      </w:pPr>
      <w:r>
        <w:rPr>
          <w:rFonts w:hint="eastAsia" w:ascii="宋体" w:hAnsi="宋体" w:cs="宋体"/>
          <w:color w:val="auto"/>
          <w:szCs w:val="21"/>
          <w:highlight w:val="none"/>
        </w:rPr>
        <w:t>3.1供应商资格：详见</w:t>
      </w:r>
      <w:bookmarkStart w:id="7" w:name="OLE_LINK23"/>
      <w:r>
        <w:rPr>
          <w:rFonts w:hint="eastAsia" w:ascii="宋体" w:hAnsi="宋体" w:cs="宋体"/>
          <w:color w:val="auto"/>
          <w:szCs w:val="21"/>
          <w:highlight w:val="none"/>
        </w:rPr>
        <w:t>供应商须知前附表</w:t>
      </w:r>
      <w:bookmarkEnd w:id="7"/>
      <w:r>
        <w:rPr>
          <w:rFonts w:hint="eastAsia" w:ascii="宋体" w:hAnsi="宋体" w:cs="宋体"/>
          <w:color w:val="auto"/>
          <w:szCs w:val="21"/>
          <w:highlight w:val="none"/>
        </w:rPr>
        <w:t>。</w:t>
      </w:r>
    </w:p>
    <w:p w14:paraId="7C93E179">
      <w:pPr>
        <w:spacing w:line="440" w:lineRule="exact"/>
        <w:rPr>
          <w:rFonts w:ascii="宋体" w:hAnsi="宋体" w:cs="宋体"/>
          <w:b/>
          <w:color w:val="auto"/>
          <w:szCs w:val="21"/>
          <w:highlight w:val="none"/>
        </w:rPr>
      </w:pPr>
      <w:r>
        <w:rPr>
          <w:rFonts w:hint="eastAsia" w:ascii="宋体" w:hAnsi="宋体" w:cs="宋体"/>
          <w:b/>
          <w:color w:val="auto"/>
          <w:szCs w:val="21"/>
          <w:highlight w:val="none"/>
        </w:rPr>
        <w:t>4.磋商费用</w:t>
      </w:r>
    </w:p>
    <w:p w14:paraId="0122E0D6">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4.1供应商应自行承担所有与编写和提交响应文件有关的费用，不论磋商结果如何，采购人和采购代理机构在任何情况下无义务和责任承担此类费用。</w:t>
      </w:r>
    </w:p>
    <w:p w14:paraId="0DD29007">
      <w:pPr>
        <w:spacing w:line="440" w:lineRule="exact"/>
        <w:rPr>
          <w:rFonts w:ascii="宋体" w:hAnsi="宋体" w:cs="宋体"/>
          <w:b/>
          <w:color w:val="auto"/>
          <w:szCs w:val="21"/>
          <w:highlight w:val="none"/>
        </w:rPr>
      </w:pPr>
      <w:r>
        <w:rPr>
          <w:rFonts w:hint="eastAsia" w:ascii="宋体" w:hAnsi="宋体" w:cs="宋体"/>
          <w:b/>
          <w:color w:val="auto"/>
          <w:szCs w:val="21"/>
          <w:highlight w:val="none"/>
        </w:rPr>
        <w:t>5.联合体竞标</w:t>
      </w:r>
    </w:p>
    <w:p w14:paraId="3EEF329D">
      <w:pPr>
        <w:spacing w:line="440" w:lineRule="exact"/>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27FF28AC">
      <w:pPr>
        <w:spacing w:line="440" w:lineRule="exac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根据《政府采购促进中小企业发展管理办法》（财库[2020]46号）第九条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149EA176">
      <w:pPr>
        <w:spacing w:line="440" w:lineRule="exact"/>
        <w:rPr>
          <w:rFonts w:ascii="宋体" w:hAnsi="宋体" w:cs="宋体"/>
          <w:b/>
          <w:color w:val="auto"/>
          <w:szCs w:val="21"/>
          <w:highlight w:val="none"/>
        </w:rPr>
      </w:pPr>
      <w:r>
        <w:rPr>
          <w:rFonts w:hint="eastAsia" w:ascii="宋体" w:hAnsi="宋体" w:cs="宋体"/>
          <w:b/>
          <w:color w:val="auto"/>
          <w:szCs w:val="21"/>
          <w:highlight w:val="none"/>
        </w:rPr>
        <w:t>6.分包与转包</w:t>
      </w:r>
    </w:p>
    <w:p w14:paraId="7A320B96">
      <w:pPr>
        <w:spacing w:line="440" w:lineRule="exact"/>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供应商根据招标文件的规定和采购项目的实际情况，拟在中标后将中标项目的非主体、非关键性工作分包的，应当在响应文件中载明分包承担主体，分包承担主体应当具备相应资质条件且不得再次分包。</w:t>
      </w:r>
    </w:p>
    <w:p w14:paraId="2E78EA2C">
      <w:pPr>
        <w:spacing w:line="440" w:lineRule="exact"/>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217DBBB1">
      <w:pPr>
        <w:spacing w:line="440" w:lineRule="exact"/>
        <w:rPr>
          <w:rFonts w:ascii="宋体" w:hAnsi="宋体" w:cs="宋体"/>
          <w:color w:val="auto"/>
          <w:szCs w:val="21"/>
          <w:highlight w:val="none"/>
        </w:rPr>
      </w:pPr>
      <w:r>
        <w:rPr>
          <w:rFonts w:hint="eastAsia" w:ascii="宋体" w:hAnsi="宋体" w:cs="宋体"/>
          <w:color w:val="auto"/>
          <w:szCs w:val="21"/>
          <w:highlight w:val="none"/>
        </w:rPr>
        <w:t>6.3本项目不允许转包。</w:t>
      </w:r>
    </w:p>
    <w:p w14:paraId="4B2273AC">
      <w:pPr>
        <w:spacing w:line="440" w:lineRule="exact"/>
        <w:rPr>
          <w:rFonts w:ascii="宋体" w:hAnsi="宋体" w:cs="宋体"/>
          <w:b/>
          <w:color w:val="auto"/>
          <w:szCs w:val="21"/>
          <w:highlight w:val="none"/>
        </w:rPr>
      </w:pPr>
      <w:r>
        <w:rPr>
          <w:rFonts w:hint="eastAsia" w:ascii="宋体" w:hAnsi="宋体" w:cs="宋体"/>
          <w:b/>
          <w:color w:val="auto"/>
          <w:szCs w:val="21"/>
          <w:highlight w:val="none"/>
        </w:rPr>
        <w:t>7.特别说明</w:t>
      </w:r>
    </w:p>
    <w:p w14:paraId="5D736EFB">
      <w:pPr>
        <w:spacing w:line="440" w:lineRule="exact"/>
        <w:rPr>
          <w:rFonts w:ascii="宋体" w:hAnsi="宋体" w:cs="宋体"/>
          <w:color w:val="auto"/>
          <w:szCs w:val="21"/>
          <w:highlight w:val="none"/>
        </w:rPr>
      </w:pPr>
      <w:r>
        <w:rPr>
          <w:rFonts w:hint="eastAsia" w:ascii="宋体" w:hAnsi="宋体" w:cs="宋体"/>
          <w:color w:val="auto"/>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14:paraId="69D6615A">
      <w:pPr>
        <w:spacing w:line="440" w:lineRule="exact"/>
        <w:rPr>
          <w:rFonts w:ascii="宋体" w:hAnsi="宋体" w:cs="宋体"/>
          <w:color w:val="auto"/>
          <w:szCs w:val="21"/>
          <w:highlight w:val="none"/>
        </w:rPr>
      </w:pPr>
      <w:r>
        <w:rPr>
          <w:rFonts w:hint="eastAsia" w:ascii="宋体" w:hAnsi="宋体" w:cs="宋体"/>
          <w:color w:val="auto"/>
          <w:szCs w:val="21"/>
          <w:highlight w:val="none"/>
        </w:rPr>
        <w:t>（1）提供相同品牌产品且通过资格审查、符合性审查的不同供应商参加单一产品的同一合同项下的政府采购活动的。</w:t>
      </w:r>
    </w:p>
    <w:p w14:paraId="4E257EE1">
      <w:pPr>
        <w:spacing w:line="440" w:lineRule="exact"/>
        <w:rPr>
          <w:rFonts w:ascii="宋体" w:hAnsi="宋体" w:cs="宋体"/>
          <w:color w:val="auto"/>
          <w:szCs w:val="21"/>
          <w:highlight w:val="none"/>
        </w:rPr>
      </w:pPr>
      <w:r>
        <w:rPr>
          <w:rFonts w:hint="eastAsia" w:ascii="宋体" w:hAnsi="宋体" w:cs="宋体"/>
          <w:color w:val="auto"/>
          <w:szCs w:val="21"/>
          <w:highlight w:val="none"/>
        </w:rPr>
        <w:t>（2）非单一产品采购项目中，多家供应商提供的核心产品品牌相同的，视为提供相同品牌产品。核心产品的名称应当在招标文件中载明。</w:t>
      </w:r>
    </w:p>
    <w:p w14:paraId="2E7ECB1F">
      <w:pPr>
        <w:spacing w:line="440" w:lineRule="exact"/>
        <w:rPr>
          <w:rFonts w:ascii="宋体" w:hAnsi="宋体" w:cs="宋体"/>
          <w:color w:val="auto"/>
          <w:szCs w:val="21"/>
          <w:highlight w:val="none"/>
        </w:rPr>
      </w:pPr>
      <w:r>
        <w:rPr>
          <w:rFonts w:hint="eastAsia" w:ascii="宋体" w:hAnsi="宋体" w:cs="宋体"/>
          <w:color w:val="auto"/>
          <w:szCs w:val="21"/>
          <w:highlight w:val="none"/>
        </w:rPr>
        <w:t>7.2供应商投标所使用的资格、信誉、荣誉、业绩与企业认证必须为本供应商所拥有。</w:t>
      </w:r>
    </w:p>
    <w:p w14:paraId="3B6255D9">
      <w:pPr>
        <w:spacing w:line="440" w:lineRule="exact"/>
        <w:rPr>
          <w:rFonts w:ascii="宋体" w:hAnsi="宋体" w:cs="宋体"/>
          <w:color w:val="auto"/>
          <w:szCs w:val="21"/>
          <w:highlight w:val="none"/>
        </w:rPr>
      </w:pPr>
      <w:r>
        <w:rPr>
          <w:rFonts w:hint="eastAsia" w:ascii="宋体" w:hAnsi="宋体" w:cs="宋体"/>
          <w:color w:val="auto"/>
          <w:szCs w:val="21"/>
          <w:highlight w:val="none"/>
        </w:rPr>
        <w:t>7.3供应商应仔细阅读招标文件的所有内容，按照招标文件的要求提交响应文件，并对所提供的全部资料的真实性承担法律责任。</w:t>
      </w:r>
    </w:p>
    <w:p w14:paraId="6096F0A1">
      <w:pPr>
        <w:spacing w:line="440" w:lineRule="exact"/>
        <w:rPr>
          <w:rFonts w:ascii="宋体" w:hAnsi="宋体" w:cs="宋体"/>
          <w:color w:val="auto"/>
          <w:szCs w:val="21"/>
          <w:highlight w:val="none"/>
        </w:rPr>
      </w:pPr>
      <w:r>
        <w:rPr>
          <w:rFonts w:hint="eastAsia" w:ascii="宋体" w:hAnsi="宋体" w:cs="宋体"/>
          <w:color w:val="auto"/>
          <w:szCs w:val="21"/>
          <w:highlight w:val="none"/>
        </w:rPr>
        <w:t>7.4供应商在投标活动中提供任何虚假材料,其投标无效，并报监管部门查处；中标后发现的,中标供应商须依照《中华人民共和国消费者权益保护法》规定赔偿采购人，且民事赔偿并不免除违法供应商的行政与刑事责任。</w:t>
      </w:r>
    </w:p>
    <w:p w14:paraId="61C51839">
      <w:pPr>
        <w:spacing w:line="440" w:lineRule="exact"/>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50B0489B">
      <w:pPr>
        <w:spacing w:line="440" w:lineRule="exact"/>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9C95DD2">
      <w:pPr>
        <w:spacing w:line="440" w:lineRule="exact"/>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A808B55">
      <w:pPr>
        <w:spacing w:line="440" w:lineRule="exact"/>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4CFAC7C">
      <w:pPr>
        <w:spacing w:line="440" w:lineRule="exact"/>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7A73F08">
      <w:pPr>
        <w:spacing w:line="440" w:lineRule="exact"/>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217445F">
      <w:pPr>
        <w:spacing w:line="440" w:lineRule="exact"/>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CD21D83">
      <w:pPr>
        <w:spacing w:line="440" w:lineRule="exact"/>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7.6有下列情形之一的视为供应商相互串通投标，其投标无效：</w:t>
      </w:r>
    </w:p>
    <w:p w14:paraId="781C1633">
      <w:pPr>
        <w:spacing w:line="440" w:lineRule="exact"/>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43873C6F">
      <w:pPr>
        <w:spacing w:line="440" w:lineRule="exact"/>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14:paraId="0C0F2FDB">
      <w:pPr>
        <w:spacing w:line="440" w:lineRule="exact"/>
        <w:rPr>
          <w:rFonts w:ascii="宋体" w:hAnsi="宋体" w:cs="宋体"/>
          <w:color w:val="auto"/>
          <w:szCs w:val="21"/>
          <w:highlight w:val="none"/>
        </w:rPr>
      </w:pPr>
      <w:r>
        <w:rPr>
          <w:rFonts w:hint="eastAsia" w:ascii="宋体" w:hAnsi="宋体" w:cs="宋体"/>
          <w:color w:val="auto"/>
          <w:szCs w:val="21"/>
          <w:highlight w:val="none"/>
        </w:rPr>
        <w:t>（3）不同供应商的响应文件载明的项目管理成员或者联系人员为同一人；</w:t>
      </w:r>
    </w:p>
    <w:p w14:paraId="243B77C8">
      <w:pPr>
        <w:spacing w:line="440" w:lineRule="exact"/>
        <w:rPr>
          <w:rFonts w:ascii="宋体" w:hAnsi="宋体" w:cs="宋体"/>
          <w:color w:val="auto"/>
          <w:szCs w:val="21"/>
          <w:highlight w:val="none"/>
        </w:rPr>
      </w:pPr>
      <w:r>
        <w:rPr>
          <w:rFonts w:hint="eastAsia" w:ascii="宋体" w:hAnsi="宋体" w:cs="宋体"/>
          <w:color w:val="auto"/>
          <w:szCs w:val="21"/>
          <w:highlight w:val="none"/>
        </w:rPr>
        <w:t>（4）不同供应商的响应文件异常一致或投标报价呈规律性差异；</w:t>
      </w:r>
    </w:p>
    <w:p w14:paraId="707EDD53">
      <w:pPr>
        <w:spacing w:line="440" w:lineRule="exact"/>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CDEF5DA">
      <w:pPr>
        <w:spacing w:line="440" w:lineRule="exact"/>
        <w:rPr>
          <w:rFonts w:ascii="宋体" w:hAnsi="宋体" w:cs="宋体"/>
          <w:color w:val="auto"/>
          <w:szCs w:val="21"/>
          <w:highlight w:val="none"/>
        </w:rPr>
      </w:pPr>
      <w:r>
        <w:rPr>
          <w:rFonts w:hint="eastAsia" w:ascii="宋体" w:hAnsi="宋体" w:cs="宋体"/>
          <w:color w:val="auto"/>
          <w:szCs w:val="21"/>
          <w:highlight w:val="none"/>
        </w:rPr>
        <w:t>（6）不同供应商的投标保证金从同一单位或者个人账户转出。</w:t>
      </w:r>
    </w:p>
    <w:p w14:paraId="71DE4CB5">
      <w:pPr>
        <w:spacing w:line="440" w:lineRule="exact"/>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p>
    <w:p w14:paraId="11C3C4CD">
      <w:pPr>
        <w:spacing w:line="440" w:lineRule="exact"/>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01125315">
      <w:pPr>
        <w:spacing w:line="440" w:lineRule="exact"/>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2C8F177A">
      <w:pPr>
        <w:spacing w:line="440" w:lineRule="exact"/>
        <w:rPr>
          <w:rFonts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51E53577">
      <w:pPr>
        <w:spacing w:line="440" w:lineRule="exac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6C3474C">
      <w:pPr>
        <w:spacing w:line="440" w:lineRule="exact"/>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5AF8911B">
      <w:pPr>
        <w:spacing w:line="440" w:lineRule="exact"/>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10D51304">
      <w:pPr>
        <w:spacing w:line="440" w:lineRule="exact"/>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26E71520">
      <w:pPr>
        <w:spacing w:line="440" w:lineRule="exact"/>
        <w:rPr>
          <w:rFonts w:ascii="宋体" w:hAnsi="宋体" w:cs="宋体"/>
          <w:color w:val="auto"/>
          <w:szCs w:val="21"/>
          <w:highlight w:val="none"/>
        </w:rPr>
      </w:pPr>
      <w:r>
        <w:rPr>
          <w:rFonts w:hint="eastAsia" w:ascii="宋体" w:hAnsi="宋体" w:cs="宋体"/>
          <w:color w:val="auto"/>
          <w:szCs w:val="21"/>
          <w:highlight w:val="none"/>
        </w:rPr>
        <w:t>7.8关联供应商不得参加同一合同项下政府采购活动，否则响应文件将被视为无效：</w:t>
      </w:r>
    </w:p>
    <w:p w14:paraId="03E9A9F1">
      <w:pPr>
        <w:spacing w:line="440" w:lineRule="exact"/>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2EACD870">
      <w:pPr>
        <w:spacing w:line="440" w:lineRule="exact"/>
        <w:rPr>
          <w:rFonts w:ascii="宋体" w:hAnsi="宋体" w:cs="宋体"/>
          <w:color w:val="auto"/>
          <w:szCs w:val="21"/>
          <w:highlight w:val="none"/>
        </w:rPr>
      </w:pPr>
      <w:r>
        <w:rPr>
          <w:rFonts w:hint="eastAsia" w:ascii="宋体" w:hAnsi="宋体" w:cs="宋体"/>
          <w:color w:val="auto"/>
          <w:szCs w:val="21"/>
          <w:highlight w:val="none"/>
        </w:rPr>
        <w:t>（2）生产厂商授权给供应商后自己不得参加同一合同项下的政府采购活动；生产厂商对同一品牌同一型号的货物，仅能委托一个代理商参加投标。</w:t>
      </w:r>
    </w:p>
    <w:p w14:paraId="385B3945">
      <w:pPr>
        <w:spacing w:line="440" w:lineRule="exact"/>
        <w:rPr>
          <w:rFonts w:ascii="宋体" w:hAnsi="宋体" w:cs="宋体"/>
          <w:color w:val="auto"/>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7CAC0F1">
      <w:pPr>
        <w:spacing w:line="440" w:lineRule="exact"/>
        <w:rPr>
          <w:rFonts w:ascii="宋体" w:hAnsi="宋体" w:cs="宋体"/>
          <w:b/>
          <w:color w:val="auto"/>
          <w:szCs w:val="21"/>
          <w:highlight w:val="none"/>
        </w:rPr>
      </w:pPr>
      <w:r>
        <w:rPr>
          <w:rFonts w:hint="eastAsia" w:ascii="宋体" w:hAnsi="宋体" w:cs="宋体"/>
          <w:b/>
          <w:color w:val="auto"/>
          <w:szCs w:val="21"/>
          <w:highlight w:val="none"/>
        </w:rPr>
        <w:t>8.质疑和投诉</w:t>
      </w:r>
    </w:p>
    <w:p w14:paraId="6340AB5A">
      <w:pPr>
        <w:spacing w:line="440" w:lineRule="exact"/>
        <w:rPr>
          <w:rFonts w:ascii="宋体" w:hAnsi="宋体" w:cs="宋体"/>
          <w:color w:val="auto"/>
          <w:szCs w:val="21"/>
          <w:highlight w:val="none"/>
        </w:rPr>
      </w:pPr>
      <w:r>
        <w:rPr>
          <w:rFonts w:hint="eastAsia" w:ascii="宋体" w:hAnsi="宋体" w:cs="宋体"/>
          <w:color w:val="auto"/>
          <w:szCs w:val="21"/>
          <w:highlight w:val="none"/>
        </w:rPr>
        <w:t>8.1供应商认为招标文件、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14:paraId="352CB9B5">
      <w:pPr>
        <w:spacing w:line="440" w:lineRule="exact"/>
        <w:rPr>
          <w:rFonts w:ascii="宋体" w:hAnsi="宋体" w:cs="宋体"/>
          <w:color w:val="auto"/>
          <w:szCs w:val="21"/>
          <w:highlight w:val="none"/>
        </w:rPr>
      </w:pPr>
      <w:r>
        <w:rPr>
          <w:rFonts w:hint="eastAsia" w:ascii="宋体" w:hAnsi="宋体" w:cs="宋体"/>
          <w:color w:val="auto"/>
          <w:szCs w:val="21"/>
          <w:highlight w:val="none"/>
        </w:rPr>
        <w:t>8.2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6B81E351">
      <w:pPr>
        <w:spacing w:line="440" w:lineRule="exact"/>
        <w:rPr>
          <w:rFonts w:ascii="宋体" w:hAnsi="宋体" w:cs="宋体"/>
          <w:color w:val="auto"/>
          <w:szCs w:val="21"/>
          <w:highlight w:val="none"/>
        </w:rPr>
      </w:pPr>
      <w:r>
        <w:rPr>
          <w:rFonts w:hint="eastAsia" w:ascii="宋体" w:hAnsi="宋体" w:cs="宋体"/>
          <w:color w:val="auto"/>
          <w:szCs w:val="21"/>
          <w:highlight w:val="none"/>
        </w:rPr>
        <w:t>8.3质疑和投诉书面要求</w:t>
      </w:r>
    </w:p>
    <w:p w14:paraId="52B384D9">
      <w:pPr>
        <w:spacing w:line="440" w:lineRule="exact"/>
        <w:rPr>
          <w:rFonts w:ascii="宋体" w:hAnsi="宋体" w:cs="宋体"/>
          <w:color w:val="auto"/>
          <w:szCs w:val="21"/>
          <w:highlight w:val="none"/>
        </w:rPr>
      </w:pPr>
      <w:r>
        <w:rPr>
          <w:rFonts w:hint="eastAsia" w:ascii="宋体" w:hAnsi="宋体" w:cs="宋体"/>
          <w:color w:val="auto"/>
          <w:szCs w:val="21"/>
          <w:highlight w:val="none"/>
        </w:rPr>
        <w:t>质疑人或投诉人提供的书面材料（如材料中有外文资料须同时附上中文译本）至少包括以下内容：</w:t>
      </w:r>
    </w:p>
    <w:p w14:paraId="4126263C">
      <w:pPr>
        <w:spacing w:line="440" w:lineRule="exact"/>
        <w:rPr>
          <w:rFonts w:ascii="宋体" w:hAnsi="宋体" w:cs="宋体"/>
          <w:color w:val="auto"/>
          <w:szCs w:val="21"/>
          <w:highlight w:val="none"/>
        </w:rPr>
      </w:pPr>
      <w:r>
        <w:rPr>
          <w:rFonts w:hint="eastAsia" w:ascii="宋体" w:hAnsi="宋体" w:cs="宋体"/>
          <w:color w:val="auto"/>
          <w:szCs w:val="21"/>
          <w:highlight w:val="none"/>
        </w:rPr>
        <w:t>（1）质疑人或投诉人的姓名或者名称、地址、邮编、联系人及联系电话；</w:t>
      </w:r>
    </w:p>
    <w:p w14:paraId="52BCD7B6">
      <w:pPr>
        <w:spacing w:line="440" w:lineRule="exact"/>
        <w:rPr>
          <w:rFonts w:ascii="宋体" w:hAnsi="宋体" w:cs="宋体"/>
          <w:color w:val="auto"/>
          <w:szCs w:val="21"/>
          <w:highlight w:val="none"/>
        </w:rPr>
      </w:pPr>
      <w:r>
        <w:rPr>
          <w:rFonts w:hint="eastAsia" w:ascii="宋体" w:hAnsi="宋体" w:cs="宋体"/>
          <w:color w:val="auto"/>
          <w:szCs w:val="21"/>
          <w:highlight w:val="none"/>
        </w:rPr>
        <w:t>（2）质疑项目的名称、编号；</w:t>
      </w:r>
    </w:p>
    <w:p w14:paraId="33ACCD46">
      <w:pPr>
        <w:spacing w:line="440" w:lineRule="exact"/>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6F42BAA8">
      <w:pPr>
        <w:spacing w:line="440" w:lineRule="exact"/>
        <w:rPr>
          <w:rFonts w:ascii="宋体" w:hAnsi="宋体" w:cs="宋体"/>
          <w:color w:val="auto"/>
          <w:szCs w:val="21"/>
          <w:highlight w:val="none"/>
        </w:rPr>
      </w:pPr>
      <w:r>
        <w:rPr>
          <w:rFonts w:hint="eastAsia" w:ascii="宋体" w:hAnsi="宋体" w:cs="宋体"/>
          <w:color w:val="auto"/>
          <w:szCs w:val="21"/>
          <w:highlight w:val="none"/>
        </w:rPr>
        <w:t>（4）事实依据；</w:t>
      </w:r>
    </w:p>
    <w:p w14:paraId="04C587E0">
      <w:pPr>
        <w:spacing w:line="440" w:lineRule="exact"/>
        <w:rPr>
          <w:rFonts w:ascii="宋体" w:hAnsi="宋体" w:cs="宋体"/>
          <w:color w:val="auto"/>
          <w:szCs w:val="21"/>
          <w:highlight w:val="none"/>
        </w:rPr>
      </w:pPr>
      <w:r>
        <w:rPr>
          <w:rFonts w:hint="eastAsia" w:ascii="宋体" w:hAnsi="宋体" w:cs="宋体"/>
          <w:color w:val="auto"/>
          <w:szCs w:val="21"/>
          <w:highlight w:val="none"/>
        </w:rPr>
        <w:t>（5）必要的法律依据；</w:t>
      </w:r>
    </w:p>
    <w:p w14:paraId="09944D1F">
      <w:pPr>
        <w:spacing w:line="440" w:lineRule="exact"/>
        <w:rPr>
          <w:rFonts w:ascii="宋体" w:hAnsi="宋体" w:cs="宋体"/>
          <w:color w:val="auto"/>
          <w:szCs w:val="21"/>
          <w:highlight w:val="none"/>
        </w:rPr>
      </w:pPr>
      <w:r>
        <w:rPr>
          <w:rFonts w:hint="eastAsia" w:ascii="宋体" w:hAnsi="宋体" w:cs="宋体"/>
          <w:color w:val="auto"/>
          <w:szCs w:val="21"/>
          <w:highlight w:val="none"/>
        </w:rPr>
        <w:t>（6）质疑人或投诉人的签章及质疑或投诉时间；</w:t>
      </w:r>
    </w:p>
    <w:p w14:paraId="1E6D614C">
      <w:pPr>
        <w:spacing w:line="440" w:lineRule="exact"/>
        <w:rPr>
          <w:rFonts w:ascii="宋体" w:hAnsi="宋体" w:cs="宋体"/>
          <w:color w:val="auto"/>
          <w:szCs w:val="21"/>
          <w:highlight w:val="none"/>
        </w:rPr>
      </w:pPr>
      <w:r>
        <w:rPr>
          <w:rFonts w:hint="eastAsia" w:ascii="宋体" w:hAnsi="宋体" w:cs="宋体"/>
          <w:color w:val="auto"/>
          <w:szCs w:val="21"/>
          <w:highlight w:val="none"/>
        </w:rPr>
        <w:t>（7）质疑或投诉的书面材料须提供法定代表人签名和加盖单位公章的原件。</w:t>
      </w:r>
    </w:p>
    <w:p w14:paraId="44F03CFB">
      <w:pPr>
        <w:spacing w:line="440" w:lineRule="exact"/>
        <w:rPr>
          <w:rFonts w:ascii="宋体" w:hAnsi="宋体" w:cs="宋体"/>
          <w:color w:val="auto"/>
          <w:szCs w:val="21"/>
          <w:highlight w:val="none"/>
        </w:rPr>
      </w:pPr>
      <w:r>
        <w:rPr>
          <w:rFonts w:hint="eastAsia" w:ascii="宋体" w:hAnsi="宋体" w:cs="宋体"/>
          <w:color w:val="auto"/>
          <w:szCs w:val="21"/>
          <w:highlight w:val="none"/>
        </w:rPr>
        <w:t>（8）质疑人须一次性提出针对同一采购程序环节的质疑。</w:t>
      </w:r>
    </w:p>
    <w:p w14:paraId="6516A052">
      <w:pPr>
        <w:spacing w:line="440" w:lineRule="exact"/>
        <w:rPr>
          <w:rFonts w:ascii="宋体" w:hAnsi="宋体" w:cs="宋体"/>
          <w:color w:val="auto"/>
          <w:szCs w:val="21"/>
          <w:highlight w:val="none"/>
        </w:rPr>
      </w:pPr>
      <w:r>
        <w:rPr>
          <w:rFonts w:hint="eastAsia" w:ascii="宋体" w:hAnsi="宋体" w:cs="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B1F8D60">
      <w:pPr>
        <w:spacing w:line="440" w:lineRule="exact"/>
        <w:rPr>
          <w:rFonts w:ascii="宋体" w:hAnsi="宋体" w:cs="宋体"/>
          <w:color w:val="auto"/>
          <w:szCs w:val="21"/>
          <w:highlight w:val="none"/>
        </w:rPr>
      </w:pPr>
      <w:r>
        <w:rPr>
          <w:rFonts w:hint="eastAsia" w:ascii="宋体" w:hAnsi="宋体" w:cs="宋体"/>
          <w:color w:val="auto"/>
          <w:szCs w:val="21"/>
          <w:highlight w:val="none"/>
        </w:rPr>
        <w:t>未持有有效授权委托书的代理人提交的质疑函或不在法定质疑期内提交的质疑函，将不予受理。</w:t>
      </w:r>
    </w:p>
    <w:p w14:paraId="296B3E55">
      <w:pPr>
        <w:spacing w:line="440" w:lineRule="exact"/>
        <w:rPr>
          <w:rFonts w:ascii="宋体" w:hAnsi="宋体" w:cs="宋体"/>
          <w:color w:val="auto"/>
          <w:szCs w:val="21"/>
          <w:highlight w:val="none"/>
        </w:rPr>
      </w:pPr>
      <w:r>
        <w:rPr>
          <w:rFonts w:hint="eastAsia" w:ascii="宋体" w:hAnsi="宋体" w:cs="宋体"/>
          <w:color w:val="auto"/>
          <w:szCs w:val="21"/>
          <w:highlight w:val="none"/>
        </w:rPr>
        <w:t>8.4接受质疑函的联系方式等详见磋商公告中采购人、采购代理机构的联系方式。</w:t>
      </w:r>
    </w:p>
    <w:p w14:paraId="46884274">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二、磋商文件</w:t>
      </w:r>
    </w:p>
    <w:p w14:paraId="30B9BF1F">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9.竞争性磋商采购文件的组成</w:t>
      </w:r>
    </w:p>
    <w:p w14:paraId="6552A4A0">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（1）磋商公告；</w:t>
      </w:r>
    </w:p>
    <w:p w14:paraId="483ABFA2">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（2）供应商须知；</w:t>
      </w:r>
    </w:p>
    <w:p w14:paraId="1A2342F4">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（3）项目需求；</w:t>
      </w:r>
    </w:p>
    <w:p w14:paraId="41B94705">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（4）评审办法和定标标准；</w:t>
      </w:r>
    </w:p>
    <w:p w14:paraId="5076DDD5">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（5）响应文件格式；</w:t>
      </w:r>
    </w:p>
    <w:p w14:paraId="7CD70CF1">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（6）合同主要条款；</w:t>
      </w:r>
    </w:p>
    <w:p w14:paraId="14422254">
      <w:pPr>
        <w:spacing w:line="440" w:lineRule="exact"/>
        <w:ind w:firstLine="140" w:firstLineChars="67"/>
        <w:rPr>
          <w:rFonts w:ascii="宋体" w:hAnsi="宋体" w:cs="宋体"/>
          <w:color w:val="auto"/>
          <w:szCs w:val="21"/>
          <w:highlight w:val="none"/>
        </w:rPr>
      </w:pPr>
      <w:r>
        <w:rPr>
          <w:rFonts w:hint="eastAsia" w:ascii="宋体" w:hAnsi="宋体" w:cs="宋体"/>
          <w:color w:val="auto"/>
          <w:szCs w:val="21"/>
          <w:highlight w:val="none"/>
        </w:rPr>
        <w:t>（7）其他资料（如有）。</w:t>
      </w:r>
    </w:p>
    <w:p w14:paraId="4F0659B9">
      <w:pPr>
        <w:spacing w:line="440" w:lineRule="exact"/>
        <w:rPr>
          <w:rFonts w:ascii="宋体" w:hAnsi="宋体" w:cs="宋体"/>
          <w:b/>
          <w:color w:val="auto"/>
          <w:szCs w:val="21"/>
          <w:highlight w:val="none"/>
        </w:rPr>
      </w:pPr>
      <w:r>
        <w:rPr>
          <w:rFonts w:hint="eastAsia" w:ascii="宋体" w:hAnsi="宋体" w:cs="宋体"/>
          <w:b/>
          <w:color w:val="auto"/>
          <w:szCs w:val="21"/>
          <w:highlight w:val="none"/>
        </w:rPr>
        <w:t>10.供应商的风险</w:t>
      </w:r>
    </w:p>
    <w:p w14:paraId="3E0F3A9C">
      <w:pPr>
        <w:spacing w:line="440" w:lineRule="exact"/>
        <w:rPr>
          <w:rFonts w:ascii="宋体" w:hAnsi="宋体" w:cs="宋体"/>
          <w:color w:val="auto"/>
          <w:szCs w:val="21"/>
          <w:highlight w:val="none"/>
        </w:rPr>
      </w:pPr>
      <w:r>
        <w:rPr>
          <w:rFonts w:hint="eastAsia" w:ascii="宋体" w:hAnsi="宋体" w:cs="宋体"/>
          <w:color w:val="auto"/>
          <w:szCs w:val="21"/>
          <w:highlight w:val="none"/>
        </w:rPr>
        <w:t>10.1供应商没有按照招标文件要求提供全部资料，或者供应商没有对招标文件在各方面作出实质性响应是供应商的风险，并可能导致其投标被拒绝。</w:t>
      </w:r>
    </w:p>
    <w:p w14:paraId="64220D3D">
      <w:pPr>
        <w:spacing w:line="440" w:lineRule="exact"/>
        <w:rPr>
          <w:rFonts w:ascii="宋体" w:hAnsi="宋体" w:cs="宋体"/>
          <w:b/>
          <w:color w:val="auto"/>
          <w:szCs w:val="21"/>
          <w:highlight w:val="none"/>
        </w:rPr>
      </w:pPr>
      <w:r>
        <w:rPr>
          <w:rFonts w:hint="eastAsia" w:ascii="宋体" w:hAnsi="宋体" w:cs="宋体"/>
          <w:b/>
          <w:color w:val="auto"/>
          <w:szCs w:val="21"/>
          <w:highlight w:val="none"/>
        </w:rPr>
        <w:t>11.磋商文件的澄清与修改</w:t>
      </w:r>
    </w:p>
    <w:p w14:paraId="381C72FD">
      <w:pPr>
        <w:spacing w:line="440" w:lineRule="exact"/>
        <w:rPr>
          <w:rFonts w:ascii="宋体" w:hAnsi="宋体" w:cs="宋体"/>
          <w:color w:val="auto"/>
          <w:szCs w:val="21"/>
          <w:highlight w:val="none"/>
        </w:rPr>
      </w:pPr>
      <w:r>
        <w:rPr>
          <w:rFonts w:hint="eastAsia" w:ascii="宋体" w:hAnsi="宋体" w:cs="宋体"/>
          <w:color w:val="auto"/>
          <w:szCs w:val="21"/>
          <w:highlight w:val="none"/>
        </w:rPr>
        <w:t>11.1供应商应</w:t>
      </w:r>
      <w:r>
        <w:rPr>
          <w:rFonts w:hint="eastAsia" w:ascii="宋体" w:hAnsi="宋体" w:cs="宋体"/>
          <w:bCs/>
          <w:color w:val="auto"/>
          <w:highlight w:val="none"/>
        </w:rPr>
        <w:t>认真阅读本磋商文件，发现</w:t>
      </w:r>
      <w:r>
        <w:rPr>
          <w:rFonts w:hint="eastAsia" w:ascii="宋体" w:hAnsi="宋体" w:cs="宋体"/>
          <w:color w:val="auto"/>
          <w:highlight w:val="none"/>
        </w:rPr>
        <w:t>磋商文件表述不清晰、存在歧视性、排他性或者其他违法内容的，应以书面形式要求招标采购单位作出书面解释、澄清</w:t>
      </w:r>
      <w:r>
        <w:rPr>
          <w:rFonts w:hint="eastAsia" w:ascii="宋体" w:hAnsi="宋体" w:cs="宋体"/>
          <w:color w:val="auto"/>
          <w:szCs w:val="21"/>
          <w:highlight w:val="none"/>
        </w:rPr>
        <w:t>，否则，由此产生的后果由供应商负责。</w:t>
      </w:r>
    </w:p>
    <w:p w14:paraId="43CE7EB4">
      <w:pPr>
        <w:spacing w:line="440" w:lineRule="exact"/>
        <w:rPr>
          <w:rFonts w:ascii="宋体" w:hAnsi="宋体" w:cs="宋体"/>
          <w:color w:val="auto"/>
          <w:szCs w:val="21"/>
          <w:highlight w:val="none"/>
        </w:rPr>
      </w:pPr>
      <w:r>
        <w:rPr>
          <w:rFonts w:hint="eastAsia" w:ascii="宋体" w:hAnsi="宋体" w:cs="宋体"/>
          <w:color w:val="auto"/>
          <w:szCs w:val="21"/>
          <w:highlight w:val="none"/>
        </w:rPr>
        <w:t>11.2任何要求澄清竞争性磋商文件的供应商，均应在首次响应文件递交截止日期三日前的正常工作时间以书面形式通知采购人或采购代理机构，采购人或采购代理机构将以书面形式予以答复。</w:t>
      </w:r>
    </w:p>
    <w:p w14:paraId="1BCC855F">
      <w:pPr>
        <w:spacing w:line="440" w:lineRule="exact"/>
        <w:rPr>
          <w:rFonts w:ascii="宋体" w:hAnsi="宋体" w:cs="宋体"/>
          <w:color w:val="auto"/>
          <w:szCs w:val="21"/>
          <w:highlight w:val="none"/>
        </w:rPr>
      </w:pPr>
      <w:r>
        <w:rPr>
          <w:rFonts w:hint="eastAsia" w:ascii="宋体" w:hAnsi="宋体" w:cs="宋体"/>
          <w:color w:val="auto"/>
          <w:szCs w:val="21"/>
          <w:highlight w:val="none"/>
        </w:rPr>
        <w:t>11.3采购人或采购代理机构对已发出的磋商文件进行必要澄清或者修改的，澄清和修改对供应商编制响应文件造成实质影响的，在竞争性磋商文件要求提交竞争性磋商响应文件截止时间五日前（不足五日顺延），并将以书面形式通知（在“供应商须知前附表”规定的发布媒体上发布更正公告）所有获取磋商文件的供应商。该澄清或者修改的内容为竞争性磋商文件的组成部分。</w:t>
      </w:r>
    </w:p>
    <w:p w14:paraId="764FB8F3">
      <w:pPr>
        <w:spacing w:line="440" w:lineRule="exact"/>
        <w:rPr>
          <w:rFonts w:ascii="宋体" w:hAnsi="宋体" w:cs="宋体"/>
          <w:color w:val="auto"/>
          <w:szCs w:val="21"/>
          <w:highlight w:val="none"/>
        </w:rPr>
      </w:pPr>
      <w:r>
        <w:rPr>
          <w:rFonts w:hint="eastAsia" w:ascii="宋体" w:hAnsi="宋体" w:cs="宋体"/>
          <w:color w:val="auto"/>
          <w:szCs w:val="21"/>
          <w:highlight w:val="none"/>
        </w:rPr>
        <w:t>11.4采购人可视具体情况，延长响应文件递交截止时间和开标时间，并在“供应商须知前附表”规定的发布媒体上发布变更公告。</w:t>
      </w:r>
    </w:p>
    <w:p w14:paraId="23C693E9">
      <w:pPr>
        <w:spacing w:line="440" w:lineRule="exact"/>
        <w:rPr>
          <w:rFonts w:ascii="宋体" w:hAnsi="宋体" w:cs="宋体"/>
          <w:b/>
          <w:color w:val="auto"/>
          <w:szCs w:val="21"/>
          <w:highlight w:val="none"/>
        </w:rPr>
      </w:pPr>
      <w:r>
        <w:rPr>
          <w:rFonts w:hint="eastAsia" w:ascii="宋体" w:hAnsi="宋体" w:cs="宋体"/>
          <w:b/>
          <w:color w:val="auto"/>
          <w:szCs w:val="21"/>
          <w:highlight w:val="none"/>
        </w:rPr>
        <w:t>12.现场考察或答疑会</w:t>
      </w:r>
    </w:p>
    <w:p w14:paraId="76581C7E">
      <w:pPr>
        <w:spacing w:line="440" w:lineRule="exact"/>
        <w:ind w:left="2"/>
        <w:rPr>
          <w:rFonts w:ascii="宋体" w:hAnsi="宋体" w:cs="宋体"/>
          <w:color w:val="auto"/>
          <w:szCs w:val="21"/>
          <w:highlight w:val="none"/>
        </w:rPr>
      </w:pPr>
      <w:r>
        <w:rPr>
          <w:rFonts w:hint="eastAsia" w:ascii="宋体" w:hAnsi="宋体" w:cs="宋体"/>
          <w:color w:val="auto"/>
          <w:szCs w:val="21"/>
          <w:highlight w:val="none"/>
        </w:rPr>
        <w:t>12.1采购人可以视采购项目的具体情况，按须知前附表的规定组织供应商进行现场考察或召开磋商前答疑会，但不得单独或分别组织只有一个供应商参加的现场考察和答疑会。</w:t>
      </w:r>
    </w:p>
    <w:p w14:paraId="1CC7DF72">
      <w:pPr>
        <w:spacing w:line="440" w:lineRule="exact"/>
        <w:rPr>
          <w:rFonts w:ascii="宋体" w:hAnsi="宋体" w:cs="宋体"/>
          <w:color w:val="auto"/>
          <w:szCs w:val="21"/>
          <w:highlight w:val="none"/>
        </w:rPr>
      </w:pPr>
      <w:r>
        <w:rPr>
          <w:rFonts w:hint="eastAsia" w:ascii="宋体" w:hAnsi="宋体" w:cs="宋体"/>
          <w:color w:val="auto"/>
          <w:szCs w:val="21"/>
          <w:highlight w:val="none"/>
        </w:rPr>
        <w:t>12.2供应商考察现场或参加答疑会发生的费用自理。</w:t>
      </w:r>
    </w:p>
    <w:p w14:paraId="749459A4">
      <w:pPr>
        <w:spacing w:line="440" w:lineRule="exact"/>
        <w:rPr>
          <w:rFonts w:ascii="宋体" w:hAnsi="宋体" w:cs="宋体"/>
          <w:color w:val="auto"/>
          <w:szCs w:val="21"/>
          <w:highlight w:val="none"/>
        </w:rPr>
      </w:pPr>
      <w:r>
        <w:rPr>
          <w:rFonts w:hint="eastAsia" w:ascii="宋体" w:hAnsi="宋体" w:cs="宋体"/>
          <w:color w:val="auto"/>
          <w:szCs w:val="21"/>
          <w:highlight w:val="none"/>
        </w:rPr>
        <w:t>12.3供应商自行负责在考察现场或参加答疑会中所发生的人员伤亡和财产损失。</w:t>
      </w:r>
    </w:p>
    <w:p w14:paraId="28FC4EBB">
      <w:pPr>
        <w:spacing w:line="440" w:lineRule="exact"/>
        <w:rPr>
          <w:rFonts w:ascii="宋体" w:hAnsi="宋体" w:cs="宋体"/>
          <w:b/>
          <w:color w:val="auto"/>
          <w:szCs w:val="21"/>
          <w:highlight w:val="none"/>
        </w:rPr>
      </w:pPr>
      <w:r>
        <w:rPr>
          <w:rFonts w:hint="eastAsia" w:ascii="宋体" w:hAnsi="宋体" w:cs="宋体"/>
          <w:b/>
          <w:color w:val="auto"/>
          <w:szCs w:val="21"/>
          <w:highlight w:val="none"/>
        </w:rPr>
        <w:t>三、响应文件的编制</w:t>
      </w:r>
    </w:p>
    <w:p w14:paraId="27E65A1C">
      <w:pPr>
        <w:spacing w:line="440" w:lineRule="exact"/>
        <w:rPr>
          <w:rFonts w:ascii="宋体" w:hAnsi="宋体" w:cs="宋体"/>
          <w:b/>
          <w:color w:val="auto"/>
          <w:szCs w:val="21"/>
          <w:highlight w:val="none"/>
        </w:rPr>
      </w:pPr>
      <w:r>
        <w:rPr>
          <w:rFonts w:hint="eastAsia" w:ascii="宋体" w:hAnsi="宋体" w:cs="宋体"/>
          <w:b/>
          <w:color w:val="auto"/>
          <w:szCs w:val="21"/>
          <w:highlight w:val="none"/>
        </w:rPr>
        <w:t>13.响应文件的组成</w:t>
      </w:r>
    </w:p>
    <w:p w14:paraId="591E8518">
      <w:pPr>
        <w:spacing w:line="440" w:lineRule="exact"/>
        <w:rPr>
          <w:rFonts w:ascii="宋体" w:hAnsi="宋体" w:cs="宋体"/>
          <w:color w:val="auto"/>
          <w:szCs w:val="21"/>
          <w:highlight w:val="none"/>
        </w:rPr>
      </w:pPr>
      <w:r>
        <w:rPr>
          <w:rFonts w:hint="eastAsia" w:ascii="宋体" w:hAnsi="宋体" w:cs="宋体"/>
          <w:color w:val="auto"/>
          <w:szCs w:val="21"/>
          <w:highlight w:val="none"/>
        </w:rPr>
        <w:t>响应文件由资格证明文件、商务和技术文件、报价文件组成。</w:t>
      </w:r>
    </w:p>
    <w:p w14:paraId="1560D817">
      <w:pPr>
        <w:pStyle w:val="22"/>
        <w:spacing w:line="440" w:lineRule="exact"/>
        <w:rPr>
          <w:rFonts w:hAnsi="宋体" w:cs="宋体"/>
          <w:b/>
          <w:color w:val="auto"/>
          <w:sz w:val="21"/>
          <w:highlight w:val="none"/>
        </w:rPr>
      </w:pPr>
      <w:r>
        <w:rPr>
          <w:rFonts w:hint="eastAsia" w:hAnsi="宋体" w:cs="宋体"/>
          <w:b/>
          <w:color w:val="auto"/>
          <w:sz w:val="21"/>
          <w:highlight w:val="none"/>
        </w:rPr>
        <w:t>13.1资格证明文件（以下文件标注“▲”的必须提供，否则投标无效，其他可根据实际情况提供）</w:t>
      </w:r>
    </w:p>
    <w:p w14:paraId="07AD772D">
      <w:pPr>
        <w:pStyle w:val="22"/>
        <w:spacing w:line="440" w:lineRule="exact"/>
        <w:ind w:firstLine="405"/>
        <w:rPr>
          <w:rFonts w:hAnsi="宋体" w:cs="宋体"/>
          <w:b/>
          <w:color w:val="auto"/>
          <w:sz w:val="21"/>
          <w:highlight w:val="none"/>
        </w:rPr>
      </w:pPr>
      <w:r>
        <w:rPr>
          <w:rFonts w:hint="eastAsia" w:hAnsi="宋体" w:cs="宋体"/>
          <w:b/>
          <w:color w:val="auto"/>
          <w:sz w:val="21"/>
          <w:highlight w:val="none"/>
        </w:rPr>
        <w:t>▲注：以下各项属于均要加盖供应商电子公章。</w:t>
      </w:r>
    </w:p>
    <w:p w14:paraId="66C08AE1">
      <w:pPr>
        <w:snapToGrid w:val="0"/>
        <w:spacing w:line="440" w:lineRule="exact"/>
        <w:ind w:firstLine="413" w:firstLineChars="196"/>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）磋商声明书(按第四章要求格式填写)；</w:t>
      </w:r>
    </w:p>
    <w:p w14:paraId="1681F3DF">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▲（2）响应供应商合法的主体资格证明（如营业执照、事业单位法人证书、执业许可证、个体工商户营业执照、自然人身份证等）复印件</w:t>
      </w:r>
      <w:r>
        <w:rPr>
          <w:rFonts w:hint="eastAsia" w:ascii="宋体" w:hAnsi="宋体" w:cs="宋体"/>
          <w:bCs/>
          <w:color w:val="auto"/>
          <w:szCs w:val="21"/>
          <w:highlight w:val="none"/>
        </w:rPr>
        <w:t>；</w:t>
      </w:r>
    </w:p>
    <w:p w14:paraId="476EBD6A">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▲（3）响应供应商依法缴纳税收的相关材料（</w:t>
      </w:r>
      <w:r>
        <w:rPr>
          <w:rFonts w:hint="eastAsia" w:ascii="宋体" w:hAnsi="宋体" w:cs="宋体"/>
          <w:color w:val="auto"/>
          <w:szCs w:val="21"/>
          <w:highlight w:val="none"/>
          <w:lang w:eastAsia="zh-CN"/>
        </w:rPr>
        <w:t>投标截止时间前近半年内任意1个月</w:t>
      </w:r>
      <w:r>
        <w:rPr>
          <w:rFonts w:hint="eastAsia" w:ascii="宋体" w:hAnsi="宋体" w:cs="宋体"/>
          <w:color w:val="auto"/>
          <w:szCs w:val="21"/>
          <w:highlight w:val="none"/>
        </w:rPr>
        <w:t>的依法缴纳税收的证明材料（凭证或税务机关出具的证明）复印件（或扫描件）；依法免税的供应商，必须提供相应文件证明其依法免税。从成立之日起到投标文件提交截止时间止不足要求月数的，只需提供从成立之日起的依法缴纳税收相应证明文件）；</w:t>
      </w:r>
    </w:p>
    <w:p w14:paraId="1E7615AD">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▲（4）响应供应商依法缴纳社会保障资金的相关材料（</w:t>
      </w:r>
      <w:r>
        <w:rPr>
          <w:rFonts w:hint="eastAsia" w:ascii="宋体" w:hAnsi="宋体" w:cs="宋体"/>
          <w:color w:val="auto"/>
          <w:szCs w:val="21"/>
          <w:highlight w:val="none"/>
          <w:lang w:eastAsia="zh-CN"/>
        </w:rPr>
        <w:t>投标截止时间前近半年内任意1个月</w:t>
      </w:r>
      <w:r>
        <w:rPr>
          <w:rFonts w:hint="eastAsia" w:ascii="宋体" w:hAnsi="宋体" w:cs="宋体"/>
          <w:color w:val="auto"/>
          <w:szCs w:val="21"/>
          <w:highlight w:val="none"/>
        </w:rPr>
        <w:t>的依法缴纳社会保障资金的缴费凭证（专用收据或者社会保险缴纳清单或者社保部门出具的证明文件）复印件（或扫描件）；依法不需要缴纳社会保障资金的供应商，必须提供相应文件证明不需要缴纳社会保障资金；如供应商社保由上级公司缴纳的，须提供以下资料：上级公司营业执照副本复印件；上级公司出具的社保缴纳情况说明原件（附供应商拟投入人员名单）；上级公司于开标前最近一次社会保障资金的缴费凭证；上级公司于开标前最近一次缴纳社会保险的供应商拟投入人员明细；从成立之日起到投标文件提交截止时间止不足要求月数的只需提供从成立之日起的依法缴纳社会保障资金的相应证明文件）；</w:t>
      </w:r>
    </w:p>
    <w:p w14:paraId="5017F16E">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▲（5）</w:t>
      </w:r>
      <w:r>
        <w:rPr>
          <w:rFonts w:hint="eastAsia" w:ascii="宋体" w:hAnsi="宋体" w:cs="宋体"/>
          <w:color w:val="auto"/>
          <w:szCs w:val="21"/>
          <w:highlight w:val="none"/>
        </w:rPr>
        <w:t>响应供应商</w:t>
      </w:r>
      <w:r>
        <w:rPr>
          <w:rFonts w:hint="eastAsia" w:ascii="宋体" w:hAnsi="宋体" w:cs="宋体"/>
          <w:color w:val="auto"/>
          <w:highlight w:val="none"/>
          <w:lang w:eastAsia="zh-CN"/>
        </w:rPr>
        <w:t>2024年</w:t>
      </w:r>
      <w:r>
        <w:rPr>
          <w:rFonts w:hint="eastAsia" w:ascii="宋体" w:hAnsi="宋体" w:cs="宋体"/>
          <w:color w:val="auto"/>
          <w:highlight w:val="none"/>
        </w:rPr>
        <w:t>财务状况报告复印件【①可以是经会计师事务所审计的财务报告，或是本公司出具的财务报表；②</w:t>
      </w:r>
      <w:r>
        <w:rPr>
          <w:rFonts w:hint="eastAsia" w:ascii="宋体" w:hAnsi="宋体" w:cs="宋体"/>
          <w:color w:val="auto"/>
          <w:highlight w:val="none"/>
          <w:lang w:eastAsia="zh-CN"/>
        </w:rPr>
        <w:t>供应商属于成立时间在规定年度之后的法人或其他组织</w:t>
      </w:r>
      <w:r>
        <w:rPr>
          <w:rFonts w:hint="eastAsia" w:ascii="宋体" w:hAnsi="宋体" w:cs="宋体"/>
          <w:color w:val="auto"/>
          <w:highlight w:val="none"/>
        </w:rPr>
        <w:t>按实际提供财务报表】，或者银行出具的资信证明（说明：资信证明指：反映供应商资金结算无异常，无违规透支，无理拒付、无逾期（垫款）和欠息等不良记录，结算纪律良好的相关证明，并非指存款证明。如所提供该证明仅为存款数额信息的将作无效证明处理，并按无效投标处理）；</w:t>
      </w:r>
    </w:p>
    <w:p w14:paraId="350DC279">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▲（6）参加政府采购活动前三年内在经营活动中没有重大违法记录和不良信用记录的书面声明书（格式自拟）；</w:t>
      </w:r>
    </w:p>
    <w:p w14:paraId="6320B38F">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▲（7）</w:t>
      </w:r>
      <w:r>
        <w:rPr>
          <w:rFonts w:hint="eastAsia" w:ascii="宋体" w:hAnsi="宋体" w:cs="宋体"/>
          <w:color w:val="auto"/>
          <w:szCs w:val="21"/>
          <w:highlight w:val="none"/>
        </w:rPr>
        <w:t>供应商如为分支机构投标的，须提供其总公司“营业执照”副本复印件和总公司对供应商参与本项目投标的授权书原件；</w:t>
      </w:r>
    </w:p>
    <w:p w14:paraId="3EF9EA48">
      <w:pPr>
        <w:snapToGrid w:val="0"/>
        <w:spacing w:line="440" w:lineRule="exact"/>
        <w:ind w:firstLine="411" w:firstLineChars="196"/>
        <w:jc w:val="left"/>
        <w:rPr>
          <w:rFonts w:ascii="宋体" w:hAnsi="宋体" w:cs="宋体"/>
          <w:color w:val="auto"/>
          <w:szCs w:val="21"/>
          <w:highlight w:val="none"/>
        </w:rPr>
      </w:pPr>
      <w:r>
        <w:rPr>
          <w:rFonts w:hint="eastAsia" w:ascii="宋体" w:hAnsi="宋体" w:cs="宋体"/>
          <w:color w:val="auto"/>
          <w:highlight w:val="none"/>
        </w:rPr>
        <w:t>▲（8）</w:t>
      </w:r>
      <w:r>
        <w:rPr>
          <w:rFonts w:hint="eastAsia" w:ascii="宋体" w:hAnsi="宋体" w:cs="宋体"/>
          <w:color w:val="auto"/>
          <w:szCs w:val="21"/>
          <w:highlight w:val="none"/>
        </w:rPr>
        <w:t>供应商直接控股、管理关系信息表(按第四章要求格式填写)；</w:t>
      </w:r>
    </w:p>
    <w:p w14:paraId="066E59FD">
      <w:pPr>
        <w:snapToGrid w:val="0"/>
        <w:spacing w:line="440" w:lineRule="exact"/>
        <w:ind w:firstLine="411" w:firstLineChars="196"/>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▲（9）特定资格条件：（如有要求则必须提供，否则响应文件按无效响应处理）</w:t>
      </w:r>
      <w:r>
        <w:rPr>
          <w:rFonts w:hint="eastAsia" w:ascii="宋体" w:hAnsi="宋体" w:eastAsia="宋体" w:cs="宋体"/>
          <w:color w:val="auto"/>
          <w:highlight w:val="none"/>
          <w:lang w:eastAsia="zh-CN"/>
        </w:rPr>
        <w:t>；</w:t>
      </w:r>
    </w:p>
    <w:p w14:paraId="59F7A24F">
      <w:pPr>
        <w:snapToGrid w:val="0"/>
        <w:spacing w:line="440" w:lineRule="exact"/>
        <w:ind w:firstLine="411" w:firstLineChars="196"/>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除磋商文件规定必须提供以外，供应商认为需要提供的其他证明材料。</w:t>
      </w:r>
    </w:p>
    <w:p w14:paraId="2909953E">
      <w:pPr>
        <w:snapToGrid w:val="0"/>
        <w:spacing w:before="120" w:beforeLines="50" w:line="440" w:lineRule="exact"/>
        <w:jc w:val="left"/>
        <w:rPr>
          <w:rFonts w:ascii="宋体" w:hAnsi="宋体" w:cs="宋体"/>
          <w:color w:val="auto"/>
          <w:szCs w:val="21"/>
          <w:highlight w:val="none"/>
        </w:rPr>
      </w:pPr>
      <w:r>
        <w:rPr>
          <w:rFonts w:hint="eastAsia" w:ascii="宋体" w:hAnsi="宋体" w:cs="宋体"/>
          <w:b/>
          <w:color w:val="auto"/>
          <w:szCs w:val="21"/>
          <w:highlight w:val="none"/>
        </w:rPr>
        <w:t>13.2商务和技术文件（以下文件标注“▲”的必须提供，“招标项目采购需求”要求“必须提供”的必须提供，其他可根据实际情况提供，</w:t>
      </w:r>
      <w:r>
        <w:rPr>
          <w:rFonts w:hint="eastAsia" w:ascii="宋体" w:hAnsi="宋体" w:cs="宋体"/>
          <w:b/>
          <w:color w:val="auto"/>
          <w:highlight w:val="none"/>
        </w:rPr>
        <w:t>第</w:t>
      </w:r>
      <w:r>
        <w:rPr>
          <w:rFonts w:hint="eastAsia" w:ascii="宋体" w:hAnsi="宋体" w:cs="宋体"/>
          <w:b/>
          <w:color w:val="auto"/>
          <w:szCs w:val="21"/>
          <w:highlight w:val="none"/>
        </w:rPr>
        <w:t>（2）项由法定代表人签名，否则其投标无效</w:t>
      </w:r>
      <w:r>
        <w:rPr>
          <w:rFonts w:hint="eastAsia" w:ascii="宋体" w:hAnsi="宋体" w:cs="宋体"/>
          <w:color w:val="auto"/>
          <w:szCs w:val="21"/>
          <w:highlight w:val="none"/>
        </w:rPr>
        <w:t>）</w:t>
      </w:r>
    </w:p>
    <w:p w14:paraId="3900619A">
      <w:pPr>
        <w:snapToGrid w:val="0"/>
        <w:spacing w:line="440" w:lineRule="exact"/>
        <w:ind w:firstLine="422" w:firstLineChars="200"/>
        <w:jc w:val="left"/>
        <w:rPr>
          <w:rFonts w:ascii="宋体" w:hAnsi="宋体" w:cs="宋体"/>
          <w:b/>
          <w:color w:val="auto"/>
          <w:highlight w:val="none"/>
        </w:rPr>
      </w:pPr>
      <w:r>
        <w:rPr>
          <w:rFonts w:hint="eastAsia" w:ascii="宋体" w:hAnsi="宋体" w:cs="宋体"/>
          <w:b/>
          <w:color w:val="auto"/>
          <w:highlight w:val="none"/>
        </w:rPr>
        <w:t>▲注：以下标注“▲”均要加盖供应商单位电子公章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w:t>
      </w:r>
    </w:p>
    <w:p w14:paraId="21287894">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▲（1）法定代表人身份证明书(按第四章要求格式填写)；</w:t>
      </w:r>
    </w:p>
    <w:p w14:paraId="487F6126">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法定代表人授权委托书及被授权委托人身份证复印件(委托代理时，按第四章要求格式填写)；</w:t>
      </w:r>
    </w:p>
    <w:p w14:paraId="03FAD598">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商务条款偏离表</w:t>
      </w:r>
      <w:r>
        <w:rPr>
          <w:rFonts w:hint="eastAsia" w:ascii="宋体" w:hAnsi="宋体" w:cs="宋体"/>
          <w:color w:val="auto"/>
          <w:szCs w:val="21"/>
          <w:highlight w:val="none"/>
        </w:rPr>
        <w:t>(按第四章要求格式填写)；</w:t>
      </w:r>
    </w:p>
    <w:p w14:paraId="692696B3">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eastAsia="zh-CN"/>
        </w:rPr>
        <w:t>技术要求偏离表</w:t>
      </w:r>
      <w:r>
        <w:rPr>
          <w:rFonts w:hint="eastAsia" w:ascii="宋体" w:hAnsi="宋体" w:cs="宋体"/>
          <w:color w:val="auto"/>
          <w:szCs w:val="21"/>
          <w:highlight w:val="none"/>
        </w:rPr>
        <w:t>(按第四章要求格式填写，附“第三章采购需求”中要求提供的相关材料)；</w:t>
      </w:r>
    </w:p>
    <w:p w14:paraId="3550A766">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）项目实施方案；(按第四章要求格式填写)；</w:t>
      </w:r>
    </w:p>
    <w:p w14:paraId="5FA1CB85">
      <w:pPr>
        <w:snapToGrid w:val="0"/>
        <w:spacing w:line="440" w:lineRule="exact"/>
        <w:ind w:firstLine="420" w:firstLineChars="200"/>
        <w:jc w:val="left"/>
        <w:rPr>
          <w:rFonts w:ascii="宋体" w:hAnsi="宋体" w:cs="宋体"/>
          <w:color w:val="auto"/>
          <w:szCs w:val="21"/>
          <w:highlight w:val="cya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）服务承诺书（按第四章格式填写）；</w:t>
      </w:r>
    </w:p>
    <w:p w14:paraId="700DCDBB">
      <w:pPr>
        <w:snapToGrid w:val="0"/>
        <w:spacing w:line="440" w:lineRule="exact"/>
        <w:ind w:firstLine="411" w:firstLineChars="196"/>
        <w:jc w:val="left"/>
        <w:rPr>
          <w:rFonts w:hint="eastAsia" w:ascii="宋体" w:hAnsi="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lang w:eastAsia="zh-CN"/>
        </w:rPr>
        <w:t>拟投入人员一览表</w:t>
      </w:r>
      <w:r>
        <w:rPr>
          <w:rFonts w:hint="eastAsia" w:ascii="宋体" w:hAnsi="宋体" w:cs="宋体"/>
          <w:color w:val="auto"/>
          <w:szCs w:val="21"/>
          <w:highlight w:val="none"/>
        </w:rPr>
        <w:t>（附拟投入人员相关证书复印件，</w:t>
      </w:r>
      <w:r>
        <w:rPr>
          <w:rFonts w:hint="eastAsia" w:ascii="宋体" w:hAnsi="宋体" w:cs="宋体"/>
          <w:bCs/>
          <w:color w:val="auto"/>
          <w:szCs w:val="21"/>
          <w:highlight w:val="none"/>
        </w:rPr>
        <w:t>按第四章格式填写</w:t>
      </w:r>
      <w:r>
        <w:rPr>
          <w:rFonts w:hint="eastAsia" w:ascii="宋体" w:hAnsi="宋体" w:cs="宋体"/>
          <w:color w:val="auto"/>
          <w:szCs w:val="21"/>
          <w:highlight w:val="none"/>
        </w:rPr>
        <w:t>）</w:t>
      </w:r>
    </w:p>
    <w:p w14:paraId="6B0177F0">
      <w:pPr>
        <w:snapToGrid w:val="0"/>
        <w:spacing w:line="440" w:lineRule="exact"/>
        <w:ind w:firstLine="411" w:firstLineChars="196"/>
        <w:jc w:val="left"/>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8</w:t>
      </w:r>
      <w:r>
        <w:rPr>
          <w:rFonts w:hint="eastAsia" w:ascii="宋体" w:hAnsi="宋体" w:cs="宋体"/>
          <w:color w:val="auto"/>
          <w:highlight w:val="none"/>
          <w:lang w:eastAsia="zh-CN"/>
        </w:rPr>
        <w:t>）</w:t>
      </w:r>
      <w:r>
        <w:rPr>
          <w:rFonts w:hint="eastAsia" w:ascii="宋体" w:hAnsi="宋体" w:cs="宋体"/>
          <w:color w:val="auto"/>
          <w:highlight w:val="none"/>
        </w:rPr>
        <w:t>代理服务费承诺书(按第四章要求格式填写)；</w:t>
      </w:r>
    </w:p>
    <w:p w14:paraId="562D002D">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）供应商情况介绍（格式自拟）；</w:t>
      </w:r>
    </w:p>
    <w:p w14:paraId="2E018ECE">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供应商对本项目的合理化建议和改进措施（格式自拟）；</w:t>
      </w:r>
    </w:p>
    <w:p w14:paraId="32A956B9">
      <w:pPr>
        <w:snapToGrid w:val="0"/>
        <w:spacing w:line="440" w:lineRule="exact"/>
        <w:ind w:firstLine="411" w:firstLineChars="196"/>
        <w:jc w:val="left"/>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w:t>
      </w:r>
      <w:r>
        <w:rPr>
          <w:rFonts w:hint="eastAsia" w:ascii="宋体" w:hAnsi="宋体" w:cs="宋体"/>
          <w:color w:val="auto"/>
          <w:highlight w:val="none"/>
        </w:rPr>
        <w:t>供应商认为需要提供的其他证明材料。（供应商根据“第三章项目采购需求”及“第六章评标方法及评标标准”提供有关证明材料）。</w:t>
      </w:r>
    </w:p>
    <w:p w14:paraId="458D8DCE">
      <w:pPr>
        <w:snapToGrid w:val="0"/>
        <w:spacing w:before="120" w:beforeLines="50" w:line="440" w:lineRule="exact"/>
        <w:jc w:val="left"/>
        <w:rPr>
          <w:rFonts w:ascii="宋体" w:hAnsi="宋体" w:cs="宋体"/>
          <w:color w:val="auto"/>
          <w:szCs w:val="21"/>
          <w:highlight w:val="none"/>
        </w:rPr>
      </w:pPr>
      <w:r>
        <w:rPr>
          <w:rFonts w:hint="eastAsia" w:ascii="宋体" w:hAnsi="宋体" w:cs="宋体"/>
          <w:b/>
          <w:color w:val="auto"/>
          <w:szCs w:val="21"/>
          <w:highlight w:val="none"/>
        </w:rPr>
        <w:t>13.3报价文件（以下文件标注“▲”的必须提供，要求“必须提供”的必须提供，其他可根据实际情况提供</w:t>
      </w:r>
      <w:r>
        <w:rPr>
          <w:rFonts w:hint="eastAsia" w:ascii="宋体" w:hAnsi="宋体" w:cs="宋体"/>
          <w:color w:val="auto"/>
          <w:szCs w:val="21"/>
          <w:highlight w:val="none"/>
        </w:rPr>
        <w:t>）</w:t>
      </w:r>
    </w:p>
    <w:p w14:paraId="5F7258A6">
      <w:pPr>
        <w:snapToGrid w:val="0"/>
        <w:spacing w:line="440" w:lineRule="exact"/>
        <w:ind w:firstLine="422" w:firstLineChars="200"/>
        <w:jc w:val="left"/>
        <w:rPr>
          <w:rFonts w:ascii="宋体" w:hAnsi="宋体" w:cs="宋体"/>
          <w:b/>
          <w:color w:val="auto"/>
          <w:highlight w:val="none"/>
        </w:rPr>
      </w:pPr>
      <w:r>
        <w:rPr>
          <w:rFonts w:hint="eastAsia" w:ascii="宋体" w:hAnsi="宋体" w:cs="宋体"/>
          <w:b/>
          <w:color w:val="auto"/>
          <w:highlight w:val="none"/>
        </w:rPr>
        <w:t>▲注：以下标注“▲”均要加盖供应商单位电子公章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w:t>
      </w:r>
    </w:p>
    <w:p w14:paraId="0D74A531">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▲（1）竞标函（按第四章要求格式填写）；</w:t>
      </w:r>
    </w:p>
    <w:p w14:paraId="32A0F0AD">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▲（2）报价表(按第四章要求格式填写)；</w:t>
      </w:r>
    </w:p>
    <w:p w14:paraId="77AB9037">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（3）中小企业声明函（供应商如为中小微型企业的请按第四章要求的格式提供，否则不予享受优惠政策）；</w:t>
      </w:r>
    </w:p>
    <w:p w14:paraId="56D600A9">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（4）监狱企业由省级以上监狱管理局、戒毒管理局（含新疆生产建设兵团）出具的属于监狱企业的证明文件；</w:t>
      </w:r>
    </w:p>
    <w:p w14:paraId="40F56D64">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（5）残疾人福利性单位声明函（供应商如为残疾人福利性单位的请按第四章要求的格式提供，否则不予享受优惠政策）；</w:t>
      </w:r>
    </w:p>
    <w:p w14:paraId="0108A842">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（6）供应商针对报价需要说明的其他文件和说明（如有，格式自拟）</w:t>
      </w:r>
    </w:p>
    <w:p w14:paraId="0588F6EF">
      <w:pPr>
        <w:snapToGrid w:val="0"/>
        <w:spacing w:line="4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注：若</w:t>
      </w:r>
      <w:r>
        <w:rPr>
          <w:rFonts w:hint="eastAsia" w:ascii="宋体" w:hAnsi="宋体" w:cs="宋体"/>
          <w:b/>
          <w:bCs/>
          <w:color w:val="auto"/>
          <w:highlight w:val="none"/>
        </w:rPr>
        <w:t>竞争性磋商</w:t>
      </w:r>
      <w:r>
        <w:rPr>
          <w:rFonts w:hint="eastAsia" w:ascii="宋体" w:hAnsi="宋体" w:cs="宋体"/>
          <w:b/>
          <w:bCs/>
          <w:color w:val="auto"/>
          <w:szCs w:val="21"/>
          <w:highlight w:val="none"/>
        </w:rPr>
        <w:t>文件中有专门标注的某关联点，并要求供应商在电子投标系统中作出响应的，如供应商未对关联点进行响应或者在响应文件其它内容进行描述，造成电子评审不能查询的责任由供应商自行承担。</w:t>
      </w:r>
    </w:p>
    <w:p w14:paraId="6C0F7B76">
      <w:pPr>
        <w:spacing w:line="440" w:lineRule="exact"/>
        <w:rPr>
          <w:rFonts w:ascii="宋体" w:hAnsi="宋体" w:cs="宋体"/>
          <w:b/>
          <w:color w:val="auto"/>
          <w:szCs w:val="21"/>
          <w:highlight w:val="none"/>
        </w:rPr>
      </w:pPr>
      <w:r>
        <w:rPr>
          <w:rFonts w:hint="eastAsia" w:ascii="宋体" w:hAnsi="宋体" w:cs="宋体"/>
          <w:b/>
          <w:color w:val="auto"/>
          <w:szCs w:val="21"/>
          <w:highlight w:val="none"/>
        </w:rPr>
        <w:t>14.响应文件的语言及计量</w:t>
      </w:r>
    </w:p>
    <w:p w14:paraId="57267578">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14.1响应文件以及竞标方与招标方就有关竞标事宜的所有来往函电，均应以中文汉语书写。除签名、盖章、专用名称等特殊情形外，以中文汉语以外的文字表述的响应文件视同未提供。</w:t>
      </w:r>
    </w:p>
    <w:p w14:paraId="682056A0">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14.2竞标计量单位，磋商文件已有明确规定的，使用磋商文件规定的计量单位；磋商文件没有规定的，应采用中华人民共和国法定计量单位（货币单位：人民币元），否则视同未响应。</w:t>
      </w:r>
    </w:p>
    <w:p w14:paraId="0AF9DAE8">
      <w:pPr>
        <w:spacing w:line="440" w:lineRule="exact"/>
        <w:rPr>
          <w:rFonts w:ascii="宋体" w:hAnsi="宋体" w:cs="宋体"/>
          <w:b/>
          <w:color w:val="auto"/>
          <w:szCs w:val="21"/>
          <w:highlight w:val="none"/>
        </w:rPr>
      </w:pPr>
      <w:r>
        <w:rPr>
          <w:rFonts w:hint="eastAsia" w:ascii="宋体" w:hAnsi="宋体" w:cs="宋体"/>
          <w:b/>
          <w:color w:val="auto"/>
          <w:szCs w:val="21"/>
          <w:highlight w:val="none"/>
        </w:rPr>
        <w:t>15、响应文件报价要求</w:t>
      </w:r>
    </w:p>
    <w:p w14:paraId="756FA51D">
      <w:pPr>
        <w:spacing w:line="440" w:lineRule="exact"/>
        <w:rPr>
          <w:rFonts w:ascii="宋体" w:hAnsi="宋体" w:cs="宋体"/>
          <w:color w:val="auto"/>
          <w:szCs w:val="21"/>
          <w:highlight w:val="none"/>
        </w:rPr>
      </w:pPr>
      <w:r>
        <w:rPr>
          <w:rFonts w:hint="eastAsia" w:ascii="宋体" w:hAnsi="宋体" w:cs="宋体"/>
          <w:color w:val="auto"/>
          <w:szCs w:val="21"/>
          <w:highlight w:val="none"/>
        </w:rPr>
        <w:t>15.1本项目最高限价详见须知前附表。响应文件</w:t>
      </w:r>
      <w:r>
        <w:rPr>
          <w:rFonts w:hint="eastAsia" w:ascii="宋体" w:hAnsi="宋体" w:cs="宋体"/>
          <w:color w:val="auto"/>
          <w:highlight w:val="none"/>
        </w:rPr>
        <w:t>报价须小于等于最高限价，否则响应无效。</w:t>
      </w:r>
    </w:p>
    <w:p w14:paraId="3D87839F">
      <w:pPr>
        <w:spacing w:line="440" w:lineRule="exact"/>
        <w:rPr>
          <w:rFonts w:ascii="宋体" w:hAnsi="宋体" w:cs="宋体"/>
          <w:color w:val="auto"/>
          <w:szCs w:val="21"/>
          <w:highlight w:val="none"/>
        </w:rPr>
      </w:pPr>
      <w:r>
        <w:rPr>
          <w:rFonts w:hint="eastAsia" w:ascii="宋体" w:hAnsi="宋体" w:cs="宋体"/>
          <w:color w:val="auto"/>
          <w:szCs w:val="21"/>
          <w:highlight w:val="none"/>
        </w:rPr>
        <w:t>15.2对于本磋商采购文件中未列明，而供应商认为必需的费用也需列入总报价。在合同实施时，采购人将不予支付成交供应商没有列入的项目费用，并认为此项目的费用已包括在总报价中。</w:t>
      </w:r>
    </w:p>
    <w:p w14:paraId="30A138EB">
      <w:pPr>
        <w:spacing w:line="440" w:lineRule="exact"/>
        <w:rPr>
          <w:rFonts w:ascii="宋体" w:hAnsi="宋体" w:cs="宋体"/>
          <w:color w:val="auto"/>
          <w:szCs w:val="21"/>
          <w:highlight w:val="none"/>
        </w:rPr>
      </w:pPr>
      <w:r>
        <w:rPr>
          <w:rFonts w:hint="eastAsia" w:ascii="宋体" w:hAnsi="宋体" w:cs="宋体"/>
          <w:color w:val="auto"/>
          <w:szCs w:val="21"/>
          <w:highlight w:val="none"/>
        </w:rPr>
        <w:t>15.3成交供应商负责本项目所需服务的全部工作，包含但不限于本次采购范围内所有服务价款、技术工作费、人工费、材料费、出图费、差旅费、调研费、培训费、管理费、设备、劳务、保险、利润及税金、政策性规定费用及所有风险责任等所有费用，供应商综合考虑在报价中；采购人不再支付</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任何费用。</w:t>
      </w:r>
    </w:p>
    <w:p w14:paraId="4F4C1276">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15.4供应商应就第三章《项目采购需求》中的全部服务内容作完整唯一报价。</w:t>
      </w:r>
    </w:p>
    <w:p w14:paraId="4EB6B111">
      <w:pPr>
        <w:spacing w:line="440" w:lineRule="exact"/>
        <w:ind w:left="420" w:hanging="420"/>
        <w:rPr>
          <w:rFonts w:ascii="宋体" w:hAnsi="宋体" w:cs="宋体"/>
          <w:color w:val="auto"/>
          <w:szCs w:val="21"/>
          <w:highlight w:val="none"/>
        </w:rPr>
      </w:pPr>
      <w:r>
        <w:rPr>
          <w:rFonts w:hint="eastAsia" w:ascii="宋体" w:hAnsi="宋体" w:cs="宋体"/>
          <w:color w:val="auto"/>
          <w:szCs w:val="21"/>
          <w:highlight w:val="none"/>
        </w:rPr>
        <w:t>15.5响应文件只允许有一个报价，有选择的或有条件的报价将不予接受（磋商文件另有规定的除外）。</w:t>
      </w:r>
    </w:p>
    <w:p w14:paraId="49BE7677">
      <w:pPr>
        <w:spacing w:line="440" w:lineRule="exact"/>
        <w:rPr>
          <w:rFonts w:ascii="宋体" w:hAnsi="宋体" w:cs="宋体"/>
          <w:color w:val="auto"/>
          <w:highlight w:val="none"/>
        </w:rPr>
      </w:pPr>
      <w:r>
        <w:rPr>
          <w:rFonts w:hint="eastAsia" w:ascii="宋体" w:hAnsi="宋体" w:cs="宋体"/>
          <w:color w:val="auto"/>
          <w:szCs w:val="21"/>
          <w:highlight w:val="none"/>
        </w:rPr>
        <w:t>15.6</w:t>
      </w:r>
      <w:r>
        <w:rPr>
          <w:rFonts w:hint="eastAsia" w:ascii="宋体" w:hAnsi="宋体" w:cs="宋体"/>
          <w:color w:val="auto"/>
          <w:highlight w:val="none"/>
        </w:rPr>
        <w:t>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2B6AFB29">
      <w:pPr>
        <w:spacing w:line="440" w:lineRule="exact"/>
        <w:rPr>
          <w:rFonts w:ascii="宋体" w:hAnsi="宋体" w:cs="宋体"/>
          <w:b/>
          <w:color w:val="auto"/>
          <w:szCs w:val="21"/>
          <w:highlight w:val="none"/>
        </w:rPr>
      </w:pPr>
      <w:r>
        <w:rPr>
          <w:rFonts w:hint="eastAsia" w:ascii="宋体" w:hAnsi="宋体" w:cs="宋体"/>
          <w:b/>
          <w:color w:val="auto"/>
          <w:szCs w:val="21"/>
          <w:highlight w:val="none"/>
        </w:rPr>
        <w:t>16、响应文件有效期</w:t>
      </w:r>
    </w:p>
    <w:p w14:paraId="0A2B344A">
      <w:pPr>
        <w:spacing w:line="440" w:lineRule="exact"/>
        <w:ind w:left="420" w:hanging="420"/>
        <w:rPr>
          <w:rFonts w:ascii="宋体" w:hAnsi="宋体" w:cs="宋体"/>
          <w:color w:val="auto"/>
          <w:highlight w:val="none"/>
        </w:rPr>
      </w:pPr>
      <w:r>
        <w:rPr>
          <w:rFonts w:hint="eastAsia" w:ascii="宋体" w:hAnsi="宋体" w:cs="宋体"/>
          <w:color w:val="auto"/>
          <w:highlight w:val="none"/>
        </w:rPr>
        <w:t>16.1响应文件有效期：详见供应商须知前附表。有效期不足的响应文件将被拒绝。</w:t>
      </w:r>
    </w:p>
    <w:p w14:paraId="7BC0A698">
      <w:pPr>
        <w:pStyle w:val="22"/>
        <w:snapToGrid w:val="0"/>
        <w:spacing w:line="440" w:lineRule="exact"/>
        <w:jc w:val="left"/>
        <w:rPr>
          <w:rFonts w:hAnsi="宋体" w:cs="宋体"/>
          <w:color w:val="auto"/>
          <w:kern w:val="2"/>
          <w:sz w:val="21"/>
          <w:szCs w:val="24"/>
          <w:highlight w:val="none"/>
        </w:rPr>
      </w:pPr>
      <w:r>
        <w:rPr>
          <w:rFonts w:hint="eastAsia" w:hAnsi="宋体" w:cs="宋体"/>
          <w:color w:val="auto"/>
          <w:kern w:val="2"/>
          <w:sz w:val="21"/>
          <w:szCs w:val="24"/>
          <w:highlight w:val="none"/>
        </w:rPr>
        <w:t>16.2在特殊情况下，采购人可与供应商协商延长响应文件的有效期，这种要求和答复均以书面形式进行。</w:t>
      </w:r>
    </w:p>
    <w:p w14:paraId="5CC9D38B">
      <w:pPr>
        <w:pStyle w:val="22"/>
        <w:snapToGrid w:val="0"/>
        <w:spacing w:line="440" w:lineRule="exact"/>
        <w:jc w:val="left"/>
        <w:rPr>
          <w:rFonts w:hAnsi="宋体" w:cs="宋体"/>
          <w:color w:val="auto"/>
          <w:kern w:val="2"/>
          <w:sz w:val="21"/>
          <w:szCs w:val="24"/>
          <w:highlight w:val="none"/>
        </w:rPr>
      </w:pPr>
      <w:r>
        <w:rPr>
          <w:rFonts w:hint="eastAsia" w:hAnsi="宋体" w:cs="宋体"/>
          <w:color w:val="auto"/>
          <w:kern w:val="2"/>
          <w:sz w:val="21"/>
          <w:szCs w:val="24"/>
          <w:highlight w:val="none"/>
        </w:rPr>
        <w:t>16.3供应商可拒绝接受延长有效期要求而不会导致磋商保证金被没收。同意延长有效期的供应商需要相应延长磋商保证金的有效期，但不能修改响应文件其它内容。</w:t>
      </w:r>
    </w:p>
    <w:p w14:paraId="34857AF5">
      <w:pPr>
        <w:spacing w:line="440" w:lineRule="exact"/>
        <w:ind w:left="420" w:hanging="420"/>
        <w:rPr>
          <w:rFonts w:ascii="宋体" w:hAnsi="宋体" w:cs="宋体"/>
          <w:color w:val="auto"/>
          <w:highlight w:val="none"/>
        </w:rPr>
      </w:pPr>
      <w:r>
        <w:rPr>
          <w:rFonts w:hint="eastAsia" w:ascii="宋体" w:hAnsi="宋体" w:cs="宋体"/>
          <w:color w:val="auto"/>
          <w:szCs w:val="21"/>
          <w:highlight w:val="none"/>
        </w:rPr>
        <w:t>16.4</w:t>
      </w:r>
      <w:r>
        <w:rPr>
          <w:rFonts w:hint="eastAsia" w:ascii="宋体" w:hAnsi="宋体" w:cs="宋体"/>
          <w:color w:val="auto"/>
          <w:highlight w:val="none"/>
        </w:rPr>
        <w:t>供应商的响应文件自开标之日起至合同履行完毕止均应保持有效。</w:t>
      </w:r>
    </w:p>
    <w:p w14:paraId="4BA5481C">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17、磋商保证金</w:t>
      </w:r>
    </w:p>
    <w:p w14:paraId="14C5C200">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17.1磋商保证金金额：详见供应商须知前附表。磋商保证金应在响应文件有效期内保持有效。</w:t>
      </w:r>
    </w:p>
    <w:p w14:paraId="5DCE6E53">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17.2供应商须按规定于竞标截止前足额提交磋商保证金，</w:t>
      </w:r>
      <w:r>
        <w:rPr>
          <w:rFonts w:hint="eastAsia" w:ascii="宋体" w:hAnsi="宋体" w:cs="宋体"/>
          <w:b/>
          <w:color w:val="auto"/>
          <w:kern w:val="0"/>
          <w:szCs w:val="21"/>
          <w:highlight w:val="none"/>
        </w:rPr>
        <w:t>否则，其响应无效。</w:t>
      </w:r>
    </w:p>
    <w:p w14:paraId="79A7825E">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17.3磋商保证金交纳形式：</w:t>
      </w:r>
      <w:r>
        <w:rPr>
          <w:rFonts w:hint="eastAsia" w:ascii="宋体" w:hAnsi="宋体" w:cs="宋体"/>
          <w:color w:val="auto"/>
          <w:highlight w:val="none"/>
        </w:rPr>
        <w:t>转账、电汇、网上银行、支票、汇票、本票或者银行、保险机构出具的保函，禁止采用现钞方式。</w:t>
      </w:r>
    </w:p>
    <w:p w14:paraId="0CE15796">
      <w:pPr>
        <w:snapToGri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highlight w:val="none"/>
        </w:rPr>
        <w:t>采用转账、电汇、网上银行方式的，在首次提交响应文件截止时间前交至</w:t>
      </w:r>
      <w:r>
        <w:rPr>
          <w:rFonts w:hint="eastAsia" w:ascii="宋体" w:hAnsi="宋体" w:cs="宋体"/>
          <w:b/>
          <w:bCs/>
          <w:color w:val="auto"/>
          <w:kern w:val="0"/>
          <w:szCs w:val="21"/>
          <w:highlight w:val="none"/>
        </w:rPr>
        <w:t>开户银行：</w:t>
      </w:r>
      <w:r>
        <w:rPr>
          <w:rFonts w:hint="eastAsia" w:ascii="宋体" w:hAnsi="宋体" w:cs="宋体"/>
          <w:b/>
          <w:bCs/>
          <w:color w:val="auto"/>
          <w:kern w:val="0"/>
          <w:szCs w:val="21"/>
          <w:highlight w:val="none"/>
          <w:u w:val="single"/>
          <w:lang w:val="en-US" w:eastAsia="zh-CN"/>
        </w:rPr>
        <w:t>/</w:t>
      </w:r>
      <w:r>
        <w:rPr>
          <w:rFonts w:hint="eastAsia" w:ascii="宋体" w:hAnsi="宋体" w:cs="宋体"/>
          <w:b/>
          <w:bCs/>
          <w:color w:val="auto"/>
          <w:kern w:val="0"/>
          <w:szCs w:val="21"/>
          <w:highlight w:val="none"/>
        </w:rPr>
        <w:t>，开户名称：</w:t>
      </w:r>
      <w:r>
        <w:rPr>
          <w:rFonts w:hint="eastAsia" w:ascii="宋体" w:hAnsi="宋体" w:cs="宋体"/>
          <w:b/>
          <w:bCs/>
          <w:color w:val="auto"/>
          <w:kern w:val="0"/>
          <w:szCs w:val="21"/>
          <w:highlight w:val="none"/>
          <w:u w:val="single"/>
          <w:lang w:val="en-US" w:eastAsia="zh-CN"/>
        </w:rPr>
        <w:t>/</w:t>
      </w:r>
      <w:r>
        <w:rPr>
          <w:rFonts w:hint="eastAsia" w:ascii="宋体" w:hAnsi="宋体" w:cs="宋体"/>
          <w:b/>
          <w:bCs/>
          <w:color w:val="auto"/>
          <w:kern w:val="0"/>
          <w:szCs w:val="21"/>
          <w:highlight w:val="none"/>
          <w:u w:val="single"/>
        </w:rPr>
        <w:t>，银行账号：</w:t>
      </w:r>
      <w:r>
        <w:rPr>
          <w:rFonts w:hint="eastAsia" w:ascii="宋体" w:hAnsi="宋体" w:cs="宋体"/>
          <w:b/>
          <w:bCs/>
          <w:color w:val="auto"/>
          <w:kern w:val="0"/>
          <w:szCs w:val="21"/>
          <w:highlight w:val="none"/>
          <w:u w:val="single"/>
          <w:lang w:val="en-US" w:eastAsia="zh-CN"/>
        </w:rPr>
        <w:t>/</w:t>
      </w:r>
      <w:r>
        <w:rPr>
          <w:rFonts w:hint="eastAsia" w:ascii="宋体" w:hAnsi="宋体" w:cs="宋体"/>
          <w:color w:val="auto"/>
          <w:kern w:val="0"/>
          <w:szCs w:val="21"/>
          <w:highlight w:val="none"/>
        </w:rPr>
        <w:t>。</w:t>
      </w:r>
    </w:p>
    <w:p w14:paraId="4A05A2BD">
      <w:pPr>
        <w:pStyle w:val="22"/>
        <w:spacing w:line="440" w:lineRule="exact"/>
        <w:ind w:firstLine="420"/>
        <w:rPr>
          <w:rFonts w:hAnsi="宋体" w:cs="宋体"/>
          <w:color w:val="auto"/>
          <w:sz w:val="21"/>
          <w:highlight w:val="none"/>
        </w:rPr>
      </w:pPr>
      <w:r>
        <w:rPr>
          <w:rFonts w:hint="eastAsia" w:hAnsi="宋体" w:cs="宋体"/>
          <w:color w:val="auto"/>
          <w:sz w:val="21"/>
          <w:highlight w:val="none"/>
        </w:rPr>
        <w:t>采用转账、电汇、网上银行方式的，由供应商按上条中明确的全称、帐号、开户行，在保证金规定递交时间内转入（汇入）广西德元工程项目管理有限责任公司保证金专户上，并将银行转账底单的复印件作为磋商保证金提交凭证，放置于响应文件中，</w:t>
      </w:r>
      <w:r>
        <w:rPr>
          <w:rFonts w:hint="eastAsia" w:hAnsi="宋体" w:cs="宋体"/>
          <w:b/>
          <w:color w:val="auto"/>
          <w:sz w:val="21"/>
          <w:highlight w:val="none"/>
        </w:rPr>
        <w:t>否则其响应无效</w:t>
      </w:r>
      <w:r>
        <w:rPr>
          <w:rFonts w:hint="eastAsia" w:hAnsi="宋体" w:cs="宋体"/>
          <w:color w:val="auto"/>
          <w:sz w:val="21"/>
          <w:highlight w:val="none"/>
        </w:rPr>
        <w:t>。若广西德元工程项目管理有限责任公司保证金专户在保证金规定递交时间内没有收到供应商足额交纳的磋商保证金，</w:t>
      </w:r>
      <w:r>
        <w:rPr>
          <w:rFonts w:hint="eastAsia" w:hAnsi="宋体" w:cs="宋体"/>
          <w:b/>
          <w:color w:val="auto"/>
          <w:sz w:val="21"/>
          <w:highlight w:val="none"/>
        </w:rPr>
        <w:t>其响应无效</w:t>
      </w:r>
      <w:r>
        <w:rPr>
          <w:rFonts w:hint="eastAsia" w:hAnsi="宋体" w:cs="宋体"/>
          <w:color w:val="auto"/>
          <w:sz w:val="21"/>
          <w:highlight w:val="none"/>
        </w:rPr>
        <w:t>；因此供应商在缴纳磋商保证金时应充分考虑保证金到达本公司保证金专户上的时间，以免影响竞标。办理磋商保证金手续时，请务必在银行进帐单的用途或空白栏上注明招标项目名称或采购编号</w:t>
      </w:r>
      <w:r>
        <w:rPr>
          <w:rFonts w:hint="eastAsia" w:hAnsi="宋体" w:cs="宋体"/>
          <w:b/>
          <w:color w:val="auto"/>
          <w:sz w:val="21"/>
          <w:highlight w:val="none"/>
        </w:rPr>
        <w:t>，如遇受字符限制的情况，项目名称可简写。</w:t>
      </w:r>
    </w:p>
    <w:p w14:paraId="23F6C374">
      <w:pPr>
        <w:pStyle w:val="22"/>
        <w:spacing w:line="440" w:lineRule="exact"/>
        <w:ind w:firstLine="420"/>
        <w:rPr>
          <w:rFonts w:hAnsi="宋体" w:cs="宋体"/>
          <w:color w:val="auto"/>
          <w:sz w:val="21"/>
          <w:highlight w:val="none"/>
        </w:rPr>
      </w:pPr>
      <w:r>
        <w:rPr>
          <w:rFonts w:hint="eastAsia" w:hAnsi="宋体" w:cs="宋体"/>
          <w:color w:val="auto"/>
          <w:sz w:val="21"/>
          <w:highlight w:val="none"/>
        </w:rPr>
        <w:t>采用支票、汇票、本票或银行、保险机构出具的保函交纳方式的，供应商应将支票、汇票、本票或银行、保险机构出具的保函的复印件作为磋商保证金提交凭证，放置于响应文件中</w:t>
      </w:r>
      <w:r>
        <w:rPr>
          <w:rFonts w:hint="eastAsia" w:hAnsi="宋体" w:cs="宋体"/>
          <w:b/>
          <w:color w:val="auto"/>
          <w:sz w:val="21"/>
          <w:highlight w:val="none"/>
        </w:rPr>
        <w:t>，否则其响应无效</w:t>
      </w:r>
      <w:r>
        <w:rPr>
          <w:rFonts w:hint="eastAsia" w:hAnsi="宋体" w:cs="宋体"/>
          <w:color w:val="auto"/>
          <w:sz w:val="21"/>
          <w:highlight w:val="none"/>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hAnsi="宋体" w:cs="宋体"/>
          <w:b/>
          <w:color w:val="auto"/>
          <w:sz w:val="21"/>
          <w:highlight w:val="none"/>
        </w:rPr>
        <w:t>其响应无效</w:t>
      </w:r>
      <w:r>
        <w:rPr>
          <w:rFonts w:hint="eastAsia" w:hAnsi="宋体" w:cs="宋体"/>
          <w:color w:val="auto"/>
          <w:sz w:val="21"/>
          <w:highlight w:val="none"/>
        </w:rPr>
        <w:t>；因此供应商无论采用现场或者是邮寄递交上述原件时应充分考虑到达时间，以免影响竞标。</w:t>
      </w:r>
    </w:p>
    <w:p w14:paraId="4E8B11D1">
      <w:pPr>
        <w:pStyle w:val="22"/>
        <w:spacing w:line="440" w:lineRule="exact"/>
        <w:rPr>
          <w:rFonts w:hAnsi="宋体" w:cs="宋体"/>
          <w:color w:val="auto"/>
          <w:sz w:val="21"/>
          <w:highlight w:val="none"/>
        </w:rPr>
      </w:pPr>
      <w:r>
        <w:rPr>
          <w:rFonts w:hint="eastAsia" w:hAnsi="宋体" w:cs="宋体"/>
          <w:color w:val="auto"/>
          <w:sz w:val="21"/>
          <w:highlight w:val="none"/>
        </w:rPr>
        <w:t>17.4</w:t>
      </w:r>
      <w:r>
        <w:rPr>
          <w:rFonts w:hint="eastAsia" w:hAnsi="宋体" w:cs="宋体"/>
          <w:b/>
          <w:color w:val="auto"/>
          <w:spacing w:val="-2"/>
          <w:sz w:val="21"/>
          <w:highlight w:val="none"/>
        </w:rPr>
        <w:t>首次提交响应文件截止时间后提交的，或未足额交纳的，或保函额度不足的，视为无效磋商保证金</w:t>
      </w:r>
      <w:r>
        <w:rPr>
          <w:rFonts w:hint="eastAsia" w:hAnsi="宋体" w:cs="宋体"/>
          <w:b/>
          <w:color w:val="auto"/>
          <w:sz w:val="21"/>
          <w:highlight w:val="none"/>
        </w:rPr>
        <w:t>。</w:t>
      </w:r>
    </w:p>
    <w:p w14:paraId="1E6CCB98">
      <w:pPr>
        <w:pStyle w:val="22"/>
        <w:spacing w:line="440" w:lineRule="exact"/>
        <w:rPr>
          <w:rFonts w:hAnsi="宋体" w:cs="宋体"/>
          <w:color w:val="auto"/>
          <w:sz w:val="21"/>
          <w:highlight w:val="none"/>
        </w:rPr>
      </w:pPr>
      <w:r>
        <w:rPr>
          <w:rFonts w:hint="eastAsia" w:hAnsi="宋体" w:cs="宋体"/>
          <w:color w:val="auto"/>
          <w:sz w:val="21"/>
          <w:highlight w:val="none"/>
        </w:rPr>
        <w:t>17.5</w:t>
      </w:r>
      <w:r>
        <w:rPr>
          <w:rFonts w:hint="eastAsia" w:hAnsi="宋体" w:cs="宋体"/>
          <w:b/>
          <w:color w:val="auto"/>
          <w:sz w:val="21"/>
          <w:highlight w:val="none"/>
        </w:rPr>
        <w:t>供应商采用现钞方式或从个人账户（个体工商户及自然人竞标除外）转出的磋商保证金，视为无效磋商保证金。</w:t>
      </w:r>
    </w:p>
    <w:p w14:paraId="369D8CE9">
      <w:pPr>
        <w:pStyle w:val="22"/>
        <w:spacing w:line="440" w:lineRule="exact"/>
        <w:rPr>
          <w:rFonts w:hAnsi="宋体" w:cs="宋体"/>
          <w:color w:val="auto"/>
          <w:sz w:val="21"/>
          <w:highlight w:val="none"/>
        </w:rPr>
      </w:pPr>
      <w:r>
        <w:rPr>
          <w:rFonts w:hint="eastAsia" w:hAnsi="宋体" w:cs="宋体"/>
          <w:color w:val="auto"/>
          <w:sz w:val="21"/>
          <w:highlight w:val="none"/>
        </w:rPr>
        <w:t>17.6</w:t>
      </w:r>
      <w:r>
        <w:rPr>
          <w:rFonts w:hint="eastAsia" w:hAnsi="宋体" w:cs="宋体"/>
          <w:b/>
          <w:color w:val="auto"/>
          <w:sz w:val="21"/>
          <w:highlight w:val="none"/>
        </w:rPr>
        <w:t>支票、汇票、本票出现背书情形，或者有条件支付的，或者支票、汇票、本票无效的，视为无效磋商保证金。</w:t>
      </w:r>
    </w:p>
    <w:p w14:paraId="35C11514">
      <w:pPr>
        <w:pStyle w:val="22"/>
        <w:spacing w:line="440" w:lineRule="exact"/>
        <w:rPr>
          <w:rFonts w:hAnsi="宋体" w:cs="宋体"/>
          <w:color w:val="auto"/>
          <w:sz w:val="21"/>
          <w:highlight w:val="none"/>
        </w:rPr>
      </w:pPr>
      <w:r>
        <w:rPr>
          <w:rFonts w:hint="eastAsia" w:hAnsi="宋体" w:cs="宋体"/>
          <w:color w:val="auto"/>
          <w:sz w:val="21"/>
          <w:highlight w:val="none"/>
        </w:rPr>
        <w:t>17.7</w:t>
      </w:r>
      <w:r>
        <w:rPr>
          <w:rFonts w:hint="eastAsia" w:hAnsi="宋体" w:cs="宋体"/>
          <w:b/>
          <w:color w:val="auto"/>
          <w:sz w:val="21"/>
          <w:highlight w:val="none"/>
        </w:rPr>
        <w:t>保函有效期低于响应文件有效期的，视为无效磋商保证金。</w:t>
      </w:r>
    </w:p>
    <w:p w14:paraId="2EACF6A8">
      <w:pPr>
        <w:pStyle w:val="22"/>
        <w:spacing w:line="440" w:lineRule="exact"/>
        <w:rPr>
          <w:rFonts w:hAnsi="宋体" w:cs="宋体"/>
          <w:b/>
          <w:color w:val="auto"/>
          <w:kern w:val="2"/>
          <w:sz w:val="21"/>
          <w:highlight w:val="none"/>
        </w:rPr>
      </w:pPr>
      <w:r>
        <w:rPr>
          <w:rFonts w:hint="eastAsia" w:hAnsi="宋体" w:cs="宋体"/>
          <w:color w:val="auto"/>
          <w:sz w:val="21"/>
          <w:highlight w:val="none"/>
        </w:rPr>
        <w:t>17.8</w:t>
      </w:r>
      <w:r>
        <w:rPr>
          <w:rFonts w:hint="eastAsia" w:hAnsi="宋体" w:cs="宋体"/>
          <w:b/>
          <w:color w:val="auto"/>
          <w:sz w:val="21"/>
          <w:highlight w:val="none"/>
        </w:rPr>
        <w:t>磋商保证金采用金融机构、担保机构出具的保函为有条件保函的，视为无效磋商保证金。</w:t>
      </w:r>
    </w:p>
    <w:p w14:paraId="175172B9">
      <w:pPr>
        <w:pStyle w:val="22"/>
        <w:spacing w:line="440" w:lineRule="exact"/>
        <w:rPr>
          <w:rFonts w:hAnsi="宋体" w:cs="宋体"/>
          <w:color w:val="auto"/>
          <w:sz w:val="21"/>
          <w:highlight w:val="none"/>
        </w:rPr>
      </w:pPr>
      <w:r>
        <w:rPr>
          <w:rFonts w:hint="eastAsia" w:hAnsi="宋体" w:cs="宋体"/>
          <w:color w:val="auto"/>
          <w:sz w:val="21"/>
          <w:highlight w:val="none"/>
        </w:rPr>
        <w:t>17.9磋商保证金的退还</w:t>
      </w:r>
    </w:p>
    <w:p w14:paraId="2D13BF07">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（1）未成交人的磋商保证金自成交通知书发出之日起</w:t>
      </w:r>
      <w:r>
        <w:rPr>
          <w:rFonts w:hint="eastAsia" w:ascii="宋体" w:hAnsi="宋体" w:cs="宋体"/>
          <w:color w:val="auto"/>
          <w:highlight w:val="none"/>
          <w:lang w:val="en-US" w:eastAsia="zh-CN"/>
        </w:rPr>
        <w:t>5</w:t>
      </w:r>
      <w:r>
        <w:rPr>
          <w:rFonts w:hint="eastAsia" w:ascii="宋体" w:hAnsi="宋体" w:cs="宋体"/>
          <w:color w:val="auto"/>
          <w:highlight w:val="none"/>
        </w:rPr>
        <w:t>个工作日内退还，退还方式如下：</w:t>
      </w:r>
    </w:p>
    <w:p w14:paraId="56A737EF">
      <w:pPr>
        <w:snapToGrid w:val="0"/>
        <w:spacing w:line="440" w:lineRule="exact"/>
        <w:ind w:firstLine="630" w:firstLineChars="300"/>
        <w:jc w:val="left"/>
        <w:rPr>
          <w:rFonts w:ascii="宋体" w:hAnsi="宋体" w:cs="宋体"/>
          <w:color w:val="auto"/>
          <w:highlight w:val="none"/>
        </w:rPr>
      </w:pPr>
      <w:r>
        <w:rPr>
          <w:rFonts w:hint="eastAsia" w:ascii="宋体" w:hAnsi="宋体" w:cs="宋体"/>
          <w:color w:val="auto"/>
          <w:highlight w:val="none"/>
        </w:rPr>
        <w:t>①采用银行转账方式的，以转账方式退回到供应商银行账户。</w:t>
      </w:r>
    </w:p>
    <w:p w14:paraId="4395A551">
      <w:pPr>
        <w:snapToGrid w:val="0"/>
        <w:spacing w:line="440" w:lineRule="exact"/>
        <w:ind w:firstLine="630" w:firstLineChars="300"/>
        <w:jc w:val="left"/>
        <w:rPr>
          <w:rFonts w:ascii="宋体" w:hAnsi="宋体" w:cs="宋体"/>
          <w:color w:val="auto"/>
          <w:highlight w:val="none"/>
        </w:rPr>
      </w:pPr>
      <w:r>
        <w:rPr>
          <w:rFonts w:hint="eastAsia" w:ascii="宋体" w:hAnsi="宋体" w:cs="宋体"/>
          <w:color w:val="auto"/>
          <w:highlight w:val="none"/>
        </w:rPr>
        <w:t>②采用支票、汇票或本票方式的，以转账方式退回到供应商银行账户或由供应商代表持相关授权证明材料至采购人或采购代理机构办理支票、汇票或本票原件退还手续。</w:t>
      </w:r>
    </w:p>
    <w:p w14:paraId="53F5D522">
      <w:pPr>
        <w:snapToGrid w:val="0"/>
        <w:spacing w:line="440" w:lineRule="exact"/>
        <w:ind w:firstLine="630" w:firstLineChars="300"/>
        <w:jc w:val="left"/>
        <w:rPr>
          <w:rFonts w:ascii="宋体" w:hAnsi="宋体" w:cs="宋体"/>
          <w:color w:val="auto"/>
          <w:highlight w:val="none"/>
        </w:rPr>
      </w:pPr>
      <w:r>
        <w:rPr>
          <w:rFonts w:hint="eastAsia" w:ascii="宋体" w:hAnsi="宋体" w:cs="宋体"/>
          <w:color w:val="auto"/>
          <w:highlight w:val="none"/>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p>
    <w:p w14:paraId="01A2AC72">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（2）成交人应在合同签订之日起2个工作日内向采购代理机构提供</w:t>
      </w:r>
      <w:r>
        <w:rPr>
          <w:rFonts w:hint="eastAsia" w:ascii="宋体" w:hAnsi="宋体" w:cs="宋体"/>
          <w:color w:val="auto"/>
          <w:highlight w:val="none"/>
          <w:u w:val="single"/>
        </w:rPr>
        <w:t>壹</w:t>
      </w:r>
      <w:r>
        <w:rPr>
          <w:rFonts w:hint="eastAsia" w:ascii="宋体" w:hAnsi="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w:t>
      </w:r>
      <w:r>
        <w:rPr>
          <w:rFonts w:hint="eastAsia" w:ascii="宋体" w:hAnsi="宋体" w:cs="宋体"/>
          <w:color w:val="auto"/>
          <w:highlight w:val="none"/>
          <w:lang w:val="en-US" w:eastAsia="zh-CN"/>
        </w:rPr>
        <w:t>5</w:t>
      </w:r>
      <w:r>
        <w:rPr>
          <w:rFonts w:hint="eastAsia" w:ascii="宋体" w:hAnsi="宋体" w:cs="宋体"/>
          <w:color w:val="auto"/>
          <w:highlight w:val="none"/>
        </w:rPr>
        <w:t>个工作日退还成交人的投标保证金。对无法在上述要求期限内将合同送达采购代理机构的成交人，采购代理机构须凭成交人出具加盖公章的情况说明才能退还其投标保证金。投标保证金退还方式同未成交人的投标保证金的退还方式。</w:t>
      </w:r>
    </w:p>
    <w:p w14:paraId="6F317659">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（3）磋商保证金不计息。</w:t>
      </w:r>
    </w:p>
    <w:p w14:paraId="3D4AC560">
      <w:pPr>
        <w:snapToGrid w:val="0"/>
        <w:spacing w:line="440" w:lineRule="exact"/>
        <w:jc w:val="left"/>
        <w:rPr>
          <w:rFonts w:ascii="宋体" w:hAnsi="宋体" w:cs="宋体"/>
          <w:color w:val="auto"/>
          <w:highlight w:val="none"/>
        </w:rPr>
      </w:pPr>
      <w:r>
        <w:rPr>
          <w:rFonts w:hint="eastAsia" w:ascii="宋体" w:hAnsi="宋体" w:cs="宋体"/>
          <w:color w:val="auto"/>
          <w:highlight w:val="none"/>
        </w:rPr>
        <w:t>17.10供应商有下列情形之一的，磋商保证金将不予退还：</w:t>
      </w:r>
    </w:p>
    <w:p w14:paraId="4CCCC805">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（1）供应商在响应文件有效期内撤回响应文件的；</w:t>
      </w:r>
    </w:p>
    <w:p w14:paraId="745DA7D6">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（2）未按规定提交履约保证金的；</w:t>
      </w:r>
    </w:p>
    <w:p w14:paraId="31FA6C33">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（3）供应商在竞标过程中弄虚作假，提供虚假材料的；</w:t>
      </w:r>
    </w:p>
    <w:p w14:paraId="24AABA44">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（4）成交人无正当理由不与采购人签订合同的；</w:t>
      </w:r>
    </w:p>
    <w:p w14:paraId="23564B57">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（5）将成交项目转让给他人或者在响应文件中未说明且未经招标采购单位同意，将成交项目分包给他人的；</w:t>
      </w:r>
    </w:p>
    <w:p w14:paraId="39B68EDD">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（6）拒绝履行合同义务的；</w:t>
      </w:r>
    </w:p>
    <w:p w14:paraId="6AF70892">
      <w:pPr>
        <w:snapToGrid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（7）其他严重扰乱招竞标程序的；</w:t>
      </w:r>
    </w:p>
    <w:p w14:paraId="36352F9C">
      <w:pPr>
        <w:spacing w:line="440" w:lineRule="exact"/>
        <w:ind w:left="420" w:hanging="420"/>
        <w:rPr>
          <w:rFonts w:ascii="宋体" w:hAnsi="宋体" w:cs="宋体"/>
          <w:b/>
          <w:color w:val="auto"/>
          <w:szCs w:val="21"/>
          <w:highlight w:val="none"/>
        </w:rPr>
      </w:pPr>
      <w:r>
        <w:rPr>
          <w:rFonts w:hint="eastAsia" w:ascii="宋体" w:hAnsi="宋体" w:cs="宋体"/>
          <w:b/>
          <w:color w:val="auto"/>
          <w:szCs w:val="21"/>
          <w:highlight w:val="none"/>
        </w:rPr>
        <w:t>18、</w:t>
      </w:r>
      <w:bookmarkStart w:id="8" w:name="_Toc254970542"/>
      <w:bookmarkStart w:id="9" w:name="_Toc254970683"/>
      <w:r>
        <w:rPr>
          <w:rFonts w:hint="eastAsia" w:ascii="宋体" w:hAnsi="宋体" w:cs="宋体"/>
          <w:b/>
          <w:color w:val="auto"/>
          <w:szCs w:val="21"/>
          <w:highlight w:val="none"/>
        </w:rPr>
        <w:t>响应文件的</w:t>
      </w:r>
      <w:bookmarkEnd w:id="8"/>
      <w:bookmarkEnd w:id="9"/>
      <w:r>
        <w:rPr>
          <w:rFonts w:hint="eastAsia" w:ascii="宋体" w:hAnsi="宋体" w:cs="宋体"/>
          <w:b/>
          <w:color w:val="auto"/>
          <w:szCs w:val="21"/>
          <w:highlight w:val="none"/>
        </w:rPr>
        <w:t>编制</w:t>
      </w:r>
    </w:p>
    <w:p w14:paraId="548F09C3">
      <w:pPr>
        <w:snapToGrid w:val="0"/>
        <w:spacing w:line="440" w:lineRule="exact"/>
        <w:jc w:val="left"/>
        <w:rPr>
          <w:rFonts w:ascii="宋体" w:hAnsi="宋体" w:cs="宋体"/>
          <w:color w:val="auto"/>
          <w:highlight w:val="none"/>
        </w:rPr>
      </w:pPr>
      <w:r>
        <w:rPr>
          <w:rFonts w:hint="eastAsia" w:ascii="宋体" w:hAnsi="宋体" w:cs="宋体"/>
          <w:color w:val="auto"/>
          <w:highlight w:val="none"/>
        </w:rPr>
        <w:t>18.1供应商应按本竞争性磋商采购文件规定的格式和顺序编制、装订响应文件并标注页码，响应文件内容不完整、编排混乱导致响应文件被误读、漏读或者查找不到相关内容的，所引起的后果由供应商负责。</w:t>
      </w:r>
    </w:p>
    <w:p w14:paraId="264360C2">
      <w:pPr>
        <w:snapToGrid w:val="0"/>
        <w:spacing w:line="440" w:lineRule="exact"/>
        <w:jc w:val="left"/>
        <w:rPr>
          <w:rFonts w:ascii="宋体" w:hAnsi="宋体" w:cs="宋体"/>
          <w:color w:val="auto"/>
          <w:highlight w:val="none"/>
        </w:rPr>
      </w:pPr>
      <w:r>
        <w:rPr>
          <w:rFonts w:hint="eastAsia" w:ascii="宋体" w:hAnsi="宋体" w:cs="宋体"/>
          <w:color w:val="auto"/>
          <w:highlight w:val="none"/>
        </w:rPr>
        <w:t>18.2响应文件应按资格证明、报价分别编制，商务技术文件合并编制，本磋商只接受电子版响应文件。</w:t>
      </w:r>
    </w:p>
    <w:p w14:paraId="37D78BA0">
      <w:pPr>
        <w:snapToGrid w:val="0"/>
        <w:spacing w:line="440" w:lineRule="exact"/>
        <w:jc w:val="left"/>
        <w:rPr>
          <w:rFonts w:ascii="宋体" w:hAnsi="宋体" w:cs="宋体"/>
          <w:color w:val="auto"/>
          <w:highlight w:val="none"/>
        </w:rPr>
      </w:pPr>
      <w:r>
        <w:rPr>
          <w:rFonts w:hint="eastAsia" w:ascii="宋体" w:hAnsi="宋体" w:cs="宋体"/>
          <w:color w:val="auto"/>
          <w:highlight w:val="none"/>
        </w:rPr>
        <w:t>18.3响应文件电子版要求：按照本采购文件“第四章响应文件格式”编写（第四章未附格式的，由供应商自行拟定），并在规定加盖公章处加盖电子公章，否则响应文件按无效响应处理。</w:t>
      </w:r>
      <w:r>
        <w:rPr>
          <w:rFonts w:hint="eastAsia" w:ascii="宋体" w:hAnsi="宋体" w:cs="宋体"/>
          <w:color w:val="auto"/>
          <w:kern w:val="0"/>
          <w:szCs w:val="21"/>
          <w:highlight w:val="none"/>
        </w:rPr>
        <w:t>骑缝盖</w:t>
      </w:r>
      <w:r>
        <w:rPr>
          <w:rFonts w:hint="eastAsia" w:ascii="宋体" w:hAnsi="宋体" w:cs="宋体"/>
          <w:color w:val="auto"/>
          <w:highlight w:val="none"/>
        </w:rPr>
        <w:t>公章不视为在规定位置盖章。</w:t>
      </w:r>
    </w:p>
    <w:p w14:paraId="7837593C">
      <w:pPr>
        <w:snapToGrid w:val="0"/>
        <w:spacing w:line="440" w:lineRule="exact"/>
        <w:jc w:val="left"/>
        <w:rPr>
          <w:rFonts w:ascii="宋体" w:hAnsi="宋体" w:cs="宋体"/>
          <w:color w:val="auto"/>
          <w:highlight w:val="none"/>
        </w:rPr>
      </w:pPr>
      <w:r>
        <w:rPr>
          <w:rFonts w:hint="eastAsia" w:ascii="宋体" w:hAnsi="宋体" w:cs="宋体"/>
          <w:color w:val="auto"/>
          <w:highlight w:val="none"/>
        </w:rPr>
        <w:t>18.4响应文件中标注的供应商名称应与营业执照（事业单位法人证书、执业许可证、自然人身份证）及电子公章一致，否则其响应文件按无效响应处理。</w:t>
      </w:r>
    </w:p>
    <w:p w14:paraId="15C1B9E8">
      <w:pPr>
        <w:snapToGrid w:val="0"/>
        <w:spacing w:line="440" w:lineRule="exact"/>
        <w:jc w:val="left"/>
        <w:rPr>
          <w:rFonts w:ascii="宋体" w:hAnsi="宋体" w:cs="宋体"/>
          <w:color w:val="auto"/>
          <w:highlight w:val="none"/>
        </w:rPr>
      </w:pPr>
      <w:r>
        <w:rPr>
          <w:rFonts w:hint="eastAsia" w:ascii="宋体" w:hAnsi="宋体" w:cs="宋体"/>
          <w:color w:val="auto"/>
          <w:highlight w:val="none"/>
        </w:rPr>
        <w:t>18.5</w:t>
      </w:r>
      <w:r>
        <w:rPr>
          <w:rFonts w:hint="eastAsia" w:ascii="宋体" w:hAnsi="宋体" w:cs="宋体"/>
          <w:color w:val="auto"/>
          <w:kern w:val="0"/>
          <w:szCs w:val="21"/>
          <w:highlight w:val="none"/>
        </w:rPr>
        <w:t>响应文件应避免涂改、行间插字或者删除，否则其响应文件按无效响应处理。</w:t>
      </w:r>
    </w:p>
    <w:p w14:paraId="011002F5">
      <w:pPr>
        <w:snapToGrid w:val="0"/>
        <w:spacing w:line="440" w:lineRule="exact"/>
        <w:jc w:val="left"/>
        <w:rPr>
          <w:rFonts w:ascii="宋体" w:hAnsi="宋体" w:cs="宋体"/>
          <w:color w:val="auto"/>
          <w:highlight w:val="none"/>
        </w:rPr>
      </w:pPr>
      <w:r>
        <w:rPr>
          <w:rFonts w:hint="eastAsia" w:ascii="宋体" w:hAnsi="宋体" w:cs="宋体"/>
          <w:color w:val="auto"/>
          <w:highlight w:val="none"/>
        </w:rPr>
        <w:t>18.6供应商进行电子交易应安装客户端软件—“广西政府采购云平台电子交易客户端”，并按照磋商文件和电子交易平台的要求编制并加密响应文件。供应商未按规定加密的响应文件，电子交易平台将拒收并提示。</w:t>
      </w:r>
    </w:p>
    <w:p w14:paraId="1FCA4B86">
      <w:pPr>
        <w:snapToGrid w:val="0"/>
        <w:spacing w:line="440" w:lineRule="exact"/>
        <w:jc w:val="left"/>
        <w:rPr>
          <w:rFonts w:ascii="宋体" w:hAnsi="宋体" w:cs="宋体"/>
          <w:color w:val="auto"/>
          <w:highlight w:val="none"/>
        </w:rPr>
      </w:pPr>
      <w:r>
        <w:rPr>
          <w:rFonts w:hint="eastAsia" w:ascii="宋体" w:hAnsi="宋体" w:cs="宋体"/>
          <w:color w:val="auto"/>
          <w:highlight w:val="none"/>
        </w:rPr>
        <w:t>18.7使用“广西政府采购云平台电子交易客户端”需要提前申领CA数字证书，申领流程见该项目采购公告附件。</w:t>
      </w:r>
    </w:p>
    <w:p w14:paraId="6A9A7571">
      <w:pPr>
        <w:snapToGrid w:val="0"/>
        <w:spacing w:line="440" w:lineRule="exact"/>
        <w:jc w:val="left"/>
        <w:rPr>
          <w:rFonts w:ascii="宋体" w:hAnsi="宋体" w:cs="宋体"/>
          <w:color w:val="auto"/>
          <w:highlight w:val="none"/>
        </w:rPr>
      </w:pPr>
      <w:r>
        <w:rPr>
          <w:rFonts w:hint="eastAsia" w:ascii="宋体" w:hAnsi="宋体" w:cs="宋体"/>
          <w:color w:val="auto"/>
          <w:highlight w:val="none"/>
        </w:rPr>
        <w:t>18.8为确保网上操作合法、有效和安全，供应商应当在响应文件提交截止时间前完成在“政府采购云平台”的身份认证，确保在电子交易过程中能够对相关数据电文进行加密和使用电子签名。</w:t>
      </w:r>
    </w:p>
    <w:p w14:paraId="1D30B0A0">
      <w:pPr>
        <w:spacing w:line="440" w:lineRule="exact"/>
        <w:rPr>
          <w:rFonts w:ascii="宋体" w:hAnsi="宋体" w:cs="宋体"/>
          <w:b/>
          <w:color w:val="auto"/>
          <w:szCs w:val="21"/>
          <w:highlight w:val="none"/>
        </w:rPr>
      </w:pPr>
      <w:r>
        <w:rPr>
          <w:rFonts w:hint="eastAsia" w:ascii="宋体" w:hAnsi="宋体" w:cs="宋体"/>
          <w:b/>
          <w:color w:val="auto"/>
          <w:highlight w:val="none"/>
        </w:rPr>
        <w:t>19.</w:t>
      </w:r>
      <w:r>
        <w:rPr>
          <w:rFonts w:hint="eastAsia" w:ascii="宋体" w:hAnsi="宋体" w:cs="宋体"/>
          <w:b/>
          <w:color w:val="auto"/>
          <w:szCs w:val="21"/>
          <w:highlight w:val="none"/>
        </w:rPr>
        <w:t>响应文件的递交</w:t>
      </w:r>
    </w:p>
    <w:p w14:paraId="56AF9A31">
      <w:pPr>
        <w:snapToGrid w:val="0"/>
        <w:spacing w:line="440" w:lineRule="exact"/>
        <w:jc w:val="left"/>
        <w:rPr>
          <w:rFonts w:ascii="宋体" w:hAnsi="宋体" w:cs="宋体"/>
          <w:color w:val="auto"/>
          <w:highlight w:val="none"/>
        </w:rPr>
      </w:pPr>
      <w:r>
        <w:rPr>
          <w:rFonts w:hint="eastAsia" w:ascii="宋体" w:hAnsi="宋体" w:cs="宋体"/>
          <w:color w:val="auto"/>
          <w:highlight w:val="none"/>
        </w:rPr>
        <w:t>19.1供应商必须在“供应商须知前附表”规定的响应文件接收时间和地点提交电子版响应文件。电子响应文件应在制作完成后，在提交截止时间前通过有效数字证书（CA认证锁）进行电子签章、加密，然后通过网络将加密的电子响应文件递交至“广西政府采购云平台”。</w:t>
      </w:r>
    </w:p>
    <w:p w14:paraId="0B9427A3">
      <w:pPr>
        <w:snapToGrid w:val="0"/>
        <w:spacing w:line="440" w:lineRule="exact"/>
        <w:jc w:val="left"/>
        <w:rPr>
          <w:rFonts w:ascii="宋体" w:hAnsi="宋体" w:cs="宋体"/>
          <w:color w:val="auto"/>
          <w:highlight w:val="none"/>
        </w:rPr>
      </w:pPr>
      <w:r>
        <w:rPr>
          <w:rFonts w:hint="eastAsia" w:ascii="宋体" w:hAnsi="宋体" w:cs="宋体"/>
          <w:color w:val="auto"/>
          <w:highlight w:val="none"/>
        </w:rPr>
        <w:t>19.2未在规定时间内提交或者未按照磋商文件要求密封或者标记的电子响应文件，广西政府采购云平台将拒收。</w:t>
      </w:r>
    </w:p>
    <w:p w14:paraId="0F8A935E">
      <w:pPr>
        <w:snapToGrid w:val="0"/>
        <w:spacing w:line="440" w:lineRule="exact"/>
        <w:jc w:val="left"/>
        <w:rPr>
          <w:rFonts w:ascii="宋体" w:hAnsi="宋体" w:cs="宋体"/>
          <w:color w:val="auto"/>
          <w:highlight w:val="none"/>
        </w:rPr>
      </w:pPr>
      <w:r>
        <w:rPr>
          <w:rFonts w:hint="eastAsia" w:ascii="宋体" w:hAnsi="宋体" w:cs="宋体"/>
          <w:color w:val="auto"/>
          <w:highlight w:val="none"/>
        </w:rPr>
        <w:t>19.3电子版响应文件提交方式见“磋商公告”中“四、提交响应文件截止时间、开标时间和地点”。</w:t>
      </w:r>
    </w:p>
    <w:p w14:paraId="437FE1AE">
      <w:pPr>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20.响应文件的补充、修改、撤回与退回</w:t>
      </w:r>
    </w:p>
    <w:p w14:paraId="0D3B2700">
      <w:pPr>
        <w:snapToGrid w:val="0"/>
        <w:spacing w:line="440" w:lineRule="exact"/>
        <w:jc w:val="left"/>
        <w:rPr>
          <w:rFonts w:ascii="宋体" w:hAnsi="宋体" w:cs="宋体"/>
          <w:color w:val="auto"/>
          <w:highlight w:val="none"/>
        </w:rPr>
      </w:pPr>
      <w:r>
        <w:rPr>
          <w:rFonts w:hint="eastAsia" w:ascii="宋体" w:hAnsi="宋体" w:cs="宋体"/>
          <w:color w:val="auto"/>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平台将拒收。</w:t>
      </w:r>
    </w:p>
    <w:p w14:paraId="22B815F4">
      <w:pPr>
        <w:snapToGrid w:val="0"/>
        <w:spacing w:line="440" w:lineRule="exact"/>
        <w:jc w:val="left"/>
        <w:rPr>
          <w:rFonts w:ascii="宋体" w:hAnsi="宋体" w:cs="宋体"/>
          <w:color w:val="auto"/>
          <w:highlight w:val="none"/>
        </w:rPr>
      </w:pPr>
      <w:r>
        <w:rPr>
          <w:rFonts w:hint="eastAsia" w:ascii="宋体" w:hAnsi="宋体" w:cs="宋体"/>
          <w:color w:val="auto"/>
          <w:highlight w:val="none"/>
        </w:rPr>
        <w:t>20.2广西政府采购云平台收到响应文件，将妥善保存并即时向供应商发出确认回执通知。在提交响应文件截止时间前，除供应商补充、修改或者撤回响应文件外，任何单位和个人不得解密或提取响应文件。</w:t>
      </w:r>
    </w:p>
    <w:p w14:paraId="5130A61B">
      <w:pPr>
        <w:snapToGrid w:val="0"/>
        <w:spacing w:line="440" w:lineRule="exact"/>
        <w:jc w:val="left"/>
        <w:rPr>
          <w:rFonts w:ascii="宋体" w:hAnsi="宋体" w:cs="宋体"/>
          <w:color w:val="auto"/>
          <w:highlight w:val="none"/>
        </w:rPr>
      </w:pPr>
      <w:r>
        <w:rPr>
          <w:rFonts w:hint="eastAsia" w:ascii="宋体" w:hAnsi="宋体" w:cs="宋体"/>
          <w:color w:val="auto"/>
          <w:highlight w:val="none"/>
        </w:rPr>
        <w:t>20.3在提交响应文件截止时间止提交电子版响应文件的供应商不足3家时，电子版响应文件由代理机构在广西政府采购云平台操作退回，除此之外采购人和采购代理机构对已提交的响应文件概不退回。</w:t>
      </w:r>
    </w:p>
    <w:p w14:paraId="4EF39DCD">
      <w:pPr>
        <w:tabs>
          <w:tab w:val="left" w:pos="3600"/>
        </w:tabs>
        <w:spacing w:line="440" w:lineRule="exact"/>
        <w:rPr>
          <w:rFonts w:ascii="宋体" w:hAnsi="宋体" w:cs="宋体"/>
          <w:b/>
          <w:color w:val="auto"/>
          <w:szCs w:val="21"/>
          <w:highlight w:val="none"/>
        </w:rPr>
      </w:pPr>
      <w:bookmarkStart w:id="10" w:name="_Toc293863320"/>
      <w:bookmarkStart w:id="11" w:name="_Toc495388768"/>
      <w:bookmarkStart w:id="12" w:name="_Toc445223680"/>
      <w:bookmarkStart w:id="13" w:name="_Toc400465713"/>
      <w:bookmarkStart w:id="14" w:name="_Toc482865322"/>
      <w:bookmarkStart w:id="15" w:name="_Toc482865152"/>
      <w:bookmarkStart w:id="16" w:name="_Toc482864551"/>
      <w:bookmarkStart w:id="17" w:name="_Toc483327811"/>
      <w:bookmarkStart w:id="18" w:name="_Toc495351941"/>
      <w:bookmarkStart w:id="19" w:name="_Toc254970685"/>
      <w:bookmarkStart w:id="20" w:name="_Toc308018677"/>
      <w:bookmarkStart w:id="21" w:name="_Toc495388445"/>
      <w:bookmarkStart w:id="22" w:name="_Toc254970544"/>
      <w:bookmarkStart w:id="23" w:name="_Toc448421142"/>
      <w:bookmarkStart w:id="24" w:name="_Toc293863053"/>
      <w:r>
        <w:rPr>
          <w:rFonts w:hint="eastAsia" w:ascii="宋体" w:hAnsi="宋体" w:cs="宋体"/>
          <w:b/>
          <w:color w:val="auto"/>
          <w:szCs w:val="21"/>
          <w:highlight w:val="none"/>
        </w:rPr>
        <w:t>四、</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ascii="宋体" w:hAnsi="宋体" w:cs="宋体"/>
          <w:b/>
          <w:color w:val="auto"/>
          <w:szCs w:val="21"/>
          <w:highlight w:val="none"/>
        </w:rPr>
        <w:t>评审及磋商</w:t>
      </w:r>
    </w:p>
    <w:p w14:paraId="01A08853">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21.磋商小组成立</w:t>
      </w:r>
    </w:p>
    <w:p w14:paraId="14A13703">
      <w:pPr>
        <w:snapToGrid w:val="0"/>
        <w:spacing w:line="440" w:lineRule="exact"/>
        <w:jc w:val="left"/>
        <w:rPr>
          <w:rFonts w:ascii="宋体" w:hAnsi="宋体" w:cs="宋体"/>
          <w:color w:val="auto"/>
          <w:highlight w:val="none"/>
        </w:rPr>
      </w:pPr>
      <w:r>
        <w:rPr>
          <w:rFonts w:hint="eastAsia" w:ascii="宋体" w:hAnsi="宋体" w:cs="宋体"/>
          <w:color w:val="auto"/>
          <w:highlight w:val="none"/>
        </w:rPr>
        <w:t>21.1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7A7E7CE">
      <w:pPr>
        <w:snapToGrid w:val="0"/>
        <w:spacing w:line="440" w:lineRule="exact"/>
        <w:jc w:val="left"/>
        <w:rPr>
          <w:rFonts w:ascii="宋体" w:hAnsi="宋体" w:cs="宋体"/>
          <w:color w:val="auto"/>
          <w:highlight w:val="none"/>
        </w:rPr>
      </w:pPr>
      <w:r>
        <w:rPr>
          <w:rFonts w:hint="eastAsia" w:ascii="宋体" w:hAnsi="宋体" w:cs="宋体"/>
          <w:color w:val="auto"/>
          <w:highlight w:val="none"/>
        </w:rPr>
        <w:t>21.2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34A6457">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22.首次响应文件的开启</w:t>
      </w:r>
    </w:p>
    <w:p w14:paraId="7A6C1CCE">
      <w:pPr>
        <w:snapToGrid w:val="0"/>
        <w:spacing w:line="440" w:lineRule="exact"/>
        <w:jc w:val="left"/>
        <w:rPr>
          <w:rFonts w:ascii="宋体" w:hAnsi="宋体" w:cs="宋体"/>
          <w:color w:val="auto"/>
          <w:highlight w:val="none"/>
        </w:rPr>
      </w:pPr>
      <w:r>
        <w:rPr>
          <w:rFonts w:hint="eastAsia" w:ascii="宋体" w:hAnsi="宋体" w:cs="宋体"/>
          <w:color w:val="auto"/>
          <w:highlight w:val="none"/>
        </w:rPr>
        <w:t>22.1首次响应文件由磋商小组或者采购代理机构在“供应商须知前附表”规定的时间开启。</w:t>
      </w:r>
    </w:p>
    <w:p w14:paraId="7399A481">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23.响应文件解密</w:t>
      </w:r>
    </w:p>
    <w:p w14:paraId="0C4FB96D">
      <w:pPr>
        <w:snapToGrid w:val="0"/>
        <w:spacing w:line="440" w:lineRule="exact"/>
        <w:jc w:val="left"/>
        <w:rPr>
          <w:rFonts w:ascii="宋体" w:hAnsi="宋体" w:cs="宋体"/>
          <w:bCs/>
          <w:color w:val="auto"/>
          <w:highlight w:val="none"/>
        </w:rPr>
      </w:pPr>
      <w:r>
        <w:rPr>
          <w:rFonts w:hint="eastAsia" w:ascii="宋体" w:hAnsi="宋体" w:cs="宋体"/>
          <w:color w:val="auto"/>
          <w:highlight w:val="none"/>
        </w:rPr>
        <w:t>23.1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w:t>
      </w:r>
      <w:r>
        <w:rPr>
          <w:rFonts w:hint="eastAsia" w:ascii="宋体" w:hAnsi="宋体" w:cs="宋体"/>
          <w:bCs/>
          <w:color w:val="auto"/>
          <w:highlight w:val="none"/>
        </w:rPr>
        <w:t>通知后，</w:t>
      </w:r>
      <w:r>
        <w:rPr>
          <w:rFonts w:hint="eastAsia" w:ascii="宋体" w:hAnsi="宋体" w:cs="宋体"/>
          <w:color w:val="auto"/>
          <w:highlight w:val="none"/>
        </w:rPr>
        <w:t>响应</w:t>
      </w:r>
      <w:r>
        <w:rPr>
          <w:rFonts w:hint="eastAsia" w:ascii="宋体" w:hAnsi="宋体" w:cs="宋体"/>
          <w:bCs/>
          <w:color w:val="auto"/>
          <w:highlight w:val="none"/>
        </w:rPr>
        <w:t>文件仍未按时解密，或者</w:t>
      </w:r>
      <w:r>
        <w:rPr>
          <w:rFonts w:hint="eastAsia" w:ascii="宋体" w:hAnsi="宋体" w:cs="宋体"/>
          <w:color w:val="auto"/>
          <w:highlight w:val="none"/>
        </w:rPr>
        <w:t>供应商</w:t>
      </w:r>
      <w:r>
        <w:rPr>
          <w:rFonts w:hint="eastAsia" w:ascii="宋体" w:hAnsi="宋体" w:cs="宋体"/>
          <w:bCs/>
          <w:color w:val="auto"/>
          <w:highlight w:val="none"/>
        </w:rPr>
        <w:t>没预留联系方式或预留联系方式无效，</w:t>
      </w:r>
      <w:r>
        <w:rPr>
          <w:rFonts w:hint="eastAsia" w:ascii="宋体" w:hAnsi="宋体" w:cs="宋体"/>
          <w:color w:val="auto"/>
          <w:highlight w:val="none"/>
        </w:rPr>
        <w:t>非代理机构原因导致代理机构无法联系到供应商进行解密的</w:t>
      </w:r>
      <w:r>
        <w:rPr>
          <w:rFonts w:hint="eastAsia" w:ascii="宋体" w:hAnsi="宋体" w:cs="宋体"/>
          <w:bCs/>
          <w:color w:val="auto"/>
          <w:highlight w:val="none"/>
        </w:rPr>
        <w:t>，</w:t>
      </w:r>
      <w:r>
        <w:rPr>
          <w:rFonts w:hint="eastAsia" w:ascii="宋体" w:hAnsi="宋体" w:cs="宋体"/>
          <w:color w:val="auto"/>
          <w:highlight w:val="none"/>
        </w:rPr>
        <w:t>视为响应文件无效</w:t>
      </w:r>
      <w:r>
        <w:rPr>
          <w:rFonts w:hint="eastAsia" w:ascii="宋体" w:hAnsi="宋体" w:cs="宋体"/>
          <w:bCs/>
          <w:color w:val="auto"/>
          <w:highlight w:val="none"/>
        </w:rPr>
        <w:t>。</w:t>
      </w:r>
      <w:r>
        <w:rPr>
          <w:rFonts w:hint="eastAsia" w:ascii="宋体" w:hAnsi="宋体" w:cs="宋体"/>
          <w:color w:val="auto"/>
          <w:highlight w:val="none"/>
        </w:rPr>
        <w:t>（解密异常情况处理：详见本章30.电子交易活动的中止。）</w:t>
      </w:r>
    </w:p>
    <w:p w14:paraId="4549D713">
      <w:pPr>
        <w:snapToGrid w:val="0"/>
        <w:spacing w:line="440" w:lineRule="exact"/>
        <w:jc w:val="left"/>
        <w:rPr>
          <w:rFonts w:ascii="宋体" w:hAnsi="宋体" w:cs="宋体"/>
          <w:color w:val="auto"/>
          <w:highlight w:val="none"/>
        </w:rPr>
      </w:pPr>
      <w:r>
        <w:rPr>
          <w:rFonts w:hint="eastAsia" w:ascii="宋体" w:hAnsi="宋体" w:cs="宋体"/>
          <w:color w:val="auto"/>
          <w:highlight w:val="none"/>
        </w:rPr>
        <w:t>23.2如供应商成功解密响应文件，但未在“广西政府采购云平台”电子开标大厅参加谈判的，视同认可谈判过程和结果，由此产生的后果由供应商自行负责。参与谈判的供应商不足3家的，不得谈判。</w:t>
      </w:r>
    </w:p>
    <w:p w14:paraId="0E597C3A">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24.评审程序</w:t>
      </w:r>
    </w:p>
    <w:p w14:paraId="3E5BE7FB">
      <w:pPr>
        <w:snapToGrid w:val="0"/>
        <w:spacing w:line="440" w:lineRule="exact"/>
        <w:jc w:val="left"/>
        <w:rPr>
          <w:rFonts w:ascii="宋体" w:hAnsi="宋体" w:cs="宋体"/>
          <w:color w:val="auto"/>
          <w:highlight w:val="none"/>
        </w:rPr>
      </w:pPr>
      <w:r>
        <w:rPr>
          <w:rFonts w:hint="eastAsia" w:ascii="宋体" w:hAnsi="宋体" w:cs="宋体"/>
          <w:color w:val="auto"/>
          <w:highlight w:val="none"/>
        </w:rPr>
        <w:t>24.1磋商小组按照“第六章评审方法和评审标准”规定的方法、评审因素、标准和程序对响应文件进行评审。</w:t>
      </w:r>
    </w:p>
    <w:p w14:paraId="229E61BF">
      <w:pPr>
        <w:spacing w:line="440" w:lineRule="exact"/>
        <w:rPr>
          <w:rFonts w:ascii="宋体" w:hAnsi="宋体" w:cs="宋体"/>
          <w:color w:val="auto"/>
          <w:highlight w:val="none"/>
        </w:rPr>
      </w:pPr>
      <w:r>
        <w:rPr>
          <w:rFonts w:hint="eastAsia" w:ascii="宋体" w:hAnsi="宋体" w:cs="宋体"/>
          <w:color w:val="auto"/>
          <w:highlight w:val="none"/>
        </w:rPr>
        <w:t>24.2</w:t>
      </w:r>
      <w:r>
        <w:rPr>
          <w:rFonts w:hint="eastAsia" w:ascii="宋体" w:hAnsi="宋体" w:cs="宋体"/>
          <w:bCs/>
          <w:color w:val="auto"/>
          <w:szCs w:val="21"/>
          <w:highlight w:val="none"/>
        </w:rPr>
        <w:t>资格审查</w:t>
      </w:r>
    </w:p>
    <w:p w14:paraId="2DE27688">
      <w:pPr>
        <w:snapToGrid w:val="0"/>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响应文件开启后，磋商小组依法对供应商的资格文件进行审查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在资格审查时，如发现下列情形之一的，响应文件将被视为无效：</w:t>
      </w:r>
    </w:p>
    <w:p w14:paraId="6C375733">
      <w:pPr>
        <w:widowControl/>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（1）不具备招标文件中规定的资格要求的；（注：其中信用查询由采购人或采购代理机构于资格审查时</w:t>
      </w:r>
      <w:r>
        <w:rPr>
          <w:rFonts w:hint="eastAsia" w:ascii="宋体" w:hAnsi="宋体" w:cs="宋体"/>
          <w:color w:val="auto"/>
          <w:szCs w:val="21"/>
          <w:highlight w:val="none"/>
        </w:rPr>
        <w:t>在“信用中国”网站和“中国政府采购网”</w:t>
      </w:r>
      <w:r>
        <w:rPr>
          <w:rFonts w:hint="eastAsia" w:ascii="宋体" w:hAnsi="宋体" w:cs="宋体"/>
          <w:bCs/>
          <w:color w:val="auto"/>
          <w:szCs w:val="21"/>
          <w:highlight w:val="none"/>
        </w:rPr>
        <w:t>对供应商进行信用查询）</w:t>
      </w:r>
    </w:p>
    <w:p w14:paraId="2CA761AA">
      <w:pPr>
        <w:widowControl/>
        <w:spacing w:line="440" w:lineRule="exact"/>
        <w:ind w:firstLine="408"/>
        <w:jc w:val="left"/>
        <w:rPr>
          <w:rFonts w:ascii="宋体" w:hAnsi="宋体" w:cs="宋体"/>
          <w:bCs/>
          <w:color w:val="auto"/>
          <w:szCs w:val="21"/>
          <w:highlight w:val="none"/>
        </w:rPr>
      </w:pPr>
      <w:r>
        <w:rPr>
          <w:rFonts w:hint="eastAsia" w:ascii="宋体" w:hAnsi="宋体" w:cs="宋体"/>
          <w:bCs/>
          <w:color w:val="auto"/>
          <w:szCs w:val="21"/>
          <w:highlight w:val="none"/>
        </w:rPr>
        <w:t>（2）未提供招标文件中“（一）响应文件的组成1.资格证明文件”要求必须提供的资料的；</w:t>
      </w:r>
    </w:p>
    <w:p w14:paraId="143B3735">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（3）法律、法规和招标文件规定的其他无效情形。</w:t>
      </w:r>
    </w:p>
    <w:p w14:paraId="74585020">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通过资格审查的合格供应商不足3家的，不得进入符合性审查环节，采购人或者采购代理机构应当重新开展采购活动。</w:t>
      </w:r>
    </w:p>
    <w:p w14:paraId="58275DFA">
      <w:pPr>
        <w:widowControl/>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24.3符合性审查</w:t>
      </w:r>
    </w:p>
    <w:p w14:paraId="2BB0A8F3">
      <w:pPr>
        <w:widowControl/>
        <w:spacing w:line="44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磋商小组依法对供应商的符合性进行审查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在符合性审查时，如发现下列情形之一的，响应文件将被视为无效：</w:t>
      </w:r>
    </w:p>
    <w:p w14:paraId="7FEC1E64">
      <w:pPr>
        <w:widowControl/>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（1）未按照招标文件的规定提交磋商保证金的；</w:t>
      </w:r>
    </w:p>
    <w:p w14:paraId="01C5E5A8">
      <w:pPr>
        <w:widowControl/>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（2）响应文件未按磋商文件要求签署、盖章的；</w:t>
      </w:r>
    </w:p>
    <w:p w14:paraId="4AC74D58">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（3）投标代表人未能出具身份证明或与法定代表人授权委托人身份不符的；</w:t>
      </w:r>
    </w:p>
    <w:p w14:paraId="34263148">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（4）响应文件的实质性内容未使用中文表述、意思表述不明确、前后矛盾或者使用计量单位不符合招标文件要求的（经评标委员会认定并允许其当场更正的笔误除外）</w:t>
      </w:r>
    </w:p>
    <w:p w14:paraId="571D183E">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（5）磋商有效期、服务期或交货期、质保期等商务条款不能满足招标文件要求的；</w:t>
      </w:r>
    </w:p>
    <w:p w14:paraId="25D5780A">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（6）未实质性响应招标文件要求或者响应文件有招标方不能接受的附加条件的。</w:t>
      </w:r>
    </w:p>
    <w:p w14:paraId="194710FC">
      <w:pPr>
        <w:snapToGrid w:val="0"/>
        <w:spacing w:line="440" w:lineRule="exact"/>
        <w:ind w:firstLine="411" w:firstLineChars="196"/>
        <w:rPr>
          <w:rFonts w:ascii="宋体" w:hAnsi="宋体" w:cs="宋体"/>
          <w:bCs/>
          <w:color w:val="auto"/>
          <w:szCs w:val="21"/>
          <w:highlight w:val="none"/>
        </w:rPr>
      </w:pPr>
      <w:r>
        <w:rPr>
          <w:rFonts w:hint="eastAsia" w:ascii="宋体" w:hAnsi="宋体" w:cs="宋体"/>
          <w:color w:val="auto"/>
          <w:szCs w:val="21"/>
          <w:highlight w:val="none"/>
        </w:rPr>
        <w:t>（7）</w:t>
      </w:r>
      <w:r>
        <w:rPr>
          <w:rFonts w:hint="eastAsia" w:ascii="宋体" w:hAnsi="宋体" w:cs="宋体"/>
          <w:bCs/>
          <w:color w:val="auto"/>
          <w:szCs w:val="21"/>
          <w:highlight w:val="none"/>
        </w:rPr>
        <w:t>未提供招标文件中“（一）响应文件的组成2.商务和技术文件”要求必须提供的资料的；</w:t>
      </w:r>
    </w:p>
    <w:p w14:paraId="093DAC08">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（8）响应文件标明的响应或偏离与事实不符或虚假竞标的；</w:t>
      </w:r>
    </w:p>
    <w:p w14:paraId="23DF258E">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（9）明显不符合</w:t>
      </w:r>
      <w:r>
        <w:rPr>
          <w:rFonts w:hint="eastAsia" w:ascii="宋体" w:hAnsi="宋体" w:cs="宋体"/>
          <w:bCs/>
          <w:color w:val="auto"/>
          <w:szCs w:val="21"/>
          <w:highlight w:val="none"/>
        </w:rPr>
        <w:t>竞争性磋商文件</w:t>
      </w:r>
      <w:r>
        <w:rPr>
          <w:rFonts w:hint="eastAsia" w:ascii="宋体" w:hAnsi="宋体" w:cs="宋体"/>
          <w:color w:val="auto"/>
          <w:szCs w:val="21"/>
          <w:highlight w:val="none"/>
        </w:rPr>
        <w:t>要求的质量标准、采购需求，或者与竞争性磋商文件中标“▲”的技术指标、服务需求发生实质性偏离的；</w:t>
      </w:r>
    </w:p>
    <w:p w14:paraId="7E849979">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（10）技术方案不明确，存在一个或一个以上备选（替代）竞标方案的。</w:t>
      </w:r>
    </w:p>
    <w:p w14:paraId="64E96B58">
      <w:pPr>
        <w:snapToGrid w:val="0"/>
        <w:spacing w:line="440" w:lineRule="exact"/>
        <w:ind w:firstLine="411" w:firstLineChars="196"/>
        <w:rPr>
          <w:rFonts w:ascii="宋体" w:hAnsi="宋体" w:cs="宋体"/>
          <w:bCs/>
          <w:color w:val="auto"/>
          <w:szCs w:val="21"/>
          <w:highlight w:val="none"/>
        </w:rPr>
      </w:pPr>
      <w:r>
        <w:rPr>
          <w:rFonts w:hint="eastAsia" w:ascii="宋体" w:hAnsi="宋体" w:cs="宋体"/>
          <w:color w:val="auto"/>
          <w:szCs w:val="21"/>
          <w:highlight w:val="none"/>
        </w:rPr>
        <w:t>（11）</w:t>
      </w:r>
      <w:r>
        <w:rPr>
          <w:rFonts w:hint="eastAsia" w:ascii="宋体" w:hAnsi="宋体" w:cs="宋体"/>
          <w:bCs/>
          <w:color w:val="auto"/>
          <w:szCs w:val="21"/>
          <w:highlight w:val="none"/>
        </w:rPr>
        <w:t>未提供招标文件中“（一）响应文件的组成..报价文件”要求必须提供的资料的；</w:t>
      </w:r>
    </w:p>
    <w:p w14:paraId="123F7A54">
      <w:pPr>
        <w:snapToGrid w:val="0"/>
        <w:spacing w:line="44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（12）报价超过招标文件中规定的预算金额或者最高限价的；</w:t>
      </w:r>
    </w:p>
    <w:p w14:paraId="53246F4E">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（13）未采用人民币报价或者未按照招标文件标明的币种报价的；</w:t>
      </w:r>
    </w:p>
    <w:p w14:paraId="1C8D7EAD">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（14）竞标报价具有选择性，或者开标价格与响应文件承诺的优惠（折扣）价格不一致的；</w:t>
      </w:r>
    </w:p>
    <w:p w14:paraId="6F01E822">
      <w:pPr>
        <w:widowControl/>
        <w:spacing w:line="44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（15）法律、法规和招标文件规定的其他无效情形。</w:t>
      </w:r>
    </w:p>
    <w:p w14:paraId="74746ADD">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9F72F7E">
      <w:pPr>
        <w:snapToGrid w:val="0"/>
        <w:spacing w:line="44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5C78390">
      <w:pPr>
        <w:snapToGrid w:val="0"/>
        <w:spacing w:line="440" w:lineRule="exact"/>
        <w:jc w:val="left"/>
        <w:rPr>
          <w:rFonts w:ascii="宋体" w:hAnsi="宋体" w:cs="宋体"/>
          <w:b/>
          <w:color w:val="auto"/>
          <w:highlight w:val="none"/>
        </w:rPr>
      </w:pPr>
      <w:r>
        <w:rPr>
          <w:rFonts w:hint="eastAsia" w:ascii="宋体" w:hAnsi="宋体" w:cs="宋体"/>
          <w:b/>
          <w:color w:val="auto"/>
          <w:highlight w:val="none"/>
        </w:rPr>
        <w:t>25.磋商程序</w:t>
      </w:r>
    </w:p>
    <w:p w14:paraId="403EB995">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2105E63">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FFFFB6E">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25.3对磋商文件作出的实质性变动是磋商文件的有效组成部分，由磋商小组及时以电子澄清函形式同时通知所有参加磋商的供应商。</w:t>
      </w:r>
    </w:p>
    <w:p w14:paraId="612A359A">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13A6012">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25.5磋商中，磋商的任何一方不得透露与磋商有关的其他供应商的技术资料、价格和其他信息。</w:t>
      </w:r>
    </w:p>
    <w:p w14:paraId="46ADFBF5">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25.6磋商小组应对磋商过程和重要磋商内容进行记录，作为评标报告一部分，磋商小组在记录上签字确认。</w:t>
      </w:r>
    </w:p>
    <w:p w14:paraId="0C7F5441">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25.7磋商过程中重新提交的响应文件，供应商可以在开启前补充、修改。</w:t>
      </w:r>
    </w:p>
    <w:p w14:paraId="025A7652">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25.8对磋商过程提交的响应文件进行有效性、完整性和响应程度审查，通过审查的合格供应商不足3家的，采购人或者采购代理机构应当重新开展采购活动。</w:t>
      </w:r>
    </w:p>
    <w:p w14:paraId="5D84025E">
      <w:pP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26.最后报价</w:t>
      </w:r>
    </w:p>
    <w:p w14:paraId="675A4D93">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26.1磋商文件能够详细列明采购标的的技术、服务要求的，磋商结束后，由磋商小组要求所有继续参加磋商的供应商在规定时间内密封提交最后报价，除本章第26.3条</w:t>
      </w:r>
      <w:r>
        <w:rPr>
          <w:rFonts w:hint="eastAsia" w:ascii="宋体" w:hAnsi="宋体" w:cs="宋体"/>
          <w:color w:val="auto"/>
          <w:highlight w:val="none"/>
        </w:rPr>
        <w:t>以及</w:t>
      </w:r>
      <w:r>
        <w:rPr>
          <w:rFonts w:hint="eastAsia" w:ascii="宋体" w:hAnsi="宋体" w:cs="宋体"/>
          <w:color w:val="auto"/>
          <w:szCs w:val="21"/>
          <w:highlight w:val="none"/>
        </w:rPr>
        <w:t>《财政部关于政府采购竞争性磋商采购方式管理暂行办法有关问题的补充通知》（财库〔2015〕124号）规定外，提交最后报价的供应商不得少于3家，否则必须重新采购。</w:t>
      </w:r>
      <w:r>
        <w:rPr>
          <w:rFonts w:hint="eastAsia" w:ascii="宋体" w:hAnsi="宋体" w:cs="宋体"/>
          <w:color w:val="auto"/>
          <w:kern w:val="0"/>
          <w:szCs w:val="21"/>
          <w:highlight w:val="none"/>
        </w:rPr>
        <w:t>继续参加磋商的供应商</w:t>
      </w:r>
      <w:r>
        <w:rPr>
          <w:rFonts w:hint="eastAsia" w:ascii="宋体" w:hAnsi="宋体" w:cs="宋体"/>
          <w:color w:val="auto"/>
          <w:szCs w:val="21"/>
          <w:highlight w:val="none"/>
        </w:rPr>
        <w:t>作最后报价</w:t>
      </w:r>
      <w:r>
        <w:rPr>
          <w:rFonts w:hint="eastAsia" w:ascii="宋体" w:hAnsi="宋体" w:cs="宋体"/>
          <w:b/>
          <w:color w:val="auto"/>
          <w:szCs w:val="21"/>
          <w:highlight w:val="none"/>
        </w:rPr>
        <w:t>并附相应的最后报价明细表（报价明细表按第四章要求格式填写），最后报价和相应的最后报价明细表须由其法定代表人或授权代表签字或者加盖电子公章</w:t>
      </w:r>
      <w:r>
        <w:rPr>
          <w:rFonts w:hint="eastAsia" w:ascii="宋体" w:hAnsi="宋体" w:cs="宋体"/>
          <w:b/>
          <w:color w:val="auto"/>
          <w:kern w:val="0"/>
          <w:szCs w:val="21"/>
          <w:highlight w:val="none"/>
        </w:rPr>
        <w:t>后递交</w:t>
      </w:r>
      <w:r>
        <w:rPr>
          <w:rFonts w:hint="eastAsia" w:ascii="宋体" w:hAnsi="宋体" w:cs="宋体"/>
          <w:b/>
          <w:color w:val="auto"/>
          <w:szCs w:val="21"/>
          <w:highlight w:val="none"/>
        </w:rPr>
        <w:t>。</w:t>
      </w:r>
    </w:p>
    <w:p w14:paraId="642B7053">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85FED74">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D7F9A6C">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26.4已经提交响应文件的供应商，在提交最后报价之前，可以根据磋商情况退出磋商，退出磋商的供应商的响应文件按无效响应处理。</w:t>
      </w:r>
    </w:p>
    <w:p w14:paraId="166B9C4A">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26.5供应商未在规定时间内提交最后报价的，视同退出磋商。</w:t>
      </w:r>
    </w:p>
    <w:p w14:paraId="36DF3FD3">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26.6磋商小组收齐项目或某一分标最后报价后统一开启，磋商小组对最后报价进行有效性、完整性和响应程度的审查。</w:t>
      </w:r>
    </w:p>
    <w:p w14:paraId="5FF5A227">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26.7最终响应文件的报价出现前后不一致的，按照本章第29.1条的规定修正。</w:t>
      </w:r>
    </w:p>
    <w:p w14:paraId="1C6DCA12">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26.8修正后的最终报价出现下列情形的，按无效响应处理：</w:t>
      </w:r>
    </w:p>
    <w:p w14:paraId="62BB3ED6">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E7A6A2B">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3CC1D615">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48404D0F">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26.9经供应商确认修正后的最后报价作为评审及签订合同的依据。</w:t>
      </w:r>
    </w:p>
    <w:p w14:paraId="1728E5CA">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26.10供应商出现最后报价按无效响应处理或者响应文件按无效处理时，磋商小组应当告知有关供应商。</w:t>
      </w:r>
    </w:p>
    <w:p w14:paraId="6252F33F">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26.11最后报价结束后，磋商小组不得再与供应商进行任何形式的商谈。</w:t>
      </w:r>
    </w:p>
    <w:p w14:paraId="23D1EE80">
      <w:pP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27.比较与评价</w:t>
      </w:r>
    </w:p>
    <w:p w14:paraId="79778061">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27.1评审方法：综合评分法。</w:t>
      </w:r>
    </w:p>
    <w:p w14:paraId="3776095D">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27.2经磋商确定最终采购需求和提交最后报价的供应商后，由磋商小组采用综合评分法对提交最后报价的供应商的响应文件和最后报价进行综合评分。</w:t>
      </w:r>
    </w:p>
    <w:p w14:paraId="6EF8C530">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27.3评审时，磋商小组各成员应当独立对每个有效响应的文件进行评价、打分，然后汇总每个供应商每项评分因素的得分。</w:t>
      </w:r>
    </w:p>
    <w:p w14:paraId="2C30E303">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C0B3CC6">
      <w:pPr>
        <w:snapToGrid w:val="0"/>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74DFB9E">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27.4评审价为供应商的最后报价进行政策性扣除后的价格，评审价只是作为评审时使用。最终成交供应商的成交金额等于最后报价（如有修正，以确认修正后的最后报价为准）。</w:t>
      </w:r>
    </w:p>
    <w:p w14:paraId="79D36084">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27.5由磋商小组根据综合评分情况，按照评审得分由高到低顺序推荐3名以上成交候选供应商，并编写评审报告。符合本章第26.3条情形的，可以推荐2家成交候选供应商。评审得分相同的，按照最后报价由低到高的顺序推荐。评审得分且最后报价相同的，按照技术指标优劣顺序推荐。</w:t>
      </w:r>
    </w:p>
    <w:p w14:paraId="6F8ABFA4">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27.6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F3820D">
      <w:pP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28.澄清问题的形式</w:t>
      </w:r>
    </w:p>
    <w:p w14:paraId="22E6C189">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28.1对于响应文件中含义不明确、同类问题表述不一致或者有明显文字和计算错误的内容，评标委员会应在</w:t>
      </w:r>
      <w:r>
        <w:rPr>
          <w:rFonts w:hint="eastAsia" w:ascii="宋体" w:hAnsi="宋体" w:cs="宋体"/>
          <w:color w:val="auto"/>
          <w:highlight w:val="none"/>
        </w:rPr>
        <w:t>广西政府采购云平台</w:t>
      </w:r>
      <w:r>
        <w:rPr>
          <w:rFonts w:hint="eastAsia" w:ascii="宋体" w:hAnsi="宋体" w:cs="宋体"/>
          <w:color w:val="auto"/>
          <w:szCs w:val="21"/>
          <w:highlight w:val="none"/>
        </w:rPr>
        <w:t>发布电子澄清函，要求供应商在规定时间内作出必要的澄清、说明或者补正。供应商在</w:t>
      </w:r>
      <w:r>
        <w:rPr>
          <w:rFonts w:hint="eastAsia" w:ascii="宋体" w:hAnsi="宋体" w:cs="宋体"/>
          <w:color w:val="auto"/>
          <w:highlight w:val="none"/>
        </w:rPr>
        <w:t>广西政府采购云平台</w:t>
      </w:r>
      <w:r>
        <w:rPr>
          <w:rFonts w:hint="eastAsia" w:ascii="宋体" w:hAnsi="宋体" w:cs="宋体"/>
          <w:color w:val="auto"/>
          <w:szCs w:val="21"/>
          <w:highlight w:val="none"/>
        </w:rPr>
        <w:t>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14:paraId="7D9273FC">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14:paraId="4C92D798">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29.错误修正</w:t>
      </w:r>
    </w:p>
    <w:p w14:paraId="0F1A39AA">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29.1竞争性磋商响应文件如果出现计算或表达上的错误，修正错误的原则如下：</w:t>
      </w:r>
    </w:p>
    <w:p w14:paraId="177070D6">
      <w:pPr>
        <w:widowControl/>
        <w:spacing w:line="44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（1）响应文件中开标一览表（报价表）内容与响应文件中相应内容不一致的，以开标一览表（报价表）为准；</w:t>
      </w:r>
    </w:p>
    <w:p w14:paraId="3FB492B0">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313DB59">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7E49C0E1">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84C7452">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highlight w:val="none"/>
        </w:rPr>
        <w:t>同时出现两种以上不一致的，按照前款规定的顺序修正。修正后的报价经供应商确认并加盖公章或者由法定代表人或其授权的代表签字后产生约束力，供应商不确认的，其竞标无效。</w:t>
      </w:r>
    </w:p>
    <w:p w14:paraId="6C4109D5">
      <w:pPr>
        <w:widowControl/>
        <w:tabs>
          <w:tab w:val="left" w:pos="540"/>
        </w:tabs>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29.2经供应商确认修正后的首次及最后报价若超过采购预算金额，供应商的响应文件作无效处理。</w:t>
      </w:r>
    </w:p>
    <w:p w14:paraId="642B282F">
      <w:pPr>
        <w:widowControl/>
        <w:tabs>
          <w:tab w:val="left" w:pos="540"/>
        </w:tabs>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29.3经供应商确认修正后的最后报价作为评审及签订合同的依据。</w:t>
      </w:r>
    </w:p>
    <w:p w14:paraId="09701AD2">
      <w:pPr>
        <w:widowControl/>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30.电子交易活动的中止</w:t>
      </w:r>
    </w:p>
    <w:p w14:paraId="1002A99A">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30.1采购过程中出现以下情形，导致电子交易平台无法正常运行，或者无法保证电子交易的公平、公正和安全时，采购机构可中止电子交易活动：</w:t>
      </w:r>
    </w:p>
    <w:p w14:paraId="16B2025A">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（1）电子交易平台发生故障而无法登录访问的；</w:t>
      </w:r>
    </w:p>
    <w:p w14:paraId="19D99FFB">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484E24AD">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189B5E25">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（4）病毒发作导致不能进行正常操作的；</w:t>
      </w:r>
    </w:p>
    <w:p w14:paraId="5825B106">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（4）其他无法保证电子交易的公平、公正和安全的情况。</w:t>
      </w:r>
    </w:p>
    <w:p w14:paraId="16D11835">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25CE869">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31.评委表决</w:t>
      </w:r>
    </w:p>
    <w:p w14:paraId="0AEE051C">
      <w:pPr>
        <w:widowControl/>
        <w:tabs>
          <w:tab w:val="left" w:pos="540"/>
        </w:tabs>
        <w:spacing w:line="440" w:lineRule="exact"/>
        <w:jc w:val="left"/>
        <w:rPr>
          <w:rFonts w:ascii="宋体" w:hAnsi="宋体" w:cs="宋体"/>
          <w:color w:val="auto"/>
          <w:szCs w:val="21"/>
          <w:highlight w:val="none"/>
        </w:rPr>
      </w:pPr>
      <w:r>
        <w:rPr>
          <w:rFonts w:hint="eastAsia" w:ascii="宋体" w:hAnsi="宋体" w:cs="宋体"/>
          <w:color w:val="auto"/>
          <w:szCs w:val="21"/>
          <w:highlight w:val="none"/>
        </w:rPr>
        <w:t>31.1在评标过程中出现法律法规和竞争性磋商文件均没有明确规定的情形时，由磋商小组现场协商解决，协商不一致的，由全体评委投票表决，以得票率二分之一以上专家的意见为准。</w:t>
      </w:r>
    </w:p>
    <w:p w14:paraId="7D3FA966">
      <w:pPr>
        <w:widowControl/>
        <w:tabs>
          <w:tab w:val="left" w:pos="540"/>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32.评审过程的监控</w:t>
      </w:r>
    </w:p>
    <w:p w14:paraId="4227EB1B">
      <w:pPr>
        <w:widowControl/>
        <w:tabs>
          <w:tab w:val="left" w:pos="540"/>
        </w:tabs>
        <w:spacing w:line="440" w:lineRule="exact"/>
        <w:jc w:val="left"/>
        <w:rPr>
          <w:rFonts w:ascii="宋体" w:hAnsi="宋体" w:cs="宋体"/>
          <w:color w:val="auto"/>
          <w:szCs w:val="21"/>
          <w:highlight w:val="none"/>
        </w:rPr>
      </w:pPr>
      <w:r>
        <w:rPr>
          <w:rFonts w:hint="eastAsia" w:ascii="宋体" w:hAnsi="宋体" w:cs="宋体"/>
          <w:color w:val="auto"/>
          <w:highlight w:val="none"/>
        </w:rPr>
        <w:t>32.1本项目电子评标过程实行网上留痕、全程录音、录像监控，供应商在评审过程中所进行的试图影响评审结果的不公正活动，可能导致其竞争性磋商被拒绝。</w:t>
      </w:r>
    </w:p>
    <w:p w14:paraId="01ADBF02">
      <w:pPr>
        <w:spacing w:line="440" w:lineRule="exact"/>
        <w:rPr>
          <w:rFonts w:ascii="宋体" w:hAnsi="宋体" w:cs="宋体"/>
          <w:b/>
          <w:color w:val="auto"/>
          <w:szCs w:val="21"/>
          <w:highlight w:val="none"/>
        </w:rPr>
      </w:pPr>
      <w:r>
        <w:rPr>
          <w:rFonts w:hint="eastAsia" w:ascii="宋体" w:hAnsi="宋体" w:cs="宋体"/>
          <w:b/>
          <w:color w:val="auto"/>
          <w:szCs w:val="21"/>
          <w:highlight w:val="none"/>
        </w:rPr>
        <w:t>五、成交及合同</w:t>
      </w:r>
    </w:p>
    <w:p w14:paraId="1EE4BF1B">
      <w:pPr>
        <w:spacing w:line="440" w:lineRule="exact"/>
        <w:rPr>
          <w:rFonts w:ascii="宋体" w:hAnsi="宋体" w:cs="宋体"/>
          <w:b/>
          <w:color w:val="auto"/>
          <w:szCs w:val="21"/>
          <w:highlight w:val="none"/>
        </w:rPr>
      </w:pPr>
      <w:r>
        <w:rPr>
          <w:rFonts w:hint="eastAsia" w:ascii="宋体" w:hAnsi="宋体" w:cs="宋体"/>
          <w:b/>
          <w:color w:val="auto"/>
          <w:szCs w:val="21"/>
          <w:highlight w:val="none"/>
        </w:rPr>
        <w:t>33.确定成交供应商</w:t>
      </w:r>
    </w:p>
    <w:p w14:paraId="7BB2B105">
      <w:pPr>
        <w:spacing w:line="440" w:lineRule="exact"/>
        <w:rPr>
          <w:rFonts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kern w:val="0"/>
          <w:szCs w:val="21"/>
          <w:highlight w:val="none"/>
        </w:rPr>
        <w:t>根据以下原则确定成交供应商：</w:t>
      </w:r>
      <w:r>
        <w:rPr>
          <w:rFonts w:hint="eastAsia" w:ascii="宋体" w:hAnsi="宋体" w:cs="宋体"/>
          <w:color w:val="auto"/>
          <w:kern w:val="0"/>
          <w:highlight w:val="none"/>
        </w:rPr>
        <w:t>响应文件满足磋商文件全部实质性要求且按评审因素的量化指标评审得分最高的供应商为成交供应商。</w:t>
      </w:r>
    </w:p>
    <w:p w14:paraId="25BEEF06">
      <w:pPr>
        <w:spacing w:line="440" w:lineRule="exact"/>
        <w:rPr>
          <w:rFonts w:ascii="宋体" w:hAnsi="宋体" w:cs="宋体"/>
          <w:color w:val="auto"/>
          <w:szCs w:val="21"/>
          <w:highlight w:val="none"/>
        </w:rPr>
      </w:pPr>
      <w:r>
        <w:rPr>
          <w:rFonts w:hint="eastAsia" w:ascii="宋体" w:hAnsi="宋体" w:cs="宋体"/>
          <w:color w:val="auto"/>
          <w:szCs w:val="21"/>
          <w:highlight w:val="none"/>
        </w:rPr>
        <w:t>33.2采购代理机构将在评标结束后两个工作日内将评标报告送采购人，采购人在五个工作日内按照评标报告中推荐的成交候选人顺序确定成交人。</w:t>
      </w:r>
    </w:p>
    <w:p w14:paraId="44465EC3">
      <w:pPr>
        <w:spacing w:line="440" w:lineRule="exact"/>
        <w:rPr>
          <w:rFonts w:ascii="宋体" w:hAnsi="宋体" w:cs="宋体"/>
          <w:color w:val="auto"/>
          <w:szCs w:val="21"/>
          <w:highlight w:val="none"/>
        </w:rPr>
      </w:pPr>
      <w:r>
        <w:rPr>
          <w:rFonts w:hint="eastAsia" w:ascii="宋体" w:hAnsi="宋体" w:cs="宋体"/>
          <w:color w:val="auto"/>
          <w:szCs w:val="21"/>
          <w:highlight w:val="none"/>
        </w:rPr>
        <w:t>33.3成交供应商确定后二个工作日内，</w:t>
      </w:r>
      <w:r>
        <w:rPr>
          <w:rFonts w:hint="eastAsia" w:ascii="宋体" w:hAnsi="宋体" w:cs="宋体"/>
          <w:color w:val="auto"/>
          <w:highlight w:val="none"/>
        </w:rPr>
        <w:t>采购代理机构或采购人</w:t>
      </w:r>
      <w:r>
        <w:rPr>
          <w:rFonts w:hint="eastAsia" w:ascii="宋体" w:hAnsi="宋体" w:cs="宋体"/>
          <w:color w:val="auto"/>
          <w:kern w:val="0"/>
          <w:highlight w:val="none"/>
        </w:rPr>
        <w:t>应当对成交人信用进行核实</w:t>
      </w:r>
      <w:r>
        <w:rPr>
          <w:rFonts w:hint="eastAsia" w:ascii="宋体" w:hAnsi="宋体" w:cs="宋体"/>
          <w:color w:val="auto"/>
          <w:highlight w:val="none"/>
        </w:rPr>
        <w:t>，如其未被列入失信被执行人、</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、政府采购严重违法失信行为记录名单，则采购代理机构在公告发布媒体中标公告；如其被列入失信被执行人、</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、政府采购严重违法失信行为记录名单，则取消其中标资格，</w:t>
      </w:r>
      <w:r>
        <w:rPr>
          <w:rFonts w:hint="eastAsia" w:ascii="宋体" w:hAnsi="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cs="宋体"/>
          <w:color w:val="auto"/>
          <w:highlight w:val="none"/>
        </w:rPr>
        <w:t>及相关证据与采购文件一并保存。</w:t>
      </w:r>
    </w:p>
    <w:p w14:paraId="73F48EEA">
      <w:pPr>
        <w:spacing w:line="440" w:lineRule="exact"/>
        <w:rPr>
          <w:rFonts w:ascii="宋体" w:hAnsi="宋体" w:cs="宋体"/>
          <w:color w:val="auto"/>
          <w:szCs w:val="21"/>
          <w:highlight w:val="none"/>
        </w:rPr>
      </w:pPr>
      <w:r>
        <w:rPr>
          <w:rFonts w:hint="eastAsia" w:ascii="宋体" w:hAnsi="宋体" w:cs="宋体"/>
          <w:color w:val="auto"/>
          <w:szCs w:val="21"/>
          <w:highlight w:val="none"/>
        </w:rPr>
        <w:t>33.4</w:t>
      </w:r>
      <w:r>
        <w:rPr>
          <w:rFonts w:hint="eastAsia" w:ascii="宋体" w:hAnsi="宋体" w:cs="宋体"/>
          <w:color w:val="auto"/>
          <w:highlight w:val="none"/>
        </w:rPr>
        <w:t>在发布成交公告的同时，采购代理机构向成交供应商</w:t>
      </w:r>
      <w:r>
        <w:rPr>
          <w:rFonts w:hint="eastAsia" w:ascii="宋体" w:hAnsi="宋体" w:cs="宋体"/>
          <w:color w:val="auto"/>
          <w:kern w:val="0"/>
          <w:highlight w:val="none"/>
        </w:rPr>
        <w:t>通过</w:t>
      </w:r>
      <w:r>
        <w:rPr>
          <w:rFonts w:hint="eastAsia" w:ascii="宋体" w:hAnsi="宋体" w:cs="宋体"/>
          <w:color w:val="auto"/>
          <w:highlight w:val="none"/>
        </w:rPr>
        <w:t>广西政府采购云平台</w:t>
      </w:r>
      <w:r>
        <w:rPr>
          <w:rFonts w:hint="eastAsia" w:ascii="宋体" w:hAnsi="宋体" w:cs="宋体"/>
          <w:color w:val="auto"/>
          <w:kern w:val="0"/>
          <w:highlight w:val="none"/>
        </w:rPr>
        <w:t>发出电子</w:t>
      </w:r>
      <w:r>
        <w:rPr>
          <w:rFonts w:hint="eastAsia" w:ascii="宋体" w:hAnsi="宋体" w:cs="宋体"/>
          <w:color w:val="auto"/>
          <w:highlight w:val="none"/>
        </w:rPr>
        <w:t>成交通知书。</w:t>
      </w:r>
    </w:p>
    <w:p w14:paraId="44F1F902">
      <w:pPr>
        <w:spacing w:line="440" w:lineRule="exact"/>
        <w:rPr>
          <w:rFonts w:ascii="宋体" w:hAnsi="宋体" w:cs="宋体"/>
          <w:color w:val="auto"/>
          <w:szCs w:val="21"/>
          <w:highlight w:val="none"/>
        </w:rPr>
      </w:pPr>
      <w:r>
        <w:rPr>
          <w:rFonts w:hint="eastAsia" w:ascii="宋体" w:hAnsi="宋体" w:cs="宋体"/>
          <w:color w:val="auto"/>
          <w:szCs w:val="21"/>
          <w:highlight w:val="none"/>
        </w:rPr>
        <w:t>33.5供应商认为竞争性磋商采购文件、招标过程和成交结果使自己的权益受到损害的，可以在知道或者应知其权益受到损害之日起七个工作日内，以书面形式向招标采购单位提出质疑，并及时索要书面回执。</w:t>
      </w:r>
    </w:p>
    <w:p w14:paraId="2F795F7D">
      <w:pPr>
        <w:spacing w:line="440" w:lineRule="exact"/>
        <w:rPr>
          <w:rFonts w:ascii="宋体" w:hAnsi="宋体" w:cs="宋体"/>
          <w:color w:val="auto"/>
          <w:szCs w:val="21"/>
          <w:highlight w:val="none"/>
        </w:rPr>
      </w:pPr>
      <w:r>
        <w:rPr>
          <w:rFonts w:hint="eastAsia" w:ascii="宋体" w:hAnsi="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14:paraId="7C863692">
      <w:pPr>
        <w:spacing w:line="440" w:lineRule="exact"/>
        <w:rPr>
          <w:rFonts w:ascii="宋体" w:hAnsi="宋体" w:cs="宋体"/>
          <w:b/>
          <w:color w:val="auto"/>
          <w:szCs w:val="21"/>
          <w:highlight w:val="none"/>
        </w:rPr>
      </w:pPr>
      <w:r>
        <w:rPr>
          <w:rFonts w:hint="eastAsia" w:ascii="宋体" w:hAnsi="宋体" w:cs="宋体"/>
          <w:b/>
          <w:color w:val="auto"/>
          <w:szCs w:val="21"/>
          <w:highlight w:val="none"/>
        </w:rPr>
        <w:t>34.签订合同</w:t>
      </w:r>
    </w:p>
    <w:p w14:paraId="7B2EDED4">
      <w:pPr>
        <w:spacing w:line="440" w:lineRule="exact"/>
        <w:rPr>
          <w:rFonts w:ascii="宋体" w:hAnsi="宋体" w:cs="宋体"/>
          <w:color w:val="auto"/>
          <w:szCs w:val="21"/>
          <w:highlight w:val="none"/>
        </w:rPr>
      </w:pPr>
      <w:r>
        <w:rPr>
          <w:rFonts w:hint="eastAsia" w:ascii="宋体" w:hAnsi="宋体" w:cs="宋体"/>
          <w:color w:val="auto"/>
          <w:szCs w:val="21"/>
          <w:highlight w:val="none"/>
        </w:rPr>
        <w:t>34.1成交供应商应在成交通知书发出之日起二十五日内，按磋商文件确定的合同文本及采购标的、规格型号、采购金额、采购数量、技术和服务要求等事项与采购人签订政府采购合同。</w:t>
      </w:r>
      <w:r>
        <w:rPr>
          <w:rFonts w:hint="eastAsia" w:ascii="宋体" w:hAnsi="宋体" w:cs="宋体"/>
          <w:color w:val="auto"/>
          <w:kern w:val="0"/>
          <w:highlight w:val="none"/>
        </w:rPr>
        <w:t>电子采购合同需要供应商通过有效CA证书进行电子签名与签章。</w:t>
      </w:r>
    </w:p>
    <w:p w14:paraId="0D2480EE">
      <w:pPr>
        <w:spacing w:line="440" w:lineRule="exact"/>
        <w:rPr>
          <w:rFonts w:ascii="宋体" w:hAnsi="宋体" w:cs="宋体"/>
          <w:color w:val="auto"/>
          <w:szCs w:val="21"/>
          <w:highlight w:val="none"/>
        </w:rPr>
      </w:pPr>
      <w:r>
        <w:rPr>
          <w:rFonts w:hint="eastAsia" w:ascii="宋体" w:hAnsi="宋体" w:cs="宋体"/>
          <w:color w:val="auto"/>
          <w:szCs w:val="21"/>
          <w:highlight w:val="none"/>
        </w:rPr>
        <w:t>34.2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7A9FA052">
      <w:pPr>
        <w:spacing w:line="440" w:lineRule="exact"/>
        <w:rPr>
          <w:rFonts w:ascii="宋体" w:hAnsi="宋体" w:cs="宋体"/>
          <w:color w:val="auto"/>
          <w:szCs w:val="21"/>
          <w:highlight w:val="none"/>
        </w:rPr>
      </w:pPr>
      <w:r>
        <w:rPr>
          <w:rFonts w:hint="eastAsia" w:ascii="宋体" w:hAnsi="宋体" w:cs="宋体"/>
          <w:color w:val="auto"/>
          <w:szCs w:val="21"/>
          <w:highlight w:val="none"/>
        </w:rPr>
        <w:t>34.3如成交人不按成交通知书的规定签订合同，则按成交人违约处理，采购代理机构将没收成交人投标的全部磋商保证金并上缴同级财政国库。</w:t>
      </w:r>
    </w:p>
    <w:p w14:paraId="74EED811">
      <w:pPr>
        <w:spacing w:line="440" w:lineRule="exact"/>
        <w:rPr>
          <w:rFonts w:ascii="宋体" w:hAnsi="宋体" w:cs="宋体"/>
          <w:color w:val="auto"/>
          <w:szCs w:val="21"/>
          <w:highlight w:val="none"/>
        </w:rPr>
      </w:pPr>
      <w:r>
        <w:rPr>
          <w:rFonts w:hint="eastAsia" w:ascii="宋体" w:hAnsi="宋体" w:cs="宋体"/>
          <w:color w:val="auto"/>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14:paraId="20AB6767">
      <w:pPr>
        <w:spacing w:line="440" w:lineRule="exact"/>
        <w:rPr>
          <w:rFonts w:ascii="宋体" w:hAnsi="宋体" w:cs="宋体"/>
          <w:color w:val="auto"/>
          <w:highlight w:val="none"/>
        </w:rPr>
      </w:pPr>
      <w:r>
        <w:rPr>
          <w:rFonts w:hint="eastAsia" w:ascii="宋体" w:hAnsi="宋体" w:cs="宋体"/>
          <w:color w:val="auto"/>
          <w:szCs w:val="21"/>
          <w:highlight w:val="none"/>
        </w:rPr>
        <w:t>34.5政府采</w:t>
      </w:r>
      <w:r>
        <w:rPr>
          <w:rFonts w:hint="eastAsia" w:ascii="宋体" w:hAnsi="宋体" w:cs="宋体"/>
          <w:color w:val="auto"/>
          <w:highlight w:val="none"/>
        </w:rPr>
        <w:t>购合同公告：采购人或者受托采购代理机构应当自政府采购合同签订之日起2个工作日内，将政府采购合同在“广西政府采购网”（http://zfcg.gxzf.gov.cn）上发布公告，但政府采购合同中涉及国家秘密、商业秘密的内容除外。因此请各供应商应在响应文件中注明投标内容中涉及商业秘密的部分，未注明的视为响应文件中不涉及商业秘密。</w:t>
      </w:r>
    </w:p>
    <w:p w14:paraId="1B558101">
      <w:pPr>
        <w:pStyle w:val="22"/>
        <w:snapToGrid w:val="0"/>
        <w:spacing w:line="440" w:lineRule="exact"/>
        <w:rPr>
          <w:rFonts w:hAnsi="宋体" w:cs="宋体"/>
          <w:b/>
          <w:color w:val="auto"/>
          <w:highlight w:val="none"/>
        </w:rPr>
      </w:pPr>
      <w:r>
        <w:rPr>
          <w:rFonts w:hint="eastAsia" w:hAnsi="宋体" w:cs="宋体"/>
          <w:b/>
          <w:color w:val="auto"/>
          <w:highlight w:val="none"/>
        </w:rPr>
        <w:t>34.6履约保证金</w:t>
      </w:r>
    </w:p>
    <w:p w14:paraId="0FEBB719">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34.6.1履约保证金金额：详见供应商须知前附</w:t>
      </w:r>
      <w:r>
        <w:rPr>
          <w:rFonts w:hint="eastAsia" w:ascii="宋体" w:hAnsi="宋体" w:cs="宋体"/>
          <w:color w:val="auto"/>
          <w:szCs w:val="21"/>
          <w:highlight w:val="none"/>
        </w:rPr>
        <w:t>表</w:t>
      </w:r>
      <w:r>
        <w:rPr>
          <w:rFonts w:hint="eastAsia" w:ascii="宋体" w:hAnsi="宋体" w:cs="宋体"/>
          <w:color w:val="auto"/>
          <w:kern w:val="0"/>
          <w:szCs w:val="21"/>
          <w:highlight w:val="none"/>
        </w:rPr>
        <w:t>。</w:t>
      </w:r>
    </w:p>
    <w:p w14:paraId="18875291">
      <w:pPr>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34.6.2履约保证金递交时间：详见供应商须知前附</w:t>
      </w:r>
      <w:r>
        <w:rPr>
          <w:rFonts w:hint="eastAsia" w:ascii="宋体" w:hAnsi="宋体" w:cs="宋体"/>
          <w:color w:val="auto"/>
          <w:szCs w:val="21"/>
          <w:highlight w:val="none"/>
        </w:rPr>
        <w:t>表，未在规定时间内足额缴纳履约保证金的，不予签订合同</w:t>
      </w:r>
      <w:r>
        <w:rPr>
          <w:rFonts w:hint="eastAsia" w:ascii="宋体" w:hAnsi="宋体" w:cs="宋体"/>
          <w:color w:val="auto"/>
          <w:kern w:val="0"/>
          <w:szCs w:val="21"/>
          <w:highlight w:val="none"/>
        </w:rPr>
        <w:t>。</w:t>
      </w:r>
    </w:p>
    <w:p w14:paraId="13602BD6">
      <w:pPr>
        <w:pStyle w:val="22"/>
        <w:snapToGrid w:val="0"/>
        <w:spacing w:line="440" w:lineRule="exact"/>
        <w:rPr>
          <w:rFonts w:hAnsi="宋体" w:cs="宋体"/>
          <w:color w:val="auto"/>
          <w:highlight w:val="none"/>
        </w:rPr>
      </w:pPr>
      <w:r>
        <w:rPr>
          <w:rFonts w:hint="eastAsia" w:hAnsi="宋体" w:cs="宋体"/>
          <w:color w:val="auto"/>
          <w:highlight w:val="none"/>
        </w:rPr>
        <w:t>34.6.3</w:t>
      </w:r>
      <w:r>
        <w:rPr>
          <w:rFonts w:hint="eastAsia" w:hAnsi="宋体" w:cs="宋体"/>
          <w:color w:val="auto"/>
          <w:sz w:val="21"/>
          <w:highlight w:val="none"/>
        </w:rPr>
        <w:t>在履约保证金退还日期前，若</w:t>
      </w:r>
      <w:r>
        <w:rPr>
          <w:rFonts w:hint="eastAsia" w:hAnsi="宋体" w:cs="宋体"/>
          <w:color w:val="auto"/>
          <w:highlight w:val="none"/>
        </w:rPr>
        <w:t>中标</w:t>
      </w:r>
      <w:r>
        <w:rPr>
          <w:rFonts w:hint="eastAsia" w:hAnsi="宋体" w:cs="宋体"/>
          <w:color w:val="auto"/>
          <w:sz w:val="21"/>
          <w:highlight w:val="none"/>
        </w:rPr>
        <w:t>供应商的开户名称、开户银行、帐号有变动的，请以书面形式通知保证金收取单位，否则由此产生的后果由</w:t>
      </w:r>
      <w:r>
        <w:rPr>
          <w:rFonts w:hint="eastAsia" w:hAnsi="宋体" w:cs="宋体"/>
          <w:color w:val="auto"/>
          <w:highlight w:val="none"/>
        </w:rPr>
        <w:t>中标</w:t>
      </w:r>
      <w:r>
        <w:rPr>
          <w:rFonts w:hint="eastAsia" w:hAnsi="宋体" w:cs="宋体"/>
          <w:color w:val="auto"/>
          <w:sz w:val="21"/>
          <w:highlight w:val="none"/>
        </w:rPr>
        <w:t>供应商自负。</w:t>
      </w:r>
    </w:p>
    <w:p w14:paraId="3E0DDC36">
      <w:pPr>
        <w:spacing w:line="440" w:lineRule="exact"/>
        <w:rPr>
          <w:rFonts w:ascii="宋体" w:hAnsi="宋体" w:cs="宋体"/>
          <w:b/>
          <w:bCs/>
          <w:color w:val="auto"/>
          <w:highlight w:val="none"/>
        </w:rPr>
      </w:pPr>
      <w:r>
        <w:rPr>
          <w:rFonts w:hint="eastAsia" w:ascii="宋体" w:hAnsi="宋体" w:cs="宋体"/>
          <w:b/>
          <w:bCs/>
          <w:color w:val="auto"/>
          <w:highlight w:val="none"/>
        </w:rPr>
        <w:t>六、验收</w:t>
      </w:r>
    </w:p>
    <w:p w14:paraId="456172DC">
      <w:pPr>
        <w:spacing w:line="440" w:lineRule="exact"/>
        <w:rPr>
          <w:rFonts w:ascii="宋体" w:hAnsi="宋体" w:cs="宋体"/>
          <w:b/>
          <w:bCs/>
          <w:color w:val="auto"/>
          <w:highlight w:val="none"/>
        </w:rPr>
      </w:pPr>
      <w:r>
        <w:rPr>
          <w:rFonts w:hint="eastAsia" w:ascii="宋体" w:hAnsi="宋体" w:cs="宋体"/>
          <w:b/>
          <w:bCs/>
          <w:color w:val="auto"/>
          <w:highlight w:val="none"/>
        </w:rPr>
        <w:t>35.验收</w:t>
      </w:r>
    </w:p>
    <w:p w14:paraId="5B3BCF99">
      <w:pPr>
        <w:spacing w:line="440" w:lineRule="exact"/>
        <w:rPr>
          <w:rFonts w:ascii="宋体" w:hAnsi="宋体" w:cs="宋体"/>
          <w:bCs/>
          <w:color w:val="auto"/>
          <w:highlight w:val="none"/>
        </w:rPr>
      </w:pPr>
      <w:r>
        <w:rPr>
          <w:rFonts w:hint="eastAsia" w:ascii="宋体" w:hAnsi="宋体" w:cs="宋体"/>
          <w:bCs/>
          <w:color w:val="auto"/>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BA229D0">
      <w:pPr>
        <w:spacing w:line="440" w:lineRule="exact"/>
        <w:rPr>
          <w:rFonts w:ascii="宋体" w:hAnsi="宋体" w:cs="宋体"/>
          <w:bCs/>
          <w:color w:val="auto"/>
          <w:highlight w:val="none"/>
        </w:rPr>
      </w:pPr>
      <w:r>
        <w:rPr>
          <w:rFonts w:hint="eastAsia" w:ascii="宋体" w:hAnsi="宋体" w:cs="宋体"/>
          <w:bCs/>
          <w:color w:val="auto"/>
          <w:highlight w:val="none"/>
        </w:rPr>
        <w:t>35.2采购人可以邀请参加本项目的其他供应商或者第三方机构参与验收。参与验收的供应商或者第三方机构的意见作为验收书的参考资料一并存档。</w:t>
      </w:r>
    </w:p>
    <w:p w14:paraId="68F65477">
      <w:pPr>
        <w:spacing w:line="440" w:lineRule="exact"/>
        <w:rPr>
          <w:rFonts w:ascii="宋体" w:hAnsi="宋体" w:cs="宋体"/>
          <w:bCs/>
          <w:color w:val="auto"/>
          <w:highlight w:val="none"/>
        </w:rPr>
      </w:pPr>
      <w:r>
        <w:rPr>
          <w:rFonts w:hint="eastAsia" w:ascii="宋体" w:hAnsi="宋体" w:cs="宋体"/>
          <w:bCs/>
          <w:color w:val="auto"/>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E42AA2C">
      <w:pPr>
        <w:spacing w:line="440" w:lineRule="exact"/>
        <w:rPr>
          <w:rFonts w:ascii="宋体" w:hAnsi="宋体" w:cs="宋体"/>
          <w:bCs/>
          <w:color w:val="auto"/>
          <w:highlight w:val="none"/>
        </w:rPr>
      </w:pPr>
      <w:r>
        <w:rPr>
          <w:rFonts w:hint="eastAsia" w:ascii="宋体" w:hAnsi="宋体" w:cs="宋体"/>
          <w:bCs/>
          <w:color w:val="auto"/>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951CF04">
      <w:pPr>
        <w:spacing w:line="440" w:lineRule="exact"/>
        <w:rPr>
          <w:rFonts w:ascii="宋体" w:hAnsi="宋体" w:cs="宋体"/>
          <w:bCs/>
          <w:color w:val="auto"/>
          <w:highlight w:val="none"/>
        </w:rPr>
      </w:pPr>
      <w:r>
        <w:rPr>
          <w:rFonts w:hint="eastAsia" w:ascii="宋体" w:hAnsi="宋体" w:cs="宋体"/>
          <w:bCs/>
          <w:color w:val="auto"/>
          <w:highlight w:val="none"/>
        </w:rPr>
        <w:t>35.5项目验收完毕，成交供应商将壹份《广西壮族自治区政府采购项目合同验收书》（格式详见附件）送采购代理机构存档。</w:t>
      </w:r>
    </w:p>
    <w:p w14:paraId="4C654869">
      <w:pPr>
        <w:spacing w:line="440" w:lineRule="exact"/>
        <w:rPr>
          <w:rFonts w:ascii="宋体" w:hAnsi="宋体" w:cs="宋体"/>
          <w:b/>
          <w:color w:val="auto"/>
          <w:szCs w:val="21"/>
          <w:highlight w:val="none"/>
        </w:rPr>
      </w:pPr>
      <w:r>
        <w:rPr>
          <w:rFonts w:hint="eastAsia" w:ascii="宋体" w:hAnsi="宋体" w:cs="宋体"/>
          <w:b/>
          <w:color w:val="auto"/>
          <w:szCs w:val="21"/>
          <w:highlight w:val="none"/>
        </w:rPr>
        <w:t>七、其他事项</w:t>
      </w:r>
    </w:p>
    <w:p w14:paraId="5976ADC8">
      <w:pPr>
        <w:spacing w:line="440" w:lineRule="exact"/>
        <w:rPr>
          <w:rFonts w:ascii="宋体" w:hAnsi="宋体" w:cs="宋体"/>
          <w:b/>
          <w:color w:val="auto"/>
          <w:szCs w:val="21"/>
          <w:highlight w:val="none"/>
        </w:rPr>
      </w:pPr>
      <w:r>
        <w:rPr>
          <w:rFonts w:hint="eastAsia" w:ascii="宋体" w:hAnsi="宋体" w:cs="宋体"/>
          <w:b/>
          <w:color w:val="auto"/>
          <w:szCs w:val="21"/>
          <w:highlight w:val="none"/>
        </w:rPr>
        <w:t>36.需要补充的其他内容</w:t>
      </w:r>
    </w:p>
    <w:p w14:paraId="5DA67755">
      <w:pPr>
        <w:spacing w:line="440" w:lineRule="exact"/>
        <w:rPr>
          <w:rFonts w:ascii="宋体" w:hAnsi="宋体" w:cs="宋体"/>
          <w:color w:val="auto"/>
          <w:szCs w:val="21"/>
          <w:highlight w:val="none"/>
        </w:rPr>
      </w:pPr>
      <w:r>
        <w:rPr>
          <w:rFonts w:hint="eastAsia" w:ascii="宋体" w:hAnsi="宋体" w:cs="宋体"/>
          <w:color w:val="auto"/>
          <w:szCs w:val="21"/>
          <w:highlight w:val="none"/>
        </w:rPr>
        <w:t>36.1本招标文件解释规则详见“供应商须知前附表”。</w:t>
      </w:r>
    </w:p>
    <w:p w14:paraId="6E34998D">
      <w:pPr>
        <w:spacing w:line="440" w:lineRule="exact"/>
        <w:rPr>
          <w:rFonts w:ascii="宋体" w:hAnsi="宋体" w:cs="宋体"/>
          <w:color w:val="auto"/>
          <w:szCs w:val="21"/>
          <w:highlight w:val="none"/>
        </w:rPr>
      </w:pPr>
      <w:r>
        <w:rPr>
          <w:rFonts w:hint="eastAsia" w:ascii="宋体" w:hAnsi="宋体" w:cs="宋体"/>
          <w:color w:val="auto"/>
          <w:szCs w:val="21"/>
          <w:highlight w:val="none"/>
        </w:rPr>
        <w:t>37.2其他事项详见“供应商须知前附表”。</w:t>
      </w:r>
    </w:p>
    <w:p w14:paraId="0A5E73CC">
      <w:pPr>
        <w:spacing w:line="440" w:lineRule="exact"/>
        <w:rPr>
          <w:rFonts w:ascii="宋体" w:hAnsi="宋体" w:cs="宋体"/>
          <w:b/>
          <w:color w:val="auto"/>
          <w:szCs w:val="21"/>
          <w:highlight w:val="none"/>
        </w:rPr>
      </w:pPr>
      <w:r>
        <w:rPr>
          <w:rFonts w:hint="eastAsia" w:ascii="宋体" w:hAnsi="宋体" w:cs="宋体"/>
          <w:b/>
          <w:color w:val="auto"/>
          <w:szCs w:val="21"/>
          <w:highlight w:val="none"/>
        </w:rPr>
        <w:t>37.成交服务费</w:t>
      </w:r>
    </w:p>
    <w:p w14:paraId="480B40B6">
      <w:pPr>
        <w:spacing w:line="440" w:lineRule="exact"/>
        <w:rPr>
          <w:rFonts w:ascii="宋体" w:hAnsi="宋体" w:cs="宋体"/>
          <w:color w:val="auto"/>
          <w:szCs w:val="21"/>
          <w:highlight w:val="none"/>
        </w:rPr>
      </w:pPr>
      <w:r>
        <w:rPr>
          <w:rFonts w:hint="eastAsia" w:ascii="宋体" w:hAnsi="宋体" w:cs="宋体"/>
          <w:color w:val="auto"/>
          <w:szCs w:val="21"/>
          <w:highlight w:val="none"/>
        </w:rPr>
        <w:t>37.1成交服务费：本项目成交服务费按</w:t>
      </w:r>
      <w:r>
        <w:rPr>
          <w:rFonts w:hint="eastAsia" w:ascii="宋体" w:hAnsi="宋体" w:cs="宋体"/>
          <w:color w:val="auto"/>
          <w:highlight w:val="none"/>
        </w:rPr>
        <w:t>《招标代理服务收费管理暂行办法》（计价格[2002]1980号）收费标准和发改办[2003]857号文规定向中标人收取</w:t>
      </w:r>
      <w:r>
        <w:rPr>
          <w:rFonts w:hint="eastAsia" w:ascii="宋体" w:hAnsi="宋体" w:cs="宋体"/>
          <w:color w:val="auto"/>
          <w:szCs w:val="21"/>
          <w:highlight w:val="none"/>
        </w:rPr>
        <w:t>。</w:t>
      </w:r>
      <w:r>
        <w:rPr>
          <w:rFonts w:hint="eastAsia" w:ascii="宋体" w:hAnsi="宋体" w:cs="宋体"/>
          <w:color w:val="auto"/>
          <w:highlight w:val="none"/>
        </w:rPr>
        <w:t>领取成交通知书时，成交人应向采购代理机构一次付清成交服务费。</w:t>
      </w:r>
    </w:p>
    <w:p w14:paraId="1953AD66">
      <w:pPr>
        <w:spacing w:line="440" w:lineRule="exact"/>
        <w:rPr>
          <w:rFonts w:ascii="宋体" w:hAnsi="宋体" w:cs="宋体"/>
          <w:color w:val="auto"/>
          <w:szCs w:val="21"/>
          <w:highlight w:val="none"/>
        </w:rPr>
      </w:pPr>
      <w:r>
        <w:rPr>
          <w:rFonts w:hint="eastAsia" w:ascii="宋体" w:hAnsi="宋体" w:cs="宋体"/>
          <w:color w:val="auto"/>
          <w:szCs w:val="21"/>
          <w:highlight w:val="none"/>
        </w:rPr>
        <w:t>37.2成交服务费收费标准：</w:t>
      </w:r>
    </w:p>
    <w:tbl>
      <w:tblPr>
        <w:tblStyle w:val="41"/>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7"/>
        <w:gridCol w:w="1808"/>
        <w:gridCol w:w="2061"/>
        <w:gridCol w:w="1871"/>
      </w:tblGrid>
      <w:tr w14:paraId="42C8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617" w:type="dxa"/>
            <w:tcBorders>
              <w:top w:val="single" w:color="auto" w:sz="4" w:space="0"/>
              <w:left w:val="single" w:color="auto" w:sz="4" w:space="0"/>
              <w:bottom w:val="single" w:color="auto" w:sz="4" w:space="0"/>
              <w:right w:val="single" w:color="auto" w:sz="4" w:space="0"/>
            </w:tcBorders>
          </w:tcPr>
          <w:p w14:paraId="5FFABCF3">
            <w:pPr>
              <w:spacing w:line="440" w:lineRule="exact"/>
              <w:ind w:firstLine="1640" w:firstLineChars="781"/>
              <w:rPr>
                <w:rFonts w:ascii="宋体" w:hAnsi="宋体" w:cs="宋体"/>
                <w:b/>
                <w:bCs/>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372110</wp:posOffset>
                      </wp:positionH>
                      <wp:positionV relativeFrom="paragraph">
                        <wp:posOffset>-635</wp:posOffset>
                      </wp:positionV>
                      <wp:extent cx="1849120" cy="1120140"/>
                      <wp:effectExtent l="0" t="0" r="17780" b="22860"/>
                      <wp:wrapNone/>
                      <wp:docPr id="12" name="直接连接符 3"/>
                      <wp:cNvGraphicFramePr/>
                      <a:graphic xmlns:a="http://schemas.openxmlformats.org/drawingml/2006/main">
                        <a:graphicData uri="http://schemas.microsoft.com/office/word/2010/wordprocessingShape">
                          <wps:wsp>
                            <wps:cNvCnPr>
                              <a:cxnSpLocks noChangeShapeType="1"/>
                            </wps:cNvCnPr>
                            <wps:spPr bwMode="auto">
                              <a:xfrm flipH="1" flipV="1">
                                <a:off x="0" y="0"/>
                                <a:ext cx="1849120" cy="112014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flip:x y;margin-left:29.3pt;margin-top:-0.05pt;height:88.2pt;width:145.6pt;z-index:251666432;mso-width-relative:page;mso-height-relative:page;" filled="f" stroked="t" coordsize="21600,21600" o:gfxdata="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zmajUAAAACAEAAA8AAAAAAAAAAQAgAAAAIgAAAGRycy9kb3ducmV2LnhtbFBL&#10;AQIUABQAAAAIAIdO4kDqjHrk+gEAANMDAAAOAAAAAAAAAAEAIAAAACMBAABkcnMvZTJvRG9jLnht&#10;bFBLBQYAAAAABgAGAFkBAACPBQAAAAA=&#10;">
                      <v:fill on="f" focussize="0,0"/>
                      <v:stroke color="#000000" joinstyle="round"/>
                      <v:imagedata o:title=""/>
                      <o:lock v:ext="edit" aspectratio="f"/>
                    </v:lin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-6350</wp:posOffset>
                      </wp:positionV>
                      <wp:extent cx="635" cy="0"/>
                      <wp:effectExtent l="0" t="0" r="0" b="0"/>
                      <wp:wrapNone/>
                      <wp:docPr id="1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9pt;margin-top:-0.5pt;height:0pt;width:0.05pt;z-index:251667456;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MQqwlbm&#10;AQAAtQ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
                <w:bCs/>
                <w:color w:val="auto"/>
                <w:szCs w:val="21"/>
                <w:highlight w:val="none"/>
              </w:rPr>
              <w:t>服务类型</w:t>
            </w:r>
          </w:p>
          <w:p w14:paraId="71384BA0">
            <w:pPr>
              <w:spacing w:line="44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费率　　　　　　　　</w:t>
            </w:r>
          </w:p>
          <w:p w14:paraId="2E6C1C8C">
            <w:pPr>
              <w:spacing w:line="440" w:lineRule="exact"/>
              <w:rPr>
                <w:rFonts w:ascii="宋体" w:hAnsi="宋体" w:cs="宋体"/>
                <w:b/>
                <w:bCs/>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8480" behindDoc="0" locked="0" layoutInCell="1" allowOverlap="1">
                      <wp:simplePos x="0" y="0"/>
                      <wp:positionH relativeFrom="column">
                        <wp:posOffset>-71755</wp:posOffset>
                      </wp:positionH>
                      <wp:positionV relativeFrom="paragraph">
                        <wp:posOffset>67945</wp:posOffset>
                      </wp:positionV>
                      <wp:extent cx="2316480" cy="491490"/>
                      <wp:effectExtent l="0" t="0" r="26670" b="22860"/>
                      <wp:wrapNone/>
                      <wp:docPr id="10" name="直接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2316480" cy="49149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flip:x y;margin-left:-5.65pt;margin-top:5.35pt;height:38.7pt;width:182.4pt;z-index:251668480;mso-width-relative:page;mso-height-relative:page;" filled="f" stroked="t" coordsize="21600,21600" o:gfxdata="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BWDI1AAAAAkBAAAPAAAAAAAAAAEAIAAAACIAAABkcnMvZG93bnJldi54bWxQ&#10;SwECFAAUAAAACACHTuJANIG4gPsBAADSAwAADgAAAAAAAAABACAAAAAjAQAAZHJzL2Uyb0RvYy54&#10;bWxQSwUGAAAAAAYABgBZAQAAkAUAAAAA&#10;">
                      <v:fill on="f" focussize="0,0"/>
                      <v:stroke color="#000000" joinstyle="round"/>
                      <v:imagedata o:title=""/>
                      <o:lock v:ext="edit" aspectratio="f"/>
                    </v:line>
                  </w:pict>
                </mc:Fallback>
              </mc:AlternateContent>
            </w:r>
            <w:r>
              <w:rPr>
                <w:rFonts w:hint="eastAsia" w:ascii="宋体" w:hAnsi="宋体" w:cs="宋体"/>
                <w:b/>
                <w:bCs/>
                <w:color w:val="auto"/>
                <w:szCs w:val="21"/>
                <w:highlight w:val="none"/>
              </w:rPr>
              <w:t>　　　</w:t>
            </w:r>
          </w:p>
          <w:p w14:paraId="54CC59DE">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成交金额（万元）</w:t>
            </w:r>
          </w:p>
        </w:tc>
        <w:tc>
          <w:tcPr>
            <w:tcW w:w="1808" w:type="dxa"/>
            <w:tcBorders>
              <w:top w:val="single" w:color="auto" w:sz="4" w:space="0"/>
              <w:left w:val="single" w:color="auto" w:sz="4" w:space="0"/>
              <w:bottom w:val="single" w:color="auto" w:sz="4" w:space="0"/>
              <w:right w:val="single" w:color="auto" w:sz="4" w:space="0"/>
            </w:tcBorders>
            <w:vAlign w:val="center"/>
          </w:tcPr>
          <w:p w14:paraId="0FECDFCD">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货物采购</w:t>
            </w:r>
          </w:p>
        </w:tc>
        <w:tc>
          <w:tcPr>
            <w:tcW w:w="2061" w:type="dxa"/>
            <w:tcBorders>
              <w:top w:val="single" w:color="auto" w:sz="4" w:space="0"/>
              <w:left w:val="single" w:color="auto" w:sz="4" w:space="0"/>
              <w:bottom w:val="single" w:color="auto" w:sz="4" w:space="0"/>
              <w:right w:val="single" w:color="auto" w:sz="4" w:space="0"/>
            </w:tcBorders>
            <w:vAlign w:val="center"/>
          </w:tcPr>
          <w:p w14:paraId="0938856A">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服务采购</w:t>
            </w:r>
          </w:p>
        </w:tc>
        <w:tc>
          <w:tcPr>
            <w:tcW w:w="1871" w:type="dxa"/>
            <w:tcBorders>
              <w:top w:val="single" w:color="auto" w:sz="4" w:space="0"/>
              <w:left w:val="single" w:color="auto" w:sz="4" w:space="0"/>
              <w:bottom w:val="single" w:color="auto" w:sz="4" w:space="0"/>
              <w:right w:val="single" w:color="auto" w:sz="4" w:space="0"/>
            </w:tcBorders>
            <w:vAlign w:val="center"/>
          </w:tcPr>
          <w:p w14:paraId="5B8A1CB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工程采购</w:t>
            </w:r>
          </w:p>
        </w:tc>
      </w:tr>
      <w:tr w14:paraId="5EB5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617" w:type="dxa"/>
            <w:tcBorders>
              <w:top w:val="single" w:color="auto" w:sz="4" w:space="0"/>
              <w:left w:val="single" w:color="auto" w:sz="4" w:space="0"/>
              <w:bottom w:val="single" w:color="auto" w:sz="4" w:space="0"/>
              <w:right w:val="single" w:color="auto" w:sz="4" w:space="0"/>
            </w:tcBorders>
            <w:vAlign w:val="center"/>
          </w:tcPr>
          <w:p w14:paraId="205BE47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100以下</w:t>
            </w:r>
          </w:p>
        </w:tc>
        <w:tc>
          <w:tcPr>
            <w:tcW w:w="1808" w:type="dxa"/>
            <w:tcBorders>
              <w:top w:val="single" w:color="auto" w:sz="4" w:space="0"/>
              <w:left w:val="single" w:color="auto" w:sz="4" w:space="0"/>
              <w:bottom w:val="single" w:color="auto" w:sz="4" w:space="0"/>
              <w:right w:val="single" w:color="auto" w:sz="4" w:space="0"/>
            </w:tcBorders>
            <w:vAlign w:val="center"/>
          </w:tcPr>
          <w:p w14:paraId="29021E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061" w:type="dxa"/>
            <w:tcBorders>
              <w:top w:val="single" w:color="auto" w:sz="4" w:space="0"/>
              <w:left w:val="single" w:color="auto" w:sz="4" w:space="0"/>
              <w:bottom w:val="single" w:color="auto" w:sz="4" w:space="0"/>
              <w:right w:val="single" w:color="auto" w:sz="4" w:space="0"/>
            </w:tcBorders>
            <w:vAlign w:val="center"/>
          </w:tcPr>
          <w:p w14:paraId="061EF05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71" w:type="dxa"/>
            <w:tcBorders>
              <w:top w:val="single" w:color="auto" w:sz="4" w:space="0"/>
              <w:left w:val="single" w:color="auto" w:sz="4" w:space="0"/>
              <w:bottom w:val="single" w:color="auto" w:sz="4" w:space="0"/>
              <w:right w:val="single" w:color="auto" w:sz="4" w:space="0"/>
            </w:tcBorders>
            <w:vAlign w:val="center"/>
          </w:tcPr>
          <w:p w14:paraId="50CE4B2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r>
      <w:tr w14:paraId="7D19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617" w:type="dxa"/>
            <w:tcBorders>
              <w:top w:val="single" w:color="auto" w:sz="4" w:space="0"/>
              <w:left w:val="single" w:color="auto" w:sz="4" w:space="0"/>
              <w:bottom w:val="single" w:color="auto" w:sz="4" w:space="0"/>
              <w:right w:val="single" w:color="auto" w:sz="4" w:space="0"/>
            </w:tcBorders>
            <w:vAlign w:val="center"/>
          </w:tcPr>
          <w:p w14:paraId="4FAE7B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808" w:type="dxa"/>
            <w:tcBorders>
              <w:top w:val="single" w:color="auto" w:sz="4" w:space="0"/>
              <w:left w:val="single" w:color="auto" w:sz="4" w:space="0"/>
              <w:bottom w:val="single" w:color="auto" w:sz="4" w:space="0"/>
              <w:right w:val="single" w:color="auto" w:sz="4" w:space="0"/>
            </w:tcBorders>
            <w:vAlign w:val="center"/>
          </w:tcPr>
          <w:p w14:paraId="1F5886B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2061" w:type="dxa"/>
            <w:tcBorders>
              <w:top w:val="single" w:color="auto" w:sz="4" w:space="0"/>
              <w:left w:val="single" w:color="auto" w:sz="4" w:space="0"/>
              <w:bottom w:val="single" w:color="auto" w:sz="4" w:space="0"/>
              <w:right w:val="single" w:color="auto" w:sz="4" w:space="0"/>
            </w:tcBorders>
            <w:vAlign w:val="center"/>
          </w:tcPr>
          <w:p w14:paraId="7B53D5A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871" w:type="dxa"/>
            <w:tcBorders>
              <w:top w:val="single" w:color="auto" w:sz="4" w:space="0"/>
              <w:left w:val="single" w:color="auto" w:sz="4" w:space="0"/>
              <w:bottom w:val="single" w:color="auto" w:sz="4" w:space="0"/>
              <w:right w:val="single" w:color="auto" w:sz="4" w:space="0"/>
            </w:tcBorders>
            <w:vAlign w:val="center"/>
          </w:tcPr>
          <w:p w14:paraId="0FB53C7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0.7％</w:t>
            </w:r>
          </w:p>
        </w:tc>
      </w:tr>
      <w:tr w14:paraId="225B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617" w:type="dxa"/>
            <w:tcBorders>
              <w:top w:val="single" w:color="auto" w:sz="4" w:space="0"/>
              <w:left w:val="single" w:color="auto" w:sz="4" w:space="0"/>
              <w:bottom w:val="single" w:color="auto" w:sz="4" w:space="0"/>
              <w:right w:val="single" w:color="auto" w:sz="4" w:space="0"/>
            </w:tcBorders>
            <w:vAlign w:val="center"/>
          </w:tcPr>
          <w:p w14:paraId="39C27A8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500-1000</w:t>
            </w:r>
          </w:p>
        </w:tc>
        <w:tc>
          <w:tcPr>
            <w:tcW w:w="1808" w:type="dxa"/>
            <w:tcBorders>
              <w:top w:val="single" w:color="auto" w:sz="4" w:space="0"/>
              <w:left w:val="single" w:color="auto" w:sz="4" w:space="0"/>
              <w:bottom w:val="single" w:color="auto" w:sz="4" w:space="0"/>
              <w:right w:val="single" w:color="auto" w:sz="4" w:space="0"/>
            </w:tcBorders>
            <w:vAlign w:val="center"/>
          </w:tcPr>
          <w:p w14:paraId="60ADD8A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2061" w:type="dxa"/>
            <w:tcBorders>
              <w:top w:val="single" w:color="auto" w:sz="4" w:space="0"/>
              <w:left w:val="single" w:color="auto" w:sz="4" w:space="0"/>
              <w:bottom w:val="single" w:color="auto" w:sz="4" w:space="0"/>
              <w:right w:val="single" w:color="auto" w:sz="4" w:space="0"/>
            </w:tcBorders>
            <w:vAlign w:val="center"/>
          </w:tcPr>
          <w:p w14:paraId="5C72A5B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871" w:type="dxa"/>
            <w:tcBorders>
              <w:top w:val="single" w:color="auto" w:sz="4" w:space="0"/>
              <w:left w:val="single" w:color="auto" w:sz="4" w:space="0"/>
              <w:bottom w:val="single" w:color="auto" w:sz="4" w:space="0"/>
              <w:right w:val="single" w:color="auto" w:sz="4" w:space="0"/>
            </w:tcBorders>
            <w:vAlign w:val="center"/>
          </w:tcPr>
          <w:p w14:paraId="051766A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0.55％</w:t>
            </w:r>
          </w:p>
        </w:tc>
      </w:tr>
      <w:tr w14:paraId="196C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3617" w:type="dxa"/>
            <w:tcBorders>
              <w:top w:val="single" w:color="auto" w:sz="4" w:space="0"/>
              <w:left w:val="single" w:color="auto" w:sz="4" w:space="0"/>
              <w:bottom w:val="single" w:color="auto" w:sz="4" w:space="0"/>
              <w:right w:val="single" w:color="auto" w:sz="4" w:space="0"/>
            </w:tcBorders>
            <w:vAlign w:val="center"/>
          </w:tcPr>
          <w:p w14:paraId="2A7557B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1000-5000</w:t>
            </w:r>
          </w:p>
        </w:tc>
        <w:tc>
          <w:tcPr>
            <w:tcW w:w="1808" w:type="dxa"/>
            <w:tcBorders>
              <w:top w:val="single" w:color="auto" w:sz="4" w:space="0"/>
              <w:left w:val="single" w:color="auto" w:sz="4" w:space="0"/>
              <w:bottom w:val="single" w:color="auto" w:sz="4" w:space="0"/>
              <w:right w:val="single" w:color="auto" w:sz="4" w:space="0"/>
            </w:tcBorders>
            <w:vAlign w:val="center"/>
          </w:tcPr>
          <w:p w14:paraId="6C7FF2A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w:t>
            </w:r>
          </w:p>
        </w:tc>
        <w:tc>
          <w:tcPr>
            <w:tcW w:w="2061" w:type="dxa"/>
            <w:tcBorders>
              <w:top w:val="single" w:color="auto" w:sz="4" w:space="0"/>
              <w:left w:val="single" w:color="auto" w:sz="4" w:space="0"/>
              <w:bottom w:val="single" w:color="auto" w:sz="4" w:space="0"/>
              <w:right w:val="single" w:color="auto" w:sz="4" w:space="0"/>
            </w:tcBorders>
            <w:vAlign w:val="center"/>
          </w:tcPr>
          <w:p w14:paraId="1C17A4C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871" w:type="dxa"/>
            <w:tcBorders>
              <w:top w:val="single" w:color="auto" w:sz="4" w:space="0"/>
              <w:left w:val="single" w:color="auto" w:sz="4" w:space="0"/>
              <w:bottom w:val="single" w:color="auto" w:sz="4" w:space="0"/>
              <w:right w:val="single" w:color="auto" w:sz="4" w:space="0"/>
            </w:tcBorders>
            <w:vAlign w:val="center"/>
          </w:tcPr>
          <w:p w14:paraId="34F1049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0.35％</w:t>
            </w:r>
          </w:p>
        </w:tc>
      </w:tr>
      <w:tr w14:paraId="1E95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617" w:type="dxa"/>
            <w:tcBorders>
              <w:top w:val="single" w:color="auto" w:sz="4" w:space="0"/>
              <w:left w:val="single" w:color="auto" w:sz="4" w:space="0"/>
              <w:bottom w:val="single" w:color="auto" w:sz="4" w:space="0"/>
              <w:right w:val="single" w:color="auto" w:sz="4" w:space="0"/>
            </w:tcBorders>
            <w:vAlign w:val="center"/>
          </w:tcPr>
          <w:p w14:paraId="79094C8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5000-10000</w:t>
            </w:r>
          </w:p>
        </w:tc>
        <w:tc>
          <w:tcPr>
            <w:tcW w:w="1808" w:type="dxa"/>
            <w:tcBorders>
              <w:top w:val="single" w:color="auto" w:sz="4" w:space="0"/>
              <w:left w:val="single" w:color="auto" w:sz="4" w:space="0"/>
              <w:bottom w:val="single" w:color="auto" w:sz="4" w:space="0"/>
              <w:right w:val="single" w:color="auto" w:sz="4" w:space="0"/>
            </w:tcBorders>
            <w:vAlign w:val="center"/>
          </w:tcPr>
          <w:p w14:paraId="5DA5B45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2061" w:type="dxa"/>
            <w:tcBorders>
              <w:top w:val="single" w:color="auto" w:sz="4" w:space="0"/>
              <w:left w:val="single" w:color="auto" w:sz="4" w:space="0"/>
              <w:bottom w:val="single" w:color="auto" w:sz="4" w:space="0"/>
              <w:right w:val="single" w:color="auto" w:sz="4" w:space="0"/>
            </w:tcBorders>
            <w:vAlign w:val="center"/>
          </w:tcPr>
          <w:p w14:paraId="7C94DFE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0.1％</w:t>
            </w:r>
          </w:p>
        </w:tc>
        <w:tc>
          <w:tcPr>
            <w:tcW w:w="1871" w:type="dxa"/>
            <w:tcBorders>
              <w:top w:val="single" w:color="auto" w:sz="4" w:space="0"/>
              <w:left w:val="single" w:color="auto" w:sz="4" w:space="0"/>
              <w:bottom w:val="single" w:color="auto" w:sz="4" w:space="0"/>
              <w:right w:val="single" w:color="auto" w:sz="4" w:space="0"/>
            </w:tcBorders>
            <w:vAlign w:val="center"/>
          </w:tcPr>
          <w:p w14:paraId="5A8DE6F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w:t>
            </w:r>
          </w:p>
        </w:tc>
      </w:tr>
      <w:tr w14:paraId="5835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3617" w:type="dxa"/>
            <w:tcBorders>
              <w:top w:val="single" w:color="auto" w:sz="4" w:space="0"/>
              <w:left w:val="single" w:color="auto" w:sz="4" w:space="0"/>
              <w:bottom w:val="single" w:color="auto" w:sz="4" w:space="0"/>
              <w:right w:val="single" w:color="auto" w:sz="4" w:space="0"/>
            </w:tcBorders>
            <w:vAlign w:val="center"/>
          </w:tcPr>
          <w:p w14:paraId="4E8F3B0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10000-100000</w:t>
            </w:r>
          </w:p>
        </w:tc>
        <w:tc>
          <w:tcPr>
            <w:tcW w:w="1808" w:type="dxa"/>
            <w:tcBorders>
              <w:top w:val="single" w:color="auto" w:sz="4" w:space="0"/>
              <w:left w:val="single" w:color="auto" w:sz="4" w:space="0"/>
              <w:bottom w:val="single" w:color="auto" w:sz="4" w:space="0"/>
              <w:right w:val="single" w:color="auto" w:sz="4" w:space="0"/>
            </w:tcBorders>
            <w:vAlign w:val="center"/>
          </w:tcPr>
          <w:p w14:paraId="157F6C8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2061" w:type="dxa"/>
            <w:tcBorders>
              <w:top w:val="single" w:color="auto" w:sz="4" w:space="0"/>
              <w:left w:val="single" w:color="auto" w:sz="4" w:space="0"/>
              <w:bottom w:val="single" w:color="auto" w:sz="4" w:space="0"/>
              <w:right w:val="single" w:color="auto" w:sz="4" w:space="0"/>
            </w:tcBorders>
            <w:vAlign w:val="center"/>
          </w:tcPr>
          <w:p w14:paraId="5FFF421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871" w:type="dxa"/>
            <w:tcBorders>
              <w:top w:val="single" w:color="auto" w:sz="4" w:space="0"/>
              <w:left w:val="single" w:color="auto" w:sz="4" w:space="0"/>
              <w:bottom w:val="single" w:color="auto" w:sz="4" w:space="0"/>
              <w:right w:val="single" w:color="auto" w:sz="4" w:space="0"/>
            </w:tcBorders>
            <w:vAlign w:val="center"/>
          </w:tcPr>
          <w:p w14:paraId="54435AD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r>
    </w:tbl>
    <w:p w14:paraId="51E8E4F3">
      <w:pPr>
        <w:pStyle w:val="22"/>
        <w:snapToGrid w:val="0"/>
        <w:spacing w:line="440" w:lineRule="exact"/>
        <w:ind w:firstLine="411" w:firstLineChars="196"/>
        <w:rPr>
          <w:rFonts w:hAnsi="宋体" w:cs="宋体"/>
          <w:color w:val="auto"/>
          <w:kern w:val="2"/>
          <w:sz w:val="21"/>
          <w:highlight w:val="none"/>
        </w:rPr>
      </w:pPr>
      <w:r>
        <w:rPr>
          <w:rFonts w:hint="eastAsia" w:hAnsi="宋体" w:cs="宋体"/>
          <w:color w:val="auto"/>
          <w:kern w:val="2"/>
          <w:sz w:val="21"/>
          <w:highlight w:val="none"/>
        </w:rPr>
        <w:t>注：招标代理服务费收费按差额定率累进法计算。</w:t>
      </w:r>
    </w:p>
    <w:p w14:paraId="167F3C0B">
      <w:pPr>
        <w:spacing w:line="440" w:lineRule="exact"/>
        <w:rPr>
          <w:rFonts w:ascii="宋体" w:hAnsi="宋体" w:cs="宋体"/>
          <w:b/>
          <w:color w:val="auto"/>
          <w:szCs w:val="21"/>
          <w:highlight w:val="none"/>
        </w:rPr>
      </w:pPr>
      <w:r>
        <w:rPr>
          <w:rFonts w:hint="eastAsia" w:ascii="宋体" w:hAnsi="宋体" w:cs="宋体"/>
          <w:b/>
          <w:color w:val="auto"/>
          <w:szCs w:val="21"/>
          <w:highlight w:val="none"/>
        </w:rPr>
        <w:t>38.供应商信用查询相关规定</w:t>
      </w:r>
    </w:p>
    <w:p w14:paraId="5AB33725">
      <w:pPr>
        <w:spacing w:line="440" w:lineRule="exact"/>
        <w:rPr>
          <w:rFonts w:ascii="宋体" w:hAnsi="宋体" w:cs="宋体"/>
          <w:color w:val="auto"/>
          <w:szCs w:val="21"/>
          <w:highlight w:val="none"/>
        </w:rPr>
      </w:pPr>
      <w:r>
        <w:rPr>
          <w:rFonts w:hint="eastAsia" w:ascii="宋体" w:hAnsi="宋体" w:cs="宋体"/>
          <w:color w:val="auto"/>
          <w:szCs w:val="21"/>
          <w:highlight w:val="none"/>
        </w:rPr>
        <w:t>38.1信用查询渠道：“信用中国”网站（www.creditchina.gov.cn）、中国政府采购网（www.ccgp.gov.cn）；</w:t>
      </w:r>
    </w:p>
    <w:p w14:paraId="3462FCFC">
      <w:pPr>
        <w:spacing w:line="440" w:lineRule="exact"/>
        <w:rPr>
          <w:rFonts w:ascii="宋体" w:hAnsi="宋体" w:cs="宋体"/>
          <w:color w:val="auto"/>
          <w:szCs w:val="21"/>
          <w:highlight w:val="none"/>
        </w:rPr>
      </w:pPr>
      <w:r>
        <w:rPr>
          <w:rFonts w:hint="eastAsia" w:ascii="宋体" w:hAnsi="宋体" w:cs="宋体"/>
          <w:color w:val="auto"/>
          <w:szCs w:val="21"/>
          <w:highlight w:val="none"/>
        </w:rPr>
        <w:t>38.2信用查询截止时点：资格审查时。</w:t>
      </w:r>
    </w:p>
    <w:p w14:paraId="5288BF1B">
      <w:pPr>
        <w:spacing w:line="440" w:lineRule="exact"/>
        <w:rPr>
          <w:rFonts w:ascii="宋体" w:hAnsi="宋体" w:cs="宋体"/>
          <w:color w:val="auto"/>
          <w:szCs w:val="21"/>
          <w:highlight w:val="none"/>
        </w:rPr>
      </w:pPr>
      <w:r>
        <w:rPr>
          <w:rFonts w:hint="eastAsia" w:ascii="宋体" w:hAnsi="宋体" w:cs="宋体"/>
          <w:color w:val="auto"/>
          <w:szCs w:val="21"/>
          <w:highlight w:val="none"/>
        </w:rPr>
        <w:t>38.3信用信息查询记录：“列入失信被执行人”、“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w:t>
      </w:r>
    </w:p>
    <w:p w14:paraId="278D42F5">
      <w:pPr>
        <w:spacing w:line="440" w:lineRule="exact"/>
        <w:rPr>
          <w:rFonts w:ascii="宋体" w:hAnsi="宋体" w:cs="宋体"/>
          <w:color w:val="auto"/>
          <w:szCs w:val="21"/>
          <w:highlight w:val="none"/>
        </w:rPr>
      </w:pPr>
      <w:r>
        <w:rPr>
          <w:rFonts w:hint="eastAsia" w:ascii="宋体" w:hAnsi="宋体" w:cs="宋体"/>
          <w:color w:val="auto"/>
          <w:szCs w:val="21"/>
          <w:highlight w:val="none"/>
        </w:rPr>
        <w:t>38.4信用信息的使用规则：如供应商被列入“列入失信被执行人”、“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”、“政府采购严重违法失信行为记录名单”等名单内的，将按照信用信息使用规则处理。</w:t>
      </w:r>
    </w:p>
    <w:p w14:paraId="6144E791">
      <w:pPr>
        <w:spacing w:line="440" w:lineRule="exact"/>
        <w:rPr>
          <w:rFonts w:ascii="宋体" w:hAnsi="宋体" w:cs="宋体"/>
          <w:color w:val="auto"/>
          <w:highlight w:val="none"/>
        </w:rPr>
      </w:pPr>
      <w:r>
        <w:rPr>
          <w:rFonts w:hint="eastAsia" w:ascii="宋体" w:hAnsi="宋体" w:cs="宋体"/>
          <w:color w:val="auto"/>
          <w:szCs w:val="21"/>
          <w:highlight w:val="none"/>
        </w:rPr>
        <w:t>38.5证据留存方式：</w:t>
      </w:r>
      <w:r>
        <w:rPr>
          <w:rFonts w:hint="eastAsia" w:ascii="宋体" w:hAnsi="宋体" w:cs="宋体"/>
          <w:color w:val="auto"/>
          <w:highlight w:val="none"/>
        </w:rPr>
        <w:t>在查询网站中直接截图查询记录，截图作为在广西政府采购云平台作为附件上传保存。</w:t>
      </w:r>
    </w:p>
    <w:p w14:paraId="23B89EDD">
      <w:pPr>
        <w:spacing w:line="440" w:lineRule="exact"/>
        <w:rPr>
          <w:rFonts w:ascii="宋体" w:hAnsi="宋体" w:cs="宋体"/>
          <w:b/>
          <w:color w:val="auto"/>
          <w:szCs w:val="21"/>
          <w:highlight w:val="none"/>
        </w:rPr>
      </w:pPr>
      <w:r>
        <w:rPr>
          <w:rFonts w:hint="eastAsia" w:ascii="宋体" w:hAnsi="宋体" w:cs="宋体"/>
          <w:b/>
          <w:color w:val="auto"/>
          <w:szCs w:val="21"/>
          <w:highlight w:val="none"/>
        </w:rPr>
        <w:t>39.关于中小企业的相关规定</w:t>
      </w:r>
    </w:p>
    <w:p w14:paraId="26171298">
      <w:pPr>
        <w:spacing w:line="440" w:lineRule="exact"/>
        <w:rPr>
          <w:rFonts w:ascii="宋体" w:hAnsi="宋体" w:cs="宋体"/>
          <w:color w:val="auto"/>
          <w:szCs w:val="21"/>
          <w:highlight w:val="none"/>
        </w:rPr>
      </w:pPr>
      <w:r>
        <w:rPr>
          <w:rFonts w:hint="eastAsia" w:ascii="宋体" w:hAnsi="宋体" w:cs="宋体"/>
          <w:color w:val="auto"/>
          <w:szCs w:val="21"/>
          <w:highlight w:val="none"/>
        </w:rPr>
        <w:t>39.1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8AC6360">
      <w:pPr>
        <w:spacing w:line="440" w:lineRule="exact"/>
        <w:rPr>
          <w:rFonts w:ascii="宋体" w:hAnsi="宋体" w:cs="宋体"/>
          <w:color w:val="auto"/>
          <w:szCs w:val="21"/>
          <w:highlight w:val="none"/>
        </w:rPr>
      </w:pPr>
      <w:r>
        <w:rPr>
          <w:rFonts w:hint="eastAsia" w:ascii="宋体" w:hAnsi="宋体" w:cs="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38F6A39D">
      <w:pPr>
        <w:spacing w:line="440" w:lineRule="exact"/>
        <w:rPr>
          <w:rFonts w:ascii="宋体" w:hAnsi="宋体" w:cs="宋体"/>
          <w:color w:val="auto"/>
          <w:szCs w:val="21"/>
          <w:highlight w:val="none"/>
        </w:rPr>
      </w:pPr>
      <w:r>
        <w:rPr>
          <w:rFonts w:hint="eastAsia" w:ascii="宋体" w:hAnsi="宋体" w:cs="宋体"/>
          <w:color w:val="auto"/>
          <w:szCs w:val="21"/>
          <w:highlight w:val="none"/>
        </w:rPr>
        <w:t>39.3在货物采购项目中，供应商提供的货物既有中小企业制造货物，也有大型企业制造货物的，不享受中小企业扶持政策。</w:t>
      </w:r>
    </w:p>
    <w:p w14:paraId="5BA9247B">
      <w:pPr>
        <w:spacing w:line="440" w:lineRule="exact"/>
        <w:rPr>
          <w:rFonts w:ascii="宋体" w:hAnsi="宋体" w:cs="宋体"/>
          <w:color w:val="auto"/>
          <w:szCs w:val="21"/>
          <w:highlight w:val="none"/>
        </w:rPr>
      </w:pPr>
      <w:r>
        <w:rPr>
          <w:rFonts w:hint="eastAsia" w:ascii="宋体" w:hAnsi="宋体" w:cs="宋体"/>
          <w:color w:val="auto"/>
          <w:szCs w:val="21"/>
          <w:highlight w:val="none"/>
        </w:rPr>
        <w:t>39.4以联合体形式参加政府采购活动，联合体各方均为中小企业的，联合体视同中小企业。其中，联合体各方均为小微企业的，联合体视同小微企业。</w:t>
      </w:r>
    </w:p>
    <w:p w14:paraId="58CE596B">
      <w:pPr>
        <w:spacing w:line="440" w:lineRule="exact"/>
        <w:rPr>
          <w:rFonts w:ascii="宋体" w:hAnsi="宋体" w:cs="宋体"/>
          <w:color w:val="auto"/>
          <w:szCs w:val="21"/>
          <w:highlight w:val="none"/>
        </w:rPr>
      </w:pPr>
      <w:r>
        <w:rPr>
          <w:rFonts w:hint="eastAsia" w:ascii="宋体" w:hAnsi="宋体" w:cs="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2CA3CFE9">
      <w:pPr>
        <w:spacing w:line="440" w:lineRule="exact"/>
        <w:rPr>
          <w:rFonts w:ascii="宋体" w:hAnsi="宋体" w:cs="宋体"/>
          <w:color w:val="auto"/>
          <w:szCs w:val="21"/>
          <w:highlight w:val="none"/>
        </w:rPr>
      </w:pPr>
      <w:r>
        <w:rPr>
          <w:rFonts w:hint="eastAsia" w:ascii="宋体" w:hAnsi="宋体" w:cs="宋体"/>
          <w:color w:val="auto"/>
          <w:szCs w:val="21"/>
          <w:highlight w:val="none"/>
        </w:rPr>
        <w:t>39.5享受中小企业扶持政策获得政府采购合同的，小微企业不得将合同分包给大中型企业，中型企业不得将合同分包给大型企业。</w:t>
      </w:r>
    </w:p>
    <w:p w14:paraId="559216D3">
      <w:pPr>
        <w:spacing w:line="440" w:lineRule="exact"/>
        <w:rPr>
          <w:rFonts w:ascii="宋体" w:hAnsi="宋体" w:cs="宋体"/>
          <w:color w:val="auto"/>
          <w:szCs w:val="21"/>
          <w:highlight w:val="none"/>
        </w:rPr>
      </w:pPr>
      <w:r>
        <w:rPr>
          <w:rFonts w:hint="eastAsia" w:ascii="宋体" w:hAnsi="宋体" w:cs="宋体"/>
          <w:color w:val="auto"/>
          <w:szCs w:val="21"/>
          <w:highlight w:val="none"/>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95E0EF0">
      <w:pPr>
        <w:spacing w:line="440" w:lineRule="exact"/>
        <w:rPr>
          <w:rFonts w:ascii="宋体" w:hAnsi="宋体" w:cs="宋体"/>
          <w:color w:val="auto"/>
          <w:szCs w:val="21"/>
          <w:highlight w:val="none"/>
        </w:rPr>
      </w:pPr>
      <w:r>
        <w:rPr>
          <w:rFonts w:hint="eastAsia" w:ascii="宋体" w:hAnsi="宋体" w:cs="宋体"/>
          <w:color w:val="auto"/>
          <w:szCs w:val="21"/>
          <w:highlight w:val="none"/>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043C0425">
      <w:pPr>
        <w:spacing w:line="440" w:lineRule="exact"/>
        <w:rPr>
          <w:rFonts w:ascii="宋体" w:hAnsi="宋体" w:cs="宋体"/>
          <w:color w:val="auto"/>
          <w:highlight w:val="none"/>
        </w:rPr>
      </w:pPr>
      <w:r>
        <w:rPr>
          <w:rFonts w:hint="eastAsia" w:ascii="宋体" w:hAnsi="宋体" w:cs="宋体"/>
          <w:color w:val="auto"/>
          <w:szCs w:val="21"/>
          <w:highlight w:val="none"/>
        </w:rPr>
        <w:t>39.8对于专门面向中小企业采购的采购项目或者采购包，通过发布公告方式邀请供应商后，符合资格条件的中小企业数量不足3家的，应当中止采购活动，视同非专门面向中小企业采购的采购项目或者采购包，按照《政府采购促进中小企业发展管理办法》（财库[2020]46号）第九条有关规定重新组织采购活动。</w:t>
      </w:r>
      <w:r>
        <w:rPr>
          <w:rFonts w:hint="eastAsia" w:ascii="宋体" w:hAnsi="宋体" w:cs="宋体"/>
          <w:color w:val="auto"/>
          <w:sz w:val="32"/>
          <w:szCs w:val="32"/>
          <w:highlight w:val="none"/>
        </w:rPr>
        <w:br w:type="page"/>
      </w:r>
      <w:r>
        <w:rPr>
          <w:rFonts w:hint="eastAsia" w:ascii="宋体" w:hAnsi="宋体" w:cs="宋体"/>
          <w:color w:val="auto"/>
          <w:highlight w:val="none"/>
        </w:rPr>
        <w:t>附件1：</w:t>
      </w:r>
    </w:p>
    <w:p w14:paraId="24D00D7B">
      <w:pPr>
        <w:widowControl/>
        <w:shd w:val="clear" w:color="auto" w:fill="FFFFFF"/>
        <w:spacing w:line="240" w:lineRule="atLeast"/>
        <w:jc w:val="center"/>
        <w:rPr>
          <w:rFonts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14:paraId="6E181061">
      <w:pPr>
        <w:widowControl/>
        <w:shd w:val="clear" w:color="auto" w:fill="FFFFFF"/>
        <w:snapToGrid w:val="0"/>
        <w:spacing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公司名称             </w:t>
      </w:r>
      <w:r>
        <w:rPr>
          <w:rFonts w:hint="eastAsia" w:ascii="宋体" w:hAnsi="宋体" w:cs="宋体"/>
          <w:color w:val="auto"/>
          <w:kern w:val="0"/>
          <w:szCs w:val="21"/>
          <w:highlight w:val="none"/>
        </w:rPr>
        <w:t>）提供的货物（或工程、服务）进行了验收，验收情况如下：</w:t>
      </w:r>
    </w:p>
    <w:tbl>
      <w:tblPr>
        <w:tblStyle w:val="41"/>
        <w:tblW w:w="9457" w:type="dxa"/>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5CAADDEC">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67025ACF">
            <w:pPr>
              <w:widowControl/>
              <w:snapToGrid w:val="0"/>
              <w:spacing w:before="100" w:beforeAutospacing="1" w:after="100" w:afterAutospacing="1" w:line="24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7205DCB2">
            <w:pPr>
              <w:widowControl/>
              <w:snapToGrid w:val="0"/>
              <w:spacing w:before="100" w:beforeAutospacing="1" w:after="100" w:afterAutospacing="1" w:line="24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F857532">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0BC90677">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6D3A7945">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47077512">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114108AC">
            <w:pPr>
              <w:widowControl/>
              <w:snapToGrid w:val="0"/>
              <w:spacing w:before="100" w:beforeAutospacing="1" w:after="100" w:afterAutospacing="1"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352F482A">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0097A858">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0B2AA844">
            <w:pPr>
              <w:widowControl/>
              <w:snapToGrid w:val="0"/>
              <w:spacing w:before="100" w:beforeAutospacing="1" w:after="100" w:afterAutospacing="1" w:line="240" w:lineRule="atLeast"/>
              <w:ind w:firstLine="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6462C639">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7795BDFB">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2457C3DB">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1FC26122">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0AFA38D">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190A4D71">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770A42ED">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2547F35">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0F6AF913">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270468A7">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D4103F3">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20A3A4C2">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7A51A25A">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D164036">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3FB32EA9">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ED24D73">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804B44F">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0D1A25E9">
            <w:pPr>
              <w:widowControl/>
              <w:snapToGrid w:val="0"/>
              <w:spacing w:before="100" w:beforeAutospacing="1" w:after="100" w:afterAutospacing="1" w:line="24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1373130A">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0D02B51A">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AA1E615">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0204F2C4">
            <w:pPr>
              <w:widowControl/>
              <w:snapToGrid w:val="0"/>
              <w:spacing w:before="100" w:beforeAutospacing="1" w:after="100" w:afterAutospacing="1" w:line="24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6B9EED4A">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4E75247C">
            <w:pPr>
              <w:widowControl/>
              <w:snapToGrid w:val="0"/>
              <w:spacing w:before="100" w:beforeAutospacing="1" w:after="100" w:afterAutospacing="1" w:line="24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4201B60B">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20C6E5CD">
            <w:pPr>
              <w:widowControl/>
              <w:snapToGrid w:val="0"/>
              <w:spacing w:before="100" w:beforeAutospacing="1" w:after="100" w:afterAutospacing="1" w:line="24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56ACC9B9">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49AF398">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52E6C137">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3001E719">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4754E8E3">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2F33A7A3">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E478E92">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8300E9">
            <w:pPr>
              <w:widowControl/>
              <w:snapToGrid w:val="0"/>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4D6D040E">
            <w:pPr>
              <w:widowControl/>
              <w:snapToGrid w:val="0"/>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3599D98B">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13D094">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76EDA8D3">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7B6DC113">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5FE0E39B">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207AACE0">
            <w:pPr>
              <w:widowControl/>
              <w:spacing w:line="240" w:lineRule="atLeast"/>
              <w:jc w:val="left"/>
              <w:rPr>
                <w:rFonts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736E6D32">
            <w:pPr>
              <w:widowControl/>
              <w:spacing w:before="100" w:beforeAutospacing="1" w:after="100" w:afterAutospacing="1" w:line="24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4C4D2F86">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14:paraId="52C3793D">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2B8B14">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71040BDC">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7ABD300B">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665343DA">
            <w:pPr>
              <w:widowControl/>
              <w:spacing w:before="100" w:beforeAutospacing="1" w:after="100" w:afterAutospacing="1" w:line="24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150556AF">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86F65E">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0F90842E">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411CB642">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137A9DF1">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41F9800A">
      <w:pPr>
        <w:pStyle w:val="22"/>
        <w:snapToGrid w:val="0"/>
        <w:spacing w:line="440" w:lineRule="exact"/>
        <w:rPr>
          <w:rFonts w:hAnsi="宋体" w:cs="宋体"/>
          <w:color w:val="auto"/>
          <w:highlight w:val="none"/>
        </w:rPr>
      </w:pPr>
    </w:p>
    <w:p w14:paraId="37F27A6F">
      <w:pPr>
        <w:pStyle w:val="22"/>
        <w:snapToGrid w:val="0"/>
        <w:spacing w:line="440" w:lineRule="exact"/>
        <w:rPr>
          <w:rFonts w:hAnsi="宋体" w:cs="宋体"/>
          <w:color w:val="auto"/>
          <w:highlight w:val="none"/>
        </w:rPr>
      </w:pPr>
    </w:p>
    <w:p w14:paraId="266D57D2">
      <w:pPr>
        <w:pStyle w:val="22"/>
        <w:snapToGrid w:val="0"/>
        <w:spacing w:line="440" w:lineRule="exact"/>
        <w:rPr>
          <w:rFonts w:hAnsi="宋体" w:cs="宋体"/>
          <w:color w:val="auto"/>
          <w:highlight w:val="none"/>
        </w:rPr>
      </w:pPr>
    </w:p>
    <w:p w14:paraId="2173B511">
      <w:pPr>
        <w:pStyle w:val="4"/>
        <w:spacing w:line="440" w:lineRule="exact"/>
        <w:jc w:val="center"/>
        <w:rPr>
          <w:rFonts w:ascii="宋体" w:hAnsi="宋体" w:cs="宋体"/>
          <w:color w:val="auto"/>
          <w:sz w:val="32"/>
          <w:szCs w:val="32"/>
          <w:highlight w:val="none"/>
        </w:rPr>
      </w:pPr>
      <w:bookmarkStart w:id="25" w:name="_Toc88747293"/>
      <w:r>
        <w:rPr>
          <w:rFonts w:hint="eastAsia" w:ascii="宋体" w:hAnsi="宋体" w:cs="宋体"/>
          <w:color w:val="auto"/>
          <w:sz w:val="32"/>
          <w:szCs w:val="32"/>
          <w:highlight w:val="none"/>
        </w:rPr>
        <w:t>第三章 项目采购需求</w:t>
      </w:r>
      <w:bookmarkEnd w:id="25"/>
    </w:p>
    <w:p w14:paraId="3C595FF6">
      <w:pPr>
        <w:widowControl/>
        <w:spacing w:line="440" w:lineRule="exact"/>
        <w:outlineLvl w:val="0"/>
        <w:rPr>
          <w:rFonts w:ascii="宋体" w:hAnsi="宋体" w:cs="宋体"/>
          <w:color w:val="auto"/>
          <w:highlight w:val="none"/>
        </w:rPr>
      </w:pPr>
      <w:r>
        <w:rPr>
          <w:rFonts w:hint="eastAsia" w:ascii="宋体" w:hAnsi="宋体" w:cs="宋体"/>
          <w:b/>
          <w:color w:val="auto"/>
          <w:szCs w:val="21"/>
          <w:highlight w:val="none"/>
        </w:rPr>
        <w:t>说明：</w:t>
      </w:r>
      <w:r>
        <w:rPr>
          <w:rFonts w:hint="eastAsia" w:ascii="宋体" w:hAnsi="宋体" w:cs="宋体"/>
          <w:b/>
          <w:color w:val="auto"/>
          <w:szCs w:val="21"/>
          <w:highlight w:val="none"/>
        </w:rPr>
        <w:br w:type="textWrapping"/>
      </w:r>
      <w:r>
        <w:rPr>
          <w:rFonts w:hint="eastAsia" w:ascii="宋体" w:hAnsi="宋体" w:cs="宋体"/>
          <w:b/>
          <w:color w:val="auto"/>
          <w:highlight w:val="none"/>
        </w:rPr>
        <w:t>▲一、</w:t>
      </w:r>
      <w:r>
        <w:rPr>
          <w:rFonts w:hint="eastAsia" w:ascii="宋体" w:hAnsi="宋体" w:cs="宋体"/>
          <w:color w:val="auto"/>
          <w:highlight w:val="none"/>
        </w:rPr>
        <w:t>本需求表中标注“▲”的条款均为实质性要求或条件，供应商必须作出满足或者优于该要求和条件的承诺（另有要求的除外），否则投标无效。未标注“▲”的</w:t>
      </w:r>
      <w:bookmarkStart w:id="26" w:name="OLE_LINK2"/>
      <w:r>
        <w:rPr>
          <w:rFonts w:hint="eastAsia" w:ascii="宋体" w:hAnsi="宋体" w:cs="宋体"/>
          <w:color w:val="auto"/>
          <w:highlight w:val="none"/>
        </w:rPr>
        <w:t>条款发生负偏离或不响应</w:t>
      </w:r>
      <w:bookmarkEnd w:id="26"/>
      <w:r>
        <w:rPr>
          <w:rFonts w:hint="eastAsia" w:ascii="宋体" w:hAnsi="宋体" w:cs="宋体"/>
          <w:color w:val="auto"/>
          <w:highlight w:val="none"/>
        </w:rPr>
        <w:t>达</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 xml:space="preserve"> </w:t>
      </w:r>
      <w:r>
        <w:rPr>
          <w:rFonts w:hint="eastAsia" w:ascii="宋体" w:hAnsi="宋体" w:cs="宋体"/>
          <w:color w:val="auto"/>
          <w:highlight w:val="none"/>
        </w:rPr>
        <w:t>项（含）以上的，</w:t>
      </w:r>
      <w:r>
        <w:rPr>
          <w:rFonts w:hint="eastAsia" w:ascii="宋体" w:hAnsi="宋体" w:cs="宋体"/>
          <w:b/>
          <w:bCs/>
          <w:color w:val="auto"/>
          <w:szCs w:val="21"/>
          <w:highlight w:val="none"/>
        </w:rPr>
        <w:t>响应文件按无效处理</w:t>
      </w:r>
      <w:r>
        <w:rPr>
          <w:rFonts w:hint="eastAsia" w:ascii="宋体" w:hAnsi="宋体" w:cs="宋体"/>
          <w:color w:val="auto"/>
          <w:highlight w:val="none"/>
        </w:rPr>
        <w:t>。</w:t>
      </w:r>
    </w:p>
    <w:p w14:paraId="1BF59BC0">
      <w:pPr>
        <w:widowControl/>
        <w:spacing w:line="440" w:lineRule="exact"/>
        <w:jc w:val="left"/>
        <w:rPr>
          <w:rFonts w:ascii="宋体" w:hAnsi="宋体" w:cs="宋体"/>
          <w:color w:val="auto"/>
          <w:kern w:val="0"/>
          <w:sz w:val="24"/>
          <w:highlight w:val="none"/>
        </w:rPr>
      </w:pPr>
    </w:p>
    <w:p w14:paraId="35DB0C39">
      <w:pPr>
        <w:widowControl/>
        <w:spacing w:line="440" w:lineRule="exact"/>
        <w:jc w:val="left"/>
        <w:rPr>
          <w:rFonts w:ascii="宋体" w:hAnsi="宋体" w:cs="宋体"/>
          <w:color w:val="auto"/>
          <w:kern w:val="0"/>
          <w:sz w:val="24"/>
          <w:highlight w:val="none"/>
        </w:rPr>
      </w:pPr>
    </w:p>
    <w:p w14:paraId="4C072F21">
      <w:pPr>
        <w:rPr>
          <w:rFonts w:ascii="宋体" w:hAnsi="宋体" w:cs="宋体"/>
          <w:color w:val="auto"/>
          <w:highlight w:val="none"/>
        </w:rPr>
      </w:pPr>
      <w:r>
        <w:rPr>
          <w:rFonts w:hint="eastAsia" w:ascii="宋体" w:hAnsi="宋体" w:cs="宋体"/>
          <w:color w:val="auto"/>
          <w:kern w:val="0"/>
          <w:sz w:val="24"/>
          <w:highlight w:val="none"/>
        </w:rPr>
        <w:br w:type="page"/>
      </w:r>
    </w:p>
    <w:tbl>
      <w:tblPr>
        <w:tblStyle w:val="41"/>
        <w:tblW w:w="10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355"/>
        <w:gridCol w:w="90"/>
        <w:gridCol w:w="906"/>
        <w:gridCol w:w="762"/>
        <w:gridCol w:w="6828"/>
      </w:tblGrid>
      <w:tr w14:paraId="14B77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14:paraId="58B91D52">
            <w:pPr>
              <w:tabs>
                <w:tab w:val="left" w:pos="180"/>
                <w:tab w:val="left" w:pos="1620"/>
              </w:tabs>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55" w:type="dxa"/>
            <w:vAlign w:val="center"/>
          </w:tcPr>
          <w:p w14:paraId="5198B349">
            <w:pPr>
              <w:tabs>
                <w:tab w:val="left" w:pos="180"/>
                <w:tab w:val="left" w:pos="1620"/>
              </w:tabs>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996" w:type="dxa"/>
            <w:gridSpan w:val="2"/>
            <w:vAlign w:val="center"/>
          </w:tcPr>
          <w:p w14:paraId="36557837">
            <w:pPr>
              <w:tabs>
                <w:tab w:val="left" w:pos="180"/>
                <w:tab w:val="left" w:pos="1620"/>
              </w:tabs>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762" w:type="dxa"/>
            <w:vAlign w:val="center"/>
          </w:tcPr>
          <w:p w14:paraId="3FA409C9">
            <w:pPr>
              <w:tabs>
                <w:tab w:val="left" w:pos="180"/>
                <w:tab w:val="left" w:pos="1620"/>
              </w:tabs>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3CBF173B">
            <w:pPr>
              <w:tabs>
                <w:tab w:val="left" w:pos="180"/>
                <w:tab w:val="left" w:pos="1620"/>
              </w:tabs>
              <w:spacing w:line="3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c>
          <w:tcPr>
            <w:tcW w:w="6828" w:type="dxa"/>
            <w:vAlign w:val="center"/>
          </w:tcPr>
          <w:p w14:paraId="6DD6A437">
            <w:pPr>
              <w:tabs>
                <w:tab w:val="left" w:pos="180"/>
                <w:tab w:val="left" w:pos="1620"/>
              </w:tabs>
              <w:spacing w:line="320" w:lineRule="exact"/>
              <w:jc w:val="center"/>
              <w:rPr>
                <w:rFonts w:hint="eastAsia" w:ascii="宋体" w:hAnsi="宋体" w:eastAsia="宋体" w:cs="宋体"/>
                <w:b/>
                <w:bCs/>
                <w:color w:val="auto"/>
                <w:sz w:val="21"/>
                <w:szCs w:val="21"/>
                <w:highlight w:val="none"/>
              </w:rPr>
            </w:pPr>
            <w:r>
              <w:rPr>
                <w:rFonts w:hint="eastAsia" w:ascii="宋体" w:hAnsi="宋体" w:cs="宋体"/>
                <w:color w:val="auto"/>
                <w:highlight w:val="none"/>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技术要求</w:t>
            </w:r>
          </w:p>
        </w:tc>
      </w:tr>
      <w:tr w14:paraId="3B73E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14:paraId="3DCC1769">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5" w:type="dxa"/>
            <w:vAlign w:val="center"/>
          </w:tcPr>
          <w:p w14:paraId="5A1D8410">
            <w:pPr>
              <w:tabs>
                <w:tab w:val="left" w:pos="180"/>
                <w:tab w:val="left" w:pos="1620"/>
              </w:tabs>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桂林市“平急两用”公共基础设施建设专项规划编制</w:t>
            </w:r>
          </w:p>
        </w:tc>
        <w:tc>
          <w:tcPr>
            <w:tcW w:w="996" w:type="dxa"/>
            <w:gridSpan w:val="2"/>
            <w:vAlign w:val="center"/>
          </w:tcPr>
          <w:p w14:paraId="3BC0D93D">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762" w:type="dxa"/>
            <w:vAlign w:val="center"/>
          </w:tcPr>
          <w:p w14:paraId="52655835">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6828" w:type="dxa"/>
            <w:vAlign w:val="center"/>
          </w:tcPr>
          <w:p w14:paraId="1B9FB899">
            <w:pPr>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（一）工作背景</w:t>
            </w:r>
          </w:p>
          <w:p w14:paraId="286643AC">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2021年，平急两用基础设施在国家政策研究层面被正式提出。2023年7月国务院常务会议审议通过《关于积极稳步推进超大特大城市“平急两用”公共基础设施建设的指导意见》，之后相关政策相继发布。包括</w:t>
            </w:r>
            <w:r>
              <w:rPr>
                <w:rFonts w:hint="eastAsia" w:ascii="宋体" w:hAnsi="宋体" w:eastAsia="宋体" w:cs="宋体"/>
                <w:color w:val="auto"/>
                <w:sz w:val="21"/>
                <w:szCs w:val="21"/>
                <w:highlight w:val="none"/>
                <w:lang w:eastAsia="zh-CN"/>
              </w:rPr>
              <w:t>住房和城乡建设部</w:t>
            </w:r>
            <w:r>
              <w:rPr>
                <w:rFonts w:hint="eastAsia" w:ascii="宋体" w:hAnsi="宋体" w:eastAsia="宋体" w:cs="宋体"/>
                <w:color w:val="auto"/>
                <w:sz w:val="21"/>
                <w:szCs w:val="21"/>
                <w:highlight w:val="none"/>
              </w:rPr>
              <w:t>办公厅发布的《“平急两用”公共基础设施建设专项规划编制技术指南（试行）》、《自然资源部办公厅关于统筹做好“平急两用”公共基础设施国土空间规划和用地保障工作的通知》（自然资办函〔2023〕1592号）、自然资源部办公厅编制印发了《平急功能复合的韧性城市规划与土地政策指引》（自然资办发〔2024〕19</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文件。</w:t>
            </w:r>
          </w:p>
          <w:p w14:paraId="2E1C538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桂林市于2024年7月被纳入国家“平急两用”公共基础设施建设第二批名单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为贯彻</w:t>
            </w:r>
            <w:r>
              <w:rPr>
                <w:rFonts w:hint="eastAsia" w:ascii="宋体" w:hAnsi="宋体" w:eastAsia="宋体" w:cs="宋体"/>
                <w:color w:val="auto"/>
                <w:sz w:val="21"/>
                <w:szCs w:val="21"/>
                <w:highlight w:val="none"/>
              </w:rPr>
              <w:t>落实相关文件要求，</w:t>
            </w:r>
            <w:r>
              <w:rPr>
                <w:rFonts w:hint="eastAsia" w:ascii="宋体" w:hAnsi="宋体" w:eastAsia="宋体" w:cs="宋体"/>
                <w:color w:val="auto"/>
                <w:sz w:val="21"/>
                <w:szCs w:val="21"/>
                <w:highlight w:val="none"/>
                <w:lang w:val="en-US" w:eastAsia="zh-CN"/>
              </w:rPr>
              <w:t>桂林市需要</w:t>
            </w:r>
            <w:r>
              <w:rPr>
                <w:rFonts w:hint="eastAsia" w:ascii="宋体" w:hAnsi="宋体" w:eastAsia="宋体" w:cs="宋体"/>
                <w:color w:val="auto"/>
                <w:sz w:val="21"/>
                <w:szCs w:val="21"/>
                <w:highlight w:val="none"/>
              </w:rPr>
              <w:t>根据城市实际情况和应急需求，组织编制《</w:t>
            </w:r>
            <w:r>
              <w:rPr>
                <w:rFonts w:hint="eastAsia" w:ascii="宋体" w:hAnsi="宋体" w:eastAsia="宋体" w:cs="宋体"/>
                <w:color w:val="auto"/>
                <w:sz w:val="21"/>
                <w:szCs w:val="21"/>
                <w:highlight w:val="none"/>
                <w:lang w:val="en-US" w:eastAsia="zh-CN"/>
              </w:rPr>
              <w:t>桂林市</w:t>
            </w:r>
            <w:r>
              <w:rPr>
                <w:rFonts w:hint="eastAsia" w:ascii="宋体" w:hAnsi="宋体" w:eastAsia="宋体" w:cs="宋体"/>
                <w:color w:val="auto"/>
                <w:sz w:val="21"/>
                <w:szCs w:val="21"/>
                <w:highlight w:val="none"/>
              </w:rPr>
              <w:t>“平急两用”公共基础设施建设专项规划》，优化空间布局和供给结构，避免重复建设和碎片化管理，为统筹发展和安全、建设更高水平的平安桂林提供关键支撑。</w:t>
            </w:r>
          </w:p>
          <w:p w14:paraId="698BA3FE">
            <w:pPr>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）规划范围</w:t>
            </w:r>
          </w:p>
          <w:p w14:paraId="27C0EA74">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工作范围为</w:t>
            </w:r>
            <w:r>
              <w:rPr>
                <w:rFonts w:hint="eastAsia" w:ascii="宋体" w:hAnsi="宋体" w:eastAsia="宋体" w:cs="宋体"/>
                <w:color w:val="auto"/>
                <w:sz w:val="21"/>
                <w:szCs w:val="21"/>
                <w:highlight w:val="none"/>
                <w:lang w:val="en-US" w:eastAsia="zh-CN"/>
              </w:rPr>
              <w:t>桂林市市域</w:t>
            </w:r>
            <w:r>
              <w:rPr>
                <w:rFonts w:hint="eastAsia" w:ascii="宋体" w:hAnsi="宋体" w:eastAsia="宋体" w:cs="宋体"/>
                <w:color w:val="auto"/>
                <w:sz w:val="21"/>
                <w:szCs w:val="21"/>
                <w:highlight w:val="none"/>
              </w:rPr>
              <w:t>范围，包括</w:t>
            </w:r>
            <w:r>
              <w:rPr>
                <w:rFonts w:hint="eastAsia" w:ascii="宋体" w:hAnsi="宋体" w:eastAsia="宋体" w:cs="宋体"/>
                <w:color w:val="auto"/>
                <w:sz w:val="21"/>
                <w:szCs w:val="21"/>
                <w:highlight w:val="none"/>
                <w:lang w:val="en-US" w:eastAsia="zh-CN"/>
              </w:rPr>
              <w:t>桂林</w:t>
            </w:r>
            <w:r>
              <w:rPr>
                <w:rFonts w:hint="eastAsia" w:ascii="宋体" w:hAnsi="宋体" w:eastAsia="宋体" w:cs="宋体"/>
                <w:color w:val="auto"/>
                <w:sz w:val="21"/>
                <w:szCs w:val="21"/>
                <w:highlight w:val="none"/>
              </w:rPr>
              <w:t>市行政范围（市辖区：秀峰区、叠彩区、象山区、七星区、雁山区、临桂区。县：阳朔县、灵川县、全州县、兴安县、永福县、灌阳县、资源县、平乐县。自治县：龙胜各族自治县、恭城瑶族自治县。县级市：荔浦市。）总面积2.78万平方公里。</w:t>
            </w:r>
          </w:p>
          <w:p w14:paraId="359035AD">
            <w:pPr>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）规划期限</w:t>
            </w:r>
          </w:p>
          <w:p w14:paraId="05B17BD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规划期限至20</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年，近期到20</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年。规划远景应与发展规划、国土空间规划期限相衔接。</w:t>
            </w:r>
          </w:p>
          <w:p w14:paraId="2A7E8B54">
            <w:pPr>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编制</w:t>
            </w:r>
            <w:r>
              <w:rPr>
                <w:rFonts w:hint="eastAsia" w:ascii="宋体" w:hAnsi="宋体" w:eastAsia="宋体" w:cs="宋体"/>
                <w:b/>
                <w:bCs/>
                <w:color w:val="auto"/>
                <w:sz w:val="21"/>
                <w:szCs w:val="21"/>
                <w:highlight w:val="none"/>
              </w:rPr>
              <w:t>原则</w:t>
            </w:r>
          </w:p>
          <w:p w14:paraId="4B9AF0AE">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1.人民至上、生命至上 </w:t>
            </w:r>
          </w:p>
          <w:p w14:paraId="3B0017FD">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以满足人民对美好生活的需要为出发点，贯彻落实总体国家安全观，指导推进“平急两用”公共基础设施建设、管理、转换，补齐城市安全韧性和公共服务设施“短板”，提升城市应急防灾能力。 </w:t>
            </w:r>
          </w:p>
          <w:p w14:paraId="34DDBE7C">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2.底线思维、极限思维 </w:t>
            </w:r>
          </w:p>
          <w:p w14:paraId="4B20EA4B">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树立国家总体安全发展观和极限思维，在常住人口规模总量的基础上，统筹考虑城市实际管理服务人口和区域性安全保障的要求，适度提高“平急两用”公共基础设施的储备规模与标准。 </w:t>
            </w:r>
          </w:p>
          <w:p w14:paraId="28EDBF15">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3.依法依规、集约发展 </w:t>
            </w:r>
          </w:p>
          <w:p w14:paraId="0169C691">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落实城市战略定位和城市应急防灾目标，衔接国土空间规划和相关专项规划，以底线思维为导向，在严守耕地和永久基本农田保护红线、生态保护红线、历史文化保护线、灾害风险控制线等底线约束的基础上，统筹做好“平急两用”公共基础设施空间保障。坚持存量优先，积极盘活城市低效和闲置资源。 </w:t>
            </w:r>
          </w:p>
          <w:p w14:paraId="1AA516DC">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4.城乡融合、功能复合 </w:t>
            </w:r>
          </w:p>
          <w:p w14:paraId="6FA8C5CF">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将城乡作为生命共同体进行治理，结合过往灾害防控经验，综合确定“平急两用”公共基础设施应用场景、类型、规模、功能、空间布局，推动城乡要素平等交换、双向流动，发挥“平急两用”公共基础设施综合使用效能，“平时”服务生产生活，“急时”转换功能、抵御风险，带动乡村成为有效流量空间。依托地方特色产业与空间，指导相关实施主体探索建设多渠道投入、多功能改造、多场景应用、多元化运营的“平急两用”示范工程。 </w:t>
            </w:r>
          </w:p>
          <w:p w14:paraId="5EED0475">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5.总结经验、稳步推进 </w:t>
            </w:r>
          </w:p>
          <w:p w14:paraId="39ECF321">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划应充分考虑设施建设现状、地方财政能力以及各区地理区位、旅游资源、交通条件等因素，结合规划编制、实施与管理，推动相关设施在新建、改建、扩建时嵌入“急时”功能，渐进式提升城市应急防灾能力冗余，避免资源浪费，完善规划实施保障机制。</w:t>
            </w:r>
          </w:p>
          <w:p w14:paraId="6749A554">
            <w:pPr>
              <w:spacing w:line="440" w:lineRule="exac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主要服务内容</w:t>
            </w:r>
          </w:p>
          <w:p w14:paraId="2675C39D">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1.现状调查与需求分析。包括基础情况调查、城市韧性评估、设施需求分析三个部分，其中：</w:t>
            </w:r>
          </w:p>
          <w:p w14:paraId="266FE3F1">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（1）基础情况调查包括基础资料收集、座谈与访谈、现场调查。</w:t>
            </w:r>
          </w:p>
          <w:p w14:paraId="6C0697A4">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（2）城市韧性评估包括灾害风险分析、城市防灾减灾能力评估、“平急两用”应用场景分析、“平急两用”公共基础设施选址安全指引。</w:t>
            </w:r>
          </w:p>
          <w:p w14:paraId="256CAD2C">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（3）设施需求分析包括“平急两用”公共基础设施体系构建、“急时”与“平时”需求分析、“平急”需求匹配分析、“平急两用”市政配套基础设施需求测算。</w:t>
            </w:r>
          </w:p>
          <w:p w14:paraId="15996638">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2.规划目标与空间布局</w:t>
            </w:r>
          </w:p>
          <w:p w14:paraId="37AA1080">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包括平急功能复合规划的目标制定、设施选址指引、规划空间布局三部分内容，其中：</w:t>
            </w:r>
          </w:p>
          <w:p w14:paraId="3B0C3F35">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平急功能复合规划的目标制定包括规划目标、指标体系制定。</w:t>
            </w:r>
          </w:p>
          <w:p w14:paraId="6CBC47E4">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设施选址指引包括总体原则、基本要求以及各类“平急两用”公共基础设施细化的选址要求。</w:t>
            </w:r>
          </w:p>
          <w:p w14:paraId="208559F9">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规划空间布局包括总体要求、“平急两用”功能区划定、应急保障通道布局，以及各类“平急两用”公共基础设施具体的规划要求。</w:t>
            </w:r>
          </w:p>
          <w:p w14:paraId="350280D1">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3.实施保障与平急转换指引</w:t>
            </w:r>
          </w:p>
          <w:p w14:paraId="3F8AF4E2">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包括近期实施规划、平急转换指引、规划实施保障三个部分。其中：</w:t>
            </w:r>
          </w:p>
          <w:p w14:paraId="68460C11">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1）近期实施规划包括制定近期建设目标与提出近期建设安排建议。</w:t>
            </w:r>
          </w:p>
          <w:p w14:paraId="36E72C24">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2）平急转换指引包括平急转换要求、设施启用次序和区域调度指引。</w:t>
            </w:r>
          </w:p>
          <w:p w14:paraId="423787AF">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3）规划实施保障主要是针对资金保障、规划衔接与实施、土地利用、设施管理等方面提出实施保障建议。</w:t>
            </w:r>
          </w:p>
          <w:p w14:paraId="4C312D36">
            <w:pPr>
              <w:spacing w:line="44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）成果</w:t>
            </w:r>
            <w:r>
              <w:rPr>
                <w:rFonts w:hint="eastAsia" w:ascii="宋体" w:hAnsi="宋体" w:eastAsia="宋体" w:cs="宋体"/>
                <w:b/>
                <w:bCs/>
                <w:color w:val="auto"/>
                <w:sz w:val="21"/>
                <w:szCs w:val="21"/>
                <w:highlight w:val="none"/>
                <w:lang w:val="en-US" w:eastAsia="zh-CN"/>
              </w:rPr>
              <w:t>要求</w:t>
            </w:r>
          </w:p>
          <w:p w14:paraId="35150182">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1.成果构成、形式</w:t>
            </w:r>
          </w:p>
          <w:p w14:paraId="0CE7F091">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规划成果由规划文本、规划图件、数据库和规划附件组成。成果形式为纸质文档和电子文档。</w:t>
            </w:r>
          </w:p>
          <w:p w14:paraId="791A46BD">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2.文本</w:t>
            </w:r>
          </w:p>
          <w:p w14:paraId="07B48F06">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划文本内容一般包括总则、工作基础、规划目标、选址与建设指引、“平急两用”公共基础设施总体空间布局、“平急两用”旅游居住设施规划、“平急两用”医疗应急服务点规划、“平急两用”城郊大仓基地规划、“平急两用”市政配套设施规划、实施保障措施等等。规划文本应以条  文方式表述规划结论，内容明确简练，具有指导性和可操作性。</w:t>
            </w:r>
          </w:p>
          <w:p w14:paraId="4C28FF35">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3.图纸</w:t>
            </w:r>
          </w:p>
          <w:p w14:paraId="4DCF7317">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规划图纸一般应包括以下内容：</w:t>
            </w:r>
          </w:p>
          <w:p w14:paraId="09D4D04D">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（1）现状用地资源分布图；</w:t>
            </w:r>
          </w:p>
          <w:p w14:paraId="6E1F038B">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（2）“平急两用”公共基础设施综合限制要素分析图；</w:t>
            </w:r>
          </w:p>
          <w:p w14:paraId="29528EE2">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（3）具备“平急两用”潜力的旅游居住设施现状分布图；</w:t>
            </w:r>
          </w:p>
          <w:p w14:paraId="45AC7F0D">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（4）具备“平急两用”潜力的医疗设施现状分布图；</w:t>
            </w:r>
          </w:p>
          <w:p w14:paraId="593A41D5">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（5）具备“平急两用”潜力的大型仓储基地现状分布图；</w:t>
            </w:r>
          </w:p>
          <w:p w14:paraId="5DF36F0D">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（6）具备“平急两用”潜力的市政配套基础设施现状分布图；</w:t>
            </w:r>
          </w:p>
          <w:p w14:paraId="5102A9AF">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（7）具备“平急两用”潜力的其他类型公共设施现状分布图；</w:t>
            </w:r>
          </w:p>
          <w:p w14:paraId="489F62CD">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（8）“平急两用”公共基础设施总体布局规划图；</w:t>
            </w:r>
          </w:p>
          <w:p w14:paraId="7F683514">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（9）“平急两用”旅游居住设施规划布局图；</w:t>
            </w:r>
          </w:p>
          <w:p w14:paraId="360DC1F3">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（10）“平急两用”医疗应急服务点规划布局图；</w:t>
            </w:r>
          </w:p>
          <w:p w14:paraId="22BA839A">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（11）“平急两用”城郊大仓基地规划布局图；</w:t>
            </w:r>
          </w:p>
          <w:p w14:paraId="232D703C">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（12）“平急两用”市政配套基础设施规划布局图；</w:t>
            </w:r>
          </w:p>
          <w:p w14:paraId="457A738A">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（13）其他类型“平急两用”公共基础设施规划布局图；</w:t>
            </w:r>
          </w:p>
          <w:p w14:paraId="6EABC869">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（14）其他相关分析图。</w:t>
            </w:r>
          </w:p>
          <w:p w14:paraId="222D0C89">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4.附件</w:t>
            </w:r>
          </w:p>
          <w:p w14:paraId="3EA447E4">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附件可包括规划说明书、基础资料汇编等。</w:t>
            </w:r>
          </w:p>
        </w:tc>
      </w:tr>
      <w:tr w14:paraId="57FDC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6"/>
            <w:tcBorders>
              <w:top w:val="single" w:color="auto" w:sz="4" w:space="0"/>
              <w:left w:val="single" w:color="auto" w:sz="4" w:space="0"/>
              <w:bottom w:val="single" w:color="auto" w:sz="4" w:space="0"/>
              <w:right w:val="single" w:color="auto" w:sz="4" w:space="0"/>
            </w:tcBorders>
          </w:tcPr>
          <w:p w14:paraId="5CB0BA5A">
            <w:pPr>
              <w:spacing w:line="440" w:lineRule="exact"/>
              <w:rPr>
                <w:rFonts w:hint="eastAsia" w:ascii="宋体" w:hAnsi="宋体" w:eastAsia="宋体" w:cs="宋体"/>
                <w:color w:val="auto"/>
                <w:sz w:val="21"/>
                <w:szCs w:val="21"/>
                <w:highlight w:val="none"/>
              </w:rPr>
            </w:pPr>
            <w:bookmarkStart w:id="27" w:name="OLE_LINK1" w:colFirst="0" w:colLast="1"/>
            <w:r>
              <w:rPr>
                <w:rFonts w:hint="eastAsia" w:ascii="宋体" w:hAnsi="宋体" w:cs="宋体"/>
                <w:color w:val="auto"/>
                <w:highlight w:val="none"/>
              </w:rPr>
              <w:t>▲</w:t>
            </w:r>
            <w:r>
              <w:rPr>
                <w:rFonts w:hint="eastAsia" w:ascii="宋体" w:hAnsi="宋体" w:cs="宋体"/>
                <w:color w:val="auto"/>
                <w:highlight w:val="none"/>
                <w:lang w:val="en-US" w:eastAsia="zh-CN"/>
              </w:rPr>
              <w:t>二、</w:t>
            </w:r>
            <w:r>
              <w:rPr>
                <w:rFonts w:hint="eastAsia" w:ascii="宋体" w:hAnsi="宋体" w:eastAsia="宋体" w:cs="宋体"/>
                <w:b/>
                <w:color w:val="auto"/>
                <w:sz w:val="21"/>
                <w:szCs w:val="21"/>
                <w:highlight w:val="none"/>
              </w:rPr>
              <w:t>商务要求</w:t>
            </w:r>
          </w:p>
        </w:tc>
      </w:tr>
      <w:tr w14:paraId="39EDF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597D7355">
            <w:pPr>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服务要求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14:paraId="4264F896">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成交人应全力配合采购人相关工作，应及时与采购人就履约相关事项进行沟通，原则上成交人接到采购人处理问题通知后24个小时内到达现场，48个小时内提出问题解决方案。服务期间现场服务次数由采购人与成交人协商约定。</w:t>
            </w:r>
          </w:p>
        </w:tc>
      </w:tr>
      <w:tr w14:paraId="228C7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50F9C344">
            <w:pPr>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合同签订时间</w:t>
            </w:r>
          </w:p>
        </w:tc>
        <w:tc>
          <w:tcPr>
            <w:tcW w:w="8496" w:type="dxa"/>
            <w:gridSpan w:val="3"/>
            <w:tcBorders>
              <w:top w:val="single" w:color="auto" w:sz="4" w:space="0"/>
              <w:left w:val="single" w:color="auto" w:sz="4" w:space="0"/>
              <w:bottom w:val="single" w:color="auto" w:sz="4" w:space="0"/>
              <w:right w:val="single" w:color="auto" w:sz="4" w:space="0"/>
            </w:tcBorders>
            <w:vAlign w:val="center"/>
          </w:tcPr>
          <w:p w14:paraId="7777B694">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自成交通知书发出之日起25日内。</w:t>
            </w:r>
          </w:p>
        </w:tc>
      </w:tr>
      <w:tr w14:paraId="0C5F2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1DADBA79">
            <w:pPr>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成果提交时间（合同履行期限）及地点</w:t>
            </w:r>
          </w:p>
        </w:tc>
        <w:tc>
          <w:tcPr>
            <w:tcW w:w="8496" w:type="dxa"/>
            <w:gridSpan w:val="3"/>
            <w:tcBorders>
              <w:top w:val="single" w:color="auto" w:sz="4" w:space="0"/>
              <w:left w:val="single" w:color="auto" w:sz="4" w:space="0"/>
              <w:bottom w:val="single" w:color="auto" w:sz="4" w:space="0"/>
              <w:right w:val="single" w:color="auto" w:sz="4" w:space="0"/>
            </w:tcBorders>
            <w:vAlign w:val="center"/>
          </w:tcPr>
          <w:p w14:paraId="088CBB4B">
            <w:pPr>
              <w:keepNext w:val="0"/>
              <w:keepLines w:val="0"/>
              <w:pageBreakBefore w:val="0"/>
              <w:widowControl/>
              <w:numPr>
                <w:ilvl w:val="0"/>
                <w:numId w:val="0"/>
              </w:numPr>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成果提交时间（合同履行期限）：</w:t>
            </w:r>
            <w:r>
              <w:rPr>
                <w:rFonts w:hint="eastAsia" w:ascii="宋体" w:hAnsi="宋体" w:cs="宋体"/>
                <w:color w:val="auto"/>
                <w:sz w:val="21"/>
                <w:szCs w:val="21"/>
                <w:highlight w:val="none"/>
                <w:lang w:val="en-US" w:eastAsia="zh-CN"/>
              </w:rPr>
              <w:t xml:space="preserve">自合同签订之日起，于2026年2月10日之前完成前期调研工作；于2026年6月30日之前完成初步成果编制工作；于2026年12月31日之前完成征求意见、专家评审及报批工作 </w:t>
            </w:r>
            <w:r>
              <w:rPr>
                <w:rFonts w:hint="eastAsia" w:ascii="宋体" w:hAnsi="宋体" w:eastAsia="宋体" w:cs="宋体"/>
                <w:color w:val="auto"/>
                <w:sz w:val="21"/>
                <w:szCs w:val="21"/>
                <w:highlight w:val="none"/>
              </w:rPr>
              <w:t xml:space="preserve"> 。</w:t>
            </w:r>
          </w:p>
          <w:p w14:paraId="18D95C91">
            <w:pPr>
              <w:keepNext w:val="0"/>
              <w:keepLines w:val="0"/>
              <w:pageBreakBefore w:val="0"/>
              <w:widowControl/>
              <w:numPr>
                <w:ilvl w:val="0"/>
                <w:numId w:val="0"/>
              </w:numPr>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如因政策变化、采购人审批时序等因素影响，相关技术工作进度顺延。</w:t>
            </w:r>
          </w:p>
          <w:p w14:paraId="5BF19A4F">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交付地点：采购人指定地点。</w:t>
            </w:r>
          </w:p>
        </w:tc>
      </w:tr>
      <w:tr w14:paraId="0200B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7DDCD060">
            <w:pPr>
              <w:keepNext w:val="0"/>
              <w:keepLines w:val="0"/>
              <w:pageBreakBefore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付款方式</w:t>
            </w:r>
          </w:p>
        </w:tc>
        <w:tc>
          <w:tcPr>
            <w:tcW w:w="8496" w:type="dxa"/>
            <w:gridSpan w:val="3"/>
            <w:tcBorders>
              <w:top w:val="single" w:color="auto" w:sz="4" w:space="0"/>
              <w:left w:val="single" w:color="auto" w:sz="4" w:space="0"/>
              <w:bottom w:val="single" w:color="auto" w:sz="4" w:space="0"/>
              <w:right w:val="single" w:color="auto" w:sz="4" w:space="0"/>
            </w:tcBorders>
            <w:vAlign w:val="center"/>
          </w:tcPr>
          <w:p w14:paraId="37DB57CF">
            <w:pPr>
              <w:keepNext w:val="0"/>
              <w:keepLines w:val="0"/>
              <w:pageBreakBefore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第一阶段支付：自签订合同之日起10个工作日内支付合同金额的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p w14:paraId="30EC5CF3">
            <w:pPr>
              <w:keepNext w:val="0"/>
              <w:keepLines w:val="0"/>
              <w:pageBreakBefore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第二阶段支付：桂林市“平急两用”公共基础设施建设专项规划编制成果通过主管部门组织的专家评审后10个工作日内支付</w:t>
            </w: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同总金额的</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p>
          <w:p w14:paraId="3BADD921">
            <w:pPr>
              <w:keepNext w:val="0"/>
              <w:keepLines w:val="0"/>
              <w:pageBreakBefore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第三阶段支付：规划成果通过批复后10个工作日内支付合同金额的10%。</w:t>
            </w:r>
          </w:p>
        </w:tc>
      </w:tr>
      <w:tr w14:paraId="6AC45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210B35D7">
            <w:pPr>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8496" w:type="dxa"/>
            <w:gridSpan w:val="3"/>
            <w:tcBorders>
              <w:top w:val="single" w:color="auto" w:sz="4" w:space="0"/>
              <w:left w:val="single" w:color="auto" w:sz="4" w:space="0"/>
              <w:bottom w:val="single" w:color="auto" w:sz="4" w:space="0"/>
              <w:right w:val="single" w:color="auto" w:sz="4" w:space="0"/>
            </w:tcBorders>
            <w:vAlign w:val="center"/>
          </w:tcPr>
          <w:p w14:paraId="72A07EDA">
            <w:pPr>
              <w:keepNext w:val="0"/>
              <w:keepLines w:val="0"/>
              <w:pageBreakBefore w:val="0"/>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bCs w:val="0"/>
                <w:color w:val="auto"/>
                <w:spacing w:val="0"/>
                <w:kern w:val="2"/>
                <w:sz w:val="21"/>
                <w:szCs w:val="21"/>
                <w:highlight w:val="none"/>
              </w:rPr>
            </w:pPr>
            <w:r>
              <w:rPr>
                <w:rFonts w:hint="eastAsia" w:ascii="宋体" w:hAnsi="宋体" w:eastAsia="宋体" w:cs="宋体"/>
                <w:color w:val="auto"/>
                <w:sz w:val="21"/>
                <w:szCs w:val="21"/>
                <w:highlight w:val="none"/>
              </w:rPr>
              <w:t>依据磋商文件要求、现行国家相关标准、行业标准、地方标准或者其他标准、规范。</w:t>
            </w:r>
          </w:p>
        </w:tc>
      </w:tr>
      <w:tr w14:paraId="12FA1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2B7CDE4F">
            <w:pPr>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8496" w:type="dxa"/>
            <w:gridSpan w:val="3"/>
            <w:tcBorders>
              <w:top w:val="single" w:color="auto" w:sz="4" w:space="0"/>
              <w:left w:val="single" w:color="auto" w:sz="4" w:space="0"/>
              <w:bottom w:val="single" w:color="auto" w:sz="4" w:space="0"/>
              <w:right w:val="single" w:color="auto" w:sz="4" w:space="0"/>
            </w:tcBorders>
            <w:vAlign w:val="center"/>
          </w:tcPr>
          <w:p w14:paraId="08AA0952">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1.服务方案署名权归成交人所有，版权归采购人所有，采购人有权在服务方案审定后公开展示成果文件，并通过传播、媒介、专业杂志、书刊及其他形式介绍、展示、评价服务方案。</w:t>
            </w:r>
          </w:p>
          <w:p w14:paraId="27A8D559">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2.服务方案批准实施前，任何单位和个人未经同意都无权以任何形式向社会公开展示成果文件。</w:t>
            </w:r>
          </w:p>
          <w:p w14:paraId="269F8EFC">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3.成交人提交的服务方案成果文件有下列情形之一的，采购人将有权终止合同：</w:t>
            </w:r>
          </w:p>
          <w:p w14:paraId="5B3D76A7">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（1）提交的成果不符合本项目任务书规定的。</w:t>
            </w:r>
          </w:p>
          <w:p w14:paraId="2EA9833B">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（2）提交的成果图纸和文字辨认不清，内容不全或粗制滥造的。</w:t>
            </w:r>
          </w:p>
          <w:p w14:paraId="72064FCE">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）编制成果不能通过法定程序审批的。</w:t>
            </w:r>
          </w:p>
          <w:p w14:paraId="4CE7F342">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）成交人未经采购人正式书面同意擅自修改服务方案的。</w:t>
            </w:r>
          </w:p>
          <w:p w14:paraId="368C04F6">
            <w:pPr>
              <w:keepNext w:val="0"/>
              <w:keepLines w:val="0"/>
              <w:pageBreakBefore w:val="0"/>
              <w:widowControl/>
              <w:kinsoku/>
              <w:wordWrap/>
              <w:overflowPunct/>
              <w:topLinePunct w:val="0"/>
              <w:autoSpaceDE/>
              <w:autoSpaceDN/>
              <w:bidi w:val="0"/>
              <w:snapToGrid/>
              <w:spacing w:line="360" w:lineRule="auto"/>
              <w:ind w:firstLine="422" w:firstLineChars="200"/>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0"/>
                <w:sz w:val="21"/>
                <w:szCs w:val="21"/>
                <w:highlight w:val="none"/>
              </w:rPr>
              <w:t>4.本项目</w:t>
            </w:r>
            <w:r>
              <w:rPr>
                <w:rFonts w:hint="eastAsia" w:ascii="宋体" w:hAnsi="宋体" w:eastAsia="宋体" w:cs="宋体"/>
                <w:b/>
                <w:bCs/>
                <w:color w:val="auto"/>
                <w:kern w:val="0"/>
                <w:sz w:val="21"/>
                <w:szCs w:val="21"/>
                <w:highlight w:val="none"/>
                <w:lang w:val="en-US" w:eastAsia="zh-CN"/>
              </w:rPr>
              <w:t>最高限价</w:t>
            </w:r>
            <w:r>
              <w:rPr>
                <w:rFonts w:hint="eastAsia" w:ascii="宋体" w:hAnsi="宋体" w:eastAsia="宋体" w:cs="宋体"/>
                <w:b/>
                <w:bCs/>
                <w:color w:val="auto"/>
                <w:kern w:val="0"/>
                <w:sz w:val="21"/>
                <w:szCs w:val="21"/>
                <w:highlight w:val="none"/>
              </w:rPr>
              <w:t>为：</w:t>
            </w:r>
            <w:r>
              <w:rPr>
                <w:rFonts w:hint="eastAsia" w:ascii="宋体" w:hAnsi="宋体" w:eastAsia="宋体" w:cs="宋体"/>
                <w:b/>
                <w:bCs/>
                <w:color w:val="auto"/>
                <w:kern w:val="0"/>
                <w:sz w:val="21"/>
                <w:szCs w:val="21"/>
                <w:highlight w:val="none"/>
                <w:lang w:val="en-US" w:eastAsia="zh-CN"/>
              </w:rPr>
              <w:t>1550000.00元</w:t>
            </w:r>
            <w:r>
              <w:rPr>
                <w:rFonts w:hint="eastAsia" w:ascii="宋体" w:hAnsi="宋体" w:eastAsia="宋体" w:cs="宋体"/>
                <w:b/>
                <w:bCs/>
                <w:color w:val="auto"/>
                <w:kern w:val="0"/>
                <w:sz w:val="21"/>
                <w:szCs w:val="21"/>
                <w:highlight w:val="none"/>
              </w:rPr>
              <w:t>，最</w:t>
            </w:r>
            <w:r>
              <w:rPr>
                <w:rFonts w:hint="eastAsia" w:ascii="宋体" w:hAnsi="宋体" w:eastAsia="宋体" w:cs="宋体"/>
                <w:b/>
                <w:color w:val="auto"/>
                <w:kern w:val="0"/>
                <w:sz w:val="21"/>
                <w:szCs w:val="21"/>
                <w:highlight w:val="none"/>
              </w:rPr>
              <w:t>后报价超出</w:t>
            </w:r>
            <w:r>
              <w:rPr>
                <w:rFonts w:hint="eastAsia" w:ascii="宋体" w:hAnsi="宋体" w:eastAsia="宋体" w:cs="宋体"/>
                <w:b/>
                <w:bCs/>
                <w:color w:val="auto"/>
                <w:kern w:val="0"/>
                <w:sz w:val="21"/>
                <w:szCs w:val="21"/>
                <w:highlight w:val="none"/>
                <w:lang w:val="en-US" w:eastAsia="zh-CN"/>
              </w:rPr>
              <w:t>最高限价</w:t>
            </w:r>
            <w:r>
              <w:rPr>
                <w:rFonts w:hint="eastAsia" w:ascii="宋体" w:hAnsi="宋体" w:eastAsia="宋体" w:cs="宋体"/>
                <w:b/>
                <w:color w:val="auto"/>
                <w:kern w:val="0"/>
                <w:sz w:val="21"/>
                <w:szCs w:val="21"/>
                <w:highlight w:val="none"/>
              </w:rPr>
              <w:t>的将被视为响应文件无效。</w:t>
            </w:r>
          </w:p>
          <w:p w14:paraId="18DB6FBB">
            <w:pPr>
              <w:keepNext w:val="0"/>
              <w:keepLines w:val="0"/>
              <w:pageBreakBefore w:val="0"/>
              <w:widowControl/>
              <w:kinsoku/>
              <w:wordWrap/>
              <w:overflowPunct/>
              <w:topLinePunct w:val="0"/>
              <w:autoSpaceDE/>
              <w:autoSpaceDN/>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磋商报价应包含但不限于本次采购范围内所有服务价款、技术工作费、人工费、材料费、出图费、差旅费、调研费、培训费、管理费、设备、劳务、保险、利润及税金、政策性规定费用及所有风险责任等所有费用，供应商综合考虑在报价中；采购人不再支付</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tc>
      </w:tr>
      <w:tr w14:paraId="07A1F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596" w:type="dxa"/>
            <w:gridSpan w:val="6"/>
            <w:tcBorders>
              <w:top w:val="single" w:color="auto" w:sz="4" w:space="0"/>
              <w:left w:val="single" w:color="auto" w:sz="4" w:space="0"/>
              <w:bottom w:val="single" w:color="auto" w:sz="4" w:space="0"/>
              <w:right w:val="single" w:color="auto" w:sz="4" w:space="0"/>
            </w:tcBorders>
            <w:vAlign w:val="center"/>
          </w:tcPr>
          <w:p w14:paraId="0E5138AB">
            <w:pPr>
              <w:keepNext w:val="0"/>
              <w:keepLines w:val="0"/>
              <w:pageBreakBefore w:val="0"/>
              <w:widowControl/>
              <w:kinsoku/>
              <w:wordWrap/>
              <w:overflowPunct/>
              <w:topLinePunct w:val="0"/>
              <w:autoSpaceDE/>
              <w:autoSpaceDN/>
              <w:bidi w:val="0"/>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三、其他要求：</w:t>
            </w:r>
            <w:r>
              <w:rPr>
                <w:rFonts w:hint="eastAsia" w:ascii="宋体" w:hAnsi="宋体" w:eastAsia="宋体" w:cs="宋体"/>
                <w:b/>
                <w:color w:val="auto"/>
                <w:sz w:val="21"/>
                <w:szCs w:val="21"/>
                <w:highlight w:val="none"/>
              </w:rPr>
              <w:t>本表</w:t>
            </w:r>
            <w:r>
              <w:rPr>
                <w:rFonts w:hint="eastAsia" w:ascii="宋体" w:hAnsi="宋体" w:eastAsia="宋体" w:cs="宋体"/>
                <w:b/>
                <w:color w:val="auto"/>
                <w:kern w:val="0"/>
                <w:sz w:val="21"/>
                <w:szCs w:val="21"/>
                <w:highlight w:val="none"/>
              </w:rPr>
              <w:t>中所有条款及商务要求均为实质性要求，磋商时必须响应，若有任意一项负偏离，作响应文件无效处理。</w:t>
            </w:r>
          </w:p>
        </w:tc>
      </w:tr>
      <w:bookmarkEnd w:id="27"/>
    </w:tbl>
    <w:p w14:paraId="069A68E5">
      <w:pPr>
        <w:pStyle w:val="18"/>
        <w:spacing w:line="440" w:lineRule="exact"/>
        <w:rPr>
          <w:rFonts w:ascii="宋体" w:hAnsi="宋体" w:cs="宋体"/>
          <w:b/>
          <w:color w:val="auto"/>
          <w:sz w:val="24"/>
          <w:highlight w:val="none"/>
        </w:rPr>
        <w:sectPr>
          <w:pgSz w:w="11906" w:h="16838"/>
          <w:pgMar w:top="1134" w:right="1247" w:bottom="1134" w:left="1247" w:header="851" w:footer="992" w:gutter="0"/>
          <w:cols w:space="720" w:num="1"/>
          <w:docGrid w:linePitch="312" w:charSpace="0"/>
        </w:sectPr>
      </w:pPr>
    </w:p>
    <w:p w14:paraId="025B47D4">
      <w:pPr>
        <w:pStyle w:val="18"/>
        <w:spacing w:line="440" w:lineRule="exact"/>
        <w:rPr>
          <w:rFonts w:ascii="宋体" w:hAnsi="宋体" w:cs="宋体"/>
          <w:color w:val="auto"/>
          <w:sz w:val="32"/>
          <w:szCs w:val="32"/>
          <w:highlight w:val="none"/>
        </w:rPr>
      </w:pPr>
      <w:r>
        <w:rPr>
          <w:rFonts w:hint="eastAsia" w:ascii="宋体" w:hAnsi="宋体" w:cs="宋体"/>
          <w:color w:val="auto"/>
          <w:sz w:val="32"/>
          <w:szCs w:val="32"/>
          <w:highlight w:val="none"/>
        </w:rPr>
        <w:t>附件：</w:t>
      </w:r>
    </w:p>
    <w:p w14:paraId="19609373">
      <w:pPr>
        <w:spacing w:line="440"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1"/>
        <w:tblW w:w="9600" w:type="dxa"/>
        <w:tblInd w:w="250" w:type="dxa"/>
        <w:tblLayout w:type="fixed"/>
        <w:tblCellMar>
          <w:top w:w="0" w:type="dxa"/>
          <w:left w:w="108" w:type="dxa"/>
          <w:bottom w:w="0" w:type="dxa"/>
          <w:right w:w="108" w:type="dxa"/>
        </w:tblCellMar>
      </w:tblPr>
      <w:tblGrid>
        <w:gridCol w:w="1700"/>
        <w:gridCol w:w="1383"/>
        <w:gridCol w:w="913"/>
        <w:gridCol w:w="1619"/>
        <w:gridCol w:w="2535"/>
        <w:gridCol w:w="1450"/>
      </w:tblGrid>
      <w:tr w14:paraId="32A92C70">
        <w:tblPrEx>
          <w:tblCellMar>
            <w:top w:w="0" w:type="dxa"/>
            <w:left w:w="108" w:type="dxa"/>
            <w:bottom w:w="0" w:type="dxa"/>
            <w:right w:w="108" w:type="dxa"/>
          </w:tblCellMar>
        </w:tblPrEx>
        <w:trPr>
          <w:trHeight w:val="285" w:hRule="atLeast"/>
        </w:trPr>
        <w:tc>
          <w:tcPr>
            <w:tcW w:w="1700" w:type="dxa"/>
            <w:tcBorders>
              <w:top w:val="single" w:color="auto" w:sz="4" w:space="0"/>
              <w:left w:val="single" w:color="auto" w:sz="4" w:space="0"/>
              <w:bottom w:val="single" w:color="auto" w:sz="4" w:space="0"/>
              <w:right w:val="single" w:color="auto" w:sz="4" w:space="0"/>
            </w:tcBorders>
            <w:noWrap/>
            <w:vAlign w:val="center"/>
          </w:tcPr>
          <w:p w14:paraId="6EC79D3F">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090D6CB6">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14:paraId="69C5D2EC">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14:paraId="35355D12">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2535" w:type="dxa"/>
            <w:tcBorders>
              <w:top w:val="single" w:color="auto" w:sz="4" w:space="0"/>
              <w:left w:val="nil"/>
              <w:bottom w:val="single" w:color="auto" w:sz="4" w:space="0"/>
              <w:right w:val="single" w:color="auto" w:sz="4" w:space="0"/>
            </w:tcBorders>
            <w:noWrap/>
            <w:vAlign w:val="center"/>
          </w:tcPr>
          <w:p w14:paraId="7DEDA600">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14:paraId="5D168EDA">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47911E5">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center"/>
          </w:tcPr>
          <w:p w14:paraId="7514064A">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14:paraId="7F8436C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03E94A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9BF5A9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2535" w:type="dxa"/>
            <w:tcBorders>
              <w:top w:val="nil"/>
              <w:left w:val="nil"/>
              <w:bottom w:val="single" w:color="auto" w:sz="4" w:space="0"/>
              <w:right w:val="single" w:color="auto" w:sz="4" w:space="0"/>
            </w:tcBorders>
            <w:noWrap/>
            <w:vAlign w:val="center"/>
          </w:tcPr>
          <w:p w14:paraId="7C869CA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14:paraId="3124C09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D507561">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1F744C6E">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14:paraId="2072E78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8CA570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429CBE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14:paraId="5130EC1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02CBA7E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547AD0C">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22EBB9FE">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BB5A05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2CB4CF4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859C10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2535" w:type="dxa"/>
            <w:tcBorders>
              <w:top w:val="nil"/>
              <w:left w:val="nil"/>
              <w:bottom w:val="single" w:color="auto" w:sz="4" w:space="0"/>
              <w:right w:val="single" w:color="auto" w:sz="4" w:space="0"/>
            </w:tcBorders>
            <w:noWrap/>
            <w:vAlign w:val="center"/>
          </w:tcPr>
          <w:p w14:paraId="0FACE77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14:paraId="6856B0A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1018AE8">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0459DEBD">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14:paraId="4745768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2989336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F8C8FE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2535" w:type="dxa"/>
            <w:tcBorders>
              <w:top w:val="nil"/>
              <w:left w:val="nil"/>
              <w:bottom w:val="single" w:color="auto" w:sz="4" w:space="0"/>
              <w:right w:val="single" w:color="auto" w:sz="4" w:space="0"/>
            </w:tcBorders>
            <w:noWrap/>
            <w:vAlign w:val="center"/>
          </w:tcPr>
          <w:p w14:paraId="16AC6B1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14:paraId="268C875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CE22F3D">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2C92A890">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2D51329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53C8F39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4E955E0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2535" w:type="dxa"/>
            <w:tcBorders>
              <w:top w:val="nil"/>
              <w:left w:val="nil"/>
              <w:bottom w:val="single" w:color="auto" w:sz="4" w:space="0"/>
              <w:right w:val="single" w:color="auto" w:sz="4" w:space="0"/>
            </w:tcBorders>
            <w:noWrap/>
            <w:vAlign w:val="center"/>
          </w:tcPr>
          <w:p w14:paraId="590EAC4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14:paraId="0E6C8CA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1339B58">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7E4B53F2">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14:paraId="7A3D367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D760DF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556F92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2535" w:type="dxa"/>
            <w:tcBorders>
              <w:top w:val="nil"/>
              <w:left w:val="nil"/>
              <w:bottom w:val="single" w:color="auto" w:sz="4" w:space="0"/>
              <w:right w:val="single" w:color="auto" w:sz="4" w:space="0"/>
            </w:tcBorders>
            <w:noWrap/>
            <w:vAlign w:val="center"/>
          </w:tcPr>
          <w:p w14:paraId="09C8B15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14:paraId="1BFFEEA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6E0B84C">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337EA399">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1A7DCC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3F1DB3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652C36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2535" w:type="dxa"/>
            <w:tcBorders>
              <w:top w:val="nil"/>
              <w:left w:val="nil"/>
              <w:bottom w:val="single" w:color="auto" w:sz="4" w:space="0"/>
              <w:right w:val="single" w:color="auto" w:sz="4" w:space="0"/>
            </w:tcBorders>
            <w:noWrap/>
            <w:vAlign w:val="center"/>
          </w:tcPr>
          <w:p w14:paraId="7ED93A8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14:paraId="3161DBC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5C58104">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01C4BAD6">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14:paraId="5D83BEC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2A9BC95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0475F2F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2535" w:type="dxa"/>
            <w:tcBorders>
              <w:top w:val="nil"/>
              <w:left w:val="nil"/>
              <w:bottom w:val="single" w:color="auto" w:sz="4" w:space="0"/>
              <w:right w:val="single" w:color="auto" w:sz="4" w:space="0"/>
            </w:tcBorders>
            <w:noWrap/>
            <w:vAlign w:val="center"/>
          </w:tcPr>
          <w:p w14:paraId="5D80516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14:paraId="1B725AA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F141BB0">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67431B25">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2AEFE8B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BA811A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40655A3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2535" w:type="dxa"/>
            <w:tcBorders>
              <w:top w:val="nil"/>
              <w:left w:val="nil"/>
              <w:bottom w:val="single" w:color="auto" w:sz="4" w:space="0"/>
              <w:right w:val="single" w:color="auto" w:sz="4" w:space="0"/>
            </w:tcBorders>
            <w:noWrap/>
            <w:vAlign w:val="center"/>
          </w:tcPr>
          <w:p w14:paraId="6730427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14:paraId="134D8E3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42C8573">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186146E1">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14:paraId="7DF3C30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9BDF4A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5A963D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14:paraId="0584562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3DDE5E2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D106E2A">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71A2A797">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5E1132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F2A52C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DC91B8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2535" w:type="dxa"/>
            <w:tcBorders>
              <w:top w:val="nil"/>
              <w:left w:val="nil"/>
              <w:bottom w:val="single" w:color="auto" w:sz="4" w:space="0"/>
              <w:right w:val="single" w:color="auto" w:sz="4" w:space="0"/>
            </w:tcBorders>
            <w:noWrap/>
            <w:vAlign w:val="center"/>
          </w:tcPr>
          <w:p w14:paraId="7C729A7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14:paraId="624CA57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7E3ED73">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23D5833C">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14:paraId="281127C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B0BC71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91855B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2535" w:type="dxa"/>
            <w:tcBorders>
              <w:top w:val="nil"/>
              <w:left w:val="nil"/>
              <w:bottom w:val="single" w:color="auto" w:sz="4" w:space="0"/>
              <w:right w:val="single" w:color="auto" w:sz="4" w:space="0"/>
            </w:tcBorders>
            <w:noWrap/>
            <w:vAlign w:val="center"/>
          </w:tcPr>
          <w:p w14:paraId="3E693C3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14:paraId="490ACEF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A708BC4">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2635F52F">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0359C4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2909CCA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8DF2B2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2535" w:type="dxa"/>
            <w:tcBorders>
              <w:top w:val="nil"/>
              <w:left w:val="nil"/>
              <w:bottom w:val="single" w:color="auto" w:sz="4" w:space="0"/>
              <w:right w:val="single" w:color="auto" w:sz="4" w:space="0"/>
            </w:tcBorders>
            <w:noWrap/>
            <w:vAlign w:val="center"/>
          </w:tcPr>
          <w:p w14:paraId="0B8BA10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0013567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E35B67">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2785033E">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14:paraId="49D0BF0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E50D60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FD75BB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14:paraId="788F653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264F0B4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8C07337">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4FB6E867">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27BC6B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2C54B20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6E8B29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2535" w:type="dxa"/>
            <w:tcBorders>
              <w:top w:val="nil"/>
              <w:left w:val="nil"/>
              <w:bottom w:val="single" w:color="auto" w:sz="4" w:space="0"/>
              <w:right w:val="single" w:color="auto" w:sz="4" w:space="0"/>
            </w:tcBorders>
            <w:noWrap/>
            <w:vAlign w:val="center"/>
          </w:tcPr>
          <w:p w14:paraId="6905271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2218A59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21AB723">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433DFDDA">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14:paraId="7412689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7002BE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51CAC3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5ADBA8C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10929A2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49F1CAA">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55ECAEBE">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21AC0BF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97322D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54C935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2535" w:type="dxa"/>
            <w:tcBorders>
              <w:top w:val="nil"/>
              <w:left w:val="nil"/>
              <w:bottom w:val="single" w:color="auto" w:sz="4" w:space="0"/>
              <w:right w:val="single" w:color="auto" w:sz="4" w:space="0"/>
            </w:tcBorders>
            <w:noWrap/>
            <w:vAlign w:val="center"/>
          </w:tcPr>
          <w:p w14:paraId="3451427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37DF38B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F2D952">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738547B8">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14:paraId="03FF8A4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65B95E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0CE8565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5A07575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E4A35F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24D9B99">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495C75F2">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6F12AD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555425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13D0B1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2535" w:type="dxa"/>
            <w:tcBorders>
              <w:top w:val="nil"/>
              <w:left w:val="nil"/>
              <w:bottom w:val="single" w:color="auto" w:sz="4" w:space="0"/>
              <w:right w:val="single" w:color="auto" w:sz="4" w:space="0"/>
            </w:tcBorders>
            <w:noWrap/>
            <w:vAlign w:val="center"/>
          </w:tcPr>
          <w:p w14:paraId="55EE85F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5FA19DF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31E5C0A">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07F7A4A0">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14:paraId="2D3A072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E8A23E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29BDA1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2535" w:type="dxa"/>
            <w:tcBorders>
              <w:top w:val="nil"/>
              <w:left w:val="nil"/>
              <w:bottom w:val="single" w:color="auto" w:sz="4" w:space="0"/>
              <w:right w:val="single" w:color="auto" w:sz="4" w:space="0"/>
            </w:tcBorders>
            <w:noWrap/>
            <w:vAlign w:val="center"/>
          </w:tcPr>
          <w:p w14:paraId="3B75D23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25AF234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9E1CD8E">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7FDBAC01">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85C13E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82CA61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AA2764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2535" w:type="dxa"/>
            <w:tcBorders>
              <w:top w:val="nil"/>
              <w:left w:val="nil"/>
              <w:bottom w:val="single" w:color="auto" w:sz="4" w:space="0"/>
              <w:right w:val="single" w:color="auto" w:sz="4" w:space="0"/>
            </w:tcBorders>
            <w:noWrap/>
            <w:vAlign w:val="center"/>
          </w:tcPr>
          <w:p w14:paraId="74B0902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5D42F4D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292BA75">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25ED327F">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4F70865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53EE50E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53DC831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4EFC54B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783543F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C45D7E5">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5A166ABC">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2DED046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C3DA00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B2E510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2535" w:type="dxa"/>
            <w:tcBorders>
              <w:top w:val="nil"/>
              <w:left w:val="nil"/>
              <w:bottom w:val="single" w:color="auto" w:sz="4" w:space="0"/>
              <w:right w:val="single" w:color="auto" w:sz="4" w:space="0"/>
            </w:tcBorders>
            <w:noWrap/>
            <w:vAlign w:val="center"/>
          </w:tcPr>
          <w:p w14:paraId="5C26F42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14:paraId="4D475AE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01DD8A1">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75F0C53B">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14:paraId="2220446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7835A9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0C93BC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2535" w:type="dxa"/>
            <w:tcBorders>
              <w:top w:val="nil"/>
              <w:left w:val="nil"/>
              <w:bottom w:val="single" w:color="auto" w:sz="4" w:space="0"/>
              <w:right w:val="single" w:color="auto" w:sz="4" w:space="0"/>
            </w:tcBorders>
            <w:noWrap/>
            <w:vAlign w:val="center"/>
          </w:tcPr>
          <w:p w14:paraId="3DEBC93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14:paraId="6CE0A41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D546735">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50B0A081">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4304571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6BF03C1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4642EFB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2535" w:type="dxa"/>
            <w:tcBorders>
              <w:top w:val="nil"/>
              <w:left w:val="nil"/>
              <w:bottom w:val="single" w:color="auto" w:sz="4" w:space="0"/>
              <w:right w:val="single" w:color="auto" w:sz="4" w:space="0"/>
            </w:tcBorders>
            <w:noWrap/>
            <w:vAlign w:val="center"/>
          </w:tcPr>
          <w:p w14:paraId="1295221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14:paraId="48ACFC3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5BB179D">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6BD4B928">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14:paraId="0E2322E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C95AEC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FB2A6D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14:paraId="1E09F12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14:paraId="559B95E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7CACAF3">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460460A8">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D15C50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2B02FB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63DF2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2535" w:type="dxa"/>
            <w:tcBorders>
              <w:top w:val="nil"/>
              <w:left w:val="nil"/>
              <w:bottom w:val="single" w:color="auto" w:sz="4" w:space="0"/>
              <w:right w:val="single" w:color="auto" w:sz="4" w:space="0"/>
            </w:tcBorders>
            <w:noWrap/>
            <w:vAlign w:val="center"/>
          </w:tcPr>
          <w:p w14:paraId="0A8DF56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14:paraId="3091B50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D1B9F78">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center"/>
          </w:tcPr>
          <w:p w14:paraId="3DEB14DD">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14:paraId="3EE840F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F12B3B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E61233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47E17DF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2631E80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B5A3D3">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00D6BCB2">
            <w:pPr>
              <w:widowControl/>
              <w:spacing w:line="300" w:lineRule="exact"/>
              <w:jc w:val="center"/>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442E39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625889A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FF49CA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2535" w:type="dxa"/>
            <w:tcBorders>
              <w:top w:val="nil"/>
              <w:left w:val="nil"/>
              <w:bottom w:val="single" w:color="auto" w:sz="4" w:space="0"/>
              <w:right w:val="single" w:color="auto" w:sz="4" w:space="0"/>
            </w:tcBorders>
            <w:noWrap/>
            <w:vAlign w:val="center"/>
          </w:tcPr>
          <w:p w14:paraId="46BAE7B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14:paraId="5F19204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0A2AFB">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center"/>
          </w:tcPr>
          <w:p w14:paraId="777E5A79">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14:paraId="7A49A33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DD7D31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03CBD2E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3DCED53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0770893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F4136D3">
      <w:pPr>
        <w:spacing w:line="240" w:lineRule="atLeast"/>
        <w:ind w:firstLine="525" w:firstLineChars="250"/>
        <w:rPr>
          <w:rFonts w:ascii="宋体" w:hAnsi="宋体" w:cs="宋体"/>
          <w:color w:val="auto"/>
          <w:szCs w:val="21"/>
          <w:highlight w:val="none"/>
        </w:rPr>
      </w:pPr>
    </w:p>
    <w:p w14:paraId="1FD623F7">
      <w:pPr>
        <w:spacing w:line="240" w:lineRule="atLeast"/>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2EB26CC">
      <w:pPr>
        <w:spacing w:line="440" w:lineRule="exact"/>
        <w:ind w:firstLine="482" w:firstLineChars="200"/>
        <w:rPr>
          <w:rFonts w:ascii="宋体" w:hAnsi="宋体" w:cs="宋体"/>
          <w:b/>
          <w:color w:val="auto"/>
          <w:sz w:val="24"/>
          <w:highlight w:val="none"/>
        </w:rPr>
      </w:pPr>
    </w:p>
    <w:p w14:paraId="66BA990F">
      <w:pPr>
        <w:spacing w:line="440" w:lineRule="exact"/>
        <w:ind w:firstLine="482" w:firstLineChars="200"/>
        <w:rPr>
          <w:rFonts w:ascii="宋体" w:hAnsi="宋体" w:cs="宋体"/>
          <w:b/>
          <w:color w:val="auto"/>
          <w:sz w:val="24"/>
          <w:highlight w:val="none"/>
        </w:rPr>
      </w:pPr>
    </w:p>
    <w:p w14:paraId="60EE4491">
      <w:pPr>
        <w:spacing w:line="440" w:lineRule="exact"/>
        <w:ind w:firstLine="482" w:firstLineChars="200"/>
        <w:rPr>
          <w:rFonts w:ascii="宋体" w:hAnsi="宋体" w:cs="宋体"/>
          <w:b/>
          <w:color w:val="auto"/>
          <w:sz w:val="24"/>
          <w:highlight w:val="none"/>
        </w:rPr>
      </w:pPr>
    </w:p>
    <w:p w14:paraId="11A91841">
      <w:pPr>
        <w:spacing w:line="440" w:lineRule="exact"/>
        <w:ind w:firstLine="482" w:firstLineChars="200"/>
        <w:rPr>
          <w:rFonts w:ascii="宋体" w:hAnsi="宋体" w:cs="宋体"/>
          <w:b/>
          <w:color w:val="auto"/>
          <w:sz w:val="24"/>
          <w:highlight w:val="none"/>
        </w:rPr>
      </w:pPr>
    </w:p>
    <w:p w14:paraId="05CCDD42">
      <w:pPr>
        <w:spacing w:line="440" w:lineRule="exact"/>
        <w:ind w:firstLine="482" w:firstLineChars="200"/>
        <w:rPr>
          <w:rFonts w:ascii="宋体" w:hAnsi="宋体" w:cs="宋体"/>
          <w:b/>
          <w:color w:val="auto"/>
          <w:sz w:val="24"/>
          <w:highlight w:val="none"/>
        </w:rPr>
      </w:pPr>
    </w:p>
    <w:p w14:paraId="7875D732">
      <w:pPr>
        <w:spacing w:line="440" w:lineRule="exact"/>
        <w:ind w:firstLine="482" w:firstLineChars="200"/>
        <w:rPr>
          <w:rFonts w:ascii="宋体" w:hAnsi="宋体" w:cs="宋体"/>
          <w:b/>
          <w:color w:val="auto"/>
          <w:sz w:val="24"/>
          <w:highlight w:val="none"/>
        </w:rPr>
      </w:pPr>
    </w:p>
    <w:p w14:paraId="7C801165">
      <w:pPr>
        <w:spacing w:line="440" w:lineRule="exact"/>
        <w:ind w:firstLine="482" w:firstLineChars="200"/>
        <w:rPr>
          <w:rFonts w:ascii="宋体" w:hAnsi="宋体" w:cs="宋体"/>
          <w:b/>
          <w:color w:val="auto"/>
          <w:sz w:val="24"/>
          <w:highlight w:val="none"/>
        </w:rPr>
      </w:pPr>
    </w:p>
    <w:p w14:paraId="180C2D4A">
      <w:pPr>
        <w:spacing w:line="440" w:lineRule="exact"/>
        <w:ind w:firstLine="482" w:firstLineChars="200"/>
        <w:rPr>
          <w:rFonts w:ascii="宋体" w:hAnsi="宋体" w:cs="宋体"/>
          <w:b/>
          <w:color w:val="auto"/>
          <w:sz w:val="24"/>
          <w:highlight w:val="none"/>
        </w:rPr>
      </w:pPr>
    </w:p>
    <w:p w14:paraId="30C860AD">
      <w:pPr>
        <w:spacing w:line="440" w:lineRule="exact"/>
        <w:ind w:firstLine="482" w:firstLineChars="200"/>
        <w:rPr>
          <w:rFonts w:ascii="宋体" w:hAnsi="宋体" w:cs="宋体"/>
          <w:b/>
          <w:color w:val="auto"/>
          <w:sz w:val="24"/>
          <w:highlight w:val="none"/>
        </w:rPr>
      </w:pPr>
    </w:p>
    <w:p w14:paraId="7FC3DB7B">
      <w:pPr>
        <w:spacing w:line="440" w:lineRule="exact"/>
        <w:ind w:firstLine="482" w:firstLineChars="200"/>
        <w:rPr>
          <w:rFonts w:ascii="宋体" w:hAnsi="宋体" w:cs="宋体"/>
          <w:b/>
          <w:color w:val="auto"/>
          <w:sz w:val="24"/>
          <w:highlight w:val="none"/>
        </w:rPr>
      </w:pPr>
    </w:p>
    <w:p w14:paraId="6CF66279">
      <w:pPr>
        <w:spacing w:line="440" w:lineRule="exact"/>
        <w:ind w:firstLine="482" w:firstLineChars="200"/>
        <w:rPr>
          <w:rFonts w:ascii="宋体" w:hAnsi="宋体" w:cs="宋体"/>
          <w:b/>
          <w:color w:val="auto"/>
          <w:sz w:val="24"/>
          <w:highlight w:val="none"/>
        </w:rPr>
      </w:pPr>
    </w:p>
    <w:p w14:paraId="0696A6CC">
      <w:pPr>
        <w:pStyle w:val="4"/>
        <w:spacing w:line="440" w:lineRule="exact"/>
        <w:jc w:val="center"/>
        <w:rPr>
          <w:rFonts w:ascii="宋体" w:hAnsi="宋体" w:cs="宋体"/>
          <w:color w:val="auto"/>
          <w:sz w:val="32"/>
          <w:szCs w:val="32"/>
          <w:highlight w:val="none"/>
        </w:rPr>
      </w:pPr>
      <w:bookmarkStart w:id="28" w:name="_Toc88747294"/>
      <w:r>
        <w:rPr>
          <w:rFonts w:hint="eastAsia" w:ascii="宋体" w:hAnsi="宋体" w:cs="宋体"/>
          <w:color w:val="auto"/>
          <w:sz w:val="32"/>
          <w:szCs w:val="32"/>
          <w:highlight w:val="none"/>
        </w:rPr>
        <w:t>第四章 响应文件格式</w:t>
      </w:r>
      <w:bookmarkEnd w:id="28"/>
    </w:p>
    <w:p w14:paraId="0ECCD9EF">
      <w:pPr>
        <w:spacing w:line="440" w:lineRule="exact"/>
        <w:jc w:val="center"/>
        <w:rPr>
          <w:rFonts w:ascii="宋体" w:hAnsi="宋体" w:cs="宋体"/>
          <w:b/>
          <w:color w:val="auto"/>
          <w:sz w:val="32"/>
          <w:szCs w:val="32"/>
          <w:highlight w:val="none"/>
        </w:rPr>
      </w:pPr>
    </w:p>
    <w:p w14:paraId="3A1EEE5D">
      <w:pPr>
        <w:spacing w:line="440" w:lineRule="exact"/>
        <w:jc w:val="center"/>
        <w:rPr>
          <w:rFonts w:ascii="宋体" w:hAnsi="宋体" w:cs="宋体"/>
          <w:b/>
          <w:color w:val="auto"/>
          <w:sz w:val="32"/>
          <w:szCs w:val="32"/>
          <w:highlight w:val="none"/>
        </w:rPr>
      </w:pPr>
    </w:p>
    <w:p w14:paraId="76FE8D4D">
      <w:pPr>
        <w:spacing w:line="440" w:lineRule="exact"/>
        <w:jc w:val="center"/>
        <w:rPr>
          <w:rFonts w:ascii="宋体" w:hAnsi="宋体" w:cs="宋体"/>
          <w:b/>
          <w:color w:val="auto"/>
          <w:sz w:val="32"/>
          <w:szCs w:val="32"/>
          <w:highlight w:val="none"/>
        </w:rPr>
      </w:pPr>
    </w:p>
    <w:p w14:paraId="0DAFD773">
      <w:pPr>
        <w:spacing w:line="440" w:lineRule="exact"/>
        <w:jc w:val="center"/>
        <w:rPr>
          <w:rFonts w:ascii="宋体" w:hAnsi="宋体" w:cs="宋体"/>
          <w:b/>
          <w:color w:val="auto"/>
          <w:sz w:val="32"/>
          <w:szCs w:val="32"/>
          <w:highlight w:val="none"/>
        </w:rPr>
      </w:pPr>
    </w:p>
    <w:p w14:paraId="61C43BEB">
      <w:pPr>
        <w:spacing w:line="440" w:lineRule="exact"/>
        <w:jc w:val="center"/>
        <w:rPr>
          <w:rFonts w:ascii="宋体" w:hAnsi="宋体" w:cs="宋体"/>
          <w:b/>
          <w:color w:val="auto"/>
          <w:sz w:val="32"/>
          <w:szCs w:val="32"/>
          <w:highlight w:val="none"/>
        </w:rPr>
      </w:pPr>
    </w:p>
    <w:p w14:paraId="41E68B5B">
      <w:pPr>
        <w:spacing w:line="440" w:lineRule="exact"/>
        <w:jc w:val="center"/>
        <w:rPr>
          <w:rFonts w:ascii="宋体" w:hAnsi="宋体" w:cs="宋体"/>
          <w:b/>
          <w:color w:val="auto"/>
          <w:sz w:val="32"/>
          <w:szCs w:val="32"/>
          <w:highlight w:val="none"/>
        </w:rPr>
      </w:pPr>
    </w:p>
    <w:p w14:paraId="585AC4CB">
      <w:pPr>
        <w:spacing w:line="440" w:lineRule="exact"/>
        <w:jc w:val="center"/>
        <w:rPr>
          <w:rFonts w:ascii="宋体" w:hAnsi="宋体" w:cs="宋体"/>
          <w:b/>
          <w:color w:val="auto"/>
          <w:sz w:val="32"/>
          <w:szCs w:val="32"/>
          <w:highlight w:val="none"/>
        </w:rPr>
      </w:pPr>
    </w:p>
    <w:p w14:paraId="46E3F8E2">
      <w:pPr>
        <w:spacing w:line="440" w:lineRule="exact"/>
        <w:jc w:val="center"/>
        <w:rPr>
          <w:rFonts w:ascii="宋体" w:hAnsi="宋体" w:cs="宋体"/>
          <w:b/>
          <w:color w:val="auto"/>
          <w:sz w:val="32"/>
          <w:szCs w:val="32"/>
          <w:highlight w:val="none"/>
        </w:rPr>
      </w:pPr>
    </w:p>
    <w:p w14:paraId="07CA046A">
      <w:pPr>
        <w:spacing w:line="440" w:lineRule="exact"/>
        <w:jc w:val="left"/>
        <w:rPr>
          <w:rFonts w:ascii="宋体" w:hAnsi="宋体" w:cs="宋体"/>
          <w:b/>
          <w:bCs/>
          <w:color w:val="auto"/>
          <w:szCs w:val="21"/>
          <w:highlight w:val="none"/>
        </w:rPr>
      </w:pPr>
      <w:r>
        <w:rPr>
          <w:rFonts w:hint="eastAsia" w:ascii="宋体" w:hAnsi="宋体" w:cs="宋体"/>
          <w:b/>
          <w:color w:val="auto"/>
          <w:sz w:val="32"/>
          <w:szCs w:val="32"/>
          <w:highlight w:val="none"/>
        </w:rPr>
        <w:br w:type="page"/>
      </w:r>
      <w:r>
        <w:rPr>
          <w:rFonts w:hint="eastAsia" w:ascii="宋体" w:hAnsi="宋体" w:cs="宋体"/>
          <w:b/>
          <w:bCs/>
          <w:color w:val="auto"/>
          <w:szCs w:val="21"/>
          <w:highlight w:val="none"/>
        </w:rPr>
        <w:t>一、响应文件袋外层包装封面格式</w:t>
      </w:r>
    </w:p>
    <w:p w14:paraId="08D2C322">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1.所有文件（资格证明文件、商务和技术文件、报价文件）的外装封面格式：</w:t>
      </w:r>
    </w:p>
    <w:p w14:paraId="2E2AECAC">
      <w:pPr>
        <w:snapToGrid w:val="0"/>
        <w:spacing w:before="120" w:beforeLines="50" w:after="50" w:line="440" w:lineRule="exact"/>
        <w:jc w:val="center"/>
        <w:rPr>
          <w:rFonts w:ascii="宋体" w:hAnsi="宋体" w:cs="宋体"/>
          <w:bCs/>
          <w:color w:val="auto"/>
          <w:szCs w:val="21"/>
          <w:highlight w:val="none"/>
        </w:rPr>
      </w:pPr>
    </w:p>
    <w:p w14:paraId="38787340">
      <w:pPr>
        <w:snapToGrid w:val="0"/>
        <w:spacing w:before="120" w:beforeLines="50" w:after="50" w:line="440" w:lineRule="exact"/>
        <w:jc w:val="center"/>
        <w:rPr>
          <w:rFonts w:ascii="宋体" w:hAnsi="宋体" w:cs="宋体"/>
          <w:bCs/>
          <w:color w:val="auto"/>
          <w:szCs w:val="21"/>
          <w:highlight w:val="none"/>
        </w:rPr>
      </w:pPr>
    </w:p>
    <w:p w14:paraId="6946A1F7">
      <w:pPr>
        <w:snapToGrid w:val="0"/>
        <w:spacing w:before="120" w:beforeLines="50" w:after="50" w:line="440" w:lineRule="exact"/>
        <w:jc w:val="center"/>
        <w:rPr>
          <w:rFonts w:ascii="宋体" w:hAnsi="宋体" w:cs="宋体"/>
          <w:bCs/>
          <w:color w:val="auto"/>
          <w:szCs w:val="21"/>
          <w:highlight w:val="none"/>
        </w:rPr>
      </w:pPr>
    </w:p>
    <w:p w14:paraId="35480BD1">
      <w:pPr>
        <w:snapToGrid w:val="0"/>
        <w:spacing w:before="120" w:beforeLines="50" w:after="50" w:line="440" w:lineRule="exact"/>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响  应 文 件 袋</w:t>
      </w:r>
    </w:p>
    <w:p w14:paraId="196C3305">
      <w:pPr>
        <w:snapToGrid w:val="0"/>
        <w:spacing w:before="120" w:beforeLines="50" w:after="50" w:line="440" w:lineRule="exact"/>
        <w:jc w:val="center"/>
        <w:rPr>
          <w:rFonts w:ascii="宋体" w:hAnsi="宋体" w:cs="宋体"/>
          <w:bCs/>
          <w:color w:val="auto"/>
          <w:sz w:val="52"/>
          <w:szCs w:val="52"/>
          <w:highlight w:val="none"/>
        </w:rPr>
      </w:pPr>
    </w:p>
    <w:p w14:paraId="4AED87C0">
      <w:pPr>
        <w:snapToGrid w:val="0"/>
        <w:spacing w:before="120" w:beforeLines="50" w:after="50" w:line="440" w:lineRule="exact"/>
        <w:jc w:val="center"/>
        <w:rPr>
          <w:rFonts w:ascii="宋体" w:hAnsi="宋体" w:cs="宋体"/>
          <w:bCs/>
          <w:color w:val="auto"/>
          <w:sz w:val="52"/>
          <w:szCs w:val="52"/>
          <w:highlight w:val="none"/>
        </w:rPr>
      </w:pPr>
    </w:p>
    <w:p w14:paraId="7A23F8F3">
      <w:pPr>
        <w:snapToGrid w:val="0"/>
        <w:spacing w:before="120" w:beforeLines="50" w:after="50" w:line="440" w:lineRule="exact"/>
        <w:rPr>
          <w:rFonts w:ascii="宋体" w:hAnsi="宋体" w:cs="宋体"/>
          <w:bCs/>
          <w:color w:val="auto"/>
          <w:szCs w:val="21"/>
          <w:highlight w:val="none"/>
        </w:rPr>
      </w:pPr>
    </w:p>
    <w:p w14:paraId="06CD1F47">
      <w:pPr>
        <w:snapToGrid w:val="0"/>
        <w:spacing w:before="120" w:beforeLines="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036AEB88">
      <w:pPr>
        <w:snapToGrid w:val="0"/>
        <w:spacing w:before="120" w:beforeLines="50" w:after="50" w:line="440" w:lineRule="exact"/>
        <w:ind w:firstLine="450" w:firstLineChars="150"/>
        <w:rPr>
          <w:rFonts w:ascii="宋体" w:hAnsi="宋体" w:cs="宋体"/>
          <w:bCs/>
          <w:color w:val="auto"/>
          <w:sz w:val="30"/>
          <w:szCs w:val="30"/>
          <w:highlight w:val="none"/>
        </w:rPr>
      </w:pPr>
    </w:p>
    <w:p w14:paraId="5807E614">
      <w:pPr>
        <w:snapToGrid w:val="0"/>
        <w:spacing w:before="120" w:beforeLines="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项目编号： </w:t>
      </w:r>
    </w:p>
    <w:p w14:paraId="4467AE44">
      <w:pPr>
        <w:snapToGrid w:val="0"/>
        <w:spacing w:before="120" w:beforeLines="50" w:after="50" w:line="440" w:lineRule="exact"/>
        <w:ind w:firstLine="450" w:firstLineChars="150"/>
        <w:rPr>
          <w:rFonts w:ascii="宋体" w:hAnsi="宋体" w:cs="宋体"/>
          <w:bCs/>
          <w:color w:val="auto"/>
          <w:sz w:val="30"/>
          <w:szCs w:val="30"/>
          <w:highlight w:val="none"/>
        </w:rPr>
      </w:pPr>
    </w:p>
    <w:p w14:paraId="69847988">
      <w:pPr>
        <w:pStyle w:val="10"/>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09544282">
      <w:pPr>
        <w:pStyle w:val="10"/>
        <w:snapToGrid w:val="0"/>
        <w:spacing w:before="50" w:after="50" w:line="440" w:lineRule="exact"/>
        <w:ind w:firstLine="450" w:firstLineChars="150"/>
        <w:rPr>
          <w:rFonts w:ascii="宋体" w:hAnsi="宋体" w:cs="宋体"/>
          <w:bCs/>
          <w:color w:val="auto"/>
          <w:sz w:val="30"/>
          <w:szCs w:val="30"/>
          <w:highlight w:val="none"/>
        </w:rPr>
      </w:pPr>
    </w:p>
    <w:p w14:paraId="461C67B1">
      <w:pPr>
        <w:pStyle w:val="10"/>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30"/>
          <w:szCs w:val="30"/>
          <w:highlight w:val="none"/>
          <w:u w:val="single"/>
        </w:rPr>
        <w:t xml:space="preserve">             全称           </w:t>
      </w:r>
      <w:r>
        <w:rPr>
          <w:rFonts w:hint="eastAsia" w:ascii="宋体" w:hAnsi="宋体" w:cs="宋体"/>
          <w:bCs/>
          <w:color w:val="auto"/>
          <w:sz w:val="30"/>
          <w:szCs w:val="30"/>
          <w:highlight w:val="none"/>
        </w:rPr>
        <w:t>（加盖单位电子公章）</w:t>
      </w:r>
    </w:p>
    <w:p w14:paraId="1B4E5E9E">
      <w:pPr>
        <w:pStyle w:val="10"/>
        <w:snapToGrid w:val="0"/>
        <w:spacing w:before="50" w:after="50" w:line="440" w:lineRule="exact"/>
        <w:ind w:firstLine="450" w:firstLineChars="150"/>
        <w:rPr>
          <w:rFonts w:ascii="宋体" w:hAnsi="宋体" w:cs="宋体"/>
          <w:bCs/>
          <w:color w:val="auto"/>
          <w:sz w:val="30"/>
          <w:szCs w:val="30"/>
          <w:highlight w:val="none"/>
        </w:rPr>
      </w:pPr>
    </w:p>
    <w:p w14:paraId="37726E70">
      <w:pPr>
        <w:pStyle w:val="10"/>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3520F577">
      <w:pPr>
        <w:pStyle w:val="10"/>
        <w:snapToGrid w:val="0"/>
        <w:spacing w:before="50" w:after="50" w:line="440" w:lineRule="exact"/>
        <w:ind w:firstLine="450" w:firstLineChars="150"/>
        <w:rPr>
          <w:rFonts w:ascii="宋体" w:hAnsi="宋体" w:cs="宋体"/>
          <w:bCs/>
          <w:color w:val="auto"/>
          <w:sz w:val="30"/>
          <w:szCs w:val="30"/>
          <w:highlight w:val="none"/>
        </w:rPr>
      </w:pPr>
    </w:p>
    <w:p w14:paraId="6E71D7A3">
      <w:pPr>
        <w:pStyle w:val="10"/>
        <w:snapToGrid w:val="0"/>
        <w:spacing w:before="50" w:after="50" w:line="440" w:lineRule="exact"/>
        <w:ind w:firstLine="450" w:firstLineChars="150"/>
        <w:rPr>
          <w:rFonts w:ascii="宋体" w:hAnsi="宋体" w:cs="宋体"/>
          <w:bCs/>
          <w:color w:val="auto"/>
          <w:sz w:val="30"/>
          <w:szCs w:val="30"/>
          <w:highlight w:val="none"/>
        </w:rPr>
      </w:pPr>
    </w:p>
    <w:p w14:paraId="01B737C2">
      <w:pPr>
        <w:pStyle w:val="10"/>
        <w:snapToGrid w:val="0"/>
        <w:spacing w:before="50" w:after="50" w:line="440" w:lineRule="exact"/>
        <w:ind w:firstLine="360" w:firstLineChars="150"/>
        <w:rPr>
          <w:rFonts w:ascii="宋体" w:hAnsi="宋体" w:cs="宋体"/>
          <w:bCs/>
          <w:color w:val="auto"/>
          <w:sz w:val="30"/>
          <w:szCs w:val="30"/>
          <w:highlight w:val="none"/>
        </w:rPr>
      </w:pPr>
      <w:r>
        <w:rPr>
          <w:rFonts w:hint="eastAsia" w:ascii="宋体" w:hAnsi="宋体" w:cs="宋体"/>
          <w:bCs/>
          <w:color w:val="auto"/>
          <w:sz w:val="24"/>
          <w:highlight w:val="none"/>
        </w:rPr>
        <w:t>在首次响应文件提交截止时间之前不得解密</w:t>
      </w:r>
    </w:p>
    <w:p w14:paraId="7AC1E6CA">
      <w:pPr>
        <w:pStyle w:val="10"/>
        <w:snapToGrid w:val="0"/>
        <w:spacing w:before="50" w:after="50" w:line="440" w:lineRule="exact"/>
        <w:ind w:firstLine="450" w:firstLineChars="150"/>
        <w:rPr>
          <w:rFonts w:ascii="宋体" w:hAnsi="宋体" w:cs="宋体"/>
          <w:bCs/>
          <w:color w:val="auto"/>
          <w:sz w:val="30"/>
          <w:szCs w:val="30"/>
          <w:highlight w:val="none"/>
        </w:rPr>
      </w:pPr>
    </w:p>
    <w:p w14:paraId="74AC231B">
      <w:pPr>
        <w:pStyle w:val="10"/>
        <w:snapToGrid w:val="0"/>
        <w:spacing w:before="50" w:after="50" w:line="440" w:lineRule="exact"/>
        <w:ind w:firstLine="0"/>
        <w:rPr>
          <w:rFonts w:ascii="宋体" w:hAnsi="宋体" w:cs="宋体"/>
          <w:bCs/>
          <w:color w:val="auto"/>
          <w:sz w:val="30"/>
          <w:szCs w:val="30"/>
          <w:highlight w:val="none"/>
        </w:rPr>
      </w:pPr>
    </w:p>
    <w:p w14:paraId="46DC006A">
      <w:pPr>
        <w:pStyle w:val="10"/>
        <w:snapToGrid w:val="0"/>
        <w:spacing w:before="50" w:after="50" w:line="440" w:lineRule="exact"/>
        <w:ind w:firstLine="450" w:firstLineChars="150"/>
        <w:jc w:val="center"/>
        <w:rPr>
          <w:rFonts w:ascii="宋体" w:hAnsi="宋体" w:cs="宋体"/>
          <w:color w:val="auto"/>
          <w:szCs w:val="21"/>
          <w:highlight w:val="none"/>
        </w:rPr>
      </w:pPr>
      <w:r>
        <w:rPr>
          <w:rFonts w:hint="eastAsia" w:ascii="宋体" w:hAnsi="宋体" w:cs="宋体"/>
          <w:bCs/>
          <w:color w:val="auto"/>
          <w:sz w:val="30"/>
          <w:szCs w:val="30"/>
          <w:highlight w:val="none"/>
        </w:rPr>
        <w:t xml:space="preserve">                          年    月    日</w:t>
      </w:r>
    </w:p>
    <w:p w14:paraId="4D0C4A03">
      <w:pPr>
        <w:snapToGrid w:val="0"/>
        <w:spacing w:before="120" w:beforeLines="50" w:after="50" w:line="440" w:lineRule="exact"/>
        <w:outlineLvl w:val="1"/>
        <w:rPr>
          <w:rFonts w:ascii="宋体" w:hAnsi="宋体" w:cs="宋体"/>
          <w:b/>
          <w:bCs/>
          <w:color w:val="auto"/>
          <w:szCs w:val="21"/>
          <w:highlight w:val="none"/>
        </w:rPr>
      </w:pPr>
      <w:bookmarkStart w:id="29" w:name="_Toc254970698"/>
      <w:bookmarkStart w:id="30" w:name="_Toc254970557"/>
      <w:r>
        <w:rPr>
          <w:rFonts w:hint="eastAsia" w:ascii="宋体" w:hAnsi="宋体" w:cs="宋体"/>
          <w:b/>
          <w:bCs/>
          <w:color w:val="auto"/>
          <w:szCs w:val="21"/>
          <w:highlight w:val="none"/>
        </w:rPr>
        <w:br w:type="page"/>
      </w:r>
      <w:bookmarkEnd w:id="29"/>
      <w:bookmarkEnd w:id="30"/>
      <w:r>
        <w:rPr>
          <w:rFonts w:hint="eastAsia" w:ascii="宋体" w:hAnsi="宋体" w:cs="宋体"/>
          <w:b/>
          <w:bCs/>
          <w:color w:val="auto"/>
          <w:szCs w:val="21"/>
          <w:highlight w:val="none"/>
        </w:rPr>
        <w:t>二、响应文件格式</w:t>
      </w:r>
    </w:p>
    <w:p w14:paraId="63BB113F">
      <w:pPr>
        <w:snapToGrid w:val="0"/>
        <w:spacing w:before="120" w:beforeLines="50" w:after="50" w:line="440" w:lineRule="exact"/>
        <w:rPr>
          <w:rFonts w:ascii="宋体" w:hAnsi="宋体" w:cs="宋体"/>
          <w:b/>
          <w:bCs/>
          <w:color w:val="auto"/>
          <w:szCs w:val="21"/>
          <w:highlight w:val="none"/>
        </w:rPr>
      </w:pPr>
    </w:p>
    <w:p w14:paraId="498C3463">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1、资格证明文件格式：</w:t>
      </w:r>
    </w:p>
    <w:p w14:paraId="1EE31D17">
      <w:pPr>
        <w:spacing w:line="440" w:lineRule="exact"/>
        <w:jc w:val="center"/>
        <w:rPr>
          <w:rFonts w:ascii="宋体" w:hAnsi="宋体" w:cs="宋体"/>
          <w:b/>
          <w:color w:val="auto"/>
          <w:sz w:val="32"/>
          <w:szCs w:val="32"/>
          <w:highlight w:val="none"/>
        </w:rPr>
      </w:pPr>
    </w:p>
    <w:p w14:paraId="53BDEBF6">
      <w:pPr>
        <w:spacing w:line="440" w:lineRule="exact"/>
        <w:jc w:val="center"/>
        <w:rPr>
          <w:rFonts w:ascii="宋体" w:hAnsi="宋体" w:cs="宋体"/>
          <w:b/>
          <w:color w:val="auto"/>
          <w:sz w:val="32"/>
          <w:szCs w:val="32"/>
          <w:highlight w:val="none"/>
        </w:rPr>
      </w:pPr>
    </w:p>
    <w:p w14:paraId="7E00EC60">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57CBFC09">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3039C811">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6D504884">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2331F876">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15514417">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（资格证明文件）</w:t>
      </w:r>
    </w:p>
    <w:p w14:paraId="0620753B">
      <w:pPr>
        <w:snapToGrid w:val="0"/>
        <w:spacing w:before="120" w:beforeLines="50" w:after="50" w:line="440" w:lineRule="exact"/>
        <w:rPr>
          <w:rFonts w:ascii="宋体" w:hAnsi="宋体" w:cs="宋体"/>
          <w:bCs/>
          <w:color w:val="auto"/>
          <w:szCs w:val="21"/>
          <w:highlight w:val="none"/>
        </w:rPr>
      </w:pPr>
    </w:p>
    <w:p w14:paraId="2B87AD75">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1633FD31">
      <w:pPr>
        <w:snapToGrid w:val="0"/>
        <w:spacing w:before="120" w:beforeLines="50" w:after="50" w:line="440" w:lineRule="exact"/>
        <w:ind w:firstLine="675" w:firstLineChars="225"/>
        <w:rPr>
          <w:rFonts w:ascii="宋体" w:hAnsi="宋体" w:cs="宋体"/>
          <w:bCs/>
          <w:color w:val="auto"/>
          <w:sz w:val="30"/>
          <w:szCs w:val="30"/>
          <w:highlight w:val="none"/>
        </w:rPr>
      </w:pPr>
    </w:p>
    <w:p w14:paraId="4FCAC083">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51E602DB">
      <w:pPr>
        <w:snapToGrid w:val="0"/>
        <w:spacing w:before="120" w:beforeLines="50" w:after="50" w:line="440" w:lineRule="exact"/>
        <w:ind w:firstLine="675" w:firstLineChars="225"/>
        <w:rPr>
          <w:rFonts w:ascii="宋体" w:hAnsi="宋体" w:cs="宋体"/>
          <w:bCs/>
          <w:color w:val="auto"/>
          <w:sz w:val="30"/>
          <w:szCs w:val="30"/>
          <w:highlight w:val="none"/>
        </w:rPr>
      </w:pPr>
    </w:p>
    <w:p w14:paraId="5873E6EF">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19977106">
      <w:pPr>
        <w:snapToGrid w:val="0"/>
        <w:spacing w:before="120" w:beforeLines="50" w:after="50" w:line="440" w:lineRule="exact"/>
        <w:ind w:firstLine="675" w:firstLineChars="225"/>
        <w:rPr>
          <w:rFonts w:ascii="宋体" w:hAnsi="宋体" w:cs="宋体"/>
          <w:bCs/>
          <w:color w:val="auto"/>
          <w:sz w:val="30"/>
          <w:szCs w:val="30"/>
          <w:highlight w:val="none"/>
        </w:rPr>
      </w:pPr>
    </w:p>
    <w:p w14:paraId="596EB7A1">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14:paraId="5FE98F84">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14:paraId="67EAEC0F">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2DE538E2">
      <w:pPr>
        <w:snapToGrid w:val="0"/>
        <w:spacing w:before="120" w:beforeLines="50" w:after="50" w:line="440" w:lineRule="exact"/>
        <w:ind w:firstLine="10"/>
        <w:jc w:val="center"/>
        <w:rPr>
          <w:rFonts w:ascii="宋体" w:hAnsi="宋体" w:cs="宋体"/>
          <w:color w:val="auto"/>
          <w:sz w:val="30"/>
          <w:szCs w:val="30"/>
          <w:highlight w:val="none"/>
        </w:rPr>
      </w:pPr>
    </w:p>
    <w:p w14:paraId="3C5A7D86">
      <w:pPr>
        <w:snapToGrid w:val="0"/>
        <w:spacing w:before="120" w:beforeLines="50" w:after="50" w:line="440" w:lineRule="exact"/>
        <w:ind w:firstLine="10"/>
        <w:jc w:val="center"/>
        <w:rPr>
          <w:rFonts w:ascii="宋体" w:hAnsi="宋体" w:cs="宋体"/>
          <w:color w:val="auto"/>
          <w:sz w:val="30"/>
          <w:szCs w:val="30"/>
          <w:highlight w:val="none"/>
        </w:rPr>
      </w:pPr>
    </w:p>
    <w:p w14:paraId="3965B46B">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14:paraId="627C947B">
      <w:pPr>
        <w:snapToGrid w:val="0"/>
        <w:spacing w:before="120" w:beforeLines="50" w:after="50" w:line="440" w:lineRule="exact"/>
        <w:jc w:val="center"/>
        <w:rPr>
          <w:rFonts w:ascii="宋体" w:hAnsi="宋体" w:cs="宋体"/>
          <w:b/>
          <w:color w:val="auto"/>
          <w:szCs w:val="21"/>
          <w:highlight w:val="none"/>
        </w:rPr>
      </w:pPr>
      <w:r>
        <w:rPr>
          <w:rFonts w:hint="eastAsia" w:ascii="宋体" w:hAnsi="宋体" w:cs="宋体"/>
          <w:b/>
          <w:color w:val="auto"/>
          <w:szCs w:val="21"/>
          <w:highlight w:val="none"/>
        </w:rPr>
        <w:br w:type="page"/>
      </w:r>
    </w:p>
    <w:p w14:paraId="30921FF3">
      <w:pPr>
        <w:snapToGrid w:val="0"/>
        <w:spacing w:before="120" w:beforeLines="50" w:after="50" w:line="440" w:lineRule="exact"/>
        <w:jc w:val="center"/>
        <w:rPr>
          <w:rFonts w:ascii="宋体" w:hAnsi="宋体" w:cs="宋体"/>
          <w:b/>
          <w:color w:val="auto"/>
          <w:szCs w:val="21"/>
          <w:highlight w:val="none"/>
        </w:rPr>
      </w:pPr>
    </w:p>
    <w:p w14:paraId="344DBEA5">
      <w:pPr>
        <w:snapToGrid w:val="0"/>
        <w:spacing w:before="120" w:beforeLines="50" w:after="50" w:line="44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14:paraId="49F3DEF6">
      <w:pPr>
        <w:snapToGrid w:val="0"/>
        <w:spacing w:before="120" w:beforeLines="50" w:after="50" w:line="440" w:lineRule="exact"/>
        <w:jc w:val="center"/>
        <w:rPr>
          <w:rFonts w:ascii="宋体" w:hAnsi="宋体" w:cs="宋体"/>
          <w:color w:val="auto"/>
          <w:sz w:val="28"/>
          <w:szCs w:val="28"/>
          <w:highlight w:val="none"/>
        </w:rPr>
      </w:pPr>
    </w:p>
    <w:p w14:paraId="4FB413B5">
      <w:pPr>
        <w:tabs>
          <w:tab w:val="left" w:pos="1418"/>
        </w:tabs>
        <w:snapToGrid w:val="0"/>
        <w:spacing w:before="50" w:after="50" w:line="440" w:lineRule="exact"/>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供应商根据磋商文件要求自行编制</w:t>
      </w:r>
      <w:r>
        <w:rPr>
          <w:rFonts w:hint="eastAsia" w:ascii="宋体" w:hAnsi="宋体" w:cs="宋体"/>
          <w:bCs/>
          <w:color w:val="auto"/>
          <w:szCs w:val="21"/>
          <w:highlight w:val="none"/>
          <w:lang w:eastAsia="zh-CN"/>
        </w:rPr>
        <w:t>）</w:t>
      </w:r>
    </w:p>
    <w:p w14:paraId="5179F3EB">
      <w:pPr>
        <w:widowControl/>
        <w:spacing w:line="440" w:lineRule="exact"/>
        <w:rPr>
          <w:rFonts w:ascii="宋体" w:hAnsi="宋体" w:cs="宋体"/>
          <w:b/>
          <w:bCs/>
          <w:color w:val="auto"/>
          <w:sz w:val="24"/>
          <w:highlight w:val="none"/>
        </w:rPr>
      </w:pPr>
    </w:p>
    <w:p w14:paraId="4F765CEA">
      <w:pPr>
        <w:tabs>
          <w:tab w:val="left" w:pos="2625"/>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一、磋商声明书格式</w:t>
      </w:r>
    </w:p>
    <w:p w14:paraId="41E525CC">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磋商声明书</w:t>
      </w:r>
    </w:p>
    <w:p w14:paraId="6E7E4A17">
      <w:pPr>
        <w:spacing w:line="440" w:lineRule="exact"/>
        <w:jc w:val="center"/>
        <w:rPr>
          <w:rFonts w:ascii="宋体" w:hAnsi="宋体" w:cs="宋体"/>
          <w:b/>
          <w:color w:val="auto"/>
          <w:sz w:val="32"/>
          <w:szCs w:val="32"/>
          <w:highlight w:val="none"/>
        </w:rPr>
      </w:pPr>
    </w:p>
    <w:p w14:paraId="5FC18B73">
      <w:pPr>
        <w:pStyle w:val="22"/>
        <w:spacing w:line="440" w:lineRule="exact"/>
        <w:rPr>
          <w:rFonts w:hAnsi="宋体" w:cs="宋体"/>
          <w:color w:val="auto"/>
          <w:sz w:val="21"/>
          <w:highlight w:val="none"/>
        </w:rPr>
      </w:pPr>
      <w:r>
        <w:rPr>
          <w:rFonts w:hint="eastAsia" w:hAnsi="宋体" w:cs="宋体"/>
          <w:color w:val="auto"/>
          <w:sz w:val="21"/>
          <w:highlight w:val="none"/>
        </w:rPr>
        <w:t>致：（采购人单位名称）：</w:t>
      </w:r>
    </w:p>
    <w:p w14:paraId="1F908EE6">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4445BC0D">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77C7314F">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84E3DA5">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1842146F">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79D37744">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5494D785">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53FFA47C">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（4）响应磋商文件规定的响应文件有效期。</w:t>
      </w:r>
    </w:p>
    <w:p w14:paraId="36C6183D">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12D18681">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1EED2CE0">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06807AA9">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375230CD">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3A18E41B">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960710F">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7532D71D">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、政府采购严重违法失信行为记录名单，完全符合《中华人民共和国政府采购法》第二十二条规定的供应商资格条件，我方对此声明负全部法律责任。</w:t>
      </w:r>
    </w:p>
    <w:p w14:paraId="0542A0C6">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993077B">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14:paraId="7C9A5361">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□我方本次响应文件涉及商业秘密的内容有：</w:t>
      </w:r>
    </w:p>
    <w:p w14:paraId="646F9F45">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0B86B4A6">
      <w:pPr>
        <w:pStyle w:val="22"/>
        <w:spacing w:line="440" w:lineRule="exact"/>
        <w:jc w:val="center"/>
        <w:rPr>
          <w:rFonts w:hAnsi="宋体" w:cs="宋体"/>
          <w:color w:val="auto"/>
          <w:sz w:val="21"/>
          <w:highlight w:val="none"/>
        </w:rPr>
      </w:pPr>
      <w:r>
        <w:rPr>
          <w:rFonts w:hint="eastAsia" w:hAnsi="宋体" w:cs="宋体"/>
          <w:color w:val="auto"/>
          <w:sz w:val="21"/>
          <w:highlight w:val="none"/>
        </w:rPr>
        <w:t>供应商名称（电子签章）：</w:t>
      </w:r>
    </w:p>
    <w:p w14:paraId="066E8995">
      <w:pPr>
        <w:snapToGrid w:val="0"/>
        <w:spacing w:before="50" w:after="50" w:line="440" w:lineRule="exact"/>
        <w:ind w:left="-6" w:leftChars="-3" w:right="-817" w:rightChars="-389" w:firstLine="6720" w:firstLineChars="3200"/>
        <w:rPr>
          <w:rFonts w:ascii="宋体" w:hAnsi="宋体" w:cs="宋体"/>
          <w:color w:val="auto"/>
          <w:szCs w:val="21"/>
          <w:highlight w:val="none"/>
        </w:rPr>
      </w:pPr>
      <w:r>
        <w:rPr>
          <w:rFonts w:hint="eastAsia" w:ascii="宋体" w:hAnsi="宋体" w:cs="宋体"/>
          <w:color w:val="auto"/>
          <w:szCs w:val="21"/>
          <w:highlight w:val="none"/>
        </w:rPr>
        <w:t>日期：    年   月   日</w:t>
      </w:r>
    </w:p>
    <w:p w14:paraId="4030B705">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说明：</w:t>
      </w:r>
    </w:p>
    <w:p w14:paraId="7591964D">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1.供应商可以自行通过“信用中国”（www.creditchina.gov.cn）和“中国政府采购网”网站（www.ccgp.gov.cn）查询供应商相关主体的信用记录。查询时间为本项目投标截止时间前10日至投标截止时间中任意一天。在资格审查阶段经采购人或采购代理机构查询，对列入失信被执行人、</w:t>
      </w:r>
      <w:r>
        <w:rPr>
          <w:rFonts w:hint="eastAsia" w:ascii="宋体" w:hAnsi="宋体" w:cs="宋体"/>
          <w:color w:val="auto"/>
          <w:sz w:val="18"/>
          <w:szCs w:val="18"/>
          <w:highlight w:val="none"/>
          <w:lang w:eastAsia="zh-CN"/>
        </w:rPr>
        <w:t>重大税收违法失信主体</w:t>
      </w:r>
      <w:r>
        <w:rPr>
          <w:rFonts w:hint="eastAsia" w:ascii="宋体" w:hAnsi="宋体" w:cs="宋体"/>
          <w:color w:val="auto"/>
          <w:sz w:val="18"/>
          <w:szCs w:val="18"/>
          <w:highlight w:val="none"/>
        </w:rPr>
        <w:t>、政府采购严重违法失信行为记录名单的供应商，将被拒绝参与本项目政府采购活动。</w:t>
      </w:r>
    </w:p>
    <w:p w14:paraId="0351F080">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07D5CA">
      <w:pPr>
        <w:rPr>
          <w:rFonts w:ascii="宋体" w:hAnsi="宋体" w:cs="宋体"/>
          <w:b/>
          <w:bCs/>
          <w:color w:val="auto"/>
          <w:sz w:val="24"/>
          <w:highlight w:val="none"/>
        </w:rPr>
      </w:pPr>
      <w:r>
        <w:rPr>
          <w:rFonts w:hint="eastAsia" w:ascii="宋体" w:hAnsi="宋体" w:cs="宋体"/>
          <w:b/>
          <w:bCs/>
          <w:color w:val="auto"/>
          <w:sz w:val="24"/>
          <w:highlight w:val="none"/>
        </w:rPr>
        <w:br w:type="page"/>
      </w:r>
    </w:p>
    <w:p w14:paraId="7E606232">
      <w:pPr>
        <w:snapToGrid w:val="0"/>
        <w:spacing w:before="120" w:beforeLines="50" w:after="50" w:line="440" w:lineRule="exact"/>
        <w:rPr>
          <w:rFonts w:ascii="宋体" w:hAnsi="宋体" w:cs="宋体"/>
          <w:b/>
          <w:bCs/>
          <w:color w:val="auto"/>
          <w:sz w:val="24"/>
          <w:highlight w:val="none"/>
        </w:rPr>
      </w:pPr>
      <w:r>
        <w:rPr>
          <w:rFonts w:hint="eastAsia" w:ascii="宋体" w:hAnsi="宋体" w:cs="宋体"/>
          <w:b/>
          <w:color w:val="auto"/>
          <w:highlight w:val="none"/>
          <w:lang w:val="en-US" w:eastAsia="zh-CN"/>
        </w:rPr>
        <w:t>二</w:t>
      </w:r>
      <w:r>
        <w:rPr>
          <w:rFonts w:hint="eastAsia" w:ascii="宋体" w:hAnsi="宋体" w:cs="宋体"/>
          <w:b/>
          <w:color w:val="auto"/>
          <w:highlight w:val="none"/>
        </w:rPr>
        <w:t>、供应商直接控股、管理关系信息表格式</w:t>
      </w:r>
    </w:p>
    <w:p w14:paraId="30F7912E">
      <w:pPr>
        <w:snapToGrid w:val="0"/>
        <w:spacing w:before="50" w:after="120" w:afterLines="50" w:line="440" w:lineRule="exact"/>
        <w:jc w:val="center"/>
        <w:rPr>
          <w:rFonts w:ascii="宋体" w:hAnsi="宋体" w:cs="宋体"/>
          <w:b/>
          <w:color w:val="auto"/>
          <w:sz w:val="24"/>
          <w:highlight w:val="none"/>
        </w:rPr>
      </w:pPr>
      <w:r>
        <w:rPr>
          <w:rFonts w:hint="eastAsia" w:ascii="宋体" w:hAnsi="宋体" w:cs="宋体"/>
          <w:b/>
          <w:color w:val="auto"/>
          <w:sz w:val="24"/>
          <w:highlight w:val="none"/>
        </w:rPr>
        <w:t>供应商直接控股股东信息表</w:t>
      </w:r>
    </w:p>
    <w:tbl>
      <w:tblPr>
        <w:tblStyle w:val="41"/>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1387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521A3780">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69" w:type="dxa"/>
            <w:tcMar>
              <w:top w:w="120" w:type="dxa"/>
              <w:left w:w="120" w:type="dxa"/>
              <w:bottom w:w="120" w:type="dxa"/>
              <w:right w:w="120" w:type="dxa"/>
            </w:tcMar>
            <w:vAlign w:val="center"/>
          </w:tcPr>
          <w:p w14:paraId="255C26C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Mar>
              <w:top w:w="120" w:type="dxa"/>
              <w:left w:w="120" w:type="dxa"/>
              <w:bottom w:w="120" w:type="dxa"/>
              <w:right w:w="120" w:type="dxa"/>
            </w:tcMar>
            <w:vAlign w:val="center"/>
          </w:tcPr>
          <w:p w14:paraId="75F2218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3722" w:type="dxa"/>
            <w:tcMar>
              <w:top w:w="120" w:type="dxa"/>
              <w:left w:w="120" w:type="dxa"/>
              <w:bottom w:w="120" w:type="dxa"/>
              <w:right w:w="120" w:type="dxa"/>
            </w:tcMar>
            <w:vAlign w:val="center"/>
          </w:tcPr>
          <w:p w14:paraId="557C6676">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652029F0">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2EF7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57FDC387">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269" w:type="dxa"/>
            <w:tcMar>
              <w:top w:w="120" w:type="dxa"/>
              <w:left w:w="120" w:type="dxa"/>
              <w:bottom w:w="120" w:type="dxa"/>
              <w:right w:w="120" w:type="dxa"/>
            </w:tcMar>
            <w:vAlign w:val="center"/>
          </w:tcPr>
          <w:p w14:paraId="0A608552">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14:paraId="62DE8ACE">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14:paraId="445C47F9">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14:paraId="706BD111">
            <w:pPr>
              <w:widowControl/>
              <w:wordWrap w:val="0"/>
              <w:spacing w:line="440" w:lineRule="exact"/>
              <w:jc w:val="center"/>
              <w:rPr>
                <w:rFonts w:ascii="宋体" w:hAnsi="宋体" w:cs="宋体"/>
                <w:color w:val="auto"/>
                <w:szCs w:val="21"/>
                <w:highlight w:val="none"/>
              </w:rPr>
            </w:pPr>
          </w:p>
        </w:tc>
      </w:tr>
      <w:tr w14:paraId="45E2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6FCD4BE">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269" w:type="dxa"/>
            <w:tcMar>
              <w:top w:w="120" w:type="dxa"/>
              <w:left w:w="120" w:type="dxa"/>
              <w:bottom w:w="120" w:type="dxa"/>
              <w:right w:w="120" w:type="dxa"/>
            </w:tcMar>
            <w:vAlign w:val="center"/>
          </w:tcPr>
          <w:p w14:paraId="24EFE046">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14:paraId="16401CF1">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14:paraId="03A52483">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14:paraId="00C8DBFF">
            <w:pPr>
              <w:widowControl/>
              <w:wordWrap w:val="0"/>
              <w:spacing w:line="440" w:lineRule="exact"/>
              <w:jc w:val="center"/>
              <w:rPr>
                <w:rFonts w:ascii="宋体" w:hAnsi="宋体" w:cs="宋体"/>
                <w:color w:val="auto"/>
                <w:szCs w:val="21"/>
                <w:highlight w:val="none"/>
              </w:rPr>
            </w:pPr>
          </w:p>
        </w:tc>
      </w:tr>
      <w:tr w14:paraId="348B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42C8E69E">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269" w:type="dxa"/>
            <w:tcMar>
              <w:top w:w="120" w:type="dxa"/>
              <w:left w:w="120" w:type="dxa"/>
              <w:bottom w:w="120" w:type="dxa"/>
              <w:right w:w="120" w:type="dxa"/>
            </w:tcMar>
            <w:vAlign w:val="center"/>
          </w:tcPr>
          <w:p w14:paraId="45661F59">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14:paraId="6D05CDB3">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14:paraId="2EC54355">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14:paraId="71E5BD19">
            <w:pPr>
              <w:widowControl/>
              <w:wordWrap w:val="0"/>
              <w:spacing w:line="440" w:lineRule="exact"/>
              <w:jc w:val="center"/>
              <w:rPr>
                <w:rFonts w:ascii="宋体" w:hAnsi="宋体" w:cs="宋体"/>
                <w:color w:val="auto"/>
                <w:szCs w:val="21"/>
                <w:highlight w:val="none"/>
              </w:rPr>
            </w:pPr>
          </w:p>
        </w:tc>
      </w:tr>
    </w:tbl>
    <w:p w14:paraId="1A81A71D">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注：</w:t>
      </w:r>
    </w:p>
    <w:p w14:paraId="17A617E6">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0B84F9B">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5156F7D1">
      <w:pPr>
        <w:snapToGrid w:val="0"/>
        <w:spacing w:before="50" w:after="120" w:afterLines="50" w:line="440" w:lineRule="exact"/>
        <w:jc w:val="center"/>
        <w:rPr>
          <w:rFonts w:ascii="宋体" w:hAnsi="宋体" w:cs="宋体"/>
          <w:color w:val="auto"/>
          <w:szCs w:val="21"/>
          <w:highlight w:val="none"/>
        </w:rPr>
      </w:pPr>
    </w:p>
    <w:p w14:paraId="2DB1B84E">
      <w:pPr>
        <w:snapToGrid w:val="0"/>
        <w:spacing w:before="50" w:after="120" w:afterLines="50" w:line="440" w:lineRule="exact"/>
        <w:jc w:val="center"/>
        <w:rPr>
          <w:rFonts w:ascii="宋体" w:hAnsi="宋体" w:cs="宋体"/>
          <w:color w:val="auto"/>
          <w:szCs w:val="21"/>
          <w:highlight w:val="none"/>
        </w:rPr>
      </w:pPr>
      <w:r>
        <w:rPr>
          <w:rFonts w:hint="eastAsia" w:ascii="宋体" w:hAnsi="宋体" w:cs="宋体"/>
          <w:b/>
          <w:color w:val="auto"/>
          <w:sz w:val="24"/>
          <w:highlight w:val="none"/>
        </w:rPr>
        <w:t>供应商直接管理关系信息表</w:t>
      </w:r>
    </w:p>
    <w:tbl>
      <w:tblPr>
        <w:tblStyle w:val="41"/>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1DB5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32DAF15B">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659" w:type="dxa"/>
            <w:tcMar>
              <w:top w:w="120" w:type="dxa"/>
              <w:left w:w="120" w:type="dxa"/>
              <w:bottom w:w="120" w:type="dxa"/>
              <w:right w:w="120" w:type="dxa"/>
            </w:tcMar>
            <w:vAlign w:val="center"/>
          </w:tcPr>
          <w:p w14:paraId="0F052EAC">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1F962F2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Mar>
              <w:top w:w="120" w:type="dxa"/>
              <w:left w:w="120" w:type="dxa"/>
              <w:bottom w:w="120" w:type="dxa"/>
              <w:right w:w="120" w:type="dxa"/>
            </w:tcMar>
            <w:vAlign w:val="center"/>
          </w:tcPr>
          <w:p w14:paraId="63590AB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6D36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37A12A0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659" w:type="dxa"/>
            <w:tcMar>
              <w:top w:w="120" w:type="dxa"/>
              <w:left w:w="120" w:type="dxa"/>
              <w:bottom w:w="120" w:type="dxa"/>
              <w:right w:w="120" w:type="dxa"/>
            </w:tcMar>
            <w:vAlign w:val="center"/>
          </w:tcPr>
          <w:p w14:paraId="78747646">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14:paraId="5F3F8F16">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14:paraId="707A42C0">
            <w:pPr>
              <w:widowControl/>
              <w:spacing w:line="440" w:lineRule="exact"/>
              <w:jc w:val="center"/>
              <w:rPr>
                <w:rFonts w:ascii="宋体" w:hAnsi="宋体" w:cs="宋体"/>
                <w:color w:val="auto"/>
                <w:szCs w:val="21"/>
                <w:highlight w:val="none"/>
              </w:rPr>
            </w:pPr>
          </w:p>
        </w:tc>
      </w:tr>
      <w:tr w14:paraId="4AE9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7799E7F2">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659" w:type="dxa"/>
            <w:tcMar>
              <w:top w:w="120" w:type="dxa"/>
              <w:left w:w="120" w:type="dxa"/>
              <w:bottom w:w="120" w:type="dxa"/>
              <w:right w:w="120" w:type="dxa"/>
            </w:tcMar>
            <w:vAlign w:val="center"/>
          </w:tcPr>
          <w:p w14:paraId="584A6DB5">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14:paraId="30D7E02D">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14:paraId="4E9DE2DB">
            <w:pPr>
              <w:widowControl/>
              <w:spacing w:line="440" w:lineRule="exact"/>
              <w:jc w:val="center"/>
              <w:rPr>
                <w:rFonts w:ascii="宋体" w:hAnsi="宋体" w:cs="宋体"/>
                <w:color w:val="auto"/>
                <w:szCs w:val="21"/>
                <w:highlight w:val="none"/>
              </w:rPr>
            </w:pPr>
          </w:p>
        </w:tc>
      </w:tr>
      <w:tr w14:paraId="51DF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30DB7A26">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659" w:type="dxa"/>
            <w:tcMar>
              <w:top w:w="120" w:type="dxa"/>
              <w:left w:w="120" w:type="dxa"/>
              <w:bottom w:w="120" w:type="dxa"/>
              <w:right w:w="120" w:type="dxa"/>
            </w:tcMar>
            <w:vAlign w:val="center"/>
          </w:tcPr>
          <w:p w14:paraId="1EE6E38F">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14:paraId="5AD974DB">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14:paraId="34CC06EF">
            <w:pPr>
              <w:widowControl/>
              <w:spacing w:line="440" w:lineRule="exact"/>
              <w:jc w:val="center"/>
              <w:rPr>
                <w:rFonts w:ascii="宋体" w:hAnsi="宋体" w:cs="宋体"/>
                <w:color w:val="auto"/>
                <w:szCs w:val="21"/>
                <w:highlight w:val="none"/>
              </w:rPr>
            </w:pPr>
          </w:p>
        </w:tc>
      </w:tr>
    </w:tbl>
    <w:p w14:paraId="4616BF12">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注：</w:t>
      </w:r>
    </w:p>
    <w:p w14:paraId="6475C1CF">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11F4CD71">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3F3BED2C">
      <w:pPr>
        <w:pStyle w:val="22"/>
        <w:tabs>
          <w:tab w:val="left" w:pos="5529"/>
        </w:tabs>
        <w:wordWrap w:val="0"/>
        <w:spacing w:line="440" w:lineRule="exact"/>
        <w:ind w:firstLine="3240" w:firstLineChars="1620"/>
        <w:rPr>
          <w:rFonts w:hAnsi="宋体" w:cs="宋体"/>
          <w:color w:val="auto"/>
          <w:highlight w:val="none"/>
        </w:rPr>
      </w:pPr>
    </w:p>
    <w:p w14:paraId="692B631A">
      <w:pPr>
        <w:pStyle w:val="22"/>
        <w:tabs>
          <w:tab w:val="left" w:pos="5529"/>
        </w:tabs>
        <w:wordWrap w:val="0"/>
        <w:spacing w:line="440" w:lineRule="exact"/>
        <w:ind w:firstLine="3240" w:firstLineChars="1620"/>
        <w:rPr>
          <w:rFonts w:hAnsi="宋体" w:cs="宋体"/>
          <w:color w:val="auto"/>
          <w:highlight w:val="none"/>
        </w:rPr>
      </w:pPr>
    </w:p>
    <w:p w14:paraId="0FC80C7B">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25F23849">
      <w:pPr>
        <w:spacing w:line="440" w:lineRule="exact"/>
        <w:ind w:firstLine="6300" w:firstLineChars="3000"/>
        <w:rPr>
          <w:rFonts w:ascii="宋体" w:hAnsi="宋体" w:cs="宋体"/>
          <w:b/>
          <w:bCs/>
          <w:color w:val="auto"/>
          <w:szCs w:val="21"/>
          <w:highlight w:val="none"/>
        </w:rPr>
      </w:pPr>
      <w:r>
        <w:rPr>
          <w:rFonts w:hint="eastAsia" w:ascii="宋体" w:hAnsi="宋体" w:cs="宋体"/>
          <w:color w:val="auto"/>
          <w:szCs w:val="21"/>
          <w:highlight w:val="none"/>
        </w:rPr>
        <w:t>日期： 年 月 日</w:t>
      </w:r>
    </w:p>
    <w:p w14:paraId="57A13CD9">
      <w:pPr>
        <w:snapToGrid w:val="0"/>
        <w:spacing w:before="120" w:beforeLines="50" w:after="50" w:line="440" w:lineRule="exact"/>
        <w:rPr>
          <w:rFonts w:ascii="宋体" w:hAnsi="宋体" w:cs="宋体"/>
          <w:b/>
          <w:bCs/>
          <w:color w:val="auto"/>
          <w:szCs w:val="21"/>
          <w:highlight w:val="none"/>
        </w:rPr>
        <w:sectPr>
          <w:pgSz w:w="11906" w:h="16838"/>
          <w:pgMar w:top="1134" w:right="1247" w:bottom="1134" w:left="1247" w:header="851" w:footer="992" w:gutter="0"/>
          <w:cols w:space="720" w:num="1"/>
          <w:docGrid w:linePitch="312" w:charSpace="0"/>
        </w:sectPr>
      </w:pPr>
    </w:p>
    <w:p w14:paraId="5005FBA4">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2、商务和技术文件格式：</w:t>
      </w:r>
    </w:p>
    <w:p w14:paraId="61C2DBAB">
      <w:pPr>
        <w:spacing w:line="440" w:lineRule="exact"/>
        <w:jc w:val="center"/>
        <w:rPr>
          <w:rFonts w:ascii="宋体" w:hAnsi="宋体" w:cs="宋体"/>
          <w:b/>
          <w:color w:val="auto"/>
          <w:sz w:val="32"/>
          <w:szCs w:val="32"/>
          <w:highlight w:val="none"/>
        </w:rPr>
      </w:pPr>
    </w:p>
    <w:p w14:paraId="03476FEB">
      <w:pPr>
        <w:spacing w:line="440" w:lineRule="exact"/>
        <w:jc w:val="center"/>
        <w:rPr>
          <w:rFonts w:ascii="宋体" w:hAnsi="宋体" w:cs="宋体"/>
          <w:b/>
          <w:color w:val="auto"/>
          <w:sz w:val="32"/>
          <w:szCs w:val="32"/>
          <w:highlight w:val="none"/>
        </w:rPr>
      </w:pPr>
    </w:p>
    <w:p w14:paraId="38B0F560">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294820B1">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2DDCB960">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08F9DD76">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178D1ECC">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4F897911">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（商务和技术文件）</w:t>
      </w:r>
    </w:p>
    <w:p w14:paraId="6D448158">
      <w:pPr>
        <w:snapToGrid w:val="0"/>
        <w:spacing w:before="120" w:beforeLines="50" w:after="50" w:line="440" w:lineRule="exact"/>
        <w:rPr>
          <w:rFonts w:ascii="宋体" w:hAnsi="宋体" w:cs="宋体"/>
          <w:bCs/>
          <w:color w:val="auto"/>
          <w:szCs w:val="21"/>
          <w:highlight w:val="none"/>
        </w:rPr>
      </w:pPr>
    </w:p>
    <w:p w14:paraId="75E2E095">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38B19FD6">
      <w:pPr>
        <w:snapToGrid w:val="0"/>
        <w:spacing w:before="120" w:beforeLines="50" w:after="50" w:line="440" w:lineRule="exact"/>
        <w:ind w:firstLine="675" w:firstLineChars="225"/>
        <w:rPr>
          <w:rFonts w:ascii="宋体" w:hAnsi="宋体" w:cs="宋体"/>
          <w:bCs/>
          <w:color w:val="auto"/>
          <w:sz w:val="30"/>
          <w:szCs w:val="30"/>
          <w:highlight w:val="none"/>
        </w:rPr>
      </w:pPr>
    </w:p>
    <w:p w14:paraId="459D94C5">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250A3BC2">
      <w:pPr>
        <w:snapToGrid w:val="0"/>
        <w:spacing w:before="120" w:beforeLines="50" w:after="50" w:line="440" w:lineRule="exact"/>
        <w:ind w:firstLine="675" w:firstLineChars="225"/>
        <w:rPr>
          <w:rFonts w:ascii="宋体" w:hAnsi="宋体" w:cs="宋体"/>
          <w:bCs/>
          <w:color w:val="auto"/>
          <w:sz w:val="30"/>
          <w:szCs w:val="30"/>
          <w:highlight w:val="none"/>
        </w:rPr>
      </w:pPr>
    </w:p>
    <w:p w14:paraId="024D406A">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10E822F5">
      <w:pPr>
        <w:snapToGrid w:val="0"/>
        <w:spacing w:before="120" w:beforeLines="50" w:after="50" w:line="440" w:lineRule="exact"/>
        <w:ind w:firstLine="675" w:firstLineChars="225"/>
        <w:rPr>
          <w:rFonts w:ascii="宋体" w:hAnsi="宋体" w:cs="宋体"/>
          <w:bCs/>
          <w:color w:val="auto"/>
          <w:sz w:val="30"/>
          <w:szCs w:val="30"/>
          <w:highlight w:val="none"/>
        </w:rPr>
      </w:pPr>
    </w:p>
    <w:p w14:paraId="04D08D6E">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14:paraId="5DA271EC">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14:paraId="07729B89">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06A66ACF">
      <w:pPr>
        <w:pStyle w:val="10"/>
        <w:snapToGrid w:val="0"/>
        <w:spacing w:before="50" w:after="50" w:line="440" w:lineRule="exact"/>
        <w:ind w:firstLine="675" w:firstLineChars="225"/>
        <w:rPr>
          <w:rFonts w:ascii="宋体" w:hAnsi="宋体" w:cs="宋体"/>
          <w:bCs/>
          <w:color w:val="auto"/>
          <w:sz w:val="30"/>
          <w:szCs w:val="30"/>
          <w:highlight w:val="none"/>
        </w:rPr>
      </w:pPr>
    </w:p>
    <w:p w14:paraId="5E8FD528">
      <w:pPr>
        <w:snapToGrid w:val="0"/>
        <w:spacing w:before="120" w:beforeLines="50" w:after="50" w:line="440" w:lineRule="exact"/>
        <w:ind w:firstLine="10"/>
        <w:jc w:val="center"/>
        <w:rPr>
          <w:rFonts w:ascii="宋体" w:hAnsi="宋体" w:cs="宋体"/>
          <w:color w:val="auto"/>
          <w:sz w:val="30"/>
          <w:szCs w:val="30"/>
          <w:highlight w:val="none"/>
        </w:rPr>
      </w:pPr>
    </w:p>
    <w:p w14:paraId="5E438A41">
      <w:pPr>
        <w:snapToGrid w:val="0"/>
        <w:spacing w:before="120" w:beforeLines="50" w:after="50" w:line="440" w:lineRule="exact"/>
        <w:ind w:firstLine="10"/>
        <w:jc w:val="center"/>
        <w:rPr>
          <w:rFonts w:ascii="宋体" w:hAnsi="宋体" w:cs="宋体"/>
          <w:color w:val="auto"/>
          <w:sz w:val="30"/>
          <w:szCs w:val="30"/>
          <w:highlight w:val="none"/>
        </w:rPr>
      </w:pPr>
    </w:p>
    <w:p w14:paraId="4962A640">
      <w:pPr>
        <w:snapToGrid w:val="0"/>
        <w:spacing w:before="120" w:beforeLines="50" w:after="50" w:line="440" w:lineRule="exact"/>
        <w:ind w:firstLine="10"/>
        <w:jc w:val="center"/>
        <w:rPr>
          <w:rFonts w:ascii="宋体" w:hAnsi="宋体" w:cs="宋体"/>
          <w:color w:val="auto"/>
          <w:sz w:val="30"/>
          <w:szCs w:val="30"/>
          <w:highlight w:val="none"/>
        </w:rPr>
      </w:pPr>
    </w:p>
    <w:p w14:paraId="6D12FBAA">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14:paraId="68837ACA">
      <w:pPr>
        <w:snapToGrid w:val="0"/>
        <w:spacing w:before="50" w:after="50" w:line="440" w:lineRule="exact"/>
        <w:rPr>
          <w:rFonts w:ascii="宋体" w:hAnsi="宋体" w:cs="宋体"/>
          <w:b/>
          <w:color w:val="auto"/>
          <w:szCs w:val="21"/>
          <w:highlight w:val="none"/>
        </w:rPr>
      </w:pPr>
    </w:p>
    <w:p w14:paraId="52BD713C">
      <w:pPr>
        <w:snapToGrid w:val="0"/>
        <w:spacing w:before="120" w:beforeLines="50" w:after="50" w:line="440" w:lineRule="exact"/>
        <w:jc w:val="center"/>
        <w:rPr>
          <w:rFonts w:ascii="宋体" w:hAnsi="宋体" w:cs="宋体"/>
          <w:b/>
          <w:color w:val="auto"/>
          <w:szCs w:val="21"/>
          <w:highlight w:val="none"/>
        </w:rPr>
      </w:pPr>
      <w:r>
        <w:rPr>
          <w:rFonts w:hint="eastAsia" w:ascii="宋体" w:hAnsi="宋体" w:cs="宋体"/>
          <w:b/>
          <w:color w:val="auto"/>
          <w:szCs w:val="21"/>
          <w:highlight w:val="none"/>
        </w:rPr>
        <w:br w:type="page"/>
      </w:r>
    </w:p>
    <w:p w14:paraId="56CA42C5">
      <w:pPr>
        <w:snapToGrid w:val="0"/>
        <w:spacing w:before="120" w:beforeLines="50" w:after="50" w:line="440" w:lineRule="exact"/>
        <w:jc w:val="center"/>
        <w:rPr>
          <w:rFonts w:ascii="宋体" w:hAnsi="宋体" w:cs="宋体"/>
          <w:b/>
          <w:color w:val="auto"/>
          <w:szCs w:val="21"/>
          <w:highlight w:val="none"/>
        </w:rPr>
      </w:pPr>
    </w:p>
    <w:p w14:paraId="7394D3DE">
      <w:pPr>
        <w:snapToGrid w:val="0"/>
        <w:spacing w:before="120" w:beforeLines="50" w:after="50" w:line="44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14:paraId="163B4AC5">
      <w:pPr>
        <w:snapToGrid w:val="0"/>
        <w:spacing w:before="120" w:beforeLines="50" w:after="50" w:line="440" w:lineRule="exact"/>
        <w:jc w:val="center"/>
        <w:rPr>
          <w:rFonts w:ascii="宋体" w:hAnsi="宋体" w:cs="宋体"/>
          <w:color w:val="auto"/>
          <w:sz w:val="28"/>
          <w:szCs w:val="28"/>
          <w:highlight w:val="none"/>
        </w:rPr>
      </w:pPr>
    </w:p>
    <w:p w14:paraId="11E56B6D">
      <w:pPr>
        <w:tabs>
          <w:tab w:val="left" w:pos="1418"/>
        </w:tabs>
        <w:snapToGrid w:val="0"/>
        <w:spacing w:before="50" w:after="50" w:line="44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供应商根据磋商文件要求自行编制</w:t>
      </w:r>
      <w:r>
        <w:rPr>
          <w:rFonts w:hint="eastAsia" w:ascii="宋体" w:hAnsi="宋体" w:cs="宋体"/>
          <w:bCs/>
          <w:color w:val="auto"/>
          <w:szCs w:val="21"/>
          <w:highlight w:val="none"/>
          <w:lang w:eastAsia="zh-CN"/>
        </w:rPr>
        <w:t>）</w:t>
      </w:r>
    </w:p>
    <w:p w14:paraId="4BBD5A45">
      <w:pPr>
        <w:spacing w:line="440" w:lineRule="exact"/>
        <w:rPr>
          <w:rFonts w:ascii="宋体" w:hAnsi="宋体" w:cs="宋体"/>
          <w:color w:val="auto"/>
          <w:szCs w:val="21"/>
          <w:highlight w:val="none"/>
        </w:rPr>
      </w:pPr>
    </w:p>
    <w:p w14:paraId="7FFC3269">
      <w:pPr>
        <w:spacing w:line="440" w:lineRule="exact"/>
        <w:rPr>
          <w:rFonts w:ascii="宋体" w:hAnsi="宋体" w:cs="宋体"/>
          <w:color w:val="auto"/>
          <w:szCs w:val="21"/>
          <w:highlight w:val="none"/>
        </w:rPr>
      </w:pPr>
    </w:p>
    <w:p w14:paraId="4B4E7AD6">
      <w:pPr>
        <w:spacing w:line="440" w:lineRule="exact"/>
        <w:rPr>
          <w:rFonts w:ascii="宋体" w:hAnsi="宋体" w:cs="宋体"/>
          <w:color w:val="auto"/>
          <w:szCs w:val="21"/>
          <w:highlight w:val="none"/>
        </w:rPr>
      </w:pPr>
    </w:p>
    <w:p w14:paraId="43F5F350">
      <w:pPr>
        <w:spacing w:line="440" w:lineRule="exact"/>
        <w:rPr>
          <w:rFonts w:ascii="宋体" w:hAnsi="宋体" w:cs="宋体"/>
          <w:color w:val="auto"/>
          <w:szCs w:val="21"/>
          <w:highlight w:val="none"/>
        </w:rPr>
      </w:pPr>
    </w:p>
    <w:p w14:paraId="24802660">
      <w:pPr>
        <w:spacing w:line="440" w:lineRule="exact"/>
        <w:rPr>
          <w:rFonts w:ascii="宋体" w:hAnsi="宋体" w:cs="宋体"/>
          <w:color w:val="auto"/>
          <w:szCs w:val="21"/>
          <w:highlight w:val="none"/>
        </w:rPr>
      </w:pPr>
    </w:p>
    <w:p w14:paraId="6DB85B58">
      <w:pPr>
        <w:spacing w:line="440" w:lineRule="exact"/>
        <w:rPr>
          <w:rFonts w:ascii="宋体" w:hAnsi="宋体" w:cs="宋体"/>
          <w:color w:val="auto"/>
          <w:szCs w:val="21"/>
          <w:highlight w:val="none"/>
        </w:rPr>
      </w:pPr>
    </w:p>
    <w:p w14:paraId="0EDFC140">
      <w:pPr>
        <w:spacing w:line="440" w:lineRule="exact"/>
        <w:rPr>
          <w:rFonts w:ascii="宋体" w:hAnsi="宋体" w:cs="宋体"/>
          <w:color w:val="auto"/>
          <w:szCs w:val="21"/>
          <w:highlight w:val="none"/>
        </w:rPr>
      </w:pPr>
    </w:p>
    <w:p w14:paraId="6EFB48CD">
      <w:pPr>
        <w:spacing w:line="440" w:lineRule="exact"/>
        <w:rPr>
          <w:rFonts w:ascii="宋体" w:hAnsi="宋体" w:cs="宋体"/>
          <w:color w:val="auto"/>
          <w:szCs w:val="21"/>
          <w:highlight w:val="none"/>
        </w:rPr>
      </w:pPr>
    </w:p>
    <w:p w14:paraId="20FABD9A">
      <w:pPr>
        <w:spacing w:line="440" w:lineRule="exact"/>
        <w:rPr>
          <w:rFonts w:ascii="宋体" w:hAnsi="宋体" w:cs="宋体"/>
          <w:color w:val="auto"/>
          <w:szCs w:val="21"/>
          <w:highlight w:val="none"/>
        </w:rPr>
      </w:pPr>
    </w:p>
    <w:p w14:paraId="0DB2B993">
      <w:pPr>
        <w:spacing w:line="440" w:lineRule="exact"/>
        <w:rPr>
          <w:rFonts w:ascii="宋体" w:hAnsi="宋体" w:cs="宋体"/>
          <w:color w:val="auto"/>
          <w:szCs w:val="21"/>
          <w:highlight w:val="none"/>
        </w:rPr>
      </w:pPr>
    </w:p>
    <w:p w14:paraId="3FF308D3">
      <w:pPr>
        <w:spacing w:line="440" w:lineRule="exact"/>
        <w:rPr>
          <w:rFonts w:ascii="宋体" w:hAnsi="宋体" w:cs="宋体"/>
          <w:color w:val="auto"/>
          <w:szCs w:val="21"/>
          <w:highlight w:val="none"/>
        </w:rPr>
      </w:pPr>
    </w:p>
    <w:p w14:paraId="263FF1AA">
      <w:pPr>
        <w:spacing w:line="440" w:lineRule="exact"/>
        <w:rPr>
          <w:rFonts w:ascii="宋体" w:hAnsi="宋体" w:cs="宋体"/>
          <w:color w:val="auto"/>
          <w:szCs w:val="21"/>
          <w:highlight w:val="none"/>
        </w:rPr>
      </w:pPr>
    </w:p>
    <w:p w14:paraId="3DC7B601">
      <w:pPr>
        <w:spacing w:line="440" w:lineRule="exact"/>
        <w:rPr>
          <w:rFonts w:ascii="宋体" w:hAnsi="宋体" w:cs="宋体"/>
          <w:color w:val="auto"/>
          <w:szCs w:val="21"/>
          <w:highlight w:val="none"/>
        </w:rPr>
      </w:pPr>
    </w:p>
    <w:p w14:paraId="6B1F3E58">
      <w:pPr>
        <w:spacing w:line="440" w:lineRule="exact"/>
        <w:rPr>
          <w:rFonts w:ascii="宋体" w:hAnsi="宋体" w:cs="宋体"/>
          <w:color w:val="auto"/>
          <w:szCs w:val="21"/>
          <w:highlight w:val="none"/>
        </w:rPr>
      </w:pPr>
    </w:p>
    <w:p w14:paraId="604DAE44">
      <w:pPr>
        <w:spacing w:line="440" w:lineRule="exact"/>
        <w:rPr>
          <w:rFonts w:ascii="宋体" w:hAnsi="宋体" w:cs="宋体"/>
          <w:b/>
          <w:color w:val="auto"/>
          <w:szCs w:val="21"/>
          <w:highlight w:val="none"/>
        </w:rPr>
        <w:sectPr>
          <w:pgSz w:w="11906" w:h="16838"/>
          <w:pgMar w:top="1134" w:right="1247" w:bottom="1134" w:left="1247" w:header="851" w:footer="992" w:gutter="0"/>
          <w:cols w:space="720" w:num="1"/>
          <w:docGrid w:linePitch="312" w:charSpace="0"/>
        </w:sectPr>
      </w:pPr>
    </w:p>
    <w:p w14:paraId="35FCC3CD">
      <w:pPr>
        <w:spacing w:line="440" w:lineRule="exact"/>
        <w:rPr>
          <w:rFonts w:ascii="宋体" w:hAnsi="宋体" w:cs="宋体"/>
          <w:b/>
          <w:color w:val="auto"/>
          <w:szCs w:val="21"/>
          <w:highlight w:val="none"/>
        </w:rPr>
      </w:pPr>
      <w:r>
        <w:rPr>
          <w:rFonts w:hint="eastAsia" w:ascii="宋体" w:hAnsi="宋体" w:cs="宋体"/>
          <w:b/>
          <w:color w:val="auto"/>
          <w:szCs w:val="21"/>
          <w:highlight w:val="none"/>
        </w:rPr>
        <w:t>一、法定代表人身份证明书格式</w:t>
      </w:r>
    </w:p>
    <w:p w14:paraId="231A7D9C">
      <w:pPr>
        <w:pStyle w:val="22"/>
        <w:spacing w:line="440" w:lineRule="exact"/>
        <w:ind w:left="-10" w:firstLine="10" w:firstLineChars="3"/>
        <w:jc w:val="center"/>
        <w:rPr>
          <w:rFonts w:hAnsi="宋体" w:cs="宋体"/>
          <w:b/>
          <w:color w:val="auto"/>
          <w:sz w:val="32"/>
          <w:highlight w:val="none"/>
        </w:rPr>
      </w:pPr>
    </w:p>
    <w:p w14:paraId="3BAD0DB2">
      <w:pPr>
        <w:pStyle w:val="22"/>
        <w:spacing w:line="440" w:lineRule="exact"/>
        <w:ind w:left="-10" w:firstLine="10" w:firstLineChars="3"/>
        <w:jc w:val="center"/>
        <w:rPr>
          <w:rFonts w:hAnsi="宋体" w:cs="宋体"/>
          <w:b/>
          <w:color w:val="auto"/>
          <w:sz w:val="32"/>
          <w:highlight w:val="none"/>
        </w:rPr>
      </w:pPr>
      <w:r>
        <w:rPr>
          <w:rFonts w:hint="eastAsia" w:hAnsi="宋体" w:cs="宋体"/>
          <w:b/>
          <w:color w:val="auto"/>
          <w:sz w:val="32"/>
          <w:highlight w:val="none"/>
        </w:rPr>
        <w:t>法定代表人身份证明书</w:t>
      </w:r>
    </w:p>
    <w:p w14:paraId="31393F2F">
      <w:pPr>
        <w:pStyle w:val="22"/>
        <w:spacing w:line="440" w:lineRule="exact"/>
        <w:ind w:left="-10" w:firstLine="13" w:firstLineChars="3"/>
        <w:jc w:val="center"/>
        <w:rPr>
          <w:rFonts w:hAnsi="宋体" w:cs="宋体"/>
          <w:b/>
          <w:color w:val="auto"/>
          <w:sz w:val="44"/>
          <w:highlight w:val="none"/>
        </w:rPr>
      </w:pPr>
    </w:p>
    <w:p w14:paraId="15CA761E">
      <w:pPr>
        <w:pStyle w:val="22"/>
        <w:spacing w:line="440" w:lineRule="exact"/>
        <w:ind w:firstLine="277"/>
        <w:rPr>
          <w:rFonts w:hAnsi="宋体" w:cs="宋体"/>
          <w:color w:val="auto"/>
          <w:sz w:val="21"/>
          <w:highlight w:val="none"/>
          <w:u w:val="single"/>
        </w:rPr>
      </w:pPr>
      <w:r>
        <w:rPr>
          <w:rFonts w:hint="eastAsia" w:hAnsi="宋体" w:cs="宋体"/>
          <w:color w:val="auto"/>
          <w:sz w:val="21"/>
          <w:highlight w:val="none"/>
        </w:rPr>
        <w:t>单位名称：</w:t>
      </w:r>
    </w:p>
    <w:p w14:paraId="4E1C22A7">
      <w:pPr>
        <w:pStyle w:val="22"/>
        <w:spacing w:line="440" w:lineRule="exact"/>
        <w:ind w:firstLine="277"/>
        <w:rPr>
          <w:rFonts w:hAnsi="宋体" w:cs="宋体"/>
          <w:color w:val="auto"/>
          <w:sz w:val="21"/>
          <w:highlight w:val="none"/>
        </w:rPr>
      </w:pPr>
      <w:r>
        <w:rPr>
          <w:rFonts w:hint="eastAsia" w:hAnsi="宋体" w:cs="宋体"/>
          <w:color w:val="auto"/>
          <w:sz w:val="21"/>
          <w:highlight w:val="none"/>
        </w:rPr>
        <w:t>单位性质：</w:t>
      </w:r>
    </w:p>
    <w:p w14:paraId="602E7B86">
      <w:pPr>
        <w:pStyle w:val="22"/>
        <w:spacing w:line="440" w:lineRule="exact"/>
        <w:ind w:firstLine="277"/>
        <w:rPr>
          <w:rFonts w:hAnsi="宋体" w:cs="宋体"/>
          <w:color w:val="auto"/>
          <w:sz w:val="21"/>
          <w:highlight w:val="none"/>
        </w:rPr>
      </w:pPr>
      <w:r>
        <w:rPr>
          <w:rFonts w:hint="eastAsia" w:hAnsi="宋体" w:cs="宋体"/>
          <w:color w:val="auto"/>
          <w:sz w:val="21"/>
          <w:highlight w:val="none"/>
        </w:rPr>
        <w:t>地    址：</w:t>
      </w:r>
    </w:p>
    <w:p w14:paraId="0AB379B8">
      <w:pPr>
        <w:pStyle w:val="22"/>
        <w:spacing w:line="440" w:lineRule="exact"/>
        <w:ind w:firstLine="277"/>
        <w:rPr>
          <w:rFonts w:hAnsi="宋体" w:cs="宋体"/>
          <w:color w:val="auto"/>
          <w:sz w:val="21"/>
          <w:highlight w:val="none"/>
        </w:rPr>
      </w:pPr>
      <w:r>
        <w:rPr>
          <w:rFonts w:hint="eastAsia" w:hAnsi="宋体" w:cs="宋体"/>
          <w:color w:val="auto"/>
          <w:sz w:val="21"/>
          <w:highlight w:val="none"/>
        </w:rPr>
        <w:t>成立时间：年月日</w:t>
      </w:r>
    </w:p>
    <w:p w14:paraId="44FC2687">
      <w:pPr>
        <w:pStyle w:val="22"/>
        <w:spacing w:line="440" w:lineRule="exact"/>
        <w:ind w:firstLine="277"/>
        <w:rPr>
          <w:rFonts w:hAnsi="宋体" w:cs="宋体"/>
          <w:color w:val="auto"/>
          <w:sz w:val="21"/>
          <w:highlight w:val="none"/>
          <w:u w:val="single"/>
        </w:rPr>
      </w:pPr>
      <w:r>
        <w:rPr>
          <w:rFonts w:hint="eastAsia" w:hAnsi="宋体" w:cs="宋体"/>
          <w:color w:val="auto"/>
          <w:sz w:val="21"/>
          <w:highlight w:val="none"/>
        </w:rPr>
        <w:t>经营期限：</w:t>
      </w:r>
    </w:p>
    <w:p w14:paraId="55BC2639">
      <w:pPr>
        <w:pStyle w:val="22"/>
        <w:spacing w:line="440" w:lineRule="exact"/>
        <w:ind w:firstLine="277"/>
        <w:rPr>
          <w:rFonts w:hAnsi="宋体" w:cs="宋体"/>
          <w:color w:val="auto"/>
          <w:sz w:val="21"/>
          <w:highlight w:val="none"/>
        </w:rPr>
      </w:pPr>
      <w:r>
        <w:rPr>
          <w:rFonts w:hint="eastAsia" w:hAnsi="宋体" w:cs="宋体"/>
          <w:color w:val="auto"/>
          <w:sz w:val="21"/>
          <w:highlight w:val="none"/>
        </w:rPr>
        <w:t>姓名：性别：年龄：职务：</w:t>
      </w:r>
    </w:p>
    <w:p w14:paraId="38A19ECE">
      <w:pPr>
        <w:pStyle w:val="22"/>
        <w:spacing w:line="440" w:lineRule="exact"/>
        <w:ind w:firstLine="277"/>
        <w:rPr>
          <w:rFonts w:hAnsi="宋体" w:cs="宋体"/>
          <w:color w:val="auto"/>
          <w:sz w:val="21"/>
          <w:highlight w:val="none"/>
        </w:rPr>
      </w:pPr>
      <w:r>
        <w:rPr>
          <w:rFonts w:hint="eastAsia" w:hAnsi="宋体" w:cs="宋体"/>
          <w:color w:val="auto"/>
          <w:sz w:val="21"/>
          <w:highlight w:val="none"/>
        </w:rPr>
        <w:t>系</w:t>
      </w:r>
      <w:r>
        <w:rPr>
          <w:rFonts w:hint="eastAsia" w:hAnsi="宋体" w:cs="宋体"/>
          <w:color w:val="auto"/>
          <w:sz w:val="21"/>
          <w:highlight w:val="none"/>
          <w:u w:val="single"/>
        </w:rPr>
        <w:t xml:space="preserve">     （供应商单位名称）  </w:t>
      </w:r>
      <w:r>
        <w:rPr>
          <w:rFonts w:hint="eastAsia" w:hAnsi="宋体" w:cs="宋体"/>
          <w:color w:val="auto"/>
          <w:sz w:val="21"/>
          <w:highlight w:val="none"/>
        </w:rPr>
        <w:t>的法定代表人。</w:t>
      </w:r>
    </w:p>
    <w:p w14:paraId="252F24E0">
      <w:pPr>
        <w:pStyle w:val="22"/>
        <w:spacing w:line="440" w:lineRule="exact"/>
        <w:ind w:firstLine="277"/>
        <w:rPr>
          <w:rFonts w:hAnsi="宋体" w:cs="宋体"/>
          <w:color w:val="auto"/>
          <w:sz w:val="21"/>
          <w:highlight w:val="none"/>
        </w:rPr>
      </w:pPr>
      <w:r>
        <w:rPr>
          <w:rFonts w:hint="eastAsia" w:hAnsi="宋体" w:cs="宋体"/>
          <w:color w:val="auto"/>
          <w:sz w:val="21"/>
          <w:highlight w:val="none"/>
        </w:rPr>
        <w:t>特此证明。</w:t>
      </w:r>
    </w:p>
    <w:p w14:paraId="25A284DD">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16675CD">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02DC9261">
      <w:pPr>
        <w:pStyle w:val="22"/>
        <w:spacing w:line="440" w:lineRule="exact"/>
        <w:rPr>
          <w:rFonts w:hAnsi="宋体" w:cs="宋体"/>
          <w:color w:val="auto"/>
          <w:highlight w:val="none"/>
        </w:rPr>
      </w:pPr>
    </w:p>
    <w:p w14:paraId="32EF370D">
      <w:pPr>
        <w:pStyle w:val="22"/>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12700</wp:posOffset>
                </wp:positionV>
                <wp:extent cx="3239770" cy="2029460"/>
                <wp:effectExtent l="9525" t="12700" r="8255" b="5715"/>
                <wp:wrapNone/>
                <wp:docPr id="9" name="矩形 8"/>
                <wp:cNvGraphicFramePr/>
                <a:graphic xmlns:a="http://schemas.openxmlformats.org/drawingml/2006/main">
                  <a:graphicData uri="http://schemas.microsoft.com/office/word/2010/wordprocessingShape">
                    <wps:wsp>
                      <wps:cNvSpPr>
                        <a:spLocks noChangeArrowheads="1"/>
                      </wps:cNvSpPr>
                      <wps:spPr bwMode="auto">
                        <a:xfrm>
                          <a:off x="0" y="0"/>
                          <a:ext cx="3239770" cy="2029460"/>
                        </a:xfrm>
                        <a:prstGeom prst="rect">
                          <a:avLst/>
                        </a:prstGeom>
                        <a:solidFill>
                          <a:srgbClr val="FFFFFF"/>
                        </a:solidFill>
                        <a:ln w="9525">
                          <a:solidFill>
                            <a:srgbClr val="000000"/>
                          </a:solidFill>
                          <a:miter lim="800000"/>
                        </a:ln>
                      </wps:spPr>
                      <wps:txbx>
                        <w:txbxContent>
                          <w:p w14:paraId="2C9D63DF"/>
                          <w:p w14:paraId="5F957341"/>
                          <w:p w14:paraId="24BD697A"/>
                          <w:p w14:paraId="30308188"/>
                          <w:p w14:paraId="0496CCA2">
                            <w:pPr>
                              <w:jc w:val="center"/>
                            </w:pPr>
                            <w:r>
                              <w:rPr>
                                <w:rFonts w:hint="eastAsia"/>
                              </w:rPr>
                              <w:t>法定代表人第二代居民身份证复印件</w:t>
                            </w:r>
                          </w:p>
                          <w:p w14:paraId="0FA8A874">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9pt;margin-top:1pt;height:159.8pt;width:255.1pt;z-index:251661312;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xyeZ7WAAAACAEAAA8AAAAAAAAAAQAgAAAAIgAAAGRycy9kb3du&#10;cmV2LnhtbFBLAQIUABQAAAAIAIdO4kArWGHOOgIAAHsEAAAOAAAAAAAAAAEAIAAAACUBAABkcnMv&#10;ZTJvRG9jLnhtbFBLBQYAAAAABgAGAFkBAADRBQAAAAA=&#10;">
                <v:fill on="t" focussize="0,0"/>
                <v:stroke color="#000000" miterlimit="8" joinstyle="miter"/>
                <v:imagedata o:title=""/>
                <o:lock v:ext="edit" aspectratio="f"/>
                <v:textbox>
                  <w:txbxContent>
                    <w:p w14:paraId="2C9D63DF"/>
                    <w:p w14:paraId="5F957341"/>
                    <w:p w14:paraId="24BD697A"/>
                    <w:p w14:paraId="30308188"/>
                    <w:p w14:paraId="0496CCA2">
                      <w:pPr>
                        <w:jc w:val="center"/>
                      </w:pPr>
                      <w:r>
                        <w:rPr>
                          <w:rFonts w:hint="eastAsia"/>
                        </w:rPr>
                        <w:t>法定代表人第二代居民身份证复印件</w:t>
                      </w:r>
                    </w:p>
                    <w:p w14:paraId="0FA8A874">
                      <w:pPr>
                        <w:jc w:val="center"/>
                        <w:rPr>
                          <w:b/>
                        </w:rPr>
                      </w:pPr>
                      <w:r>
                        <w:rPr>
                          <w:rFonts w:hint="eastAsia"/>
                          <w:b/>
                        </w:rPr>
                        <w:t>（正面）</w:t>
                      </w: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6134100" cy="0"/>
                <wp:effectExtent l="9525" t="9525" r="9525" b="9525"/>
                <wp:wrapTopAndBottom/>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pt;margin-top:0pt;height:0pt;width:483pt;mso-wrap-distance-bottom:0pt;mso-wrap-distance-top:14.2pt;z-index:251660288;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wHVPfQAAAAAgEAAA8AAAAAAAAAAQAgAAAAIgAA&#10;AGRycy9kb3ducmV2LnhtbFBLAQIUABQAAAAIAIdO4kClMY4Y1wEAAKEDAAAOAAAAAAAAAAEAIAAA&#10;AB8BAABkcnMvZTJvRG9jLnhtbFBLBQYAAAAABgAGAFkBAABoBQAAAAA=&#10;">
                <v:fill on="f" focussize="0,0"/>
                <v:stroke color="#000000" joinstyle="round"/>
                <v:imagedata o:title=""/>
                <o:lock v:ext="edit" aspectratio="f"/>
                <w10:wrap type="topAndBottom"/>
              </v:line>
            </w:pict>
          </mc:Fallback>
        </mc:AlternateContent>
      </w:r>
    </w:p>
    <w:p w14:paraId="37571AB6">
      <w:pPr>
        <w:pStyle w:val="22"/>
        <w:spacing w:line="440" w:lineRule="exact"/>
        <w:rPr>
          <w:rFonts w:hAnsi="宋体" w:cs="宋体"/>
          <w:color w:val="auto"/>
          <w:highlight w:val="none"/>
        </w:rPr>
      </w:pPr>
    </w:p>
    <w:p w14:paraId="7F0537B6">
      <w:pPr>
        <w:pStyle w:val="22"/>
        <w:spacing w:line="440" w:lineRule="exact"/>
        <w:rPr>
          <w:rFonts w:hAnsi="宋体" w:cs="宋体"/>
          <w:color w:val="auto"/>
          <w:highlight w:val="none"/>
        </w:rPr>
      </w:pPr>
    </w:p>
    <w:p w14:paraId="03DD612E">
      <w:pPr>
        <w:pStyle w:val="22"/>
        <w:spacing w:line="440" w:lineRule="exact"/>
        <w:rPr>
          <w:rFonts w:hAnsi="宋体" w:cs="宋体"/>
          <w:color w:val="auto"/>
          <w:highlight w:val="none"/>
        </w:rPr>
      </w:pPr>
    </w:p>
    <w:p w14:paraId="298AC053">
      <w:pPr>
        <w:pStyle w:val="22"/>
        <w:spacing w:line="440" w:lineRule="exact"/>
        <w:rPr>
          <w:rFonts w:hAnsi="宋体" w:cs="宋体"/>
          <w:color w:val="auto"/>
          <w:highlight w:val="none"/>
        </w:rPr>
      </w:pPr>
    </w:p>
    <w:p w14:paraId="66FB11BC">
      <w:pPr>
        <w:pStyle w:val="22"/>
        <w:spacing w:line="440" w:lineRule="exact"/>
        <w:ind w:firstLine="6000" w:firstLineChars="3000"/>
        <w:rPr>
          <w:rFonts w:hAnsi="宋体" w:cs="宋体"/>
          <w:color w:val="auto"/>
          <w:highlight w:val="none"/>
        </w:rPr>
      </w:pPr>
    </w:p>
    <w:p w14:paraId="16F354FA">
      <w:pPr>
        <w:pStyle w:val="22"/>
        <w:spacing w:line="440" w:lineRule="exact"/>
        <w:rPr>
          <w:rFonts w:hAnsi="宋体" w:cs="宋体"/>
          <w:color w:val="auto"/>
          <w:highlight w:val="none"/>
        </w:rPr>
      </w:pPr>
    </w:p>
    <w:p w14:paraId="03BDD494">
      <w:pPr>
        <w:pStyle w:val="22"/>
        <w:spacing w:line="440" w:lineRule="exact"/>
        <w:rPr>
          <w:rFonts w:hAnsi="宋体" w:cs="宋体"/>
          <w:color w:val="auto"/>
          <w:highlight w:val="none"/>
        </w:rPr>
      </w:pPr>
    </w:p>
    <w:p w14:paraId="0CDBE818">
      <w:pPr>
        <w:pStyle w:val="22"/>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66040</wp:posOffset>
                </wp:positionV>
                <wp:extent cx="3220720" cy="1893570"/>
                <wp:effectExtent l="9525" t="8890" r="8255" b="1206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220720" cy="1893570"/>
                        </a:xfrm>
                        <a:prstGeom prst="rect">
                          <a:avLst/>
                        </a:prstGeom>
                        <a:solidFill>
                          <a:srgbClr val="FFFFFF"/>
                        </a:solidFill>
                        <a:ln w="9525">
                          <a:solidFill>
                            <a:srgbClr val="000000"/>
                          </a:solidFill>
                          <a:miter lim="800000"/>
                        </a:ln>
                      </wps:spPr>
                      <wps:txbx>
                        <w:txbxContent>
                          <w:p w14:paraId="58D5E614"/>
                          <w:p w14:paraId="73EA7E59"/>
                          <w:p w14:paraId="66E3CEAA"/>
                          <w:p w14:paraId="7584C76D"/>
                          <w:p w14:paraId="7D768DE8">
                            <w:pPr>
                              <w:jc w:val="center"/>
                            </w:pPr>
                            <w:r>
                              <w:rPr>
                                <w:rFonts w:hint="eastAsia"/>
                              </w:rPr>
                              <w:t>法定代表人第二代居民身份证复印件</w:t>
                            </w:r>
                          </w:p>
                          <w:p w14:paraId="5C65738A">
                            <w:pPr>
                              <w:jc w:val="center"/>
                              <w:rPr>
                                <w:b/>
                              </w:rP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5.2pt;height:149.1pt;width:253.6pt;z-index:251662336;mso-width-relative:page;mso-height-relative:page;" fillcolor="#FFFFFF" filled="t" stroked="t" coordsize="21600,21600" o:gfxdata="UEsDBAoAAAAAAIdO4kAAAAAAAAAAAAAAAAAEAAAAZHJzL1BLAwQUAAAACACHTuJAT8O04d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w7Th1wAAAAkBAAAPAAAAAAAAAAEAIAAAACIAAABkcnMvZG93&#10;bnJldi54bWxQSwECFAAUAAAACACHTuJALyW2ezoCAAB7BAAADgAAAAAAAAABACAAAAAmAQAAZHJz&#10;L2Uyb0RvYy54bWxQSwUGAAAAAAYABgBZAQAA0gUAAAAA&#10;">
                <v:fill on="t" focussize="0,0"/>
                <v:stroke color="#000000" miterlimit="8" joinstyle="miter"/>
                <v:imagedata o:title=""/>
                <o:lock v:ext="edit" aspectratio="f"/>
                <v:textbox>
                  <w:txbxContent>
                    <w:p w14:paraId="58D5E614"/>
                    <w:p w14:paraId="73EA7E59"/>
                    <w:p w14:paraId="66E3CEAA"/>
                    <w:p w14:paraId="7584C76D"/>
                    <w:p w14:paraId="7D768DE8">
                      <w:pPr>
                        <w:jc w:val="center"/>
                      </w:pPr>
                      <w:r>
                        <w:rPr>
                          <w:rFonts w:hint="eastAsia"/>
                        </w:rPr>
                        <w:t>法定代表人第二代居民身份证复印件</w:t>
                      </w:r>
                    </w:p>
                    <w:p w14:paraId="5C65738A">
                      <w:pPr>
                        <w:jc w:val="center"/>
                        <w:rPr>
                          <w:b/>
                        </w:rPr>
                      </w:pPr>
                      <w:r>
                        <w:rPr>
                          <w:rFonts w:hint="eastAsia"/>
                          <w:b/>
                        </w:rPr>
                        <w:t>（背面）</w:t>
                      </w:r>
                    </w:p>
                  </w:txbxContent>
                </v:textbox>
              </v:rect>
            </w:pict>
          </mc:Fallback>
        </mc:AlternateContent>
      </w:r>
    </w:p>
    <w:p w14:paraId="2D23442F">
      <w:pPr>
        <w:pStyle w:val="22"/>
        <w:spacing w:line="440" w:lineRule="exact"/>
        <w:rPr>
          <w:rFonts w:hAnsi="宋体" w:cs="宋体"/>
          <w:color w:val="auto"/>
          <w:highlight w:val="none"/>
        </w:rPr>
      </w:pPr>
    </w:p>
    <w:p w14:paraId="4758926F">
      <w:pPr>
        <w:pStyle w:val="22"/>
        <w:spacing w:line="440" w:lineRule="exact"/>
        <w:rPr>
          <w:rFonts w:hAnsi="宋体" w:cs="宋体"/>
          <w:color w:val="auto"/>
          <w:highlight w:val="none"/>
        </w:rPr>
      </w:pPr>
    </w:p>
    <w:p w14:paraId="51A4B1F6">
      <w:pPr>
        <w:pStyle w:val="22"/>
        <w:spacing w:line="440" w:lineRule="exact"/>
        <w:rPr>
          <w:rFonts w:hAnsi="宋体" w:cs="宋体"/>
          <w:color w:val="auto"/>
          <w:sz w:val="44"/>
          <w:highlight w:val="none"/>
        </w:rPr>
      </w:pPr>
    </w:p>
    <w:p w14:paraId="20ADD59E">
      <w:pPr>
        <w:pStyle w:val="22"/>
        <w:spacing w:line="440" w:lineRule="exact"/>
        <w:rPr>
          <w:rFonts w:hAnsi="宋体" w:cs="宋体"/>
          <w:color w:val="auto"/>
          <w:sz w:val="44"/>
          <w:highlight w:val="none"/>
        </w:rPr>
      </w:pPr>
    </w:p>
    <w:p w14:paraId="64811FB0">
      <w:pPr>
        <w:pStyle w:val="22"/>
        <w:spacing w:line="440" w:lineRule="exact"/>
        <w:rPr>
          <w:rFonts w:hAnsi="宋体" w:cs="宋体"/>
          <w:color w:val="auto"/>
          <w:sz w:val="44"/>
          <w:highlight w:val="none"/>
        </w:rPr>
      </w:pPr>
    </w:p>
    <w:p w14:paraId="0EFFF093">
      <w:pPr>
        <w:spacing w:line="440" w:lineRule="exact"/>
        <w:rPr>
          <w:rFonts w:ascii="宋体" w:hAnsi="宋体" w:cs="宋体"/>
          <w:color w:val="auto"/>
          <w:highlight w:val="none"/>
        </w:rPr>
      </w:pPr>
    </w:p>
    <w:p w14:paraId="4C41D770">
      <w:pPr>
        <w:pStyle w:val="22"/>
        <w:spacing w:line="440" w:lineRule="exact"/>
        <w:ind w:firstLine="5500" w:firstLineChars="2750"/>
        <w:rPr>
          <w:rFonts w:hAnsi="宋体" w:cs="宋体"/>
          <w:color w:val="auto"/>
          <w:highlight w:val="none"/>
        </w:rPr>
      </w:pPr>
    </w:p>
    <w:p w14:paraId="12CF1BBA">
      <w:pPr>
        <w:pStyle w:val="22"/>
        <w:spacing w:line="440" w:lineRule="exact"/>
        <w:ind w:firstLine="5500" w:firstLineChars="2750"/>
        <w:rPr>
          <w:rFonts w:hAnsi="宋体" w:cs="宋体"/>
          <w:color w:val="auto"/>
          <w:highlight w:val="none"/>
        </w:rPr>
      </w:pPr>
    </w:p>
    <w:p w14:paraId="60CB46C7">
      <w:pPr>
        <w:spacing w:line="440" w:lineRule="exact"/>
        <w:rPr>
          <w:rFonts w:ascii="宋体" w:hAnsi="宋体" w:cs="宋体"/>
          <w:b/>
          <w:color w:val="auto"/>
          <w:highlight w:val="none"/>
        </w:rPr>
      </w:pPr>
      <w:r>
        <w:rPr>
          <w:rFonts w:hint="eastAsia" w:ascii="宋体" w:hAnsi="宋体" w:cs="宋体"/>
          <w:b/>
          <w:color w:val="auto"/>
          <w:highlight w:val="none"/>
        </w:rPr>
        <w:t>二、法定代表人授权委托书格式</w:t>
      </w:r>
    </w:p>
    <w:p w14:paraId="05EBB2B8">
      <w:pPr>
        <w:pStyle w:val="22"/>
        <w:spacing w:line="440" w:lineRule="exact"/>
        <w:jc w:val="center"/>
        <w:rPr>
          <w:rFonts w:hAnsi="宋体" w:cs="宋体"/>
          <w:b/>
          <w:color w:val="auto"/>
          <w:sz w:val="32"/>
          <w:highlight w:val="none"/>
        </w:rPr>
      </w:pPr>
    </w:p>
    <w:p w14:paraId="051EF454">
      <w:pPr>
        <w:pStyle w:val="22"/>
        <w:spacing w:line="440" w:lineRule="exact"/>
        <w:jc w:val="center"/>
        <w:rPr>
          <w:rFonts w:hAnsi="宋体" w:cs="宋体"/>
          <w:b/>
          <w:color w:val="auto"/>
          <w:sz w:val="32"/>
          <w:highlight w:val="none"/>
        </w:rPr>
      </w:pPr>
      <w:r>
        <w:rPr>
          <w:rFonts w:hint="eastAsia" w:hAnsi="宋体" w:cs="宋体"/>
          <w:b/>
          <w:color w:val="auto"/>
          <w:sz w:val="32"/>
          <w:highlight w:val="none"/>
        </w:rPr>
        <w:t>法定代表人授权委托书</w:t>
      </w:r>
    </w:p>
    <w:p w14:paraId="46FD8632">
      <w:pPr>
        <w:snapToGrid w:val="0"/>
        <w:spacing w:line="440" w:lineRule="exact"/>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广西德元工程项目管理有限责任公司</w:t>
      </w:r>
      <w:r>
        <w:rPr>
          <w:rFonts w:hint="eastAsia" w:ascii="宋体" w:hAnsi="宋体" w:cs="宋体"/>
          <w:color w:val="auto"/>
          <w:szCs w:val="21"/>
          <w:highlight w:val="none"/>
        </w:rPr>
        <w:t>：</w:t>
      </w:r>
    </w:p>
    <w:p w14:paraId="3F9B9646">
      <w:pPr>
        <w:snapToGrid w:val="0"/>
        <w:spacing w:line="4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我 （姓名）系（供应商名称）的法定代表人，现授权委托（姓名）以我方的名义参加项目的磋商采购活动，并代表我方全权办理针对上述磋商采购项目的磋商、开标、评标、签约等具体事务和签署相关文件。</w:t>
      </w:r>
    </w:p>
    <w:p w14:paraId="2C3C552A">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我方对被授权人的签名事项负全部责任。代理期限从   年  月  日至   年  月  日止。</w:t>
      </w:r>
    </w:p>
    <w:p w14:paraId="62CA5768">
      <w:pPr>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12F8019E">
      <w:pPr>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14:paraId="0BBCFBE4">
      <w:pPr>
        <w:snapToGrid w:val="0"/>
        <w:spacing w:line="440" w:lineRule="exact"/>
        <w:rPr>
          <w:rFonts w:ascii="宋体" w:hAnsi="宋体" w:cs="宋体"/>
          <w:color w:val="auto"/>
          <w:szCs w:val="21"/>
          <w:highlight w:val="none"/>
        </w:rPr>
      </w:pPr>
    </w:p>
    <w:p w14:paraId="7AEB96CD">
      <w:pPr>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被授权人</w:t>
      </w:r>
      <w:r>
        <w:rPr>
          <w:rFonts w:hint="eastAsia" w:ascii="宋体" w:hAnsi="宋体" w:cs="宋体"/>
          <w:b/>
          <w:color w:val="auto"/>
          <w:szCs w:val="21"/>
          <w:highlight w:val="none"/>
        </w:rPr>
        <w:t>签名</w:t>
      </w:r>
      <w:r>
        <w:rPr>
          <w:rFonts w:hint="eastAsia" w:ascii="宋体" w:hAnsi="宋体" w:cs="宋体"/>
          <w:color w:val="auto"/>
          <w:szCs w:val="21"/>
          <w:highlight w:val="none"/>
        </w:rPr>
        <w:t>：            法定代表人</w:t>
      </w:r>
      <w:r>
        <w:rPr>
          <w:rFonts w:hint="eastAsia" w:ascii="宋体" w:hAnsi="宋体" w:cs="宋体"/>
          <w:b/>
          <w:color w:val="auto"/>
          <w:szCs w:val="21"/>
          <w:highlight w:val="none"/>
        </w:rPr>
        <w:t>签名</w:t>
      </w:r>
      <w:r>
        <w:rPr>
          <w:rFonts w:hint="eastAsia" w:ascii="宋体" w:hAnsi="宋体" w:cs="宋体"/>
          <w:color w:val="auto"/>
          <w:szCs w:val="21"/>
          <w:highlight w:val="none"/>
        </w:rPr>
        <w:t>：</w:t>
      </w:r>
    </w:p>
    <w:p w14:paraId="631E72E3">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所在部门职务：            职务：</w:t>
      </w:r>
    </w:p>
    <w:p w14:paraId="72C46AA1">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被授权人身份证号码：</w:t>
      </w:r>
    </w:p>
    <w:p w14:paraId="005D4E2B">
      <w:pPr>
        <w:spacing w:line="440" w:lineRule="exact"/>
        <w:ind w:firstLine="6090" w:firstLineChars="2900"/>
        <w:jc w:val="right"/>
        <w:rPr>
          <w:rFonts w:ascii="宋体" w:hAnsi="宋体" w:cs="宋体"/>
          <w:color w:val="auto"/>
          <w:szCs w:val="21"/>
          <w:highlight w:val="none"/>
        </w:rPr>
      </w:pPr>
      <w:r>
        <w:rPr>
          <w:rFonts w:hint="eastAsia" w:ascii="宋体" w:hAnsi="宋体" w:cs="宋体"/>
          <w:color w:val="auto"/>
          <w:szCs w:val="21"/>
          <w:highlight w:val="none"/>
        </w:rPr>
        <w:t>供应商名称(电子签章)：</w:t>
      </w:r>
    </w:p>
    <w:p w14:paraId="5EFDF72D">
      <w:pPr>
        <w:spacing w:line="440" w:lineRule="exact"/>
        <w:ind w:firstLine="6300" w:firstLineChars="3000"/>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32C5F737">
      <w:pPr>
        <w:snapToGrid w:val="0"/>
        <w:spacing w:line="440" w:lineRule="exact"/>
        <w:jc w:val="center"/>
        <w:rPr>
          <w:rFonts w:ascii="宋体" w:hAnsi="宋体" w:cs="宋体"/>
          <w:color w:val="auto"/>
          <w:highlight w:val="none"/>
        </w:rPr>
      </w:pPr>
    </w:p>
    <w:p w14:paraId="68E8CE35">
      <w:pPr>
        <w:pStyle w:val="22"/>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12700</wp:posOffset>
                </wp:positionV>
                <wp:extent cx="3125470" cy="1941830"/>
                <wp:effectExtent l="9525" t="12700" r="8255" b="7620"/>
                <wp:wrapNone/>
                <wp:docPr id="6" name="矩形 11"/>
                <wp:cNvGraphicFramePr/>
                <a:graphic xmlns:a="http://schemas.openxmlformats.org/drawingml/2006/main">
                  <a:graphicData uri="http://schemas.microsoft.com/office/word/2010/wordprocessingShape">
                    <wps:wsp>
                      <wps:cNvSpPr>
                        <a:spLocks noChangeArrowheads="1"/>
                      </wps:cNvSpPr>
                      <wps:spPr bwMode="auto">
                        <a:xfrm>
                          <a:off x="0" y="0"/>
                          <a:ext cx="3125470" cy="1941830"/>
                        </a:xfrm>
                        <a:prstGeom prst="rect">
                          <a:avLst/>
                        </a:prstGeom>
                        <a:solidFill>
                          <a:srgbClr val="FFFFFF"/>
                        </a:solidFill>
                        <a:ln w="9525">
                          <a:solidFill>
                            <a:srgbClr val="000000"/>
                          </a:solidFill>
                          <a:miter lim="800000"/>
                        </a:ln>
                      </wps:spPr>
                      <wps:txbx>
                        <w:txbxContent>
                          <w:p w14:paraId="18A0DE6A"/>
                          <w:p w14:paraId="2E27841B"/>
                          <w:p w14:paraId="5A6DF9B5"/>
                          <w:p w14:paraId="5BE5D118"/>
                          <w:p w14:paraId="799EB21C"/>
                          <w:p w14:paraId="74269495">
                            <w:pPr>
                              <w:jc w:val="center"/>
                            </w:pPr>
                            <w:r>
                              <w:rPr>
                                <w:rFonts w:hint="eastAsia"/>
                              </w:rPr>
                              <w:t>委托代理人第二代居民身份证复印件</w:t>
                            </w:r>
                          </w:p>
                          <w:p w14:paraId="2450A523">
                            <w:pPr>
                              <w:jc w:val="center"/>
                            </w:pPr>
                            <w:r>
                              <w:rPr>
                                <w:rFonts w:hint="eastAsia"/>
                                <w:b/>
                              </w:rPr>
                              <w:t>（正面）</w:t>
                            </w:r>
                          </w:p>
                          <w:p w14:paraId="4075229A">
                            <w:pPr>
                              <w:jc w:val="center"/>
                            </w:pPr>
                          </w:p>
                        </w:txbxContent>
                      </wps:txbx>
                      <wps:bodyPr rot="0" vert="horz" wrap="square" lIns="91440" tIns="45720" rIns="91440" bIns="45720" anchor="t" anchorCtr="0" upright="1">
                        <a:noAutofit/>
                      </wps:bodyPr>
                    </wps:wsp>
                  </a:graphicData>
                </a:graphic>
              </wp:anchor>
            </w:drawing>
          </mc:Choice>
          <mc:Fallback>
            <w:pict>
              <v:rect id="矩形 11" o:spid="_x0000_s1026" o:spt="1" style="position:absolute;left:0pt;margin-left:9pt;margin-top:1pt;height:152.9pt;width:246.1pt;z-index:251665408;mso-width-relative:page;mso-height-relative:page;" fillcolor="#FFFFFF" filled="t" stroked="t" coordsize="21600,21600" o:gfxdata="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GJ6A1gAAAAgBAAAPAAAAAAAAAAEAIAAAACIAAABkcnMvZG93&#10;bnJldi54bWxQSwECFAAUAAAACACHTuJARiUrnTsCAAB8BAAADgAAAAAAAAABACAAAAAlAQAAZHJz&#10;L2Uyb0RvYy54bWxQSwUGAAAAAAYABgBZAQAA0gUAAAAA&#10;">
                <v:fill on="t" focussize="0,0"/>
                <v:stroke color="#000000" miterlimit="8" joinstyle="miter"/>
                <v:imagedata o:title=""/>
                <o:lock v:ext="edit" aspectratio="f"/>
                <v:textbox>
                  <w:txbxContent>
                    <w:p w14:paraId="18A0DE6A"/>
                    <w:p w14:paraId="2E27841B"/>
                    <w:p w14:paraId="5A6DF9B5"/>
                    <w:p w14:paraId="5BE5D118"/>
                    <w:p w14:paraId="799EB21C"/>
                    <w:p w14:paraId="74269495">
                      <w:pPr>
                        <w:jc w:val="center"/>
                      </w:pPr>
                      <w:r>
                        <w:rPr>
                          <w:rFonts w:hint="eastAsia"/>
                        </w:rPr>
                        <w:t>委托代理人第二代居民身份证复印件</w:t>
                      </w:r>
                    </w:p>
                    <w:p w14:paraId="2450A523">
                      <w:pPr>
                        <w:jc w:val="center"/>
                      </w:pPr>
                      <w:r>
                        <w:rPr>
                          <w:rFonts w:hint="eastAsia"/>
                          <w:b/>
                        </w:rPr>
                        <w:t>（正面）</w:t>
                      </w:r>
                    </w:p>
                    <w:p w14:paraId="4075229A">
                      <w:pPr>
                        <w:jc w:val="center"/>
                      </w:pP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3360" behindDoc="0" locked="0" layoutInCell="0" allowOverlap="1">
                <wp:simplePos x="0" y="0"/>
                <wp:positionH relativeFrom="column">
                  <wp:posOffset>0</wp:posOffset>
                </wp:positionH>
                <wp:positionV relativeFrom="paragraph">
                  <wp:posOffset>0</wp:posOffset>
                </wp:positionV>
                <wp:extent cx="6134100" cy="0"/>
                <wp:effectExtent l="9525" t="9525" r="9525" b="9525"/>
                <wp:wrapTopAndBottom/>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9" o:spid="_x0000_s1026" o:spt="20" style="position:absolute;left:0pt;margin-left:0pt;margin-top:0pt;height:0pt;width:483pt;mso-wrap-distance-bottom:0pt;mso-wrap-distance-top:14.2pt;z-index:251663360;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wHVPfQAAAAAgEAAA8AAAAAAAAAAQAgAAAAIgAA&#10;AGRycy9kb3ducmV2LnhtbFBLAQIUABQAAAAIAIdO4kATg5+i1wEAAKEDAAAOAAAAAAAAAAEAIAAA&#10;AB8BAABkcnMvZTJvRG9jLnhtbFBLBQYAAAAABgAGAFkBAABoBQAAAAA=&#10;">
                <v:fill on="f" focussize="0,0"/>
                <v:stroke color="#000000" joinstyle="round"/>
                <v:imagedata o:title=""/>
                <o:lock v:ext="edit" aspectratio="f"/>
                <w10:wrap type="topAndBottom"/>
              </v:line>
            </w:pict>
          </mc:Fallback>
        </mc:AlternateContent>
      </w:r>
    </w:p>
    <w:p w14:paraId="58AD8F15">
      <w:pPr>
        <w:pStyle w:val="22"/>
        <w:spacing w:line="440" w:lineRule="exact"/>
        <w:rPr>
          <w:rFonts w:hAnsi="宋体" w:cs="宋体"/>
          <w:color w:val="auto"/>
          <w:highlight w:val="none"/>
        </w:rPr>
      </w:pPr>
    </w:p>
    <w:p w14:paraId="53C6EB84">
      <w:pPr>
        <w:pStyle w:val="22"/>
        <w:spacing w:line="440" w:lineRule="exact"/>
        <w:rPr>
          <w:rFonts w:hAnsi="宋体" w:cs="宋体"/>
          <w:color w:val="auto"/>
          <w:highlight w:val="none"/>
        </w:rPr>
      </w:pPr>
    </w:p>
    <w:p w14:paraId="02BE4CFC">
      <w:pPr>
        <w:pStyle w:val="22"/>
        <w:spacing w:line="440" w:lineRule="exact"/>
        <w:rPr>
          <w:rFonts w:hAnsi="宋体" w:cs="宋体"/>
          <w:color w:val="auto"/>
          <w:highlight w:val="none"/>
        </w:rPr>
      </w:pPr>
    </w:p>
    <w:p w14:paraId="3D7B49DD">
      <w:pPr>
        <w:pStyle w:val="22"/>
        <w:spacing w:line="440" w:lineRule="exact"/>
        <w:rPr>
          <w:rFonts w:hAnsi="宋体" w:cs="宋体"/>
          <w:color w:val="auto"/>
          <w:highlight w:val="none"/>
        </w:rPr>
      </w:pPr>
    </w:p>
    <w:p w14:paraId="25948208">
      <w:pPr>
        <w:pStyle w:val="22"/>
        <w:spacing w:line="440" w:lineRule="exact"/>
        <w:ind w:firstLine="5200" w:firstLineChars="2600"/>
        <w:rPr>
          <w:rFonts w:hAnsi="宋体" w:cs="宋体"/>
          <w:color w:val="auto"/>
          <w:highlight w:val="none"/>
          <w:u w:val="single"/>
        </w:rPr>
      </w:pPr>
    </w:p>
    <w:p w14:paraId="2013CF67">
      <w:pPr>
        <w:pStyle w:val="22"/>
        <w:spacing w:line="440" w:lineRule="exact"/>
        <w:rPr>
          <w:rFonts w:hAnsi="宋体" w:cs="宋体"/>
          <w:color w:val="auto"/>
          <w:highlight w:val="none"/>
        </w:rPr>
      </w:pPr>
    </w:p>
    <w:p w14:paraId="0F93913D">
      <w:pPr>
        <w:pStyle w:val="22"/>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79375</wp:posOffset>
                </wp:positionH>
                <wp:positionV relativeFrom="paragraph">
                  <wp:posOffset>105410</wp:posOffset>
                </wp:positionV>
                <wp:extent cx="3220720" cy="1827530"/>
                <wp:effectExtent l="12700" t="10160" r="5080" b="10160"/>
                <wp:wrapSquare wrapText="bothSides"/>
                <wp:docPr id="4" name="矩形 10"/>
                <wp:cNvGraphicFramePr/>
                <a:graphic xmlns:a="http://schemas.openxmlformats.org/drawingml/2006/main">
                  <a:graphicData uri="http://schemas.microsoft.com/office/word/2010/wordprocessingShape">
                    <wps:wsp>
                      <wps:cNvSpPr>
                        <a:spLocks noChangeArrowheads="1"/>
                      </wps:cNvSpPr>
                      <wps:spPr bwMode="auto">
                        <a:xfrm>
                          <a:off x="0" y="0"/>
                          <a:ext cx="3220720" cy="1827530"/>
                        </a:xfrm>
                        <a:prstGeom prst="rect">
                          <a:avLst/>
                        </a:prstGeom>
                        <a:solidFill>
                          <a:srgbClr val="FFFFFF"/>
                        </a:solidFill>
                        <a:ln w="9525">
                          <a:solidFill>
                            <a:srgbClr val="000000"/>
                          </a:solidFill>
                          <a:miter lim="800000"/>
                        </a:ln>
                      </wps:spPr>
                      <wps:txbx>
                        <w:txbxContent>
                          <w:p w14:paraId="45B8B45D"/>
                          <w:p w14:paraId="3D8632B1"/>
                          <w:p w14:paraId="5CD8E250"/>
                          <w:p w14:paraId="3DEE1733"/>
                          <w:p w14:paraId="232EF05C"/>
                          <w:p w14:paraId="0944A651">
                            <w:pPr>
                              <w:jc w:val="center"/>
                            </w:pPr>
                            <w:r>
                              <w:rPr>
                                <w:rFonts w:hint="eastAsia"/>
                              </w:rPr>
                              <w:t>委托代理人第二代居民身份证复印件</w:t>
                            </w:r>
                          </w:p>
                          <w:p w14:paraId="238851BD">
                            <w:pPr>
                              <w:jc w:val="cente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矩形 10" o:spid="_x0000_s1026" o:spt="1" style="position:absolute;left:0pt;margin-left:6.25pt;margin-top:8.3pt;height:143.9pt;width:253.6pt;mso-wrap-distance-bottom:0pt;mso-wrap-distance-left:9pt;mso-wrap-distance-right:9pt;mso-wrap-distance-top:0pt;z-index:251664384;mso-width-relative:page;mso-height-relative:page;" fillcolor="#FFFFFF" filled="t" stroked="t" coordsize="21600,21600" o:gfxdata="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T9mStgAAAAJAQAADwAAAAAAAAABACAAAAAiAAAAZHJzL2Rv&#10;d25yZXYueG1sUEsBAhQAFAAAAAgAh07iQKMj4FQ6AgAAfAQAAA4AAAAAAAAAAQAgAAAAJwEAAGRy&#10;cy9lMm9Eb2MueG1sUEsFBgAAAAAGAAYAWQEAANMFAAAAAA==&#10;">
                <v:fill on="t" focussize="0,0"/>
                <v:stroke color="#000000" miterlimit="8" joinstyle="miter"/>
                <v:imagedata o:title=""/>
                <o:lock v:ext="edit" aspectratio="f"/>
                <v:textbox>
                  <w:txbxContent>
                    <w:p w14:paraId="45B8B45D"/>
                    <w:p w14:paraId="3D8632B1"/>
                    <w:p w14:paraId="5CD8E250"/>
                    <w:p w14:paraId="3DEE1733"/>
                    <w:p w14:paraId="232EF05C"/>
                    <w:p w14:paraId="0944A651">
                      <w:pPr>
                        <w:jc w:val="center"/>
                      </w:pPr>
                      <w:r>
                        <w:rPr>
                          <w:rFonts w:hint="eastAsia"/>
                        </w:rPr>
                        <w:t>委托代理人第二代居民身份证复印件</w:t>
                      </w:r>
                    </w:p>
                    <w:p w14:paraId="238851BD">
                      <w:pPr>
                        <w:jc w:val="center"/>
                      </w:pPr>
                      <w:r>
                        <w:rPr>
                          <w:rFonts w:hint="eastAsia"/>
                          <w:b/>
                        </w:rPr>
                        <w:t>（背面）</w:t>
                      </w:r>
                    </w:p>
                  </w:txbxContent>
                </v:textbox>
                <w10:wrap type="square"/>
              </v:rect>
            </w:pict>
          </mc:Fallback>
        </mc:AlternateContent>
      </w:r>
    </w:p>
    <w:p w14:paraId="2B8593F2">
      <w:pPr>
        <w:pStyle w:val="22"/>
        <w:spacing w:line="440" w:lineRule="exact"/>
        <w:rPr>
          <w:rFonts w:hAnsi="宋体" w:cs="宋体"/>
          <w:color w:val="auto"/>
          <w:highlight w:val="none"/>
        </w:rPr>
      </w:pPr>
    </w:p>
    <w:p w14:paraId="3C34B82B">
      <w:pPr>
        <w:pStyle w:val="22"/>
        <w:spacing w:line="440" w:lineRule="exact"/>
        <w:rPr>
          <w:rFonts w:hAnsi="宋体" w:cs="宋体"/>
          <w:color w:val="auto"/>
          <w:highlight w:val="none"/>
        </w:rPr>
      </w:pPr>
    </w:p>
    <w:p w14:paraId="29C55A17">
      <w:pPr>
        <w:pStyle w:val="22"/>
        <w:spacing w:line="440" w:lineRule="exact"/>
        <w:rPr>
          <w:rFonts w:hAnsi="宋体" w:cs="宋体"/>
          <w:color w:val="auto"/>
          <w:highlight w:val="none"/>
        </w:rPr>
      </w:pPr>
    </w:p>
    <w:p w14:paraId="1E844E4B">
      <w:pPr>
        <w:pStyle w:val="22"/>
        <w:spacing w:line="440" w:lineRule="exact"/>
        <w:rPr>
          <w:rFonts w:hAnsi="宋体" w:cs="宋体"/>
          <w:color w:val="auto"/>
          <w:sz w:val="44"/>
          <w:highlight w:val="none"/>
        </w:rPr>
      </w:pPr>
    </w:p>
    <w:p w14:paraId="2FB4295E">
      <w:pPr>
        <w:spacing w:line="440" w:lineRule="exact"/>
        <w:rPr>
          <w:rFonts w:ascii="宋体" w:hAnsi="宋体" w:cs="宋体"/>
          <w:b/>
          <w:color w:val="auto"/>
          <w:szCs w:val="21"/>
          <w:highlight w:val="none"/>
        </w:rPr>
      </w:pPr>
    </w:p>
    <w:p w14:paraId="193759A9">
      <w:pPr>
        <w:spacing w:line="440" w:lineRule="exact"/>
        <w:rPr>
          <w:rFonts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szCs w:val="21"/>
          <w:highlight w:val="none"/>
          <w:lang w:eastAsia="zh-CN"/>
        </w:rPr>
        <w:t>商务条款偏离表</w:t>
      </w:r>
      <w:r>
        <w:rPr>
          <w:rFonts w:hint="eastAsia" w:ascii="宋体" w:hAnsi="宋体" w:cs="宋体"/>
          <w:b/>
          <w:color w:val="auto"/>
          <w:szCs w:val="21"/>
          <w:highlight w:val="none"/>
        </w:rPr>
        <w:t>格式</w:t>
      </w:r>
    </w:p>
    <w:p w14:paraId="1C6EE457">
      <w:pPr>
        <w:spacing w:line="440" w:lineRule="exact"/>
        <w:jc w:val="center"/>
        <w:rPr>
          <w:rFonts w:ascii="宋体" w:hAnsi="宋体" w:cs="宋体"/>
          <w:b/>
          <w:bCs/>
          <w:color w:val="auto"/>
          <w:kern w:val="0"/>
          <w:sz w:val="30"/>
          <w:highlight w:val="none"/>
        </w:rPr>
      </w:pPr>
      <w:r>
        <w:rPr>
          <w:rFonts w:hint="eastAsia" w:ascii="宋体" w:hAnsi="宋体" w:cs="宋体"/>
          <w:b/>
          <w:bCs/>
          <w:color w:val="auto"/>
          <w:kern w:val="0"/>
          <w:sz w:val="30"/>
          <w:highlight w:val="none"/>
          <w:lang w:eastAsia="zh-CN"/>
        </w:rPr>
        <w:t>商务条款偏离表</w:t>
      </w:r>
      <w:r>
        <w:rPr>
          <w:rFonts w:hint="eastAsia" w:ascii="宋体" w:hAnsi="宋体" w:cs="宋体"/>
          <w:b/>
          <w:bCs/>
          <w:color w:val="auto"/>
          <w:kern w:val="0"/>
          <w:sz w:val="30"/>
          <w:highlight w:val="none"/>
        </w:rPr>
        <w:t>（格式）</w:t>
      </w:r>
    </w:p>
    <w:p w14:paraId="2C5602CB">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14:paraId="7E561585">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14:paraId="022CAE6D">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2686"/>
        <w:gridCol w:w="2410"/>
        <w:gridCol w:w="2035"/>
      </w:tblGrid>
      <w:tr w14:paraId="74FB4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56FB8B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商务要求</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1E099EDF">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lang w:val="en-US" w:eastAsia="zh-CN"/>
              </w:rPr>
              <w:t>磋商</w:t>
            </w:r>
            <w:r>
              <w:rPr>
                <w:rFonts w:hint="eastAsia" w:ascii="宋体" w:hAnsi="宋体"/>
                <w:color w:val="auto"/>
                <w:sz w:val="24"/>
                <w:highlight w:val="none"/>
              </w:rPr>
              <w:t>文件要求</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013BF12">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的承诺</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4566743">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57A93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6C1CEDE">
            <w:pPr>
              <w:jc w:val="center"/>
              <w:rPr>
                <w:rFonts w:ascii="宋体" w:hAnsi="宋体"/>
                <w:color w:val="auto"/>
                <w:sz w:val="24"/>
                <w:highlight w:val="none"/>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62CA1152">
            <w:pPr>
              <w:snapToGrid w:val="0"/>
              <w:spacing w:before="120" w:beforeLines="50" w:line="300" w:lineRule="atLeast"/>
              <w:rPr>
                <w:rFonts w:ascii="宋体" w:hAnsi="宋体"/>
                <w:color w:val="auto"/>
                <w:szCs w:val="21"/>
                <w:highlight w:val="none"/>
              </w:rPr>
            </w:pPr>
            <w:r>
              <w:rPr>
                <w:rFonts w:ascii="宋体" w:hAnsi="宋体"/>
                <w:color w:val="auto"/>
                <w:szCs w:val="21"/>
                <w:highlight w:val="none"/>
              </w:rPr>
              <w:t>1.……</w:t>
            </w:r>
          </w:p>
          <w:p w14:paraId="42493FD0">
            <w:pPr>
              <w:snapToGrid w:val="0"/>
              <w:spacing w:before="120" w:beforeLines="50" w:line="300" w:lineRule="atLeast"/>
              <w:rPr>
                <w:rFonts w:ascii="宋体" w:hAnsi="宋体"/>
                <w:color w:val="auto"/>
                <w:szCs w:val="21"/>
                <w:highlight w:val="none"/>
              </w:rPr>
            </w:pPr>
            <w:r>
              <w:rPr>
                <w:rFonts w:ascii="宋体" w:hAnsi="宋体"/>
                <w:color w:val="auto"/>
                <w:szCs w:val="21"/>
                <w:highlight w:val="none"/>
              </w:rPr>
              <w:t>2.……</w:t>
            </w:r>
          </w:p>
          <w:p w14:paraId="63F6CC58">
            <w:pPr>
              <w:rPr>
                <w:rFonts w:hint="eastAsia" w:ascii="宋体" w:hAnsi="宋体"/>
                <w:color w:val="auto"/>
                <w:sz w:val="24"/>
                <w:highlight w:val="none"/>
              </w:rPr>
            </w:pPr>
            <w:r>
              <w:rPr>
                <w:rFonts w:hint="eastAsia" w:ascii="宋体" w:hAnsi="宋体"/>
                <w:color w:val="auto"/>
                <w:szCs w:val="21"/>
                <w:highlight w:val="none"/>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D912E27">
            <w:pPr>
              <w:snapToGrid w:val="0"/>
              <w:spacing w:before="120" w:beforeLines="50" w:line="300" w:lineRule="atLeast"/>
              <w:rPr>
                <w:rFonts w:ascii="宋体" w:hAnsi="宋体"/>
                <w:color w:val="auto"/>
                <w:szCs w:val="21"/>
                <w:highlight w:val="none"/>
              </w:rPr>
            </w:pPr>
            <w:r>
              <w:rPr>
                <w:rFonts w:ascii="宋体" w:hAnsi="宋体"/>
                <w:color w:val="auto"/>
                <w:szCs w:val="21"/>
                <w:highlight w:val="none"/>
              </w:rPr>
              <w:t>1.……</w:t>
            </w:r>
          </w:p>
          <w:p w14:paraId="60FDE35C">
            <w:pPr>
              <w:snapToGrid w:val="0"/>
              <w:spacing w:before="120" w:beforeLines="50" w:line="300" w:lineRule="atLeast"/>
              <w:rPr>
                <w:rFonts w:ascii="宋体" w:hAnsi="宋体"/>
                <w:color w:val="auto"/>
                <w:szCs w:val="21"/>
                <w:highlight w:val="none"/>
              </w:rPr>
            </w:pPr>
            <w:r>
              <w:rPr>
                <w:rFonts w:ascii="宋体" w:hAnsi="宋体"/>
                <w:color w:val="auto"/>
                <w:szCs w:val="21"/>
                <w:highlight w:val="none"/>
              </w:rPr>
              <w:t>2.……</w:t>
            </w:r>
          </w:p>
          <w:p w14:paraId="269B35BA">
            <w:pPr>
              <w:snapToGrid w:val="0"/>
              <w:spacing w:before="120" w:beforeLines="50"/>
              <w:rPr>
                <w:rFonts w:hint="eastAsia" w:ascii="宋体" w:hAnsi="宋体"/>
                <w:color w:val="auto"/>
                <w:sz w:val="24"/>
                <w:highlight w:val="none"/>
              </w:rPr>
            </w:pPr>
            <w:r>
              <w:rPr>
                <w:rFonts w:hint="eastAsia" w:ascii="宋体" w:hAnsi="宋体"/>
                <w:color w:val="auto"/>
                <w:szCs w:val="21"/>
                <w:highlight w:val="none"/>
              </w:rPr>
              <w:t>……</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28A250D9">
            <w:pPr>
              <w:snapToGrid w:val="0"/>
              <w:spacing w:before="120" w:beforeLines="50"/>
              <w:jc w:val="center"/>
              <w:rPr>
                <w:rFonts w:hint="eastAsia" w:ascii="宋体" w:hAnsi="宋体"/>
                <w:color w:val="auto"/>
                <w:sz w:val="24"/>
                <w:highlight w:val="none"/>
              </w:rPr>
            </w:pPr>
          </w:p>
        </w:tc>
      </w:tr>
      <w:tr w14:paraId="48CCC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5BECADE">
            <w:pPr>
              <w:jc w:val="center"/>
              <w:rPr>
                <w:rFonts w:ascii="宋体" w:hAnsi="宋体"/>
                <w:color w:val="auto"/>
                <w:sz w:val="24"/>
                <w:highlight w:val="none"/>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644332AF">
            <w:pPr>
              <w:snapToGrid w:val="0"/>
              <w:spacing w:before="120" w:beforeLines="50" w:line="300" w:lineRule="atLeast"/>
              <w:rPr>
                <w:rFonts w:ascii="宋体" w:hAnsi="宋体"/>
                <w:color w:val="auto"/>
                <w:szCs w:val="21"/>
                <w:highlight w:val="none"/>
              </w:rPr>
            </w:pPr>
            <w:r>
              <w:rPr>
                <w:rFonts w:ascii="宋体" w:hAnsi="宋体"/>
                <w:color w:val="auto"/>
                <w:szCs w:val="21"/>
                <w:highlight w:val="none"/>
              </w:rPr>
              <w:t>1.……</w:t>
            </w:r>
          </w:p>
          <w:p w14:paraId="0E0E7940">
            <w:pPr>
              <w:snapToGrid w:val="0"/>
              <w:spacing w:before="120" w:beforeLines="50" w:line="300" w:lineRule="atLeast"/>
              <w:rPr>
                <w:rFonts w:ascii="宋体" w:hAnsi="宋体"/>
                <w:color w:val="auto"/>
                <w:szCs w:val="21"/>
                <w:highlight w:val="none"/>
              </w:rPr>
            </w:pPr>
            <w:r>
              <w:rPr>
                <w:rFonts w:ascii="宋体" w:hAnsi="宋体"/>
                <w:color w:val="auto"/>
                <w:szCs w:val="21"/>
                <w:highlight w:val="none"/>
              </w:rPr>
              <w:t>2.……</w:t>
            </w:r>
          </w:p>
          <w:p w14:paraId="1269FDBF">
            <w:pPr>
              <w:rPr>
                <w:rFonts w:hint="eastAsia" w:ascii="宋体" w:hAnsi="宋体"/>
                <w:color w:val="auto"/>
                <w:sz w:val="24"/>
                <w:highlight w:val="none"/>
              </w:rPr>
            </w:pPr>
            <w:r>
              <w:rPr>
                <w:rFonts w:hint="eastAsia" w:ascii="宋体" w:hAnsi="宋体"/>
                <w:color w:val="auto"/>
                <w:szCs w:val="21"/>
                <w:highlight w:val="none"/>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FFA2122">
            <w:pPr>
              <w:snapToGrid w:val="0"/>
              <w:spacing w:before="120" w:beforeLines="50" w:line="300" w:lineRule="atLeast"/>
              <w:rPr>
                <w:rFonts w:ascii="宋体" w:hAnsi="宋体"/>
                <w:color w:val="auto"/>
                <w:szCs w:val="21"/>
                <w:highlight w:val="none"/>
              </w:rPr>
            </w:pPr>
            <w:r>
              <w:rPr>
                <w:rFonts w:ascii="宋体" w:hAnsi="宋体"/>
                <w:color w:val="auto"/>
                <w:szCs w:val="21"/>
                <w:highlight w:val="none"/>
              </w:rPr>
              <w:t>1.……</w:t>
            </w:r>
          </w:p>
          <w:p w14:paraId="4709F797">
            <w:pPr>
              <w:snapToGrid w:val="0"/>
              <w:spacing w:before="120" w:beforeLines="50" w:line="300" w:lineRule="atLeast"/>
              <w:rPr>
                <w:rFonts w:ascii="宋体" w:hAnsi="宋体"/>
                <w:color w:val="auto"/>
                <w:szCs w:val="21"/>
                <w:highlight w:val="none"/>
              </w:rPr>
            </w:pPr>
            <w:r>
              <w:rPr>
                <w:rFonts w:ascii="宋体" w:hAnsi="宋体"/>
                <w:color w:val="auto"/>
                <w:szCs w:val="21"/>
                <w:highlight w:val="none"/>
              </w:rPr>
              <w:t>2.……</w:t>
            </w:r>
          </w:p>
          <w:p w14:paraId="74ED519B">
            <w:pPr>
              <w:snapToGrid w:val="0"/>
              <w:spacing w:before="120" w:beforeLines="50"/>
              <w:ind w:left="43"/>
              <w:rPr>
                <w:rFonts w:hint="eastAsia" w:ascii="宋体" w:hAnsi="宋体"/>
                <w:color w:val="auto"/>
                <w:sz w:val="24"/>
                <w:highlight w:val="none"/>
              </w:rPr>
            </w:pPr>
            <w:r>
              <w:rPr>
                <w:rFonts w:hint="eastAsia" w:ascii="宋体" w:hAnsi="宋体"/>
                <w:color w:val="auto"/>
                <w:szCs w:val="21"/>
                <w:highlight w:val="none"/>
              </w:rPr>
              <w:t>……</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2745D35C">
            <w:pPr>
              <w:snapToGrid w:val="0"/>
              <w:spacing w:before="120" w:beforeLines="50"/>
              <w:ind w:left="43"/>
              <w:jc w:val="center"/>
              <w:rPr>
                <w:rFonts w:hint="eastAsia" w:ascii="宋体" w:hAnsi="宋体"/>
                <w:color w:val="auto"/>
                <w:sz w:val="24"/>
                <w:highlight w:val="none"/>
              </w:rPr>
            </w:pPr>
          </w:p>
        </w:tc>
      </w:tr>
      <w:tr w14:paraId="4D292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8B3AC9E">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0D7E39C1">
            <w:pPr>
              <w:snapToGrid w:val="0"/>
              <w:spacing w:before="120" w:beforeLines="50"/>
              <w:rPr>
                <w:rFonts w:hint="eastAsia" w:ascii="宋体" w:hAnsi="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D16D3A8">
            <w:pPr>
              <w:snapToGrid w:val="0"/>
              <w:spacing w:before="120" w:beforeLines="50"/>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10856D13">
            <w:pPr>
              <w:snapToGrid w:val="0"/>
              <w:spacing w:before="120" w:beforeLines="50"/>
              <w:jc w:val="center"/>
              <w:rPr>
                <w:rFonts w:hint="eastAsia" w:ascii="宋体" w:hAnsi="宋体"/>
                <w:color w:val="auto"/>
                <w:sz w:val="24"/>
                <w:highlight w:val="none"/>
              </w:rPr>
            </w:pPr>
          </w:p>
        </w:tc>
      </w:tr>
    </w:tbl>
    <w:p w14:paraId="7B6C09B1">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4E0C32DB">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1.说明：应对照磋商文件“第三章”中“项目采购需求”的</w:t>
      </w:r>
      <w:r>
        <w:rPr>
          <w:rFonts w:hint="eastAsia" w:ascii="宋体" w:hAnsi="宋体" w:cs="宋体"/>
          <w:color w:val="auto"/>
          <w:kern w:val="0"/>
          <w:szCs w:val="21"/>
          <w:highlight w:val="none"/>
          <w:lang w:val="en-US" w:eastAsia="zh-CN"/>
        </w:rPr>
        <w:t>商务要求</w:t>
      </w:r>
      <w:r>
        <w:rPr>
          <w:rFonts w:hint="eastAsia" w:ascii="宋体" w:hAnsi="宋体" w:cs="宋体"/>
          <w:color w:val="auto"/>
          <w:kern w:val="0"/>
          <w:szCs w:val="21"/>
          <w:highlight w:val="none"/>
        </w:rPr>
        <w:t>逐条作出明确响应，并作出偏离说明。</w:t>
      </w:r>
    </w:p>
    <w:p w14:paraId="1F18E1AF">
      <w:pPr>
        <w:spacing w:line="440" w:lineRule="exact"/>
        <w:rPr>
          <w:rFonts w:ascii="宋体" w:hAnsi="宋体" w:cs="宋体"/>
          <w:b/>
          <w:color w:val="auto"/>
          <w:szCs w:val="21"/>
          <w:highlight w:val="non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6E8CDC17">
      <w:pPr>
        <w:spacing w:line="440" w:lineRule="exact"/>
        <w:rPr>
          <w:rFonts w:ascii="宋体" w:hAnsi="宋体" w:cs="宋体"/>
          <w:b/>
          <w:color w:val="auto"/>
          <w:szCs w:val="21"/>
          <w:highlight w:val="none"/>
        </w:rPr>
      </w:pPr>
    </w:p>
    <w:p w14:paraId="0E7C0AD0">
      <w:pPr>
        <w:spacing w:line="440" w:lineRule="exact"/>
        <w:rPr>
          <w:rFonts w:ascii="宋体" w:hAnsi="宋体" w:cs="宋体"/>
          <w:b/>
          <w:color w:val="auto"/>
          <w:szCs w:val="21"/>
          <w:highlight w:val="none"/>
        </w:rPr>
      </w:pPr>
    </w:p>
    <w:p w14:paraId="2750B1AB">
      <w:pPr>
        <w:spacing w:line="440" w:lineRule="exact"/>
        <w:rPr>
          <w:rFonts w:ascii="宋体" w:hAnsi="宋体" w:cs="宋体"/>
          <w:b/>
          <w:color w:val="auto"/>
          <w:szCs w:val="21"/>
          <w:highlight w:val="none"/>
        </w:rPr>
      </w:pPr>
    </w:p>
    <w:p w14:paraId="790BA6F0">
      <w:pPr>
        <w:spacing w:line="440" w:lineRule="exact"/>
        <w:rPr>
          <w:rFonts w:ascii="宋体" w:hAnsi="宋体" w:cs="宋体"/>
          <w:b/>
          <w:color w:val="auto"/>
          <w:szCs w:val="21"/>
          <w:highlight w:val="none"/>
        </w:rPr>
      </w:pPr>
    </w:p>
    <w:p w14:paraId="602223EF">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472382D6">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41846E9A">
      <w:pPr>
        <w:spacing w:line="440" w:lineRule="exact"/>
        <w:rPr>
          <w:rFonts w:ascii="宋体" w:hAnsi="宋体" w:cs="宋体"/>
          <w:b/>
          <w:color w:val="auto"/>
          <w:szCs w:val="21"/>
          <w:highlight w:val="none"/>
        </w:rPr>
      </w:pPr>
    </w:p>
    <w:p w14:paraId="680B4B23">
      <w:pPr>
        <w:spacing w:line="440" w:lineRule="exact"/>
        <w:rPr>
          <w:rFonts w:ascii="宋体" w:hAnsi="宋体" w:cs="宋体"/>
          <w:b/>
          <w:color w:val="auto"/>
          <w:szCs w:val="21"/>
          <w:highlight w:val="none"/>
        </w:rPr>
      </w:pPr>
    </w:p>
    <w:p w14:paraId="33D237BB">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343B0368">
      <w:pPr>
        <w:spacing w:line="440" w:lineRule="exact"/>
        <w:rPr>
          <w:rFonts w:ascii="宋体" w:hAnsi="宋体" w:cs="宋体"/>
          <w:b/>
          <w:color w:val="auto"/>
          <w:szCs w:val="21"/>
          <w:highlight w:val="none"/>
        </w:rPr>
      </w:pPr>
      <w:r>
        <w:rPr>
          <w:rFonts w:hint="eastAsia" w:ascii="宋体" w:hAnsi="宋体" w:cs="宋体"/>
          <w:b/>
          <w:color w:val="auto"/>
          <w:szCs w:val="21"/>
          <w:highlight w:val="none"/>
        </w:rPr>
        <w:t>四、</w:t>
      </w:r>
      <w:r>
        <w:rPr>
          <w:rFonts w:hint="eastAsia" w:ascii="宋体" w:hAnsi="宋体" w:cs="宋体"/>
          <w:b/>
          <w:color w:val="auto"/>
          <w:szCs w:val="21"/>
          <w:highlight w:val="none"/>
          <w:lang w:eastAsia="zh-CN"/>
        </w:rPr>
        <w:t>技术要求偏离表</w:t>
      </w:r>
      <w:r>
        <w:rPr>
          <w:rFonts w:hint="eastAsia" w:ascii="宋体" w:hAnsi="宋体" w:cs="宋体"/>
          <w:b/>
          <w:color w:val="auto"/>
          <w:szCs w:val="21"/>
          <w:highlight w:val="none"/>
        </w:rPr>
        <w:t>格式</w:t>
      </w:r>
    </w:p>
    <w:p w14:paraId="518B8866">
      <w:pPr>
        <w:spacing w:line="440" w:lineRule="exact"/>
        <w:jc w:val="center"/>
        <w:rPr>
          <w:rFonts w:ascii="宋体" w:hAnsi="宋体" w:cs="宋体"/>
          <w:b/>
          <w:bCs/>
          <w:color w:val="auto"/>
          <w:kern w:val="0"/>
          <w:sz w:val="30"/>
          <w:highlight w:val="none"/>
        </w:rPr>
      </w:pPr>
      <w:r>
        <w:rPr>
          <w:rFonts w:hint="eastAsia" w:ascii="宋体" w:hAnsi="宋体" w:cs="宋体"/>
          <w:b/>
          <w:bCs/>
          <w:color w:val="auto"/>
          <w:kern w:val="0"/>
          <w:sz w:val="30"/>
          <w:highlight w:val="none"/>
          <w:lang w:eastAsia="zh-CN"/>
        </w:rPr>
        <w:t>技术要求偏离表</w:t>
      </w:r>
      <w:r>
        <w:rPr>
          <w:rFonts w:hint="eastAsia" w:ascii="宋体" w:hAnsi="宋体" w:cs="宋体"/>
          <w:b/>
          <w:bCs/>
          <w:color w:val="auto"/>
          <w:kern w:val="0"/>
          <w:sz w:val="30"/>
          <w:highlight w:val="none"/>
        </w:rPr>
        <w:t>（格式）</w:t>
      </w:r>
    </w:p>
    <w:p w14:paraId="1D7BB607">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14:paraId="40FBE5D4">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14:paraId="510FF841">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8970"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364"/>
        <w:gridCol w:w="1681"/>
        <w:gridCol w:w="2120"/>
        <w:gridCol w:w="2978"/>
      </w:tblGrid>
      <w:tr w14:paraId="63910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exact"/>
        </w:trPr>
        <w:tc>
          <w:tcPr>
            <w:tcW w:w="827" w:type="dxa"/>
            <w:tcBorders>
              <w:top w:val="single" w:color="000000" w:sz="4" w:space="0"/>
              <w:left w:val="single" w:color="000000" w:sz="4" w:space="0"/>
              <w:bottom w:val="single" w:color="000000" w:sz="4" w:space="0"/>
              <w:right w:val="single" w:color="000000" w:sz="4" w:space="0"/>
            </w:tcBorders>
            <w:vAlign w:val="center"/>
          </w:tcPr>
          <w:p w14:paraId="5EFDD9DF">
            <w:pPr>
              <w:pStyle w:val="207"/>
              <w:spacing w:line="440" w:lineRule="exact"/>
              <w:ind w:left="174" w:right="181"/>
              <w:jc w:val="center"/>
              <w:rPr>
                <w:color w:val="auto"/>
                <w:kern w:val="2"/>
                <w:sz w:val="21"/>
                <w:highlight w:val="none"/>
              </w:rPr>
            </w:pPr>
            <w:r>
              <w:rPr>
                <w:rFonts w:hint="eastAsia"/>
                <w:color w:val="auto"/>
                <w:kern w:val="2"/>
                <w:sz w:val="21"/>
                <w:highlight w:val="none"/>
              </w:rPr>
              <w:t>项号</w:t>
            </w:r>
          </w:p>
        </w:tc>
        <w:tc>
          <w:tcPr>
            <w:tcW w:w="1364" w:type="dxa"/>
            <w:tcBorders>
              <w:top w:val="single" w:color="000000" w:sz="4" w:space="0"/>
              <w:left w:val="single" w:color="000000" w:sz="4" w:space="0"/>
              <w:bottom w:val="single" w:color="000000" w:sz="4" w:space="0"/>
              <w:right w:val="single" w:color="000000" w:sz="4" w:space="0"/>
            </w:tcBorders>
            <w:vAlign w:val="center"/>
          </w:tcPr>
          <w:p w14:paraId="674488A2">
            <w:pPr>
              <w:pStyle w:val="207"/>
              <w:spacing w:line="440" w:lineRule="exact"/>
              <w:ind w:left="254" w:right="0"/>
              <w:rPr>
                <w:color w:val="auto"/>
                <w:kern w:val="2"/>
                <w:sz w:val="21"/>
                <w:highlight w:val="none"/>
                <w:lang w:eastAsia="zh-CN"/>
              </w:rPr>
            </w:pPr>
            <w:r>
              <w:rPr>
                <w:rFonts w:hint="eastAsia"/>
                <w:color w:val="auto"/>
                <w:kern w:val="2"/>
                <w:sz w:val="21"/>
                <w:highlight w:val="none"/>
                <w:lang w:eastAsia="zh-CN"/>
              </w:rPr>
              <w:t>标的</w:t>
            </w:r>
            <w:r>
              <w:rPr>
                <w:rFonts w:hint="eastAsia"/>
                <w:color w:val="auto"/>
                <w:kern w:val="2"/>
                <w:sz w:val="21"/>
                <w:highlight w:val="none"/>
              </w:rPr>
              <w:t>名称</w:t>
            </w:r>
          </w:p>
        </w:tc>
        <w:tc>
          <w:tcPr>
            <w:tcW w:w="1681" w:type="dxa"/>
            <w:tcBorders>
              <w:top w:val="single" w:color="000000" w:sz="4" w:space="0"/>
              <w:left w:val="single" w:color="000000" w:sz="4" w:space="0"/>
              <w:bottom w:val="single" w:color="000000" w:sz="4" w:space="0"/>
              <w:right w:val="single" w:color="auto" w:sz="4" w:space="0"/>
            </w:tcBorders>
            <w:vAlign w:val="center"/>
          </w:tcPr>
          <w:p w14:paraId="081C6E1D">
            <w:pPr>
              <w:snapToGrid w:val="0"/>
              <w:spacing w:before="120" w:beforeLines="50" w:line="44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文件要求</w:t>
            </w:r>
          </w:p>
        </w:tc>
        <w:tc>
          <w:tcPr>
            <w:tcW w:w="2120" w:type="dxa"/>
            <w:tcBorders>
              <w:top w:val="single" w:color="000000" w:sz="4" w:space="0"/>
              <w:left w:val="single" w:color="auto" w:sz="4" w:space="0"/>
              <w:bottom w:val="single" w:color="000000" w:sz="4" w:space="0"/>
              <w:right w:val="single" w:color="000000" w:sz="4" w:space="0"/>
            </w:tcBorders>
            <w:vAlign w:val="center"/>
          </w:tcPr>
          <w:p w14:paraId="5762101A">
            <w:pPr>
              <w:snapToGrid w:val="0"/>
              <w:spacing w:before="120" w:beforeLines="50" w:line="440" w:lineRule="exact"/>
              <w:jc w:val="center"/>
              <w:rPr>
                <w:rFonts w:ascii="宋体" w:hAnsi="宋体" w:cs="宋体"/>
                <w:color w:val="auto"/>
                <w:szCs w:val="21"/>
                <w:highlight w:val="none"/>
              </w:rPr>
            </w:pPr>
            <w:r>
              <w:rPr>
                <w:rFonts w:hint="eastAsia" w:ascii="宋体" w:hAnsi="宋体" w:cs="宋体"/>
                <w:color w:val="auto"/>
                <w:szCs w:val="21"/>
                <w:highlight w:val="none"/>
              </w:rPr>
              <w:t>响应文件响应</w:t>
            </w:r>
          </w:p>
        </w:tc>
        <w:tc>
          <w:tcPr>
            <w:tcW w:w="2978" w:type="dxa"/>
            <w:tcBorders>
              <w:top w:val="single" w:color="000000" w:sz="4" w:space="0"/>
              <w:left w:val="single" w:color="000000" w:sz="4" w:space="0"/>
              <w:bottom w:val="single" w:color="000000" w:sz="4" w:space="0"/>
              <w:right w:val="single" w:color="000000" w:sz="4" w:space="0"/>
            </w:tcBorders>
            <w:vAlign w:val="center"/>
          </w:tcPr>
          <w:p w14:paraId="42E89DEC">
            <w:pPr>
              <w:pStyle w:val="207"/>
              <w:spacing w:line="440" w:lineRule="exact"/>
              <w:ind w:left="-2" w:leftChars="-1" w:right="131"/>
              <w:jc w:val="center"/>
              <w:rPr>
                <w:color w:val="auto"/>
                <w:kern w:val="2"/>
                <w:sz w:val="21"/>
                <w:highlight w:val="none"/>
              </w:rPr>
            </w:pPr>
            <w:r>
              <w:rPr>
                <w:rFonts w:hint="eastAsia"/>
                <w:color w:val="auto"/>
                <w:kern w:val="2"/>
                <w:sz w:val="21"/>
                <w:highlight w:val="none"/>
              </w:rPr>
              <w:t>偏离情况说明</w:t>
            </w:r>
          </w:p>
        </w:tc>
      </w:tr>
      <w:tr w14:paraId="2DF18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7" w:type="dxa"/>
            <w:tcBorders>
              <w:top w:val="single" w:color="000000" w:sz="4" w:space="0"/>
              <w:left w:val="single" w:color="000000" w:sz="4" w:space="0"/>
              <w:bottom w:val="single" w:color="000000" w:sz="4" w:space="0"/>
              <w:right w:val="single" w:color="000000" w:sz="4" w:space="0"/>
            </w:tcBorders>
          </w:tcPr>
          <w:p w14:paraId="47D0F868">
            <w:pPr>
              <w:pStyle w:val="207"/>
              <w:spacing w:before="167" w:line="440" w:lineRule="exact"/>
              <w:ind w:left="0" w:right="7"/>
              <w:jc w:val="center"/>
              <w:rPr>
                <w:color w:val="auto"/>
                <w:kern w:val="2"/>
                <w:sz w:val="21"/>
                <w:highlight w:val="none"/>
              </w:rPr>
            </w:pPr>
            <w:r>
              <w:rPr>
                <w:rFonts w:hint="eastAsia"/>
                <w:color w:val="auto"/>
                <w:kern w:val="2"/>
                <w:sz w:val="21"/>
                <w:highlight w:val="none"/>
              </w:rPr>
              <w:t>1</w:t>
            </w:r>
          </w:p>
        </w:tc>
        <w:tc>
          <w:tcPr>
            <w:tcW w:w="1364" w:type="dxa"/>
            <w:tcBorders>
              <w:top w:val="single" w:color="000000" w:sz="4" w:space="0"/>
              <w:left w:val="single" w:color="000000" w:sz="4" w:space="0"/>
              <w:bottom w:val="single" w:color="000000" w:sz="4" w:space="0"/>
              <w:right w:val="single" w:color="000000" w:sz="4" w:space="0"/>
            </w:tcBorders>
          </w:tcPr>
          <w:p w14:paraId="6AE42D5D">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14:paraId="78532482">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14:paraId="6CFC9169">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14:paraId="381B22EE">
            <w:pPr>
              <w:spacing w:line="440" w:lineRule="exact"/>
              <w:rPr>
                <w:rFonts w:ascii="宋体" w:hAnsi="宋体" w:cs="宋体"/>
                <w:color w:val="auto"/>
                <w:highlight w:val="none"/>
              </w:rPr>
            </w:pPr>
          </w:p>
        </w:tc>
      </w:tr>
      <w:tr w14:paraId="17676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7" w:type="dxa"/>
            <w:tcBorders>
              <w:top w:val="single" w:color="000000" w:sz="4" w:space="0"/>
              <w:left w:val="single" w:color="000000" w:sz="4" w:space="0"/>
              <w:bottom w:val="single" w:color="000000" w:sz="4" w:space="0"/>
              <w:right w:val="single" w:color="000000" w:sz="4" w:space="0"/>
            </w:tcBorders>
          </w:tcPr>
          <w:p w14:paraId="553B4A98">
            <w:pPr>
              <w:pStyle w:val="207"/>
              <w:spacing w:before="167" w:line="440" w:lineRule="exact"/>
              <w:ind w:left="0" w:right="7"/>
              <w:jc w:val="center"/>
              <w:rPr>
                <w:color w:val="auto"/>
                <w:kern w:val="2"/>
                <w:sz w:val="21"/>
                <w:highlight w:val="none"/>
              </w:rPr>
            </w:pPr>
            <w:r>
              <w:rPr>
                <w:rFonts w:hint="eastAsia"/>
                <w:color w:val="auto"/>
                <w:kern w:val="2"/>
                <w:sz w:val="21"/>
                <w:highlight w:val="none"/>
              </w:rPr>
              <w:t>2</w:t>
            </w:r>
          </w:p>
        </w:tc>
        <w:tc>
          <w:tcPr>
            <w:tcW w:w="1364" w:type="dxa"/>
            <w:tcBorders>
              <w:top w:val="single" w:color="000000" w:sz="4" w:space="0"/>
              <w:left w:val="single" w:color="000000" w:sz="4" w:space="0"/>
              <w:bottom w:val="single" w:color="000000" w:sz="4" w:space="0"/>
              <w:right w:val="single" w:color="000000" w:sz="4" w:space="0"/>
            </w:tcBorders>
          </w:tcPr>
          <w:p w14:paraId="4E86CFB1">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14:paraId="0CFD42C4">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14:paraId="45006F0A">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14:paraId="6F9D104E">
            <w:pPr>
              <w:spacing w:line="440" w:lineRule="exact"/>
              <w:rPr>
                <w:rFonts w:ascii="宋体" w:hAnsi="宋体" w:cs="宋体"/>
                <w:color w:val="auto"/>
                <w:highlight w:val="none"/>
              </w:rPr>
            </w:pPr>
          </w:p>
        </w:tc>
      </w:tr>
      <w:tr w14:paraId="2A23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7" w:type="dxa"/>
            <w:tcBorders>
              <w:top w:val="single" w:color="000000" w:sz="4" w:space="0"/>
              <w:left w:val="single" w:color="000000" w:sz="4" w:space="0"/>
              <w:bottom w:val="single" w:color="000000" w:sz="4" w:space="0"/>
              <w:right w:val="single" w:color="000000" w:sz="4" w:space="0"/>
            </w:tcBorders>
          </w:tcPr>
          <w:p w14:paraId="34E4A4EB">
            <w:pPr>
              <w:pStyle w:val="207"/>
              <w:spacing w:before="177" w:line="440" w:lineRule="exact"/>
              <w:ind w:left="0" w:right="7"/>
              <w:jc w:val="center"/>
              <w:rPr>
                <w:color w:val="auto"/>
                <w:kern w:val="2"/>
                <w:sz w:val="21"/>
                <w:highlight w:val="none"/>
              </w:rPr>
            </w:pPr>
            <w:r>
              <w:rPr>
                <w:rFonts w:hint="eastAsia"/>
                <w:color w:val="auto"/>
                <w:kern w:val="2"/>
                <w:sz w:val="21"/>
                <w:highlight w:val="none"/>
              </w:rPr>
              <w:t>…</w:t>
            </w:r>
          </w:p>
        </w:tc>
        <w:tc>
          <w:tcPr>
            <w:tcW w:w="1364" w:type="dxa"/>
            <w:tcBorders>
              <w:top w:val="single" w:color="000000" w:sz="4" w:space="0"/>
              <w:left w:val="single" w:color="000000" w:sz="4" w:space="0"/>
              <w:bottom w:val="single" w:color="000000" w:sz="4" w:space="0"/>
              <w:right w:val="single" w:color="000000" w:sz="4" w:space="0"/>
            </w:tcBorders>
          </w:tcPr>
          <w:p w14:paraId="259A954C">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14:paraId="4D37EA32">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14:paraId="5C949BB6">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14:paraId="3A51147A">
            <w:pPr>
              <w:spacing w:line="440" w:lineRule="exact"/>
              <w:rPr>
                <w:rFonts w:ascii="宋体" w:hAnsi="宋体" w:cs="宋体"/>
                <w:color w:val="auto"/>
                <w:highlight w:val="none"/>
              </w:rPr>
            </w:pPr>
          </w:p>
        </w:tc>
      </w:tr>
      <w:tr w14:paraId="0AFB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7" w:type="dxa"/>
            <w:tcBorders>
              <w:top w:val="single" w:color="000000" w:sz="4" w:space="0"/>
              <w:left w:val="single" w:color="000000" w:sz="4" w:space="0"/>
              <w:bottom w:val="single" w:color="000000" w:sz="4" w:space="0"/>
              <w:right w:val="single" w:color="000000" w:sz="4" w:space="0"/>
            </w:tcBorders>
          </w:tcPr>
          <w:p w14:paraId="1F865F6B">
            <w:pPr>
              <w:pStyle w:val="207"/>
              <w:spacing w:before="167" w:line="440" w:lineRule="exact"/>
              <w:ind w:left="0" w:right="7"/>
              <w:jc w:val="center"/>
              <w:rPr>
                <w:color w:val="auto"/>
                <w:kern w:val="2"/>
                <w:sz w:val="21"/>
                <w:highlight w:val="none"/>
              </w:rPr>
            </w:pPr>
            <w:r>
              <w:rPr>
                <w:rFonts w:hint="eastAsia"/>
                <w:color w:val="auto"/>
                <w:kern w:val="2"/>
                <w:sz w:val="21"/>
                <w:highlight w:val="none"/>
              </w:rPr>
              <w:t>N</w:t>
            </w:r>
          </w:p>
        </w:tc>
        <w:tc>
          <w:tcPr>
            <w:tcW w:w="1364" w:type="dxa"/>
            <w:tcBorders>
              <w:top w:val="single" w:color="000000" w:sz="4" w:space="0"/>
              <w:left w:val="single" w:color="000000" w:sz="4" w:space="0"/>
              <w:bottom w:val="single" w:color="000000" w:sz="4" w:space="0"/>
              <w:right w:val="single" w:color="000000" w:sz="4" w:space="0"/>
            </w:tcBorders>
          </w:tcPr>
          <w:p w14:paraId="61F6949F">
            <w:pPr>
              <w:spacing w:line="440" w:lineRule="exact"/>
              <w:rPr>
                <w:rFonts w:ascii="宋体" w:hAnsi="宋体" w:cs="宋体"/>
                <w:color w:val="auto"/>
                <w:highlight w:val="none"/>
              </w:rPr>
            </w:pPr>
          </w:p>
        </w:tc>
        <w:tc>
          <w:tcPr>
            <w:tcW w:w="1681" w:type="dxa"/>
            <w:tcBorders>
              <w:top w:val="single" w:color="000000" w:sz="4" w:space="0"/>
              <w:left w:val="single" w:color="000000" w:sz="4" w:space="0"/>
              <w:bottom w:val="single" w:color="000000" w:sz="4" w:space="0"/>
              <w:right w:val="single" w:color="auto" w:sz="4" w:space="0"/>
            </w:tcBorders>
          </w:tcPr>
          <w:p w14:paraId="314C76A0">
            <w:pPr>
              <w:spacing w:line="440" w:lineRule="exact"/>
              <w:rPr>
                <w:rFonts w:ascii="宋体" w:hAnsi="宋体" w:cs="宋体"/>
                <w:color w:val="auto"/>
                <w:highlight w:val="none"/>
              </w:rPr>
            </w:pPr>
          </w:p>
        </w:tc>
        <w:tc>
          <w:tcPr>
            <w:tcW w:w="2120" w:type="dxa"/>
            <w:tcBorders>
              <w:top w:val="single" w:color="000000" w:sz="4" w:space="0"/>
              <w:left w:val="single" w:color="auto" w:sz="4" w:space="0"/>
              <w:bottom w:val="single" w:color="000000" w:sz="4" w:space="0"/>
              <w:right w:val="single" w:color="000000" w:sz="4" w:space="0"/>
            </w:tcBorders>
          </w:tcPr>
          <w:p w14:paraId="28BEB94C">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14:paraId="5506F08E">
            <w:pPr>
              <w:spacing w:line="440" w:lineRule="exact"/>
              <w:rPr>
                <w:rFonts w:ascii="宋体" w:hAnsi="宋体" w:cs="宋体"/>
                <w:color w:val="auto"/>
                <w:highlight w:val="none"/>
              </w:rPr>
            </w:pPr>
          </w:p>
        </w:tc>
      </w:tr>
    </w:tbl>
    <w:p w14:paraId="66DDF519">
      <w:pPr>
        <w:snapToGrid w:val="0"/>
        <w:spacing w:before="50" w:line="440" w:lineRule="exact"/>
        <w:jc w:val="left"/>
        <w:rPr>
          <w:rFonts w:ascii="宋体" w:hAnsi="宋体" w:cs="宋体"/>
          <w:color w:val="auto"/>
          <w:szCs w:val="21"/>
          <w:highlight w:val="none"/>
        </w:rPr>
      </w:pPr>
    </w:p>
    <w:p w14:paraId="046012C0">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0C8660D4">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1.说明：应对照磋商文件“第三章”中“项目采购需求”的</w:t>
      </w:r>
      <w:r>
        <w:rPr>
          <w:rFonts w:hint="eastAsia" w:ascii="宋体" w:hAnsi="宋体" w:cs="宋体"/>
          <w:color w:val="auto"/>
          <w:kern w:val="0"/>
          <w:szCs w:val="21"/>
          <w:highlight w:val="none"/>
          <w:lang w:val="en-US" w:eastAsia="zh-CN"/>
        </w:rPr>
        <w:t>技术要求</w:t>
      </w:r>
      <w:r>
        <w:rPr>
          <w:rFonts w:hint="eastAsia" w:ascii="宋体" w:hAnsi="宋体" w:cs="宋体"/>
          <w:color w:val="auto"/>
          <w:kern w:val="0"/>
          <w:szCs w:val="21"/>
          <w:highlight w:val="none"/>
        </w:rPr>
        <w:t>逐条作出明确响应，并作出偏离说明。</w:t>
      </w:r>
    </w:p>
    <w:p w14:paraId="0C6F86DC">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60514426">
      <w:pPr>
        <w:spacing w:line="440" w:lineRule="exact"/>
        <w:ind w:firstLine="6090" w:firstLineChars="2900"/>
        <w:rPr>
          <w:rFonts w:ascii="宋体" w:hAnsi="宋体" w:cs="宋体"/>
          <w:color w:val="auto"/>
          <w:szCs w:val="21"/>
          <w:highlight w:val="none"/>
        </w:rPr>
      </w:pPr>
    </w:p>
    <w:p w14:paraId="4CC72587">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346C5BD5">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30A946C7">
      <w:pPr>
        <w:snapToGrid w:val="0"/>
        <w:spacing w:before="50" w:line="440" w:lineRule="exact"/>
        <w:jc w:val="left"/>
        <w:rPr>
          <w:rFonts w:ascii="宋体" w:hAnsi="宋体" w:cs="宋体"/>
          <w:color w:val="auto"/>
          <w:szCs w:val="21"/>
          <w:highlight w:val="none"/>
        </w:rPr>
      </w:pPr>
    </w:p>
    <w:p w14:paraId="11EA59DA">
      <w:pPr>
        <w:snapToGrid w:val="0"/>
        <w:spacing w:before="50" w:line="440" w:lineRule="exact"/>
        <w:jc w:val="left"/>
        <w:rPr>
          <w:rFonts w:ascii="宋体" w:hAnsi="宋体" w:cs="宋体"/>
          <w:color w:val="auto"/>
          <w:szCs w:val="21"/>
          <w:highlight w:val="none"/>
        </w:rPr>
      </w:pPr>
    </w:p>
    <w:p w14:paraId="7301F3CA">
      <w:pPr>
        <w:snapToGrid w:val="0"/>
        <w:spacing w:before="50" w:line="440" w:lineRule="exact"/>
        <w:jc w:val="left"/>
        <w:rPr>
          <w:rFonts w:ascii="宋体" w:hAnsi="宋体" w:cs="宋体"/>
          <w:color w:val="auto"/>
          <w:szCs w:val="21"/>
          <w:highlight w:val="none"/>
        </w:rPr>
      </w:pPr>
    </w:p>
    <w:p w14:paraId="6A29DE3E">
      <w:pPr>
        <w:snapToGrid w:val="0"/>
        <w:spacing w:before="50" w:line="440" w:lineRule="exact"/>
        <w:jc w:val="left"/>
        <w:rPr>
          <w:rFonts w:ascii="宋体" w:hAnsi="宋体" w:cs="宋体"/>
          <w:color w:val="auto"/>
          <w:szCs w:val="21"/>
          <w:highlight w:val="none"/>
        </w:rPr>
      </w:pPr>
    </w:p>
    <w:p w14:paraId="34963F7F">
      <w:pPr>
        <w:snapToGrid w:val="0"/>
        <w:spacing w:before="50" w:line="440" w:lineRule="exact"/>
        <w:jc w:val="left"/>
        <w:rPr>
          <w:rFonts w:ascii="宋体" w:hAnsi="宋体" w:cs="宋体"/>
          <w:color w:val="auto"/>
          <w:szCs w:val="21"/>
          <w:highlight w:val="none"/>
        </w:rPr>
      </w:pPr>
    </w:p>
    <w:p w14:paraId="2F83DBD3">
      <w:pPr>
        <w:snapToGrid w:val="0"/>
        <w:spacing w:before="50" w:line="440" w:lineRule="exact"/>
        <w:jc w:val="left"/>
        <w:rPr>
          <w:rFonts w:ascii="宋体" w:hAnsi="宋体" w:cs="宋体"/>
          <w:color w:val="auto"/>
          <w:szCs w:val="21"/>
          <w:highlight w:val="none"/>
        </w:rPr>
      </w:pPr>
    </w:p>
    <w:p w14:paraId="6AD36D30">
      <w:pPr>
        <w:spacing w:line="440" w:lineRule="exact"/>
        <w:rPr>
          <w:rFonts w:ascii="宋体" w:hAnsi="宋体" w:cs="宋体"/>
          <w:b/>
          <w:color w:val="auto"/>
          <w:szCs w:val="21"/>
          <w:highlight w:val="none"/>
        </w:rPr>
      </w:pPr>
    </w:p>
    <w:p w14:paraId="59A95CA6">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35A41440">
      <w:pPr>
        <w:pStyle w:val="22"/>
        <w:spacing w:line="440" w:lineRule="exact"/>
        <w:jc w:val="left"/>
        <w:rPr>
          <w:rFonts w:hAnsi="宋体" w:cs="宋体"/>
          <w:b/>
          <w:color w:val="auto"/>
          <w:sz w:val="21"/>
          <w:highlight w:val="none"/>
        </w:rPr>
      </w:pPr>
      <w:r>
        <w:rPr>
          <w:rFonts w:hint="eastAsia" w:hAnsi="宋体" w:cs="宋体"/>
          <w:b/>
          <w:color w:val="auto"/>
          <w:sz w:val="21"/>
          <w:highlight w:val="none"/>
          <w:lang w:val="en-US" w:eastAsia="zh-CN"/>
        </w:rPr>
        <w:t>五</w:t>
      </w:r>
      <w:r>
        <w:rPr>
          <w:rFonts w:hint="eastAsia" w:hAnsi="宋体" w:cs="宋体"/>
          <w:b/>
          <w:color w:val="auto"/>
          <w:sz w:val="21"/>
          <w:highlight w:val="none"/>
        </w:rPr>
        <w:t>、实施方案</w:t>
      </w:r>
    </w:p>
    <w:p w14:paraId="485B22A3">
      <w:pPr>
        <w:pStyle w:val="22"/>
        <w:spacing w:line="440" w:lineRule="exact"/>
        <w:jc w:val="center"/>
        <w:rPr>
          <w:rFonts w:hAnsi="宋体" w:cs="宋体"/>
          <w:color w:val="auto"/>
          <w:sz w:val="32"/>
          <w:szCs w:val="32"/>
          <w:highlight w:val="none"/>
        </w:rPr>
      </w:pPr>
    </w:p>
    <w:p w14:paraId="7E5D64F1">
      <w:pPr>
        <w:pStyle w:val="22"/>
        <w:spacing w:line="440" w:lineRule="exact"/>
        <w:jc w:val="center"/>
        <w:rPr>
          <w:rFonts w:hAnsi="宋体" w:cs="宋体"/>
          <w:color w:val="auto"/>
          <w:sz w:val="32"/>
          <w:szCs w:val="32"/>
          <w:highlight w:val="none"/>
        </w:rPr>
      </w:pPr>
      <w:r>
        <w:rPr>
          <w:rFonts w:hint="eastAsia" w:hAnsi="宋体" w:cs="宋体"/>
          <w:color w:val="auto"/>
          <w:sz w:val="32"/>
          <w:szCs w:val="32"/>
          <w:highlight w:val="none"/>
        </w:rPr>
        <w:t>实施方案</w:t>
      </w:r>
    </w:p>
    <w:p w14:paraId="06C25151">
      <w:pPr>
        <w:pStyle w:val="22"/>
        <w:spacing w:line="440" w:lineRule="exact"/>
        <w:rPr>
          <w:rFonts w:hAnsi="宋体" w:cs="宋体"/>
          <w:color w:val="auto"/>
          <w:sz w:val="21"/>
          <w:highlight w:val="none"/>
        </w:rPr>
      </w:pPr>
    </w:p>
    <w:p w14:paraId="58A2C95E">
      <w:pPr>
        <w:pStyle w:val="22"/>
        <w:spacing w:line="440" w:lineRule="exact"/>
        <w:rPr>
          <w:rFonts w:hAnsi="宋体" w:cs="宋体"/>
          <w:color w:val="auto"/>
          <w:sz w:val="21"/>
          <w:highlight w:val="none"/>
        </w:rPr>
      </w:pPr>
    </w:p>
    <w:p w14:paraId="2D87F9F0">
      <w:pPr>
        <w:pStyle w:val="22"/>
        <w:spacing w:line="440" w:lineRule="exact"/>
        <w:rPr>
          <w:rFonts w:hAnsi="宋体" w:cs="宋体"/>
          <w:color w:val="auto"/>
          <w:sz w:val="21"/>
          <w:highlight w:val="none"/>
        </w:rPr>
      </w:pPr>
    </w:p>
    <w:p w14:paraId="26E542EF">
      <w:pPr>
        <w:pStyle w:val="22"/>
        <w:spacing w:line="440" w:lineRule="exact"/>
        <w:rPr>
          <w:rFonts w:hAnsi="宋体" w:cs="宋体"/>
          <w:color w:val="auto"/>
          <w:sz w:val="21"/>
          <w:highlight w:val="none"/>
        </w:rPr>
      </w:pPr>
    </w:p>
    <w:p w14:paraId="307100B7">
      <w:pPr>
        <w:pStyle w:val="22"/>
        <w:spacing w:line="440" w:lineRule="exact"/>
        <w:rPr>
          <w:rFonts w:hAnsi="宋体" w:cs="宋体"/>
          <w:color w:val="auto"/>
          <w:sz w:val="21"/>
          <w:highlight w:val="none"/>
        </w:rPr>
      </w:pPr>
    </w:p>
    <w:p w14:paraId="111CBB20">
      <w:pPr>
        <w:pStyle w:val="22"/>
        <w:spacing w:line="440" w:lineRule="exact"/>
        <w:rPr>
          <w:rFonts w:hAnsi="宋体" w:cs="宋体"/>
          <w:color w:val="auto"/>
          <w:sz w:val="21"/>
          <w:highlight w:val="none"/>
        </w:rPr>
      </w:pPr>
    </w:p>
    <w:p w14:paraId="34EE67ED">
      <w:pPr>
        <w:pStyle w:val="22"/>
        <w:spacing w:line="440" w:lineRule="exact"/>
        <w:rPr>
          <w:rFonts w:hAnsi="宋体" w:cs="宋体"/>
          <w:color w:val="auto"/>
          <w:sz w:val="21"/>
          <w:highlight w:val="none"/>
        </w:rPr>
      </w:pPr>
    </w:p>
    <w:p w14:paraId="4DB74200">
      <w:pPr>
        <w:pStyle w:val="22"/>
        <w:spacing w:line="440" w:lineRule="exact"/>
        <w:rPr>
          <w:rFonts w:hAnsi="宋体" w:cs="宋体"/>
          <w:color w:val="auto"/>
          <w:sz w:val="21"/>
          <w:highlight w:val="none"/>
        </w:rPr>
      </w:pPr>
    </w:p>
    <w:p w14:paraId="1D7E7E41">
      <w:pPr>
        <w:pStyle w:val="22"/>
        <w:spacing w:line="440" w:lineRule="exact"/>
        <w:rPr>
          <w:rFonts w:hAnsi="宋体" w:cs="宋体"/>
          <w:color w:val="auto"/>
          <w:sz w:val="21"/>
          <w:highlight w:val="none"/>
        </w:rPr>
      </w:pPr>
    </w:p>
    <w:p w14:paraId="4CD5E703">
      <w:pPr>
        <w:pStyle w:val="22"/>
        <w:spacing w:line="440" w:lineRule="exact"/>
        <w:rPr>
          <w:rFonts w:hAnsi="宋体" w:cs="宋体"/>
          <w:color w:val="auto"/>
          <w:sz w:val="21"/>
          <w:highlight w:val="none"/>
        </w:rPr>
      </w:pPr>
    </w:p>
    <w:p w14:paraId="4719843A">
      <w:pPr>
        <w:pStyle w:val="22"/>
        <w:spacing w:line="440" w:lineRule="exact"/>
        <w:rPr>
          <w:rFonts w:hAnsi="宋体" w:cs="宋体"/>
          <w:color w:val="auto"/>
          <w:sz w:val="21"/>
          <w:highlight w:val="none"/>
        </w:rPr>
      </w:pPr>
    </w:p>
    <w:p w14:paraId="13DEF120">
      <w:pPr>
        <w:pStyle w:val="22"/>
        <w:spacing w:line="440" w:lineRule="exact"/>
        <w:rPr>
          <w:rFonts w:hAnsi="宋体" w:cs="宋体"/>
          <w:color w:val="auto"/>
          <w:sz w:val="21"/>
          <w:highlight w:val="none"/>
        </w:rPr>
      </w:pPr>
    </w:p>
    <w:p w14:paraId="56A14719">
      <w:pPr>
        <w:pStyle w:val="22"/>
        <w:spacing w:line="440" w:lineRule="exact"/>
        <w:rPr>
          <w:rFonts w:hAnsi="宋体" w:cs="宋体"/>
          <w:color w:val="auto"/>
          <w:sz w:val="21"/>
          <w:highlight w:val="none"/>
        </w:rPr>
      </w:pPr>
    </w:p>
    <w:p w14:paraId="4BA9260A">
      <w:pPr>
        <w:pStyle w:val="22"/>
        <w:spacing w:line="440" w:lineRule="exact"/>
        <w:rPr>
          <w:rFonts w:hAnsi="宋体" w:cs="宋体"/>
          <w:color w:val="auto"/>
          <w:sz w:val="21"/>
          <w:highlight w:val="none"/>
        </w:rPr>
      </w:pPr>
    </w:p>
    <w:p w14:paraId="2A98BD38">
      <w:pPr>
        <w:pStyle w:val="22"/>
        <w:spacing w:line="440" w:lineRule="exact"/>
        <w:rPr>
          <w:rFonts w:hAnsi="宋体" w:cs="宋体"/>
          <w:color w:val="auto"/>
          <w:sz w:val="21"/>
          <w:highlight w:val="none"/>
        </w:rPr>
      </w:pPr>
    </w:p>
    <w:p w14:paraId="1CC9FDEC">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1AEE538">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41AD339E">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71A14ADE">
      <w:pPr>
        <w:snapToGrid w:val="0"/>
        <w:spacing w:before="50" w:line="440" w:lineRule="exact"/>
        <w:jc w:val="left"/>
        <w:rPr>
          <w:rFonts w:ascii="宋体" w:hAnsi="宋体" w:cs="宋体"/>
          <w:b/>
          <w:color w:val="auto"/>
          <w:szCs w:val="21"/>
          <w:highlight w:val="none"/>
        </w:rPr>
      </w:pPr>
      <w:r>
        <w:rPr>
          <w:rFonts w:hint="eastAsia" w:ascii="宋体" w:hAnsi="宋体" w:cs="宋体"/>
          <w:b/>
          <w:color w:val="auto"/>
          <w:szCs w:val="21"/>
          <w:highlight w:val="none"/>
        </w:rPr>
        <w:t>六、服务承诺书</w:t>
      </w:r>
    </w:p>
    <w:p w14:paraId="42349B2E">
      <w:pPr>
        <w:pStyle w:val="22"/>
        <w:spacing w:line="440" w:lineRule="exact"/>
        <w:jc w:val="center"/>
        <w:rPr>
          <w:rFonts w:hAnsi="宋体" w:cs="宋体"/>
          <w:color w:val="auto"/>
          <w:sz w:val="32"/>
          <w:szCs w:val="32"/>
          <w:highlight w:val="none"/>
        </w:rPr>
      </w:pPr>
    </w:p>
    <w:p w14:paraId="30A88D6B">
      <w:pPr>
        <w:pStyle w:val="22"/>
        <w:spacing w:line="440" w:lineRule="exact"/>
        <w:jc w:val="center"/>
        <w:rPr>
          <w:rFonts w:hAnsi="宋体" w:cs="宋体"/>
          <w:color w:val="auto"/>
          <w:sz w:val="32"/>
          <w:szCs w:val="32"/>
          <w:highlight w:val="none"/>
        </w:rPr>
      </w:pPr>
      <w:r>
        <w:rPr>
          <w:rFonts w:hint="eastAsia" w:hAnsi="宋体" w:cs="宋体"/>
          <w:color w:val="auto"/>
          <w:sz w:val="32"/>
          <w:szCs w:val="32"/>
          <w:highlight w:val="none"/>
        </w:rPr>
        <w:t>服务承诺书</w:t>
      </w:r>
    </w:p>
    <w:p w14:paraId="0390E210">
      <w:pPr>
        <w:pStyle w:val="22"/>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第1条 </w:t>
      </w:r>
      <w:r>
        <w:rPr>
          <w:rFonts w:hint="eastAsia" w:hAnsi="宋体" w:cs="宋体"/>
          <w:b/>
          <w:color w:val="auto"/>
          <w:sz w:val="21"/>
          <w:highlight w:val="none"/>
        </w:rPr>
        <w:t>对合同条款、付款方式全部予以响应。</w:t>
      </w:r>
    </w:p>
    <w:p w14:paraId="09E3CA16">
      <w:pPr>
        <w:pStyle w:val="22"/>
        <w:spacing w:line="440" w:lineRule="exact"/>
        <w:ind w:firstLine="420" w:firstLineChars="200"/>
        <w:rPr>
          <w:rFonts w:hAnsi="宋体" w:cs="宋体"/>
          <w:color w:val="auto"/>
          <w:sz w:val="21"/>
          <w:highlight w:val="none"/>
        </w:rPr>
      </w:pPr>
      <w:r>
        <w:rPr>
          <w:rFonts w:hint="eastAsia" w:hAnsi="宋体" w:cs="宋体"/>
          <w:color w:val="auto"/>
          <w:sz w:val="21"/>
          <w:highlight w:val="none"/>
        </w:rPr>
        <w:t>第2条 （由供应商按《项目采购需求》要求自行填写，所作的承诺作为构成合同不可分割的部分，必须真实、诚信，如提供虚假承诺或在成交、成交后不按其承诺履行的，将依法追究违约责任，并按《中华人民共和国政府采购法》规定予以处罚。）</w:t>
      </w:r>
    </w:p>
    <w:p w14:paraId="697911F0">
      <w:pPr>
        <w:pStyle w:val="22"/>
        <w:spacing w:line="440" w:lineRule="exact"/>
        <w:ind w:firstLine="420" w:firstLineChars="200"/>
        <w:rPr>
          <w:rFonts w:hAnsi="宋体" w:cs="宋体"/>
          <w:color w:val="auto"/>
          <w:sz w:val="21"/>
          <w:highlight w:val="none"/>
        </w:rPr>
      </w:pPr>
    </w:p>
    <w:p w14:paraId="4777C80F">
      <w:pPr>
        <w:pStyle w:val="22"/>
        <w:spacing w:line="440" w:lineRule="exact"/>
        <w:rPr>
          <w:rFonts w:hAnsi="宋体" w:cs="宋体"/>
          <w:color w:val="auto"/>
          <w:sz w:val="21"/>
          <w:highlight w:val="none"/>
        </w:rPr>
      </w:pPr>
    </w:p>
    <w:p w14:paraId="68B6B9EA">
      <w:pPr>
        <w:pStyle w:val="22"/>
        <w:spacing w:line="440" w:lineRule="exact"/>
        <w:rPr>
          <w:rFonts w:hAnsi="宋体" w:cs="宋体"/>
          <w:color w:val="auto"/>
          <w:sz w:val="21"/>
          <w:highlight w:val="none"/>
        </w:rPr>
      </w:pPr>
    </w:p>
    <w:p w14:paraId="2B0921D5">
      <w:pPr>
        <w:pStyle w:val="22"/>
        <w:spacing w:line="440" w:lineRule="exact"/>
        <w:rPr>
          <w:rFonts w:hAnsi="宋体" w:cs="宋体"/>
          <w:color w:val="auto"/>
          <w:sz w:val="21"/>
          <w:highlight w:val="none"/>
        </w:rPr>
      </w:pPr>
      <w:r>
        <w:rPr>
          <w:rFonts w:hint="eastAsia" w:hAnsi="宋体" w:cs="宋体"/>
          <w:color w:val="auto"/>
          <w:sz w:val="21"/>
          <w:highlight w:val="none"/>
        </w:rPr>
        <w:t>备注：以上为服务承诺格式，第1条为供应商必须列明，其余条款供应商可根据实际情况一一列明。</w:t>
      </w:r>
    </w:p>
    <w:p w14:paraId="0EB64A55">
      <w:pPr>
        <w:pStyle w:val="22"/>
        <w:spacing w:line="440" w:lineRule="exact"/>
        <w:rPr>
          <w:rFonts w:hAnsi="宋体" w:cs="宋体"/>
          <w:color w:val="auto"/>
          <w:sz w:val="21"/>
          <w:highlight w:val="none"/>
        </w:rPr>
      </w:pPr>
    </w:p>
    <w:p w14:paraId="27E6ADC3">
      <w:pPr>
        <w:pStyle w:val="22"/>
        <w:spacing w:line="440" w:lineRule="exact"/>
        <w:rPr>
          <w:rFonts w:hAnsi="宋体" w:cs="宋体"/>
          <w:color w:val="auto"/>
          <w:sz w:val="21"/>
          <w:highlight w:val="none"/>
        </w:rPr>
      </w:pPr>
    </w:p>
    <w:p w14:paraId="2606F8BB">
      <w:pPr>
        <w:pStyle w:val="22"/>
        <w:spacing w:line="440" w:lineRule="exact"/>
        <w:rPr>
          <w:rFonts w:hAnsi="宋体" w:cs="宋体"/>
          <w:color w:val="auto"/>
          <w:sz w:val="21"/>
          <w:highlight w:val="none"/>
        </w:rPr>
      </w:pPr>
    </w:p>
    <w:p w14:paraId="010365B1">
      <w:pPr>
        <w:pStyle w:val="22"/>
        <w:spacing w:line="440" w:lineRule="exact"/>
        <w:rPr>
          <w:rFonts w:hAnsi="宋体" w:cs="宋体"/>
          <w:color w:val="auto"/>
          <w:sz w:val="21"/>
          <w:highlight w:val="none"/>
        </w:rPr>
      </w:pPr>
    </w:p>
    <w:p w14:paraId="249A9836">
      <w:pPr>
        <w:spacing w:line="440" w:lineRule="exact"/>
        <w:ind w:firstLine="6090" w:firstLineChars="2900"/>
        <w:jc w:val="right"/>
        <w:rPr>
          <w:rFonts w:ascii="宋体" w:hAnsi="宋体" w:cs="宋体"/>
          <w:color w:val="auto"/>
          <w:szCs w:val="21"/>
          <w:highlight w:val="none"/>
        </w:rPr>
      </w:pPr>
      <w:r>
        <w:rPr>
          <w:rFonts w:hint="eastAsia" w:ascii="宋体" w:hAnsi="宋体" w:cs="宋体"/>
          <w:color w:val="auto"/>
          <w:szCs w:val="21"/>
          <w:highlight w:val="none"/>
        </w:rPr>
        <w:t>供应商名称(电子签章)：</w:t>
      </w:r>
    </w:p>
    <w:p w14:paraId="4CAF8EAA">
      <w:pPr>
        <w:spacing w:line="440" w:lineRule="exact"/>
        <w:ind w:firstLine="6300" w:firstLineChars="3000"/>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45DE8732">
      <w:pPr>
        <w:pStyle w:val="22"/>
        <w:spacing w:line="440" w:lineRule="exact"/>
        <w:jc w:val="left"/>
        <w:rPr>
          <w:rFonts w:hAnsi="宋体" w:cs="宋体"/>
          <w:b/>
          <w:color w:val="auto"/>
          <w:highlight w:val="none"/>
        </w:rPr>
      </w:pPr>
    </w:p>
    <w:p w14:paraId="03CA2FB3">
      <w:pPr>
        <w:pStyle w:val="22"/>
        <w:spacing w:line="440" w:lineRule="exact"/>
        <w:jc w:val="left"/>
        <w:rPr>
          <w:rFonts w:hAnsi="宋体" w:cs="宋体"/>
          <w:b/>
          <w:color w:val="auto"/>
          <w:highlight w:val="none"/>
        </w:rPr>
      </w:pPr>
    </w:p>
    <w:p w14:paraId="4291F4D8">
      <w:pPr>
        <w:pStyle w:val="22"/>
        <w:spacing w:line="440" w:lineRule="exact"/>
        <w:jc w:val="left"/>
        <w:rPr>
          <w:rFonts w:hAnsi="宋体" w:cs="宋体"/>
          <w:b/>
          <w:color w:val="auto"/>
          <w:highlight w:val="none"/>
        </w:rPr>
      </w:pPr>
    </w:p>
    <w:p w14:paraId="604D9EC0">
      <w:pPr>
        <w:pStyle w:val="22"/>
        <w:spacing w:line="440" w:lineRule="exact"/>
        <w:jc w:val="left"/>
        <w:rPr>
          <w:rFonts w:hAnsi="宋体" w:cs="宋体"/>
          <w:b/>
          <w:color w:val="auto"/>
          <w:highlight w:val="none"/>
        </w:rPr>
      </w:pPr>
    </w:p>
    <w:p w14:paraId="674AADC7">
      <w:pPr>
        <w:pStyle w:val="22"/>
        <w:spacing w:line="440" w:lineRule="exact"/>
        <w:jc w:val="left"/>
        <w:rPr>
          <w:rFonts w:hAnsi="宋体" w:cs="宋体"/>
          <w:b/>
          <w:color w:val="auto"/>
          <w:highlight w:val="none"/>
        </w:rPr>
      </w:pPr>
    </w:p>
    <w:p w14:paraId="31DB6A73">
      <w:pPr>
        <w:pStyle w:val="22"/>
        <w:spacing w:line="440" w:lineRule="exact"/>
        <w:jc w:val="left"/>
        <w:rPr>
          <w:rFonts w:hAnsi="宋体" w:cs="宋体"/>
          <w:b/>
          <w:color w:val="auto"/>
          <w:highlight w:val="none"/>
        </w:rPr>
      </w:pPr>
    </w:p>
    <w:p w14:paraId="7947E242">
      <w:pPr>
        <w:pStyle w:val="22"/>
        <w:spacing w:line="440" w:lineRule="exact"/>
        <w:jc w:val="left"/>
        <w:rPr>
          <w:rFonts w:hAnsi="宋体" w:cs="宋体"/>
          <w:b/>
          <w:color w:val="auto"/>
          <w:highlight w:val="none"/>
        </w:rPr>
      </w:pPr>
    </w:p>
    <w:p w14:paraId="49F61693">
      <w:pPr>
        <w:pStyle w:val="22"/>
        <w:spacing w:line="440" w:lineRule="exact"/>
        <w:jc w:val="left"/>
        <w:rPr>
          <w:rFonts w:hAnsi="宋体" w:cs="宋体"/>
          <w:b/>
          <w:color w:val="auto"/>
          <w:highlight w:val="none"/>
        </w:rPr>
      </w:pPr>
    </w:p>
    <w:p w14:paraId="6BD87409">
      <w:pPr>
        <w:pStyle w:val="22"/>
        <w:spacing w:line="440" w:lineRule="exact"/>
        <w:jc w:val="left"/>
        <w:rPr>
          <w:rFonts w:hAnsi="宋体" w:cs="宋体"/>
          <w:b/>
          <w:color w:val="auto"/>
          <w:highlight w:val="none"/>
        </w:rPr>
      </w:pPr>
    </w:p>
    <w:p w14:paraId="1399934C">
      <w:pPr>
        <w:pStyle w:val="22"/>
        <w:spacing w:line="440" w:lineRule="exact"/>
        <w:jc w:val="left"/>
        <w:rPr>
          <w:rFonts w:hAnsi="宋体" w:cs="宋体"/>
          <w:b/>
          <w:color w:val="auto"/>
          <w:highlight w:val="none"/>
        </w:rPr>
      </w:pPr>
    </w:p>
    <w:p w14:paraId="0A164F71">
      <w:pPr>
        <w:pStyle w:val="22"/>
        <w:spacing w:line="440" w:lineRule="exact"/>
        <w:jc w:val="left"/>
        <w:rPr>
          <w:rFonts w:hAnsi="宋体" w:cs="宋体"/>
          <w:b/>
          <w:color w:val="auto"/>
          <w:highlight w:val="none"/>
        </w:rPr>
      </w:pPr>
    </w:p>
    <w:p w14:paraId="18AE65EA">
      <w:pPr>
        <w:pStyle w:val="22"/>
        <w:spacing w:line="440" w:lineRule="exact"/>
        <w:jc w:val="left"/>
        <w:rPr>
          <w:rFonts w:hAnsi="宋体" w:cs="宋体"/>
          <w:b/>
          <w:color w:val="auto"/>
          <w:highlight w:val="none"/>
        </w:rPr>
      </w:pPr>
    </w:p>
    <w:p w14:paraId="63D4158B">
      <w:pPr>
        <w:pStyle w:val="22"/>
        <w:spacing w:line="440" w:lineRule="exact"/>
        <w:jc w:val="left"/>
        <w:rPr>
          <w:rFonts w:hAnsi="宋体" w:cs="宋体"/>
          <w:b/>
          <w:color w:val="auto"/>
          <w:highlight w:val="none"/>
        </w:rPr>
      </w:pPr>
    </w:p>
    <w:p w14:paraId="52196DFC">
      <w:pPr>
        <w:pStyle w:val="22"/>
        <w:spacing w:line="440" w:lineRule="exact"/>
        <w:jc w:val="left"/>
        <w:rPr>
          <w:rFonts w:hAnsi="宋体" w:cs="宋体"/>
          <w:b/>
          <w:color w:val="auto"/>
          <w:highlight w:val="none"/>
        </w:rPr>
      </w:pPr>
    </w:p>
    <w:p w14:paraId="71702E5B">
      <w:pPr>
        <w:pStyle w:val="22"/>
        <w:spacing w:line="440" w:lineRule="exact"/>
        <w:jc w:val="left"/>
        <w:rPr>
          <w:rFonts w:hAnsi="宋体" w:cs="宋体"/>
          <w:b/>
          <w:color w:val="auto"/>
          <w:highlight w:val="none"/>
        </w:rPr>
      </w:pPr>
    </w:p>
    <w:p w14:paraId="5BE8AF2D">
      <w:pPr>
        <w:pStyle w:val="22"/>
        <w:spacing w:line="440" w:lineRule="exact"/>
        <w:jc w:val="left"/>
        <w:rPr>
          <w:rFonts w:hint="eastAsia" w:hAnsi="宋体" w:cs="宋体"/>
          <w:b/>
          <w:color w:val="auto"/>
          <w:sz w:val="21"/>
          <w:highlight w:val="none"/>
          <w:lang w:val="en-US" w:eastAsia="zh-CN"/>
        </w:rPr>
        <w:sectPr>
          <w:pgSz w:w="11906" w:h="16838"/>
          <w:pgMar w:top="1134" w:right="1247" w:bottom="1134" w:left="1247" w:header="851" w:footer="992" w:gutter="0"/>
          <w:cols w:space="720" w:num="1"/>
          <w:docGrid w:linePitch="312" w:charSpace="0"/>
        </w:sectPr>
      </w:pPr>
    </w:p>
    <w:p w14:paraId="0A306A99">
      <w:pPr>
        <w:spacing w:line="440" w:lineRule="exact"/>
        <w:rPr>
          <w:rFonts w:ascii="宋体" w:hAnsi="宋体" w:cs="宋体"/>
          <w:b/>
          <w:color w:val="auto"/>
          <w:szCs w:val="21"/>
          <w:highlight w:val="none"/>
        </w:rPr>
      </w:pP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拟投入人员一览表</w:t>
      </w:r>
      <w:r>
        <w:rPr>
          <w:rFonts w:hint="eastAsia" w:ascii="宋体" w:hAnsi="宋体" w:cs="宋体"/>
          <w:b/>
          <w:color w:val="auto"/>
          <w:szCs w:val="21"/>
          <w:highlight w:val="none"/>
        </w:rPr>
        <w:t>格式</w:t>
      </w:r>
    </w:p>
    <w:p w14:paraId="7711F4FF">
      <w:pPr>
        <w:spacing w:line="440" w:lineRule="exact"/>
        <w:jc w:val="center"/>
        <w:rPr>
          <w:rFonts w:ascii="宋体" w:hAnsi="宋体" w:cs="宋体"/>
          <w:b/>
          <w:bCs/>
          <w:color w:val="auto"/>
          <w:kern w:val="0"/>
          <w:sz w:val="30"/>
          <w:highlight w:val="none"/>
        </w:rPr>
      </w:pPr>
    </w:p>
    <w:p w14:paraId="02E75793">
      <w:pPr>
        <w:spacing w:line="44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0"/>
          <w:highlight w:val="none"/>
          <w:lang w:eastAsia="zh-CN"/>
        </w:rPr>
        <w:t>拟投入人员一览表</w:t>
      </w:r>
    </w:p>
    <w:p w14:paraId="32212230">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14:paraId="1FC596D1">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14:paraId="5E867381">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645"/>
        <w:gridCol w:w="1778"/>
        <w:gridCol w:w="2278"/>
        <w:gridCol w:w="2278"/>
        <w:gridCol w:w="900"/>
      </w:tblGrid>
      <w:tr w14:paraId="422A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30075DE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45" w:type="dxa"/>
          </w:tcPr>
          <w:p w14:paraId="639E4F6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778" w:type="dxa"/>
          </w:tcPr>
          <w:p w14:paraId="6CE3DB4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本项目担任角色</w:t>
            </w:r>
          </w:p>
        </w:tc>
        <w:tc>
          <w:tcPr>
            <w:tcW w:w="2278" w:type="dxa"/>
          </w:tcPr>
          <w:p w14:paraId="16CA70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职称资格名称</w:t>
            </w:r>
          </w:p>
        </w:tc>
        <w:tc>
          <w:tcPr>
            <w:tcW w:w="2278" w:type="dxa"/>
          </w:tcPr>
          <w:p w14:paraId="6B7959DD">
            <w:pPr>
              <w:spacing w:line="440" w:lineRule="exact"/>
              <w:jc w:val="center"/>
              <w:rPr>
                <w:rFonts w:ascii="宋体" w:hAnsi="宋体" w:cs="宋体"/>
                <w:color w:val="auto"/>
                <w:szCs w:val="21"/>
                <w:highlight w:val="none"/>
              </w:rPr>
            </w:pPr>
            <w:r>
              <w:rPr>
                <w:rFonts w:hint="eastAsia" w:ascii="宋体" w:hAnsi="宋体" w:cs="宋体"/>
                <w:bCs/>
                <w:color w:val="auto"/>
                <w:highlight w:val="none"/>
              </w:rPr>
              <w:t>专业</w:t>
            </w:r>
          </w:p>
        </w:tc>
        <w:tc>
          <w:tcPr>
            <w:tcW w:w="900" w:type="dxa"/>
          </w:tcPr>
          <w:p w14:paraId="3C2B701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1886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5" w:type="dxa"/>
          </w:tcPr>
          <w:p w14:paraId="2CAF7BC6">
            <w:pPr>
              <w:spacing w:line="440" w:lineRule="exact"/>
              <w:rPr>
                <w:rFonts w:ascii="宋体" w:hAnsi="宋体" w:cs="宋体"/>
                <w:color w:val="auto"/>
                <w:szCs w:val="21"/>
                <w:highlight w:val="none"/>
              </w:rPr>
            </w:pPr>
            <w:r>
              <w:rPr>
                <w:rFonts w:hint="eastAsia" w:ascii="宋体" w:hAnsi="宋体" w:cs="宋体"/>
                <w:color w:val="auto"/>
                <w:szCs w:val="21"/>
                <w:highlight w:val="none"/>
              </w:rPr>
              <w:t>1</w:t>
            </w:r>
          </w:p>
        </w:tc>
        <w:tc>
          <w:tcPr>
            <w:tcW w:w="1645" w:type="dxa"/>
          </w:tcPr>
          <w:p w14:paraId="725056BE">
            <w:pPr>
              <w:spacing w:line="440" w:lineRule="exact"/>
              <w:rPr>
                <w:rFonts w:ascii="宋体" w:hAnsi="宋体" w:cs="宋体"/>
                <w:color w:val="auto"/>
                <w:szCs w:val="21"/>
                <w:highlight w:val="none"/>
              </w:rPr>
            </w:pPr>
          </w:p>
        </w:tc>
        <w:tc>
          <w:tcPr>
            <w:tcW w:w="1778" w:type="dxa"/>
          </w:tcPr>
          <w:p w14:paraId="7C6A64E8">
            <w:pPr>
              <w:spacing w:line="440" w:lineRule="exact"/>
              <w:rPr>
                <w:rFonts w:ascii="宋体" w:hAnsi="宋体" w:cs="宋体"/>
                <w:color w:val="auto"/>
                <w:szCs w:val="21"/>
                <w:highlight w:val="none"/>
              </w:rPr>
            </w:pPr>
          </w:p>
        </w:tc>
        <w:tc>
          <w:tcPr>
            <w:tcW w:w="2278" w:type="dxa"/>
          </w:tcPr>
          <w:p w14:paraId="2824C3AD">
            <w:pPr>
              <w:spacing w:line="440" w:lineRule="exact"/>
              <w:rPr>
                <w:rFonts w:ascii="宋体" w:hAnsi="宋体" w:cs="宋体"/>
                <w:color w:val="auto"/>
                <w:szCs w:val="21"/>
                <w:highlight w:val="none"/>
              </w:rPr>
            </w:pPr>
          </w:p>
        </w:tc>
        <w:tc>
          <w:tcPr>
            <w:tcW w:w="2278" w:type="dxa"/>
          </w:tcPr>
          <w:p w14:paraId="77C841BF">
            <w:pPr>
              <w:spacing w:line="440" w:lineRule="exact"/>
              <w:rPr>
                <w:rFonts w:ascii="宋体" w:hAnsi="宋体" w:cs="宋体"/>
                <w:color w:val="auto"/>
                <w:szCs w:val="21"/>
                <w:highlight w:val="none"/>
              </w:rPr>
            </w:pPr>
          </w:p>
        </w:tc>
        <w:tc>
          <w:tcPr>
            <w:tcW w:w="900" w:type="dxa"/>
          </w:tcPr>
          <w:p w14:paraId="5F11A7E7">
            <w:pPr>
              <w:spacing w:line="440" w:lineRule="exact"/>
              <w:rPr>
                <w:rFonts w:ascii="宋体" w:hAnsi="宋体" w:cs="宋体"/>
                <w:color w:val="auto"/>
                <w:szCs w:val="21"/>
                <w:highlight w:val="none"/>
              </w:rPr>
            </w:pPr>
          </w:p>
        </w:tc>
      </w:tr>
      <w:tr w14:paraId="79ED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66FCA1D2">
            <w:pPr>
              <w:spacing w:line="440" w:lineRule="exact"/>
              <w:rPr>
                <w:rFonts w:ascii="宋体" w:hAnsi="宋体" w:cs="宋体"/>
                <w:color w:val="auto"/>
                <w:szCs w:val="21"/>
                <w:highlight w:val="none"/>
              </w:rPr>
            </w:pPr>
            <w:r>
              <w:rPr>
                <w:rFonts w:hint="eastAsia" w:ascii="宋体" w:hAnsi="宋体" w:cs="宋体"/>
                <w:color w:val="auto"/>
                <w:szCs w:val="21"/>
                <w:highlight w:val="none"/>
              </w:rPr>
              <w:t>2</w:t>
            </w:r>
          </w:p>
        </w:tc>
        <w:tc>
          <w:tcPr>
            <w:tcW w:w="1645" w:type="dxa"/>
          </w:tcPr>
          <w:p w14:paraId="7D2E95FE">
            <w:pPr>
              <w:spacing w:line="440" w:lineRule="exact"/>
              <w:rPr>
                <w:rFonts w:ascii="宋体" w:hAnsi="宋体" w:cs="宋体"/>
                <w:color w:val="auto"/>
                <w:szCs w:val="21"/>
                <w:highlight w:val="none"/>
              </w:rPr>
            </w:pPr>
          </w:p>
        </w:tc>
        <w:tc>
          <w:tcPr>
            <w:tcW w:w="1778" w:type="dxa"/>
          </w:tcPr>
          <w:p w14:paraId="6F818B35">
            <w:pPr>
              <w:spacing w:line="440" w:lineRule="exact"/>
              <w:rPr>
                <w:rFonts w:ascii="宋体" w:hAnsi="宋体" w:cs="宋体"/>
                <w:color w:val="auto"/>
                <w:szCs w:val="21"/>
                <w:highlight w:val="none"/>
              </w:rPr>
            </w:pPr>
          </w:p>
        </w:tc>
        <w:tc>
          <w:tcPr>
            <w:tcW w:w="2278" w:type="dxa"/>
          </w:tcPr>
          <w:p w14:paraId="7BB069A6">
            <w:pPr>
              <w:spacing w:line="440" w:lineRule="exact"/>
              <w:rPr>
                <w:rFonts w:ascii="宋体" w:hAnsi="宋体" w:cs="宋体"/>
                <w:color w:val="auto"/>
                <w:szCs w:val="21"/>
                <w:highlight w:val="none"/>
              </w:rPr>
            </w:pPr>
          </w:p>
        </w:tc>
        <w:tc>
          <w:tcPr>
            <w:tcW w:w="2278" w:type="dxa"/>
          </w:tcPr>
          <w:p w14:paraId="1121216D">
            <w:pPr>
              <w:spacing w:line="440" w:lineRule="exact"/>
              <w:rPr>
                <w:rFonts w:ascii="宋体" w:hAnsi="宋体" w:cs="宋体"/>
                <w:color w:val="auto"/>
                <w:szCs w:val="21"/>
                <w:highlight w:val="none"/>
              </w:rPr>
            </w:pPr>
          </w:p>
        </w:tc>
        <w:tc>
          <w:tcPr>
            <w:tcW w:w="900" w:type="dxa"/>
          </w:tcPr>
          <w:p w14:paraId="6D8652B0">
            <w:pPr>
              <w:spacing w:line="440" w:lineRule="exact"/>
              <w:rPr>
                <w:rFonts w:ascii="宋体" w:hAnsi="宋体" w:cs="宋体"/>
                <w:color w:val="auto"/>
                <w:szCs w:val="21"/>
                <w:highlight w:val="none"/>
              </w:rPr>
            </w:pPr>
          </w:p>
        </w:tc>
      </w:tr>
      <w:tr w14:paraId="3A34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2F0F35FF">
            <w:pPr>
              <w:spacing w:line="440" w:lineRule="exact"/>
              <w:rPr>
                <w:rFonts w:ascii="宋体" w:hAnsi="宋体" w:cs="宋体"/>
                <w:color w:val="auto"/>
                <w:szCs w:val="21"/>
                <w:highlight w:val="none"/>
              </w:rPr>
            </w:pPr>
          </w:p>
        </w:tc>
        <w:tc>
          <w:tcPr>
            <w:tcW w:w="1645" w:type="dxa"/>
          </w:tcPr>
          <w:p w14:paraId="494907B0">
            <w:pPr>
              <w:spacing w:line="440" w:lineRule="exact"/>
              <w:rPr>
                <w:rFonts w:ascii="宋体" w:hAnsi="宋体" w:cs="宋体"/>
                <w:color w:val="auto"/>
                <w:szCs w:val="21"/>
                <w:highlight w:val="none"/>
              </w:rPr>
            </w:pPr>
          </w:p>
        </w:tc>
        <w:tc>
          <w:tcPr>
            <w:tcW w:w="1778" w:type="dxa"/>
          </w:tcPr>
          <w:p w14:paraId="103E8276">
            <w:pPr>
              <w:spacing w:line="440" w:lineRule="exact"/>
              <w:rPr>
                <w:rFonts w:ascii="宋体" w:hAnsi="宋体" w:cs="宋体"/>
                <w:color w:val="auto"/>
                <w:szCs w:val="21"/>
                <w:highlight w:val="none"/>
              </w:rPr>
            </w:pPr>
          </w:p>
        </w:tc>
        <w:tc>
          <w:tcPr>
            <w:tcW w:w="2278" w:type="dxa"/>
          </w:tcPr>
          <w:p w14:paraId="1AB59FC8">
            <w:pPr>
              <w:spacing w:line="440" w:lineRule="exact"/>
              <w:rPr>
                <w:rFonts w:ascii="宋体" w:hAnsi="宋体" w:cs="宋体"/>
                <w:color w:val="auto"/>
                <w:szCs w:val="21"/>
                <w:highlight w:val="none"/>
              </w:rPr>
            </w:pPr>
          </w:p>
        </w:tc>
        <w:tc>
          <w:tcPr>
            <w:tcW w:w="2278" w:type="dxa"/>
          </w:tcPr>
          <w:p w14:paraId="70ED7BE1">
            <w:pPr>
              <w:spacing w:line="440" w:lineRule="exact"/>
              <w:rPr>
                <w:rFonts w:ascii="宋体" w:hAnsi="宋体" w:cs="宋体"/>
                <w:color w:val="auto"/>
                <w:szCs w:val="21"/>
                <w:highlight w:val="none"/>
              </w:rPr>
            </w:pPr>
          </w:p>
        </w:tc>
        <w:tc>
          <w:tcPr>
            <w:tcW w:w="900" w:type="dxa"/>
          </w:tcPr>
          <w:p w14:paraId="518BE636">
            <w:pPr>
              <w:spacing w:line="440" w:lineRule="exact"/>
              <w:rPr>
                <w:rFonts w:ascii="宋体" w:hAnsi="宋体" w:cs="宋体"/>
                <w:color w:val="auto"/>
                <w:szCs w:val="21"/>
                <w:highlight w:val="none"/>
              </w:rPr>
            </w:pPr>
          </w:p>
        </w:tc>
      </w:tr>
      <w:tr w14:paraId="2952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14:paraId="0D47790E">
            <w:pPr>
              <w:spacing w:line="440" w:lineRule="exact"/>
              <w:rPr>
                <w:rFonts w:ascii="宋体" w:hAnsi="宋体" w:cs="宋体"/>
                <w:color w:val="auto"/>
                <w:szCs w:val="21"/>
                <w:highlight w:val="none"/>
              </w:rPr>
            </w:pPr>
          </w:p>
        </w:tc>
        <w:tc>
          <w:tcPr>
            <w:tcW w:w="1645" w:type="dxa"/>
          </w:tcPr>
          <w:p w14:paraId="00283229">
            <w:pPr>
              <w:spacing w:line="440" w:lineRule="exact"/>
              <w:rPr>
                <w:rFonts w:ascii="宋体" w:hAnsi="宋体" w:cs="宋体"/>
                <w:color w:val="auto"/>
                <w:szCs w:val="21"/>
                <w:highlight w:val="none"/>
              </w:rPr>
            </w:pPr>
          </w:p>
        </w:tc>
        <w:tc>
          <w:tcPr>
            <w:tcW w:w="1778" w:type="dxa"/>
          </w:tcPr>
          <w:p w14:paraId="23DB4A50">
            <w:pPr>
              <w:spacing w:line="440" w:lineRule="exact"/>
              <w:rPr>
                <w:rFonts w:ascii="宋体" w:hAnsi="宋体" w:cs="宋体"/>
                <w:color w:val="auto"/>
                <w:szCs w:val="21"/>
                <w:highlight w:val="none"/>
              </w:rPr>
            </w:pPr>
          </w:p>
        </w:tc>
        <w:tc>
          <w:tcPr>
            <w:tcW w:w="2278" w:type="dxa"/>
          </w:tcPr>
          <w:p w14:paraId="2C5CE013">
            <w:pPr>
              <w:spacing w:line="440" w:lineRule="exact"/>
              <w:rPr>
                <w:rFonts w:ascii="宋体" w:hAnsi="宋体" w:cs="宋体"/>
                <w:color w:val="auto"/>
                <w:szCs w:val="21"/>
                <w:highlight w:val="none"/>
              </w:rPr>
            </w:pPr>
          </w:p>
        </w:tc>
        <w:tc>
          <w:tcPr>
            <w:tcW w:w="2278" w:type="dxa"/>
          </w:tcPr>
          <w:p w14:paraId="44F4E7F5">
            <w:pPr>
              <w:spacing w:line="440" w:lineRule="exact"/>
              <w:rPr>
                <w:rFonts w:ascii="宋体" w:hAnsi="宋体" w:cs="宋体"/>
                <w:color w:val="auto"/>
                <w:szCs w:val="21"/>
                <w:highlight w:val="none"/>
              </w:rPr>
            </w:pPr>
          </w:p>
        </w:tc>
        <w:tc>
          <w:tcPr>
            <w:tcW w:w="900" w:type="dxa"/>
          </w:tcPr>
          <w:p w14:paraId="125D0812">
            <w:pPr>
              <w:spacing w:line="440" w:lineRule="exact"/>
              <w:rPr>
                <w:rFonts w:ascii="宋体" w:hAnsi="宋体" w:cs="宋体"/>
                <w:color w:val="auto"/>
                <w:szCs w:val="21"/>
                <w:highlight w:val="none"/>
              </w:rPr>
            </w:pPr>
          </w:p>
        </w:tc>
      </w:tr>
      <w:tr w14:paraId="40BD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16476949">
            <w:pPr>
              <w:spacing w:line="440" w:lineRule="exact"/>
              <w:rPr>
                <w:rFonts w:ascii="宋体" w:hAnsi="宋体" w:cs="宋体"/>
                <w:color w:val="auto"/>
                <w:szCs w:val="21"/>
                <w:highlight w:val="none"/>
              </w:rPr>
            </w:pPr>
          </w:p>
        </w:tc>
        <w:tc>
          <w:tcPr>
            <w:tcW w:w="1645" w:type="dxa"/>
          </w:tcPr>
          <w:p w14:paraId="382BBB73">
            <w:pPr>
              <w:spacing w:line="440" w:lineRule="exact"/>
              <w:rPr>
                <w:rFonts w:ascii="宋体" w:hAnsi="宋体" w:cs="宋体"/>
                <w:color w:val="auto"/>
                <w:szCs w:val="21"/>
                <w:highlight w:val="none"/>
              </w:rPr>
            </w:pPr>
          </w:p>
        </w:tc>
        <w:tc>
          <w:tcPr>
            <w:tcW w:w="1778" w:type="dxa"/>
          </w:tcPr>
          <w:p w14:paraId="3313144A">
            <w:pPr>
              <w:spacing w:line="440" w:lineRule="exact"/>
              <w:rPr>
                <w:rFonts w:ascii="宋体" w:hAnsi="宋体" w:cs="宋体"/>
                <w:color w:val="auto"/>
                <w:szCs w:val="21"/>
                <w:highlight w:val="none"/>
              </w:rPr>
            </w:pPr>
          </w:p>
        </w:tc>
        <w:tc>
          <w:tcPr>
            <w:tcW w:w="2278" w:type="dxa"/>
          </w:tcPr>
          <w:p w14:paraId="7265E400">
            <w:pPr>
              <w:spacing w:line="440" w:lineRule="exact"/>
              <w:rPr>
                <w:rFonts w:ascii="宋体" w:hAnsi="宋体" w:cs="宋体"/>
                <w:color w:val="auto"/>
                <w:szCs w:val="21"/>
                <w:highlight w:val="none"/>
              </w:rPr>
            </w:pPr>
          </w:p>
        </w:tc>
        <w:tc>
          <w:tcPr>
            <w:tcW w:w="2278" w:type="dxa"/>
          </w:tcPr>
          <w:p w14:paraId="13B37B22">
            <w:pPr>
              <w:spacing w:line="440" w:lineRule="exact"/>
              <w:rPr>
                <w:rFonts w:ascii="宋体" w:hAnsi="宋体" w:cs="宋体"/>
                <w:color w:val="auto"/>
                <w:szCs w:val="21"/>
                <w:highlight w:val="none"/>
              </w:rPr>
            </w:pPr>
          </w:p>
        </w:tc>
        <w:tc>
          <w:tcPr>
            <w:tcW w:w="900" w:type="dxa"/>
          </w:tcPr>
          <w:p w14:paraId="10496331">
            <w:pPr>
              <w:spacing w:line="440" w:lineRule="exact"/>
              <w:rPr>
                <w:rFonts w:ascii="宋体" w:hAnsi="宋体" w:cs="宋体"/>
                <w:color w:val="auto"/>
                <w:szCs w:val="21"/>
                <w:highlight w:val="none"/>
              </w:rPr>
            </w:pPr>
          </w:p>
        </w:tc>
      </w:tr>
      <w:tr w14:paraId="45A3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3D2BEF30">
            <w:pPr>
              <w:spacing w:line="440" w:lineRule="exact"/>
              <w:rPr>
                <w:rFonts w:ascii="宋体" w:hAnsi="宋体" w:cs="宋体"/>
                <w:color w:val="auto"/>
                <w:szCs w:val="21"/>
                <w:highlight w:val="none"/>
              </w:rPr>
            </w:pPr>
          </w:p>
        </w:tc>
        <w:tc>
          <w:tcPr>
            <w:tcW w:w="1645" w:type="dxa"/>
          </w:tcPr>
          <w:p w14:paraId="78100B02">
            <w:pPr>
              <w:spacing w:line="440" w:lineRule="exact"/>
              <w:rPr>
                <w:rFonts w:ascii="宋体" w:hAnsi="宋体" w:cs="宋体"/>
                <w:color w:val="auto"/>
                <w:szCs w:val="21"/>
                <w:highlight w:val="none"/>
              </w:rPr>
            </w:pPr>
          </w:p>
        </w:tc>
        <w:tc>
          <w:tcPr>
            <w:tcW w:w="1778" w:type="dxa"/>
          </w:tcPr>
          <w:p w14:paraId="7460E3FE">
            <w:pPr>
              <w:spacing w:line="440" w:lineRule="exact"/>
              <w:rPr>
                <w:rFonts w:ascii="宋体" w:hAnsi="宋体" w:cs="宋体"/>
                <w:color w:val="auto"/>
                <w:szCs w:val="21"/>
                <w:highlight w:val="none"/>
              </w:rPr>
            </w:pPr>
          </w:p>
        </w:tc>
        <w:tc>
          <w:tcPr>
            <w:tcW w:w="2278" w:type="dxa"/>
          </w:tcPr>
          <w:p w14:paraId="53C5E429">
            <w:pPr>
              <w:spacing w:line="440" w:lineRule="exact"/>
              <w:rPr>
                <w:rFonts w:ascii="宋体" w:hAnsi="宋体" w:cs="宋体"/>
                <w:color w:val="auto"/>
                <w:szCs w:val="21"/>
                <w:highlight w:val="none"/>
              </w:rPr>
            </w:pPr>
          </w:p>
        </w:tc>
        <w:tc>
          <w:tcPr>
            <w:tcW w:w="2278" w:type="dxa"/>
          </w:tcPr>
          <w:p w14:paraId="35893632">
            <w:pPr>
              <w:spacing w:line="440" w:lineRule="exact"/>
              <w:rPr>
                <w:rFonts w:ascii="宋体" w:hAnsi="宋体" w:cs="宋体"/>
                <w:color w:val="auto"/>
                <w:szCs w:val="21"/>
                <w:highlight w:val="none"/>
              </w:rPr>
            </w:pPr>
          </w:p>
        </w:tc>
        <w:tc>
          <w:tcPr>
            <w:tcW w:w="900" w:type="dxa"/>
          </w:tcPr>
          <w:p w14:paraId="353E3966">
            <w:pPr>
              <w:spacing w:line="440" w:lineRule="exact"/>
              <w:rPr>
                <w:rFonts w:ascii="宋体" w:hAnsi="宋体" w:cs="宋体"/>
                <w:color w:val="auto"/>
                <w:szCs w:val="21"/>
                <w:highlight w:val="none"/>
              </w:rPr>
            </w:pPr>
          </w:p>
        </w:tc>
      </w:tr>
      <w:tr w14:paraId="33FE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14:paraId="6FB695AB">
            <w:pPr>
              <w:spacing w:line="440" w:lineRule="exact"/>
              <w:rPr>
                <w:rFonts w:ascii="宋体" w:hAnsi="宋体" w:cs="宋体"/>
                <w:color w:val="auto"/>
                <w:szCs w:val="21"/>
                <w:highlight w:val="none"/>
              </w:rPr>
            </w:pPr>
          </w:p>
        </w:tc>
        <w:tc>
          <w:tcPr>
            <w:tcW w:w="1645" w:type="dxa"/>
          </w:tcPr>
          <w:p w14:paraId="254C8754">
            <w:pPr>
              <w:spacing w:line="440" w:lineRule="exact"/>
              <w:rPr>
                <w:rFonts w:ascii="宋体" w:hAnsi="宋体" w:cs="宋体"/>
                <w:color w:val="auto"/>
                <w:szCs w:val="21"/>
                <w:highlight w:val="none"/>
              </w:rPr>
            </w:pPr>
          </w:p>
        </w:tc>
        <w:tc>
          <w:tcPr>
            <w:tcW w:w="1778" w:type="dxa"/>
          </w:tcPr>
          <w:p w14:paraId="27FE9B94">
            <w:pPr>
              <w:spacing w:line="440" w:lineRule="exact"/>
              <w:rPr>
                <w:rFonts w:ascii="宋体" w:hAnsi="宋体" w:cs="宋体"/>
                <w:color w:val="auto"/>
                <w:szCs w:val="21"/>
                <w:highlight w:val="none"/>
              </w:rPr>
            </w:pPr>
          </w:p>
        </w:tc>
        <w:tc>
          <w:tcPr>
            <w:tcW w:w="2278" w:type="dxa"/>
          </w:tcPr>
          <w:p w14:paraId="3F9C622E">
            <w:pPr>
              <w:spacing w:line="440" w:lineRule="exact"/>
              <w:rPr>
                <w:rFonts w:ascii="宋体" w:hAnsi="宋体" w:cs="宋体"/>
                <w:color w:val="auto"/>
                <w:szCs w:val="21"/>
                <w:highlight w:val="none"/>
              </w:rPr>
            </w:pPr>
          </w:p>
        </w:tc>
        <w:tc>
          <w:tcPr>
            <w:tcW w:w="2278" w:type="dxa"/>
          </w:tcPr>
          <w:p w14:paraId="10279433">
            <w:pPr>
              <w:spacing w:line="440" w:lineRule="exact"/>
              <w:rPr>
                <w:rFonts w:ascii="宋体" w:hAnsi="宋体" w:cs="宋体"/>
                <w:color w:val="auto"/>
                <w:szCs w:val="21"/>
                <w:highlight w:val="none"/>
              </w:rPr>
            </w:pPr>
          </w:p>
        </w:tc>
        <w:tc>
          <w:tcPr>
            <w:tcW w:w="900" w:type="dxa"/>
          </w:tcPr>
          <w:p w14:paraId="0AB3D293">
            <w:pPr>
              <w:spacing w:line="440" w:lineRule="exact"/>
              <w:rPr>
                <w:rFonts w:ascii="宋体" w:hAnsi="宋体" w:cs="宋体"/>
                <w:color w:val="auto"/>
                <w:szCs w:val="21"/>
                <w:highlight w:val="none"/>
              </w:rPr>
            </w:pPr>
          </w:p>
        </w:tc>
      </w:tr>
      <w:tr w14:paraId="0A4B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79235479">
            <w:pPr>
              <w:spacing w:line="440" w:lineRule="exact"/>
              <w:rPr>
                <w:rFonts w:ascii="宋体" w:hAnsi="宋体" w:cs="宋体"/>
                <w:color w:val="auto"/>
                <w:szCs w:val="21"/>
                <w:highlight w:val="none"/>
              </w:rPr>
            </w:pPr>
          </w:p>
        </w:tc>
        <w:tc>
          <w:tcPr>
            <w:tcW w:w="1645" w:type="dxa"/>
          </w:tcPr>
          <w:p w14:paraId="780C6C86">
            <w:pPr>
              <w:spacing w:line="440" w:lineRule="exact"/>
              <w:rPr>
                <w:rFonts w:ascii="宋体" w:hAnsi="宋体" w:cs="宋体"/>
                <w:color w:val="auto"/>
                <w:szCs w:val="21"/>
                <w:highlight w:val="none"/>
              </w:rPr>
            </w:pPr>
          </w:p>
        </w:tc>
        <w:tc>
          <w:tcPr>
            <w:tcW w:w="1778" w:type="dxa"/>
          </w:tcPr>
          <w:p w14:paraId="3B4F9C22">
            <w:pPr>
              <w:spacing w:line="440" w:lineRule="exact"/>
              <w:rPr>
                <w:rFonts w:ascii="宋体" w:hAnsi="宋体" w:cs="宋体"/>
                <w:color w:val="auto"/>
                <w:szCs w:val="21"/>
                <w:highlight w:val="none"/>
              </w:rPr>
            </w:pPr>
          </w:p>
        </w:tc>
        <w:tc>
          <w:tcPr>
            <w:tcW w:w="2278" w:type="dxa"/>
          </w:tcPr>
          <w:p w14:paraId="4E84259D">
            <w:pPr>
              <w:spacing w:line="440" w:lineRule="exact"/>
              <w:rPr>
                <w:rFonts w:ascii="宋体" w:hAnsi="宋体" w:cs="宋体"/>
                <w:color w:val="auto"/>
                <w:szCs w:val="21"/>
                <w:highlight w:val="none"/>
              </w:rPr>
            </w:pPr>
          </w:p>
        </w:tc>
        <w:tc>
          <w:tcPr>
            <w:tcW w:w="2278" w:type="dxa"/>
          </w:tcPr>
          <w:p w14:paraId="11478DD4">
            <w:pPr>
              <w:spacing w:line="440" w:lineRule="exact"/>
              <w:rPr>
                <w:rFonts w:ascii="宋体" w:hAnsi="宋体" w:cs="宋体"/>
                <w:color w:val="auto"/>
                <w:szCs w:val="21"/>
                <w:highlight w:val="none"/>
              </w:rPr>
            </w:pPr>
          </w:p>
        </w:tc>
        <w:tc>
          <w:tcPr>
            <w:tcW w:w="900" w:type="dxa"/>
          </w:tcPr>
          <w:p w14:paraId="50FE6671">
            <w:pPr>
              <w:spacing w:line="440" w:lineRule="exact"/>
              <w:rPr>
                <w:rFonts w:ascii="宋体" w:hAnsi="宋体" w:cs="宋体"/>
                <w:color w:val="auto"/>
                <w:szCs w:val="21"/>
                <w:highlight w:val="none"/>
              </w:rPr>
            </w:pPr>
          </w:p>
        </w:tc>
      </w:tr>
      <w:tr w14:paraId="7AF2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14:paraId="1611C531">
            <w:pPr>
              <w:spacing w:line="440" w:lineRule="exact"/>
              <w:rPr>
                <w:rFonts w:ascii="宋体" w:hAnsi="宋体" w:cs="宋体"/>
                <w:color w:val="auto"/>
                <w:szCs w:val="21"/>
                <w:highlight w:val="none"/>
              </w:rPr>
            </w:pPr>
          </w:p>
        </w:tc>
        <w:tc>
          <w:tcPr>
            <w:tcW w:w="1645" w:type="dxa"/>
          </w:tcPr>
          <w:p w14:paraId="15AB5B71">
            <w:pPr>
              <w:spacing w:line="440" w:lineRule="exact"/>
              <w:rPr>
                <w:rFonts w:ascii="宋体" w:hAnsi="宋体" w:cs="宋体"/>
                <w:color w:val="auto"/>
                <w:szCs w:val="21"/>
                <w:highlight w:val="none"/>
              </w:rPr>
            </w:pPr>
          </w:p>
        </w:tc>
        <w:tc>
          <w:tcPr>
            <w:tcW w:w="1778" w:type="dxa"/>
          </w:tcPr>
          <w:p w14:paraId="36DE9AD4">
            <w:pPr>
              <w:spacing w:line="440" w:lineRule="exact"/>
              <w:rPr>
                <w:rFonts w:ascii="宋体" w:hAnsi="宋体" w:cs="宋体"/>
                <w:color w:val="auto"/>
                <w:szCs w:val="21"/>
                <w:highlight w:val="none"/>
              </w:rPr>
            </w:pPr>
          </w:p>
        </w:tc>
        <w:tc>
          <w:tcPr>
            <w:tcW w:w="2278" w:type="dxa"/>
          </w:tcPr>
          <w:p w14:paraId="52F525F7">
            <w:pPr>
              <w:spacing w:line="440" w:lineRule="exact"/>
              <w:rPr>
                <w:rFonts w:ascii="宋体" w:hAnsi="宋体" w:cs="宋体"/>
                <w:color w:val="auto"/>
                <w:szCs w:val="21"/>
                <w:highlight w:val="none"/>
              </w:rPr>
            </w:pPr>
          </w:p>
        </w:tc>
        <w:tc>
          <w:tcPr>
            <w:tcW w:w="2278" w:type="dxa"/>
          </w:tcPr>
          <w:p w14:paraId="2D1AC9FF">
            <w:pPr>
              <w:spacing w:line="440" w:lineRule="exact"/>
              <w:rPr>
                <w:rFonts w:ascii="宋体" w:hAnsi="宋体" w:cs="宋体"/>
                <w:color w:val="auto"/>
                <w:szCs w:val="21"/>
                <w:highlight w:val="none"/>
              </w:rPr>
            </w:pPr>
          </w:p>
        </w:tc>
        <w:tc>
          <w:tcPr>
            <w:tcW w:w="900" w:type="dxa"/>
          </w:tcPr>
          <w:p w14:paraId="4EF6AE86">
            <w:pPr>
              <w:spacing w:line="440" w:lineRule="exact"/>
              <w:rPr>
                <w:rFonts w:ascii="宋体" w:hAnsi="宋体" w:cs="宋体"/>
                <w:color w:val="auto"/>
                <w:szCs w:val="21"/>
                <w:highlight w:val="none"/>
              </w:rPr>
            </w:pPr>
          </w:p>
        </w:tc>
      </w:tr>
    </w:tbl>
    <w:p w14:paraId="3C461F96">
      <w:pPr>
        <w:spacing w:line="360" w:lineRule="auto"/>
        <w:contextualSpacing/>
        <w:jc w:val="left"/>
        <w:rPr>
          <w:rFonts w:hint="eastAsia" w:ascii="宋体" w:hAnsi="宋体"/>
          <w:color w:val="auto"/>
          <w:sz w:val="24"/>
          <w:szCs w:val="20"/>
          <w:highlight w:val="none"/>
        </w:rPr>
      </w:pPr>
    </w:p>
    <w:p w14:paraId="112B9FA2">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3E3CC04C">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1.在填写时，如本表格不适合</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的实际情况，可根据本表格式自行制表填写。</w:t>
      </w:r>
    </w:p>
    <w:p w14:paraId="757FC330">
      <w:pPr>
        <w:spacing w:line="360" w:lineRule="auto"/>
        <w:contextualSpacing/>
        <w:jc w:val="left"/>
        <w:rPr>
          <w:rFonts w:hint="eastAsia" w:ascii="宋体" w:hAnsi="宋体" w:eastAsia="宋体" w:cs="宋体"/>
          <w:b/>
          <w:bCs/>
          <w:color w:val="auto"/>
          <w:sz w:val="21"/>
          <w:szCs w:val="21"/>
          <w:highlight w:val="none"/>
          <w:lang w:eastAsia="zh-CN"/>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应当附本表所列证书的扫描件并加盖投标人电子签章</w:t>
      </w:r>
      <w:r>
        <w:rPr>
          <w:rFonts w:hint="eastAsia" w:ascii="宋体" w:hAnsi="宋体"/>
          <w:color w:val="auto"/>
          <w:sz w:val="21"/>
          <w:szCs w:val="21"/>
          <w:highlight w:val="none"/>
          <w:lang w:eastAsia="zh-CN"/>
        </w:rPr>
        <w:t>。</w:t>
      </w:r>
    </w:p>
    <w:p w14:paraId="46750B5B">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5C7BDF82">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5F2A953B">
      <w:pPr>
        <w:rPr>
          <w:rFonts w:ascii="宋体" w:hAnsi="宋体" w:cs="宋体"/>
          <w:color w:val="auto"/>
          <w:szCs w:val="21"/>
          <w:highlight w:val="none"/>
        </w:rPr>
      </w:pPr>
    </w:p>
    <w:p w14:paraId="4C998EBF">
      <w:pPr>
        <w:snapToGrid w:val="0"/>
        <w:spacing w:before="50" w:line="440" w:lineRule="exact"/>
        <w:jc w:val="left"/>
        <w:rPr>
          <w:rFonts w:ascii="宋体" w:hAnsi="宋体" w:cs="宋体"/>
          <w:b/>
          <w:color w:val="auto"/>
          <w:szCs w:val="21"/>
          <w:highlight w:val="none"/>
        </w:rPr>
      </w:pPr>
    </w:p>
    <w:p w14:paraId="192F0413">
      <w:pPr>
        <w:snapToGrid w:val="0"/>
        <w:spacing w:before="50" w:line="440" w:lineRule="exact"/>
        <w:jc w:val="left"/>
        <w:rPr>
          <w:rFonts w:ascii="宋体" w:hAnsi="宋体" w:cs="宋体"/>
          <w:b/>
          <w:color w:val="auto"/>
          <w:szCs w:val="21"/>
          <w:highlight w:val="none"/>
        </w:rPr>
        <w:sectPr>
          <w:pgSz w:w="11906" w:h="16838"/>
          <w:pgMar w:top="1134" w:right="1247" w:bottom="1134" w:left="1247" w:header="851" w:footer="992" w:gutter="0"/>
          <w:cols w:space="720" w:num="1"/>
          <w:docGrid w:linePitch="312" w:charSpace="0"/>
        </w:sectPr>
      </w:pPr>
    </w:p>
    <w:p w14:paraId="5B998D08">
      <w:pPr>
        <w:snapToGrid w:val="0"/>
        <w:spacing w:before="50" w:line="440" w:lineRule="exact"/>
        <w:jc w:val="left"/>
        <w:rPr>
          <w:rFonts w:ascii="宋体" w:hAnsi="宋体" w:cs="宋体"/>
          <w:b/>
          <w:color w:val="auto"/>
          <w:sz w:val="24"/>
          <w:highlight w:val="none"/>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 代理服务费承诺书格式</w:t>
      </w:r>
    </w:p>
    <w:p w14:paraId="703740C8">
      <w:pPr>
        <w:snapToGrid w:val="0"/>
        <w:spacing w:before="120" w:beforeLines="50" w:after="50" w:line="440" w:lineRule="exact"/>
        <w:rPr>
          <w:rFonts w:ascii="宋体" w:hAnsi="宋体" w:cs="宋体"/>
          <w:color w:val="auto"/>
          <w:szCs w:val="21"/>
          <w:highlight w:val="none"/>
        </w:rPr>
      </w:pPr>
      <w:r>
        <w:rPr>
          <w:rFonts w:hint="eastAsia" w:ascii="宋体" w:hAnsi="宋体" w:cs="宋体"/>
          <w:color w:val="auto"/>
          <w:szCs w:val="21"/>
          <w:highlight w:val="none"/>
        </w:rPr>
        <w:t>致：广西德元工程项目管理有限责任公司</w:t>
      </w:r>
    </w:p>
    <w:p w14:paraId="52817525">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我单位参加了贵方组织的采购项目编号为（）的磋商，在此我方说明如下：</w:t>
      </w:r>
    </w:p>
    <w:p w14:paraId="7C468F0D">
      <w:pPr>
        <w:numPr>
          <w:ilvl w:val="0"/>
          <w:numId w:val="1"/>
        </w:numPr>
        <w:snapToGrid w:val="0"/>
        <w:spacing w:before="120" w:beforeLines="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我方承诺，若我单位中标，保证在领取成交通知书之前，按本项目磋商文件的规定标准向贵单位一次性足额支付代理服务费。</w:t>
      </w:r>
    </w:p>
    <w:p w14:paraId="6A81E57A">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我单位选择第   种方式作为代理服务费开票类型：</w:t>
      </w:r>
    </w:p>
    <w:p w14:paraId="48FA5C2B">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第一种方式：开具收据。</w:t>
      </w:r>
    </w:p>
    <w:p w14:paraId="653C297A">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第二种方式：开具增值税普通发票。开票信息如下：1.公司名称；2.纳税人识别号；</w:t>
      </w:r>
    </w:p>
    <w:p w14:paraId="3617F8D0">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第三种方式：开具增值税专用发票，开票信息如下：1.公司名称；2.纳税人识别号；3.税局登记地址；4.税局登记电话；5.开户银行；6.银行账户。</w:t>
      </w:r>
    </w:p>
    <w:p w14:paraId="1486BC76">
      <w:pPr>
        <w:snapToGrid w:val="0"/>
        <w:spacing w:before="50" w:after="120" w:afterLines="50" w:line="440" w:lineRule="exact"/>
        <w:jc w:val="left"/>
        <w:rPr>
          <w:rFonts w:ascii="宋体" w:hAnsi="宋体" w:cs="宋体"/>
          <w:b/>
          <w:color w:val="auto"/>
          <w:sz w:val="24"/>
          <w:highlight w:val="none"/>
        </w:rPr>
      </w:pPr>
    </w:p>
    <w:p w14:paraId="78F01C36">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FD5A284">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1AC9E641">
      <w:pP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br w:type="page"/>
      </w:r>
    </w:p>
    <w:p w14:paraId="39440F4E">
      <w:pPr>
        <w:snapToGrid w:val="0"/>
        <w:spacing w:before="50" w:line="440" w:lineRule="exact"/>
        <w:jc w:val="left"/>
        <w:rPr>
          <w:rFonts w:ascii="宋体" w:hAnsi="宋体" w:cs="宋体"/>
          <w:b/>
          <w:color w:val="auto"/>
          <w:szCs w:val="21"/>
          <w:highlight w:val="none"/>
        </w:rPr>
      </w:pPr>
      <w:r>
        <w:rPr>
          <w:rFonts w:hint="eastAsia" w:ascii="宋体" w:hAnsi="宋体" w:cs="宋体"/>
          <w:b/>
          <w:color w:val="auto"/>
          <w:szCs w:val="21"/>
          <w:highlight w:val="none"/>
          <w:lang w:val="en-US" w:eastAsia="zh-CN"/>
        </w:rPr>
        <w:t>九</w:t>
      </w:r>
      <w:r>
        <w:rPr>
          <w:rFonts w:hint="eastAsia" w:ascii="宋体" w:hAnsi="宋体" w:cs="宋体"/>
          <w:b/>
          <w:color w:val="auto"/>
          <w:szCs w:val="21"/>
          <w:highlight w:val="none"/>
        </w:rPr>
        <w:t>、供应商同类项目业绩证明</w:t>
      </w:r>
    </w:p>
    <w:p w14:paraId="78865CE9">
      <w:pPr>
        <w:pStyle w:val="30"/>
        <w:snapToGrid w:val="0"/>
        <w:spacing w:line="440" w:lineRule="exact"/>
        <w:ind w:left="0"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供应商同类项目业绩一览表（供应商同类项目合同或中标/成交通知书复印件、用户验收报告、用户评价意见格式自拟）</w:t>
      </w:r>
    </w:p>
    <w:tbl>
      <w:tblPr>
        <w:tblStyle w:val="41"/>
        <w:tblW w:w="89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1087"/>
        <w:gridCol w:w="540"/>
        <w:gridCol w:w="533"/>
        <w:gridCol w:w="1327"/>
      </w:tblGrid>
      <w:tr w14:paraId="09643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102" w:type="dxa"/>
            <w:vMerge w:val="restart"/>
            <w:tcBorders>
              <w:top w:val="single" w:color="auto" w:sz="4" w:space="0"/>
              <w:left w:val="single" w:color="auto" w:sz="4" w:space="0"/>
              <w:bottom w:val="single" w:color="auto" w:sz="4" w:space="0"/>
              <w:right w:val="single" w:color="auto" w:sz="4" w:space="0"/>
            </w:tcBorders>
            <w:vAlign w:val="center"/>
          </w:tcPr>
          <w:p w14:paraId="66A2DAF3">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采购单位名称</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14:paraId="697E4679">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14:paraId="59206D51">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w:t>
            </w:r>
          </w:p>
          <w:p w14:paraId="14825BF4">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FA62F11">
            <w:pPr>
              <w:snapToGrid w:val="0"/>
              <w:spacing w:line="440" w:lineRule="exact"/>
              <w:jc w:val="center"/>
              <w:rPr>
                <w:rFonts w:ascii="宋体" w:hAnsi="宋体" w:cs="宋体"/>
                <w:color w:val="auto"/>
                <w:szCs w:val="21"/>
                <w:highlight w:val="none"/>
              </w:rPr>
            </w:pPr>
            <w:r>
              <w:rPr>
                <w:rFonts w:hint="eastAsia" w:ascii="宋体" w:hAnsi="宋体"/>
                <w:szCs w:val="21"/>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172DA06B">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合同</w:t>
            </w:r>
          </w:p>
          <w:p w14:paraId="02F864DA">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金额</w:t>
            </w:r>
          </w:p>
          <w:p w14:paraId="3D183242">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11278681">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0DD6ABAA">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采购单位联系人及</w:t>
            </w:r>
          </w:p>
          <w:p w14:paraId="39B8F861">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r>
      <w:tr w14:paraId="0BCE5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102" w:type="dxa"/>
            <w:vMerge w:val="continue"/>
            <w:tcBorders>
              <w:top w:val="single" w:color="auto" w:sz="4" w:space="0"/>
              <w:left w:val="single" w:color="auto" w:sz="4" w:space="0"/>
              <w:bottom w:val="single" w:color="auto" w:sz="4" w:space="0"/>
              <w:right w:val="single" w:color="auto" w:sz="4" w:space="0"/>
            </w:tcBorders>
            <w:vAlign w:val="center"/>
          </w:tcPr>
          <w:p w14:paraId="3920000D">
            <w:pPr>
              <w:widowControl/>
              <w:spacing w:line="440" w:lineRule="exact"/>
              <w:jc w:val="left"/>
              <w:rPr>
                <w:rFonts w:ascii="宋体" w:hAnsi="宋体" w:cs="宋体"/>
                <w:color w:val="auto"/>
                <w:szCs w:val="21"/>
                <w:highlight w:val="none"/>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0925AE0F">
            <w:pPr>
              <w:widowControl/>
              <w:spacing w:line="440" w:lineRule="exact"/>
              <w:jc w:val="left"/>
              <w:rPr>
                <w:rFonts w:ascii="宋体" w:hAnsi="宋体" w:cs="宋体"/>
                <w:color w:val="auto"/>
                <w:szCs w:val="21"/>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3FFD8B41">
            <w:pPr>
              <w:widowControl/>
              <w:spacing w:line="440" w:lineRule="exact"/>
              <w:jc w:val="left"/>
              <w:rPr>
                <w:rFonts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D9A89E">
            <w:pPr>
              <w:widowControl/>
              <w:spacing w:line="440" w:lineRule="exact"/>
              <w:jc w:val="left"/>
              <w:rPr>
                <w:rFonts w:ascii="宋体" w:hAnsi="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756B2E20">
            <w:pPr>
              <w:widowControl/>
              <w:spacing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66993633">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合同或中标/成交通知书</w:t>
            </w:r>
          </w:p>
        </w:tc>
        <w:tc>
          <w:tcPr>
            <w:tcW w:w="540" w:type="dxa"/>
            <w:tcBorders>
              <w:top w:val="single" w:color="auto" w:sz="4" w:space="0"/>
              <w:left w:val="single" w:color="auto" w:sz="4" w:space="0"/>
              <w:bottom w:val="single" w:color="auto" w:sz="4" w:space="0"/>
              <w:right w:val="single" w:color="auto" w:sz="4" w:space="0"/>
            </w:tcBorders>
            <w:vAlign w:val="center"/>
          </w:tcPr>
          <w:p w14:paraId="5959C9F0">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验收报告</w:t>
            </w:r>
          </w:p>
        </w:tc>
        <w:tc>
          <w:tcPr>
            <w:tcW w:w="533" w:type="dxa"/>
            <w:tcBorders>
              <w:top w:val="single" w:color="auto" w:sz="4" w:space="0"/>
              <w:left w:val="single" w:color="auto" w:sz="4" w:space="0"/>
              <w:bottom w:val="single" w:color="auto" w:sz="4" w:space="0"/>
              <w:right w:val="single" w:color="auto" w:sz="4" w:space="0"/>
            </w:tcBorders>
            <w:vAlign w:val="center"/>
          </w:tcPr>
          <w:p w14:paraId="4C369723">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7373B689">
            <w:pPr>
              <w:widowControl/>
              <w:spacing w:line="440" w:lineRule="exact"/>
              <w:jc w:val="left"/>
              <w:rPr>
                <w:rFonts w:ascii="宋体" w:hAnsi="宋体" w:cs="宋体"/>
                <w:color w:val="auto"/>
                <w:szCs w:val="21"/>
                <w:highlight w:val="none"/>
              </w:rPr>
            </w:pPr>
          </w:p>
        </w:tc>
      </w:tr>
      <w:tr w14:paraId="43871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102" w:type="dxa"/>
            <w:tcBorders>
              <w:top w:val="single" w:color="auto" w:sz="4" w:space="0"/>
              <w:left w:val="single" w:color="auto" w:sz="4" w:space="0"/>
              <w:bottom w:val="single" w:color="auto" w:sz="4" w:space="0"/>
              <w:right w:val="single" w:color="auto" w:sz="4" w:space="0"/>
            </w:tcBorders>
          </w:tcPr>
          <w:p w14:paraId="124F040B">
            <w:pPr>
              <w:snapToGrid w:val="0"/>
              <w:spacing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5CCC4B30">
            <w:pPr>
              <w:snapToGrid w:val="0"/>
              <w:spacing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53381ED0">
            <w:pPr>
              <w:snapToGrid w:val="0"/>
              <w:spacing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D3FE3B6">
            <w:pPr>
              <w:snapToGrid w:val="0"/>
              <w:spacing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6155D99">
            <w:pPr>
              <w:snapToGrid w:val="0"/>
              <w:spacing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14:paraId="0A0E201A">
            <w:pPr>
              <w:snapToGrid w:val="0"/>
              <w:spacing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14:paraId="01B3DBED">
            <w:pPr>
              <w:snapToGrid w:val="0"/>
              <w:spacing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14:paraId="64586D5E">
            <w:pPr>
              <w:snapToGrid w:val="0"/>
              <w:spacing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681474D7">
            <w:pPr>
              <w:snapToGrid w:val="0"/>
              <w:spacing w:line="440" w:lineRule="exact"/>
              <w:jc w:val="left"/>
              <w:rPr>
                <w:rFonts w:ascii="宋体" w:hAnsi="宋体" w:cs="宋体"/>
                <w:color w:val="auto"/>
                <w:szCs w:val="21"/>
                <w:highlight w:val="none"/>
              </w:rPr>
            </w:pPr>
          </w:p>
        </w:tc>
      </w:tr>
      <w:tr w14:paraId="6E9E5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14:paraId="7BD3A1A5">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426A3B9C">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45A30912">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C88138E">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DAD01CA">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14:paraId="1538F916">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14:paraId="0A531FB1">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14:paraId="52867092">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7C0792F4">
            <w:pPr>
              <w:snapToGrid w:val="0"/>
              <w:spacing w:before="50" w:after="120" w:afterLines="50" w:line="440" w:lineRule="exact"/>
              <w:jc w:val="left"/>
              <w:rPr>
                <w:rFonts w:ascii="宋体" w:hAnsi="宋体" w:cs="宋体"/>
                <w:color w:val="auto"/>
                <w:szCs w:val="21"/>
                <w:highlight w:val="none"/>
              </w:rPr>
            </w:pPr>
          </w:p>
        </w:tc>
      </w:tr>
      <w:tr w14:paraId="2F4BE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102" w:type="dxa"/>
            <w:tcBorders>
              <w:top w:val="single" w:color="auto" w:sz="4" w:space="0"/>
              <w:left w:val="single" w:color="auto" w:sz="4" w:space="0"/>
              <w:bottom w:val="single" w:color="auto" w:sz="4" w:space="0"/>
              <w:right w:val="single" w:color="auto" w:sz="4" w:space="0"/>
            </w:tcBorders>
          </w:tcPr>
          <w:p w14:paraId="2AA65C3C">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6509F494">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2A34E525">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2E5D9DE">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7AC9B95">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14:paraId="2FF9C75B">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14:paraId="55C3037D">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14:paraId="73167AC0">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45D9B39">
            <w:pPr>
              <w:snapToGrid w:val="0"/>
              <w:spacing w:before="50" w:after="120" w:afterLines="50" w:line="440" w:lineRule="exact"/>
              <w:jc w:val="left"/>
              <w:rPr>
                <w:rFonts w:ascii="宋体" w:hAnsi="宋体" w:cs="宋体"/>
                <w:color w:val="auto"/>
                <w:szCs w:val="21"/>
                <w:highlight w:val="none"/>
              </w:rPr>
            </w:pPr>
          </w:p>
        </w:tc>
      </w:tr>
      <w:tr w14:paraId="04C01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14:paraId="4183100A">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1E400A7A">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5808458A">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37897B7">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B087A9A">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14:paraId="30C0D7D3">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14:paraId="3AB91934">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14:paraId="14FD9DF2">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BA99437">
            <w:pPr>
              <w:snapToGrid w:val="0"/>
              <w:spacing w:before="50" w:after="120" w:afterLines="50" w:line="440" w:lineRule="exact"/>
              <w:jc w:val="left"/>
              <w:rPr>
                <w:rFonts w:ascii="宋体" w:hAnsi="宋体" w:cs="宋体"/>
                <w:color w:val="auto"/>
                <w:szCs w:val="21"/>
                <w:highlight w:val="none"/>
              </w:rPr>
            </w:pPr>
          </w:p>
        </w:tc>
      </w:tr>
      <w:tr w14:paraId="05DF5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14:paraId="30EF8C25">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0E54DF55">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4AC7568E">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F086268">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C3D7BE4">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14:paraId="1408F968">
            <w:pPr>
              <w:snapToGrid w:val="0"/>
              <w:spacing w:before="50" w:after="120" w:afterLines="50" w:line="440" w:lineRule="exact"/>
              <w:jc w:val="left"/>
              <w:rPr>
                <w:rFonts w:ascii="宋体" w:hAnsi="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14:paraId="03D1951A">
            <w:pPr>
              <w:snapToGrid w:val="0"/>
              <w:spacing w:before="50" w:after="120" w:afterLines="50" w:line="440" w:lineRule="exact"/>
              <w:jc w:val="left"/>
              <w:rPr>
                <w:rFonts w:ascii="宋体" w:hAnsi="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tcPr>
          <w:p w14:paraId="39B7AB63">
            <w:pPr>
              <w:snapToGrid w:val="0"/>
              <w:spacing w:before="50" w:after="120" w:afterLines="50" w:line="44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41BF29A5">
            <w:pPr>
              <w:snapToGrid w:val="0"/>
              <w:spacing w:before="50" w:after="120" w:afterLines="50" w:line="440" w:lineRule="exact"/>
              <w:jc w:val="left"/>
              <w:rPr>
                <w:rFonts w:ascii="宋体" w:hAnsi="宋体" w:cs="宋体"/>
                <w:color w:val="auto"/>
                <w:szCs w:val="21"/>
                <w:highlight w:val="none"/>
              </w:rPr>
            </w:pPr>
          </w:p>
        </w:tc>
      </w:tr>
    </w:tbl>
    <w:p w14:paraId="657B941C">
      <w:pPr>
        <w:pStyle w:val="14"/>
        <w:snapToGrid w:val="0"/>
        <w:spacing w:line="440" w:lineRule="exact"/>
        <w:rPr>
          <w:rFonts w:ascii="宋体" w:hAnsi="宋体" w:eastAsia="宋体" w:cs="宋体"/>
          <w:color w:val="auto"/>
          <w:sz w:val="21"/>
          <w:szCs w:val="21"/>
          <w:highlight w:val="none"/>
        </w:rPr>
      </w:pPr>
    </w:p>
    <w:p w14:paraId="1625A6AD">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4348085">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21695EED">
      <w:pPr>
        <w:spacing w:line="440" w:lineRule="exact"/>
        <w:rPr>
          <w:rFonts w:ascii="宋体" w:hAnsi="宋体" w:cs="宋体"/>
          <w:color w:val="auto"/>
          <w:szCs w:val="21"/>
          <w:highlight w:val="none"/>
        </w:rPr>
      </w:pPr>
    </w:p>
    <w:p w14:paraId="140A2410">
      <w:pPr>
        <w:spacing w:line="440" w:lineRule="exact"/>
        <w:rPr>
          <w:rFonts w:ascii="宋体" w:hAnsi="宋体" w:cs="宋体"/>
          <w:color w:val="auto"/>
          <w:szCs w:val="21"/>
          <w:highlight w:val="none"/>
        </w:rPr>
      </w:pPr>
    </w:p>
    <w:p w14:paraId="323AC339">
      <w:pPr>
        <w:spacing w:line="440" w:lineRule="exact"/>
        <w:rPr>
          <w:rFonts w:ascii="宋体" w:hAnsi="宋体" w:cs="宋体"/>
          <w:color w:val="auto"/>
          <w:szCs w:val="21"/>
          <w:highlight w:val="none"/>
        </w:rPr>
      </w:pPr>
    </w:p>
    <w:p w14:paraId="5B6722B7">
      <w:pPr>
        <w:spacing w:line="440" w:lineRule="exact"/>
        <w:rPr>
          <w:rFonts w:ascii="宋体" w:hAnsi="宋体" w:cs="宋体"/>
          <w:color w:val="auto"/>
          <w:szCs w:val="21"/>
          <w:highlight w:val="none"/>
        </w:rPr>
      </w:pPr>
    </w:p>
    <w:p w14:paraId="5952D7A5">
      <w:pPr>
        <w:spacing w:line="440" w:lineRule="exact"/>
        <w:rPr>
          <w:rFonts w:ascii="宋体" w:hAnsi="宋体" w:cs="宋体"/>
          <w:color w:val="auto"/>
          <w:szCs w:val="21"/>
          <w:highlight w:val="none"/>
        </w:rPr>
      </w:pPr>
    </w:p>
    <w:p w14:paraId="3E60E221">
      <w:pPr>
        <w:spacing w:line="440" w:lineRule="exact"/>
        <w:rPr>
          <w:rFonts w:ascii="宋体" w:hAnsi="宋体" w:cs="宋体"/>
          <w:color w:val="auto"/>
          <w:szCs w:val="21"/>
          <w:highlight w:val="none"/>
        </w:rPr>
      </w:pPr>
    </w:p>
    <w:p w14:paraId="50CD103D">
      <w:pPr>
        <w:snapToGrid w:val="0"/>
        <w:spacing w:before="120" w:beforeLines="50" w:after="50" w:line="440" w:lineRule="exact"/>
        <w:rPr>
          <w:rFonts w:ascii="宋体" w:hAnsi="宋体" w:cs="宋体"/>
          <w:b/>
          <w:bCs/>
          <w:color w:val="auto"/>
          <w:szCs w:val="21"/>
          <w:highlight w:val="none"/>
        </w:rPr>
      </w:pPr>
    </w:p>
    <w:p w14:paraId="4BE36D25">
      <w:pPr>
        <w:snapToGrid w:val="0"/>
        <w:spacing w:before="120" w:beforeLines="50" w:after="50" w:line="440" w:lineRule="exact"/>
        <w:rPr>
          <w:rFonts w:ascii="宋体" w:hAnsi="宋体" w:cs="宋体"/>
          <w:b/>
          <w:bCs/>
          <w:color w:val="auto"/>
          <w:szCs w:val="21"/>
          <w:highlight w:val="none"/>
        </w:rPr>
      </w:pPr>
    </w:p>
    <w:p w14:paraId="3743CDE3">
      <w:pPr>
        <w:snapToGrid w:val="0"/>
        <w:spacing w:before="120" w:beforeLines="50" w:after="50" w:line="440" w:lineRule="exact"/>
        <w:rPr>
          <w:rFonts w:ascii="宋体" w:hAnsi="宋体" w:cs="宋体"/>
          <w:b/>
          <w:bCs/>
          <w:color w:val="auto"/>
          <w:szCs w:val="21"/>
          <w:highlight w:val="none"/>
        </w:rPr>
      </w:pPr>
    </w:p>
    <w:p w14:paraId="00A63981">
      <w:pPr>
        <w:snapToGrid w:val="0"/>
        <w:spacing w:before="120" w:beforeLines="50" w:after="50" w:line="440" w:lineRule="exact"/>
        <w:rPr>
          <w:rFonts w:ascii="宋体" w:hAnsi="宋体" w:cs="宋体"/>
          <w:b/>
          <w:bCs/>
          <w:color w:val="auto"/>
          <w:szCs w:val="21"/>
          <w:highlight w:val="none"/>
        </w:rPr>
      </w:pPr>
    </w:p>
    <w:p w14:paraId="09B4CB87">
      <w:pPr>
        <w:snapToGrid w:val="0"/>
        <w:spacing w:before="120" w:beforeLines="50" w:after="50" w:line="440" w:lineRule="exact"/>
        <w:rPr>
          <w:rFonts w:ascii="宋体" w:hAnsi="宋体" w:cs="宋体"/>
          <w:b/>
          <w:bCs/>
          <w:color w:val="auto"/>
          <w:szCs w:val="21"/>
          <w:highlight w:val="none"/>
        </w:rPr>
      </w:pPr>
    </w:p>
    <w:p w14:paraId="018F5D65">
      <w:pPr>
        <w:snapToGrid w:val="0"/>
        <w:spacing w:before="120" w:beforeLines="50" w:after="50" w:line="440" w:lineRule="exact"/>
        <w:rPr>
          <w:rFonts w:ascii="宋体" w:hAnsi="宋体" w:cs="宋体"/>
          <w:b/>
          <w:bCs/>
          <w:color w:val="auto"/>
          <w:szCs w:val="21"/>
          <w:highlight w:val="none"/>
        </w:rPr>
      </w:pPr>
    </w:p>
    <w:p w14:paraId="4237229C">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3、报价文件格式：</w:t>
      </w:r>
    </w:p>
    <w:p w14:paraId="435B01BA">
      <w:pPr>
        <w:spacing w:line="440" w:lineRule="exact"/>
        <w:jc w:val="center"/>
        <w:rPr>
          <w:rFonts w:ascii="宋体" w:hAnsi="宋体" w:cs="宋体"/>
          <w:b/>
          <w:color w:val="auto"/>
          <w:sz w:val="32"/>
          <w:szCs w:val="32"/>
          <w:highlight w:val="none"/>
        </w:rPr>
      </w:pPr>
    </w:p>
    <w:p w14:paraId="0B1946C2">
      <w:pPr>
        <w:spacing w:line="440" w:lineRule="exact"/>
        <w:jc w:val="center"/>
        <w:rPr>
          <w:rFonts w:ascii="宋体" w:hAnsi="宋体" w:cs="宋体"/>
          <w:b/>
          <w:color w:val="auto"/>
          <w:sz w:val="32"/>
          <w:szCs w:val="32"/>
          <w:highlight w:val="none"/>
        </w:rPr>
      </w:pPr>
    </w:p>
    <w:p w14:paraId="6170CA38">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06E02145">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44E2B13B">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0E7F5671">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71D54883">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5DA81666">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（报价文件）</w:t>
      </w:r>
    </w:p>
    <w:p w14:paraId="12C81A22">
      <w:pPr>
        <w:snapToGrid w:val="0"/>
        <w:spacing w:before="120" w:beforeLines="50" w:after="50" w:line="440" w:lineRule="exact"/>
        <w:rPr>
          <w:rFonts w:ascii="宋体" w:hAnsi="宋体" w:cs="宋体"/>
          <w:bCs/>
          <w:color w:val="auto"/>
          <w:szCs w:val="21"/>
          <w:highlight w:val="none"/>
        </w:rPr>
      </w:pPr>
    </w:p>
    <w:p w14:paraId="729AAFB4">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0D46FF4F">
      <w:pPr>
        <w:snapToGrid w:val="0"/>
        <w:spacing w:before="120" w:beforeLines="50" w:after="50" w:line="440" w:lineRule="exact"/>
        <w:ind w:firstLine="675" w:firstLineChars="225"/>
        <w:rPr>
          <w:rFonts w:ascii="宋体" w:hAnsi="宋体" w:cs="宋体"/>
          <w:bCs/>
          <w:color w:val="auto"/>
          <w:sz w:val="30"/>
          <w:szCs w:val="30"/>
          <w:highlight w:val="none"/>
        </w:rPr>
      </w:pPr>
    </w:p>
    <w:p w14:paraId="2EC9FC9B">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14A2885F">
      <w:pPr>
        <w:snapToGrid w:val="0"/>
        <w:spacing w:before="120" w:beforeLines="50" w:after="50" w:line="440" w:lineRule="exact"/>
        <w:ind w:firstLine="675" w:firstLineChars="225"/>
        <w:rPr>
          <w:rFonts w:ascii="宋体" w:hAnsi="宋体" w:cs="宋体"/>
          <w:bCs/>
          <w:color w:val="auto"/>
          <w:sz w:val="30"/>
          <w:szCs w:val="30"/>
          <w:highlight w:val="none"/>
        </w:rPr>
      </w:pPr>
    </w:p>
    <w:p w14:paraId="594B4EDA">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4B741387">
      <w:pPr>
        <w:snapToGrid w:val="0"/>
        <w:spacing w:before="120" w:beforeLines="50" w:after="50" w:line="440" w:lineRule="exact"/>
        <w:ind w:firstLine="675" w:firstLineChars="225"/>
        <w:rPr>
          <w:rFonts w:ascii="宋体" w:hAnsi="宋体" w:cs="宋体"/>
          <w:bCs/>
          <w:color w:val="auto"/>
          <w:sz w:val="30"/>
          <w:szCs w:val="30"/>
          <w:highlight w:val="none"/>
        </w:rPr>
      </w:pPr>
    </w:p>
    <w:p w14:paraId="6834A1CA">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14:paraId="2E9D632F">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14:paraId="0F808141">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320D145F">
      <w:pPr>
        <w:pStyle w:val="10"/>
        <w:snapToGrid w:val="0"/>
        <w:spacing w:before="50" w:after="50" w:line="440" w:lineRule="exact"/>
        <w:ind w:firstLine="675" w:firstLineChars="225"/>
        <w:rPr>
          <w:rFonts w:ascii="宋体" w:hAnsi="宋体" w:cs="宋体"/>
          <w:bCs/>
          <w:color w:val="auto"/>
          <w:sz w:val="30"/>
          <w:szCs w:val="30"/>
          <w:highlight w:val="none"/>
        </w:rPr>
      </w:pPr>
    </w:p>
    <w:p w14:paraId="1118204A">
      <w:pPr>
        <w:snapToGrid w:val="0"/>
        <w:spacing w:before="120" w:beforeLines="50" w:after="50" w:line="440" w:lineRule="exact"/>
        <w:ind w:firstLine="10"/>
        <w:jc w:val="center"/>
        <w:rPr>
          <w:rFonts w:ascii="宋体" w:hAnsi="宋体" w:cs="宋体"/>
          <w:color w:val="auto"/>
          <w:sz w:val="30"/>
          <w:szCs w:val="30"/>
          <w:highlight w:val="none"/>
        </w:rPr>
      </w:pPr>
    </w:p>
    <w:p w14:paraId="449EDA7C">
      <w:pPr>
        <w:snapToGrid w:val="0"/>
        <w:spacing w:before="120" w:beforeLines="50" w:after="50" w:line="440" w:lineRule="exact"/>
        <w:ind w:firstLine="10"/>
        <w:jc w:val="center"/>
        <w:rPr>
          <w:rFonts w:ascii="宋体" w:hAnsi="宋体" w:cs="宋体"/>
          <w:color w:val="auto"/>
          <w:sz w:val="30"/>
          <w:szCs w:val="30"/>
          <w:highlight w:val="none"/>
        </w:rPr>
      </w:pPr>
    </w:p>
    <w:p w14:paraId="1E303E4C">
      <w:pPr>
        <w:snapToGrid w:val="0"/>
        <w:spacing w:before="120" w:beforeLines="50" w:after="50" w:line="440" w:lineRule="exact"/>
        <w:ind w:firstLine="10"/>
        <w:jc w:val="center"/>
        <w:rPr>
          <w:rFonts w:ascii="宋体" w:hAnsi="宋体" w:cs="宋体"/>
          <w:color w:val="auto"/>
          <w:sz w:val="30"/>
          <w:szCs w:val="30"/>
          <w:highlight w:val="none"/>
        </w:rPr>
      </w:pPr>
    </w:p>
    <w:p w14:paraId="34F06B44">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14:paraId="5781C93E">
      <w:pPr>
        <w:spacing w:line="440" w:lineRule="exact"/>
        <w:rPr>
          <w:rFonts w:ascii="宋体" w:hAnsi="宋体" w:cs="宋体"/>
          <w:b/>
          <w:color w:val="auto"/>
          <w:szCs w:val="21"/>
          <w:highlight w:val="none"/>
        </w:rPr>
      </w:pPr>
    </w:p>
    <w:p w14:paraId="2EA69A67">
      <w:pPr>
        <w:tabs>
          <w:tab w:val="left" w:pos="1418"/>
        </w:tabs>
        <w:snapToGrid w:val="0"/>
        <w:spacing w:before="50" w:after="50"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目录</w:t>
      </w:r>
    </w:p>
    <w:p w14:paraId="7DE50D38">
      <w:pPr>
        <w:tabs>
          <w:tab w:val="left" w:pos="1418"/>
        </w:tabs>
        <w:snapToGrid w:val="0"/>
        <w:spacing w:before="50" w:after="50" w:line="440" w:lineRule="exact"/>
        <w:jc w:val="center"/>
        <w:rPr>
          <w:rFonts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供应商根据磋商文件要求自行编制</w:t>
      </w:r>
      <w:r>
        <w:rPr>
          <w:rFonts w:hint="eastAsia" w:ascii="宋体" w:hAnsi="宋体" w:cs="宋体"/>
          <w:bCs/>
          <w:color w:val="auto"/>
          <w:szCs w:val="21"/>
          <w:highlight w:val="none"/>
          <w:lang w:eastAsia="zh-CN"/>
        </w:rPr>
        <w:t>）</w:t>
      </w:r>
    </w:p>
    <w:p w14:paraId="7B608F1E">
      <w:pPr>
        <w:spacing w:line="440" w:lineRule="exact"/>
        <w:rPr>
          <w:rFonts w:ascii="宋体" w:hAnsi="宋体" w:cs="宋体"/>
          <w:bCs/>
          <w:color w:val="auto"/>
          <w:szCs w:val="21"/>
          <w:highlight w:val="none"/>
        </w:rPr>
      </w:pPr>
    </w:p>
    <w:p w14:paraId="5DF54A0F">
      <w:pPr>
        <w:spacing w:line="440" w:lineRule="exact"/>
        <w:rPr>
          <w:rFonts w:ascii="宋体" w:hAnsi="宋体" w:cs="宋体"/>
          <w:bCs/>
          <w:color w:val="auto"/>
          <w:szCs w:val="21"/>
          <w:highlight w:val="none"/>
        </w:rPr>
      </w:pPr>
    </w:p>
    <w:p w14:paraId="65F9BF3D">
      <w:pPr>
        <w:spacing w:line="440" w:lineRule="exact"/>
        <w:rPr>
          <w:rFonts w:ascii="宋体" w:hAnsi="宋体" w:cs="宋体"/>
          <w:bCs/>
          <w:color w:val="auto"/>
          <w:szCs w:val="21"/>
          <w:highlight w:val="none"/>
        </w:rPr>
      </w:pPr>
    </w:p>
    <w:p w14:paraId="3ACD5FEB">
      <w:pPr>
        <w:spacing w:line="440" w:lineRule="exact"/>
        <w:rPr>
          <w:rFonts w:ascii="宋体" w:hAnsi="宋体" w:cs="宋体"/>
          <w:bCs/>
          <w:color w:val="auto"/>
          <w:szCs w:val="21"/>
          <w:highlight w:val="none"/>
        </w:rPr>
      </w:pPr>
    </w:p>
    <w:p w14:paraId="496EF2F5">
      <w:pPr>
        <w:spacing w:line="440" w:lineRule="exact"/>
        <w:rPr>
          <w:rFonts w:ascii="宋体" w:hAnsi="宋体" w:cs="宋体"/>
          <w:bCs/>
          <w:color w:val="auto"/>
          <w:szCs w:val="21"/>
          <w:highlight w:val="none"/>
        </w:rPr>
      </w:pPr>
    </w:p>
    <w:p w14:paraId="6483CB24">
      <w:pPr>
        <w:spacing w:line="440" w:lineRule="exact"/>
        <w:rPr>
          <w:rFonts w:ascii="宋体" w:hAnsi="宋体" w:cs="宋体"/>
          <w:bCs/>
          <w:color w:val="auto"/>
          <w:szCs w:val="21"/>
          <w:highlight w:val="none"/>
        </w:rPr>
      </w:pPr>
    </w:p>
    <w:p w14:paraId="628EDC35">
      <w:pPr>
        <w:spacing w:line="440" w:lineRule="exact"/>
        <w:rPr>
          <w:rFonts w:ascii="宋体" w:hAnsi="宋体" w:cs="宋体"/>
          <w:bCs/>
          <w:color w:val="auto"/>
          <w:szCs w:val="21"/>
          <w:highlight w:val="none"/>
        </w:rPr>
      </w:pPr>
    </w:p>
    <w:p w14:paraId="2F77A787">
      <w:pPr>
        <w:spacing w:line="440" w:lineRule="exact"/>
        <w:rPr>
          <w:rFonts w:ascii="宋体" w:hAnsi="宋体" w:cs="宋体"/>
          <w:bCs/>
          <w:color w:val="auto"/>
          <w:szCs w:val="21"/>
          <w:highlight w:val="none"/>
        </w:rPr>
      </w:pPr>
    </w:p>
    <w:p w14:paraId="4439A9C5">
      <w:pPr>
        <w:spacing w:line="440" w:lineRule="exact"/>
        <w:rPr>
          <w:rFonts w:ascii="宋体" w:hAnsi="宋体" w:cs="宋体"/>
          <w:bCs/>
          <w:color w:val="auto"/>
          <w:szCs w:val="21"/>
          <w:highlight w:val="none"/>
        </w:rPr>
      </w:pPr>
    </w:p>
    <w:p w14:paraId="626647F5">
      <w:pPr>
        <w:spacing w:line="440" w:lineRule="exact"/>
        <w:rPr>
          <w:rFonts w:ascii="宋体" w:hAnsi="宋体" w:cs="宋体"/>
          <w:bCs/>
          <w:color w:val="auto"/>
          <w:szCs w:val="21"/>
          <w:highlight w:val="none"/>
        </w:rPr>
      </w:pPr>
    </w:p>
    <w:p w14:paraId="7F4DCC1D">
      <w:pPr>
        <w:spacing w:line="440" w:lineRule="exact"/>
        <w:rPr>
          <w:rFonts w:ascii="宋体" w:hAnsi="宋体" w:cs="宋体"/>
          <w:bCs/>
          <w:color w:val="auto"/>
          <w:szCs w:val="21"/>
          <w:highlight w:val="none"/>
        </w:rPr>
      </w:pPr>
    </w:p>
    <w:p w14:paraId="3830BDBF">
      <w:pPr>
        <w:spacing w:line="440" w:lineRule="exact"/>
        <w:rPr>
          <w:rFonts w:ascii="宋体" w:hAnsi="宋体" w:cs="宋体"/>
          <w:bCs/>
          <w:color w:val="auto"/>
          <w:szCs w:val="21"/>
          <w:highlight w:val="none"/>
        </w:rPr>
      </w:pPr>
    </w:p>
    <w:p w14:paraId="4F0E8E0A">
      <w:pPr>
        <w:spacing w:line="440" w:lineRule="exact"/>
        <w:rPr>
          <w:rFonts w:ascii="宋体" w:hAnsi="宋体" w:cs="宋体"/>
          <w:bCs/>
          <w:color w:val="auto"/>
          <w:szCs w:val="21"/>
          <w:highlight w:val="none"/>
        </w:rPr>
      </w:pPr>
    </w:p>
    <w:p w14:paraId="7CBD194D">
      <w:pPr>
        <w:spacing w:line="440" w:lineRule="exact"/>
        <w:rPr>
          <w:rFonts w:ascii="宋体" w:hAnsi="宋体" w:cs="宋体"/>
          <w:bCs/>
          <w:color w:val="auto"/>
          <w:szCs w:val="21"/>
          <w:highlight w:val="none"/>
        </w:rPr>
      </w:pPr>
    </w:p>
    <w:p w14:paraId="0D8642AD">
      <w:pPr>
        <w:spacing w:line="440" w:lineRule="exact"/>
        <w:rPr>
          <w:rFonts w:ascii="宋体" w:hAnsi="宋体" w:cs="宋体"/>
          <w:bCs/>
          <w:color w:val="auto"/>
          <w:szCs w:val="21"/>
          <w:highlight w:val="none"/>
        </w:rPr>
      </w:pPr>
    </w:p>
    <w:p w14:paraId="60EEB47E">
      <w:pPr>
        <w:spacing w:line="440" w:lineRule="exact"/>
        <w:rPr>
          <w:rFonts w:ascii="宋体" w:hAnsi="宋体" w:cs="宋体"/>
          <w:bCs/>
          <w:color w:val="auto"/>
          <w:szCs w:val="21"/>
          <w:highlight w:val="none"/>
        </w:rPr>
      </w:pPr>
    </w:p>
    <w:p w14:paraId="1B5A3FA0">
      <w:pPr>
        <w:spacing w:line="440" w:lineRule="exact"/>
        <w:rPr>
          <w:rFonts w:ascii="宋体" w:hAnsi="宋体" w:cs="宋体"/>
          <w:bCs/>
          <w:color w:val="auto"/>
          <w:szCs w:val="21"/>
          <w:highlight w:val="none"/>
        </w:rPr>
      </w:pPr>
    </w:p>
    <w:p w14:paraId="164CCA7B">
      <w:pPr>
        <w:spacing w:line="440" w:lineRule="exact"/>
        <w:rPr>
          <w:rFonts w:ascii="宋体" w:hAnsi="宋体" w:cs="宋体"/>
          <w:bCs/>
          <w:color w:val="auto"/>
          <w:szCs w:val="21"/>
          <w:highlight w:val="none"/>
        </w:rPr>
      </w:pPr>
    </w:p>
    <w:p w14:paraId="383EE9F7">
      <w:pPr>
        <w:spacing w:line="440" w:lineRule="exact"/>
        <w:rPr>
          <w:rFonts w:ascii="宋体" w:hAnsi="宋体" w:cs="宋体"/>
          <w:bCs/>
          <w:color w:val="auto"/>
          <w:szCs w:val="21"/>
          <w:highlight w:val="none"/>
        </w:rPr>
      </w:pPr>
    </w:p>
    <w:p w14:paraId="1760135C">
      <w:pPr>
        <w:spacing w:line="440" w:lineRule="exact"/>
        <w:rPr>
          <w:rFonts w:ascii="宋体" w:hAnsi="宋体" w:cs="宋体"/>
          <w:bCs/>
          <w:color w:val="auto"/>
          <w:szCs w:val="21"/>
          <w:highlight w:val="none"/>
        </w:rPr>
      </w:pPr>
    </w:p>
    <w:p w14:paraId="4BADE549">
      <w:pPr>
        <w:spacing w:line="440" w:lineRule="exact"/>
        <w:rPr>
          <w:rFonts w:ascii="宋体" w:hAnsi="宋体" w:cs="宋体"/>
          <w:bCs/>
          <w:color w:val="auto"/>
          <w:szCs w:val="21"/>
          <w:highlight w:val="none"/>
        </w:rPr>
      </w:pPr>
    </w:p>
    <w:p w14:paraId="6418890E">
      <w:pPr>
        <w:spacing w:line="440" w:lineRule="exact"/>
        <w:rPr>
          <w:rFonts w:ascii="宋体" w:hAnsi="宋体" w:cs="宋体"/>
          <w:bCs/>
          <w:color w:val="auto"/>
          <w:szCs w:val="21"/>
          <w:highlight w:val="none"/>
        </w:rPr>
      </w:pPr>
    </w:p>
    <w:p w14:paraId="7A6F0B08">
      <w:pPr>
        <w:spacing w:line="440" w:lineRule="exact"/>
        <w:rPr>
          <w:rFonts w:ascii="宋体" w:hAnsi="宋体" w:cs="宋体"/>
          <w:bCs/>
          <w:color w:val="auto"/>
          <w:szCs w:val="21"/>
          <w:highlight w:val="none"/>
        </w:rPr>
      </w:pPr>
    </w:p>
    <w:p w14:paraId="2F37D579">
      <w:pPr>
        <w:spacing w:line="440" w:lineRule="exact"/>
        <w:rPr>
          <w:rFonts w:hint="eastAsia" w:ascii="宋体" w:hAnsi="宋体" w:cs="宋体"/>
          <w:b/>
          <w:color w:val="auto"/>
          <w:szCs w:val="21"/>
          <w:highlight w:val="none"/>
        </w:rPr>
        <w:sectPr>
          <w:pgSz w:w="11906" w:h="16838"/>
          <w:pgMar w:top="1134" w:right="1247" w:bottom="1134" w:left="1247" w:header="851" w:footer="992" w:gutter="0"/>
          <w:cols w:space="720" w:num="1"/>
          <w:docGrid w:linePitch="312" w:charSpace="0"/>
        </w:sectPr>
      </w:pPr>
    </w:p>
    <w:p w14:paraId="0ECD1DED">
      <w:pPr>
        <w:spacing w:line="440" w:lineRule="exact"/>
        <w:rPr>
          <w:rFonts w:ascii="宋体" w:hAnsi="宋体" w:cs="宋体"/>
          <w:b/>
          <w:color w:val="auto"/>
          <w:szCs w:val="21"/>
          <w:highlight w:val="none"/>
        </w:rPr>
      </w:pPr>
      <w:r>
        <w:rPr>
          <w:rFonts w:hint="eastAsia" w:ascii="宋体" w:hAnsi="宋体" w:cs="宋体"/>
          <w:b/>
          <w:color w:val="auto"/>
          <w:szCs w:val="21"/>
          <w:highlight w:val="none"/>
        </w:rPr>
        <w:t>一、竞标函格式</w:t>
      </w:r>
    </w:p>
    <w:p w14:paraId="66A5A039">
      <w:pPr>
        <w:snapToGrid w:val="0"/>
        <w:spacing w:before="120" w:beforeLines="50" w:after="50"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竞 标 函</w:t>
      </w:r>
    </w:p>
    <w:p w14:paraId="74A2AC29">
      <w:pPr>
        <w:snapToGrid w:val="0"/>
        <w:spacing w:before="120" w:beforeLines="50" w:after="50" w:line="440" w:lineRule="exact"/>
        <w:jc w:val="center"/>
        <w:rPr>
          <w:rFonts w:ascii="宋体" w:hAnsi="宋体" w:cs="宋体"/>
          <w:b/>
          <w:color w:val="auto"/>
          <w:sz w:val="24"/>
          <w:szCs w:val="20"/>
          <w:highlight w:val="none"/>
        </w:rPr>
      </w:pPr>
    </w:p>
    <w:p w14:paraId="372C31F2">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致：（采购人名称）：</w:t>
      </w:r>
    </w:p>
    <w:p w14:paraId="6C49E341">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根据贵方为项目的招标公告（项目编号：     ），签字代表</w:t>
      </w:r>
      <w:r>
        <w:rPr>
          <w:rFonts w:hint="eastAsia" w:ascii="宋体" w:hAnsi="宋体" w:cs="宋体"/>
          <w:color w:val="auto"/>
          <w:szCs w:val="21"/>
          <w:highlight w:val="none"/>
          <w:u w:val="single"/>
        </w:rPr>
        <w:t xml:space="preserve">     （全名）</w:t>
      </w:r>
      <w:r>
        <w:rPr>
          <w:rFonts w:hint="eastAsia" w:ascii="宋体" w:hAnsi="宋体" w:cs="宋体"/>
          <w:color w:val="auto"/>
          <w:szCs w:val="21"/>
          <w:highlight w:val="none"/>
        </w:rPr>
        <w:t>经正式授权并代表供应商</w:t>
      </w:r>
      <w:r>
        <w:rPr>
          <w:rFonts w:hint="eastAsia" w:ascii="宋体" w:hAnsi="宋体" w:cs="宋体"/>
          <w:color w:val="auto"/>
          <w:szCs w:val="21"/>
          <w:highlight w:val="none"/>
          <w:u w:val="single"/>
        </w:rPr>
        <w:t xml:space="preserve">                    （供应商名称）</w:t>
      </w:r>
      <w:r>
        <w:rPr>
          <w:rFonts w:hint="eastAsia" w:ascii="宋体" w:hAnsi="宋体" w:cs="宋体"/>
          <w:color w:val="auto"/>
          <w:szCs w:val="21"/>
          <w:highlight w:val="none"/>
        </w:rPr>
        <w:t>现正式递交下述文件参加贵方组织的本次政府采购活动：</w:t>
      </w:r>
    </w:p>
    <w:p w14:paraId="6B9C944D">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一、报价文件电子版一份；</w:t>
      </w:r>
    </w:p>
    <w:p w14:paraId="1F69127E">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二、资格文件电子版一份；</w:t>
      </w:r>
    </w:p>
    <w:p w14:paraId="4EF1DF75">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三、商务和技术文件电子版一份；</w:t>
      </w:r>
    </w:p>
    <w:p w14:paraId="138B1696">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429799A6">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1.我方已详细审查全部“竞争性磋商文件”，包括修改文件（如有的话）以及全部参考资料和有关附件，已经了解我方对于磋商文件、采购过程、采购结果有依法进行询问、质疑、投诉的权利及相关渠道和要求。</w:t>
      </w:r>
    </w:p>
    <w:p w14:paraId="7FD75773">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2.我方在投标之前已经与贵方进行了充分的沟通，完全理解并接受招标文件的各项规定和要求，对招标文件的合理性、合法性不再有异议。</w:t>
      </w:r>
    </w:p>
    <w:p w14:paraId="501810C2">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3.本投标有效期自开标日起     个日（自然日）。</w:t>
      </w:r>
    </w:p>
    <w:p w14:paraId="7A01C117">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4.如中标，本响应文件至本项目合同履行完毕止均保持有效，我方将按“竞争性磋商文件”及政府采购法律、法规的规定履行合同责任和义务。</w:t>
      </w:r>
    </w:p>
    <w:p w14:paraId="14BE11F9">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5.我方同意按照贵方要求提供与投标有关的一切数据或资料。</w:t>
      </w:r>
    </w:p>
    <w:p w14:paraId="74691BF8">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6.与本投标有关的一切正式往来信函请寄：</w:t>
      </w:r>
    </w:p>
    <w:p w14:paraId="1C175875">
      <w:pPr>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地址：       邮编：       电话：</w:t>
      </w:r>
    </w:p>
    <w:p w14:paraId="5F6B99F9">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传真：       供应商代表姓名、职务：</w:t>
      </w:r>
    </w:p>
    <w:p w14:paraId="7BBA72F5">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供应商名称:</w:t>
      </w:r>
    </w:p>
    <w:p w14:paraId="034DDD5F">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开户银行：   银行帐号：</w:t>
      </w:r>
    </w:p>
    <w:p w14:paraId="38EF30E3">
      <w:pPr>
        <w:snapToGrid w:val="0"/>
        <w:spacing w:line="440" w:lineRule="exact"/>
        <w:rPr>
          <w:rFonts w:ascii="宋体" w:hAnsi="宋体" w:cs="宋体"/>
          <w:color w:val="auto"/>
          <w:szCs w:val="21"/>
          <w:highlight w:val="none"/>
        </w:rPr>
      </w:pPr>
    </w:p>
    <w:p w14:paraId="27A9DD40">
      <w:pPr>
        <w:snapToGrid w:val="0"/>
        <w:spacing w:line="440" w:lineRule="exact"/>
        <w:rPr>
          <w:rFonts w:ascii="宋体" w:hAnsi="宋体" w:cs="宋体"/>
          <w:color w:val="auto"/>
          <w:szCs w:val="21"/>
          <w:highlight w:val="none"/>
        </w:rPr>
      </w:pPr>
    </w:p>
    <w:p w14:paraId="6AF35E87">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28D8A7D8">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67449B44">
      <w:pPr>
        <w:pStyle w:val="22"/>
        <w:spacing w:line="440" w:lineRule="exact"/>
        <w:rPr>
          <w:rFonts w:hAnsi="宋体" w:cs="宋体"/>
          <w:color w:val="auto"/>
          <w:sz w:val="44"/>
          <w:highlight w:val="none"/>
        </w:rPr>
      </w:pPr>
    </w:p>
    <w:p w14:paraId="4EBE5EB8">
      <w:pPr>
        <w:pStyle w:val="22"/>
        <w:spacing w:line="440" w:lineRule="exact"/>
        <w:rPr>
          <w:rFonts w:hAnsi="宋体" w:cs="宋体"/>
          <w:color w:val="auto"/>
          <w:sz w:val="44"/>
          <w:highlight w:val="none"/>
        </w:rPr>
      </w:pPr>
    </w:p>
    <w:p w14:paraId="0CEAA37B">
      <w:pPr>
        <w:spacing w:line="440" w:lineRule="exact"/>
        <w:rPr>
          <w:rFonts w:ascii="宋体" w:hAnsi="宋体" w:cs="宋体"/>
          <w:b/>
          <w:color w:val="auto"/>
          <w:szCs w:val="21"/>
          <w:highlight w:val="none"/>
        </w:rPr>
      </w:pPr>
    </w:p>
    <w:p w14:paraId="745B8EED">
      <w:pPr>
        <w:spacing w:line="440" w:lineRule="exact"/>
        <w:rPr>
          <w:rFonts w:ascii="宋体" w:hAnsi="宋体" w:cs="宋体"/>
          <w:b/>
          <w:color w:val="auto"/>
          <w:szCs w:val="21"/>
          <w:highlight w:val="none"/>
        </w:rPr>
      </w:pPr>
    </w:p>
    <w:p w14:paraId="020F9E91">
      <w:pPr>
        <w:spacing w:line="440" w:lineRule="exact"/>
        <w:rPr>
          <w:rFonts w:ascii="宋体" w:hAnsi="宋体" w:cs="宋体"/>
          <w:b/>
          <w:color w:val="auto"/>
          <w:szCs w:val="21"/>
          <w:highlight w:val="none"/>
        </w:rPr>
      </w:pPr>
      <w:r>
        <w:rPr>
          <w:rFonts w:hint="eastAsia" w:ascii="宋体" w:hAnsi="宋体" w:cs="宋体"/>
          <w:b/>
          <w:color w:val="auto"/>
          <w:szCs w:val="21"/>
          <w:highlight w:val="none"/>
        </w:rPr>
        <w:t>二、报价表和最后报价明细表格式</w:t>
      </w:r>
    </w:p>
    <w:p w14:paraId="49015331">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w:t>
      </w:r>
    </w:p>
    <w:p w14:paraId="330798FD">
      <w:pPr>
        <w:spacing w:line="440" w:lineRule="exact"/>
        <w:jc w:val="center"/>
        <w:rPr>
          <w:rFonts w:ascii="宋体" w:hAnsi="宋体" w:cs="宋体"/>
          <w:b/>
          <w:color w:val="auto"/>
          <w:sz w:val="32"/>
          <w:szCs w:val="32"/>
          <w:highlight w:val="none"/>
        </w:rPr>
      </w:pPr>
    </w:p>
    <w:p w14:paraId="1FE750CF">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14:paraId="36B5B4B1">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14:paraId="60F924F8">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tbl>
      <w:tblPr>
        <w:tblStyle w:val="4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2219"/>
        <w:gridCol w:w="1418"/>
        <w:gridCol w:w="2551"/>
        <w:gridCol w:w="2268"/>
      </w:tblGrid>
      <w:tr w14:paraId="473BD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8" w:type="dxa"/>
            <w:tcBorders>
              <w:top w:val="single" w:color="auto" w:sz="4" w:space="0"/>
              <w:left w:val="single" w:color="auto" w:sz="4" w:space="0"/>
              <w:bottom w:val="single" w:color="auto" w:sz="4" w:space="0"/>
              <w:right w:val="single" w:color="auto" w:sz="4" w:space="0"/>
            </w:tcBorders>
            <w:vAlign w:val="center"/>
          </w:tcPr>
          <w:p w14:paraId="45712463">
            <w:pPr>
              <w:tabs>
                <w:tab w:val="left" w:pos="1418"/>
              </w:tabs>
              <w:snapToGrid w:val="0"/>
              <w:spacing w:before="50" w:after="50" w:line="440" w:lineRule="exact"/>
              <w:jc w:val="center"/>
              <w:rPr>
                <w:rFonts w:ascii="宋体" w:hAnsi="宋体" w:cs="宋体"/>
                <w:color w:val="auto"/>
                <w:spacing w:val="20"/>
                <w:szCs w:val="21"/>
                <w:highlight w:val="none"/>
              </w:rPr>
            </w:pPr>
            <w:r>
              <w:rPr>
                <w:rFonts w:hint="eastAsia" w:ascii="宋体" w:hAnsi="宋体" w:cs="宋体"/>
                <w:color w:val="auto"/>
                <w:szCs w:val="21"/>
                <w:highlight w:val="none"/>
              </w:rPr>
              <w:t>序号</w:t>
            </w:r>
          </w:p>
        </w:tc>
        <w:tc>
          <w:tcPr>
            <w:tcW w:w="2219" w:type="dxa"/>
            <w:tcBorders>
              <w:top w:val="single" w:color="auto" w:sz="4" w:space="0"/>
              <w:left w:val="single" w:color="auto" w:sz="4" w:space="0"/>
              <w:bottom w:val="single" w:color="auto" w:sz="4" w:space="0"/>
              <w:right w:val="single" w:color="auto" w:sz="4" w:space="0"/>
            </w:tcBorders>
            <w:vAlign w:val="center"/>
          </w:tcPr>
          <w:p w14:paraId="0FCFF1E1">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1418" w:type="dxa"/>
            <w:tcBorders>
              <w:top w:val="single" w:color="auto" w:sz="4" w:space="0"/>
              <w:left w:val="single" w:color="auto" w:sz="4" w:space="0"/>
              <w:bottom w:val="single" w:color="auto" w:sz="4" w:space="0"/>
              <w:right w:val="single" w:color="auto" w:sz="4" w:space="0"/>
            </w:tcBorders>
            <w:vAlign w:val="center"/>
          </w:tcPr>
          <w:p w14:paraId="556CDFDE">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单位及数量</w:t>
            </w:r>
          </w:p>
        </w:tc>
        <w:tc>
          <w:tcPr>
            <w:tcW w:w="2551" w:type="dxa"/>
            <w:tcBorders>
              <w:top w:val="single" w:color="auto" w:sz="4" w:space="0"/>
              <w:left w:val="single" w:color="auto" w:sz="4" w:space="0"/>
              <w:bottom w:val="single" w:color="auto" w:sz="4" w:space="0"/>
              <w:right w:val="single" w:color="auto" w:sz="4" w:space="0"/>
            </w:tcBorders>
            <w:vAlign w:val="center"/>
          </w:tcPr>
          <w:p w14:paraId="293EFAD9">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竞标</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报价（元）</w:t>
            </w:r>
          </w:p>
        </w:tc>
        <w:tc>
          <w:tcPr>
            <w:tcW w:w="2268" w:type="dxa"/>
            <w:tcBorders>
              <w:top w:val="single" w:color="auto" w:sz="4" w:space="0"/>
              <w:left w:val="single" w:color="auto" w:sz="4" w:space="0"/>
              <w:bottom w:val="single" w:color="auto" w:sz="4" w:space="0"/>
              <w:right w:val="single" w:color="auto" w:sz="4" w:space="0"/>
            </w:tcBorders>
            <w:vAlign w:val="center"/>
          </w:tcPr>
          <w:p w14:paraId="2ADBC0A6">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highlight w:val="none"/>
              </w:rPr>
              <w:t>备注</w:t>
            </w:r>
          </w:p>
        </w:tc>
      </w:tr>
      <w:tr w14:paraId="1C239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758" w:type="dxa"/>
            <w:tcBorders>
              <w:top w:val="single" w:color="auto" w:sz="4" w:space="0"/>
              <w:left w:val="single" w:color="auto" w:sz="4" w:space="0"/>
              <w:bottom w:val="single" w:color="auto" w:sz="4" w:space="0"/>
              <w:right w:val="single" w:color="auto" w:sz="4" w:space="0"/>
            </w:tcBorders>
            <w:vAlign w:val="center"/>
          </w:tcPr>
          <w:p w14:paraId="6AE0201B">
            <w:pPr>
              <w:tabs>
                <w:tab w:val="left" w:pos="1418"/>
              </w:tabs>
              <w:snapToGrid w:val="0"/>
              <w:spacing w:before="50" w:after="50" w:line="440" w:lineRule="exact"/>
              <w:jc w:val="center"/>
              <w:rPr>
                <w:rFonts w:ascii="宋体" w:hAnsi="宋体" w:cs="宋体"/>
                <w:color w:val="auto"/>
                <w:spacing w:val="20"/>
                <w:szCs w:val="21"/>
                <w:highlight w:val="none"/>
              </w:rPr>
            </w:pPr>
            <w:r>
              <w:rPr>
                <w:rFonts w:hint="eastAsia" w:ascii="宋体" w:hAnsi="宋体" w:cs="宋体"/>
                <w:color w:val="auto"/>
                <w:spacing w:val="20"/>
                <w:szCs w:val="21"/>
                <w:highlight w:val="none"/>
              </w:rPr>
              <w:t>1</w:t>
            </w:r>
          </w:p>
        </w:tc>
        <w:tc>
          <w:tcPr>
            <w:tcW w:w="2219" w:type="dxa"/>
            <w:tcBorders>
              <w:top w:val="single" w:color="auto" w:sz="4" w:space="0"/>
              <w:left w:val="single" w:color="auto" w:sz="4" w:space="0"/>
              <w:bottom w:val="single" w:color="auto" w:sz="4" w:space="0"/>
              <w:right w:val="single" w:color="auto" w:sz="4" w:space="0"/>
            </w:tcBorders>
            <w:vAlign w:val="center"/>
          </w:tcPr>
          <w:p w14:paraId="320036FD">
            <w:pPr>
              <w:tabs>
                <w:tab w:val="left" w:pos="1418"/>
              </w:tabs>
              <w:snapToGrid w:val="0"/>
              <w:spacing w:before="50" w:after="50" w:line="44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桂林</w:t>
            </w:r>
            <w:r>
              <w:rPr>
                <w:rFonts w:hint="eastAsia" w:ascii="宋体" w:hAnsi="宋体" w:cs="宋体"/>
                <w:color w:val="auto"/>
                <w:szCs w:val="21"/>
                <w:highlight w:val="none"/>
              </w:rPr>
              <w:t>市“平急两用”公共基础设施建设专项规划编制</w:t>
            </w:r>
          </w:p>
        </w:tc>
        <w:tc>
          <w:tcPr>
            <w:tcW w:w="1418" w:type="dxa"/>
            <w:tcBorders>
              <w:top w:val="single" w:color="auto" w:sz="4" w:space="0"/>
              <w:left w:val="single" w:color="auto" w:sz="4" w:space="0"/>
              <w:bottom w:val="single" w:color="auto" w:sz="4" w:space="0"/>
              <w:right w:val="single" w:color="auto" w:sz="4" w:space="0"/>
            </w:tcBorders>
            <w:vAlign w:val="center"/>
          </w:tcPr>
          <w:p w14:paraId="7F9565E8">
            <w:pPr>
              <w:tabs>
                <w:tab w:val="left" w:pos="1418"/>
              </w:tabs>
              <w:snapToGrid w:val="0"/>
              <w:spacing w:before="50" w:after="50"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2551" w:type="dxa"/>
            <w:tcBorders>
              <w:top w:val="single" w:color="auto" w:sz="4" w:space="0"/>
              <w:left w:val="single" w:color="auto" w:sz="4" w:space="0"/>
              <w:bottom w:val="single" w:color="auto" w:sz="4" w:space="0"/>
              <w:right w:val="single" w:color="auto" w:sz="4" w:space="0"/>
            </w:tcBorders>
            <w:vAlign w:val="center"/>
          </w:tcPr>
          <w:p w14:paraId="7EA7649A">
            <w:pPr>
              <w:tabs>
                <w:tab w:val="left" w:pos="1418"/>
              </w:tabs>
              <w:snapToGrid w:val="0"/>
              <w:spacing w:before="50" w:after="50" w:line="440" w:lineRule="exact"/>
              <w:jc w:val="center"/>
              <w:rPr>
                <w:rFonts w:ascii="宋体" w:hAnsi="宋体" w:cs="宋体"/>
                <w:color w:val="auto"/>
                <w:spacing w:val="20"/>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1169F07">
            <w:pPr>
              <w:tabs>
                <w:tab w:val="left" w:pos="1418"/>
              </w:tabs>
              <w:snapToGrid w:val="0"/>
              <w:spacing w:before="50" w:after="50" w:line="440" w:lineRule="exact"/>
              <w:jc w:val="center"/>
              <w:rPr>
                <w:rFonts w:ascii="宋体" w:hAnsi="宋体" w:cs="宋体"/>
                <w:color w:val="auto"/>
                <w:spacing w:val="20"/>
                <w:szCs w:val="21"/>
                <w:highlight w:val="none"/>
              </w:rPr>
            </w:pPr>
          </w:p>
        </w:tc>
      </w:tr>
      <w:tr w14:paraId="46B88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14" w:type="dxa"/>
            <w:gridSpan w:val="5"/>
            <w:tcBorders>
              <w:top w:val="single" w:color="auto" w:sz="4" w:space="0"/>
              <w:left w:val="single" w:color="auto" w:sz="4" w:space="0"/>
              <w:bottom w:val="single" w:color="auto" w:sz="4" w:space="0"/>
              <w:right w:val="single" w:color="auto" w:sz="4" w:space="0"/>
            </w:tcBorders>
          </w:tcPr>
          <w:p w14:paraId="5FCA777F">
            <w:pPr>
              <w:tabs>
                <w:tab w:val="left" w:pos="1418"/>
              </w:tabs>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竞标</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报</w:t>
            </w:r>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lang w:val="en-US" w:eastAsia="zh-CN"/>
              </w:rPr>
              <w:t>人民币      （¥      ）</w:t>
            </w:r>
            <w:r>
              <w:rPr>
                <w:rFonts w:hint="eastAsia" w:ascii="宋体" w:hAnsi="宋体" w:cs="宋体"/>
                <w:color w:val="auto"/>
                <w:szCs w:val="21"/>
                <w:highlight w:val="none"/>
              </w:rPr>
              <w:t xml:space="preserve"> </w:t>
            </w:r>
          </w:p>
        </w:tc>
      </w:tr>
    </w:tbl>
    <w:p w14:paraId="0C5E5CB7">
      <w:pPr>
        <w:snapToGrid w:val="0"/>
        <w:spacing w:before="50" w:after="50" w:line="440" w:lineRule="exact"/>
        <w:rPr>
          <w:rFonts w:ascii="宋体" w:hAnsi="宋体" w:cs="宋体"/>
          <w:color w:val="auto"/>
          <w:highlight w:val="none"/>
          <w:u w:val="single"/>
        </w:rPr>
      </w:pPr>
    </w:p>
    <w:p w14:paraId="1D9E8346">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注：</w:t>
      </w:r>
    </w:p>
    <w:p w14:paraId="1BDA7A64">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1、所有价格均用人民币表示，单位为元。</w:t>
      </w:r>
    </w:p>
    <w:p w14:paraId="05C21BD9">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2、报价一经涂改，应在涂改处加盖单位公章或者由法定代表人或授权委托人签字，否则其报价无效。</w:t>
      </w:r>
    </w:p>
    <w:p w14:paraId="72CF0740">
      <w:pPr>
        <w:snapToGrid w:val="0"/>
        <w:spacing w:before="50" w:after="50" w:line="440" w:lineRule="exact"/>
        <w:jc w:val="left"/>
        <w:rPr>
          <w:rFonts w:ascii="宋体" w:hAnsi="宋体" w:cs="宋体"/>
          <w:color w:val="auto"/>
          <w:szCs w:val="21"/>
          <w:highlight w:val="none"/>
        </w:rPr>
      </w:pPr>
    </w:p>
    <w:p w14:paraId="2C109174">
      <w:pPr>
        <w:snapToGrid w:val="0"/>
        <w:spacing w:before="50" w:after="50" w:line="440" w:lineRule="exact"/>
        <w:ind w:firstLine="420" w:firstLineChars="200"/>
        <w:rPr>
          <w:rFonts w:ascii="宋体" w:hAnsi="宋体" w:cs="宋体"/>
          <w:color w:val="auto"/>
          <w:szCs w:val="21"/>
          <w:highlight w:val="none"/>
        </w:rPr>
      </w:pPr>
    </w:p>
    <w:p w14:paraId="01DD1415">
      <w:pPr>
        <w:snapToGrid w:val="0"/>
        <w:spacing w:before="50" w:after="50" w:line="440" w:lineRule="exact"/>
        <w:ind w:firstLine="420" w:firstLineChars="200"/>
        <w:rPr>
          <w:rFonts w:ascii="宋体" w:hAnsi="宋体" w:cs="宋体"/>
          <w:color w:val="auto"/>
          <w:szCs w:val="21"/>
          <w:highlight w:val="none"/>
        </w:rPr>
      </w:pPr>
    </w:p>
    <w:p w14:paraId="62E75F24">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0F2CAA3E">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5AC97C4A">
      <w:pPr>
        <w:spacing w:line="440" w:lineRule="exact"/>
        <w:jc w:val="left"/>
        <w:rPr>
          <w:rFonts w:ascii="宋体" w:hAnsi="宋体" w:cs="宋体"/>
          <w:color w:val="auto"/>
          <w:szCs w:val="21"/>
          <w:highlight w:val="none"/>
        </w:rPr>
      </w:pPr>
    </w:p>
    <w:p w14:paraId="74E4EBEF">
      <w:pPr>
        <w:spacing w:line="440" w:lineRule="exact"/>
        <w:jc w:val="left"/>
        <w:rPr>
          <w:rFonts w:ascii="宋体" w:hAnsi="宋体" w:cs="宋体"/>
          <w:color w:val="auto"/>
          <w:szCs w:val="21"/>
          <w:highlight w:val="none"/>
        </w:rPr>
      </w:pPr>
    </w:p>
    <w:p w14:paraId="250FA725">
      <w:pPr>
        <w:spacing w:line="440" w:lineRule="exact"/>
        <w:jc w:val="left"/>
        <w:rPr>
          <w:rFonts w:ascii="宋体" w:hAnsi="宋体" w:cs="宋体"/>
          <w:color w:val="auto"/>
          <w:szCs w:val="21"/>
          <w:highlight w:val="none"/>
        </w:rPr>
      </w:pPr>
    </w:p>
    <w:p w14:paraId="40BAD996">
      <w:pPr>
        <w:spacing w:line="440" w:lineRule="exact"/>
        <w:jc w:val="left"/>
        <w:rPr>
          <w:rFonts w:ascii="宋体" w:hAnsi="宋体" w:cs="宋体"/>
          <w:color w:val="auto"/>
          <w:szCs w:val="21"/>
          <w:highlight w:val="none"/>
        </w:rPr>
      </w:pPr>
    </w:p>
    <w:p w14:paraId="0A3298E6">
      <w:pPr>
        <w:spacing w:line="440" w:lineRule="exact"/>
        <w:jc w:val="center"/>
        <w:rPr>
          <w:rFonts w:ascii="宋体" w:hAnsi="宋体" w:cs="宋体"/>
          <w:color w:val="auto"/>
          <w:sz w:val="44"/>
          <w:szCs w:val="20"/>
          <w:highlight w:val="none"/>
        </w:rPr>
      </w:pPr>
    </w:p>
    <w:p w14:paraId="2A95E1C2">
      <w:pPr>
        <w:rPr>
          <w:rFonts w:ascii="宋体" w:hAnsi="宋体" w:cs="宋体"/>
          <w:color w:val="auto"/>
          <w:sz w:val="44"/>
          <w:szCs w:val="20"/>
          <w:highlight w:val="none"/>
        </w:rPr>
      </w:pPr>
      <w:r>
        <w:rPr>
          <w:rFonts w:hint="eastAsia" w:ascii="宋体" w:hAnsi="宋体" w:cs="宋体"/>
          <w:color w:val="auto"/>
          <w:sz w:val="44"/>
          <w:szCs w:val="20"/>
          <w:highlight w:val="none"/>
        </w:rPr>
        <w:br w:type="page"/>
      </w:r>
    </w:p>
    <w:p w14:paraId="12B59705">
      <w:pPr>
        <w:spacing w:line="440" w:lineRule="exact"/>
        <w:jc w:val="center"/>
        <w:rPr>
          <w:rFonts w:ascii="宋体" w:hAnsi="宋体" w:cs="宋体"/>
          <w:color w:val="auto"/>
          <w:sz w:val="44"/>
          <w:szCs w:val="20"/>
          <w:highlight w:val="none"/>
        </w:rPr>
      </w:pPr>
      <w:r>
        <w:rPr>
          <w:rFonts w:hint="eastAsia" w:ascii="宋体" w:hAnsi="宋体" w:cs="宋体"/>
          <w:color w:val="auto"/>
          <w:sz w:val="44"/>
          <w:szCs w:val="20"/>
          <w:highlight w:val="none"/>
        </w:rPr>
        <w:t>最后报价明细表</w:t>
      </w:r>
    </w:p>
    <w:p w14:paraId="3B5632D1">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14:paraId="217C0BAD">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14:paraId="37363D30">
      <w:pPr>
        <w:snapToGrid w:val="0"/>
        <w:spacing w:before="50" w:after="50" w:line="440" w:lineRule="exact"/>
        <w:rPr>
          <w:rFonts w:ascii="宋体" w:hAnsi="宋体" w:cs="宋体"/>
          <w:color w:val="auto"/>
          <w:highlight w:val="none"/>
        </w:rPr>
      </w:pPr>
      <w:r>
        <w:rPr>
          <w:rFonts w:hint="eastAsia" w:ascii="宋体" w:hAnsi="宋体" w:cs="宋体"/>
          <w:color w:val="auto"/>
          <w:highlight w:val="none"/>
        </w:rPr>
        <w:t>分标号：</w:t>
      </w:r>
    </w:p>
    <w:p w14:paraId="06B76B67">
      <w:pPr>
        <w:spacing w:line="440" w:lineRule="exact"/>
        <w:ind w:firstLine="8190" w:firstLineChars="3900"/>
        <w:rPr>
          <w:rFonts w:ascii="宋体" w:hAnsi="宋体" w:cs="宋体"/>
          <w:color w:val="auto"/>
          <w:szCs w:val="21"/>
          <w:highlight w:val="none"/>
        </w:rPr>
      </w:pPr>
      <w:r>
        <w:rPr>
          <w:rFonts w:hint="eastAsia" w:ascii="宋体" w:hAnsi="宋体" w:cs="宋体"/>
          <w:color w:val="auto"/>
          <w:szCs w:val="21"/>
          <w:highlight w:val="none"/>
        </w:rPr>
        <w:t>单位：元</w:t>
      </w:r>
    </w:p>
    <w:tbl>
      <w:tblPr>
        <w:tblStyle w:val="41"/>
        <w:tblW w:w="9696"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272"/>
        <w:gridCol w:w="1515"/>
        <w:gridCol w:w="1212"/>
        <w:gridCol w:w="1514"/>
        <w:gridCol w:w="1970"/>
      </w:tblGrid>
      <w:tr w14:paraId="10C5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exact"/>
        </w:trPr>
        <w:tc>
          <w:tcPr>
            <w:tcW w:w="1213" w:type="dxa"/>
          </w:tcPr>
          <w:p w14:paraId="595B3663">
            <w:pPr>
              <w:pStyle w:val="207"/>
              <w:spacing w:before="110" w:line="440" w:lineRule="exact"/>
              <w:ind w:left="217" w:right="224"/>
              <w:jc w:val="center"/>
              <w:rPr>
                <w:b/>
                <w:color w:val="auto"/>
                <w:sz w:val="21"/>
                <w:highlight w:val="none"/>
              </w:rPr>
            </w:pPr>
            <w:r>
              <w:rPr>
                <w:rFonts w:hint="eastAsia"/>
                <w:b/>
                <w:color w:val="auto"/>
                <w:sz w:val="21"/>
                <w:highlight w:val="none"/>
              </w:rPr>
              <w:t>项号</w:t>
            </w:r>
          </w:p>
        </w:tc>
        <w:tc>
          <w:tcPr>
            <w:tcW w:w="2272" w:type="dxa"/>
          </w:tcPr>
          <w:p w14:paraId="4FC25705">
            <w:pPr>
              <w:pStyle w:val="207"/>
              <w:spacing w:before="110" w:line="440" w:lineRule="exact"/>
              <w:ind w:right="0"/>
              <w:jc w:val="center"/>
              <w:rPr>
                <w:b/>
                <w:color w:val="auto"/>
                <w:sz w:val="21"/>
                <w:highlight w:val="none"/>
              </w:rPr>
            </w:pPr>
            <w:r>
              <w:rPr>
                <w:rFonts w:hint="eastAsia"/>
                <w:b/>
                <w:color w:val="auto"/>
                <w:szCs w:val="21"/>
                <w:highlight w:val="none"/>
              </w:rPr>
              <w:t>服务名称</w:t>
            </w:r>
          </w:p>
        </w:tc>
        <w:tc>
          <w:tcPr>
            <w:tcW w:w="1515" w:type="dxa"/>
          </w:tcPr>
          <w:p w14:paraId="54A08F2D">
            <w:pPr>
              <w:pStyle w:val="207"/>
              <w:spacing w:before="110" w:line="440" w:lineRule="exact"/>
              <w:ind w:left="196" w:right="0"/>
              <w:rPr>
                <w:b/>
                <w:color w:val="auto"/>
                <w:sz w:val="21"/>
                <w:highlight w:val="none"/>
              </w:rPr>
            </w:pPr>
            <w:r>
              <w:rPr>
                <w:rFonts w:hint="eastAsia"/>
                <w:b/>
                <w:color w:val="auto"/>
                <w:sz w:val="21"/>
                <w:highlight w:val="none"/>
              </w:rPr>
              <w:t>数量①</w:t>
            </w:r>
          </w:p>
        </w:tc>
        <w:tc>
          <w:tcPr>
            <w:tcW w:w="1212" w:type="dxa"/>
          </w:tcPr>
          <w:p w14:paraId="4124ABC5">
            <w:pPr>
              <w:pStyle w:val="207"/>
              <w:spacing w:before="110" w:line="440" w:lineRule="exact"/>
              <w:ind w:left="215" w:right="0"/>
              <w:rPr>
                <w:b/>
                <w:color w:val="auto"/>
                <w:sz w:val="21"/>
                <w:highlight w:val="none"/>
              </w:rPr>
            </w:pPr>
            <w:r>
              <w:rPr>
                <w:rFonts w:hint="eastAsia"/>
                <w:b/>
                <w:color w:val="auto"/>
                <w:sz w:val="21"/>
                <w:highlight w:val="none"/>
              </w:rPr>
              <w:t>单位</w:t>
            </w:r>
          </w:p>
        </w:tc>
        <w:tc>
          <w:tcPr>
            <w:tcW w:w="1514" w:type="dxa"/>
          </w:tcPr>
          <w:p w14:paraId="06E32883">
            <w:pPr>
              <w:pStyle w:val="207"/>
              <w:spacing w:before="110" w:line="440" w:lineRule="exact"/>
              <w:ind w:left="206" w:right="0"/>
              <w:rPr>
                <w:b/>
                <w:color w:val="auto"/>
                <w:sz w:val="21"/>
                <w:highlight w:val="none"/>
              </w:rPr>
            </w:pPr>
            <w:r>
              <w:rPr>
                <w:rFonts w:hint="eastAsia"/>
                <w:b/>
                <w:color w:val="auto"/>
                <w:sz w:val="21"/>
                <w:highlight w:val="none"/>
              </w:rPr>
              <w:t>单价②</w:t>
            </w:r>
          </w:p>
        </w:tc>
        <w:tc>
          <w:tcPr>
            <w:tcW w:w="1970" w:type="dxa"/>
          </w:tcPr>
          <w:p w14:paraId="5FF4FFC3">
            <w:pPr>
              <w:pStyle w:val="207"/>
              <w:spacing w:line="440" w:lineRule="exact"/>
              <w:ind w:left="0" w:right="0"/>
              <w:jc w:val="center"/>
              <w:rPr>
                <w:b/>
                <w:color w:val="auto"/>
                <w:sz w:val="21"/>
                <w:highlight w:val="none"/>
              </w:rPr>
            </w:pPr>
            <w:r>
              <w:rPr>
                <w:rFonts w:hint="eastAsia"/>
                <w:b/>
                <w:color w:val="auto"/>
                <w:sz w:val="21"/>
                <w:highlight w:val="none"/>
                <w:lang w:eastAsia="zh-CN"/>
              </w:rPr>
              <w:t>竞标</w:t>
            </w:r>
            <w:r>
              <w:rPr>
                <w:rFonts w:hint="eastAsia"/>
                <w:b/>
                <w:color w:val="auto"/>
                <w:sz w:val="21"/>
                <w:highlight w:val="none"/>
              </w:rPr>
              <w:t>报价</w:t>
            </w:r>
          </w:p>
          <w:p w14:paraId="353ED5FE">
            <w:pPr>
              <w:pStyle w:val="207"/>
              <w:spacing w:line="440" w:lineRule="exact"/>
              <w:ind w:left="0" w:right="0"/>
              <w:jc w:val="center"/>
              <w:rPr>
                <w:b/>
                <w:color w:val="auto"/>
                <w:sz w:val="21"/>
                <w:highlight w:val="none"/>
              </w:rPr>
            </w:pPr>
            <w:r>
              <w:rPr>
                <w:rFonts w:hint="eastAsia"/>
                <w:b/>
                <w:color w:val="auto"/>
                <w:sz w:val="21"/>
                <w:highlight w:val="none"/>
              </w:rPr>
              <w:t>③=①×②</w:t>
            </w:r>
          </w:p>
        </w:tc>
      </w:tr>
      <w:tr w14:paraId="1410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exact"/>
        </w:trPr>
        <w:tc>
          <w:tcPr>
            <w:tcW w:w="1213" w:type="dxa"/>
          </w:tcPr>
          <w:p w14:paraId="03D7AD60">
            <w:pPr>
              <w:pStyle w:val="207"/>
              <w:spacing w:before="38" w:line="440" w:lineRule="exact"/>
              <w:ind w:left="0" w:right="0"/>
              <w:jc w:val="center"/>
              <w:rPr>
                <w:color w:val="auto"/>
                <w:sz w:val="21"/>
                <w:highlight w:val="none"/>
              </w:rPr>
            </w:pPr>
            <w:r>
              <w:rPr>
                <w:rFonts w:hint="eastAsia"/>
                <w:color w:val="auto"/>
                <w:sz w:val="21"/>
                <w:highlight w:val="none"/>
              </w:rPr>
              <w:t>1</w:t>
            </w:r>
          </w:p>
        </w:tc>
        <w:tc>
          <w:tcPr>
            <w:tcW w:w="2272" w:type="dxa"/>
          </w:tcPr>
          <w:p w14:paraId="1E44EAED">
            <w:pPr>
              <w:spacing w:line="440" w:lineRule="exact"/>
              <w:rPr>
                <w:rFonts w:ascii="宋体" w:hAnsi="宋体" w:cs="宋体"/>
                <w:color w:val="auto"/>
                <w:highlight w:val="none"/>
              </w:rPr>
            </w:pPr>
          </w:p>
        </w:tc>
        <w:tc>
          <w:tcPr>
            <w:tcW w:w="1515" w:type="dxa"/>
          </w:tcPr>
          <w:p w14:paraId="5FB70857">
            <w:pPr>
              <w:spacing w:line="440" w:lineRule="exact"/>
              <w:rPr>
                <w:rFonts w:ascii="宋体" w:hAnsi="宋体" w:cs="宋体"/>
                <w:color w:val="auto"/>
                <w:highlight w:val="none"/>
              </w:rPr>
            </w:pPr>
          </w:p>
        </w:tc>
        <w:tc>
          <w:tcPr>
            <w:tcW w:w="1212" w:type="dxa"/>
          </w:tcPr>
          <w:p w14:paraId="792D12B4">
            <w:pPr>
              <w:spacing w:line="440" w:lineRule="exact"/>
              <w:rPr>
                <w:rFonts w:ascii="宋体" w:hAnsi="宋体" w:cs="宋体"/>
                <w:color w:val="auto"/>
                <w:highlight w:val="none"/>
              </w:rPr>
            </w:pPr>
          </w:p>
        </w:tc>
        <w:tc>
          <w:tcPr>
            <w:tcW w:w="1514" w:type="dxa"/>
          </w:tcPr>
          <w:p w14:paraId="746A1D17">
            <w:pPr>
              <w:spacing w:line="440" w:lineRule="exact"/>
              <w:rPr>
                <w:rFonts w:ascii="宋体" w:hAnsi="宋体" w:cs="宋体"/>
                <w:color w:val="auto"/>
                <w:highlight w:val="none"/>
              </w:rPr>
            </w:pPr>
          </w:p>
        </w:tc>
        <w:tc>
          <w:tcPr>
            <w:tcW w:w="1970" w:type="dxa"/>
          </w:tcPr>
          <w:p w14:paraId="5C93F118">
            <w:pPr>
              <w:spacing w:line="440" w:lineRule="exact"/>
              <w:rPr>
                <w:rFonts w:ascii="宋体" w:hAnsi="宋体" w:cs="宋体"/>
                <w:color w:val="auto"/>
                <w:highlight w:val="none"/>
              </w:rPr>
            </w:pPr>
          </w:p>
        </w:tc>
      </w:tr>
      <w:tr w14:paraId="11C7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1213" w:type="dxa"/>
          </w:tcPr>
          <w:p w14:paraId="6A4961BA">
            <w:pPr>
              <w:pStyle w:val="207"/>
              <w:spacing w:before="38" w:line="440" w:lineRule="exact"/>
              <w:ind w:left="0" w:right="0"/>
              <w:jc w:val="center"/>
              <w:rPr>
                <w:color w:val="auto"/>
                <w:sz w:val="21"/>
                <w:highlight w:val="none"/>
              </w:rPr>
            </w:pPr>
            <w:r>
              <w:rPr>
                <w:rFonts w:hint="eastAsia"/>
                <w:color w:val="auto"/>
                <w:sz w:val="21"/>
                <w:highlight w:val="none"/>
              </w:rPr>
              <w:t>2</w:t>
            </w:r>
          </w:p>
        </w:tc>
        <w:tc>
          <w:tcPr>
            <w:tcW w:w="2272" w:type="dxa"/>
          </w:tcPr>
          <w:p w14:paraId="55094C20">
            <w:pPr>
              <w:spacing w:line="440" w:lineRule="exact"/>
              <w:rPr>
                <w:rFonts w:ascii="宋体" w:hAnsi="宋体" w:cs="宋体"/>
                <w:color w:val="auto"/>
                <w:highlight w:val="none"/>
              </w:rPr>
            </w:pPr>
          </w:p>
        </w:tc>
        <w:tc>
          <w:tcPr>
            <w:tcW w:w="1515" w:type="dxa"/>
          </w:tcPr>
          <w:p w14:paraId="4387118D">
            <w:pPr>
              <w:spacing w:line="440" w:lineRule="exact"/>
              <w:rPr>
                <w:rFonts w:ascii="宋体" w:hAnsi="宋体" w:cs="宋体"/>
                <w:color w:val="auto"/>
                <w:highlight w:val="none"/>
              </w:rPr>
            </w:pPr>
          </w:p>
        </w:tc>
        <w:tc>
          <w:tcPr>
            <w:tcW w:w="1212" w:type="dxa"/>
          </w:tcPr>
          <w:p w14:paraId="789BC775">
            <w:pPr>
              <w:spacing w:line="440" w:lineRule="exact"/>
              <w:rPr>
                <w:rFonts w:ascii="宋体" w:hAnsi="宋体" w:cs="宋体"/>
                <w:color w:val="auto"/>
                <w:highlight w:val="none"/>
              </w:rPr>
            </w:pPr>
          </w:p>
        </w:tc>
        <w:tc>
          <w:tcPr>
            <w:tcW w:w="1514" w:type="dxa"/>
          </w:tcPr>
          <w:p w14:paraId="694571C1">
            <w:pPr>
              <w:spacing w:line="440" w:lineRule="exact"/>
              <w:rPr>
                <w:rFonts w:ascii="宋体" w:hAnsi="宋体" w:cs="宋体"/>
                <w:color w:val="auto"/>
                <w:highlight w:val="none"/>
              </w:rPr>
            </w:pPr>
          </w:p>
        </w:tc>
        <w:tc>
          <w:tcPr>
            <w:tcW w:w="1970" w:type="dxa"/>
          </w:tcPr>
          <w:p w14:paraId="2B9C3682">
            <w:pPr>
              <w:spacing w:line="440" w:lineRule="exact"/>
              <w:rPr>
                <w:rFonts w:ascii="宋体" w:hAnsi="宋体" w:cs="宋体"/>
                <w:color w:val="auto"/>
                <w:highlight w:val="none"/>
              </w:rPr>
            </w:pPr>
          </w:p>
        </w:tc>
      </w:tr>
      <w:tr w14:paraId="3CFD9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1213" w:type="dxa"/>
          </w:tcPr>
          <w:p w14:paraId="211319B4">
            <w:pPr>
              <w:pStyle w:val="207"/>
              <w:spacing w:before="38" w:line="440" w:lineRule="exact"/>
              <w:ind w:left="0" w:right="0"/>
              <w:jc w:val="center"/>
              <w:rPr>
                <w:color w:val="auto"/>
                <w:sz w:val="21"/>
                <w:highlight w:val="none"/>
              </w:rPr>
            </w:pPr>
            <w:r>
              <w:rPr>
                <w:rFonts w:hint="eastAsia"/>
                <w:color w:val="auto"/>
                <w:sz w:val="21"/>
                <w:highlight w:val="none"/>
              </w:rPr>
              <w:t>…</w:t>
            </w:r>
          </w:p>
        </w:tc>
        <w:tc>
          <w:tcPr>
            <w:tcW w:w="2272" w:type="dxa"/>
          </w:tcPr>
          <w:p w14:paraId="5B484411">
            <w:pPr>
              <w:spacing w:line="440" w:lineRule="exact"/>
              <w:rPr>
                <w:rFonts w:ascii="宋体" w:hAnsi="宋体" w:cs="宋体"/>
                <w:color w:val="auto"/>
                <w:highlight w:val="none"/>
              </w:rPr>
            </w:pPr>
          </w:p>
        </w:tc>
        <w:tc>
          <w:tcPr>
            <w:tcW w:w="1515" w:type="dxa"/>
          </w:tcPr>
          <w:p w14:paraId="6CCC65CB">
            <w:pPr>
              <w:spacing w:line="440" w:lineRule="exact"/>
              <w:rPr>
                <w:rFonts w:ascii="宋体" w:hAnsi="宋体" w:cs="宋体"/>
                <w:color w:val="auto"/>
                <w:highlight w:val="none"/>
              </w:rPr>
            </w:pPr>
          </w:p>
        </w:tc>
        <w:tc>
          <w:tcPr>
            <w:tcW w:w="1212" w:type="dxa"/>
          </w:tcPr>
          <w:p w14:paraId="4B7B47F3">
            <w:pPr>
              <w:spacing w:line="440" w:lineRule="exact"/>
              <w:rPr>
                <w:rFonts w:ascii="宋体" w:hAnsi="宋体" w:cs="宋体"/>
                <w:color w:val="auto"/>
                <w:highlight w:val="none"/>
              </w:rPr>
            </w:pPr>
          </w:p>
        </w:tc>
        <w:tc>
          <w:tcPr>
            <w:tcW w:w="1514" w:type="dxa"/>
          </w:tcPr>
          <w:p w14:paraId="494DB3EB">
            <w:pPr>
              <w:spacing w:line="440" w:lineRule="exact"/>
              <w:rPr>
                <w:rFonts w:ascii="宋体" w:hAnsi="宋体" w:cs="宋体"/>
                <w:color w:val="auto"/>
                <w:highlight w:val="none"/>
              </w:rPr>
            </w:pPr>
          </w:p>
        </w:tc>
        <w:tc>
          <w:tcPr>
            <w:tcW w:w="1970" w:type="dxa"/>
          </w:tcPr>
          <w:p w14:paraId="7E6F62F6">
            <w:pPr>
              <w:spacing w:line="440" w:lineRule="exact"/>
              <w:rPr>
                <w:rFonts w:ascii="宋体" w:hAnsi="宋体" w:cs="宋体"/>
                <w:color w:val="auto"/>
                <w:highlight w:val="none"/>
              </w:rPr>
            </w:pPr>
          </w:p>
        </w:tc>
      </w:tr>
      <w:tr w14:paraId="1E8B3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1213" w:type="dxa"/>
          </w:tcPr>
          <w:p w14:paraId="0BF10E82">
            <w:pPr>
              <w:pStyle w:val="207"/>
              <w:spacing w:before="38" w:line="440" w:lineRule="exact"/>
              <w:ind w:left="0" w:right="0"/>
              <w:jc w:val="center"/>
              <w:rPr>
                <w:color w:val="auto"/>
                <w:sz w:val="21"/>
                <w:highlight w:val="none"/>
              </w:rPr>
            </w:pPr>
            <w:r>
              <w:rPr>
                <w:rFonts w:hint="eastAsia"/>
                <w:color w:val="auto"/>
                <w:sz w:val="21"/>
                <w:highlight w:val="none"/>
              </w:rPr>
              <w:t>N</w:t>
            </w:r>
          </w:p>
        </w:tc>
        <w:tc>
          <w:tcPr>
            <w:tcW w:w="2272" w:type="dxa"/>
          </w:tcPr>
          <w:p w14:paraId="5636E23A">
            <w:pPr>
              <w:spacing w:line="440" w:lineRule="exact"/>
              <w:rPr>
                <w:rFonts w:ascii="宋体" w:hAnsi="宋体" w:cs="宋体"/>
                <w:color w:val="auto"/>
                <w:highlight w:val="none"/>
              </w:rPr>
            </w:pPr>
          </w:p>
        </w:tc>
        <w:tc>
          <w:tcPr>
            <w:tcW w:w="1515" w:type="dxa"/>
          </w:tcPr>
          <w:p w14:paraId="0413A52C">
            <w:pPr>
              <w:spacing w:line="440" w:lineRule="exact"/>
              <w:rPr>
                <w:rFonts w:ascii="宋体" w:hAnsi="宋体" w:cs="宋体"/>
                <w:color w:val="auto"/>
                <w:highlight w:val="none"/>
              </w:rPr>
            </w:pPr>
          </w:p>
        </w:tc>
        <w:tc>
          <w:tcPr>
            <w:tcW w:w="1212" w:type="dxa"/>
          </w:tcPr>
          <w:p w14:paraId="304111FD">
            <w:pPr>
              <w:spacing w:line="440" w:lineRule="exact"/>
              <w:rPr>
                <w:rFonts w:ascii="宋体" w:hAnsi="宋体" w:cs="宋体"/>
                <w:color w:val="auto"/>
                <w:highlight w:val="none"/>
              </w:rPr>
            </w:pPr>
          </w:p>
        </w:tc>
        <w:tc>
          <w:tcPr>
            <w:tcW w:w="1514" w:type="dxa"/>
          </w:tcPr>
          <w:p w14:paraId="0D9BAE7E">
            <w:pPr>
              <w:spacing w:line="440" w:lineRule="exact"/>
              <w:rPr>
                <w:rFonts w:ascii="宋体" w:hAnsi="宋体" w:cs="宋体"/>
                <w:color w:val="auto"/>
                <w:highlight w:val="none"/>
              </w:rPr>
            </w:pPr>
          </w:p>
        </w:tc>
        <w:tc>
          <w:tcPr>
            <w:tcW w:w="1970" w:type="dxa"/>
          </w:tcPr>
          <w:p w14:paraId="61D69E58">
            <w:pPr>
              <w:spacing w:line="440" w:lineRule="exact"/>
              <w:rPr>
                <w:rFonts w:ascii="宋体" w:hAnsi="宋体" w:cs="宋体"/>
                <w:color w:val="auto"/>
                <w:highlight w:val="none"/>
              </w:rPr>
            </w:pPr>
          </w:p>
        </w:tc>
      </w:tr>
      <w:tr w14:paraId="613BE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exact"/>
        </w:trPr>
        <w:tc>
          <w:tcPr>
            <w:tcW w:w="9696" w:type="dxa"/>
            <w:gridSpan w:val="6"/>
            <w:vAlign w:val="center"/>
          </w:tcPr>
          <w:p w14:paraId="111CC6E0">
            <w:pPr>
              <w:pStyle w:val="207"/>
              <w:tabs>
                <w:tab w:val="left" w:pos="2931"/>
                <w:tab w:val="left" w:pos="4620"/>
                <w:tab w:val="left" w:pos="7020"/>
                <w:tab w:val="left" w:pos="7905"/>
                <w:tab w:val="left" w:pos="8140"/>
              </w:tabs>
              <w:spacing w:before="14" w:line="440" w:lineRule="exact"/>
              <w:ind w:left="105" w:right="142"/>
              <w:rPr>
                <w:color w:val="auto"/>
                <w:sz w:val="24"/>
                <w:highlight w:val="none"/>
                <w:lang w:eastAsia="zh-CN"/>
              </w:rPr>
            </w:pPr>
            <w:r>
              <w:rPr>
                <w:rFonts w:hint="eastAsia"/>
                <w:color w:val="auto"/>
                <w:sz w:val="21"/>
                <w:szCs w:val="21"/>
                <w:highlight w:val="none"/>
                <w:lang w:eastAsia="zh-CN"/>
              </w:rPr>
              <w:t>投标报价（合计金额）大写：人民币</w:t>
            </w:r>
            <w:r>
              <w:rPr>
                <w:rFonts w:hint="eastAsia"/>
                <w:color w:val="auto"/>
                <w:szCs w:val="21"/>
                <w:highlight w:val="none"/>
                <w:u w:val="single"/>
                <w:lang w:eastAsia="zh-CN"/>
              </w:rPr>
              <w:tab/>
            </w:r>
            <w:r>
              <w:rPr>
                <w:rFonts w:hint="eastAsia"/>
                <w:color w:val="auto"/>
                <w:szCs w:val="21"/>
                <w:highlight w:val="none"/>
                <w:u w:val="single"/>
                <w:lang w:eastAsia="zh-CN"/>
              </w:rPr>
              <w:tab/>
            </w:r>
            <w:r>
              <w:rPr>
                <w:rFonts w:hint="eastAsia"/>
                <w:color w:val="auto"/>
                <w:szCs w:val="21"/>
                <w:highlight w:val="none"/>
                <w:lang w:eastAsia="zh-CN"/>
              </w:rPr>
              <w:t>（￥</w:t>
            </w:r>
            <w:r>
              <w:rPr>
                <w:rFonts w:hint="eastAsia"/>
                <w:color w:val="auto"/>
                <w:szCs w:val="21"/>
                <w:highlight w:val="none"/>
                <w:u w:val="single"/>
                <w:lang w:eastAsia="zh-CN"/>
              </w:rPr>
              <w:tab/>
            </w:r>
            <w:r>
              <w:rPr>
                <w:rFonts w:hint="eastAsia"/>
                <w:color w:val="auto"/>
                <w:szCs w:val="21"/>
                <w:highlight w:val="none"/>
                <w:u w:val="single"/>
                <w:lang w:eastAsia="zh-CN"/>
              </w:rPr>
              <w:tab/>
            </w:r>
            <w:r>
              <w:rPr>
                <w:rFonts w:hint="eastAsia"/>
                <w:color w:val="auto"/>
                <w:szCs w:val="21"/>
                <w:highlight w:val="none"/>
                <w:u w:val="single"/>
                <w:lang w:eastAsia="zh-CN"/>
              </w:rPr>
              <w:tab/>
            </w:r>
            <w:r>
              <w:rPr>
                <w:rFonts w:hint="eastAsia"/>
                <w:color w:val="auto"/>
                <w:szCs w:val="21"/>
                <w:highlight w:val="none"/>
                <w:lang w:eastAsia="zh-CN"/>
              </w:rPr>
              <w:t>）。</w:t>
            </w:r>
          </w:p>
        </w:tc>
      </w:tr>
    </w:tbl>
    <w:p w14:paraId="71F2CC97">
      <w:pPr>
        <w:spacing w:line="440" w:lineRule="exact"/>
        <w:rPr>
          <w:rFonts w:ascii="宋体" w:hAnsi="宋体" w:cs="宋体"/>
          <w:color w:val="auto"/>
          <w:szCs w:val="21"/>
          <w:highlight w:val="none"/>
        </w:rPr>
      </w:pPr>
    </w:p>
    <w:p w14:paraId="73B2877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14:paraId="5D99038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参加磋商的供应商在规定时间内提交最后报价时，须附相应的报价明细表（最后报价明细表应按以上格式要求提供），并且最后报价金额须与最后报价明细表的合计金额相等，否则须在规定时间内按最后报价金额调整最后报价明细表的金额。</w:t>
      </w:r>
    </w:p>
    <w:p w14:paraId="27EA4BC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2、所有价格均用人民币表示，单位为元。</w:t>
      </w:r>
    </w:p>
    <w:p w14:paraId="4D51E4C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3、报价一经涂改，应在涂改处加盖单位公章或者由法定代表人或授权委托人签字，否则其报价无效。</w:t>
      </w:r>
    </w:p>
    <w:p w14:paraId="0E83252D">
      <w:pPr>
        <w:spacing w:line="440" w:lineRule="exact"/>
        <w:rPr>
          <w:rFonts w:ascii="宋体" w:hAnsi="宋体" w:cs="宋体"/>
          <w:color w:val="auto"/>
          <w:szCs w:val="21"/>
          <w:highlight w:val="none"/>
        </w:rPr>
      </w:pPr>
    </w:p>
    <w:p w14:paraId="3C544127">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421927EE">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5DAE734E">
      <w:pPr>
        <w:spacing w:line="440" w:lineRule="exact"/>
        <w:jc w:val="left"/>
        <w:rPr>
          <w:rFonts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三、中小企业声明函格式</w:t>
      </w:r>
    </w:p>
    <w:p w14:paraId="31FD755A">
      <w:pPr>
        <w:widowControl/>
        <w:spacing w:before="100" w:beforeAutospacing="1" w:after="100" w:afterAutospacing="1" w:line="440" w:lineRule="exact"/>
        <w:jc w:val="center"/>
        <w:textAlignment w:val="top"/>
        <w:rPr>
          <w:rFonts w:ascii="宋体" w:hAnsi="宋体" w:cs="宋体"/>
          <w:color w:val="auto"/>
          <w:kern w:val="0"/>
          <w:szCs w:val="21"/>
          <w:highlight w:val="none"/>
        </w:rPr>
      </w:pPr>
      <w:r>
        <w:rPr>
          <w:rFonts w:hint="eastAsia" w:ascii="宋体" w:hAnsi="宋体" w:cs="宋体"/>
          <w:b/>
          <w:bCs/>
          <w:color w:val="auto"/>
          <w:kern w:val="0"/>
          <w:sz w:val="30"/>
          <w:highlight w:val="none"/>
        </w:rPr>
        <w:t>中小企业声明函</w:t>
      </w:r>
    </w:p>
    <w:p w14:paraId="054A103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671EEA0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1、本声明函主要供参加政府采购活动的中小企业填写，非中小企业无需填写。</w:t>
      </w:r>
    </w:p>
    <w:p w14:paraId="4640E1D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2、小型、微型企业提供中型企业提供的货物的，视同为中型企业。</w:t>
      </w:r>
    </w:p>
    <w:p w14:paraId="32DC7356">
      <w:pPr>
        <w:spacing w:line="440" w:lineRule="exact"/>
        <w:ind w:firstLine="420" w:firstLineChars="200"/>
        <w:rPr>
          <w:rFonts w:ascii="宋体" w:hAnsi="宋体" w:cs="宋体"/>
          <w:color w:val="auto"/>
          <w:szCs w:val="21"/>
          <w:highlight w:val="none"/>
        </w:rPr>
      </w:pPr>
    </w:p>
    <w:p w14:paraId="605A31D4">
      <w:pPr>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采购活动，服务全部由符合政策要求的中小企业制造。相关企业（含联合体中的中小企业、签订分包意向协议的中小企业）的具体情况如下：</w:t>
      </w:r>
    </w:p>
    <w:p w14:paraId="1878EDC7">
      <w:pPr>
        <w:tabs>
          <w:tab w:val="left" w:pos="1384"/>
          <w:tab w:val="left" w:pos="4562"/>
          <w:tab w:val="left" w:pos="6803"/>
        </w:tabs>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72E5FEB0">
      <w:pPr>
        <w:tabs>
          <w:tab w:val="left" w:pos="1065"/>
          <w:tab w:val="left" w:pos="6477"/>
        </w:tabs>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51454384">
      <w:pPr>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 xml:space="preserve">…… </w:t>
      </w:r>
    </w:p>
    <w:p w14:paraId="2EF47667">
      <w:pPr>
        <w:spacing w:line="44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9A4F88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09770802">
      <w:pPr>
        <w:spacing w:line="440" w:lineRule="exact"/>
        <w:ind w:firstLine="3150" w:firstLineChars="1500"/>
        <w:rPr>
          <w:rFonts w:ascii="宋体" w:hAnsi="宋体" w:cs="宋体"/>
          <w:color w:val="auto"/>
          <w:szCs w:val="21"/>
          <w:highlight w:val="none"/>
        </w:rPr>
      </w:pPr>
    </w:p>
    <w:p w14:paraId="20981B5D">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387784FA">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575BF779">
      <w:pPr>
        <w:spacing w:line="440" w:lineRule="exact"/>
        <w:ind w:firstLine="420" w:firstLineChars="200"/>
        <w:rPr>
          <w:rFonts w:ascii="宋体" w:hAnsi="宋体" w:cs="宋体"/>
          <w:color w:val="auto"/>
          <w:szCs w:val="21"/>
          <w:highlight w:val="none"/>
        </w:rPr>
      </w:pPr>
    </w:p>
    <w:p w14:paraId="6E2A88AE">
      <w:pPr>
        <w:spacing w:line="440" w:lineRule="exact"/>
        <w:ind w:firstLine="420" w:firstLineChars="200"/>
        <w:rPr>
          <w:rFonts w:ascii="宋体" w:hAnsi="宋体" w:cs="宋体"/>
          <w:color w:val="auto"/>
          <w:szCs w:val="21"/>
          <w:highlight w:val="none"/>
        </w:rPr>
      </w:pPr>
    </w:p>
    <w:p w14:paraId="34C90D08">
      <w:pPr>
        <w:spacing w:line="440" w:lineRule="exact"/>
        <w:ind w:firstLine="420" w:firstLineChars="200"/>
        <w:rPr>
          <w:rFonts w:ascii="宋体" w:hAnsi="宋体" w:cs="宋体"/>
          <w:color w:val="auto"/>
          <w:szCs w:val="21"/>
          <w:highlight w:val="none"/>
        </w:rPr>
      </w:pPr>
    </w:p>
    <w:p w14:paraId="2D3F147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435BF33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2F79AE2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4CC339A">
      <w:pPr>
        <w:widowControl/>
        <w:spacing w:before="100" w:beforeAutospacing="1" w:after="100" w:afterAutospacing="1" w:line="440" w:lineRule="exact"/>
        <w:jc w:val="left"/>
        <w:textAlignment w:val="top"/>
        <w:rPr>
          <w:rFonts w:ascii="宋体" w:hAnsi="宋体" w:cs="宋体"/>
          <w:color w:val="auto"/>
          <w:szCs w:val="21"/>
          <w:highlight w:val="none"/>
        </w:rPr>
      </w:pPr>
    </w:p>
    <w:p w14:paraId="2B362745">
      <w:pPr>
        <w:widowControl/>
        <w:spacing w:before="100" w:beforeAutospacing="1" w:after="100" w:afterAutospacing="1" w:line="440" w:lineRule="exact"/>
        <w:jc w:val="left"/>
        <w:textAlignment w:val="top"/>
        <w:rPr>
          <w:rFonts w:ascii="宋体" w:hAnsi="宋体" w:cs="宋体"/>
          <w:b/>
          <w:color w:val="auto"/>
          <w:szCs w:val="21"/>
          <w:highlight w:val="none"/>
        </w:rPr>
      </w:pPr>
    </w:p>
    <w:p w14:paraId="6057C409">
      <w:pPr>
        <w:widowControl/>
        <w:spacing w:before="100" w:beforeAutospacing="1" w:after="100" w:afterAutospacing="1" w:line="440" w:lineRule="exact"/>
        <w:jc w:val="left"/>
        <w:textAlignment w:val="top"/>
        <w:rPr>
          <w:rFonts w:ascii="宋体" w:hAnsi="宋体" w:cs="宋体"/>
          <w:b/>
          <w:bCs/>
          <w:color w:val="auto"/>
          <w:highlight w:val="none"/>
        </w:rPr>
      </w:pPr>
      <w:r>
        <w:rPr>
          <w:rFonts w:hint="eastAsia" w:ascii="宋体" w:hAnsi="宋体" w:cs="宋体"/>
          <w:b/>
          <w:color w:val="auto"/>
          <w:szCs w:val="21"/>
          <w:highlight w:val="none"/>
        </w:rPr>
        <w:t>四、残疾人福利性单位声明函格式</w:t>
      </w:r>
    </w:p>
    <w:p w14:paraId="7F45165B">
      <w:pPr>
        <w:widowControl/>
        <w:spacing w:before="100" w:beforeAutospacing="1" w:after="100" w:afterAutospacing="1" w:line="440" w:lineRule="exact"/>
        <w:jc w:val="center"/>
        <w:textAlignment w:val="top"/>
        <w:rPr>
          <w:rFonts w:ascii="宋体" w:hAnsi="宋体" w:cs="宋体"/>
          <w:b/>
          <w:color w:val="auto"/>
          <w:sz w:val="32"/>
          <w:szCs w:val="32"/>
          <w:highlight w:val="none"/>
        </w:rPr>
      </w:pPr>
      <w:r>
        <w:rPr>
          <w:rFonts w:hint="eastAsia" w:ascii="宋体" w:hAnsi="宋体" w:cs="宋体"/>
          <w:b/>
          <w:color w:val="auto"/>
          <w:sz w:val="32"/>
          <w:szCs w:val="32"/>
          <w:highlight w:val="none"/>
        </w:rPr>
        <w:t>残疾人福利性单位声明函</w:t>
      </w:r>
    </w:p>
    <w:p w14:paraId="1F518A0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47823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727AC200">
      <w:pPr>
        <w:spacing w:line="440" w:lineRule="exact"/>
        <w:ind w:firstLine="420" w:firstLineChars="200"/>
        <w:rPr>
          <w:rFonts w:ascii="宋体" w:hAnsi="宋体" w:cs="宋体"/>
          <w:color w:val="auto"/>
          <w:szCs w:val="21"/>
          <w:highlight w:val="none"/>
        </w:rPr>
      </w:pPr>
    </w:p>
    <w:p w14:paraId="7256157F">
      <w:pPr>
        <w:spacing w:line="440" w:lineRule="exact"/>
        <w:ind w:firstLine="420" w:firstLineChars="200"/>
        <w:rPr>
          <w:rFonts w:ascii="宋体" w:hAnsi="宋体" w:cs="宋体"/>
          <w:color w:val="auto"/>
          <w:szCs w:val="21"/>
          <w:highlight w:val="none"/>
        </w:rPr>
      </w:pPr>
    </w:p>
    <w:p w14:paraId="2FBF0B19">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3E0884FB">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1766D931">
      <w:pPr>
        <w:spacing w:line="440" w:lineRule="exact"/>
        <w:ind w:firstLine="420" w:firstLineChars="200"/>
        <w:rPr>
          <w:rFonts w:ascii="宋体" w:hAnsi="宋体" w:cs="宋体"/>
          <w:color w:val="auto"/>
          <w:szCs w:val="21"/>
          <w:highlight w:val="none"/>
        </w:rPr>
      </w:pPr>
    </w:p>
    <w:p w14:paraId="14B5CF5A">
      <w:pPr>
        <w:widowControl/>
        <w:spacing w:before="100" w:beforeAutospacing="1" w:after="100" w:afterAutospacing="1" w:line="440" w:lineRule="exact"/>
        <w:ind w:firstLine="420"/>
        <w:jc w:val="left"/>
        <w:textAlignment w:val="top"/>
        <w:rPr>
          <w:rFonts w:ascii="宋体" w:hAnsi="宋体" w:cs="宋体"/>
          <w:color w:val="auto"/>
          <w:kern w:val="0"/>
          <w:szCs w:val="21"/>
          <w:highlight w:val="none"/>
        </w:rPr>
        <w:sectPr>
          <w:pgSz w:w="11906" w:h="16838"/>
          <w:pgMar w:top="1134" w:right="1247" w:bottom="1134" w:left="1247" w:header="851" w:footer="992" w:gutter="0"/>
          <w:cols w:space="720" w:num="1"/>
          <w:docGrid w:linePitch="312" w:charSpace="0"/>
        </w:sect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518E041">
      <w:pPr>
        <w:pStyle w:val="4"/>
        <w:spacing w:line="440" w:lineRule="exact"/>
        <w:jc w:val="center"/>
        <w:rPr>
          <w:rFonts w:ascii="宋体" w:hAnsi="宋体" w:cs="宋体"/>
          <w:color w:val="auto"/>
          <w:sz w:val="28"/>
          <w:szCs w:val="28"/>
          <w:highlight w:val="none"/>
        </w:rPr>
      </w:pPr>
      <w:bookmarkStart w:id="31" w:name="_Toc88747295"/>
      <w:r>
        <w:rPr>
          <w:rFonts w:hint="eastAsia" w:ascii="宋体" w:hAnsi="宋体" w:cs="宋体"/>
          <w:color w:val="auto"/>
          <w:sz w:val="28"/>
          <w:szCs w:val="28"/>
          <w:highlight w:val="none"/>
        </w:rPr>
        <w:t>第五章 合同主要条款</w:t>
      </w:r>
      <w:bookmarkEnd w:id="31"/>
    </w:p>
    <w:p w14:paraId="5597A339">
      <w:pPr>
        <w:spacing w:line="440" w:lineRule="exact"/>
        <w:rPr>
          <w:rFonts w:ascii="宋体" w:hAnsi="宋体" w:cs="宋体"/>
          <w:color w:val="auto"/>
          <w:sz w:val="24"/>
          <w:highlight w:val="none"/>
        </w:rPr>
      </w:pPr>
    </w:p>
    <w:p w14:paraId="7E534D8E">
      <w:pPr>
        <w:jc w:val="center"/>
        <w:rPr>
          <w:rFonts w:ascii="宋体" w:hAnsi="宋体" w:cs="宋体"/>
          <w:b/>
          <w:bCs/>
          <w:color w:val="auto"/>
          <w:sz w:val="52"/>
          <w:szCs w:val="52"/>
          <w:highlight w:val="none"/>
        </w:rPr>
      </w:pPr>
    </w:p>
    <w:p w14:paraId="0EAE9401">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 xml:space="preserve"> </w:t>
      </w:r>
    </w:p>
    <w:p w14:paraId="7A193719">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广西壮族自治区政府采购合同</w:t>
      </w:r>
    </w:p>
    <w:p w14:paraId="5EF0AD66">
      <w:pPr>
        <w:rPr>
          <w:rFonts w:ascii="宋体" w:hAnsi="宋体" w:cs="宋体"/>
          <w:color w:val="auto"/>
          <w:szCs w:val="21"/>
          <w:highlight w:val="none"/>
        </w:rPr>
      </w:pPr>
      <w:r>
        <w:rPr>
          <w:rFonts w:hint="eastAsia" w:ascii="宋体" w:hAnsi="宋体" w:cs="宋体"/>
          <w:color w:val="auto"/>
          <w:highlight w:val="none"/>
        </w:rPr>
        <w:t xml:space="preserve"> </w:t>
      </w:r>
    </w:p>
    <w:p w14:paraId="04BEEA69">
      <w:pPr>
        <w:rPr>
          <w:rFonts w:ascii="宋体" w:hAnsi="宋体" w:cs="宋体"/>
          <w:color w:val="auto"/>
          <w:highlight w:val="none"/>
        </w:rPr>
      </w:pPr>
      <w:r>
        <w:rPr>
          <w:rFonts w:hint="eastAsia" w:ascii="宋体" w:hAnsi="宋体" w:cs="宋体"/>
          <w:color w:val="auto"/>
          <w:highlight w:val="none"/>
        </w:rPr>
        <w:t xml:space="preserve"> </w:t>
      </w:r>
    </w:p>
    <w:p w14:paraId="66241C30">
      <w:pPr>
        <w:rPr>
          <w:rFonts w:ascii="宋体" w:hAnsi="宋体" w:cs="宋体"/>
          <w:color w:val="auto"/>
          <w:highlight w:val="none"/>
        </w:rPr>
      </w:pPr>
      <w:r>
        <w:rPr>
          <w:rFonts w:hint="eastAsia" w:ascii="宋体" w:hAnsi="宋体" w:cs="宋体"/>
          <w:color w:val="auto"/>
          <w:highlight w:val="none"/>
        </w:rPr>
        <w:t xml:space="preserve"> </w:t>
      </w:r>
    </w:p>
    <w:p w14:paraId="538158B7">
      <w:pPr>
        <w:rPr>
          <w:rFonts w:ascii="宋体" w:hAnsi="宋体" w:cs="宋体"/>
          <w:color w:val="auto"/>
          <w:highlight w:val="none"/>
        </w:rPr>
      </w:pPr>
      <w:r>
        <w:rPr>
          <w:rFonts w:hint="eastAsia" w:ascii="宋体" w:hAnsi="宋体" w:cs="宋体"/>
          <w:color w:val="auto"/>
          <w:highlight w:val="none"/>
        </w:rPr>
        <w:t xml:space="preserve"> </w:t>
      </w:r>
    </w:p>
    <w:p w14:paraId="064A22E0">
      <w:pPr>
        <w:rPr>
          <w:rFonts w:ascii="宋体" w:hAnsi="宋体" w:cs="宋体"/>
          <w:color w:val="auto"/>
          <w:highlight w:val="none"/>
        </w:rPr>
      </w:pPr>
    </w:p>
    <w:p w14:paraId="14E7088C">
      <w:pPr>
        <w:rPr>
          <w:rFonts w:ascii="宋体" w:hAnsi="宋体" w:cs="宋体"/>
          <w:color w:val="auto"/>
          <w:highlight w:val="none"/>
        </w:rPr>
      </w:pPr>
      <w:r>
        <w:rPr>
          <w:rFonts w:hint="eastAsia" w:ascii="宋体" w:hAnsi="宋体" w:cs="宋体"/>
          <w:color w:val="auto"/>
          <w:highlight w:val="none"/>
        </w:rPr>
        <w:t xml:space="preserve"> </w:t>
      </w:r>
    </w:p>
    <w:p w14:paraId="02304790">
      <w:pPr>
        <w:rPr>
          <w:rFonts w:ascii="宋体" w:hAnsi="宋体" w:cs="宋体"/>
          <w:color w:val="auto"/>
          <w:highlight w:val="none"/>
        </w:rPr>
      </w:pPr>
      <w:r>
        <w:rPr>
          <w:rFonts w:hint="eastAsia" w:ascii="宋体" w:hAnsi="宋体" w:cs="宋体"/>
          <w:color w:val="auto"/>
          <w:highlight w:val="none"/>
        </w:rPr>
        <w:t xml:space="preserve"> </w:t>
      </w:r>
    </w:p>
    <w:p w14:paraId="4BE7A030">
      <w:pPr>
        <w:ind w:left="2456" w:hanging="160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u w:val="single"/>
        </w:rPr>
        <w:t xml:space="preserve">                          </w:t>
      </w:r>
    </w:p>
    <w:p w14:paraId="70AE034D">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合同编号：</w:t>
      </w:r>
      <w:r>
        <w:rPr>
          <w:rFonts w:hint="eastAsia" w:ascii="宋体" w:hAnsi="宋体" w:cs="宋体"/>
          <w:b/>
          <w:bCs/>
          <w:color w:val="auto"/>
          <w:sz w:val="32"/>
          <w:szCs w:val="32"/>
          <w:highlight w:val="none"/>
          <w:u w:val="single"/>
        </w:rPr>
        <w:t xml:space="preserve">                          </w:t>
      </w:r>
    </w:p>
    <w:p w14:paraId="490360A9">
      <w:pPr>
        <w:ind w:firstLine="556" w:firstLineChars="265"/>
        <w:jc w:val="center"/>
        <w:rPr>
          <w:rFonts w:ascii="宋体" w:hAnsi="宋体" w:cs="宋体"/>
          <w:color w:val="auto"/>
          <w:szCs w:val="21"/>
          <w:highlight w:val="none"/>
        </w:rPr>
      </w:pPr>
      <w:r>
        <w:rPr>
          <w:rFonts w:hint="eastAsia" w:ascii="宋体" w:hAnsi="宋体" w:cs="宋体"/>
          <w:color w:val="auto"/>
          <w:highlight w:val="none"/>
        </w:rPr>
        <w:t xml:space="preserve"> </w:t>
      </w:r>
    </w:p>
    <w:p w14:paraId="6343A8D1">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14:paraId="7E886F7C">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14:paraId="58FE8FA2">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采购单位（甲方）：</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eastAsia="zh-CN"/>
        </w:rPr>
        <w:t>桂林市住房和城乡建设局</w:t>
      </w:r>
      <w:r>
        <w:rPr>
          <w:rFonts w:hint="eastAsia" w:ascii="宋体" w:hAnsi="宋体" w:cs="宋体"/>
          <w:b/>
          <w:bCs/>
          <w:color w:val="auto"/>
          <w:sz w:val="32"/>
          <w:szCs w:val="32"/>
          <w:highlight w:val="none"/>
          <w:u w:val="single"/>
        </w:rPr>
        <w:t xml:space="preserve">   </w:t>
      </w:r>
    </w:p>
    <w:p w14:paraId="13EF86A2">
      <w:pPr>
        <w:ind w:firstLine="851" w:firstLineChars="265"/>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5D740A18">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供 应 商（乙方）：</w:t>
      </w:r>
      <w:r>
        <w:rPr>
          <w:rFonts w:hint="eastAsia" w:ascii="宋体" w:hAnsi="宋体" w:cs="宋体"/>
          <w:b/>
          <w:bCs/>
          <w:color w:val="auto"/>
          <w:sz w:val="32"/>
          <w:szCs w:val="32"/>
          <w:highlight w:val="none"/>
          <w:u w:val="single"/>
        </w:rPr>
        <w:t xml:space="preserve">                            </w:t>
      </w:r>
    </w:p>
    <w:p w14:paraId="2230DA2B">
      <w:pPr>
        <w:ind w:firstLine="556" w:firstLineChars="265"/>
        <w:jc w:val="center"/>
        <w:rPr>
          <w:rFonts w:ascii="宋体" w:hAnsi="宋体" w:cs="宋体"/>
          <w:color w:val="auto"/>
          <w:szCs w:val="21"/>
          <w:highlight w:val="none"/>
        </w:rPr>
      </w:pPr>
      <w:r>
        <w:rPr>
          <w:rFonts w:hint="eastAsia" w:ascii="宋体" w:hAnsi="宋体" w:cs="宋体"/>
          <w:color w:val="auto"/>
          <w:highlight w:val="none"/>
        </w:rPr>
        <w:t xml:space="preserve"> </w:t>
      </w:r>
    </w:p>
    <w:p w14:paraId="37E1C778">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14:paraId="0C40C443">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14:paraId="21719A3C">
      <w:pPr>
        <w:ind w:firstLine="742" w:firstLineChars="265"/>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18E275CC">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签订合同地点：</w:t>
      </w:r>
      <w:r>
        <w:rPr>
          <w:rFonts w:hint="eastAsia" w:ascii="宋体" w:hAnsi="宋体" w:cs="宋体"/>
          <w:b/>
          <w:bCs/>
          <w:color w:val="auto"/>
          <w:sz w:val="32"/>
          <w:szCs w:val="32"/>
          <w:highlight w:val="none"/>
          <w:u w:val="single"/>
        </w:rPr>
        <w:t xml:space="preserve">                                </w:t>
      </w:r>
    </w:p>
    <w:p w14:paraId="16A6ECC7">
      <w:pPr>
        <w:ind w:firstLine="851" w:firstLineChars="265"/>
        <w:rPr>
          <w:rFonts w:ascii="宋体" w:hAnsi="宋体" w:cs="宋体"/>
          <w:b/>
          <w:bCs/>
          <w:color w:val="auto"/>
          <w:sz w:val="32"/>
          <w:szCs w:val="32"/>
          <w:highlight w:val="none"/>
        </w:rPr>
      </w:pPr>
    </w:p>
    <w:p w14:paraId="0975C991">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签订合同时间：</w:t>
      </w:r>
      <w:r>
        <w:rPr>
          <w:rFonts w:hint="eastAsia" w:ascii="宋体" w:hAnsi="宋体" w:cs="宋体"/>
          <w:b/>
          <w:bCs/>
          <w:color w:val="auto"/>
          <w:sz w:val="32"/>
          <w:szCs w:val="32"/>
          <w:highlight w:val="none"/>
          <w:u w:val="single"/>
        </w:rPr>
        <w:t xml:space="preserve">                                </w:t>
      </w:r>
    </w:p>
    <w:p w14:paraId="00CB8217">
      <w:pPr>
        <w:jc w:val="center"/>
        <w:rPr>
          <w:rFonts w:ascii="宋体" w:hAnsi="宋体" w:cs="宋体"/>
          <w:color w:val="auto"/>
          <w:szCs w:val="21"/>
          <w:highlight w:val="none"/>
        </w:rPr>
      </w:pPr>
      <w:r>
        <w:rPr>
          <w:rFonts w:hint="eastAsia" w:ascii="宋体" w:hAnsi="宋体" w:cs="宋体"/>
          <w:color w:val="auto"/>
          <w:highlight w:val="none"/>
        </w:rPr>
        <w:t xml:space="preserve"> </w:t>
      </w:r>
    </w:p>
    <w:p w14:paraId="0C475EFD">
      <w:pPr>
        <w:jc w:val="center"/>
        <w:rPr>
          <w:rFonts w:ascii="宋体" w:hAnsi="宋体" w:cs="宋体"/>
          <w:color w:val="auto"/>
          <w:highlight w:val="none"/>
        </w:rPr>
      </w:pPr>
      <w:r>
        <w:rPr>
          <w:rFonts w:hint="eastAsia" w:ascii="宋体" w:hAnsi="宋体" w:cs="宋体"/>
          <w:color w:val="auto"/>
          <w:highlight w:val="none"/>
        </w:rPr>
        <w:t xml:space="preserve"> </w:t>
      </w:r>
    </w:p>
    <w:p w14:paraId="48ED4C80">
      <w:pPr>
        <w:jc w:val="center"/>
        <w:rPr>
          <w:rFonts w:ascii="宋体" w:hAnsi="宋体" w:cs="宋体"/>
          <w:color w:val="auto"/>
          <w:highlight w:val="none"/>
        </w:rPr>
      </w:pPr>
      <w:r>
        <w:rPr>
          <w:rFonts w:hint="eastAsia" w:ascii="宋体" w:hAnsi="宋体" w:cs="宋体"/>
          <w:color w:val="auto"/>
          <w:highlight w:val="none"/>
        </w:rPr>
        <w:t xml:space="preserve"> </w:t>
      </w:r>
    </w:p>
    <w:p w14:paraId="719B78A1">
      <w:pPr>
        <w:jc w:val="center"/>
        <w:rPr>
          <w:rFonts w:ascii="宋体" w:hAnsi="宋体" w:cs="宋体"/>
          <w:color w:val="auto"/>
          <w:highlight w:val="none"/>
        </w:rPr>
      </w:pPr>
      <w:r>
        <w:rPr>
          <w:rFonts w:hint="eastAsia" w:ascii="宋体" w:hAnsi="宋体" w:cs="宋体"/>
          <w:color w:val="auto"/>
          <w:highlight w:val="none"/>
        </w:rPr>
        <w:t xml:space="preserve"> </w:t>
      </w:r>
    </w:p>
    <w:p w14:paraId="62A6D53F">
      <w:pPr>
        <w:jc w:val="center"/>
        <w:rPr>
          <w:rFonts w:ascii="宋体" w:hAnsi="宋体" w:cs="宋体"/>
          <w:color w:val="auto"/>
          <w:highlight w:val="none"/>
        </w:rPr>
      </w:pPr>
      <w:r>
        <w:rPr>
          <w:rFonts w:hint="eastAsia" w:ascii="宋体" w:hAnsi="宋体" w:cs="宋体"/>
          <w:color w:val="auto"/>
          <w:highlight w:val="none"/>
        </w:rPr>
        <w:t xml:space="preserve"> </w:t>
      </w:r>
    </w:p>
    <w:p w14:paraId="6A2782A8">
      <w:pPr>
        <w:jc w:val="center"/>
        <w:rPr>
          <w:rFonts w:ascii="宋体" w:hAnsi="宋体" w:cs="宋体"/>
          <w:color w:val="auto"/>
          <w:highlight w:val="none"/>
        </w:rPr>
      </w:pPr>
      <w:r>
        <w:rPr>
          <w:rFonts w:hint="eastAsia" w:ascii="宋体" w:hAnsi="宋体" w:cs="宋体"/>
          <w:color w:val="auto"/>
          <w:highlight w:val="none"/>
        </w:rPr>
        <w:br w:type="page"/>
      </w:r>
    </w:p>
    <w:p w14:paraId="7AF47B6F">
      <w:pPr>
        <w:spacing w:line="300" w:lineRule="auto"/>
        <w:jc w:val="center"/>
        <w:rPr>
          <w:rFonts w:ascii="宋体" w:hAnsi="宋体" w:cs="宋体"/>
          <w:color w:val="auto"/>
          <w:highlight w:val="none"/>
        </w:rPr>
      </w:pPr>
      <w:r>
        <w:rPr>
          <w:rFonts w:hint="eastAsia" w:ascii="宋体" w:hAnsi="宋体" w:cs="宋体"/>
          <w:color w:val="auto"/>
          <w:highlight w:val="none"/>
        </w:rPr>
        <w:t xml:space="preserve"> </w:t>
      </w:r>
    </w:p>
    <w:p w14:paraId="52DFA4DC">
      <w:pPr>
        <w:snapToGrid w:val="0"/>
        <w:spacing w:line="3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14:paraId="0D5B2FA6">
      <w:pPr>
        <w:snapToGrid w:val="0"/>
        <w:spacing w:line="360" w:lineRule="exact"/>
        <w:jc w:val="center"/>
        <w:rPr>
          <w:rFonts w:ascii="宋体" w:hAnsi="宋体" w:cs="宋体"/>
          <w:color w:val="auto"/>
          <w:szCs w:val="21"/>
          <w:highlight w:val="none"/>
        </w:rPr>
      </w:pPr>
      <w:r>
        <w:rPr>
          <w:rFonts w:hint="eastAsia" w:ascii="宋体" w:hAnsi="宋体" w:cs="宋体"/>
          <w:color w:val="auto"/>
          <w:highlight w:val="none"/>
        </w:rPr>
        <w:t xml:space="preserve"> </w:t>
      </w:r>
    </w:p>
    <w:p w14:paraId="56384A0D">
      <w:pPr>
        <w:pStyle w:val="18"/>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采购计划号：</w:t>
      </w:r>
      <w:r>
        <w:rPr>
          <w:rFonts w:hint="eastAsia" w:ascii="宋体" w:hAnsi="宋体" w:cs="宋体"/>
          <w:color w:val="auto"/>
          <w:spacing w:val="6"/>
          <w:szCs w:val="21"/>
          <w:highlight w:val="none"/>
          <w:u w:val="single"/>
        </w:rPr>
        <w:t xml:space="preserve">                     </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 xml:space="preserve">   合同编号：</w:t>
      </w:r>
      <w:r>
        <w:rPr>
          <w:rFonts w:hint="eastAsia" w:ascii="宋体" w:hAnsi="宋体" w:cs="宋体"/>
          <w:color w:val="auto"/>
          <w:spacing w:val="5"/>
          <w:szCs w:val="21"/>
          <w:highlight w:val="none"/>
          <w:u w:val="single"/>
        </w:rPr>
        <w:t xml:space="preserve">                          </w:t>
      </w:r>
    </w:p>
    <w:p w14:paraId="3F57EF69">
      <w:pPr>
        <w:pStyle w:val="18"/>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采购人（甲方</w:t>
      </w:r>
      <w:r>
        <w:rPr>
          <w:rFonts w:hint="eastAsia" w:ascii="宋体" w:hAnsi="宋体" w:cs="宋体"/>
          <w:color w:val="auto"/>
          <w:spacing w:val="11"/>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pacing w:val="10"/>
          <w:szCs w:val="21"/>
          <w:highlight w:val="none"/>
        </w:rPr>
        <w:t xml:space="preserve">   </w:t>
      </w:r>
      <w:r>
        <w:rPr>
          <w:rFonts w:hint="eastAsia" w:ascii="宋体" w:hAnsi="宋体" w:cs="宋体"/>
          <w:color w:val="auto"/>
          <w:spacing w:val="8"/>
          <w:szCs w:val="21"/>
          <w:highlight w:val="none"/>
        </w:rPr>
        <w:t>供应商（乙方</w:t>
      </w:r>
      <w:r>
        <w:rPr>
          <w:rFonts w:hint="eastAsia" w:ascii="宋体" w:hAnsi="宋体" w:cs="宋体"/>
          <w:color w:val="auto"/>
          <w:spacing w:val="11"/>
          <w:szCs w:val="21"/>
          <w:highlight w:val="none"/>
        </w:rPr>
        <w:t>）：</w:t>
      </w:r>
      <w:r>
        <w:rPr>
          <w:rFonts w:hint="eastAsia" w:ascii="宋体" w:hAnsi="宋体" w:cs="宋体"/>
          <w:color w:val="auto"/>
          <w:szCs w:val="21"/>
          <w:highlight w:val="none"/>
          <w:u w:val="single"/>
        </w:rPr>
        <w:t xml:space="preserve">                       </w:t>
      </w:r>
    </w:p>
    <w:p w14:paraId="7EA6E39A">
      <w:pPr>
        <w:pStyle w:val="18"/>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项目名称：</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项目编号：</w:t>
      </w:r>
      <w:r>
        <w:rPr>
          <w:rFonts w:hint="eastAsia" w:ascii="宋体" w:hAnsi="宋体" w:cs="宋体"/>
          <w:color w:val="auto"/>
          <w:spacing w:val="4"/>
          <w:szCs w:val="21"/>
          <w:highlight w:val="none"/>
          <w:u w:val="single"/>
        </w:rPr>
        <w:t xml:space="preserve">                            </w:t>
      </w:r>
    </w:p>
    <w:p w14:paraId="23FB7AC1">
      <w:pPr>
        <w:pStyle w:val="18"/>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签订地点：</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签订时间：</w:t>
      </w:r>
      <w:r>
        <w:rPr>
          <w:rFonts w:hint="eastAsia" w:ascii="宋体" w:hAnsi="宋体" w:cs="宋体"/>
          <w:color w:val="auto"/>
          <w:spacing w:val="4"/>
          <w:szCs w:val="21"/>
          <w:highlight w:val="none"/>
          <w:u w:val="single"/>
        </w:rPr>
        <w:t xml:space="preserve">                            </w:t>
      </w:r>
    </w:p>
    <w:p w14:paraId="14FFDB0D">
      <w:pPr>
        <w:spacing w:line="360" w:lineRule="auto"/>
        <w:ind w:firstLine="420" w:firstLineChars="200"/>
        <w:rPr>
          <w:rFonts w:ascii="宋体" w:hAnsi="宋体" w:cs="宋体"/>
          <w:color w:val="auto"/>
          <w:szCs w:val="21"/>
          <w:highlight w:val="none"/>
        </w:rPr>
      </w:pPr>
    </w:p>
    <w:p w14:paraId="5BCE30A8">
      <w:pPr>
        <w:pStyle w:val="18"/>
        <w:spacing w:after="0" w:line="360" w:lineRule="auto"/>
        <w:ind w:firstLine="452" w:firstLineChars="200"/>
        <w:jc w:val="right"/>
        <w:rPr>
          <w:rFonts w:ascii="宋体" w:hAnsi="宋体" w:cs="宋体"/>
          <w:color w:val="auto"/>
          <w:szCs w:val="21"/>
          <w:highlight w:val="none"/>
        </w:rPr>
      </w:pPr>
      <w:r>
        <w:rPr>
          <w:rFonts w:hint="eastAsia" w:ascii="宋体" w:hAnsi="宋体" w:cs="宋体"/>
          <w:color w:val="auto"/>
          <w:spacing w:val="8"/>
          <w:szCs w:val="21"/>
          <w:highlight w:val="none"/>
        </w:rPr>
        <w:t>根据《中华人民共和国民法典》等法律、法规规定，按照采购文件规定条款和成交供应商响</w:t>
      </w:r>
    </w:p>
    <w:p w14:paraId="64BFD1B7">
      <w:pPr>
        <w:pStyle w:val="18"/>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应文件及其承诺，</w:t>
      </w:r>
      <w:r>
        <w:rPr>
          <w:rFonts w:hint="eastAsia" w:ascii="宋体" w:hAnsi="宋体" w:cs="宋体"/>
          <w:color w:val="auto"/>
          <w:spacing w:val="-49"/>
          <w:szCs w:val="21"/>
          <w:highlight w:val="none"/>
        </w:rPr>
        <w:t xml:space="preserve"> </w:t>
      </w:r>
      <w:r>
        <w:rPr>
          <w:rFonts w:hint="eastAsia" w:ascii="宋体" w:hAnsi="宋体" w:cs="宋体"/>
          <w:color w:val="auto"/>
          <w:spacing w:val="6"/>
          <w:szCs w:val="21"/>
          <w:highlight w:val="none"/>
        </w:rPr>
        <w:t>甲乙双方签订本合同。</w:t>
      </w:r>
    </w:p>
    <w:p w14:paraId="3C21876A">
      <w:pPr>
        <w:pStyle w:val="18"/>
        <w:spacing w:after="0" w:line="360" w:lineRule="auto"/>
        <w:ind w:firstLine="446" w:firstLineChars="200"/>
        <w:outlineLvl w:val="1"/>
        <w:rPr>
          <w:rFonts w:ascii="宋体" w:hAnsi="宋体" w:cs="宋体"/>
          <w:b/>
          <w:bCs/>
          <w:color w:val="auto"/>
          <w:spacing w:val="6"/>
          <w:szCs w:val="21"/>
          <w:highlight w:val="none"/>
        </w:rPr>
      </w:pPr>
      <w:r>
        <w:rPr>
          <w:rFonts w:hint="eastAsia" w:ascii="宋体" w:hAnsi="宋体" w:cs="宋体"/>
          <w:b/>
          <w:bCs/>
          <w:color w:val="auto"/>
          <w:spacing w:val="6"/>
          <w:szCs w:val="21"/>
          <w:highlight w:val="none"/>
        </w:rPr>
        <w:t xml:space="preserve">第一条  </w:t>
      </w:r>
      <w:r>
        <w:rPr>
          <w:rFonts w:hint="eastAsia" w:ascii="宋体" w:hAnsi="宋体" w:cs="宋体"/>
          <w:color w:val="auto"/>
          <w:spacing w:val="6"/>
          <w:szCs w:val="21"/>
          <w:highlight w:val="none"/>
        </w:rPr>
        <w:t>合同标的</w:t>
      </w:r>
    </w:p>
    <w:p w14:paraId="17265AB9">
      <w:pPr>
        <w:pStyle w:val="18"/>
        <w:spacing w:after="0" w:line="360" w:lineRule="auto"/>
        <w:ind w:firstLine="432" w:firstLineChars="200"/>
        <w:rPr>
          <w:rFonts w:ascii="宋体" w:hAnsi="宋体" w:cs="宋体"/>
          <w:color w:val="auto"/>
          <w:szCs w:val="21"/>
          <w:highlight w:val="none"/>
        </w:rPr>
      </w:pPr>
      <w:r>
        <w:rPr>
          <w:rFonts w:hint="eastAsia" w:ascii="宋体" w:hAnsi="宋体" w:cs="宋体"/>
          <w:color w:val="auto"/>
          <w:spacing w:val="3"/>
          <w:szCs w:val="21"/>
          <w:highlight w:val="none"/>
        </w:rPr>
        <w:t>1、服务名称：</w:t>
      </w:r>
      <w:r>
        <w:rPr>
          <w:rFonts w:hint="eastAsia" w:ascii="宋体" w:hAnsi="宋体" w:cs="宋体"/>
          <w:color w:val="auto"/>
          <w:spacing w:val="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pacing w:val="3"/>
          <w:szCs w:val="21"/>
          <w:highlight w:val="none"/>
        </w:rPr>
        <w:t>。</w:t>
      </w:r>
    </w:p>
    <w:p w14:paraId="1F4AC8BD">
      <w:pPr>
        <w:pStyle w:val="18"/>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2、服务数量：</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w:t>
      </w:r>
    </w:p>
    <w:p w14:paraId="3AA06556">
      <w:pPr>
        <w:pStyle w:val="18"/>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3、服务内容：</w:t>
      </w:r>
    </w:p>
    <w:tbl>
      <w:tblPr>
        <w:tblStyle w:val="216"/>
        <w:tblW w:w="87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3341"/>
        <w:gridCol w:w="708"/>
        <w:gridCol w:w="850"/>
        <w:gridCol w:w="1558"/>
        <w:gridCol w:w="1590"/>
      </w:tblGrid>
      <w:tr w14:paraId="35B54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22" w:type="dxa"/>
            <w:vAlign w:val="center"/>
          </w:tcPr>
          <w:p w14:paraId="0E04E00D">
            <w:pPr>
              <w:pStyle w:val="215"/>
              <w:spacing w:line="360" w:lineRule="auto"/>
              <w:jc w:val="center"/>
              <w:rPr>
                <w:color w:val="auto"/>
                <w:sz w:val="21"/>
                <w:szCs w:val="21"/>
                <w:highlight w:val="none"/>
              </w:rPr>
            </w:pPr>
            <w:r>
              <w:rPr>
                <w:rFonts w:hint="eastAsia"/>
                <w:color w:val="auto"/>
                <w:spacing w:val="4"/>
                <w:sz w:val="21"/>
                <w:szCs w:val="21"/>
                <w:highlight w:val="none"/>
              </w:rPr>
              <w:t>序号</w:t>
            </w:r>
          </w:p>
        </w:tc>
        <w:tc>
          <w:tcPr>
            <w:tcW w:w="3341" w:type="dxa"/>
            <w:vAlign w:val="center"/>
          </w:tcPr>
          <w:p w14:paraId="5A6E8535">
            <w:pPr>
              <w:pStyle w:val="215"/>
              <w:spacing w:line="360" w:lineRule="auto"/>
              <w:jc w:val="center"/>
              <w:rPr>
                <w:color w:val="auto"/>
                <w:sz w:val="21"/>
                <w:szCs w:val="21"/>
                <w:highlight w:val="none"/>
              </w:rPr>
            </w:pPr>
            <w:r>
              <w:rPr>
                <w:rFonts w:hint="eastAsia"/>
                <w:color w:val="auto"/>
                <w:spacing w:val="6"/>
                <w:sz w:val="21"/>
                <w:szCs w:val="21"/>
                <w:highlight w:val="none"/>
              </w:rPr>
              <w:t>服务内容</w:t>
            </w:r>
          </w:p>
        </w:tc>
        <w:tc>
          <w:tcPr>
            <w:tcW w:w="708" w:type="dxa"/>
            <w:vAlign w:val="center"/>
          </w:tcPr>
          <w:p w14:paraId="58B8212F">
            <w:pPr>
              <w:pStyle w:val="215"/>
              <w:spacing w:line="360" w:lineRule="auto"/>
              <w:jc w:val="center"/>
              <w:rPr>
                <w:color w:val="auto"/>
                <w:sz w:val="21"/>
                <w:szCs w:val="21"/>
                <w:highlight w:val="none"/>
              </w:rPr>
            </w:pPr>
            <w:r>
              <w:rPr>
                <w:rFonts w:hint="eastAsia"/>
                <w:color w:val="auto"/>
                <w:spacing w:val="3"/>
                <w:sz w:val="21"/>
                <w:szCs w:val="21"/>
                <w:highlight w:val="none"/>
              </w:rPr>
              <w:t>数量</w:t>
            </w:r>
          </w:p>
        </w:tc>
        <w:tc>
          <w:tcPr>
            <w:tcW w:w="850" w:type="dxa"/>
            <w:vAlign w:val="center"/>
          </w:tcPr>
          <w:p w14:paraId="458F25B0">
            <w:pPr>
              <w:pStyle w:val="215"/>
              <w:spacing w:line="360" w:lineRule="auto"/>
              <w:jc w:val="center"/>
              <w:rPr>
                <w:color w:val="auto"/>
                <w:sz w:val="21"/>
                <w:szCs w:val="21"/>
                <w:highlight w:val="none"/>
              </w:rPr>
            </w:pPr>
            <w:r>
              <w:rPr>
                <w:rFonts w:hint="eastAsia"/>
                <w:color w:val="auto"/>
                <w:spacing w:val="3"/>
                <w:sz w:val="21"/>
                <w:szCs w:val="21"/>
                <w:highlight w:val="none"/>
              </w:rPr>
              <w:t>单位</w:t>
            </w:r>
          </w:p>
        </w:tc>
        <w:tc>
          <w:tcPr>
            <w:tcW w:w="1558" w:type="dxa"/>
            <w:vAlign w:val="center"/>
          </w:tcPr>
          <w:p w14:paraId="78308CDE">
            <w:pPr>
              <w:pStyle w:val="215"/>
              <w:spacing w:line="360" w:lineRule="auto"/>
              <w:jc w:val="center"/>
              <w:rPr>
                <w:color w:val="auto"/>
                <w:sz w:val="21"/>
                <w:szCs w:val="21"/>
                <w:highlight w:val="none"/>
              </w:rPr>
            </w:pPr>
            <w:r>
              <w:rPr>
                <w:rFonts w:hint="eastAsia"/>
                <w:color w:val="auto"/>
                <w:spacing w:val="-2"/>
                <w:sz w:val="21"/>
                <w:szCs w:val="21"/>
                <w:highlight w:val="none"/>
              </w:rPr>
              <w:t>单价（元）</w:t>
            </w:r>
          </w:p>
        </w:tc>
        <w:tc>
          <w:tcPr>
            <w:tcW w:w="1590" w:type="dxa"/>
            <w:vAlign w:val="center"/>
          </w:tcPr>
          <w:p w14:paraId="5C4C4520">
            <w:pPr>
              <w:pStyle w:val="215"/>
              <w:spacing w:line="360" w:lineRule="auto"/>
              <w:jc w:val="center"/>
              <w:rPr>
                <w:color w:val="auto"/>
                <w:sz w:val="21"/>
                <w:szCs w:val="21"/>
                <w:highlight w:val="none"/>
              </w:rPr>
            </w:pPr>
            <w:r>
              <w:rPr>
                <w:rFonts w:hint="eastAsia"/>
                <w:color w:val="auto"/>
                <w:spacing w:val="4"/>
                <w:sz w:val="21"/>
                <w:szCs w:val="21"/>
                <w:highlight w:val="none"/>
              </w:rPr>
              <w:t>合价（元）</w:t>
            </w:r>
          </w:p>
        </w:tc>
      </w:tr>
      <w:tr w14:paraId="57BD2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22" w:type="dxa"/>
            <w:vAlign w:val="center"/>
          </w:tcPr>
          <w:p w14:paraId="6D4FF68F">
            <w:pPr>
              <w:pStyle w:val="215"/>
              <w:spacing w:line="360" w:lineRule="auto"/>
              <w:jc w:val="center"/>
              <w:rPr>
                <w:color w:val="auto"/>
                <w:sz w:val="21"/>
                <w:szCs w:val="21"/>
                <w:highlight w:val="none"/>
              </w:rPr>
            </w:pPr>
            <w:r>
              <w:rPr>
                <w:rFonts w:hint="eastAsia"/>
                <w:color w:val="auto"/>
                <w:sz w:val="21"/>
                <w:szCs w:val="21"/>
                <w:highlight w:val="none"/>
              </w:rPr>
              <w:t>1</w:t>
            </w:r>
          </w:p>
        </w:tc>
        <w:tc>
          <w:tcPr>
            <w:tcW w:w="3341" w:type="dxa"/>
            <w:vAlign w:val="center"/>
          </w:tcPr>
          <w:p w14:paraId="747C9C98">
            <w:pPr>
              <w:spacing w:line="360" w:lineRule="auto"/>
              <w:jc w:val="center"/>
              <w:rPr>
                <w:rFonts w:ascii="宋体" w:hAnsi="宋体" w:cs="宋体"/>
                <w:color w:val="auto"/>
                <w:szCs w:val="21"/>
                <w:highlight w:val="none"/>
              </w:rPr>
            </w:pPr>
          </w:p>
        </w:tc>
        <w:tc>
          <w:tcPr>
            <w:tcW w:w="708" w:type="dxa"/>
            <w:vAlign w:val="center"/>
          </w:tcPr>
          <w:p w14:paraId="7940C980">
            <w:pPr>
              <w:spacing w:line="360" w:lineRule="auto"/>
              <w:jc w:val="center"/>
              <w:rPr>
                <w:rFonts w:ascii="宋体" w:hAnsi="宋体" w:cs="宋体"/>
                <w:color w:val="auto"/>
                <w:szCs w:val="21"/>
                <w:highlight w:val="none"/>
              </w:rPr>
            </w:pPr>
          </w:p>
        </w:tc>
        <w:tc>
          <w:tcPr>
            <w:tcW w:w="850" w:type="dxa"/>
            <w:vAlign w:val="center"/>
          </w:tcPr>
          <w:p w14:paraId="19214A9C">
            <w:pPr>
              <w:spacing w:line="360" w:lineRule="auto"/>
              <w:jc w:val="center"/>
              <w:rPr>
                <w:rFonts w:ascii="宋体" w:hAnsi="宋体" w:cs="宋体"/>
                <w:color w:val="auto"/>
                <w:szCs w:val="21"/>
                <w:highlight w:val="none"/>
              </w:rPr>
            </w:pPr>
          </w:p>
        </w:tc>
        <w:tc>
          <w:tcPr>
            <w:tcW w:w="1558" w:type="dxa"/>
            <w:vAlign w:val="center"/>
          </w:tcPr>
          <w:p w14:paraId="3D5C365F">
            <w:pPr>
              <w:spacing w:line="360" w:lineRule="auto"/>
              <w:jc w:val="center"/>
              <w:rPr>
                <w:rFonts w:ascii="宋体" w:hAnsi="宋体" w:cs="宋体"/>
                <w:color w:val="auto"/>
                <w:szCs w:val="21"/>
                <w:highlight w:val="none"/>
              </w:rPr>
            </w:pPr>
          </w:p>
        </w:tc>
        <w:tc>
          <w:tcPr>
            <w:tcW w:w="1590" w:type="dxa"/>
            <w:vAlign w:val="center"/>
          </w:tcPr>
          <w:p w14:paraId="5932D93F">
            <w:pPr>
              <w:spacing w:line="360" w:lineRule="auto"/>
              <w:jc w:val="center"/>
              <w:rPr>
                <w:rFonts w:ascii="宋体" w:hAnsi="宋体" w:cs="宋体"/>
                <w:color w:val="auto"/>
                <w:szCs w:val="21"/>
                <w:highlight w:val="none"/>
              </w:rPr>
            </w:pPr>
          </w:p>
        </w:tc>
      </w:tr>
      <w:tr w14:paraId="5BF4C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769" w:type="dxa"/>
            <w:gridSpan w:val="6"/>
            <w:vAlign w:val="center"/>
          </w:tcPr>
          <w:p w14:paraId="040F3979">
            <w:pPr>
              <w:pStyle w:val="215"/>
              <w:spacing w:line="360" w:lineRule="auto"/>
              <w:rPr>
                <w:color w:val="auto"/>
                <w:sz w:val="21"/>
                <w:szCs w:val="21"/>
                <w:highlight w:val="none"/>
                <w:lang w:eastAsia="zh-CN"/>
              </w:rPr>
            </w:pPr>
            <w:r>
              <w:rPr>
                <w:rFonts w:hint="eastAsia"/>
                <w:color w:val="auto"/>
                <w:spacing w:val="6"/>
                <w:sz w:val="21"/>
                <w:szCs w:val="21"/>
                <w:highlight w:val="none"/>
                <w:lang w:eastAsia="zh-CN"/>
              </w:rPr>
              <w:t>成交金额（人民币大写</w:t>
            </w:r>
            <w:r>
              <w:rPr>
                <w:rFonts w:hint="eastAsia"/>
                <w:color w:val="auto"/>
                <w:spacing w:val="8"/>
                <w:sz w:val="21"/>
                <w:szCs w:val="21"/>
                <w:highlight w:val="none"/>
                <w:lang w:eastAsia="zh-CN"/>
              </w:rPr>
              <w:t>）：</w:t>
            </w:r>
            <w:r>
              <w:rPr>
                <w:rFonts w:hint="eastAsia"/>
                <w:color w:val="auto"/>
                <w:sz w:val="21"/>
                <w:szCs w:val="21"/>
                <w:highlight w:val="none"/>
                <w:lang w:eastAsia="zh-CN"/>
              </w:rPr>
              <w:t xml:space="preserve">                    </w:t>
            </w:r>
            <w:r>
              <w:rPr>
                <w:rFonts w:hint="eastAsia"/>
                <w:color w:val="auto"/>
                <w:spacing w:val="6"/>
                <w:sz w:val="21"/>
                <w:szCs w:val="21"/>
                <w:highlight w:val="none"/>
                <w:lang w:eastAsia="zh-CN"/>
              </w:rPr>
              <w:t>(¥</w:t>
            </w:r>
            <w:r>
              <w:rPr>
                <w:rFonts w:hint="eastAsia"/>
                <w:color w:val="auto"/>
                <w:spacing w:val="9"/>
                <w:sz w:val="21"/>
                <w:szCs w:val="21"/>
                <w:highlight w:val="none"/>
                <w:lang w:eastAsia="zh-CN"/>
              </w:rPr>
              <w:t xml:space="preserve">           </w:t>
            </w:r>
            <w:r>
              <w:rPr>
                <w:rFonts w:hint="eastAsia"/>
                <w:color w:val="auto"/>
                <w:spacing w:val="6"/>
                <w:sz w:val="21"/>
                <w:szCs w:val="21"/>
                <w:highlight w:val="none"/>
                <w:lang w:eastAsia="zh-CN"/>
              </w:rPr>
              <w:t>)</w:t>
            </w:r>
          </w:p>
        </w:tc>
      </w:tr>
    </w:tbl>
    <w:p w14:paraId="76BDC608">
      <w:pPr>
        <w:pStyle w:val="18"/>
        <w:spacing w:after="0" w:line="360" w:lineRule="auto"/>
        <w:ind w:firstLine="446" w:firstLineChars="200"/>
        <w:outlineLvl w:val="1"/>
        <w:rPr>
          <w:rFonts w:ascii="宋体" w:hAnsi="宋体" w:cs="宋体"/>
          <w:color w:val="auto"/>
          <w:szCs w:val="21"/>
          <w:highlight w:val="none"/>
        </w:rPr>
      </w:pPr>
      <w:r>
        <w:rPr>
          <w:rFonts w:hint="eastAsia" w:ascii="宋体" w:hAnsi="宋体" w:cs="宋体"/>
          <w:b/>
          <w:bCs/>
          <w:color w:val="auto"/>
          <w:spacing w:val="6"/>
          <w:szCs w:val="21"/>
          <w:highlight w:val="none"/>
        </w:rPr>
        <w:t xml:space="preserve">第二条  </w:t>
      </w:r>
      <w:r>
        <w:rPr>
          <w:rFonts w:hint="eastAsia" w:ascii="宋体" w:hAnsi="宋体" w:cs="宋体"/>
          <w:color w:val="auto"/>
          <w:spacing w:val="6"/>
          <w:szCs w:val="21"/>
          <w:highlight w:val="none"/>
        </w:rPr>
        <w:t>合同金额</w:t>
      </w:r>
    </w:p>
    <w:p w14:paraId="0BF27E0C">
      <w:pPr>
        <w:pStyle w:val="18"/>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本项目合同金额人民币</w:t>
      </w:r>
      <w:r>
        <w:rPr>
          <w:rFonts w:hint="eastAsia" w:ascii="宋体" w:hAnsi="宋体" w:cs="宋体"/>
          <w:color w:val="auto"/>
          <w:spacing w:val="-98"/>
          <w:szCs w:val="21"/>
          <w:highlight w:val="none"/>
        </w:rPr>
        <w:t xml:space="preserve"> </w:t>
      </w:r>
      <w:r>
        <w:rPr>
          <w:rFonts w:hint="eastAsia" w:ascii="宋体" w:hAnsi="宋体" w:cs="宋体"/>
          <w:color w:val="auto"/>
          <w:spacing w:val="6"/>
          <w:szCs w:val="21"/>
          <w:highlight w:val="none"/>
          <w:u w:val="single"/>
        </w:rPr>
        <w:t xml:space="preserve">                         </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w:t>
      </w:r>
    </w:p>
    <w:p w14:paraId="05361316">
      <w:pPr>
        <w:pStyle w:val="18"/>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该合同金额已包含但不限于本次采购范围内所有服务价款、技术工作费、人工费、材料费、出图费、差旅费、调研费、培训费、管理费、设备、劳务、保险、利润及税金、政策性规定费用及所有风险责任等所有费用，供应商综合考虑在报价中；</w:t>
      </w:r>
      <w:r>
        <w:rPr>
          <w:rFonts w:hint="eastAsia" w:ascii="宋体" w:hAnsi="宋体" w:cs="宋体"/>
          <w:color w:val="auto"/>
          <w:spacing w:val="8"/>
          <w:szCs w:val="21"/>
          <w:highlight w:val="none"/>
          <w:lang w:val="en-US" w:eastAsia="zh-CN"/>
        </w:rPr>
        <w:t>甲方</w:t>
      </w:r>
      <w:r>
        <w:rPr>
          <w:rFonts w:hint="eastAsia" w:ascii="宋体" w:hAnsi="宋体" w:cs="宋体"/>
          <w:color w:val="auto"/>
          <w:spacing w:val="8"/>
          <w:szCs w:val="21"/>
          <w:highlight w:val="none"/>
        </w:rPr>
        <w:t>不再支付</w:t>
      </w:r>
      <w:r>
        <w:rPr>
          <w:rFonts w:hint="eastAsia" w:ascii="宋体" w:hAnsi="宋体" w:cs="宋体"/>
          <w:color w:val="auto"/>
          <w:spacing w:val="8"/>
          <w:szCs w:val="21"/>
          <w:highlight w:val="none"/>
          <w:lang w:eastAsia="zh-CN"/>
        </w:rPr>
        <w:t>其他</w:t>
      </w:r>
      <w:r>
        <w:rPr>
          <w:rFonts w:hint="eastAsia" w:ascii="宋体" w:hAnsi="宋体" w:cs="宋体"/>
          <w:color w:val="auto"/>
          <w:spacing w:val="8"/>
          <w:szCs w:val="21"/>
          <w:highlight w:val="none"/>
        </w:rPr>
        <w:t>任何费用</w:t>
      </w:r>
      <w:r>
        <w:rPr>
          <w:rFonts w:hint="eastAsia" w:ascii="宋体" w:hAnsi="宋体" w:cs="宋体"/>
          <w:color w:val="auto"/>
          <w:spacing w:val="9"/>
          <w:szCs w:val="21"/>
          <w:highlight w:val="none"/>
        </w:rPr>
        <w:t>。</w:t>
      </w:r>
    </w:p>
    <w:p w14:paraId="78DA4FC6">
      <w:pPr>
        <w:pStyle w:val="18"/>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第三条 </w:t>
      </w:r>
      <w:r>
        <w:rPr>
          <w:rFonts w:hint="eastAsia" w:ascii="宋体" w:hAnsi="宋体" w:cs="宋体"/>
          <w:color w:val="auto"/>
          <w:spacing w:val="7"/>
          <w:szCs w:val="21"/>
          <w:highlight w:val="none"/>
        </w:rPr>
        <w:t xml:space="preserve"> 服务期限及地点</w:t>
      </w:r>
    </w:p>
    <w:p w14:paraId="77F2D734">
      <w:pPr>
        <w:pStyle w:val="18"/>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1、合同履行期限</w:t>
      </w:r>
      <w:r>
        <w:rPr>
          <w:rFonts w:hint="eastAsia" w:ascii="宋体" w:hAnsi="宋体" w:cs="宋体"/>
          <w:color w:val="auto"/>
          <w:spacing w:val="8"/>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pacing w:val="8"/>
          <w:szCs w:val="21"/>
          <w:highlight w:val="none"/>
        </w:rPr>
        <w:t>；</w:t>
      </w:r>
    </w:p>
    <w:p w14:paraId="0ABE1626">
      <w:pPr>
        <w:pStyle w:val="18"/>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2、服务地点</w:t>
      </w:r>
      <w:r>
        <w:rPr>
          <w:rFonts w:hint="eastAsia" w:ascii="宋体" w:hAnsi="宋体" w:cs="宋体"/>
          <w:color w:val="auto"/>
          <w:spacing w:val="6"/>
          <w:szCs w:val="21"/>
          <w:highlight w:val="none"/>
        </w:rPr>
        <w:t>：</w:t>
      </w:r>
      <w:r>
        <w:rPr>
          <w:rFonts w:hint="eastAsia" w:ascii="宋体" w:hAnsi="宋体" w:cs="宋体"/>
          <w:color w:val="auto"/>
          <w:spacing w:val="2"/>
          <w:szCs w:val="21"/>
          <w:highlight w:val="none"/>
          <w:u w:val="single"/>
        </w:rPr>
        <w:t xml:space="preserve">                                 </w:t>
      </w:r>
      <w:r>
        <w:rPr>
          <w:rFonts w:hint="eastAsia" w:ascii="宋体" w:hAnsi="宋体" w:cs="宋体"/>
          <w:color w:val="auto"/>
          <w:spacing w:val="17"/>
          <w:szCs w:val="21"/>
          <w:highlight w:val="none"/>
        </w:rPr>
        <w:t xml:space="preserve"> </w:t>
      </w:r>
      <w:r>
        <w:rPr>
          <w:rFonts w:hint="eastAsia" w:ascii="宋体" w:hAnsi="宋体" w:cs="宋体"/>
          <w:color w:val="auto"/>
          <w:spacing w:val="6"/>
          <w:szCs w:val="21"/>
          <w:highlight w:val="none"/>
        </w:rPr>
        <w:t>；</w:t>
      </w:r>
    </w:p>
    <w:p w14:paraId="7AE5E1EF">
      <w:pPr>
        <w:pStyle w:val="18"/>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3、乙方所提供的服务必须与采购文件和承诺相一致且符合相应的服务规范及标准。</w:t>
      </w:r>
    </w:p>
    <w:p w14:paraId="0737AF9F">
      <w:pPr>
        <w:pStyle w:val="18"/>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第四条  </w:t>
      </w:r>
      <w:r>
        <w:rPr>
          <w:rFonts w:hint="eastAsia" w:ascii="宋体" w:hAnsi="宋体" w:cs="宋体"/>
          <w:color w:val="auto"/>
          <w:spacing w:val="7"/>
          <w:szCs w:val="21"/>
          <w:highlight w:val="none"/>
        </w:rPr>
        <w:t>售后服务、质保期</w:t>
      </w:r>
    </w:p>
    <w:p w14:paraId="57A16166">
      <w:pPr>
        <w:pStyle w:val="18"/>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1、乙方应按照国家有关法律法规和“三包</w:t>
      </w:r>
      <w:r>
        <w:rPr>
          <w:rFonts w:hint="eastAsia" w:ascii="宋体" w:hAnsi="宋体" w:cs="宋体"/>
          <w:color w:val="auto"/>
          <w:spacing w:val="-70"/>
          <w:szCs w:val="21"/>
          <w:highlight w:val="none"/>
        </w:rPr>
        <w:t xml:space="preserve"> </w:t>
      </w:r>
      <w:r>
        <w:rPr>
          <w:rFonts w:hint="eastAsia" w:ascii="宋体" w:hAnsi="宋体" w:cs="宋体"/>
          <w:color w:val="auto"/>
          <w:spacing w:val="10"/>
          <w:szCs w:val="21"/>
          <w:highlight w:val="none"/>
        </w:rPr>
        <w:t>”规定以及采</w:t>
      </w:r>
      <w:r>
        <w:rPr>
          <w:rFonts w:hint="eastAsia" w:ascii="宋体" w:hAnsi="宋体" w:cs="宋体"/>
          <w:color w:val="auto"/>
          <w:spacing w:val="9"/>
          <w:szCs w:val="21"/>
          <w:highlight w:val="none"/>
        </w:rPr>
        <w:t>购文件、响应文件和本合同所附的</w:t>
      </w:r>
      <w:r>
        <w:rPr>
          <w:rFonts w:hint="eastAsia" w:ascii="宋体" w:hAnsi="宋体" w:cs="宋体"/>
          <w:color w:val="auto"/>
          <w:szCs w:val="21"/>
          <w:highlight w:val="none"/>
        </w:rPr>
        <w:t xml:space="preserve"> </w:t>
      </w:r>
      <w:r>
        <w:rPr>
          <w:rFonts w:hint="eastAsia" w:ascii="宋体" w:hAnsi="宋体" w:cs="宋体"/>
          <w:color w:val="auto"/>
          <w:spacing w:val="8"/>
          <w:szCs w:val="21"/>
          <w:highlight w:val="none"/>
        </w:rPr>
        <w:t>《服务承诺》，为甲方提供售后服务。</w:t>
      </w:r>
    </w:p>
    <w:p w14:paraId="743B3627">
      <w:pPr>
        <w:pStyle w:val="18"/>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2、乙方提供的服务承诺、质保期及其他具体约定事项。（见合同附件）</w:t>
      </w:r>
    </w:p>
    <w:p w14:paraId="4DA0521E">
      <w:pPr>
        <w:pStyle w:val="18"/>
        <w:spacing w:after="0" w:line="360" w:lineRule="auto"/>
        <w:ind w:firstLine="446" w:firstLineChars="200"/>
        <w:outlineLvl w:val="1"/>
        <w:rPr>
          <w:rFonts w:ascii="宋体" w:hAnsi="宋体" w:cs="宋体"/>
          <w:b/>
          <w:bCs/>
          <w:color w:val="auto"/>
          <w:szCs w:val="21"/>
          <w:highlight w:val="none"/>
        </w:rPr>
      </w:pPr>
      <w:r>
        <w:rPr>
          <w:rFonts w:hint="eastAsia" w:ascii="宋体" w:hAnsi="宋体" w:cs="宋体"/>
          <w:b/>
          <w:bCs/>
          <w:color w:val="auto"/>
          <w:spacing w:val="6"/>
          <w:szCs w:val="21"/>
          <w:highlight w:val="none"/>
        </w:rPr>
        <w:t xml:space="preserve">第五条 </w:t>
      </w:r>
      <w:r>
        <w:rPr>
          <w:rFonts w:hint="eastAsia" w:ascii="宋体" w:hAnsi="宋体" w:cs="宋体"/>
          <w:color w:val="auto"/>
          <w:spacing w:val="6"/>
          <w:szCs w:val="21"/>
          <w:highlight w:val="none"/>
        </w:rPr>
        <w:t xml:space="preserve"> 付款方式</w:t>
      </w:r>
    </w:p>
    <w:p w14:paraId="539AEF89">
      <w:pPr>
        <w:pStyle w:val="18"/>
        <w:spacing w:after="0" w:line="360" w:lineRule="auto"/>
        <w:ind w:firstLine="416" w:firstLineChars="200"/>
        <w:rPr>
          <w:rFonts w:ascii="宋体" w:hAnsi="宋体" w:cs="宋体"/>
          <w:color w:val="auto"/>
          <w:szCs w:val="21"/>
          <w:highlight w:val="none"/>
        </w:rPr>
      </w:pPr>
      <w:r>
        <w:rPr>
          <w:rFonts w:hint="eastAsia" w:ascii="宋体" w:hAnsi="宋体" w:cs="宋体"/>
          <w:color w:val="auto"/>
          <w:spacing w:val="-1"/>
          <w:szCs w:val="21"/>
          <w:highlight w:val="none"/>
          <w:u w:val="single"/>
          <w:lang w:val="en-US" w:eastAsia="zh-CN"/>
        </w:rPr>
        <w:t xml:space="preserve">          </w:t>
      </w:r>
      <w:r>
        <w:rPr>
          <w:rFonts w:hint="eastAsia" w:ascii="宋体" w:hAnsi="宋体" w:cs="宋体"/>
          <w:color w:val="auto"/>
          <w:spacing w:val="-1"/>
          <w:szCs w:val="21"/>
          <w:highlight w:val="none"/>
        </w:rPr>
        <w:t>。</w:t>
      </w:r>
    </w:p>
    <w:p w14:paraId="2AEBEDF4">
      <w:pPr>
        <w:pStyle w:val="18"/>
        <w:spacing w:after="0" w:line="360" w:lineRule="auto"/>
        <w:ind w:firstLine="446" w:firstLineChars="200"/>
        <w:rPr>
          <w:rFonts w:ascii="宋体" w:hAnsi="宋体" w:cs="宋体"/>
          <w:color w:val="auto"/>
          <w:szCs w:val="21"/>
          <w:highlight w:val="none"/>
        </w:rPr>
      </w:pPr>
      <w:r>
        <w:rPr>
          <w:rFonts w:hint="eastAsia" w:ascii="宋体" w:hAnsi="宋体" w:cs="宋体"/>
          <w:b/>
          <w:bCs/>
          <w:color w:val="auto"/>
          <w:spacing w:val="6"/>
          <w:szCs w:val="21"/>
          <w:highlight w:val="none"/>
        </w:rPr>
        <w:t>第六条</w:t>
      </w:r>
      <w:r>
        <w:rPr>
          <w:rFonts w:hint="eastAsia" w:ascii="宋体" w:hAnsi="宋体" w:cs="宋体"/>
          <w:color w:val="auto"/>
          <w:spacing w:val="6"/>
          <w:szCs w:val="21"/>
          <w:highlight w:val="none"/>
        </w:rPr>
        <w:t xml:space="preserve">  履约保证金：</w:t>
      </w:r>
      <w:r>
        <w:rPr>
          <w:rFonts w:hint="eastAsia" w:ascii="宋体" w:hAnsi="宋体" w:cs="宋体"/>
          <w:color w:val="auto"/>
          <w:spacing w:val="7"/>
          <w:szCs w:val="21"/>
          <w:highlight w:val="none"/>
          <w:u w:val="single"/>
        </w:rPr>
        <w:t xml:space="preserve">    </w:t>
      </w:r>
      <w:r>
        <w:rPr>
          <w:rFonts w:hint="eastAsia" w:ascii="宋体" w:hAnsi="宋体" w:cs="宋体"/>
          <w:color w:val="auto"/>
          <w:spacing w:val="6"/>
          <w:szCs w:val="21"/>
          <w:highlight w:val="none"/>
          <w:u w:val="single"/>
        </w:rPr>
        <w:t>/</w:t>
      </w:r>
      <w:r>
        <w:rPr>
          <w:rFonts w:hint="eastAsia" w:ascii="宋体" w:hAnsi="宋体" w:cs="宋体"/>
          <w:color w:val="auto"/>
          <w:szCs w:val="21"/>
          <w:highlight w:val="none"/>
          <w:u w:val="single"/>
        </w:rPr>
        <w:t xml:space="preserve">      </w:t>
      </w:r>
    </w:p>
    <w:p w14:paraId="776F36EF">
      <w:pPr>
        <w:pStyle w:val="18"/>
        <w:spacing w:after="0" w:line="360" w:lineRule="auto"/>
        <w:ind w:firstLine="450" w:firstLineChars="200"/>
        <w:rPr>
          <w:rFonts w:hint="eastAsia" w:ascii="宋体" w:hAnsi="宋体" w:cs="宋体"/>
          <w:color w:val="auto"/>
          <w:szCs w:val="21"/>
          <w:highlight w:val="none"/>
        </w:rPr>
      </w:pPr>
      <w:r>
        <w:rPr>
          <w:rFonts w:hint="eastAsia" w:ascii="宋体" w:hAnsi="宋体" w:cs="宋体"/>
          <w:b/>
          <w:bCs/>
          <w:color w:val="auto"/>
          <w:spacing w:val="7"/>
          <w:szCs w:val="21"/>
          <w:highlight w:val="none"/>
        </w:rPr>
        <w:t>第七条</w:t>
      </w:r>
      <w:r>
        <w:rPr>
          <w:rFonts w:hint="eastAsia" w:ascii="宋体" w:hAnsi="宋体" w:cs="宋体"/>
          <w:color w:val="auto"/>
          <w:spacing w:val="7"/>
          <w:szCs w:val="21"/>
          <w:highlight w:val="none"/>
        </w:rPr>
        <w:t xml:space="preserve">  税费本合同执行中相关的一切税费均由乙</w:t>
      </w:r>
      <w:r>
        <w:rPr>
          <w:rFonts w:hint="eastAsia" w:ascii="宋体" w:hAnsi="宋体" w:cs="宋体"/>
          <w:color w:val="auto"/>
          <w:spacing w:val="6"/>
          <w:szCs w:val="21"/>
          <w:highlight w:val="none"/>
        </w:rPr>
        <w:t>方负担。</w:t>
      </w:r>
      <w:r>
        <w:rPr>
          <w:rFonts w:hint="eastAsia" w:ascii="宋体" w:hAnsi="宋体" w:cs="宋体"/>
          <w:color w:val="auto"/>
          <w:szCs w:val="21"/>
          <w:highlight w:val="none"/>
        </w:rPr>
        <w:t xml:space="preserve"> </w:t>
      </w:r>
    </w:p>
    <w:p w14:paraId="0323DE2D">
      <w:pPr>
        <w:pStyle w:val="18"/>
        <w:spacing w:after="0" w:line="360" w:lineRule="auto"/>
        <w:ind w:firstLine="450" w:firstLineChars="200"/>
        <w:rPr>
          <w:rFonts w:ascii="宋体" w:hAnsi="宋体" w:cs="宋体"/>
          <w:color w:val="auto"/>
          <w:szCs w:val="21"/>
          <w:highlight w:val="none"/>
        </w:rPr>
      </w:pPr>
      <w:r>
        <w:rPr>
          <w:rFonts w:hint="eastAsia" w:ascii="宋体" w:hAnsi="宋体" w:cs="宋体"/>
          <w:b/>
          <w:bCs/>
          <w:color w:val="auto"/>
          <w:spacing w:val="7"/>
          <w:szCs w:val="21"/>
          <w:highlight w:val="none"/>
        </w:rPr>
        <w:t>第八条</w:t>
      </w:r>
      <w:r>
        <w:rPr>
          <w:rFonts w:hint="eastAsia" w:ascii="宋体" w:hAnsi="宋体" w:cs="宋体"/>
          <w:color w:val="auto"/>
          <w:spacing w:val="9"/>
          <w:szCs w:val="21"/>
          <w:highlight w:val="none"/>
        </w:rPr>
        <w:t xml:space="preserve">  </w:t>
      </w:r>
      <w:r>
        <w:rPr>
          <w:rFonts w:hint="eastAsia" w:ascii="宋体" w:hAnsi="宋体" w:cs="宋体"/>
          <w:color w:val="auto"/>
          <w:spacing w:val="5"/>
          <w:szCs w:val="21"/>
          <w:highlight w:val="none"/>
        </w:rPr>
        <w:t>验收</w:t>
      </w:r>
    </w:p>
    <w:p w14:paraId="63057305">
      <w:pPr>
        <w:pStyle w:val="18"/>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1.甲方对乙方提交的服务依据采购文件上的服务要求和国家有关质量标准进行现场初步验收，符合采购文件技术要求的，给予签收，初步验收不合格的不予签收。甲方应当在服务期满十</w:t>
      </w:r>
      <w:r>
        <w:rPr>
          <w:rFonts w:hint="eastAsia" w:ascii="宋体" w:hAnsi="宋体" w:cs="宋体"/>
          <w:color w:val="auto"/>
          <w:spacing w:val="7"/>
          <w:szCs w:val="21"/>
          <w:highlight w:val="none"/>
        </w:rPr>
        <w:t>五个工作日内进行验收。</w:t>
      </w:r>
    </w:p>
    <w:p w14:paraId="0CE7708A">
      <w:pPr>
        <w:pStyle w:val="18"/>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2.乙方提交服务成果前应对提交的服务成果作出全面检查和对验收文件</w:t>
      </w:r>
      <w:r>
        <w:rPr>
          <w:rFonts w:hint="eastAsia" w:ascii="宋体" w:hAnsi="宋体" w:cs="宋体"/>
          <w:color w:val="auto"/>
          <w:spacing w:val="9"/>
          <w:szCs w:val="21"/>
          <w:highlight w:val="none"/>
        </w:rPr>
        <w:t>进行整理，并列出清单，作为甲方验收和使用的技术条件依据，检验的结果应随服务成果交给甲方。</w:t>
      </w:r>
    </w:p>
    <w:p w14:paraId="6BC810B3">
      <w:pPr>
        <w:pStyle w:val="18"/>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3.对技术复杂的服务，甲方应请国家认可的专业检测机构参与初步验收及最终验收，并由</w:t>
      </w:r>
      <w:r>
        <w:rPr>
          <w:rFonts w:hint="eastAsia" w:ascii="宋体" w:hAnsi="宋体" w:cs="宋体"/>
          <w:color w:val="auto"/>
          <w:spacing w:val="7"/>
          <w:szCs w:val="21"/>
          <w:highlight w:val="none"/>
        </w:rPr>
        <w:t>其出具质量检测报告。</w:t>
      </w:r>
    </w:p>
    <w:p w14:paraId="4B9D5256">
      <w:pPr>
        <w:pStyle w:val="18"/>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4.验收时乙方必须在现场，验收完毕后做出验收结果报告；验收费用由乙方负责。</w:t>
      </w:r>
    </w:p>
    <w:p w14:paraId="21D9248E">
      <w:pPr>
        <w:pStyle w:val="18"/>
        <w:spacing w:after="0" w:line="360" w:lineRule="auto"/>
        <w:ind w:firstLine="446" w:firstLineChars="200"/>
        <w:outlineLvl w:val="1"/>
        <w:rPr>
          <w:rFonts w:ascii="宋体" w:hAnsi="宋体" w:cs="宋体"/>
          <w:color w:val="auto"/>
          <w:szCs w:val="21"/>
          <w:highlight w:val="none"/>
        </w:rPr>
      </w:pPr>
      <w:r>
        <w:rPr>
          <w:rFonts w:hint="eastAsia" w:ascii="宋体" w:hAnsi="宋体" w:cs="宋体"/>
          <w:b/>
          <w:bCs/>
          <w:color w:val="auto"/>
          <w:spacing w:val="6"/>
          <w:szCs w:val="21"/>
          <w:highlight w:val="none"/>
        </w:rPr>
        <w:t>第九条</w:t>
      </w:r>
      <w:r>
        <w:rPr>
          <w:rFonts w:hint="eastAsia" w:ascii="宋体" w:hAnsi="宋体" w:cs="宋体"/>
          <w:color w:val="auto"/>
          <w:spacing w:val="6"/>
          <w:szCs w:val="21"/>
          <w:highlight w:val="none"/>
        </w:rPr>
        <w:t xml:space="preserve">  违约责任</w:t>
      </w:r>
    </w:p>
    <w:p w14:paraId="49E9A20B">
      <w:pPr>
        <w:pStyle w:val="18"/>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1.乙方所提供的服务、技术标准、材料等质量不</w:t>
      </w:r>
      <w:r>
        <w:rPr>
          <w:rFonts w:hint="eastAsia" w:ascii="宋体" w:hAnsi="宋体" w:cs="宋体"/>
          <w:color w:val="auto"/>
          <w:spacing w:val="9"/>
          <w:szCs w:val="21"/>
          <w:highlight w:val="none"/>
        </w:rPr>
        <w:t>合格的，应及时更换，更换不及时的按服</w:t>
      </w:r>
      <w:r>
        <w:rPr>
          <w:rFonts w:hint="eastAsia" w:ascii="宋体" w:hAnsi="宋体" w:cs="宋体"/>
          <w:color w:val="auto"/>
          <w:spacing w:val="8"/>
          <w:szCs w:val="21"/>
          <w:highlight w:val="none"/>
        </w:rPr>
        <w:t>务不及时处罚；因质量问题甲方不同意接收的或特殊情况甲方同意接收的，乙方应向甲方支付合同款总额5%违约金并赔偿甲方经济损失。</w:t>
      </w:r>
    </w:p>
    <w:p w14:paraId="0741F5DC">
      <w:pPr>
        <w:pStyle w:val="18"/>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2.乙方提供的服务如侵犯了第三方合法权益而引发的任何纠纷或诉讼，</w:t>
      </w:r>
      <w:r>
        <w:rPr>
          <w:rFonts w:hint="eastAsia" w:ascii="宋体" w:hAnsi="宋体" w:cs="宋体"/>
          <w:color w:val="auto"/>
          <w:spacing w:val="9"/>
          <w:szCs w:val="21"/>
          <w:highlight w:val="none"/>
        </w:rPr>
        <w:t>均由乙方负责交涉</w:t>
      </w:r>
      <w:r>
        <w:rPr>
          <w:rFonts w:hint="eastAsia" w:ascii="宋体" w:hAnsi="宋体" w:cs="宋体"/>
          <w:color w:val="auto"/>
          <w:spacing w:val="6"/>
          <w:szCs w:val="21"/>
          <w:highlight w:val="none"/>
        </w:rPr>
        <w:t>并承担全部责任。</w:t>
      </w:r>
    </w:p>
    <w:p w14:paraId="587A44FE">
      <w:pPr>
        <w:pStyle w:val="18"/>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3.因包装、运输引起的相关维保备用品或零件损坏，按</w:t>
      </w:r>
      <w:r>
        <w:rPr>
          <w:rFonts w:hint="eastAsia" w:ascii="宋体" w:hAnsi="宋体" w:cs="宋体"/>
          <w:color w:val="auto"/>
          <w:spacing w:val="8"/>
          <w:szCs w:val="21"/>
          <w:highlight w:val="none"/>
        </w:rPr>
        <w:t>质量不合格处罚。</w:t>
      </w:r>
    </w:p>
    <w:p w14:paraId="301672A7">
      <w:pPr>
        <w:pStyle w:val="18"/>
        <w:spacing w:after="0" w:line="360" w:lineRule="auto"/>
        <w:ind w:firstLine="464" w:firstLineChars="200"/>
        <w:rPr>
          <w:rFonts w:ascii="宋体" w:hAnsi="宋体" w:cs="宋体"/>
          <w:color w:val="auto"/>
          <w:szCs w:val="21"/>
          <w:highlight w:val="none"/>
        </w:rPr>
      </w:pPr>
      <w:r>
        <w:rPr>
          <w:rFonts w:hint="eastAsia" w:ascii="宋体" w:hAnsi="宋体" w:cs="宋体"/>
          <w:color w:val="auto"/>
          <w:spacing w:val="11"/>
          <w:szCs w:val="21"/>
          <w:highlight w:val="none"/>
        </w:rPr>
        <w:t>4.乙方不及时服务的，每天向甲方偿付当年合同款额</w:t>
      </w:r>
      <w:r>
        <w:rPr>
          <w:rFonts w:hint="eastAsia" w:ascii="宋体" w:hAnsi="宋体" w:cs="宋体"/>
          <w:color w:val="auto"/>
          <w:spacing w:val="10"/>
          <w:szCs w:val="21"/>
          <w:highlight w:val="none"/>
        </w:rPr>
        <w:t>3‰违约金，但违约金累计不得超过</w:t>
      </w:r>
      <w:r>
        <w:rPr>
          <w:rFonts w:hint="eastAsia" w:ascii="宋体" w:hAnsi="宋体" w:cs="宋体"/>
          <w:color w:val="auto"/>
          <w:spacing w:val="8"/>
          <w:szCs w:val="21"/>
          <w:highlight w:val="none"/>
        </w:rPr>
        <w:t>合同款总额5%，超过</w:t>
      </w:r>
      <w:r>
        <w:rPr>
          <w:rFonts w:hint="eastAsia" w:ascii="宋体" w:hAnsi="宋体" w:cs="宋体"/>
          <w:color w:val="auto"/>
          <w:spacing w:val="8"/>
          <w:szCs w:val="21"/>
          <w:highlight w:val="none"/>
          <w:u w:val="single"/>
        </w:rPr>
        <w:t>120</w:t>
      </w:r>
      <w:r>
        <w:rPr>
          <w:rFonts w:hint="eastAsia" w:ascii="宋体" w:hAnsi="宋体" w:cs="宋体"/>
          <w:color w:val="auto"/>
          <w:spacing w:val="8"/>
          <w:szCs w:val="21"/>
          <w:highlight w:val="none"/>
        </w:rPr>
        <w:t>天甲方有权解除合同，乙方承担因此给对方造成经济损失。</w:t>
      </w:r>
    </w:p>
    <w:p w14:paraId="7F2C6405">
      <w:pPr>
        <w:pStyle w:val="18"/>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5.乙方未按本合同和报价文件中规定的服务承诺提供售后服务的，乙</w:t>
      </w:r>
      <w:r>
        <w:rPr>
          <w:rFonts w:hint="eastAsia" w:ascii="宋体" w:hAnsi="宋体" w:cs="宋体"/>
          <w:color w:val="auto"/>
          <w:spacing w:val="9"/>
          <w:szCs w:val="21"/>
          <w:highlight w:val="none"/>
        </w:rPr>
        <w:t>方应按本合同合计金</w:t>
      </w:r>
      <w:r>
        <w:rPr>
          <w:rFonts w:hint="eastAsia" w:ascii="宋体" w:hAnsi="宋体" w:cs="宋体"/>
          <w:color w:val="auto"/>
          <w:spacing w:val="7"/>
          <w:szCs w:val="21"/>
          <w:highlight w:val="none"/>
        </w:rPr>
        <w:t>额5%向甲方支付违约金。</w:t>
      </w:r>
    </w:p>
    <w:p w14:paraId="4B88DA79">
      <w:pPr>
        <w:pStyle w:val="18"/>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6.乙方提供的相关维保备用品或零件在质量保证期内，因设计、工艺或材</w:t>
      </w:r>
      <w:r>
        <w:rPr>
          <w:rFonts w:hint="eastAsia" w:ascii="宋体" w:hAnsi="宋体" w:cs="宋体"/>
          <w:color w:val="auto"/>
          <w:spacing w:val="9"/>
          <w:szCs w:val="21"/>
          <w:highlight w:val="none"/>
        </w:rPr>
        <w:t>料的缺陷和其他</w:t>
      </w:r>
      <w:r>
        <w:rPr>
          <w:rFonts w:hint="eastAsia" w:ascii="宋体" w:hAnsi="宋体" w:cs="宋体"/>
          <w:color w:val="auto"/>
          <w:spacing w:val="8"/>
          <w:szCs w:val="21"/>
          <w:highlight w:val="none"/>
        </w:rPr>
        <w:t>质量原因造成的问题，由乙方负责。因此而给甲方造成的直接应由乙方承担。</w:t>
      </w:r>
    </w:p>
    <w:p w14:paraId="19E276AF">
      <w:pPr>
        <w:pStyle w:val="18"/>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7.乙方的其他违约行为按合同总款额5%收取违约金并赔偿甲方的经济损失。</w:t>
      </w:r>
    </w:p>
    <w:p w14:paraId="732D2B52">
      <w:pPr>
        <w:pStyle w:val="18"/>
        <w:spacing w:after="0" w:line="360" w:lineRule="auto"/>
        <w:ind w:firstLine="450" w:firstLineChars="200"/>
        <w:outlineLvl w:val="1"/>
        <w:rPr>
          <w:rFonts w:ascii="宋体" w:hAnsi="宋体" w:cs="宋体"/>
          <w:color w:val="auto"/>
          <w:szCs w:val="21"/>
          <w:highlight w:val="none"/>
        </w:rPr>
      </w:pPr>
      <w:r>
        <w:rPr>
          <w:rFonts w:hint="eastAsia" w:ascii="宋体" w:hAnsi="宋体" w:cs="宋体"/>
          <w:b/>
          <w:bCs/>
          <w:color w:val="auto"/>
          <w:spacing w:val="7"/>
          <w:szCs w:val="21"/>
          <w:highlight w:val="none"/>
        </w:rPr>
        <w:t>第十条</w:t>
      </w:r>
      <w:r>
        <w:rPr>
          <w:rFonts w:hint="eastAsia" w:ascii="宋体" w:hAnsi="宋体" w:cs="宋体"/>
          <w:color w:val="auto"/>
          <w:spacing w:val="7"/>
          <w:szCs w:val="21"/>
          <w:highlight w:val="none"/>
        </w:rPr>
        <w:t xml:space="preserve"> 不可抗力事件处理</w:t>
      </w:r>
    </w:p>
    <w:p w14:paraId="614AB045">
      <w:pPr>
        <w:pStyle w:val="18"/>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1.在合同有效期内，任何一方因不可抗力事件导致不能履行合同，则合同履行</w:t>
      </w:r>
      <w:r>
        <w:rPr>
          <w:rFonts w:hint="eastAsia" w:ascii="宋体" w:hAnsi="宋体" w:cs="宋体"/>
          <w:color w:val="auto"/>
          <w:spacing w:val="8"/>
          <w:szCs w:val="21"/>
          <w:highlight w:val="none"/>
        </w:rPr>
        <w:t>期可延长，其延长期与不可抗力影响期相同。</w:t>
      </w:r>
    </w:p>
    <w:p w14:paraId="7D8DC925">
      <w:pPr>
        <w:pStyle w:val="18"/>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2.不可抗力事件发生后，应于知道或应当知道不</w:t>
      </w:r>
      <w:r>
        <w:rPr>
          <w:rFonts w:hint="eastAsia" w:ascii="宋体" w:hAnsi="宋体" w:cs="宋体"/>
          <w:color w:val="auto"/>
          <w:spacing w:val="5"/>
          <w:szCs w:val="21"/>
          <w:highlight w:val="none"/>
        </w:rPr>
        <w:t>可抗力事件之时日内立即书面通知对方，</w:t>
      </w:r>
      <w:r>
        <w:rPr>
          <w:rFonts w:hint="eastAsia" w:ascii="宋体" w:hAnsi="宋体" w:cs="宋体"/>
          <w:color w:val="auto"/>
          <w:spacing w:val="8"/>
          <w:szCs w:val="21"/>
          <w:highlight w:val="none"/>
        </w:rPr>
        <w:t>并寄送有关权威机构出具的证明。</w:t>
      </w:r>
    </w:p>
    <w:p w14:paraId="1BF77C4D">
      <w:pPr>
        <w:pStyle w:val="18"/>
        <w:spacing w:after="0" w:line="360" w:lineRule="auto"/>
        <w:ind w:firstLine="456" w:firstLineChars="200"/>
        <w:rPr>
          <w:rFonts w:ascii="宋体" w:hAnsi="宋体" w:cs="宋体"/>
          <w:color w:val="auto"/>
          <w:szCs w:val="21"/>
          <w:highlight w:val="none"/>
        </w:rPr>
      </w:pPr>
      <w:r>
        <w:rPr>
          <w:rFonts w:hint="eastAsia" w:ascii="宋体" w:hAnsi="宋体" w:cs="宋体"/>
          <w:color w:val="auto"/>
          <w:spacing w:val="9"/>
          <w:szCs w:val="21"/>
          <w:highlight w:val="none"/>
        </w:rPr>
        <w:t>3.不可抗力事件延续一百二十天以上，双方应通过友好协商，确定是否继续履行合</w:t>
      </w:r>
      <w:r>
        <w:rPr>
          <w:rFonts w:hint="eastAsia" w:ascii="宋体" w:hAnsi="宋体" w:cs="宋体"/>
          <w:color w:val="auto"/>
          <w:spacing w:val="8"/>
          <w:szCs w:val="21"/>
          <w:highlight w:val="none"/>
        </w:rPr>
        <w:t>同。</w:t>
      </w:r>
    </w:p>
    <w:p w14:paraId="617C8250">
      <w:pPr>
        <w:pStyle w:val="18"/>
        <w:spacing w:after="0" w:line="360" w:lineRule="auto"/>
        <w:ind w:firstLine="450" w:firstLineChars="200"/>
        <w:outlineLvl w:val="1"/>
        <w:rPr>
          <w:rFonts w:ascii="宋体" w:hAnsi="宋体" w:cs="宋体"/>
          <w:color w:val="auto"/>
          <w:szCs w:val="21"/>
          <w:highlight w:val="none"/>
        </w:rPr>
      </w:pPr>
      <w:r>
        <w:rPr>
          <w:rFonts w:hint="eastAsia" w:ascii="宋体" w:hAnsi="宋体" w:cs="宋体"/>
          <w:b/>
          <w:bCs/>
          <w:color w:val="auto"/>
          <w:spacing w:val="7"/>
          <w:szCs w:val="21"/>
          <w:highlight w:val="none"/>
        </w:rPr>
        <w:t>第十一条</w:t>
      </w:r>
      <w:r>
        <w:rPr>
          <w:rFonts w:hint="eastAsia" w:ascii="宋体" w:hAnsi="宋体" w:cs="宋体"/>
          <w:color w:val="auto"/>
          <w:spacing w:val="7"/>
          <w:szCs w:val="21"/>
          <w:highlight w:val="none"/>
        </w:rPr>
        <w:t xml:space="preserve">  合同争议解决</w:t>
      </w:r>
    </w:p>
    <w:p w14:paraId="04867DD3">
      <w:pPr>
        <w:pStyle w:val="18"/>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1、因服务成果质量问题发生争议的，应邀请国家认可的质量检测机构对服务成果质量进行</w:t>
      </w:r>
      <w:r>
        <w:rPr>
          <w:rFonts w:hint="eastAsia" w:ascii="宋体" w:hAnsi="宋体" w:cs="宋体"/>
          <w:color w:val="auto"/>
          <w:spacing w:val="9"/>
          <w:szCs w:val="21"/>
          <w:highlight w:val="none"/>
        </w:rPr>
        <w:t>鉴定。服务成果符合标准的，鉴定费由甲方承担；服务成果不符合标准的，鉴定费由</w:t>
      </w:r>
      <w:r>
        <w:rPr>
          <w:rFonts w:hint="eastAsia" w:ascii="宋体" w:hAnsi="宋体" w:cs="宋体"/>
          <w:color w:val="auto"/>
          <w:spacing w:val="8"/>
          <w:szCs w:val="21"/>
          <w:highlight w:val="none"/>
        </w:rPr>
        <w:t>乙方承担。</w:t>
      </w:r>
    </w:p>
    <w:p w14:paraId="7E2BB61C">
      <w:pPr>
        <w:pStyle w:val="18"/>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2、因履行本合同引起的或与本合同有关的争议，甲乙</w:t>
      </w:r>
      <w:r>
        <w:rPr>
          <w:rFonts w:hint="eastAsia" w:ascii="宋体" w:hAnsi="宋体" w:cs="宋体"/>
          <w:color w:val="auto"/>
          <w:spacing w:val="9"/>
          <w:szCs w:val="21"/>
          <w:highlight w:val="none"/>
        </w:rPr>
        <w:t>双方应首先通过友好协商解决，如果协商不能解决，向甲方所在地有管辖权的人民法院提起诉讼。</w:t>
      </w:r>
    </w:p>
    <w:p w14:paraId="1FC12BBF">
      <w:pPr>
        <w:pStyle w:val="18"/>
        <w:spacing w:after="0" w:line="360" w:lineRule="auto"/>
        <w:ind w:firstLine="452" w:firstLineChars="200"/>
        <w:outlineLvl w:val="2"/>
        <w:rPr>
          <w:rFonts w:ascii="宋体" w:hAnsi="宋体" w:cs="宋体"/>
          <w:color w:val="auto"/>
          <w:szCs w:val="21"/>
          <w:highlight w:val="none"/>
        </w:rPr>
      </w:pPr>
      <w:r>
        <w:rPr>
          <w:rFonts w:hint="eastAsia" w:ascii="宋体" w:hAnsi="宋体" w:cs="宋体"/>
          <w:color w:val="auto"/>
          <w:spacing w:val="8"/>
          <w:szCs w:val="21"/>
          <w:highlight w:val="none"/>
        </w:rPr>
        <w:t>3、诉讼期间，本合同无争议部分继续履行。</w:t>
      </w:r>
    </w:p>
    <w:p w14:paraId="50ECEB41">
      <w:pPr>
        <w:pStyle w:val="18"/>
        <w:spacing w:after="0" w:line="360" w:lineRule="auto"/>
        <w:ind w:firstLine="446" w:firstLineChars="200"/>
        <w:outlineLvl w:val="1"/>
        <w:rPr>
          <w:rFonts w:ascii="宋体" w:hAnsi="宋体" w:cs="宋体"/>
          <w:b/>
          <w:bCs/>
          <w:color w:val="auto"/>
          <w:szCs w:val="21"/>
          <w:highlight w:val="none"/>
        </w:rPr>
      </w:pPr>
      <w:r>
        <w:rPr>
          <w:rFonts w:hint="eastAsia" w:ascii="宋体" w:hAnsi="宋体" w:cs="宋体"/>
          <w:b/>
          <w:bCs/>
          <w:color w:val="auto"/>
          <w:spacing w:val="6"/>
          <w:szCs w:val="21"/>
          <w:highlight w:val="none"/>
        </w:rPr>
        <w:t>第十二条 诉讼</w:t>
      </w:r>
    </w:p>
    <w:p w14:paraId="110502C9">
      <w:pPr>
        <w:pStyle w:val="18"/>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双方在执行合同中所发生的一切争议，应通过协商解决。如果协商不能解决，可向甲方所在地有管辖权的人民法院提起诉讼。</w:t>
      </w:r>
    </w:p>
    <w:p w14:paraId="01B0BBF7">
      <w:pPr>
        <w:pStyle w:val="18"/>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第十三条 </w:t>
      </w:r>
      <w:r>
        <w:rPr>
          <w:rFonts w:hint="eastAsia" w:ascii="宋体" w:hAnsi="宋体" w:cs="宋体"/>
          <w:color w:val="auto"/>
          <w:spacing w:val="7"/>
          <w:szCs w:val="21"/>
          <w:highlight w:val="none"/>
        </w:rPr>
        <w:t>合同生效及其他</w:t>
      </w:r>
    </w:p>
    <w:p w14:paraId="7D26C346">
      <w:pPr>
        <w:pStyle w:val="18"/>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1．合同经双方法定代表人（负责人）或授权代表签字并加盖单位公章后生效。</w:t>
      </w:r>
    </w:p>
    <w:p w14:paraId="43504CCD">
      <w:pPr>
        <w:pStyle w:val="18"/>
        <w:spacing w:after="0" w:line="360" w:lineRule="auto"/>
        <w:ind w:firstLine="460" w:firstLineChars="200"/>
        <w:rPr>
          <w:rFonts w:ascii="宋体" w:hAnsi="宋体" w:cs="宋体"/>
          <w:color w:val="auto"/>
          <w:spacing w:val="7"/>
          <w:szCs w:val="21"/>
          <w:highlight w:val="none"/>
        </w:rPr>
      </w:pPr>
      <w:r>
        <w:rPr>
          <w:rFonts w:hint="eastAsia" w:ascii="宋体" w:hAnsi="宋体" w:cs="宋体"/>
          <w:color w:val="auto"/>
          <w:spacing w:val="10"/>
          <w:szCs w:val="21"/>
          <w:highlight w:val="none"/>
        </w:rPr>
        <w:t>2．合同执行中涉及采购资金和采购内容修改或补充的，须经财政部门审批，并签订</w:t>
      </w:r>
      <w:r>
        <w:rPr>
          <w:rFonts w:hint="eastAsia" w:ascii="宋体" w:hAnsi="宋体" w:cs="宋体"/>
          <w:color w:val="auto"/>
          <w:spacing w:val="8"/>
          <w:szCs w:val="21"/>
          <w:highlight w:val="none"/>
        </w:rPr>
        <w:t>书面补充协议报财政部门备案，方可作为主合同不可分割的</w:t>
      </w:r>
      <w:r>
        <w:rPr>
          <w:rFonts w:hint="eastAsia" w:ascii="宋体" w:hAnsi="宋体" w:cs="宋体"/>
          <w:color w:val="auto"/>
          <w:spacing w:val="7"/>
          <w:szCs w:val="21"/>
          <w:highlight w:val="none"/>
        </w:rPr>
        <w:t>一部分。</w:t>
      </w:r>
    </w:p>
    <w:p w14:paraId="035CF6F8">
      <w:pPr>
        <w:pStyle w:val="18"/>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3．本合同未尽事宜，遵照《中华人民共和国民法典</w:t>
      </w:r>
      <w:r>
        <w:rPr>
          <w:rFonts w:hint="eastAsia" w:ascii="宋体" w:hAnsi="宋体" w:cs="宋体"/>
          <w:color w:val="auto"/>
          <w:spacing w:val="6"/>
          <w:szCs w:val="21"/>
          <w:highlight w:val="none"/>
        </w:rPr>
        <w:t>》等有关法律法规有关条文执行。</w:t>
      </w:r>
    </w:p>
    <w:p w14:paraId="36A7B761">
      <w:pPr>
        <w:pStyle w:val="18"/>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第十四条 </w:t>
      </w:r>
      <w:r>
        <w:rPr>
          <w:rFonts w:hint="eastAsia" w:ascii="宋体" w:hAnsi="宋体" w:cs="宋体"/>
          <w:color w:val="auto"/>
          <w:spacing w:val="7"/>
          <w:szCs w:val="21"/>
          <w:highlight w:val="none"/>
        </w:rPr>
        <w:t>合同的变更、终止与转让</w:t>
      </w:r>
    </w:p>
    <w:p w14:paraId="3359926A">
      <w:pPr>
        <w:pStyle w:val="18"/>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1、本合同一经签订，甲乙双方不得擅自变更、中止或终止。</w:t>
      </w:r>
    </w:p>
    <w:p w14:paraId="79C9E1A9">
      <w:pPr>
        <w:pStyle w:val="18"/>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2、乙方不得擅自转让其应履行的合同义务。</w:t>
      </w:r>
    </w:p>
    <w:p w14:paraId="70E50A2B">
      <w:pPr>
        <w:pStyle w:val="18"/>
        <w:spacing w:after="0" w:line="360" w:lineRule="auto"/>
        <w:ind w:firstLine="450" w:firstLineChars="200"/>
        <w:outlineLvl w:val="1"/>
        <w:rPr>
          <w:rFonts w:ascii="宋体" w:hAnsi="宋体" w:cs="宋体"/>
          <w:b/>
          <w:bCs/>
          <w:color w:val="auto"/>
          <w:szCs w:val="21"/>
          <w:highlight w:val="none"/>
        </w:rPr>
      </w:pPr>
      <w:r>
        <w:rPr>
          <w:rFonts w:hint="eastAsia" w:ascii="宋体" w:hAnsi="宋体" w:cs="宋体"/>
          <w:b/>
          <w:bCs/>
          <w:color w:val="auto"/>
          <w:spacing w:val="7"/>
          <w:szCs w:val="21"/>
          <w:highlight w:val="none"/>
        </w:rPr>
        <w:t xml:space="preserve">第十五条 </w:t>
      </w:r>
      <w:r>
        <w:rPr>
          <w:rFonts w:hint="eastAsia" w:ascii="宋体" w:hAnsi="宋体" w:cs="宋体"/>
          <w:color w:val="auto"/>
          <w:spacing w:val="7"/>
          <w:szCs w:val="21"/>
          <w:highlight w:val="none"/>
        </w:rPr>
        <w:t>签订本合同依据</w:t>
      </w:r>
    </w:p>
    <w:p w14:paraId="31576EA8">
      <w:pPr>
        <w:pStyle w:val="18"/>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（1）项目采购需求</w:t>
      </w:r>
    </w:p>
    <w:p w14:paraId="262382DA">
      <w:pPr>
        <w:pStyle w:val="18"/>
        <w:spacing w:after="0" w:line="360" w:lineRule="auto"/>
        <w:ind w:firstLine="440" w:firstLineChars="200"/>
        <w:rPr>
          <w:rFonts w:ascii="宋体" w:hAnsi="宋体" w:cs="宋体"/>
          <w:color w:val="auto"/>
          <w:szCs w:val="21"/>
          <w:highlight w:val="none"/>
        </w:rPr>
      </w:pPr>
      <w:r>
        <w:rPr>
          <w:rFonts w:hint="eastAsia" w:ascii="宋体" w:hAnsi="宋体" w:cs="宋体"/>
          <w:color w:val="auto"/>
          <w:spacing w:val="5"/>
          <w:szCs w:val="21"/>
          <w:highlight w:val="none"/>
        </w:rPr>
        <w:t>（2）</w:t>
      </w:r>
      <w:r>
        <w:rPr>
          <w:rFonts w:hint="eastAsia" w:ascii="宋体" w:hAnsi="宋体" w:cs="宋体"/>
          <w:color w:val="auto"/>
          <w:spacing w:val="5"/>
          <w:szCs w:val="21"/>
          <w:highlight w:val="none"/>
          <w:lang w:val="en-US" w:eastAsia="zh-CN"/>
        </w:rPr>
        <w:t>竞标</w:t>
      </w:r>
      <w:r>
        <w:rPr>
          <w:rFonts w:hint="eastAsia" w:ascii="宋体" w:hAnsi="宋体" w:cs="宋体"/>
          <w:color w:val="auto"/>
          <w:spacing w:val="5"/>
          <w:szCs w:val="21"/>
          <w:highlight w:val="none"/>
        </w:rPr>
        <w:t>函</w:t>
      </w:r>
    </w:p>
    <w:p w14:paraId="654C098A">
      <w:pPr>
        <w:pStyle w:val="18"/>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（3）</w:t>
      </w:r>
      <w:r>
        <w:rPr>
          <w:rFonts w:hint="eastAsia" w:ascii="宋体" w:hAnsi="宋体" w:cs="宋体"/>
          <w:color w:val="auto"/>
          <w:spacing w:val="7"/>
          <w:szCs w:val="21"/>
          <w:highlight w:val="none"/>
          <w:lang w:val="en-US" w:eastAsia="zh-CN"/>
        </w:rPr>
        <w:t>最终</w:t>
      </w:r>
      <w:r>
        <w:rPr>
          <w:rFonts w:hint="eastAsia" w:ascii="宋体" w:hAnsi="宋体" w:cs="宋体"/>
          <w:color w:val="auto"/>
          <w:spacing w:val="7"/>
          <w:szCs w:val="21"/>
          <w:highlight w:val="none"/>
        </w:rPr>
        <w:t>竞标报价表</w:t>
      </w:r>
    </w:p>
    <w:p w14:paraId="0BA675A2">
      <w:pPr>
        <w:pStyle w:val="18"/>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（4）技术要求偏离表</w:t>
      </w:r>
    </w:p>
    <w:p w14:paraId="1D28EE4A">
      <w:pPr>
        <w:pStyle w:val="18"/>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（5）商务条款偏离表</w:t>
      </w:r>
    </w:p>
    <w:p w14:paraId="58F90A4C">
      <w:pPr>
        <w:pStyle w:val="18"/>
        <w:spacing w:after="0" w:line="360" w:lineRule="auto"/>
        <w:ind w:firstLine="448" w:firstLineChars="200"/>
        <w:rPr>
          <w:rFonts w:ascii="宋体" w:hAnsi="宋体" w:cs="宋体"/>
          <w:color w:val="auto"/>
          <w:szCs w:val="21"/>
          <w:highlight w:val="none"/>
        </w:rPr>
      </w:pPr>
      <w:r>
        <w:rPr>
          <w:rFonts w:hint="eastAsia" w:ascii="宋体" w:hAnsi="宋体" w:cs="宋体"/>
          <w:color w:val="auto"/>
          <w:spacing w:val="7"/>
          <w:szCs w:val="21"/>
          <w:highlight w:val="none"/>
        </w:rPr>
        <w:t>（6）服务承诺书</w:t>
      </w:r>
    </w:p>
    <w:p w14:paraId="08C65FE2">
      <w:pPr>
        <w:pStyle w:val="18"/>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（7）成交通知书</w:t>
      </w:r>
    </w:p>
    <w:p w14:paraId="0AC09B27">
      <w:pPr>
        <w:pStyle w:val="18"/>
        <w:spacing w:after="0" w:line="360" w:lineRule="auto"/>
        <w:ind w:firstLine="460" w:firstLineChars="200"/>
        <w:rPr>
          <w:rFonts w:ascii="宋体" w:hAnsi="宋体" w:cs="宋体"/>
          <w:color w:val="auto"/>
          <w:szCs w:val="21"/>
          <w:highlight w:val="none"/>
        </w:rPr>
      </w:pPr>
      <w:r>
        <w:rPr>
          <w:rFonts w:hint="eastAsia" w:ascii="宋体" w:hAnsi="宋体" w:cs="宋体"/>
          <w:color w:val="auto"/>
          <w:spacing w:val="10"/>
          <w:szCs w:val="21"/>
          <w:highlight w:val="none"/>
        </w:rPr>
        <w:t>6、上述合同文件互相补充和解释。如果合同文件之间存在矛盾</w:t>
      </w:r>
      <w:r>
        <w:rPr>
          <w:rFonts w:hint="eastAsia" w:ascii="宋体" w:hAnsi="宋体" w:cs="宋体"/>
          <w:color w:val="auto"/>
          <w:spacing w:val="9"/>
          <w:szCs w:val="21"/>
          <w:highlight w:val="none"/>
        </w:rPr>
        <w:t>或者不一致之处，以上述文</w:t>
      </w:r>
      <w:r>
        <w:rPr>
          <w:rFonts w:hint="eastAsia" w:ascii="宋体" w:hAnsi="宋体" w:cs="宋体"/>
          <w:color w:val="auto"/>
          <w:spacing w:val="8"/>
          <w:szCs w:val="21"/>
          <w:highlight w:val="none"/>
        </w:rPr>
        <w:t>件的排列顺序在先者为准。</w:t>
      </w:r>
    </w:p>
    <w:p w14:paraId="58F06EB4">
      <w:pPr>
        <w:pStyle w:val="18"/>
        <w:spacing w:after="0" w:line="360" w:lineRule="auto"/>
        <w:ind w:firstLine="454" w:firstLineChars="200"/>
        <w:rPr>
          <w:rFonts w:ascii="宋体" w:hAnsi="宋体" w:cs="宋体"/>
          <w:color w:val="auto"/>
          <w:szCs w:val="21"/>
          <w:highlight w:val="none"/>
        </w:rPr>
      </w:pPr>
      <w:r>
        <w:rPr>
          <w:rFonts w:hint="eastAsia" w:ascii="宋体" w:hAnsi="宋体" w:cs="宋体"/>
          <w:b/>
          <w:bCs/>
          <w:color w:val="auto"/>
          <w:spacing w:val="8"/>
          <w:szCs w:val="21"/>
          <w:highlight w:val="none"/>
        </w:rPr>
        <w:t>第十六条</w:t>
      </w:r>
      <w:r>
        <w:rPr>
          <w:rFonts w:hint="eastAsia" w:ascii="宋体" w:hAnsi="宋体" w:cs="宋体"/>
          <w:color w:val="auto"/>
          <w:spacing w:val="8"/>
          <w:szCs w:val="21"/>
          <w:highlight w:val="none"/>
        </w:rPr>
        <w:t xml:space="preserve">  本合同一式</w:t>
      </w:r>
      <w:r>
        <w:rPr>
          <w:rFonts w:hint="eastAsia" w:ascii="宋体" w:hAnsi="宋体" w:cs="宋体"/>
          <w:color w:val="auto"/>
          <w:spacing w:val="8"/>
          <w:szCs w:val="21"/>
          <w:highlight w:val="none"/>
          <w:lang w:val="en-US" w:eastAsia="zh-CN"/>
        </w:rPr>
        <w:t>柒</w:t>
      </w:r>
      <w:r>
        <w:rPr>
          <w:rFonts w:hint="eastAsia" w:ascii="宋体" w:hAnsi="宋体" w:cs="宋体"/>
          <w:color w:val="auto"/>
          <w:spacing w:val="8"/>
          <w:szCs w:val="21"/>
          <w:highlight w:val="none"/>
        </w:rPr>
        <w:t>份，具有同等法律效力，</w:t>
      </w:r>
      <w:r>
        <w:rPr>
          <w:rFonts w:hint="eastAsia" w:ascii="宋体" w:hAnsi="宋体" w:cs="宋体"/>
          <w:color w:val="auto"/>
          <w:spacing w:val="-56"/>
          <w:szCs w:val="21"/>
          <w:highlight w:val="none"/>
        </w:rPr>
        <w:t xml:space="preserve"> </w:t>
      </w:r>
      <w:r>
        <w:rPr>
          <w:rFonts w:hint="eastAsia" w:ascii="宋体" w:hAnsi="宋体" w:cs="宋体"/>
          <w:color w:val="auto"/>
          <w:spacing w:val="8"/>
          <w:szCs w:val="21"/>
          <w:highlight w:val="none"/>
        </w:rPr>
        <w:t>甲方叁份，乙方</w:t>
      </w:r>
      <w:r>
        <w:rPr>
          <w:rFonts w:hint="eastAsia" w:ascii="宋体" w:hAnsi="宋体" w:cs="宋体"/>
          <w:color w:val="auto"/>
          <w:spacing w:val="8"/>
          <w:szCs w:val="21"/>
          <w:highlight w:val="none"/>
          <w:lang w:val="en-US" w:eastAsia="zh-CN"/>
        </w:rPr>
        <w:t>叁</w:t>
      </w:r>
      <w:r>
        <w:rPr>
          <w:rFonts w:hint="eastAsia" w:ascii="宋体" w:hAnsi="宋体" w:cs="宋体"/>
          <w:color w:val="auto"/>
          <w:spacing w:val="8"/>
          <w:szCs w:val="21"/>
          <w:highlight w:val="none"/>
        </w:rPr>
        <w:t>份，代理机构壹份。</w:t>
      </w:r>
    </w:p>
    <w:tbl>
      <w:tblPr>
        <w:tblStyle w:val="216"/>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14:paraId="768FB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4584" w:type="dxa"/>
          </w:tcPr>
          <w:p w14:paraId="440AC110">
            <w:pPr>
              <w:pStyle w:val="215"/>
              <w:spacing w:line="360" w:lineRule="auto"/>
              <w:rPr>
                <w:color w:val="auto"/>
                <w:sz w:val="21"/>
                <w:szCs w:val="21"/>
                <w:highlight w:val="none"/>
              </w:rPr>
            </w:pPr>
            <w:r>
              <w:rPr>
                <w:rFonts w:hint="eastAsia"/>
                <w:color w:val="auto"/>
                <w:spacing w:val="6"/>
                <w:sz w:val="21"/>
                <w:szCs w:val="21"/>
                <w:highlight w:val="none"/>
              </w:rPr>
              <w:t>甲方</w:t>
            </w:r>
            <w:r>
              <w:rPr>
                <w:rFonts w:hint="eastAsia"/>
                <w:color w:val="auto"/>
                <w:spacing w:val="-6"/>
                <w:sz w:val="21"/>
                <w:szCs w:val="21"/>
                <w:highlight w:val="none"/>
              </w:rPr>
              <w:t>：（</w:t>
            </w:r>
            <w:r>
              <w:rPr>
                <w:rFonts w:hint="eastAsia"/>
                <w:color w:val="auto"/>
                <w:spacing w:val="6"/>
                <w:sz w:val="21"/>
                <w:szCs w:val="21"/>
                <w:highlight w:val="none"/>
              </w:rPr>
              <w:t>章）</w:t>
            </w:r>
          </w:p>
          <w:p w14:paraId="0720D5A4">
            <w:pPr>
              <w:spacing w:line="360" w:lineRule="auto"/>
              <w:rPr>
                <w:rFonts w:ascii="宋体" w:hAnsi="宋体" w:cs="宋体"/>
                <w:color w:val="auto"/>
                <w:szCs w:val="21"/>
                <w:highlight w:val="none"/>
              </w:rPr>
            </w:pPr>
          </w:p>
          <w:p w14:paraId="7346B994">
            <w:pPr>
              <w:pStyle w:val="215"/>
              <w:spacing w:line="360" w:lineRule="auto"/>
              <w:rPr>
                <w:color w:val="auto"/>
                <w:sz w:val="21"/>
                <w:szCs w:val="21"/>
                <w:highlight w:val="none"/>
              </w:rPr>
            </w:pPr>
            <w:r>
              <w:rPr>
                <w:rFonts w:hint="eastAsia"/>
                <w:color w:val="auto"/>
                <w:spacing w:val="-2"/>
                <w:sz w:val="21"/>
                <w:szCs w:val="21"/>
                <w:highlight w:val="none"/>
              </w:rPr>
              <w:t>年</w:t>
            </w:r>
            <w:r>
              <w:rPr>
                <w:rFonts w:hint="eastAsia"/>
                <w:color w:val="auto"/>
                <w:spacing w:val="10"/>
                <w:sz w:val="21"/>
                <w:szCs w:val="21"/>
                <w:highlight w:val="none"/>
              </w:rPr>
              <w:t xml:space="preserve">   </w:t>
            </w:r>
            <w:r>
              <w:rPr>
                <w:rFonts w:hint="eastAsia"/>
                <w:color w:val="auto"/>
                <w:spacing w:val="-2"/>
                <w:sz w:val="21"/>
                <w:szCs w:val="21"/>
                <w:highlight w:val="none"/>
              </w:rPr>
              <w:t>月</w:t>
            </w:r>
            <w:r>
              <w:rPr>
                <w:rFonts w:hint="eastAsia"/>
                <w:color w:val="auto"/>
                <w:spacing w:val="20"/>
                <w:sz w:val="21"/>
                <w:szCs w:val="21"/>
                <w:highlight w:val="none"/>
              </w:rPr>
              <w:t xml:space="preserve">   </w:t>
            </w:r>
            <w:r>
              <w:rPr>
                <w:rFonts w:hint="eastAsia"/>
                <w:color w:val="auto"/>
                <w:spacing w:val="-2"/>
                <w:sz w:val="21"/>
                <w:szCs w:val="21"/>
                <w:highlight w:val="none"/>
              </w:rPr>
              <w:t>日</w:t>
            </w:r>
          </w:p>
        </w:tc>
        <w:tc>
          <w:tcPr>
            <w:tcW w:w="4585" w:type="dxa"/>
          </w:tcPr>
          <w:p w14:paraId="69FB77AE">
            <w:pPr>
              <w:pStyle w:val="215"/>
              <w:spacing w:line="360" w:lineRule="auto"/>
              <w:rPr>
                <w:color w:val="auto"/>
                <w:sz w:val="21"/>
                <w:szCs w:val="21"/>
                <w:highlight w:val="none"/>
              </w:rPr>
            </w:pPr>
            <w:r>
              <w:rPr>
                <w:rFonts w:hint="eastAsia"/>
                <w:color w:val="auto"/>
                <w:spacing w:val="7"/>
                <w:sz w:val="21"/>
                <w:szCs w:val="21"/>
                <w:highlight w:val="none"/>
              </w:rPr>
              <w:t>乙方</w:t>
            </w:r>
            <w:r>
              <w:rPr>
                <w:rFonts w:hint="eastAsia"/>
                <w:color w:val="auto"/>
                <w:spacing w:val="-5"/>
                <w:sz w:val="21"/>
                <w:szCs w:val="21"/>
                <w:highlight w:val="none"/>
              </w:rPr>
              <w:t>：（</w:t>
            </w:r>
            <w:r>
              <w:rPr>
                <w:rFonts w:hint="eastAsia"/>
                <w:color w:val="auto"/>
                <w:spacing w:val="7"/>
                <w:sz w:val="21"/>
                <w:szCs w:val="21"/>
                <w:highlight w:val="none"/>
              </w:rPr>
              <w:t>章）</w:t>
            </w:r>
          </w:p>
          <w:p w14:paraId="615D8437">
            <w:pPr>
              <w:spacing w:line="360" w:lineRule="auto"/>
              <w:rPr>
                <w:rFonts w:ascii="宋体" w:hAnsi="宋体" w:cs="宋体"/>
                <w:color w:val="auto"/>
                <w:szCs w:val="21"/>
                <w:highlight w:val="none"/>
              </w:rPr>
            </w:pPr>
          </w:p>
          <w:p w14:paraId="457D2BEF">
            <w:pPr>
              <w:pStyle w:val="215"/>
              <w:spacing w:line="360" w:lineRule="auto"/>
              <w:rPr>
                <w:color w:val="auto"/>
                <w:sz w:val="21"/>
                <w:szCs w:val="21"/>
                <w:highlight w:val="none"/>
              </w:rPr>
            </w:pPr>
            <w:r>
              <w:rPr>
                <w:rFonts w:hint="eastAsia"/>
                <w:color w:val="auto"/>
                <w:spacing w:val="-2"/>
                <w:sz w:val="21"/>
                <w:szCs w:val="21"/>
                <w:highlight w:val="none"/>
              </w:rPr>
              <w:t>年</w:t>
            </w:r>
            <w:r>
              <w:rPr>
                <w:rFonts w:hint="eastAsia"/>
                <w:color w:val="auto"/>
                <w:spacing w:val="10"/>
                <w:sz w:val="21"/>
                <w:szCs w:val="21"/>
                <w:highlight w:val="none"/>
              </w:rPr>
              <w:t xml:space="preserve">   </w:t>
            </w:r>
            <w:r>
              <w:rPr>
                <w:rFonts w:hint="eastAsia"/>
                <w:color w:val="auto"/>
                <w:spacing w:val="-2"/>
                <w:sz w:val="21"/>
                <w:szCs w:val="21"/>
                <w:highlight w:val="none"/>
              </w:rPr>
              <w:t>月</w:t>
            </w:r>
            <w:r>
              <w:rPr>
                <w:rFonts w:hint="eastAsia"/>
                <w:color w:val="auto"/>
                <w:spacing w:val="19"/>
                <w:sz w:val="21"/>
                <w:szCs w:val="21"/>
                <w:highlight w:val="none"/>
              </w:rPr>
              <w:t xml:space="preserve">   </w:t>
            </w:r>
            <w:r>
              <w:rPr>
                <w:rFonts w:hint="eastAsia"/>
                <w:color w:val="auto"/>
                <w:spacing w:val="-2"/>
                <w:sz w:val="21"/>
                <w:szCs w:val="21"/>
                <w:highlight w:val="none"/>
              </w:rPr>
              <w:t>日</w:t>
            </w:r>
          </w:p>
        </w:tc>
      </w:tr>
      <w:tr w14:paraId="1584C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584" w:type="dxa"/>
          </w:tcPr>
          <w:p w14:paraId="6125DA64">
            <w:pPr>
              <w:pStyle w:val="215"/>
              <w:spacing w:line="360" w:lineRule="auto"/>
              <w:rPr>
                <w:color w:val="auto"/>
                <w:sz w:val="21"/>
                <w:szCs w:val="21"/>
                <w:highlight w:val="none"/>
              </w:rPr>
            </w:pPr>
            <w:r>
              <w:rPr>
                <w:rFonts w:hint="eastAsia"/>
                <w:color w:val="auto"/>
                <w:spacing w:val="5"/>
                <w:sz w:val="21"/>
                <w:szCs w:val="21"/>
                <w:highlight w:val="none"/>
              </w:rPr>
              <w:t>单位地址：</w:t>
            </w:r>
          </w:p>
        </w:tc>
        <w:tc>
          <w:tcPr>
            <w:tcW w:w="4585" w:type="dxa"/>
          </w:tcPr>
          <w:p w14:paraId="52991755">
            <w:pPr>
              <w:pStyle w:val="215"/>
              <w:spacing w:line="360" w:lineRule="auto"/>
              <w:rPr>
                <w:color w:val="auto"/>
                <w:sz w:val="21"/>
                <w:szCs w:val="21"/>
                <w:highlight w:val="none"/>
              </w:rPr>
            </w:pPr>
            <w:r>
              <w:rPr>
                <w:rFonts w:hint="eastAsia"/>
                <w:color w:val="auto"/>
                <w:spacing w:val="5"/>
                <w:sz w:val="21"/>
                <w:szCs w:val="21"/>
                <w:highlight w:val="none"/>
              </w:rPr>
              <w:t>单位地址：</w:t>
            </w:r>
          </w:p>
        </w:tc>
      </w:tr>
      <w:tr w14:paraId="4670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tcPr>
          <w:p w14:paraId="1884E625">
            <w:pPr>
              <w:pStyle w:val="215"/>
              <w:spacing w:line="360" w:lineRule="auto"/>
              <w:rPr>
                <w:color w:val="auto"/>
                <w:sz w:val="21"/>
                <w:szCs w:val="21"/>
                <w:highlight w:val="none"/>
              </w:rPr>
            </w:pPr>
            <w:r>
              <w:rPr>
                <w:rFonts w:hint="eastAsia"/>
                <w:color w:val="auto"/>
                <w:spacing w:val="6"/>
                <w:sz w:val="21"/>
                <w:szCs w:val="21"/>
                <w:highlight w:val="none"/>
              </w:rPr>
              <w:t>法定代表人：</w:t>
            </w:r>
          </w:p>
        </w:tc>
        <w:tc>
          <w:tcPr>
            <w:tcW w:w="4585" w:type="dxa"/>
          </w:tcPr>
          <w:p w14:paraId="2E746E44">
            <w:pPr>
              <w:pStyle w:val="215"/>
              <w:spacing w:line="360" w:lineRule="auto"/>
              <w:rPr>
                <w:color w:val="auto"/>
                <w:sz w:val="21"/>
                <w:szCs w:val="21"/>
                <w:highlight w:val="none"/>
              </w:rPr>
            </w:pPr>
            <w:r>
              <w:rPr>
                <w:rFonts w:hint="eastAsia"/>
                <w:color w:val="auto"/>
                <w:spacing w:val="6"/>
                <w:sz w:val="21"/>
                <w:szCs w:val="21"/>
                <w:highlight w:val="none"/>
              </w:rPr>
              <w:t>法定代表人：</w:t>
            </w:r>
          </w:p>
        </w:tc>
      </w:tr>
      <w:tr w14:paraId="57C90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584" w:type="dxa"/>
          </w:tcPr>
          <w:p w14:paraId="0A85860B">
            <w:pPr>
              <w:pStyle w:val="215"/>
              <w:spacing w:line="360" w:lineRule="auto"/>
              <w:rPr>
                <w:color w:val="auto"/>
                <w:sz w:val="21"/>
                <w:szCs w:val="21"/>
                <w:highlight w:val="none"/>
              </w:rPr>
            </w:pPr>
            <w:r>
              <w:rPr>
                <w:rFonts w:hint="eastAsia"/>
                <w:color w:val="auto"/>
                <w:spacing w:val="6"/>
                <w:sz w:val="21"/>
                <w:szCs w:val="21"/>
                <w:highlight w:val="none"/>
              </w:rPr>
              <w:t>委托代理人：</w:t>
            </w:r>
          </w:p>
        </w:tc>
        <w:tc>
          <w:tcPr>
            <w:tcW w:w="4585" w:type="dxa"/>
          </w:tcPr>
          <w:p w14:paraId="7C6E4E79">
            <w:pPr>
              <w:pStyle w:val="215"/>
              <w:spacing w:line="360" w:lineRule="auto"/>
              <w:rPr>
                <w:color w:val="auto"/>
                <w:sz w:val="21"/>
                <w:szCs w:val="21"/>
                <w:highlight w:val="none"/>
              </w:rPr>
            </w:pPr>
            <w:r>
              <w:rPr>
                <w:rFonts w:hint="eastAsia"/>
                <w:color w:val="auto"/>
                <w:spacing w:val="6"/>
                <w:sz w:val="21"/>
                <w:szCs w:val="21"/>
                <w:highlight w:val="none"/>
              </w:rPr>
              <w:t>委托代理人：</w:t>
            </w:r>
          </w:p>
        </w:tc>
      </w:tr>
      <w:tr w14:paraId="6FAE4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tcPr>
          <w:p w14:paraId="77A62A1F">
            <w:pPr>
              <w:pStyle w:val="215"/>
              <w:spacing w:line="360" w:lineRule="auto"/>
              <w:rPr>
                <w:color w:val="auto"/>
                <w:sz w:val="21"/>
                <w:szCs w:val="21"/>
                <w:highlight w:val="none"/>
              </w:rPr>
            </w:pPr>
            <w:r>
              <w:rPr>
                <w:rFonts w:hint="eastAsia"/>
                <w:color w:val="auto"/>
                <w:spacing w:val="-5"/>
                <w:sz w:val="21"/>
                <w:szCs w:val="21"/>
                <w:highlight w:val="none"/>
              </w:rPr>
              <w:t>电话：</w:t>
            </w:r>
          </w:p>
        </w:tc>
        <w:tc>
          <w:tcPr>
            <w:tcW w:w="4585" w:type="dxa"/>
          </w:tcPr>
          <w:p w14:paraId="10418DA7">
            <w:pPr>
              <w:pStyle w:val="215"/>
              <w:spacing w:line="360" w:lineRule="auto"/>
              <w:rPr>
                <w:color w:val="auto"/>
                <w:sz w:val="21"/>
                <w:szCs w:val="21"/>
                <w:highlight w:val="none"/>
              </w:rPr>
            </w:pPr>
            <w:r>
              <w:rPr>
                <w:rFonts w:hint="eastAsia"/>
                <w:color w:val="auto"/>
                <w:spacing w:val="-5"/>
                <w:sz w:val="21"/>
                <w:szCs w:val="21"/>
                <w:highlight w:val="none"/>
              </w:rPr>
              <w:t>电话：</w:t>
            </w:r>
          </w:p>
        </w:tc>
      </w:tr>
      <w:tr w14:paraId="31DE1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177E196A">
            <w:pPr>
              <w:pStyle w:val="215"/>
              <w:spacing w:line="360" w:lineRule="auto"/>
              <w:rPr>
                <w:color w:val="auto"/>
                <w:sz w:val="21"/>
                <w:szCs w:val="21"/>
                <w:highlight w:val="none"/>
              </w:rPr>
            </w:pPr>
            <w:r>
              <w:rPr>
                <w:rFonts w:hint="eastAsia"/>
                <w:color w:val="auto"/>
                <w:spacing w:val="5"/>
                <w:sz w:val="21"/>
                <w:szCs w:val="21"/>
                <w:highlight w:val="none"/>
              </w:rPr>
              <w:t>开户银行：</w:t>
            </w:r>
          </w:p>
        </w:tc>
        <w:tc>
          <w:tcPr>
            <w:tcW w:w="4585" w:type="dxa"/>
          </w:tcPr>
          <w:p w14:paraId="0AFE058F">
            <w:pPr>
              <w:pStyle w:val="215"/>
              <w:spacing w:line="360" w:lineRule="auto"/>
              <w:rPr>
                <w:color w:val="auto"/>
                <w:sz w:val="21"/>
                <w:szCs w:val="21"/>
                <w:highlight w:val="none"/>
              </w:rPr>
            </w:pPr>
            <w:r>
              <w:rPr>
                <w:rFonts w:hint="eastAsia"/>
                <w:color w:val="auto"/>
                <w:spacing w:val="5"/>
                <w:sz w:val="21"/>
                <w:szCs w:val="21"/>
                <w:highlight w:val="none"/>
              </w:rPr>
              <w:t>开户银行：</w:t>
            </w:r>
          </w:p>
        </w:tc>
      </w:tr>
      <w:tr w14:paraId="1C4DD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66E03ADA">
            <w:pPr>
              <w:pStyle w:val="215"/>
              <w:spacing w:line="360" w:lineRule="auto"/>
              <w:rPr>
                <w:color w:val="auto"/>
                <w:sz w:val="21"/>
                <w:szCs w:val="21"/>
                <w:highlight w:val="none"/>
              </w:rPr>
            </w:pPr>
            <w:r>
              <w:rPr>
                <w:rFonts w:hint="eastAsia"/>
                <w:color w:val="auto"/>
                <w:spacing w:val="2"/>
                <w:sz w:val="21"/>
                <w:szCs w:val="21"/>
                <w:highlight w:val="none"/>
              </w:rPr>
              <w:t>账号：</w:t>
            </w:r>
          </w:p>
        </w:tc>
        <w:tc>
          <w:tcPr>
            <w:tcW w:w="4585" w:type="dxa"/>
          </w:tcPr>
          <w:p w14:paraId="5FB6E4B9">
            <w:pPr>
              <w:pStyle w:val="215"/>
              <w:spacing w:line="360" w:lineRule="auto"/>
              <w:rPr>
                <w:color w:val="auto"/>
                <w:sz w:val="21"/>
                <w:szCs w:val="21"/>
                <w:highlight w:val="none"/>
              </w:rPr>
            </w:pPr>
            <w:r>
              <w:rPr>
                <w:rFonts w:hint="eastAsia"/>
                <w:color w:val="auto"/>
                <w:spacing w:val="2"/>
                <w:sz w:val="21"/>
                <w:szCs w:val="21"/>
                <w:highlight w:val="none"/>
              </w:rPr>
              <w:t>账号：</w:t>
            </w:r>
          </w:p>
        </w:tc>
      </w:tr>
      <w:tr w14:paraId="469B8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584" w:type="dxa"/>
          </w:tcPr>
          <w:p w14:paraId="16D283EB">
            <w:pPr>
              <w:pStyle w:val="215"/>
              <w:spacing w:line="360" w:lineRule="auto"/>
              <w:rPr>
                <w:color w:val="auto"/>
                <w:sz w:val="21"/>
                <w:szCs w:val="21"/>
                <w:highlight w:val="none"/>
              </w:rPr>
            </w:pPr>
            <w:r>
              <w:rPr>
                <w:rFonts w:hint="eastAsia"/>
                <w:color w:val="auto"/>
                <w:spacing w:val="2"/>
                <w:sz w:val="21"/>
                <w:szCs w:val="21"/>
                <w:highlight w:val="none"/>
              </w:rPr>
              <w:t>邮政编码：</w:t>
            </w:r>
          </w:p>
        </w:tc>
        <w:tc>
          <w:tcPr>
            <w:tcW w:w="4585" w:type="dxa"/>
          </w:tcPr>
          <w:p w14:paraId="773A9B19">
            <w:pPr>
              <w:pStyle w:val="215"/>
              <w:spacing w:line="360" w:lineRule="auto"/>
              <w:rPr>
                <w:color w:val="auto"/>
                <w:sz w:val="21"/>
                <w:szCs w:val="21"/>
                <w:highlight w:val="none"/>
              </w:rPr>
            </w:pPr>
            <w:r>
              <w:rPr>
                <w:rFonts w:hint="eastAsia"/>
                <w:color w:val="auto"/>
                <w:spacing w:val="2"/>
                <w:sz w:val="21"/>
                <w:szCs w:val="21"/>
                <w:highlight w:val="none"/>
              </w:rPr>
              <w:t>邮政编码：</w:t>
            </w:r>
          </w:p>
        </w:tc>
      </w:tr>
    </w:tbl>
    <w:p w14:paraId="67536E32">
      <w:pPr>
        <w:rPr>
          <w:rFonts w:ascii="宋体" w:hAnsi="宋体" w:cs="宋体"/>
          <w:color w:val="auto"/>
          <w:szCs w:val="21"/>
          <w:highlight w:val="none"/>
        </w:rPr>
      </w:pPr>
    </w:p>
    <w:p w14:paraId="0F6AAD8B">
      <w:pPr>
        <w:rPr>
          <w:rFonts w:ascii="宋体" w:hAnsi="宋体" w:cs="宋体"/>
          <w:color w:val="auto"/>
          <w:szCs w:val="21"/>
          <w:highlight w:val="none"/>
        </w:rPr>
      </w:pPr>
    </w:p>
    <w:p w14:paraId="686D771B">
      <w:pPr>
        <w:pStyle w:val="4"/>
        <w:spacing w:line="440" w:lineRule="exact"/>
        <w:jc w:val="center"/>
        <w:rPr>
          <w:rFonts w:ascii="宋体" w:hAnsi="宋体" w:cs="宋体"/>
          <w:color w:val="auto"/>
          <w:sz w:val="32"/>
          <w:szCs w:val="32"/>
          <w:highlight w:val="none"/>
        </w:rPr>
      </w:pPr>
      <w:bookmarkStart w:id="32" w:name="_Toc88747296"/>
      <w:r>
        <w:rPr>
          <w:rFonts w:hint="eastAsia" w:ascii="宋体" w:hAnsi="宋体" w:cs="宋体"/>
          <w:color w:val="auto"/>
          <w:sz w:val="32"/>
          <w:szCs w:val="32"/>
          <w:highlight w:val="none"/>
        </w:rPr>
        <w:t>第六章 评审方法和评审标准</w:t>
      </w:r>
      <w:bookmarkEnd w:id="32"/>
    </w:p>
    <w:p w14:paraId="3A46DCD9">
      <w:pPr>
        <w:pStyle w:val="22"/>
        <w:spacing w:line="440" w:lineRule="exact"/>
        <w:ind w:firstLine="420"/>
        <w:rPr>
          <w:rFonts w:hAnsi="宋体" w:cs="宋体"/>
          <w:b/>
          <w:bCs/>
          <w:color w:val="auto"/>
          <w:sz w:val="21"/>
          <w:highlight w:val="none"/>
        </w:rPr>
      </w:pPr>
      <w:bookmarkStart w:id="33" w:name="OLE_LINK75"/>
      <w:r>
        <w:rPr>
          <w:rFonts w:hint="eastAsia" w:hAnsi="宋体" w:cs="宋体"/>
          <w:b/>
          <w:bCs/>
          <w:color w:val="auto"/>
          <w:sz w:val="21"/>
          <w:highlight w:val="none"/>
        </w:rPr>
        <w:t>一、评标原则</w:t>
      </w:r>
    </w:p>
    <w:p w14:paraId="77803B57">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14:paraId="6BCAE1E0">
      <w:pPr>
        <w:pStyle w:val="22"/>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14:paraId="062D9775">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14:paraId="59C22BDE">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14:paraId="2FDFE946">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二、评标方法</w:t>
      </w:r>
    </w:p>
    <w:p w14:paraId="0DB1BB9C">
      <w:pPr>
        <w:pStyle w:val="22"/>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tbl>
      <w:tblPr>
        <w:tblStyle w:val="4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76"/>
        <w:gridCol w:w="6029"/>
      </w:tblGrid>
      <w:tr w14:paraId="1117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noWrap w:val="0"/>
            <w:vAlign w:val="center"/>
          </w:tcPr>
          <w:p w14:paraId="3823C891">
            <w:pPr>
              <w:adjustRightInd w:val="0"/>
              <w:spacing w:line="410" w:lineRule="exact"/>
              <w:jc w:val="center"/>
              <w:textAlignment w:val="baseline"/>
              <w:rPr>
                <w:rFonts w:ascii="宋体" w:hAnsi="宋体"/>
                <w:b/>
                <w:color w:val="000000"/>
                <w:szCs w:val="21"/>
              </w:rPr>
            </w:pPr>
            <w:r>
              <w:rPr>
                <w:rFonts w:hint="eastAsia" w:ascii="宋体" w:hAnsi="宋体"/>
                <w:b/>
                <w:color w:val="000000"/>
                <w:szCs w:val="21"/>
              </w:rPr>
              <w:t>序号</w:t>
            </w:r>
          </w:p>
        </w:tc>
        <w:tc>
          <w:tcPr>
            <w:tcW w:w="1576" w:type="dxa"/>
            <w:noWrap w:val="0"/>
            <w:vAlign w:val="center"/>
          </w:tcPr>
          <w:p w14:paraId="2314FEE1">
            <w:pPr>
              <w:adjustRightInd w:val="0"/>
              <w:spacing w:line="410" w:lineRule="exact"/>
              <w:jc w:val="center"/>
              <w:textAlignment w:val="baseline"/>
              <w:rPr>
                <w:rFonts w:ascii="宋体" w:hAnsi="宋体"/>
                <w:color w:val="000000"/>
                <w:szCs w:val="21"/>
              </w:rPr>
            </w:pPr>
            <w:r>
              <w:rPr>
                <w:rFonts w:hint="eastAsia" w:ascii="宋体" w:hAnsi="宋体"/>
                <w:b/>
                <w:color w:val="000000"/>
                <w:szCs w:val="21"/>
              </w:rPr>
              <w:t>评审因素</w:t>
            </w:r>
          </w:p>
        </w:tc>
        <w:tc>
          <w:tcPr>
            <w:tcW w:w="6029" w:type="dxa"/>
            <w:noWrap w:val="0"/>
            <w:vAlign w:val="center"/>
          </w:tcPr>
          <w:p w14:paraId="5019361F">
            <w:pPr>
              <w:adjustRightInd w:val="0"/>
              <w:spacing w:line="410" w:lineRule="exact"/>
              <w:jc w:val="center"/>
              <w:textAlignment w:val="baseline"/>
              <w:rPr>
                <w:rFonts w:ascii="宋体" w:hAnsi="宋体"/>
                <w:b/>
                <w:color w:val="000000"/>
                <w:szCs w:val="21"/>
              </w:rPr>
            </w:pPr>
            <w:r>
              <w:rPr>
                <w:rFonts w:hint="eastAsia" w:ascii="宋体" w:hAnsi="宋体"/>
                <w:b/>
                <w:color w:val="000000"/>
                <w:szCs w:val="21"/>
              </w:rPr>
              <w:t>评标标准</w:t>
            </w:r>
          </w:p>
        </w:tc>
      </w:tr>
      <w:tr w14:paraId="4E99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noWrap w:val="0"/>
            <w:vAlign w:val="center"/>
          </w:tcPr>
          <w:p w14:paraId="636FEB87">
            <w:pPr>
              <w:adjustRightInd w:val="0"/>
              <w:spacing w:line="360" w:lineRule="auto"/>
              <w:jc w:val="center"/>
              <w:textAlignment w:val="baseline"/>
              <w:rPr>
                <w:rFonts w:ascii="宋体" w:hAnsi="宋体"/>
                <w:b/>
                <w:color w:val="000000"/>
                <w:szCs w:val="21"/>
              </w:rPr>
            </w:pPr>
            <w:r>
              <w:rPr>
                <w:rFonts w:hint="eastAsia" w:ascii="宋体" w:hAnsi="宋体"/>
                <w:b/>
                <w:color w:val="000000"/>
                <w:szCs w:val="21"/>
              </w:rPr>
              <w:t>1</w:t>
            </w:r>
          </w:p>
        </w:tc>
        <w:tc>
          <w:tcPr>
            <w:tcW w:w="1320" w:type="dxa"/>
            <w:noWrap w:val="0"/>
            <w:vAlign w:val="center"/>
          </w:tcPr>
          <w:p w14:paraId="158DD024">
            <w:pPr>
              <w:adjustRightInd w:val="0"/>
              <w:spacing w:line="360" w:lineRule="auto"/>
              <w:jc w:val="center"/>
              <w:textAlignment w:val="baseline"/>
              <w:rPr>
                <w:rFonts w:ascii="宋体" w:hAnsi="宋体"/>
                <w:b/>
                <w:bCs w:val="0"/>
                <w:color w:val="000000"/>
                <w:szCs w:val="21"/>
                <w:u w:val="none"/>
              </w:rPr>
            </w:pPr>
            <w:r>
              <w:rPr>
                <w:rFonts w:hint="eastAsia" w:ascii="宋体" w:hAnsi="宋体"/>
                <w:b/>
                <w:bCs w:val="0"/>
                <w:color w:val="000000"/>
                <w:szCs w:val="21"/>
                <w:u w:val="none"/>
              </w:rPr>
              <w:t>价格分</w:t>
            </w:r>
          </w:p>
          <w:p w14:paraId="50A8D632">
            <w:pPr>
              <w:adjustRightInd w:val="0"/>
              <w:spacing w:line="360" w:lineRule="auto"/>
              <w:jc w:val="center"/>
              <w:textAlignment w:val="baseline"/>
              <w:rPr>
                <w:rFonts w:ascii="宋体" w:hAnsi="宋体"/>
                <w:color w:val="000000"/>
                <w:szCs w:val="21"/>
              </w:rPr>
            </w:pPr>
            <w:r>
              <w:rPr>
                <w:rFonts w:hint="eastAsia" w:ascii="宋体" w:hAnsi="宋体"/>
                <w:b/>
                <w:bCs w:val="0"/>
                <w:color w:val="000000"/>
                <w:szCs w:val="21"/>
                <w:u w:val="none"/>
              </w:rPr>
              <w:t>（满分</w:t>
            </w:r>
            <w:r>
              <w:rPr>
                <w:rFonts w:hint="eastAsia" w:ascii="宋体" w:hAnsi="宋体"/>
                <w:b/>
                <w:bCs w:val="0"/>
                <w:color w:val="000000"/>
                <w:szCs w:val="21"/>
                <w:u w:val="none"/>
                <w:lang w:val="en-US" w:eastAsia="zh-CN"/>
              </w:rPr>
              <w:t>10</w:t>
            </w:r>
            <w:r>
              <w:rPr>
                <w:rFonts w:hint="eastAsia" w:ascii="宋体" w:hAnsi="宋体"/>
                <w:b/>
                <w:bCs w:val="0"/>
                <w:color w:val="000000"/>
                <w:szCs w:val="21"/>
                <w:u w:val="none"/>
              </w:rPr>
              <w:t>分）</w:t>
            </w:r>
          </w:p>
        </w:tc>
        <w:tc>
          <w:tcPr>
            <w:tcW w:w="1576" w:type="dxa"/>
            <w:noWrap w:val="0"/>
            <w:vAlign w:val="center"/>
          </w:tcPr>
          <w:p w14:paraId="7369A92D">
            <w:pPr>
              <w:adjustRightInd w:val="0"/>
              <w:spacing w:line="360" w:lineRule="auto"/>
              <w:jc w:val="center"/>
              <w:textAlignment w:val="baseline"/>
              <w:rPr>
                <w:rFonts w:ascii="宋体" w:hAnsi="宋体"/>
                <w:b/>
                <w:color w:val="000000"/>
                <w:szCs w:val="21"/>
              </w:rPr>
            </w:pPr>
            <w:r>
              <w:rPr>
                <w:rFonts w:hint="eastAsia" w:ascii="宋体" w:hAnsi="宋体"/>
                <w:b/>
                <w:color w:val="000000"/>
                <w:szCs w:val="21"/>
                <w:lang w:val="en-US" w:eastAsia="zh-CN"/>
              </w:rPr>
              <w:t>投标</w:t>
            </w:r>
            <w:r>
              <w:rPr>
                <w:rFonts w:hint="eastAsia" w:ascii="宋体" w:hAnsi="宋体"/>
                <w:b/>
                <w:color w:val="000000"/>
                <w:szCs w:val="21"/>
              </w:rPr>
              <w:t>报价</w:t>
            </w:r>
          </w:p>
        </w:tc>
        <w:tc>
          <w:tcPr>
            <w:tcW w:w="6029" w:type="dxa"/>
            <w:noWrap w:val="0"/>
            <w:vAlign w:val="top"/>
          </w:tcPr>
          <w:p w14:paraId="7DAD4315">
            <w:pPr>
              <w:snapToGrid w:val="0"/>
              <w:spacing w:line="360" w:lineRule="auto"/>
              <w:ind w:firstLine="420" w:firstLineChars="200"/>
              <w:rPr>
                <w:rFonts w:ascii="宋体" w:hAnsi="宋体"/>
                <w:color w:val="000000"/>
                <w:szCs w:val="21"/>
              </w:rPr>
            </w:pPr>
            <w:r>
              <w:rPr>
                <w:rFonts w:hint="eastAsia" w:ascii="宋体" w:hAnsi="宋体"/>
                <w:bCs/>
                <w:color w:val="000000"/>
                <w:szCs w:val="21"/>
              </w:rPr>
              <w:t>（1）评标报价为投标人的投标报价进行政策性扣除后的价格，评标报价只是作为评标时使用</w:t>
            </w:r>
            <w:r>
              <w:rPr>
                <w:rFonts w:hint="eastAsia" w:ascii="宋体" w:hAnsi="宋体"/>
                <w:color w:val="000000"/>
                <w:szCs w:val="21"/>
              </w:rPr>
              <w:t>。最终中标人的中标金额等于投标报价。</w:t>
            </w:r>
          </w:p>
          <w:p w14:paraId="067F5431">
            <w:pPr>
              <w:snapToGrid w:val="0"/>
              <w:spacing w:line="360" w:lineRule="auto"/>
              <w:ind w:firstLine="420" w:firstLineChars="200"/>
              <w:rPr>
                <w:rFonts w:ascii="宋体" w:hAnsi="宋体"/>
                <w:color w:val="000000"/>
                <w:szCs w:val="21"/>
              </w:rPr>
            </w:pPr>
            <w:r>
              <w:rPr>
                <w:rFonts w:hint="eastAsia" w:ascii="宋体" w:hAnsi="宋体"/>
                <w:color w:val="000000"/>
                <w:szCs w:val="21"/>
              </w:rPr>
              <w:t>（2）政策性扣除计算方法。</w:t>
            </w:r>
          </w:p>
          <w:p w14:paraId="38AD162C">
            <w:pPr>
              <w:spacing w:line="360" w:lineRule="auto"/>
              <w:ind w:firstLine="420" w:firstLineChars="200"/>
              <w:contextualSpacing/>
              <w:rPr>
                <w:rFonts w:hint="eastAsia" w:ascii="宋体" w:hAnsi="宋体" w:cs="Courier New"/>
                <w:bCs/>
                <w:color w:val="000000"/>
                <w:szCs w:val="21"/>
              </w:rPr>
            </w:pPr>
            <w:r>
              <w:rPr>
                <w:rFonts w:hint="eastAsia" w:ascii="宋体" w:hAnsi="宋体" w:cs="Courier New"/>
                <w:bCs/>
                <w:color w:val="000000"/>
                <w:szCs w:val="21"/>
              </w:rPr>
              <w:t>根据《政府采购促进中小企业发展管理办法》（财库〔2020〕46号）及《广西壮族自治区财政厅关于持续优化政府采购营商环境推动高质量发展的通知》（桂财采〔2024〕55号）的规定，供应商在其投标文件中提供《中小企业声明函》，且服务全部由小微企业承接对其投标报价给予10%的扣除，扣除后的价格为评标报价，即评标报价=最后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最后报价×（1-4%）。除上述情况外，评标报价=最后报价。</w:t>
            </w:r>
          </w:p>
          <w:p w14:paraId="41B76202">
            <w:pPr>
              <w:spacing w:line="360" w:lineRule="auto"/>
              <w:ind w:firstLine="420" w:firstLineChars="200"/>
              <w:contextualSpacing/>
              <w:rPr>
                <w:rFonts w:hint="eastAsia" w:ascii="宋体" w:hAnsi="宋体" w:cs="Courier New"/>
                <w:bCs/>
                <w:color w:val="000000"/>
                <w:szCs w:val="21"/>
              </w:rPr>
            </w:pPr>
            <w:r>
              <w:rPr>
                <w:rFonts w:hint="eastAsia" w:ascii="宋体" w:hAnsi="宋体" w:cs="Courier New"/>
                <w:bCs/>
                <w:color w:val="000000"/>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D9A12FA">
            <w:pPr>
              <w:spacing w:line="360" w:lineRule="auto"/>
              <w:ind w:firstLine="420" w:firstLineChars="200"/>
              <w:contextualSpacing/>
              <w:rPr>
                <w:rFonts w:hint="eastAsia" w:ascii="宋体" w:hAnsi="宋体" w:cs="Courier New"/>
                <w:bCs/>
                <w:color w:val="000000"/>
                <w:szCs w:val="21"/>
              </w:rPr>
            </w:pPr>
            <w:r>
              <w:rPr>
                <w:rFonts w:hint="eastAsia" w:ascii="宋体" w:hAnsi="宋体" w:cs="Courier New"/>
                <w:bCs/>
                <w:color w:val="000000"/>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813C4E0">
            <w:pPr>
              <w:spacing w:line="360" w:lineRule="auto"/>
              <w:ind w:firstLine="420" w:firstLineChars="200"/>
              <w:contextualSpacing/>
              <w:rPr>
                <w:rFonts w:hint="eastAsia" w:ascii="宋体" w:hAnsi="宋体" w:cs="Courier New"/>
                <w:bCs/>
                <w:color w:val="000000"/>
                <w:szCs w:val="21"/>
              </w:rPr>
            </w:pPr>
            <w:r>
              <w:rPr>
                <w:rFonts w:hint="eastAsia" w:ascii="宋体" w:hAnsi="宋体" w:cs="Courier New"/>
                <w:bCs/>
                <w:color w:val="000000"/>
                <w:szCs w:val="21"/>
              </w:rPr>
              <w:t>（5）满足招标文件要求且评标报价最低的评标报价为评标基准价，其价格分为满分。</w:t>
            </w:r>
          </w:p>
          <w:p w14:paraId="0581458E">
            <w:pPr>
              <w:spacing w:line="360" w:lineRule="auto"/>
              <w:ind w:firstLine="420" w:firstLineChars="200"/>
              <w:rPr>
                <w:rFonts w:ascii="宋体" w:hAnsi="宋体"/>
                <w:bCs/>
                <w:color w:val="000000"/>
                <w:szCs w:val="21"/>
              </w:rPr>
            </w:pPr>
            <w:r>
              <w:rPr>
                <w:rFonts w:hint="eastAsia" w:ascii="宋体" w:hAnsi="宋体"/>
                <w:bCs/>
                <w:color w:val="000000"/>
                <w:szCs w:val="21"/>
              </w:rPr>
              <w:t>（</w:t>
            </w:r>
            <w:r>
              <w:rPr>
                <w:rFonts w:ascii="宋体" w:hAnsi="宋体"/>
                <w:bCs/>
                <w:color w:val="000000"/>
                <w:szCs w:val="21"/>
              </w:rPr>
              <w:t>6</w:t>
            </w:r>
            <w:r>
              <w:rPr>
                <w:rFonts w:hint="eastAsia" w:ascii="宋体" w:hAnsi="宋体"/>
                <w:bCs/>
                <w:color w:val="000000"/>
                <w:szCs w:val="21"/>
              </w:rPr>
              <w:t xml:space="preserve">）价格分计算公式： </w:t>
            </w:r>
          </w:p>
          <w:p w14:paraId="26E01D14">
            <w:pPr>
              <w:pStyle w:val="22"/>
              <w:spacing w:line="360" w:lineRule="auto"/>
              <w:ind w:firstLine="420" w:firstLineChars="200"/>
              <w:rPr>
                <w:rFonts w:hAnsi="宋体" w:cs="Courier New"/>
                <w:bCs/>
                <w:color w:val="000000"/>
                <w:kern w:val="2"/>
                <w:sz w:val="21"/>
                <w:u w:val="single"/>
              </w:rPr>
            </w:pPr>
            <w:r>
              <w:rPr>
                <w:rFonts w:hint="eastAsia" w:hAnsi="宋体"/>
                <w:bCs/>
                <w:color w:val="000000"/>
                <w:sz w:val="21"/>
              </w:rPr>
              <w:t>价格分</w:t>
            </w:r>
            <w:r>
              <w:rPr>
                <w:rFonts w:hint="eastAsia" w:hAnsi="宋体" w:cs="Courier New"/>
                <w:bCs/>
                <w:color w:val="000000"/>
                <w:kern w:val="2"/>
                <w:sz w:val="21"/>
              </w:rPr>
              <w:t>=（评标基准价／评标报价）×</w:t>
            </w:r>
            <w:r>
              <w:rPr>
                <w:rFonts w:hint="eastAsia" w:hAnsi="宋体"/>
                <w:bCs/>
                <w:color w:val="000000"/>
                <w:sz w:val="21"/>
                <w:u w:val="single"/>
              </w:rPr>
              <w:t xml:space="preserve"> </w:t>
            </w:r>
            <w:r>
              <w:rPr>
                <w:rFonts w:hint="eastAsia" w:hAnsi="宋体"/>
                <w:bCs/>
                <w:color w:val="000000"/>
                <w:sz w:val="21"/>
                <w:u w:val="single"/>
                <w:lang w:val="en-US" w:eastAsia="zh-CN"/>
              </w:rPr>
              <w:t>10</w:t>
            </w:r>
            <w:r>
              <w:rPr>
                <w:rFonts w:hint="eastAsia" w:hAnsi="宋体"/>
                <w:bCs/>
                <w:color w:val="000000"/>
                <w:sz w:val="21"/>
                <w:u w:val="single"/>
              </w:rPr>
              <w:t xml:space="preserve"> </w:t>
            </w:r>
            <w:r>
              <w:rPr>
                <w:rFonts w:hint="eastAsia" w:hAnsi="宋体" w:cs="Courier New"/>
                <w:bCs/>
                <w:color w:val="000000"/>
                <w:kern w:val="2"/>
                <w:sz w:val="21"/>
              </w:rPr>
              <w:t>分</w:t>
            </w:r>
          </w:p>
        </w:tc>
      </w:tr>
      <w:tr w14:paraId="3C17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noWrap w:val="0"/>
            <w:vAlign w:val="center"/>
          </w:tcPr>
          <w:p w14:paraId="7376897C">
            <w:pPr>
              <w:adjustRightInd w:val="0"/>
              <w:spacing w:line="360" w:lineRule="auto"/>
              <w:jc w:val="center"/>
              <w:textAlignment w:val="baseline"/>
              <w:rPr>
                <w:rFonts w:ascii="宋体" w:hAnsi="宋体"/>
                <w:b/>
                <w:color w:val="000000"/>
                <w:szCs w:val="21"/>
              </w:rPr>
            </w:pPr>
            <w:r>
              <w:rPr>
                <w:rFonts w:hint="eastAsia" w:ascii="宋体" w:hAnsi="宋体"/>
                <w:b/>
                <w:color w:val="000000"/>
                <w:szCs w:val="21"/>
              </w:rPr>
              <w:t>2</w:t>
            </w:r>
          </w:p>
        </w:tc>
        <w:tc>
          <w:tcPr>
            <w:tcW w:w="1320" w:type="dxa"/>
            <w:vMerge w:val="restart"/>
            <w:noWrap w:val="0"/>
            <w:vAlign w:val="center"/>
          </w:tcPr>
          <w:p w14:paraId="72025B22">
            <w:pPr>
              <w:adjustRightInd w:val="0"/>
              <w:spacing w:line="360" w:lineRule="auto"/>
              <w:ind w:left="-105" w:leftChars="-50" w:right="-105" w:rightChars="-50"/>
              <w:jc w:val="center"/>
              <w:textAlignment w:val="baseline"/>
              <w:rPr>
                <w:rFonts w:ascii="宋体" w:hAnsi="宋体"/>
                <w:b/>
                <w:bCs/>
                <w:color w:val="auto"/>
                <w:szCs w:val="21"/>
                <w:u w:val="none"/>
              </w:rPr>
            </w:pPr>
            <w:r>
              <w:rPr>
                <w:rFonts w:hint="eastAsia" w:ascii="宋体" w:hAnsi="宋体"/>
                <w:b/>
                <w:bCs/>
                <w:color w:val="auto"/>
                <w:szCs w:val="21"/>
                <w:u w:val="none"/>
              </w:rPr>
              <w:t>技术分</w:t>
            </w:r>
          </w:p>
          <w:p w14:paraId="51CA7124">
            <w:pPr>
              <w:adjustRightInd w:val="0"/>
              <w:spacing w:line="360" w:lineRule="auto"/>
              <w:ind w:left="-105" w:leftChars="-50" w:right="-105" w:rightChars="-50"/>
              <w:jc w:val="center"/>
              <w:textAlignment w:val="baseline"/>
              <w:rPr>
                <w:rFonts w:ascii="宋体" w:hAnsi="宋体"/>
                <w:color w:val="auto"/>
                <w:spacing w:val="-18"/>
                <w:szCs w:val="21"/>
              </w:rPr>
            </w:pPr>
            <w:r>
              <w:rPr>
                <w:rFonts w:hint="eastAsia" w:ascii="宋体" w:hAnsi="宋体"/>
                <w:b/>
                <w:bCs/>
                <w:color w:val="auto"/>
                <w:szCs w:val="21"/>
                <w:u w:val="none"/>
              </w:rPr>
              <w:t>（满分</w:t>
            </w:r>
            <w:r>
              <w:rPr>
                <w:rFonts w:hint="eastAsia" w:ascii="宋体" w:hAnsi="宋体"/>
                <w:b/>
                <w:bCs/>
                <w:color w:val="auto"/>
                <w:szCs w:val="21"/>
                <w:u w:val="none"/>
                <w:lang w:val="en-US" w:eastAsia="zh-CN"/>
              </w:rPr>
              <w:t>65</w:t>
            </w:r>
            <w:r>
              <w:rPr>
                <w:rFonts w:hint="eastAsia" w:ascii="宋体" w:hAnsi="宋体"/>
                <w:b/>
                <w:bCs/>
                <w:color w:val="auto"/>
                <w:szCs w:val="21"/>
                <w:u w:val="none"/>
              </w:rPr>
              <w:t>分）</w:t>
            </w:r>
          </w:p>
        </w:tc>
        <w:tc>
          <w:tcPr>
            <w:tcW w:w="1576" w:type="dxa"/>
            <w:noWrap w:val="0"/>
            <w:vAlign w:val="center"/>
          </w:tcPr>
          <w:p w14:paraId="4D68A78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Cs w:val="21"/>
              </w:rPr>
            </w:pPr>
            <w:r>
              <w:rPr>
                <w:rFonts w:hint="eastAsia" w:ascii="宋体" w:hAnsi="宋体" w:eastAsia="宋体" w:cs="宋体"/>
                <w:b/>
                <w:bCs/>
                <w:strike w:val="0"/>
                <w:dstrike w:val="0"/>
                <w:color w:val="auto"/>
                <w:kern w:val="0"/>
                <w:szCs w:val="21"/>
                <w:highlight w:val="none"/>
                <w:lang w:val="en-US" w:eastAsia="zh-CN"/>
              </w:rPr>
              <w:t>规划编制工作方案</w:t>
            </w:r>
            <w:r>
              <w:rPr>
                <w:rFonts w:hint="eastAsia" w:ascii="宋体" w:hAnsi="宋体" w:eastAsia="宋体" w:cs="宋体"/>
                <w:b/>
                <w:bCs/>
                <w:strike w:val="0"/>
                <w:color w:val="auto"/>
                <w:kern w:val="0"/>
                <w:szCs w:val="21"/>
                <w:highlight w:val="none"/>
                <w:lang w:val="en-US" w:eastAsia="zh-CN"/>
              </w:rPr>
              <w:t>（</w:t>
            </w:r>
            <w:r>
              <w:rPr>
                <w:rFonts w:hint="eastAsia" w:ascii="宋体" w:hAnsi="宋体" w:eastAsia="宋体" w:cs="宋体"/>
                <w:b/>
                <w:bCs/>
                <w:strike w:val="0"/>
                <w:color w:val="auto"/>
                <w:spacing w:val="0"/>
                <w:sz w:val="21"/>
                <w:szCs w:val="21"/>
                <w:highlight w:val="none"/>
                <w:lang w:val="en-US" w:eastAsia="zh-CN"/>
              </w:rPr>
              <w:t>满分</w:t>
            </w:r>
            <w:r>
              <w:rPr>
                <w:rFonts w:hint="eastAsia" w:ascii="宋体" w:hAnsi="宋体" w:cs="宋体"/>
                <w:b/>
                <w:bCs/>
                <w:strike w:val="0"/>
                <w:color w:val="auto"/>
                <w:kern w:val="0"/>
                <w:szCs w:val="21"/>
                <w:highlight w:val="none"/>
                <w:lang w:val="en-US" w:eastAsia="zh-CN"/>
              </w:rPr>
              <w:t>15</w:t>
            </w:r>
            <w:r>
              <w:rPr>
                <w:rFonts w:hint="eastAsia" w:ascii="宋体" w:hAnsi="宋体" w:eastAsia="宋体" w:cs="宋体"/>
                <w:b/>
                <w:bCs/>
                <w:strike w:val="0"/>
                <w:color w:val="auto"/>
                <w:kern w:val="0"/>
                <w:szCs w:val="21"/>
                <w:highlight w:val="none"/>
                <w:lang w:val="en-US" w:eastAsia="zh-CN"/>
              </w:rPr>
              <w:t>分）</w:t>
            </w:r>
          </w:p>
        </w:tc>
        <w:tc>
          <w:tcPr>
            <w:tcW w:w="6029" w:type="dxa"/>
            <w:noWrap w:val="0"/>
            <w:vAlign w:val="center"/>
          </w:tcPr>
          <w:p w14:paraId="7AC8722D">
            <w:pPr>
              <w:keepNext w:val="0"/>
              <w:keepLines w:val="0"/>
              <w:pageBreakBefore w:val="0"/>
              <w:widowControl/>
              <w:kinsoku/>
              <w:wordWrap/>
              <w:overflowPunct/>
              <w:topLinePunct w:val="0"/>
              <w:autoSpaceDE/>
              <w:autoSpaceDN/>
              <w:bidi w:val="0"/>
              <w:adjustRightInd/>
              <w:snapToGrid/>
              <w:spacing w:after="0" w:line="440" w:lineRule="exact"/>
              <w:ind w:firstLine="420" w:firstLineChars="0"/>
              <w:jc w:val="left"/>
              <w:textAlignment w:val="auto"/>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根据供应商提供的</w:t>
            </w:r>
            <w:r>
              <w:rPr>
                <w:rFonts w:hint="eastAsia" w:ascii="宋体" w:hAnsi="宋体" w:eastAsia="宋体" w:cs="宋体"/>
                <w:color w:val="auto"/>
                <w:kern w:val="0"/>
                <w:szCs w:val="21"/>
                <w:highlight w:val="none"/>
                <w:lang w:val="en-US" w:eastAsia="zh-CN"/>
              </w:rPr>
              <w:t>规划编制工作方案</w:t>
            </w:r>
            <w:r>
              <w:rPr>
                <w:rFonts w:hint="eastAsia" w:ascii="宋体" w:hAnsi="宋体" w:eastAsia="宋体" w:cs="宋体"/>
                <w:color w:val="auto"/>
                <w:kern w:val="2"/>
                <w:szCs w:val="21"/>
                <w:highlight w:val="none"/>
                <w:lang w:val="en-US" w:eastAsia="zh-CN"/>
              </w:rPr>
              <w:t>进行综合评审，未提供或者不入档不得分。</w:t>
            </w:r>
          </w:p>
          <w:p w14:paraId="551D1271">
            <w:pPr>
              <w:keepNext w:val="0"/>
              <w:keepLines w:val="0"/>
              <w:pageBreakBefore w:val="0"/>
              <w:widowControl/>
              <w:kinsoku/>
              <w:wordWrap/>
              <w:overflowPunct/>
              <w:topLinePunct w:val="0"/>
              <w:autoSpaceDE/>
              <w:autoSpaceDN/>
              <w:bidi w:val="0"/>
              <w:adjustRightInd/>
              <w:snapToGrid/>
              <w:spacing w:after="0" w:line="440" w:lineRule="exact"/>
              <w:ind w:firstLine="420" w:firstLineChars="0"/>
              <w:jc w:val="left"/>
              <w:textAlignment w:val="auto"/>
              <w:rPr>
                <w:rFonts w:hint="eastAsia" w:ascii="宋体" w:hAnsi="宋体" w:eastAsia="宋体" w:cs="宋体"/>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一档（5分）：</w:t>
            </w:r>
            <w:r>
              <w:rPr>
                <w:rFonts w:hint="eastAsia" w:ascii="宋体" w:hAnsi="宋体" w:eastAsia="宋体" w:cs="宋体"/>
                <w:color w:val="auto"/>
                <w:kern w:val="2"/>
                <w:szCs w:val="21"/>
                <w:highlight w:val="none"/>
                <w:lang w:val="en-US" w:eastAsia="zh-CN"/>
              </w:rPr>
              <w:t>工作方案不够全面，制订的工作内容、技术方法和</w:t>
            </w:r>
            <w:r>
              <w:rPr>
                <w:rFonts w:hint="eastAsia" w:ascii="宋体" w:hAnsi="宋体" w:eastAsia="宋体" w:cs="宋体"/>
                <w:color w:val="auto"/>
                <w:kern w:val="2"/>
                <w:szCs w:val="21"/>
                <w:highlight w:val="none"/>
              </w:rPr>
              <w:t>路线</w:t>
            </w:r>
            <w:r>
              <w:rPr>
                <w:rFonts w:hint="eastAsia" w:ascii="宋体" w:hAnsi="宋体" w:eastAsia="宋体" w:cs="宋体"/>
                <w:color w:val="auto"/>
                <w:kern w:val="2"/>
                <w:szCs w:val="21"/>
                <w:highlight w:val="none"/>
                <w:lang w:val="en-US" w:eastAsia="zh-CN"/>
              </w:rPr>
              <w:t>不</w:t>
            </w:r>
            <w:r>
              <w:rPr>
                <w:rFonts w:hint="eastAsia" w:ascii="宋体" w:hAnsi="宋体" w:eastAsia="宋体" w:cs="宋体"/>
                <w:color w:val="auto"/>
                <w:kern w:val="2"/>
                <w:szCs w:val="21"/>
                <w:highlight w:val="none"/>
              </w:rPr>
              <w:t>明确</w:t>
            </w: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工作</w:t>
            </w:r>
            <w:r>
              <w:rPr>
                <w:rFonts w:hint="eastAsia" w:ascii="宋体" w:hAnsi="宋体" w:eastAsia="宋体" w:cs="宋体"/>
                <w:color w:val="auto"/>
                <w:kern w:val="2"/>
                <w:szCs w:val="21"/>
                <w:highlight w:val="none"/>
              </w:rPr>
              <w:t>方案</w:t>
            </w:r>
            <w:r>
              <w:rPr>
                <w:rFonts w:hint="eastAsia" w:ascii="宋体" w:hAnsi="宋体" w:eastAsia="宋体" w:cs="宋体"/>
                <w:color w:val="auto"/>
                <w:kern w:val="2"/>
                <w:szCs w:val="21"/>
                <w:highlight w:val="none"/>
                <w:lang w:val="en-US" w:eastAsia="zh-CN"/>
              </w:rPr>
              <w:t>有</w:t>
            </w:r>
            <w:r>
              <w:rPr>
                <w:rFonts w:hint="eastAsia" w:ascii="宋体" w:hAnsi="宋体" w:eastAsia="宋体" w:cs="宋体"/>
                <w:color w:val="auto"/>
                <w:kern w:val="2"/>
                <w:szCs w:val="21"/>
                <w:highlight w:val="none"/>
              </w:rPr>
              <w:t>整体构思，项目整体方案安排</w:t>
            </w:r>
            <w:r>
              <w:rPr>
                <w:rFonts w:hint="eastAsia" w:ascii="宋体" w:hAnsi="宋体" w:eastAsia="宋体" w:cs="宋体"/>
                <w:color w:val="auto"/>
                <w:kern w:val="2"/>
                <w:szCs w:val="21"/>
                <w:highlight w:val="none"/>
                <w:lang w:eastAsia="zh-CN"/>
              </w:rPr>
              <w:t>基本符合要求；</w:t>
            </w:r>
          </w:p>
          <w:p w14:paraId="0738FFE5">
            <w:pPr>
              <w:keepNext w:val="0"/>
              <w:keepLines w:val="0"/>
              <w:pageBreakBefore w:val="0"/>
              <w:widowControl/>
              <w:kinsoku/>
              <w:wordWrap/>
              <w:overflowPunct/>
              <w:topLinePunct w:val="0"/>
              <w:autoSpaceDE/>
              <w:autoSpaceDN/>
              <w:bidi w:val="0"/>
              <w:adjustRightInd/>
              <w:snapToGrid/>
              <w:spacing w:after="0" w:line="440" w:lineRule="exact"/>
              <w:ind w:firstLine="420" w:firstLineChars="0"/>
              <w:jc w:val="left"/>
              <w:textAlignment w:val="auto"/>
              <w:rPr>
                <w:rFonts w:hint="eastAsia" w:ascii="宋体" w:hAnsi="宋体" w:eastAsia="宋体" w:cs="宋体"/>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二档（10分）：</w:t>
            </w:r>
            <w:r>
              <w:rPr>
                <w:rFonts w:hint="eastAsia" w:ascii="宋体" w:hAnsi="宋体" w:eastAsia="宋体" w:cs="宋体"/>
                <w:color w:val="auto"/>
                <w:kern w:val="2"/>
                <w:szCs w:val="21"/>
                <w:highlight w:val="none"/>
                <w:lang w:val="en-US" w:eastAsia="zh-CN"/>
              </w:rPr>
              <w:t>工作方案基本满足本专项规划的相关要求，制订的工作内容、技术方法和</w:t>
            </w:r>
            <w:r>
              <w:rPr>
                <w:rFonts w:hint="eastAsia" w:ascii="宋体" w:hAnsi="宋体" w:eastAsia="宋体" w:cs="宋体"/>
                <w:color w:val="auto"/>
                <w:kern w:val="2"/>
                <w:szCs w:val="21"/>
                <w:highlight w:val="none"/>
              </w:rPr>
              <w:t>路线基本明确；设计基本可行</w:t>
            </w: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工作</w:t>
            </w:r>
            <w:r>
              <w:rPr>
                <w:rFonts w:hint="eastAsia" w:ascii="宋体" w:hAnsi="宋体" w:eastAsia="宋体" w:cs="宋体"/>
                <w:color w:val="auto"/>
                <w:kern w:val="2"/>
                <w:szCs w:val="21"/>
                <w:highlight w:val="none"/>
              </w:rPr>
              <w:t>方案整体构思无明显纰漏，项目整体方案安排</w:t>
            </w:r>
            <w:r>
              <w:rPr>
                <w:rFonts w:hint="eastAsia" w:ascii="宋体" w:hAnsi="宋体" w:eastAsia="宋体" w:cs="宋体"/>
                <w:color w:val="auto"/>
                <w:kern w:val="2"/>
                <w:szCs w:val="21"/>
                <w:highlight w:val="none"/>
                <w:lang w:eastAsia="zh-CN"/>
              </w:rPr>
              <w:t>基本符合要求，对项目需求分析基本到位；针对本项目配备的</w:t>
            </w:r>
            <w:r>
              <w:rPr>
                <w:rFonts w:hint="eastAsia" w:ascii="宋体" w:hAnsi="宋体" w:cs="宋体"/>
                <w:color w:val="auto"/>
                <w:kern w:val="2"/>
                <w:szCs w:val="21"/>
                <w:highlight w:val="none"/>
                <w:lang w:val="en-US" w:eastAsia="zh-CN"/>
              </w:rPr>
              <w:t>编制</w:t>
            </w:r>
            <w:r>
              <w:rPr>
                <w:rFonts w:hint="eastAsia" w:ascii="宋体" w:hAnsi="宋体" w:eastAsia="宋体" w:cs="宋体"/>
                <w:color w:val="auto"/>
                <w:kern w:val="2"/>
                <w:szCs w:val="21"/>
                <w:highlight w:val="none"/>
                <w:lang w:eastAsia="zh-CN"/>
              </w:rPr>
              <w:t>团队服务人员分工基本明确、组织措施及安排基本合理，项目编制、管理方案有可行性，基本能达到采购人的目的。</w:t>
            </w:r>
          </w:p>
          <w:p w14:paraId="1ABCAD15">
            <w:pPr>
              <w:keepNext w:val="0"/>
              <w:keepLines w:val="0"/>
              <w:pageBreakBefore w:val="0"/>
              <w:widowControl/>
              <w:kinsoku/>
              <w:wordWrap/>
              <w:overflowPunct/>
              <w:topLinePunct w:val="0"/>
              <w:autoSpaceDE/>
              <w:autoSpaceDN/>
              <w:bidi w:val="0"/>
              <w:adjustRightInd/>
              <w:snapToGrid/>
              <w:spacing w:after="0" w:line="440" w:lineRule="exact"/>
              <w:ind w:firstLine="420" w:firstLineChars="0"/>
              <w:jc w:val="left"/>
              <w:textAlignment w:val="auto"/>
              <w:rPr>
                <w:rFonts w:hint="eastAsia" w:ascii="宋体" w:hAnsi="宋体" w:eastAsia="宋体" w:cs="宋体"/>
                <w:bCs/>
                <w:color w:val="auto"/>
                <w:szCs w:val="21"/>
              </w:rPr>
            </w:pPr>
            <w:r>
              <w:rPr>
                <w:rFonts w:hint="eastAsia" w:ascii="宋体" w:hAnsi="宋体" w:eastAsia="宋体" w:cs="宋体"/>
                <w:b/>
                <w:bCs/>
                <w:color w:val="auto"/>
                <w:kern w:val="2"/>
                <w:szCs w:val="21"/>
                <w:highlight w:val="none"/>
                <w:lang w:val="en-US" w:eastAsia="zh-CN"/>
              </w:rPr>
              <w:t>三档（15分）：</w:t>
            </w:r>
            <w:r>
              <w:rPr>
                <w:rFonts w:hint="eastAsia" w:ascii="宋体" w:hAnsi="宋体" w:eastAsia="宋体" w:cs="宋体"/>
                <w:color w:val="auto"/>
                <w:kern w:val="2"/>
                <w:szCs w:val="21"/>
                <w:highlight w:val="none"/>
                <w:lang w:val="en-US" w:eastAsia="zh-CN"/>
              </w:rPr>
              <w:t>工作方案</w:t>
            </w:r>
            <w:r>
              <w:rPr>
                <w:rFonts w:hint="eastAsia" w:ascii="宋体" w:hAnsi="宋体" w:eastAsia="宋体" w:cs="宋体"/>
                <w:color w:val="auto"/>
                <w:kern w:val="2"/>
                <w:szCs w:val="21"/>
                <w:highlight w:val="none"/>
              </w:rPr>
              <w:t>满足</w:t>
            </w:r>
            <w:r>
              <w:rPr>
                <w:rFonts w:hint="eastAsia" w:ascii="宋体" w:hAnsi="宋体" w:eastAsia="宋体" w:cs="宋体"/>
                <w:color w:val="auto"/>
                <w:kern w:val="2"/>
                <w:szCs w:val="21"/>
                <w:highlight w:val="none"/>
                <w:lang w:eastAsia="zh-CN"/>
              </w:rPr>
              <w:t>专项</w:t>
            </w:r>
            <w:r>
              <w:rPr>
                <w:rFonts w:hint="eastAsia" w:ascii="宋体" w:hAnsi="宋体" w:eastAsia="宋体" w:cs="宋体"/>
                <w:color w:val="auto"/>
                <w:kern w:val="2"/>
                <w:szCs w:val="21"/>
                <w:highlight w:val="none"/>
              </w:rPr>
              <w:t>规划的相关要求，制订的</w:t>
            </w:r>
            <w:r>
              <w:rPr>
                <w:rFonts w:hint="eastAsia" w:ascii="宋体" w:hAnsi="宋体" w:eastAsia="宋体" w:cs="宋体"/>
                <w:color w:val="auto"/>
                <w:kern w:val="2"/>
                <w:szCs w:val="21"/>
                <w:highlight w:val="none"/>
                <w:lang w:eastAsia="zh-CN"/>
              </w:rPr>
              <w:t>工作</w:t>
            </w:r>
            <w:r>
              <w:rPr>
                <w:rFonts w:hint="eastAsia" w:ascii="宋体" w:hAnsi="宋体" w:eastAsia="宋体" w:cs="宋体"/>
                <w:color w:val="auto"/>
                <w:kern w:val="2"/>
                <w:szCs w:val="21"/>
                <w:highlight w:val="none"/>
              </w:rPr>
              <w:t>内容、技术方法和路线符合项目要求；设计基本符合当地实际，具有可行性</w:t>
            </w: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工作</w:t>
            </w:r>
            <w:r>
              <w:rPr>
                <w:rFonts w:hint="eastAsia" w:ascii="宋体" w:hAnsi="宋体" w:eastAsia="宋体" w:cs="宋体"/>
                <w:color w:val="auto"/>
                <w:kern w:val="2"/>
                <w:szCs w:val="21"/>
                <w:highlight w:val="none"/>
              </w:rPr>
              <w:t>方案较完整，整体构思无纰漏，项目整体方案安排符合本项目要求</w:t>
            </w:r>
            <w:r>
              <w:rPr>
                <w:rFonts w:hint="eastAsia" w:ascii="宋体" w:hAnsi="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具有较好的</w:t>
            </w:r>
            <w:r>
              <w:rPr>
                <w:rFonts w:hint="eastAsia" w:ascii="宋体" w:hAnsi="宋体" w:cs="宋体"/>
                <w:color w:val="auto"/>
                <w:kern w:val="2"/>
                <w:szCs w:val="21"/>
                <w:highlight w:val="none"/>
                <w:lang w:val="en-US" w:eastAsia="zh-CN"/>
              </w:rPr>
              <w:t>可行性</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针对本项目配备优秀的、经验丰富的</w:t>
            </w:r>
            <w:r>
              <w:rPr>
                <w:rFonts w:hint="eastAsia" w:ascii="宋体" w:hAnsi="宋体" w:cs="宋体"/>
                <w:color w:val="auto"/>
                <w:kern w:val="2"/>
                <w:szCs w:val="21"/>
                <w:highlight w:val="none"/>
                <w:lang w:val="en-US" w:eastAsia="zh-CN"/>
              </w:rPr>
              <w:t>编制</w:t>
            </w:r>
            <w:r>
              <w:rPr>
                <w:rFonts w:hint="eastAsia" w:ascii="宋体" w:hAnsi="宋体" w:eastAsia="宋体" w:cs="宋体"/>
                <w:color w:val="auto"/>
                <w:kern w:val="2"/>
                <w:szCs w:val="21"/>
                <w:highlight w:val="none"/>
                <w:lang w:val="en-US" w:eastAsia="zh-CN"/>
              </w:rPr>
              <w:t>团队，有细化的项目进度计划流程，团队服务人员分工明确，有丰富的技术、服务经验；组织管理措施有具体的时间、质量、进度控制，科学合理，有针对性且可行性高；组织安排合理详细；项目编制、管理方案配套措施安排详细，可行性良好，能完全满足采购人的采购目的。</w:t>
            </w:r>
          </w:p>
        </w:tc>
      </w:tr>
      <w:tr w14:paraId="3B4F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top"/>
          </w:tcPr>
          <w:p w14:paraId="105D0425">
            <w:pPr>
              <w:adjustRightInd w:val="0"/>
              <w:spacing w:line="360" w:lineRule="auto"/>
              <w:jc w:val="center"/>
              <w:textAlignment w:val="baseline"/>
              <w:rPr>
                <w:rFonts w:ascii="宋体" w:hAnsi="宋体"/>
                <w:b/>
                <w:color w:val="000000"/>
                <w:szCs w:val="21"/>
              </w:rPr>
            </w:pPr>
          </w:p>
        </w:tc>
        <w:tc>
          <w:tcPr>
            <w:tcW w:w="1320" w:type="dxa"/>
            <w:vMerge w:val="continue"/>
            <w:noWrap w:val="0"/>
            <w:vAlign w:val="top"/>
          </w:tcPr>
          <w:p w14:paraId="5E86FE30">
            <w:pPr>
              <w:adjustRightInd w:val="0"/>
              <w:spacing w:line="360" w:lineRule="auto"/>
              <w:jc w:val="center"/>
              <w:textAlignment w:val="baseline"/>
              <w:rPr>
                <w:rFonts w:ascii="宋体" w:hAnsi="宋体"/>
                <w:color w:val="000000"/>
                <w:szCs w:val="21"/>
              </w:rPr>
            </w:pPr>
          </w:p>
        </w:tc>
        <w:tc>
          <w:tcPr>
            <w:tcW w:w="1576" w:type="dxa"/>
            <w:shd w:val="clear" w:color="auto" w:fill="auto"/>
            <w:noWrap w:val="0"/>
            <w:tcMar>
              <w:left w:w="57" w:type="dxa"/>
              <w:right w:w="57" w:type="dxa"/>
            </w:tcMar>
            <w:vAlign w:val="center"/>
          </w:tcPr>
          <w:p w14:paraId="2C8EA9CC">
            <w:pPr>
              <w:autoSpaceDE w:val="0"/>
              <w:autoSpaceDN w:val="0"/>
              <w:adjustRightInd w:val="0"/>
              <w:spacing w:line="400" w:lineRule="exact"/>
              <w:jc w:val="center"/>
              <w:rPr>
                <w:rFonts w:hint="eastAsia" w:ascii="宋体" w:hAnsi="宋体"/>
                <w:b/>
                <w:bCs w:val="0"/>
                <w:strike w:val="0"/>
                <w:dstrike w:val="0"/>
                <w:color w:val="auto"/>
                <w:szCs w:val="21"/>
                <w:u w:val="none"/>
              </w:rPr>
            </w:pPr>
            <w:r>
              <w:rPr>
                <w:rFonts w:ascii="宋体" w:hAnsi="宋体"/>
                <w:b/>
                <w:bCs w:val="0"/>
                <w:strike w:val="0"/>
                <w:dstrike w:val="0"/>
                <w:color w:val="auto"/>
                <w:szCs w:val="21"/>
                <w:u w:val="none"/>
              </w:rPr>
              <w:t>项目背景和重难点分析</w:t>
            </w:r>
          </w:p>
          <w:p w14:paraId="36EB5010">
            <w:pPr>
              <w:autoSpaceDE w:val="0"/>
              <w:autoSpaceDN w:val="0"/>
              <w:adjustRightInd w:val="0"/>
              <w:spacing w:line="400" w:lineRule="exact"/>
              <w:jc w:val="center"/>
              <w:rPr>
                <w:rFonts w:hint="eastAsia" w:ascii="宋体" w:hAnsi="宋体" w:eastAsia="宋体" w:cs="Times New Roman"/>
                <w:bCs/>
                <w:color w:val="auto"/>
                <w:kern w:val="2"/>
                <w:sz w:val="21"/>
                <w:szCs w:val="21"/>
                <w:lang w:val="en-US" w:eastAsia="zh-CN" w:bidi="ar-SA"/>
              </w:rPr>
            </w:pPr>
            <w:r>
              <w:rPr>
                <w:rFonts w:ascii="宋体" w:hAnsi="宋体"/>
                <w:b/>
                <w:bCs w:val="0"/>
                <w:strike w:val="0"/>
                <w:dstrike w:val="0"/>
                <w:color w:val="auto"/>
                <w:szCs w:val="21"/>
                <w:u w:val="none"/>
              </w:rPr>
              <w:t>（</w:t>
            </w:r>
            <w:r>
              <w:rPr>
                <w:rFonts w:hint="eastAsia" w:ascii="宋体" w:hAnsi="宋体"/>
                <w:b/>
                <w:bCs w:val="0"/>
                <w:strike w:val="0"/>
                <w:dstrike w:val="0"/>
                <w:color w:val="auto"/>
                <w:szCs w:val="21"/>
                <w:u w:val="none"/>
              </w:rPr>
              <w:t>满分</w:t>
            </w:r>
            <w:r>
              <w:rPr>
                <w:rFonts w:hint="eastAsia" w:ascii="宋体" w:hAnsi="宋体"/>
                <w:b/>
                <w:bCs w:val="0"/>
                <w:strike w:val="0"/>
                <w:dstrike w:val="0"/>
                <w:color w:val="auto"/>
                <w:szCs w:val="21"/>
                <w:u w:val="none"/>
                <w:lang w:val="en-US" w:eastAsia="zh-CN"/>
              </w:rPr>
              <w:t>15</w:t>
            </w:r>
            <w:r>
              <w:rPr>
                <w:rFonts w:ascii="宋体" w:hAnsi="宋体"/>
                <w:b/>
                <w:bCs w:val="0"/>
                <w:strike w:val="0"/>
                <w:dstrike w:val="0"/>
                <w:color w:val="auto"/>
                <w:szCs w:val="21"/>
                <w:u w:val="none"/>
              </w:rPr>
              <w:t>分）</w:t>
            </w:r>
          </w:p>
        </w:tc>
        <w:tc>
          <w:tcPr>
            <w:tcW w:w="6029" w:type="dxa"/>
            <w:shd w:val="clear" w:color="auto" w:fill="auto"/>
            <w:noWrap w:val="0"/>
            <w:vAlign w:val="top"/>
          </w:tcPr>
          <w:p w14:paraId="79689E1A">
            <w:pPr>
              <w:spacing w:line="360" w:lineRule="auto"/>
              <w:ind w:firstLine="420" w:firstLineChars="200"/>
              <w:rPr>
                <w:rFonts w:hint="default" w:ascii="宋体" w:hAnsi="宋体"/>
                <w:bCs/>
                <w:color w:val="auto"/>
                <w:szCs w:val="21"/>
                <w:lang w:val="zh-CN"/>
              </w:rPr>
            </w:pPr>
            <w:r>
              <w:rPr>
                <w:rFonts w:hint="default" w:ascii="宋体" w:hAnsi="宋体"/>
                <w:bCs/>
                <w:color w:val="auto"/>
                <w:szCs w:val="21"/>
                <w:lang w:val="zh-CN" w:eastAsia="zh-CN"/>
              </w:rPr>
              <w:t>根据供应商</w:t>
            </w:r>
            <w:r>
              <w:rPr>
                <w:rFonts w:hint="eastAsia" w:ascii="宋体" w:hAnsi="宋体"/>
                <w:bCs/>
                <w:color w:val="auto"/>
                <w:szCs w:val="21"/>
                <w:lang w:val="en-US" w:eastAsia="zh-CN"/>
              </w:rPr>
              <w:t>提供的</w:t>
            </w:r>
            <w:r>
              <w:rPr>
                <w:rFonts w:hint="default" w:ascii="宋体" w:hAnsi="宋体"/>
                <w:bCs/>
                <w:color w:val="auto"/>
                <w:szCs w:val="21"/>
                <w:lang w:val="zh-CN" w:eastAsia="zh-CN"/>
              </w:rPr>
              <w:t>项目背景和重难点分析进行综合评审，未提供或者不入档不得分。</w:t>
            </w:r>
          </w:p>
          <w:p w14:paraId="4AEAB792">
            <w:pPr>
              <w:spacing w:line="360" w:lineRule="auto"/>
              <w:ind w:firstLine="422" w:firstLineChars="200"/>
              <w:rPr>
                <w:rFonts w:hint="default" w:ascii="宋体" w:hAnsi="宋体"/>
                <w:bCs/>
                <w:color w:val="auto"/>
                <w:szCs w:val="21"/>
                <w:lang w:val="zh-CN"/>
              </w:rPr>
            </w:pPr>
            <w:r>
              <w:rPr>
                <w:rFonts w:hint="default" w:ascii="宋体" w:hAnsi="宋体"/>
                <w:b/>
                <w:bCs w:val="0"/>
                <w:color w:val="auto"/>
                <w:szCs w:val="21"/>
                <w:lang w:val="zh-CN"/>
              </w:rPr>
              <w:t>一档（5分）：</w:t>
            </w:r>
            <w:r>
              <w:rPr>
                <w:rFonts w:ascii="宋体" w:hAnsi="宋体"/>
                <w:bCs/>
                <w:color w:val="auto"/>
                <w:szCs w:val="21"/>
              </w:rPr>
              <w:t>对项目背景、现状情况有</w:t>
            </w:r>
            <w:r>
              <w:rPr>
                <w:rFonts w:hint="eastAsia" w:ascii="宋体" w:hAnsi="宋体"/>
                <w:bCs/>
                <w:color w:val="auto"/>
                <w:szCs w:val="21"/>
              </w:rPr>
              <w:t>描述</w:t>
            </w:r>
            <w:r>
              <w:rPr>
                <w:rFonts w:hint="eastAsia" w:ascii="宋体" w:hAnsi="宋体"/>
                <w:bCs/>
                <w:color w:val="auto"/>
                <w:szCs w:val="21"/>
                <w:lang w:eastAsia="zh-CN"/>
              </w:rPr>
              <w:t>，</w:t>
            </w:r>
            <w:r>
              <w:rPr>
                <w:rFonts w:hint="default" w:ascii="宋体" w:hAnsi="宋体"/>
                <w:bCs/>
                <w:color w:val="auto"/>
                <w:szCs w:val="21"/>
                <w:lang w:val="zh-CN"/>
              </w:rPr>
              <w:t>有简单的项目重点难点分析及解决措施，无明显错误，基本满足招标文件要求。</w:t>
            </w:r>
          </w:p>
          <w:p w14:paraId="4E0C4C0D">
            <w:pPr>
              <w:spacing w:line="360" w:lineRule="auto"/>
              <w:ind w:firstLine="422" w:firstLineChars="200"/>
              <w:rPr>
                <w:rFonts w:hint="default" w:ascii="宋体" w:hAnsi="宋体"/>
                <w:bCs/>
                <w:color w:val="auto"/>
                <w:szCs w:val="21"/>
                <w:lang w:val="zh-CN"/>
              </w:rPr>
            </w:pPr>
            <w:r>
              <w:rPr>
                <w:rFonts w:hint="default" w:ascii="宋体" w:hAnsi="宋体"/>
                <w:b/>
                <w:bCs w:val="0"/>
                <w:color w:val="auto"/>
                <w:szCs w:val="21"/>
                <w:lang w:val="zh-CN"/>
              </w:rPr>
              <w:t>二档（10分）：</w:t>
            </w:r>
            <w:r>
              <w:rPr>
                <w:rFonts w:ascii="宋体" w:hAnsi="宋体"/>
                <w:bCs/>
                <w:color w:val="auto"/>
                <w:szCs w:val="21"/>
              </w:rPr>
              <w:t>对项目背景、现状情况</w:t>
            </w:r>
            <w:r>
              <w:rPr>
                <w:rFonts w:hint="eastAsia" w:ascii="宋体" w:hAnsi="宋体"/>
                <w:bCs/>
                <w:color w:val="auto"/>
                <w:szCs w:val="21"/>
                <w:lang w:val="en-US" w:eastAsia="zh-CN"/>
              </w:rPr>
              <w:t>有</w:t>
            </w:r>
            <w:r>
              <w:rPr>
                <w:rFonts w:ascii="宋体" w:hAnsi="宋体"/>
                <w:bCs/>
                <w:color w:val="auto"/>
                <w:szCs w:val="21"/>
              </w:rPr>
              <w:t>全面</w:t>
            </w:r>
            <w:r>
              <w:rPr>
                <w:rFonts w:hint="eastAsia" w:ascii="宋体" w:hAnsi="宋体"/>
                <w:bCs/>
                <w:color w:val="auto"/>
                <w:szCs w:val="21"/>
                <w:lang w:eastAsia="zh-CN"/>
              </w:rPr>
              <w:t>、</w:t>
            </w:r>
            <w:r>
              <w:rPr>
                <w:rFonts w:ascii="宋体" w:hAnsi="宋体"/>
                <w:bCs/>
                <w:color w:val="auto"/>
                <w:szCs w:val="21"/>
              </w:rPr>
              <w:t>完整</w:t>
            </w:r>
            <w:r>
              <w:rPr>
                <w:rFonts w:hint="eastAsia" w:ascii="宋体" w:hAnsi="宋体"/>
                <w:bCs/>
                <w:color w:val="auto"/>
                <w:szCs w:val="21"/>
                <w:lang w:val="en-US" w:eastAsia="zh-CN"/>
              </w:rPr>
              <w:t>分析</w:t>
            </w:r>
            <w:r>
              <w:rPr>
                <w:rFonts w:hint="eastAsia" w:ascii="宋体" w:hAnsi="宋体"/>
                <w:bCs/>
                <w:color w:val="auto"/>
                <w:szCs w:val="21"/>
                <w:lang w:eastAsia="zh-CN"/>
              </w:rPr>
              <w:t>，</w:t>
            </w:r>
            <w:r>
              <w:rPr>
                <w:rFonts w:hint="default" w:ascii="宋体" w:hAnsi="宋体"/>
                <w:bCs/>
                <w:color w:val="auto"/>
                <w:szCs w:val="21"/>
                <w:lang w:val="zh-CN"/>
              </w:rPr>
              <w:t>项目重点难点分析及解决措施能提供针对本项目的初步分析预判，简单说明可能出现的问题，提出相应合理的对策、措施。</w:t>
            </w:r>
          </w:p>
          <w:p w14:paraId="58ACA169">
            <w:pPr>
              <w:spacing w:line="360" w:lineRule="auto"/>
              <w:ind w:firstLine="422" w:firstLineChars="200"/>
              <w:rPr>
                <w:rFonts w:hint="eastAsia" w:ascii="Times New Roman" w:hAnsi="宋体" w:eastAsia="宋体" w:cs="Times New Roman"/>
                <w:bCs/>
                <w:color w:val="auto"/>
                <w:kern w:val="2"/>
                <w:sz w:val="21"/>
                <w:szCs w:val="24"/>
                <w:lang w:val="en-US" w:eastAsia="zh-CN" w:bidi="ar-SA"/>
              </w:rPr>
            </w:pPr>
            <w:r>
              <w:rPr>
                <w:rFonts w:hint="default" w:ascii="宋体" w:hAnsi="宋体"/>
                <w:b/>
                <w:bCs w:val="0"/>
                <w:color w:val="auto"/>
                <w:szCs w:val="21"/>
                <w:lang w:val="zh-CN"/>
              </w:rPr>
              <w:t>三档（15分）：</w:t>
            </w:r>
            <w:r>
              <w:rPr>
                <w:rFonts w:ascii="宋体" w:hAnsi="宋体"/>
                <w:bCs/>
                <w:color w:val="auto"/>
                <w:szCs w:val="21"/>
              </w:rPr>
              <w:t>对项目背景、现状情况</w:t>
            </w:r>
            <w:r>
              <w:rPr>
                <w:rFonts w:hint="eastAsia" w:ascii="宋体" w:hAnsi="宋体"/>
                <w:bCs/>
                <w:color w:val="auto"/>
                <w:szCs w:val="21"/>
                <w:lang w:val="en-US" w:eastAsia="zh-CN"/>
              </w:rPr>
              <w:t>有</w:t>
            </w:r>
            <w:r>
              <w:rPr>
                <w:rFonts w:ascii="宋体" w:hAnsi="宋体"/>
                <w:bCs/>
                <w:color w:val="auto"/>
                <w:szCs w:val="21"/>
              </w:rPr>
              <w:t>全面</w:t>
            </w:r>
            <w:r>
              <w:rPr>
                <w:rFonts w:hint="eastAsia" w:ascii="宋体" w:hAnsi="宋体"/>
                <w:bCs/>
                <w:color w:val="auto"/>
                <w:szCs w:val="21"/>
                <w:lang w:eastAsia="zh-CN"/>
              </w:rPr>
              <w:t>、</w:t>
            </w:r>
            <w:r>
              <w:rPr>
                <w:rFonts w:ascii="宋体" w:hAnsi="宋体"/>
                <w:bCs/>
                <w:color w:val="auto"/>
                <w:szCs w:val="21"/>
              </w:rPr>
              <w:t>完整</w:t>
            </w:r>
            <w:r>
              <w:rPr>
                <w:rFonts w:hint="eastAsia" w:ascii="宋体" w:hAnsi="宋体"/>
                <w:bCs/>
                <w:color w:val="auto"/>
                <w:szCs w:val="21"/>
                <w:lang w:val="en-US" w:eastAsia="zh-CN"/>
              </w:rPr>
              <w:t>分析，</w:t>
            </w:r>
            <w:r>
              <w:rPr>
                <w:rFonts w:ascii="宋体" w:hAnsi="宋体"/>
                <w:bCs/>
                <w:color w:val="auto"/>
                <w:szCs w:val="21"/>
              </w:rPr>
              <w:t>了解相关政策，</w:t>
            </w:r>
            <w:r>
              <w:rPr>
                <w:rFonts w:hint="default" w:ascii="宋体" w:hAnsi="宋体"/>
                <w:bCs/>
                <w:color w:val="auto"/>
                <w:szCs w:val="21"/>
                <w:lang w:val="zh-CN"/>
              </w:rPr>
              <w:t>项目重点难点分析及解决措施完整全面、条理清晰、准确合理、操作性强，贴合采购需求与特点，预估各种可能出现的问题，并能够结合类似工作经验，对重点难点有深度分析和有效针对性措施，保障项目实施。</w:t>
            </w:r>
          </w:p>
        </w:tc>
      </w:tr>
      <w:tr w14:paraId="1D55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top"/>
          </w:tcPr>
          <w:p w14:paraId="4C2F465B">
            <w:pPr>
              <w:adjustRightInd w:val="0"/>
              <w:spacing w:line="360" w:lineRule="auto"/>
              <w:jc w:val="center"/>
              <w:textAlignment w:val="baseline"/>
              <w:rPr>
                <w:rFonts w:ascii="宋体" w:hAnsi="宋体"/>
                <w:b/>
                <w:color w:val="000000"/>
                <w:szCs w:val="21"/>
              </w:rPr>
            </w:pPr>
          </w:p>
        </w:tc>
        <w:tc>
          <w:tcPr>
            <w:tcW w:w="1320" w:type="dxa"/>
            <w:vMerge w:val="continue"/>
            <w:noWrap w:val="0"/>
            <w:vAlign w:val="top"/>
          </w:tcPr>
          <w:p w14:paraId="3BE701A4">
            <w:pPr>
              <w:adjustRightInd w:val="0"/>
              <w:spacing w:line="360" w:lineRule="auto"/>
              <w:jc w:val="center"/>
              <w:textAlignment w:val="baseline"/>
              <w:rPr>
                <w:rFonts w:ascii="宋体" w:hAnsi="宋体"/>
                <w:color w:val="000000"/>
                <w:szCs w:val="21"/>
              </w:rPr>
            </w:pPr>
          </w:p>
        </w:tc>
        <w:tc>
          <w:tcPr>
            <w:tcW w:w="1576" w:type="dxa"/>
            <w:noWrap w:val="0"/>
            <w:tcMar>
              <w:left w:w="57" w:type="dxa"/>
              <w:right w:w="57" w:type="dxa"/>
            </w:tcMar>
            <w:vAlign w:val="center"/>
          </w:tcPr>
          <w:p w14:paraId="5A87066C">
            <w:pPr>
              <w:keepNext w:val="0"/>
              <w:keepLines w:val="0"/>
              <w:pageBreakBefore w:val="0"/>
              <w:kinsoku/>
              <w:wordWrap/>
              <w:overflowPunct/>
              <w:topLinePunct w:val="0"/>
              <w:autoSpaceDE/>
              <w:autoSpaceDN/>
              <w:bidi w:val="0"/>
              <w:adjustRightInd w:val="0"/>
              <w:snapToGrid/>
              <w:spacing w:line="380" w:lineRule="exact"/>
              <w:ind w:left="0" w:leftChars="0" w:right="0" w:rightChars="0"/>
              <w:jc w:val="center"/>
              <w:textAlignment w:val="baseline"/>
              <w:rPr>
                <w:rFonts w:hint="eastAsia" w:ascii="宋体" w:hAnsi="宋体" w:eastAsia="宋体" w:cs="宋体"/>
                <w:bCs/>
                <w:color w:val="auto"/>
                <w:szCs w:val="21"/>
              </w:rPr>
            </w:pPr>
            <w:r>
              <w:rPr>
                <w:rFonts w:hint="eastAsia" w:ascii="宋体" w:hAnsi="宋体" w:eastAsia="宋体" w:cs="宋体"/>
                <w:b/>
                <w:bCs/>
                <w:color w:val="auto"/>
                <w:sz w:val="21"/>
                <w:szCs w:val="21"/>
                <w:highlight w:val="none"/>
                <w:lang w:val="en-US" w:eastAsia="zh-CN"/>
              </w:rPr>
              <w:t>现状认知及规划思路</w:t>
            </w:r>
            <w:r>
              <w:rPr>
                <w:rFonts w:hint="eastAsia" w:ascii="宋体" w:hAnsi="宋体" w:eastAsia="宋体" w:cs="宋体"/>
                <w:b/>
                <w:bCs/>
                <w:color w:val="auto"/>
                <w:spacing w:val="0"/>
                <w:sz w:val="21"/>
                <w:szCs w:val="21"/>
                <w:highlight w:val="none"/>
                <w:lang w:val="en-US" w:eastAsia="zh-CN"/>
              </w:rPr>
              <w:t>（满分</w:t>
            </w:r>
            <w:r>
              <w:rPr>
                <w:rFonts w:hint="eastAsia" w:ascii="宋体" w:hAnsi="宋体" w:cs="宋体"/>
                <w:b/>
                <w:bCs/>
                <w:color w:val="auto"/>
                <w:spacing w:val="0"/>
                <w:sz w:val="21"/>
                <w:szCs w:val="21"/>
                <w:highlight w:val="none"/>
                <w:lang w:val="en-US" w:eastAsia="zh-CN"/>
              </w:rPr>
              <w:t>20</w:t>
            </w:r>
            <w:r>
              <w:rPr>
                <w:rFonts w:hint="eastAsia" w:ascii="宋体" w:hAnsi="宋体" w:eastAsia="宋体" w:cs="宋体"/>
                <w:b/>
                <w:bCs/>
                <w:color w:val="auto"/>
                <w:spacing w:val="0"/>
                <w:sz w:val="21"/>
                <w:szCs w:val="21"/>
                <w:highlight w:val="none"/>
                <w:lang w:val="en-US" w:eastAsia="zh-CN"/>
              </w:rPr>
              <w:t>分）</w:t>
            </w:r>
          </w:p>
        </w:tc>
        <w:tc>
          <w:tcPr>
            <w:tcW w:w="6029" w:type="dxa"/>
            <w:noWrap w:val="0"/>
            <w:vAlign w:val="center"/>
          </w:tcPr>
          <w:p w14:paraId="43AF4C4A">
            <w:pPr>
              <w:keepNext w:val="0"/>
              <w:keepLines w:val="0"/>
              <w:pageBreakBefore w:val="0"/>
              <w:kinsoku/>
              <w:wordWrap/>
              <w:overflowPunct/>
              <w:topLinePunct w:val="0"/>
              <w:autoSpaceDE/>
              <w:autoSpaceDN/>
              <w:bidi w:val="0"/>
              <w:snapToGrid/>
              <w:spacing w:after="0" w:line="440" w:lineRule="exact"/>
              <w:ind w:left="0" w:leftChars="0" w:right="0" w:rightChars="0" w:firstLine="42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根据供应商对采购需求的认识分析和解决问题的规划编制思路进行综合评审，</w:t>
            </w:r>
            <w:r>
              <w:rPr>
                <w:rFonts w:hint="eastAsia" w:ascii="宋体" w:hAnsi="宋体" w:eastAsia="宋体" w:cs="宋体"/>
                <w:color w:val="auto"/>
                <w:kern w:val="2"/>
                <w:szCs w:val="21"/>
                <w:highlight w:val="none"/>
                <w:lang w:val="en-US" w:eastAsia="zh-CN"/>
              </w:rPr>
              <w:t>未提供或者不入档不得分</w:t>
            </w:r>
            <w:r>
              <w:rPr>
                <w:rFonts w:hint="eastAsia" w:ascii="宋体" w:hAnsi="宋体" w:eastAsia="宋体" w:cs="宋体"/>
                <w:b w:val="0"/>
                <w:bCs w:val="0"/>
                <w:color w:val="auto"/>
                <w:spacing w:val="0"/>
                <w:sz w:val="21"/>
                <w:szCs w:val="21"/>
                <w:highlight w:val="none"/>
                <w:lang w:val="en-US" w:eastAsia="zh-CN"/>
              </w:rPr>
              <w:t>。</w:t>
            </w:r>
          </w:p>
          <w:p w14:paraId="6A6C6615">
            <w:pPr>
              <w:keepNext w:val="0"/>
              <w:keepLines w:val="0"/>
              <w:pageBreakBefore w:val="0"/>
              <w:kinsoku/>
              <w:wordWrap/>
              <w:overflowPunct/>
              <w:topLinePunct w:val="0"/>
              <w:autoSpaceDE/>
              <w:autoSpaceDN/>
              <w:bidi w:val="0"/>
              <w:snapToGrid/>
              <w:spacing w:after="0" w:line="440" w:lineRule="exact"/>
              <w:ind w:left="0" w:leftChars="0" w:right="0" w:rightChars="0" w:firstLine="42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一档（</w:t>
            </w:r>
            <w:r>
              <w:rPr>
                <w:rFonts w:hint="eastAsia" w:ascii="宋体" w:hAnsi="宋体" w:cs="宋体"/>
                <w:b/>
                <w:bCs/>
                <w:color w:val="auto"/>
                <w:spacing w:val="0"/>
                <w:sz w:val="21"/>
                <w:szCs w:val="21"/>
                <w:highlight w:val="none"/>
                <w:lang w:val="en-US" w:eastAsia="zh-CN"/>
              </w:rPr>
              <w:t>7</w:t>
            </w:r>
            <w:r>
              <w:rPr>
                <w:rFonts w:hint="eastAsia" w:ascii="宋体" w:hAnsi="宋体" w:eastAsia="宋体" w:cs="宋体"/>
                <w:b/>
                <w:bCs/>
                <w:color w:val="auto"/>
                <w:spacing w:val="0"/>
                <w:sz w:val="21"/>
                <w:szCs w:val="21"/>
                <w:highlight w:val="none"/>
                <w:lang w:val="en-US" w:eastAsia="zh-CN"/>
              </w:rPr>
              <w:t>分）：</w:t>
            </w:r>
            <w:r>
              <w:rPr>
                <w:rFonts w:hint="eastAsia" w:ascii="宋体" w:hAnsi="宋体" w:eastAsia="宋体" w:cs="宋体"/>
                <w:b w:val="0"/>
                <w:bCs w:val="0"/>
                <w:color w:val="auto"/>
                <w:spacing w:val="0"/>
                <w:sz w:val="21"/>
                <w:szCs w:val="21"/>
                <w:highlight w:val="none"/>
                <w:lang w:val="en-US" w:eastAsia="zh-CN"/>
              </w:rPr>
              <w:t>对采购需求现状存在的问题认识不深，理解存在偏差的，规划编制思路不清。</w:t>
            </w:r>
          </w:p>
          <w:p w14:paraId="7D5F2404">
            <w:pPr>
              <w:keepNext w:val="0"/>
              <w:keepLines w:val="0"/>
              <w:pageBreakBefore w:val="0"/>
              <w:kinsoku/>
              <w:wordWrap/>
              <w:overflowPunct/>
              <w:topLinePunct w:val="0"/>
              <w:autoSpaceDE/>
              <w:autoSpaceDN/>
              <w:bidi w:val="0"/>
              <w:snapToGrid/>
              <w:spacing w:after="0" w:line="440" w:lineRule="exact"/>
              <w:ind w:left="0" w:leftChars="0" w:right="0" w:rightChars="0" w:firstLine="42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二档（</w:t>
            </w:r>
            <w:r>
              <w:rPr>
                <w:rFonts w:hint="eastAsia" w:ascii="宋体" w:hAnsi="宋体" w:cs="宋体"/>
                <w:b/>
                <w:bCs/>
                <w:color w:val="auto"/>
                <w:spacing w:val="0"/>
                <w:sz w:val="21"/>
                <w:szCs w:val="21"/>
                <w:highlight w:val="none"/>
                <w:lang w:val="en-US" w:eastAsia="zh-CN"/>
              </w:rPr>
              <w:t>14</w:t>
            </w:r>
            <w:r>
              <w:rPr>
                <w:rFonts w:hint="eastAsia" w:ascii="宋体" w:hAnsi="宋体" w:eastAsia="宋体" w:cs="宋体"/>
                <w:b/>
                <w:bCs/>
                <w:color w:val="auto"/>
                <w:spacing w:val="0"/>
                <w:sz w:val="21"/>
                <w:szCs w:val="21"/>
                <w:highlight w:val="none"/>
                <w:lang w:val="en-US" w:eastAsia="zh-CN"/>
              </w:rPr>
              <w:t>分）：</w:t>
            </w:r>
            <w:r>
              <w:rPr>
                <w:rFonts w:hint="eastAsia" w:ascii="宋体" w:hAnsi="宋体" w:eastAsia="宋体" w:cs="宋体"/>
                <w:b w:val="0"/>
                <w:bCs w:val="0"/>
                <w:color w:val="auto"/>
                <w:spacing w:val="0"/>
                <w:sz w:val="21"/>
                <w:szCs w:val="21"/>
                <w:highlight w:val="none"/>
                <w:lang w:val="en-US" w:eastAsia="zh-CN"/>
              </w:rPr>
              <w:t>对采购需求现状存在的问题认知准确，但规划方向和重点内容简单，不够全面详细。</w:t>
            </w:r>
          </w:p>
          <w:p w14:paraId="4CF74350">
            <w:pPr>
              <w:keepNext w:val="0"/>
              <w:keepLines w:val="0"/>
              <w:pageBreakBefore w:val="0"/>
              <w:kinsoku/>
              <w:wordWrap/>
              <w:overflowPunct/>
              <w:topLinePunct w:val="0"/>
              <w:autoSpaceDE/>
              <w:autoSpaceDN/>
              <w:bidi w:val="0"/>
              <w:snapToGrid/>
              <w:spacing w:after="0" w:line="440" w:lineRule="exact"/>
              <w:ind w:left="0" w:leftChars="0" w:right="0" w:rightChars="0" w:firstLine="420" w:firstLineChars="0"/>
              <w:rPr>
                <w:rFonts w:hint="eastAsia" w:ascii="宋体" w:hAnsi="宋体" w:eastAsia="宋体" w:cs="宋体"/>
                <w:color w:val="auto"/>
                <w:sz w:val="21"/>
              </w:rPr>
            </w:pPr>
            <w:r>
              <w:rPr>
                <w:rFonts w:hint="eastAsia" w:ascii="宋体" w:hAnsi="宋体" w:eastAsia="宋体" w:cs="宋体"/>
                <w:b/>
                <w:bCs/>
                <w:color w:val="auto"/>
                <w:spacing w:val="0"/>
                <w:sz w:val="21"/>
                <w:szCs w:val="21"/>
                <w:highlight w:val="none"/>
                <w:lang w:val="en-US" w:eastAsia="zh-CN"/>
              </w:rPr>
              <w:t>三档（</w:t>
            </w:r>
            <w:r>
              <w:rPr>
                <w:rFonts w:hint="eastAsia" w:ascii="宋体" w:hAnsi="宋体" w:cs="宋体"/>
                <w:b/>
                <w:bCs/>
                <w:color w:val="auto"/>
                <w:spacing w:val="0"/>
                <w:sz w:val="21"/>
                <w:szCs w:val="21"/>
                <w:highlight w:val="none"/>
                <w:lang w:val="en-US" w:eastAsia="zh-CN"/>
              </w:rPr>
              <w:t>20</w:t>
            </w:r>
            <w:r>
              <w:rPr>
                <w:rFonts w:hint="eastAsia" w:ascii="宋体" w:hAnsi="宋体" w:eastAsia="宋体" w:cs="宋体"/>
                <w:b/>
                <w:bCs/>
                <w:color w:val="auto"/>
                <w:spacing w:val="0"/>
                <w:sz w:val="21"/>
                <w:szCs w:val="21"/>
                <w:highlight w:val="none"/>
                <w:lang w:val="en-US" w:eastAsia="zh-CN"/>
              </w:rPr>
              <w:t>分）：</w:t>
            </w:r>
            <w:r>
              <w:rPr>
                <w:rFonts w:hint="eastAsia" w:ascii="宋体" w:hAnsi="宋体" w:eastAsia="宋体" w:cs="宋体"/>
                <w:b w:val="0"/>
                <w:bCs w:val="0"/>
                <w:color w:val="auto"/>
                <w:spacing w:val="0"/>
                <w:sz w:val="21"/>
                <w:szCs w:val="21"/>
                <w:highlight w:val="none"/>
                <w:lang w:val="en-US" w:eastAsia="zh-CN"/>
              </w:rPr>
              <w:t>对采购需求现状存在的问题认知精准到位，规划方向和重点内容全面、具有针对性。</w:t>
            </w:r>
          </w:p>
        </w:tc>
      </w:tr>
      <w:tr w14:paraId="7F55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525" w:type="dxa"/>
            <w:vMerge w:val="continue"/>
            <w:noWrap w:val="0"/>
            <w:vAlign w:val="top"/>
          </w:tcPr>
          <w:p w14:paraId="6119F599">
            <w:pPr>
              <w:adjustRightInd w:val="0"/>
              <w:spacing w:line="360" w:lineRule="auto"/>
              <w:jc w:val="center"/>
              <w:textAlignment w:val="baseline"/>
              <w:rPr>
                <w:rFonts w:ascii="宋体" w:hAnsi="宋体"/>
                <w:b/>
                <w:color w:val="000000"/>
                <w:szCs w:val="21"/>
              </w:rPr>
            </w:pPr>
          </w:p>
        </w:tc>
        <w:tc>
          <w:tcPr>
            <w:tcW w:w="1320" w:type="dxa"/>
            <w:vMerge w:val="continue"/>
            <w:noWrap w:val="0"/>
            <w:vAlign w:val="top"/>
          </w:tcPr>
          <w:p w14:paraId="58F039A9">
            <w:pPr>
              <w:adjustRightInd w:val="0"/>
              <w:spacing w:line="360" w:lineRule="auto"/>
              <w:jc w:val="center"/>
              <w:textAlignment w:val="baseline"/>
              <w:rPr>
                <w:rFonts w:ascii="宋体" w:hAnsi="宋体"/>
                <w:color w:val="000000"/>
                <w:szCs w:val="21"/>
              </w:rPr>
            </w:pPr>
          </w:p>
        </w:tc>
        <w:tc>
          <w:tcPr>
            <w:tcW w:w="1576" w:type="dxa"/>
            <w:noWrap w:val="0"/>
            <w:tcMar>
              <w:left w:w="57" w:type="dxa"/>
              <w:right w:w="57" w:type="dxa"/>
            </w:tcMar>
            <w:vAlign w:val="center"/>
          </w:tcPr>
          <w:p w14:paraId="173BEA85">
            <w:pPr>
              <w:adjustRightInd w:val="0"/>
              <w:spacing w:line="400" w:lineRule="exact"/>
              <w:jc w:val="center"/>
              <w:textAlignment w:val="baseline"/>
              <w:rPr>
                <w:rFonts w:hint="eastAsia" w:ascii="宋体" w:hAnsi="宋体" w:eastAsia="宋体" w:cs="宋体"/>
                <w:b/>
                <w:bCs w:val="0"/>
                <w:color w:val="auto"/>
                <w:szCs w:val="21"/>
                <w:u w:val="none"/>
                <w:lang w:bidi="ar"/>
              </w:rPr>
            </w:pPr>
            <w:r>
              <w:rPr>
                <w:rFonts w:hint="eastAsia" w:ascii="宋体" w:hAnsi="宋体" w:eastAsia="宋体" w:cs="宋体"/>
                <w:b/>
                <w:color w:val="auto"/>
                <w:szCs w:val="21"/>
                <w:lang w:bidi="ar"/>
              </w:rPr>
              <w:t>质量和</w:t>
            </w:r>
            <w:r>
              <w:rPr>
                <w:rFonts w:hint="eastAsia" w:ascii="宋体" w:hAnsi="宋体" w:eastAsia="宋体" w:cs="宋体"/>
                <w:b/>
                <w:bCs w:val="0"/>
                <w:color w:val="auto"/>
                <w:szCs w:val="21"/>
                <w:u w:val="none"/>
                <w:lang w:bidi="ar"/>
              </w:rPr>
              <w:t>进度保障措施方案</w:t>
            </w:r>
          </w:p>
          <w:p w14:paraId="78024149">
            <w:pPr>
              <w:adjustRightInd w:val="0"/>
              <w:spacing w:line="400" w:lineRule="exact"/>
              <w:jc w:val="center"/>
              <w:textAlignment w:val="baseline"/>
              <w:rPr>
                <w:rFonts w:hint="eastAsia" w:ascii="宋体" w:hAnsi="宋体" w:eastAsia="宋体" w:cs="宋体"/>
                <w:bCs/>
                <w:color w:val="auto"/>
                <w:szCs w:val="21"/>
              </w:rPr>
            </w:pPr>
            <w:r>
              <w:rPr>
                <w:rFonts w:hint="eastAsia" w:ascii="宋体" w:hAnsi="宋体" w:eastAsia="宋体" w:cs="宋体"/>
                <w:b/>
                <w:bCs w:val="0"/>
                <w:color w:val="auto"/>
                <w:szCs w:val="21"/>
                <w:u w:val="none"/>
                <w:lang w:bidi="ar"/>
              </w:rPr>
              <w:t>（满分</w:t>
            </w:r>
            <w:r>
              <w:rPr>
                <w:rFonts w:hint="eastAsia" w:ascii="宋体" w:hAnsi="宋体" w:cs="宋体"/>
                <w:b/>
                <w:bCs w:val="0"/>
                <w:color w:val="auto"/>
                <w:szCs w:val="21"/>
                <w:u w:val="none"/>
                <w:lang w:val="en-US" w:eastAsia="zh-CN" w:bidi="ar"/>
              </w:rPr>
              <w:t>10</w:t>
            </w:r>
            <w:r>
              <w:rPr>
                <w:rFonts w:hint="eastAsia" w:ascii="宋体" w:hAnsi="宋体" w:eastAsia="宋体" w:cs="宋体"/>
                <w:b/>
                <w:bCs w:val="0"/>
                <w:color w:val="auto"/>
                <w:szCs w:val="21"/>
                <w:u w:val="none"/>
                <w:lang w:bidi="ar"/>
              </w:rPr>
              <w:t>分）</w:t>
            </w:r>
          </w:p>
        </w:tc>
        <w:tc>
          <w:tcPr>
            <w:tcW w:w="6029" w:type="dxa"/>
            <w:noWrap w:val="0"/>
            <w:vAlign w:val="center"/>
          </w:tcPr>
          <w:p w14:paraId="0A258A4A">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建立完善项目工作组管理机制，配备高素质人员，分工明确，工作计划阶段任务清晰，建立严格的技术规范管理和审核管理，有完善的风险管理计划和内部监管保障。</w:t>
            </w:r>
            <w:r>
              <w:rPr>
                <w:rFonts w:hint="eastAsia" w:ascii="宋体" w:hAnsi="宋体" w:eastAsia="宋体" w:cs="宋体"/>
                <w:color w:val="auto"/>
                <w:szCs w:val="21"/>
                <w:lang w:val="en-US" w:eastAsia="zh-CN" w:bidi="ar"/>
              </w:rPr>
              <w:t>未提供</w:t>
            </w:r>
            <w:r>
              <w:rPr>
                <w:rFonts w:hint="eastAsia" w:ascii="宋体" w:hAnsi="宋体" w:cs="宋体"/>
                <w:color w:val="auto"/>
                <w:szCs w:val="21"/>
                <w:lang w:val="en-US" w:eastAsia="zh-CN" w:bidi="ar"/>
              </w:rPr>
              <w:t>方案</w:t>
            </w:r>
            <w:r>
              <w:rPr>
                <w:rFonts w:hint="eastAsia" w:ascii="宋体" w:hAnsi="宋体" w:eastAsia="宋体" w:cs="宋体"/>
                <w:color w:val="auto"/>
                <w:szCs w:val="21"/>
                <w:lang w:val="en-US" w:eastAsia="zh-CN" w:bidi="ar"/>
              </w:rPr>
              <w:t>或者不入档不得分</w:t>
            </w:r>
            <w:r>
              <w:rPr>
                <w:rFonts w:hint="eastAsia" w:ascii="宋体" w:hAnsi="宋体" w:eastAsia="宋体" w:cs="宋体"/>
                <w:color w:val="auto"/>
              </w:rPr>
              <w:t>。</w:t>
            </w:r>
          </w:p>
          <w:p w14:paraId="29419DA7">
            <w:pPr>
              <w:widowControl/>
              <w:snapToGrid w:val="0"/>
              <w:spacing w:line="400" w:lineRule="exact"/>
              <w:ind w:firstLine="234" w:firstLineChars="111"/>
              <w:jc w:val="left"/>
              <w:rPr>
                <w:rFonts w:hint="eastAsia" w:ascii="宋体" w:hAnsi="宋体" w:eastAsia="宋体" w:cs="宋体"/>
                <w:color w:val="auto"/>
                <w:szCs w:val="21"/>
              </w:rPr>
            </w:pPr>
            <w:r>
              <w:rPr>
                <w:rFonts w:hint="eastAsia" w:ascii="宋体" w:hAnsi="宋体" w:eastAsia="宋体" w:cs="宋体"/>
                <w:b/>
                <w:bCs/>
                <w:color w:val="auto"/>
                <w:szCs w:val="21"/>
                <w:lang w:bidi="ar"/>
              </w:rPr>
              <w:t>一档（</w:t>
            </w:r>
            <w:r>
              <w:rPr>
                <w:rFonts w:hint="eastAsia" w:ascii="宋体" w:hAnsi="宋体" w:cs="宋体"/>
                <w:b/>
                <w:bCs/>
                <w:color w:val="auto"/>
                <w:szCs w:val="21"/>
                <w:lang w:val="en-US" w:eastAsia="zh-CN" w:bidi="ar"/>
              </w:rPr>
              <w:t>4</w:t>
            </w:r>
            <w:r>
              <w:rPr>
                <w:rFonts w:hint="eastAsia" w:ascii="宋体" w:hAnsi="宋体" w:eastAsia="宋体" w:cs="宋体"/>
                <w:b/>
                <w:bCs/>
                <w:color w:val="auto"/>
                <w:szCs w:val="21"/>
                <w:lang w:bidi="ar"/>
              </w:rPr>
              <w:t>分）</w:t>
            </w:r>
            <w:r>
              <w:rPr>
                <w:rFonts w:hint="eastAsia" w:ascii="宋体" w:hAnsi="宋体" w:cs="宋体"/>
                <w:b/>
                <w:bCs/>
                <w:color w:val="auto"/>
                <w:szCs w:val="21"/>
                <w:lang w:eastAsia="zh-CN" w:bidi="ar"/>
              </w:rPr>
              <w:t>：</w:t>
            </w:r>
            <w:r>
              <w:rPr>
                <w:rFonts w:hint="eastAsia" w:ascii="宋体" w:hAnsi="宋体" w:eastAsia="宋体" w:cs="宋体"/>
                <w:color w:val="auto"/>
                <w:szCs w:val="21"/>
                <w:lang w:bidi="ar"/>
              </w:rPr>
              <w:t>整体质量和进度保障措施方案与项目需求缺乏实际结合度，工作计划阶段描述模糊，技术规范管理</w:t>
            </w:r>
            <w:r>
              <w:rPr>
                <w:rFonts w:hint="eastAsia" w:ascii="宋体" w:hAnsi="宋体" w:cs="宋体"/>
                <w:color w:val="auto"/>
                <w:szCs w:val="21"/>
                <w:lang w:eastAsia="zh-CN" w:bidi="ar"/>
              </w:rPr>
              <w:t>、</w:t>
            </w:r>
            <w:r>
              <w:rPr>
                <w:rFonts w:hint="eastAsia" w:ascii="宋体" w:hAnsi="宋体" w:eastAsia="宋体" w:cs="宋体"/>
                <w:color w:val="auto"/>
                <w:szCs w:val="21"/>
                <w:lang w:bidi="ar"/>
              </w:rPr>
              <w:t>审核管理</w:t>
            </w:r>
            <w:r>
              <w:rPr>
                <w:rFonts w:hint="eastAsia" w:ascii="宋体" w:hAnsi="宋体" w:cs="宋体"/>
                <w:color w:val="auto"/>
                <w:szCs w:val="21"/>
                <w:lang w:eastAsia="zh-CN" w:bidi="ar"/>
              </w:rPr>
              <w:t>、</w:t>
            </w:r>
            <w:r>
              <w:rPr>
                <w:rFonts w:hint="eastAsia" w:ascii="宋体" w:hAnsi="宋体" w:eastAsia="宋体" w:cs="宋体"/>
                <w:color w:val="auto"/>
                <w:szCs w:val="21"/>
                <w:lang w:bidi="ar"/>
              </w:rPr>
              <w:t>风险管理计划</w:t>
            </w:r>
            <w:r>
              <w:rPr>
                <w:rFonts w:hint="eastAsia" w:ascii="宋体" w:hAnsi="宋体" w:cs="宋体"/>
                <w:color w:val="auto"/>
                <w:szCs w:val="21"/>
                <w:lang w:val="en-US" w:eastAsia="zh-CN" w:bidi="ar"/>
              </w:rPr>
              <w:t>等</w:t>
            </w:r>
            <w:r>
              <w:rPr>
                <w:rFonts w:hint="eastAsia" w:ascii="宋体" w:hAnsi="宋体" w:eastAsia="宋体" w:cs="宋体"/>
                <w:color w:val="auto"/>
                <w:szCs w:val="21"/>
                <w:lang w:bidi="ar"/>
              </w:rPr>
              <w:t>未提出具有针对性的解决方案。</w:t>
            </w:r>
          </w:p>
          <w:p w14:paraId="4E563C35">
            <w:pPr>
              <w:widowControl/>
              <w:snapToGrid w:val="0"/>
              <w:spacing w:line="400" w:lineRule="exact"/>
              <w:ind w:firstLine="234" w:firstLineChars="111"/>
              <w:jc w:val="left"/>
              <w:rPr>
                <w:rFonts w:hint="eastAsia" w:ascii="宋体" w:hAnsi="宋体" w:eastAsia="宋体" w:cs="宋体"/>
                <w:color w:val="auto"/>
                <w:szCs w:val="21"/>
              </w:rPr>
            </w:pPr>
            <w:r>
              <w:rPr>
                <w:rFonts w:hint="eastAsia" w:ascii="宋体" w:hAnsi="宋体" w:eastAsia="宋体" w:cs="宋体"/>
                <w:b/>
                <w:bCs/>
                <w:color w:val="auto"/>
                <w:szCs w:val="21"/>
                <w:lang w:bidi="ar"/>
              </w:rPr>
              <w:t>二档（</w:t>
            </w:r>
            <w:r>
              <w:rPr>
                <w:rFonts w:hint="eastAsia" w:ascii="宋体" w:hAnsi="宋体" w:cs="宋体"/>
                <w:b/>
                <w:bCs/>
                <w:color w:val="auto"/>
                <w:szCs w:val="21"/>
                <w:lang w:val="en-US" w:eastAsia="zh-CN" w:bidi="ar"/>
              </w:rPr>
              <w:t>7</w:t>
            </w:r>
            <w:r>
              <w:rPr>
                <w:rFonts w:hint="eastAsia" w:ascii="宋体" w:hAnsi="宋体" w:eastAsia="宋体" w:cs="宋体"/>
                <w:b/>
                <w:bCs/>
                <w:color w:val="auto"/>
                <w:szCs w:val="21"/>
                <w:lang w:bidi="ar"/>
              </w:rPr>
              <w:t>分）</w:t>
            </w:r>
            <w:r>
              <w:rPr>
                <w:rFonts w:hint="eastAsia" w:ascii="宋体" w:hAnsi="宋体" w:cs="宋体"/>
                <w:b/>
                <w:bCs/>
                <w:color w:val="auto"/>
                <w:szCs w:val="21"/>
                <w:lang w:eastAsia="zh-CN" w:bidi="ar"/>
              </w:rPr>
              <w:t>：</w:t>
            </w:r>
            <w:r>
              <w:rPr>
                <w:rFonts w:hint="eastAsia" w:ascii="宋体" w:hAnsi="宋体" w:eastAsia="宋体" w:cs="宋体"/>
                <w:color w:val="auto"/>
                <w:szCs w:val="21"/>
                <w:lang w:bidi="ar"/>
              </w:rPr>
              <w:t>初步建立了项目工作组管理机制，配备了基本符合项目需求的人员，但人员分工不够明确，识别了项目可能面临的风险，并制定了初步的风险管理计划，建立了内部的监管机制，但可能缺乏有效的监督手段和反馈机制。</w:t>
            </w:r>
          </w:p>
          <w:p w14:paraId="6D745B22">
            <w:pPr>
              <w:widowControl/>
              <w:snapToGrid w:val="0"/>
              <w:spacing w:line="400" w:lineRule="exact"/>
              <w:ind w:firstLine="234" w:firstLineChars="111"/>
              <w:jc w:val="left"/>
              <w:rPr>
                <w:rFonts w:hint="eastAsia" w:ascii="宋体" w:hAnsi="宋体" w:eastAsia="宋体" w:cs="宋体"/>
                <w:color w:val="auto"/>
                <w:lang w:val="zh-CN"/>
              </w:rPr>
            </w:pPr>
            <w:r>
              <w:rPr>
                <w:rFonts w:hint="eastAsia" w:ascii="宋体" w:hAnsi="宋体" w:eastAsia="宋体" w:cs="宋体"/>
                <w:b/>
                <w:bCs/>
                <w:color w:val="auto"/>
                <w:szCs w:val="21"/>
                <w:lang w:bidi="ar"/>
              </w:rPr>
              <w:t>三档（</w:t>
            </w:r>
            <w:r>
              <w:rPr>
                <w:rFonts w:hint="eastAsia" w:ascii="宋体" w:hAnsi="宋体" w:cs="宋体"/>
                <w:b/>
                <w:bCs/>
                <w:color w:val="auto"/>
                <w:szCs w:val="21"/>
                <w:lang w:val="en-US" w:eastAsia="zh-CN" w:bidi="ar"/>
              </w:rPr>
              <w:t>10</w:t>
            </w:r>
            <w:r>
              <w:rPr>
                <w:rFonts w:hint="eastAsia" w:ascii="宋体" w:hAnsi="宋体" w:eastAsia="宋体" w:cs="宋体"/>
                <w:b/>
                <w:bCs/>
                <w:color w:val="auto"/>
                <w:szCs w:val="21"/>
                <w:lang w:bidi="ar"/>
              </w:rPr>
              <w:t>分）</w:t>
            </w:r>
            <w:r>
              <w:rPr>
                <w:rFonts w:hint="eastAsia" w:ascii="宋体" w:hAnsi="宋体" w:cs="宋体"/>
                <w:b/>
                <w:bCs/>
                <w:color w:val="auto"/>
                <w:szCs w:val="21"/>
                <w:lang w:eastAsia="zh-CN" w:bidi="ar"/>
              </w:rPr>
              <w:t>：</w:t>
            </w:r>
            <w:r>
              <w:rPr>
                <w:rFonts w:hint="eastAsia" w:ascii="宋体" w:hAnsi="宋体" w:eastAsia="宋体" w:cs="宋体"/>
                <w:color w:val="auto"/>
                <w:szCs w:val="21"/>
                <w:lang w:bidi="ar"/>
              </w:rPr>
              <w:t>建立了完善的项目工作组管理机制，包括明确的决策流程、沟通机制、协调机制和责任分工，确保项目高效有序进行。人员分工明确，各司其职，具备项目经验和专业技能。制定了详细的工作计划，阶段任务划分清晰，每个阶段都有明确的目标、执行步骤、时间节点和责任人，确保工作计划的高度可操作性和可执行性。建立了严格的技术规范和管理流程，符合相关标准和要求。描述了项目可能面临的风险，并制定了完善的风险管理计划，包括具体的风险应对措施、预案。建立了完善的内部监管机制，包括有效的监督手段、反馈机制和整改措施。</w:t>
            </w:r>
          </w:p>
        </w:tc>
      </w:tr>
      <w:tr w14:paraId="05BA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525" w:type="dxa"/>
            <w:vMerge w:val="continue"/>
            <w:noWrap w:val="0"/>
            <w:vAlign w:val="top"/>
          </w:tcPr>
          <w:p w14:paraId="7AA0EE44">
            <w:pPr>
              <w:adjustRightInd w:val="0"/>
              <w:spacing w:line="360" w:lineRule="auto"/>
              <w:jc w:val="center"/>
              <w:textAlignment w:val="baseline"/>
              <w:rPr>
                <w:rFonts w:ascii="宋体" w:hAnsi="宋体"/>
                <w:b/>
                <w:color w:val="000000"/>
                <w:szCs w:val="21"/>
              </w:rPr>
            </w:pPr>
          </w:p>
        </w:tc>
        <w:tc>
          <w:tcPr>
            <w:tcW w:w="1320" w:type="dxa"/>
            <w:vMerge w:val="continue"/>
            <w:noWrap w:val="0"/>
            <w:vAlign w:val="top"/>
          </w:tcPr>
          <w:p w14:paraId="546B5951">
            <w:pPr>
              <w:adjustRightInd w:val="0"/>
              <w:spacing w:line="360" w:lineRule="auto"/>
              <w:jc w:val="center"/>
              <w:textAlignment w:val="baseline"/>
              <w:rPr>
                <w:rFonts w:ascii="宋体" w:hAnsi="宋体"/>
                <w:color w:val="000000"/>
                <w:szCs w:val="21"/>
              </w:rPr>
            </w:pPr>
          </w:p>
        </w:tc>
        <w:tc>
          <w:tcPr>
            <w:tcW w:w="1576" w:type="dxa"/>
            <w:noWrap w:val="0"/>
            <w:tcMar>
              <w:left w:w="57" w:type="dxa"/>
              <w:right w:w="57" w:type="dxa"/>
            </w:tcMar>
            <w:vAlign w:val="center"/>
          </w:tcPr>
          <w:p w14:paraId="41818050">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bCs/>
                <w:color w:val="auto"/>
                <w:szCs w:val="21"/>
              </w:rPr>
            </w:pPr>
            <w:r>
              <w:rPr>
                <w:rFonts w:hint="eastAsia" w:ascii="宋体" w:hAnsi="宋体" w:eastAsia="宋体" w:cs="宋体"/>
                <w:b/>
                <w:bCs/>
                <w:color w:val="auto"/>
                <w:spacing w:val="0"/>
                <w:sz w:val="21"/>
                <w:szCs w:val="21"/>
                <w:highlight w:val="none"/>
                <w:lang w:val="en-US" w:eastAsia="zh-CN"/>
              </w:rPr>
              <w:t>后续服务安排及保证措施（满分</w:t>
            </w:r>
            <w:r>
              <w:rPr>
                <w:rFonts w:hint="eastAsia" w:ascii="宋体" w:hAnsi="宋体" w:cs="宋体"/>
                <w:b/>
                <w:bCs/>
                <w:color w:val="auto"/>
                <w:spacing w:val="0"/>
                <w:sz w:val="21"/>
                <w:szCs w:val="21"/>
                <w:highlight w:val="none"/>
                <w:lang w:val="en-US" w:eastAsia="zh-CN"/>
              </w:rPr>
              <w:t>5</w:t>
            </w:r>
            <w:r>
              <w:rPr>
                <w:rFonts w:hint="eastAsia" w:ascii="宋体" w:hAnsi="宋体" w:eastAsia="宋体" w:cs="宋体"/>
                <w:b/>
                <w:bCs/>
                <w:color w:val="auto"/>
                <w:spacing w:val="0"/>
                <w:sz w:val="21"/>
                <w:szCs w:val="21"/>
                <w:highlight w:val="none"/>
                <w:lang w:val="en-US" w:eastAsia="zh-CN"/>
              </w:rPr>
              <w:t>分）</w:t>
            </w:r>
          </w:p>
        </w:tc>
        <w:tc>
          <w:tcPr>
            <w:tcW w:w="6029" w:type="dxa"/>
            <w:noWrap w:val="0"/>
            <w:vAlign w:val="center"/>
          </w:tcPr>
          <w:p w14:paraId="7399DDED">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0" w:firstLineChars="200"/>
              <w:jc w:val="left"/>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根据供应商对后续服务（后续服务时间为本项目通过评审发布实施至规划期结束）的人员安排、服务面涵盖情况，包括后期可能存在的补充修改情形在内的时间响应情况及响应的承诺进行综合评审，未提供或者不入档不得分。</w:t>
            </w:r>
          </w:p>
          <w:p w14:paraId="2F65EDE8">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2" w:firstLineChars="200"/>
              <w:jc w:val="left"/>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一档（</w:t>
            </w:r>
            <w:r>
              <w:rPr>
                <w:rFonts w:hint="eastAsia" w:ascii="宋体" w:hAnsi="宋体" w:cs="宋体"/>
                <w:b/>
                <w:bCs/>
                <w:color w:val="auto"/>
                <w:spacing w:val="0"/>
                <w:sz w:val="21"/>
                <w:szCs w:val="21"/>
                <w:highlight w:val="none"/>
                <w:lang w:val="en-US" w:eastAsia="zh-CN"/>
              </w:rPr>
              <w:t>1</w:t>
            </w:r>
            <w:r>
              <w:rPr>
                <w:rFonts w:hint="eastAsia" w:ascii="宋体" w:hAnsi="宋体" w:eastAsia="宋体" w:cs="宋体"/>
                <w:b/>
                <w:bCs/>
                <w:color w:val="auto"/>
                <w:spacing w:val="0"/>
                <w:sz w:val="21"/>
                <w:szCs w:val="21"/>
                <w:highlight w:val="none"/>
                <w:lang w:val="en-US" w:eastAsia="zh-CN"/>
              </w:rPr>
              <w:t>分）：</w:t>
            </w:r>
            <w:r>
              <w:rPr>
                <w:rFonts w:hint="eastAsia" w:ascii="宋体" w:hAnsi="宋体" w:eastAsia="宋体" w:cs="宋体"/>
                <w:b w:val="0"/>
                <w:bCs w:val="0"/>
                <w:color w:val="auto"/>
                <w:spacing w:val="0"/>
                <w:sz w:val="21"/>
                <w:szCs w:val="21"/>
                <w:highlight w:val="none"/>
                <w:lang w:val="en-US" w:eastAsia="zh-CN"/>
              </w:rPr>
              <w:t>后续服务安排及保证措施内容不明确的。</w:t>
            </w:r>
          </w:p>
          <w:p w14:paraId="17A11D63">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2" w:firstLineChars="200"/>
              <w:jc w:val="left"/>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二档（</w:t>
            </w:r>
            <w:r>
              <w:rPr>
                <w:rFonts w:hint="eastAsia" w:ascii="宋体" w:hAnsi="宋体" w:cs="宋体"/>
                <w:b/>
                <w:bCs/>
                <w:color w:val="auto"/>
                <w:spacing w:val="0"/>
                <w:sz w:val="21"/>
                <w:szCs w:val="21"/>
                <w:highlight w:val="none"/>
                <w:lang w:val="en-US" w:eastAsia="zh-CN"/>
              </w:rPr>
              <w:t>3</w:t>
            </w:r>
            <w:r>
              <w:rPr>
                <w:rFonts w:hint="eastAsia" w:ascii="宋体" w:hAnsi="宋体" w:eastAsia="宋体" w:cs="宋体"/>
                <w:b/>
                <w:bCs/>
                <w:color w:val="auto"/>
                <w:spacing w:val="0"/>
                <w:sz w:val="21"/>
                <w:szCs w:val="21"/>
                <w:highlight w:val="none"/>
                <w:lang w:val="en-US" w:eastAsia="zh-CN"/>
              </w:rPr>
              <w:t>分）：</w:t>
            </w:r>
            <w:r>
              <w:rPr>
                <w:rFonts w:hint="eastAsia" w:ascii="宋体" w:hAnsi="宋体" w:eastAsia="宋体" w:cs="宋体"/>
                <w:b w:val="0"/>
                <w:bCs w:val="0"/>
                <w:color w:val="auto"/>
                <w:spacing w:val="0"/>
                <w:sz w:val="21"/>
                <w:szCs w:val="21"/>
                <w:highlight w:val="none"/>
                <w:lang w:val="en-US" w:eastAsia="zh-CN"/>
              </w:rPr>
              <w:t>后续服务安排及保证措施内容基本明确，具有工作计划和进度保证措施。</w:t>
            </w:r>
          </w:p>
          <w:p w14:paraId="30D6EA8F">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422" w:firstLineChars="200"/>
              <w:jc w:val="left"/>
              <w:textAlignment w:val="auto"/>
              <w:rPr>
                <w:rFonts w:hint="eastAsia" w:ascii="宋体" w:hAnsi="宋体" w:eastAsia="宋体" w:cs="宋体"/>
                <w:bCs/>
                <w:color w:val="auto"/>
                <w:szCs w:val="21"/>
              </w:rPr>
            </w:pPr>
            <w:r>
              <w:rPr>
                <w:rFonts w:hint="eastAsia" w:ascii="宋体" w:hAnsi="宋体" w:eastAsia="宋体" w:cs="宋体"/>
                <w:b/>
                <w:bCs/>
                <w:color w:val="auto"/>
                <w:spacing w:val="0"/>
                <w:sz w:val="21"/>
                <w:szCs w:val="21"/>
                <w:highlight w:val="none"/>
                <w:lang w:val="en-US" w:eastAsia="zh-CN"/>
              </w:rPr>
              <w:t>三档（</w:t>
            </w:r>
            <w:r>
              <w:rPr>
                <w:rFonts w:hint="eastAsia" w:ascii="宋体" w:hAnsi="宋体" w:cs="宋体"/>
                <w:b/>
                <w:bCs/>
                <w:color w:val="auto"/>
                <w:spacing w:val="0"/>
                <w:sz w:val="21"/>
                <w:szCs w:val="21"/>
                <w:highlight w:val="none"/>
                <w:lang w:val="en-US" w:eastAsia="zh-CN"/>
              </w:rPr>
              <w:t>5</w:t>
            </w:r>
            <w:r>
              <w:rPr>
                <w:rFonts w:hint="eastAsia" w:ascii="宋体" w:hAnsi="宋体" w:eastAsia="宋体" w:cs="宋体"/>
                <w:b/>
                <w:bCs/>
                <w:color w:val="auto"/>
                <w:spacing w:val="0"/>
                <w:sz w:val="21"/>
                <w:szCs w:val="21"/>
                <w:highlight w:val="none"/>
                <w:lang w:val="en-US" w:eastAsia="zh-CN"/>
              </w:rPr>
              <w:t>分）：</w:t>
            </w:r>
            <w:r>
              <w:rPr>
                <w:rFonts w:hint="eastAsia" w:ascii="宋体" w:hAnsi="宋体" w:eastAsia="宋体" w:cs="宋体"/>
                <w:b w:val="0"/>
                <w:bCs w:val="0"/>
                <w:color w:val="auto"/>
                <w:spacing w:val="0"/>
                <w:sz w:val="21"/>
                <w:szCs w:val="21"/>
                <w:highlight w:val="none"/>
                <w:lang w:val="en-US" w:eastAsia="zh-CN"/>
              </w:rPr>
              <w:t>后续服务安排及保证措施内容完整且明确，有详细的工作计划、进度保证措施以及后续服务保障办法。</w:t>
            </w:r>
          </w:p>
        </w:tc>
      </w:tr>
      <w:tr w14:paraId="6FC4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noWrap w:val="0"/>
            <w:vAlign w:val="center"/>
          </w:tcPr>
          <w:p w14:paraId="312527F9">
            <w:pPr>
              <w:adjustRightInd w:val="0"/>
              <w:spacing w:line="440" w:lineRule="exact"/>
              <w:jc w:val="center"/>
              <w:textAlignment w:val="baseline"/>
              <w:rPr>
                <w:rFonts w:ascii="宋体" w:hAnsi="宋体"/>
                <w:b/>
                <w:color w:val="000000"/>
                <w:szCs w:val="21"/>
              </w:rPr>
            </w:pPr>
            <w:r>
              <w:rPr>
                <w:rFonts w:hint="eastAsia" w:ascii="宋体" w:hAnsi="宋体"/>
                <w:b/>
                <w:color w:val="000000"/>
                <w:szCs w:val="21"/>
              </w:rPr>
              <w:t>3</w:t>
            </w:r>
          </w:p>
        </w:tc>
        <w:tc>
          <w:tcPr>
            <w:tcW w:w="1320" w:type="dxa"/>
            <w:vMerge w:val="restart"/>
            <w:noWrap w:val="0"/>
            <w:vAlign w:val="center"/>
          </w:tcPr>
          <w:p w14:paraId="45511AA3">
            <w:pPr>
              <w:adjustRightInd w:val="0"/>
              <w:spacing w:line="440" w:lineRule="exact"/>
              <w:jc w:val="center"/>
              <w:textAlignment w:val="baseline"/>
              <w:rPr>
                <w:rFonts w:ascii="宋体" w:hAnsi="宋体"/>
                <w:b/>
                <w:bCs w:val="0"/>
                <w:color w:val="000000"/>
                <w:szCs w:val="21"/>
                <w:u w:val="none"/>
              </w:rPr>
            </w:pPr>
            <w:r>
              <w:rPr>
                <w:rFonts w:hint="eastAsia" w:ascii="宋体" w:hAnsi="宋体"/>
                <w:b/>
                <w:bCs w:val="0"/>
                <w:color w:val="000000"/>
                <w:szCs w:val="21"/>
                <w:u w:val="none"/>
              </w:rPr>
              <w:t>商务</w:t>
            </w:r>
            <w:r>
              <w:rPr>
                <w:rFonts w:hint="eastAsia" w:ascii="宋体" w:hAnsi="宋体"/>
                <w:b/>
                <w:bCs w:val="0"/>
                <w:color w:val="auto"/>
                <w:szCs w:val="21"/>
                <w:u w:val="none"/>
              </w:rPr>
              <w:t>分（满分</w:t>
            </w:r>
            <w:r>
              <w:rPr>
                <w:rFonts w:hint="eastAsia" w:ascii="宋体" w:hAnsi="宋体"/>
                <w:b/>
                <w:bCs w:val="0"/>
                <w:color w:val="auto"/>
                <w:szCs w:val="21"/>
                <w:u w:val="none"/>
                <w:lang w:val="en-US" w:eastAsia="zh-CN"/>
              </w:rPr>
              <w:t>25</w:t>
            </w:r>
            <w:r>
              <w:rPr>
                <w:rFonts w:hint="eastAsia" w:ascii="宋体" w:hAnsi="宋体"/>
                <w:b/>
                <w:bCs w:val="0"/>
                <w:color w:val="auto"/>
                <w:szCs w:val="21"/>
                <w:u w:val="none"/>
              </w:rPr>
              <w:t>分</w:t>
            </w:r>
            <w:r>
              <w:rPr>
                <w:rFonts w:hint="eastAsia" w:ascii="宋体" w:hAnsi="宋体"/>
                <w:b/>
                <w:bCs w:val="0"/>
                <w:color w:val="000000"/>
                <w:szCs w:val="21"/>
                <w:u w:val="none"/>
              </w:rPr>
              <w:t>）</w:t>
            </w:r>
          </w:p>
        </w:tc>
        <w:tc>
          <w:tcPr>
            <w:tcW w:w="1576" w:type="dxa"/>
            <w:noWrap w:val="0"/>
            <w:tcMar>
              <w:left w:w="57" w:type="dxa"/>
              <w:right w:w="57" w:type="dxa"/>
            </w:tcMar>
            <w:vAlign w:val="center"/>
          </w:tcPr>
          <w:p w14:paraId="0D9D1C95">
            <w:pPr>
              <w:spacing w:line="440" w:lineRule="exact"/>
              <w:jc w:val="center"/>
              <w:rPr>
                <w:rFonts w:hint="eastAsia" w:ascii="宋体" w:hAnsi="宋体"/>
                <w:b/>
                <w:bCs/>
                <w:color w:val="auto"/>
                <w:szCs w:val="21"/>
                <w:u w:val="none"/>
              </w:rPr>
            </w:pPr>
            <w:r>
              <w:rPr>
                <w:rFonts w:hint="eastAsia" w:ascii="宋体" w:hAnsi="宋体"/>
                <w:b/>
                <w:bCs/>
                <w:color w:val="auto"/>
                <w:szCs w:val="21"/>
                <w:u w:val="none"/>
              </w:rPr>
              <w:t>投入人员实力分</w:t>
            </w:r>
            <w:r>
              <w:rPr>
                <w:rFonts w:hint="eastAsia" w:ascii="宋体" w:hAnsi="宋体"/>
                <w:b/>
                <w:bCs/>
                <w:color w:val="auto"/>
                <w:szCs w:val="21"/>
                <w:u w:val="none"/>
                <w:lang w:eastAsia="zh-CN"/>
              </w:rPr>
              <w:t>（</w:t>
            </w:r>
            <w:r>
              <w:rPr>
                <w:rFonts w:hint="eastAsia" w:ascii="宋体" w:hAnsi="宋体"/>
                <w:b/>
                <w:bCs/>
                <w:color w:val="auto"/>
                <w:szCs w:val="21"/>
                <w:u w:val="none"/>
              </w:rPr>
              <w:t>满分</w:t>
            </w:r>
            <w:r>
              <w:rPr>
                <w:rFonts w:hint="eastAsia" w:ascii="宋体" w:hAnsi="宋体"/>
                <w:b/>
                <w:bCs/>
                <w:color w:val="auto"/>
                <w:szCs w:val="21"/>
                <w:u w:val="none"/>
                <w:lang w:val="en-US" w:eastAsia="zh-CN"/>
              </w:rPr>
              <w:t>20</w:t>
            </w:r>
            <w:r>
              <w:rPr>
                <w:rFonts w:hint="eastAsia" w:ascii="宋体" w:hAnsi="宋体"/>
                <w:b/>
                <w:bCs/>
                <w:color w:val="auto"/>
                <w:szCs w:val="21"/>
                <w:u w:val="none"/>
              </w:rPr>
              <w:t>分</w:t>
            </w:r>
            <w:r>
              <w:rPr>
                <w:rFonts w:hint="eastAsia" w:ascii="宋体" w:hAnsi="宋体"/>
                <w:b/>
                <w:bCs/>
                <w:color w:val="auto"/>
                <w:szCs w:val="21"/>
                <w:u w:val="none"/>
                <w:lang w:eastAsia="zh-CN"/>
              </w:rPr>
              <w:t>）</w:t>
            </w:r>
          </w:p>
        </w:tc>
        <w:tc>
          <w:tcPr>
            <w:tcW w:w="6029" w:type="dxa"/>
            <w:noWrap w:val="0"/>
            <w:vAlign w:val="center"/>
          </w:tcPr>
          <w:p w14:paraId="0837BE87">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0" w:firstLineChars="200"/>
              <w:jc w:val="left"/>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（1）拟投入项目负责人同时具有注册规划师资格及正高级或同级别资格得</w:t>
            </w:r>
            <w:r>
              <w:rPr>
                <w:rFonts w:hint="eastAsia" w:ascii="宋体" w:hAnsi="宋体" w:cs="宋体"/>
                <w:b w:val="0"/>
                <w:bCs w:val="0"/>
                <w:color w:val="auto"/>
                <w:spacing w:val="0"/>
                <w:sz w:val="21"/>
                <w:szCs w:val="21"/>
                <w:highlight w:val="none"/>
                <w:lang w:val="en-US" w:eastAsia="zh-CN"/>
              </w:rPr>
              <w:t>8</w:t>
            </w:r>
            <w:r>
              <w:rPr>
                <w:rFonts w:hint="eastAsia" w:ascii="宋体" w:hAnsi="宋体" w:eastAsia="宋体" w:cs="宋体"/>
                <w:b w:val="0"/>
                <w:bCs w:val="0"/>
                <w:color w:val="auto"/>
                <w:spacing w:val="0"/>
                <w:sz w:val="21"/>
                <w:szCs w:val="21"/>
                <w:highlight w:val="none"/>
                <w:lang w:val="en-US" w:eastAsia="zh-CN"/>
              </w:rPr>
              <w:t>分；单独具有注册规划师资格或正高级职称得</w:t>
            </w:r>
            <w:r>
              <w:rPr>
                <w:rFonts w:hint="eastAsia" w:ascii="宋体" w:hAnsi="宋体" w:cs="宋体"/>
                <w:b w:val="0"/>
                <w:bCs w:val="0"/>
                <w:color w:val="auto"/>
                <w:spacing w:val="0"/>
                <w:sz w:val="21"/>
                <w:szCs w:val="21"/>
                <w:highlight w:val="none"/>
                <w:lang w:val="en-US" w:eastAsia="zh-CN"/>
              </w:rPr>
              <w:t>5</w:t>
            </w:r>
            <w:r>
              <w:rPr>
                <w:rFonts w:hint="eastAsia" w:ascii="宋体" w:hAnsi="宋体" w:eastAsia="宋体" w:cs="宋体"/>
                <w:b w:val="0"/>
                <w:bCs w:val="0"/>
                <w:color w:val="auto"/>
                <w:spacing w:val="0"/>
                <w:sz w:val="21"/>
                <w:szCs w:val="21"/>
                <w:highlight w:val="none"/>
                <w:lang w:val="en-US" w:eastAsia="zh-CN"/>
              </w:rPr>
              <w:t>分。本项满分</w:t>
            </w:r>
            <w:r>
              <w:rPr>
                <w:rFonts w:hint="eastAsia" w:ascii="宋体" w:hAnsi="宋体" w:cs="宋体"/>
                <w:b w:val="0"/>
                <w:bCs w:val="0"/>
                <w:color w:val="auto"/>
                <w:spacing w:val="0"/>
                <w:sz w:val="21"/>
                <w:szCs w:val="21"/>
                <w:highlight w:val="none"/>
                <w:lang w:val="en-US" w:eastAsia="zh-CN"/>
              </w:rPr>
              <w:t>8</w:t>
            </w:r>
            <w:r>
              <w:rPr>
                <w:rFonts w:hint="eastAsia" w:ascii="宋体" w:hAnsi="宋体" w:eastAsia="宋体" w:cs="宋体"/>
                <w:b w:val="0"/>
                <w:bCs w:val="0"/>
                <w:color w:val="auto"/>
                <w:spacing w:val="0"/>
                <w:sz w:val="21"/>
                <w:szCs w:val="21"/>
                <w:highlight w:val="none"/>
                <w:lang w:val="en-US" w:eastAsia="zh-CN"/>
              </w:rPr>
              <w:t>分。</w:t>
            </w:r>
          </w:p>
          <w:p w14:paraId="7F489750">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20" w:firstLineChars="200"/>
              <w:jc w:val="left"/>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（2）拟投入项目其他人员（除项目负责人外）中，同时具有注册城乡规划师及副高级资格的，每提供1人得</w:t>
            </w:r>
            <w:r>
              <w:rPr>
                <w:rFonts w:hint="eastAsia" w:ascii="宋体" w:hAnsi="宋体" w:cs="宋体"/>
                <w:b w:val="0"/>
                <w:bCs w:val="0"/>
                <w:color w:val="auto"/>
                <w:spacing w:val="0"/>
                <w:sz w:val="21"/>
                <w:szCs w:val="21"/>
                <w:highlight w:val="none"/>
                <w:lang w:val="en-US" w:eastAsia="zh-CN"/>
              </w:rPr>
              <w:t>1.5</w:t>
            </w:r>
            <w:r>
              <w:rPr>
                <w:rFonts w:hint="eastAsia" w:ascii="宋体" w:hAnsi="宋体" w:eastAsia="宋体" w:cs="宋体"/>
                <w:b w:val="0"/>
                <w:bCs w:val="0"/>
                <w:color w:val="auto"/>
                <w:spacing w:val="0"/>
                <w:sz w:val="21"/>
                <w:szCs w:val="21"/>
                <w:highlight w:val="none"/>
                <w:lang w:val="en-US" w:eastAsia="zh-CN"/>
              </w:rPr>
              <w:t>分；每投入1名具备中级（或以上）职称的人员得</w:t>
            </w:r>
            <w:r>
              <w:rPr>
                <w:rFonts w:hint="eastAsia" w:ascii="宋体" w:hAnsi="宋体" w:cs="宋体"/>
                <w:b w:val="0"/>
                <w:bCs w:val="0"/>
                <w:color w:val="auto"/>
                <w:spacing w:val="0"/>
                <w:sz w:val="21"/>
                <w:szCs w:val="21"/>
                <w:highlight w:val="none"/>
                <w:lang w:val="en-US" w:eastAsia="zh-CN"/>
              </w:rPr>
              <w:t>0.5</w:t>
            </w:r>
            <w:r>
              <w:rPr>
                <w:rFonts w:hint="eastAsia" w:ascii="宋体" w:hAnsi="宋体" w:eastAsia="宋体" w:cs="宋体"/>
                <w:b w:val="0"/>
                <w:bCs w:val="0"/>
                <w:color w:val="auto"/>
                <w:spacing w:val="0"/>
                <w:sz w:val="21"/>
                <w:szCs w:val="21"/>
                <w:highlight w:val="none"/>
                <w:lang w:val="en-US" w:eastAsia="zh-CN"/>
              </w:rPr>
              <w:t>分</w:t>
            </w:r>
            <w:r>
              <w:rPr>
                <w:rFonts w:hint="eastAsia" w:ascii="宋体" w:hAnsi="宋体" w:cs="宋体"/>
                <w:b w:val="0"/>
                <w:bCs w:val="0"/>
                <w:color w:val="auto"/>
                <w:spacing w:val="0"/>
                <w:sz w:val="21"/>
                <w:szCs w:val="21"/>
                <w:highlight w:val="none"/>
                <w:lang w:val="en-US" w:eastAsia="zh-CN"/>
              </w:rPr>
              <w:t>；</w:t>
            </w:r>
            <w:r>
              <w:rPr>
                <w:rFonts w:hint="eastAsia" w:ascii="宋体" w:hAnsi="宋体" w:eastAsia="宋体" w:cs="宋体"/>
                <w:b w:val="0"/>
                <w:bCs w:val="0"/>
                <w:color w:val="auto"/>
                <w:spacing w:val="0"/>
                <w:sz w:val="21"/>
                <w:szCs w:val="21"/>
                <w:highlight w:val="none"/>
                <w:lang w:val="en-US" w:eastAsia="zh-CN"/>
              </w:rPr>
              <w:t>本项满分</w:t>
            </w:r>
            <w:r>
              <w:rPr>
                <w:rFonts w:hint="eastAsia" w:ascii="宋体" w:hAnsi="宋体" w:cs="宋体"/>
                <w:b w:val="0"/>
                <w:bCs w:val="0"/>
                <w:color w:val="auto"/>
                <w:spacing w:val="0"/>
                <w:sz w:val="21"/>
                <w:szCs w:val="21"/>
                <w:highlight w:val="none"/>
                <w:lang w:val="en-US" w:eastAsia="zh-CN"/>
              </w:rPr>
              <w:t>10</w:t>
            </w:r>
            <w:r>
              <w:rPr>
                <w:rFonts w:hint="eastAsia" w:ascii="宋体" w:hAnsi="宋体" w:eastAsia="宋体" w:cs="宋体"/>
                <w:b w:val="0"/>
                <w:bCs w:val="0"/>
                <w:color w:val="auto"/>
                <w:spacing w:val="0"/>
                <w:sz w:val="21"/>
                <w:szCs w:val="21"/>
                <w:highlight w:val="none"/>
                <w:lang w:val="en-US" w:eastAsia="zh-CN"/>
              </w:rPr>
              <w:t>分。</w:t>
            </w:r>
          </w:p>
          <w:p w14:paraId="5400E4E0">
            <w:pPr>
              <w:keepNext w:val="0"/>
              <w:keepLines w:val="0"/>
              <w:widowControl/>
              <w:suppressLineNumbers w:val="0"/>
              <w:spacing w:line="440" w:lineRule="exact"/>
              <w:ind w:firstLine="420" w:firstLineChars="200"/>
              <w:jc w:val="left"/>
              <w:rPr>
                <w:rFonts w:hint="eastAsia"/>
                <w:color w:val="auto"/>
                <w:highlight w:val="none"/>
                <w:lang w:val="en-US" w:eastAsia="zh-CN"/>
              </w:rPr>
            </w:pPr>
            <w:r>
              <w:rPr>
                <w:rFonts w:hint="eastAsia" w:ascii="宋体" w:hAnsi="宋体" w:cs="宋体"/>
                <w:b w:val="0"/>
                <w:bCs w:val="0"/>
                <w:color w:val="auto"/>
                <w:spacing w:val="0"/>
                <w:sz w:val="21"/>
                <w:szCs w:val="21"/>
                <w:highlight w:val="none"/>
                <w:lang w:val="en-US" w:eastAsia="zh-CN"/>
              </w:rPr>
              <w:t>（3）</w:t>
            </w:r>
            <w:r>
              <w:rPr>
                <w:rFonts w:hint="eastAsia" w:ascii="宋体" w:hAnsi="宋体" w:cs="Courier New"/>
                <w:color w:val="auto"/>
                <w:szCs w:val="21"/>
                <w:lang w:val="en-US" w:eastAsia="zh-CN"/>
              </w:rPr>
              <w:t>拟投入人员专业中，</w:t>
            </w:r>
            <w:r>
              <w:rPr>
                <w:rFonts w:hint="eastAsia" w:ascii="宋体" w:hAnsi="宋体" w:eastAsia="宋体" w:cs="Courier New"/>
                <w:color w:val="auto"/>
                <w:kern w:val="2"/>
                <w:sz w:val="21"/>
                <w:szCs w:val="21"/>
                <w:lang w:val="en-US" w:eastAsia="zh-CN" w:bidi="ar"/>
              </w:rPr>
              <w:t>每提供一名</w:t>
            </w:r>
            <w:r>
              <w:rPr>
                <w:rFonts w:hint="eastAsia" w:ascii="宋体" w:hAnsi="宋体" w:cs="Courier New"/>
                <w:color w:val="auto"/>
                <w:kern w:val="2"/>
                <w:sz w:val="21"/>
                <w:szCs w:val="21"/>
                <w:highlight w:val="none"/>
                <w:lang w:val="en-US" w:eastAsia="zh-CN" w:bidi="ar"/>
              </w:rPr>
              <w:t>建筑、</w:t>
            </w:r>
            <w:r>
              <w:rPr>
                <w:rFonts w:hint="eastAsia" w:ascii="宋体" w:hAnsi="宋体" w:eastAsia="宋体" w:cs="Courier New"/>
                <w:color w:val="auto"/>
                <w:kern w:val="2"/>
                <w:sz w:val="21"/>
                <w:szCs w:val="21"/>
                <w:highlight w:val="none"/>
                <w:lang w:val="en-US" w:eastAsia="zh-CN" w:bidi="ar"/>
              </w:rPr>
              <w:t>给排水、道路工程或风景园林专业</w:t>
            </w:r>
            <w:r>
              <w:rPr>
                <w:rFonts w:hint="eastAsia" w:ascii="宋体" w:hAnsi="宋体" w:cs="Courier New"/>
                <w:color w:val="auto"/>
                <w:kern w:val="2"/>
                <w:sz w:val="21"/>
                <w:szCs w:val="21"/>
                <w:highlight w:val="none"/>
                <w:lang w:val="en-US" w:eastAsia="zh-CN" w:bidi="ar"/>
              </w:rPr>
              <w:t>高</w:t>
            </w:r>
            <w:r>
              <w:rPr>
                <w:rFonts w:hint="eastAsia" w:ascii="宋体" w:hAnsi="宋体" w:eastAsia="宋体" w:cs="Courier New"/>
                <w:color w:val="auto"/>
                <w:kern w:val="2"/>
                <w:sz w:val="21"/>
                <w:szCs w:val="21"/>
                <w:highlight w:val="none"/>
                <w:lang w:val="en-US" w:eastAsia="zh-CN" w:bidi="ar"/>
              </w:rPr>
              <w:t>级及以上</w:t>
            </w:r>
            <w:r>
              <w:rPr>
                <w:rFonts w:hint="eastAsia" w:ascii="宋体" w:hAnsi="宋体" w:cs="Courier New"/>
                <w:color w:val="auto"/>
                <w:kern w:val="2"/>
                <w:sz w:val="21"/>
                <w:szCs w:val="21"/>
                <w:highlight w:val="none"/>
                <w:lang w:val="en-US" w:eastAsia="zh-CN" w:bidi="ar"/>
              </w:rPr>
              <w:t>职称</w:t>
            </w:r>
            <w:r>
              <w:rPr>
                <w:rFonts w:hint="eastAsia" w:ascii="宋体" w:hAnsi="宋体" w:eastAsia="宋体" w:cs="Courier New"/>
                <w:color w:val="auto"/>
                <w:kern w:val="2"/>
                <w:sz w:val="21"/>
                <w:szCs w:val="21"/>
                <w:highlight w:val="none"/>
                <w:lang w:val="en-US" w:eastAsia="zh-CN" w:bidi="ar"/>
              </w:rPr>
              <w:t>资格人员得</w:t>
            </w:r>
            <w:r>
              <w:rPr>
                <w:rFonts w:hint="eastAsia" w:ascii="宋体" w:hAnsi="宋体" w:cs="Courier New"/>
                <w:color w:val="auto"/>
                <w:kern w:val="2"/>
                <w:sz w:val="21"/>
                <w:szCs w:val="21"/>
                <w:highlight w:val="none"/>
                <w:lang w:val="en-US" w:eastAsia="zh-CN" w:bidi="ar"/>
              </w:rPr>
              <w:t>0.5</w:t>
            </w:r>
            <w:r>
              <w:rPr>
                <w:rFonts w:hint="eastAsia" w:ascii="宋体" w:hAnsi="宋体" w:eastAsia="宋体" w:cs="Courier New"/>
                <w:color w:val="auto"/>
                <w:kern w:val="2"/>
                <w:sz w:val="21"/>
                <w:szCs w:val="21"/>
                <w:highlight w:val="none"/>
                <w:lang w:val="en-US" w:eastAsia="zh-CN" w:bidi="ar"/>
              </w:rPr>
              <w:t>分</w:t>
            </w:r>
            <w:r>
              <w:rPr>
                <w:rFonts w:hint="eastAsia" w:ascii="宋体" w:hAnsi="宋体" w:cs="宋体"/>
                <w:b w:val="0"/>
                <w:bCs w:val="0"/>
                <w:color w:val="auto"/>
                <w:spacing w:val="0"/>
                <w:sz w:val="21"/>
                <w:szCs w:val="21"/>
                <w:highlight w:val="none"/>
                <w:lang w:val="en-US" w:eastAsia="zh-CN"/>
              </w:rPr>
              <w:t>；</w:t>
            </w:r>
            <w:r>
              <w:rPr>
                <w:rFonts w:hint="eastAsia" w:ascii="宋体" w:hAnsi="宋体" w:eastAsia="宋体" w:cs="宋体"/>
                <w:b w:val="0"/>
                <w:bCs w:val="0"/>
                <w:color w:val="auto"/>
                <w:spacing w:val="0"/>
                <w:sz w:val="21"/>
                <w:szCs w:val="21"/>
                <w:highlight w:val="none"/>
                <w:lang w:val="en-US" w:eastAsia="zh-CN"/>
              </w:rPr>
              <w:t>本项满分</w:t>
            </w:r>
            <w:r>
              <w:rPr>
                <w:rFonts w:hint="eastAsia" w:ascii="宋体" w:hAnsi="宋体" w:cs="宋体"/>
                <w:b w:val="0"/>
                <w:bCs w:val="0"/>
                <w:color w:val="auto"/>
                <w:spacing w:val="0"/>
                <w:sz w:val="21"/>
                <w:szCs w:val="21"/>
                <w:highlight w:val="none"/>
                <w:lang w:val="en-US" w:eastAsia="zh-CN"/>
              </w:rPr>
              <w:t>2</w:t>
            </w:r>
            <w:r>
              <w:rPr>
                <w:rFonts w:hint="eastAsia" w:ascii="宋体" w:hAnsi="宋体" w:eastAsia="宋体" w:cs="宋体"/>
                <w:b w:val="0"/>
                <w:bCs w:val="0"/>
                <w:color w:val="auto"/>
                <w:spacing w:val="0"/>
                <w:sz w:val="21"/>
                <w:szCs w:val="21"/>
                <w:highlight w:val="none"/>
                <w:lang w:val="en-US" w:eastAsia="zh-CN"/>
              </w:rPr>
              <w:t>分</w:t>
            </w:r>
            <w:r>
              <w:rPr>
                <w:rFonts w:hint="eastAsia" w:ascii="宋体" w:hAnsi="宋体" w:eastAsia="宋体" w:cs="Courier New"/>
                <w:color w:val="auto"/>
                <w:kern w:val="2"/>
                <w:sz w:val="21"/>
                <w:szCs w:val="21"/>
                <w:highlight w:val="none"/>
                <w:lang w:val="en-US" w:eastAsia="zh-CN" w:bidi="ar"/>
              </w:rPr>
              <w:t>。</w:t>
            </w:r>
          </w:p>
          <w:p w14:paraId="6490FF3E">
            <w:pPr>
              <w:spacing w:line="440" w:lineRule="exact"/>
              <w:ind w:firstLine="420" w:firstLineChars="200"/>
              <w:rPr>
                <w:rFonts w:hint="eastAsia" w:ascii="宋体" w:hAnsi="宋体" w:eastAsia="宋体" w:cs="Courier New"/>
                <w:color w:val="000000"/>
                <w:szCs w:val="21"/>
                <w:lang w:eastAsia="zh-CN"/>
              </w:rPr>
            </w:pPr>
            <w:r>
              <w:rPr>
                <w:rFonts w:hint="eastAsia" w:ascii="宋体" w:hAnsi="宋体" w:cs="Courier New"/>
                <w:color w:val="000000"/>
                <w:szCs w:val="21"/>
                <w:highlight w:val="none"/>
                <w:lang w:val="en-US" w:eastAsia="zh-CN"/>
              </w:rPr>
              <w:t>注:</w:t>
            </w:r>
            <w:r>
              <w:rPr>
                <w:rFonts w:hint="eastAsia" w:ascii="宋体" w:hAnsi="宋体" w:cs="Courier New"/>
                <w:color w:val="000000"/>
                <w:szCs w:val="21"/>
                <w:highlight w:val="none"/>
              </w:rPr>
              <w:t>在</w:t>
            </w:r>
            <w:r>
              <w:rPr>
                <w:rFonts w:hint="eastAsia" w:ascii="宋体" w:hAnsi="宋体" w:cs="Courier New"/>
                <w:color w:val="000000"/>
                <w:szCs w:val="21"/>
                <w:highlight w:val="none"/>
                <w:lang w:val="en-US" w:eastAsia="zh-CN"/>
              </w:rPr>
              <w:t>响应</w:t>
            </w:r>
            <w:r>
              <w:rPr>
                <w:rFonts w:hint="eastAsia" w:ascii="宋体" w:hAnsi="宋体" w:cs="Courier New"/>
                <w:color w:val="000000"/>
                <w:szCs w:val="21"/>
                <w:highlight w:val="none"/>
              </w:rPr>
              <w:t>文件中提供实施人员</w:t>
            </w:r>
            <w:r>
              <w:rPr>
                <w:rFonts w:hint="eastAsia" w:ascii="宋体" w:hAnsi="宋体" w:cs="Courier New"/>
                <w:color w:val="000000"/>
                <w:szCs w:val="21"/>
                <w:highlight w:val="none"/>
                <w:lang w:val="en-US" w:eastAsia="zh-CN"/>
              </w:rPr>
              <w:t>相关</w:t>
            </w:r>
            <w:r>
              <w:rPr>
                <w:rFonts w:hint="eastAsia" w:ascii="宋体" w:hAnsi="宋体" w:cs="Courier New"/>
                <w:color w:val="000000"/>
                <w:szCs w:val="21"/>
                <w:highlight w:val="none"/>
              </w:rPr>
              <w:t>证书</w:t>
            </w:r>
            <w:r>
              <w:rPr>
                <w:rFonts w:hint="eastAsia" w:ascii="宋体" w:hAnsi="宋体" w:cs="Courier New"/>
                <w:color w:val="000000"/>
                <w:szCs w:val="21"/>
              </w:rPr>
              <w:t>扫描件、实施人员在职在岗证明材料复印件（如：与</w:t>
            </w:r>
            <w:r>
              <w:rPr>
                <w:rFonts w:hint="eastAsia" w:ascii="宋体" w:hAnsi="宋体" w:cs="Courier New"/>
                <w:color w:val="000000"/>
                <w:szCs w:val="21"/>
                <w:lang w:val="en-US" w:eastAsia="zh-CN"/>
              </w:rPr>
              <w:t>磋商</w:t>
            </w:r>
            <w:r>
              <w:rPr>
                <w:rFonts w:hint="eastAsia" w:ascii="宋体" w:hAnsi="宋体" w:cs="Courier New"/>
                <w:color w:val="000000"/>
                <w:szCs w:val="21"/>
              </w:rPr>
              <w:t>人签订的劳动合同或</w:t>
            </w:r>
            <w:r>
              <w:rPr>
                <w:rFonts w:hint="eastAsia" w:ascii="宋体" w:hAnsi="宋体" w:cs="Courier New"/>
                <w:color w:val="000000"/>
                <w:szCs w:val="21"/>
                <w:lang w:val="en-US" w:eastAsia="zh-CN"/>
              </w:rPr>
              <w:t>磋商</w:t>
            </w:r>
            <w:r>
              <w:rPr>
                <w:rFonts w:hint="eastAsia" w:ascii="宋体" w:hAnsi="宋体" w:cs="Courier New"/>
                <w:color w:val="000000"/>
                <w:szCs w:val="21"/>
              </w:rPr>
              <w:t>人为其缴纳的投标截止之日前半年内任意1个月社保证明）</w:t>
            </w:r>
            <w:r>
              <w:rPr>
                <w:rFonts w:hint="eastAsia" w:ascii="宋体" w:hAnsi="宋体" w:cs="Courier New"/>
                <w:color w:val="000000"/>
                <w:szCs w:val="21"/>
                <w:lang w:eastAsia="zh-CN"/>
              </w:rPr>
              <w:t>。</w:t>
            </w:r>
          </w:p>
        </w:tc>
      </w:tr>
      <w:tr w14:paraId="78D3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34886AF7">
            <w:pPr>
              <w:adjustRightInd w:val="0"/>
              <w:spacing w:line="440" w:lineRule="exact"/>
              <w:jc w:val="center"/>
              <w:textAlignment w:val="baseline"/>
              <w:rPr>
                <w:rFonts w:ascii="宋体" w:hAnsi="宋体"/>
                <w:b/>
                <w:color w:val="000000"/>
                <w:szCs w:val="21"/>
              </w:rPr>
            </w:pPr>
          </w:p>
        </w:tc>
        <w:tc>
          <w:tcPr>
            <w:tcW w:w="1320" w:type="dxa"/>
            <w:vMerge w:val="continue"/>
            <w:noWrap w:val="0"/>
            <w:vAlign w:val="center"/>
          </w:tcPr>
          <w:p w14:paraId="26613161">
            <w:pPr>
              <w:adjustRightInd w:val="0"/>
              <w:spacing w:line="440" w:lineRule="exact"/>
              <w:jc w:val="center"/>
              <w:textAlignment w:val="baseline"/>
              <w:rPr>
                <w:rFonts w:ascii="宋体" w:hAnsi="宋体"/>
                <w:b/>
                <w:bCs w:val="0"/>
                <w:color w:val="000000"/>
                <w:szCs w:val="21"/>
                <w:u w:val="none"/>
              </w:rPr>
            </w:pPr>
          </w:p>
        </w:tc>
        <w:tc>
          <w:tcPr>
            <w:tcW w:w="1576" w:type="dxa"/>
            <w:noWrap w:val="0"/>
            <w:tcMar>
              <w:left w:w="57" w:type="dxa"/>
              <w:right w:w="57" w:type="dxa"/>
            </w:tcMar>
            <w:vAlign w:val="center"/>
          </w:tcPr>
          <w:p w14:paraId="242BEF46">
            <w:pPr>
              <w:spacing w:line="440" w:lineRule="exact"/>
              <w:jc w:val="center"/>
              <w:rPr>
                <w:rFonts w:ascii="宋体" w:hAnsi="宋体"/>
                <w:b/>
                <w:bCs/>
                <w:color w:val="auto"/>
                <w:szCs w:val="21"/>
                <w:u w:val="none"/>
              </w:rPr>
            </w:pPr>
            <w:r>
              <w:rPr>
                <w:rFonts w:hint="eastAsia" w:ascii="宋体" w:hAnsi="宋体"/>
                <w:b/>
                <w:bCs/>
                <w:color w:val="auto"/>
                <w:szCs w:val="21"/>
                <w:u w:val="none"/>
              </w:rPr>
              <w:t>业绩分</w:t>
            </w:r>
          </w:p>
          <w:p w14:paraId="7982470E">
            <w:pPr>
              <w:spacing w:line="440" w:lineRule="exact"/>
              <w:jc w:val="center"/>
              <w:rPr>
                <w:rFonts w:ascii="宋体" w:hAnsi="宋体"/>
                <w:b/>
                <w:bCs w:val="0"/>
                <w:color w:val="auto"/>
                <w:szCs w:val="21"/>
                <w:u w:val="none"/>
              </w:rPr>
            </w:pPr>
            <w:r>
              <w:rPr>
                <w:rFonts w:hint="eastAsia" w:ascii="宋体" w:hAnsi="宋体"/>
                <w:b/>
                <w:bCs/>
                <w:color w:val="auto"/>
                <w:szCs w:val="21"/>
                <w:u w:val="none"/>
              </w:rPr>
              <w:t>（满分</w:t>
            </w:r>
            <w:r>
              <w:rPr>
                <w:rFonts w:hint="eastAsia" w:ascii="宋体" w:hAnsi="宋体"/>
                <w:b/>
                <w:bCs/>
                <w:color w:val="auto"/>
                <w:szCs w:val="21"/>
                <w:u w:val="none"/>
                <w:lang w:val="en-US" w:eastAsia="zh-CN"/>
              </w:rPr>
              <w:t>5</w:t>
            </w:r>
            <w:r>
              <w:rPr>
                <w:rFonts w:hint="eastAsia" w:ascii="宋体" w:hAnsi="宋体"/>
                <w:b/>
                <w:bCs/>
                <w:color w:val="auto"/>
                <w:szCs w:val="21"/>
                <w:u w:val="none"/>
              </w:rPr>
              <w:t>分）</w:t>
            </w:r>
          </w:p>
        </w:tc>
        <w:tc>
          <w:tcPr>
            <w:tcW w:w="6029" w:type="dxa"/>
            <w:noWrap w:val="0"/>
            <w:vAlign w:val="center"/>
          </w:tcPr>
          <w:p w14:paraId="284F5ABF">
            <w:pPr>
              <w:spacing w:line="440" w:lineRule="exact"/>
              <w:ind w:firstLine="420" w:firstLineChars="200"/>
              <w:rPr>
                <w:color w:val="000000"/>
                <w:sz w:val="21"/>
              </w:rPr>
            </w:pPr>
            <w:r>
              <w:rPr>
                <w:rFonts w:hint="eastAsia" w:ascii="宋体" w:hAnsi="宋体" w:cs="Courier New"/>
                <w:color w:val="000000"/>
                <w:szCs w:val="21"/>
              </w:rPr>
              <w:t>供应商20</w:t>
            </w:r>
            <w:r>
              <w:rPr>
                <w:rFonts w:ascii="宋体" w:hAnsi="宋体" w:cs="Courier New"/>
                <w:color w:val="000000"/>
                <w:szCs w:val="21"/>
              </w:rPr>
              <w:t>22</w:t>
            </w:r>
            <w:r>
              <w:rPr>
                <w:rFonts w:hint="eastAsia" w:ascii="宋体" w:hAnsi="宋体" w:cs="Courier New"/>
                <w:color w:val="000000"/>
                <w:szCs w:val="21"/>
              </w:rPr>
              <w:t>年1月</w:t>
            </w:r>
            <w:r>
              <w:rPr>
                <w:rFonts w:hint="eastAsia" w:ascii="宋体" w:hAnsi="宋体" w:cs="Courier New"/>
                <w:color w:val="auto"/>
                <w:szCs w:val="21"/>
              </w:rPr>
              <w:t>1日以来</w:t>
            </w:r>
            <w:r>
              <w:rPr>
                <w:rFonts w:hint="eastAsia" w:ascii="宋体" w:hAnsi="宋体" w:cs="Courier New"/>
                <w:color w:val="auto"/>
                <w:szCs w:val="21"/>
                <w:lang w:val="en-US" w:eastAsia="zh-CN"/>
              </w:rPr>
              <w:t>承接</w:t>
            </w:r>
            <w:r>
              <w:rPr>
                <w:rFonts w:hint="eastAsia" w:ascii="宋体" w:hAnsi="宋体" w:cs="Courier New"/>
                <w:color w:val="auto"/>
                <w:szCs w:val="21"/>
              </w:rPr>
              <w:t>过类似</w:t>
            </w:r>
            <w:r>
              <w:rPr>
                <w:rFonts w:hint="eastAsia" w:ascii="宋体" w:hAnsi="宋体" w:cs="Courier New"/>
                <w:color w:val="auto"/>
                <w:szCs w:val="21"/>
                <w:lang w:val="en-US" w:eastAsia="zh-CN"/>
              </w:rPr>
              <w:t>规划编制</w:t>
            </w:r>
            <w:r>
              <w:rPr>
                <w:rFonts w:hint="eastAsia" w:ascii="宋体" w:hAnsi="宋体" w:cs="Courier New"/>
                <w:color w:val="auto"/>
                <w:szCs w:val="21"/>
              </w:rPr>
              <w:t>项目的，每个得</w:t>
            </w:r>
            <w:r>
              <w:rPr>
                <w:rFonts w:hint="eastAsia" w:ascii="宋体" w:hAnsi="宋体" w:cs="Courier New"/>
                <w:color w:val="auto"/>
                <w:szCs w:val="21"/>
                <w:lang w:val="en-US" w:eastAsia="zh-CN"/>
              </w:rPr>
              <w:t>1</w:t>
            </w:r>
            <w:r>
              <w:rPr>
                <w:rFonts w:hint="eastAsia" w:ascii="宋体" w:hAnsi="宋体" w:cs="Courier New"/>
                <w:color w:val="auto"/>
                <w:szCs w:val="21"/>
              </w:rPr>
              <w:t>分，本项满分</w:t>
            </w:r>
            <w:r>
              <w:rPr>
                <w:rFonts w:hint="eastAsia" w:ascii="宋体" w:hAnsi="宋体" w:cs="Courier New"/>
                <w:color w:val="auto"/>
                <w:szCs w:val="21"/>
                <w:lang w:val="en-US" w:eastAsia="zh-CN"/>
              </w:rPr>
              <w:t>5</w:t>
            </w:r>
            <w:r>
              <w:rPr>
                <w:rFonts w:hint="eastAsia" w:ascii="宋体" w:hAnsi="宋体" w:cs="Courier New"/>
                <w:color w:val="auto"/>
                <w:szCs w:val="21"/>
              </w:rPr>
              <w:t>分。（</w:t>
            </w:r>
            <w:r>
              <w:rPr>
                <w:rFonts w:hint="eastAsia" w:ascii="宋体" w:hAnsi="宋体" w:cs="Courier New"/>
                <w:color w:val="auto"/>
                <w:szCs w:val="21"/>
                <w:lang w:val="en-US" w:eastAsia="zh-CN"/>
              </w:rPr>
              <w:t>响</w:t>
            </w:r>
            <w:r>
              <w:rPr>
                <w:rFonts w:hint="eastAsia" w:ascii="宋体" w:hAnsi="宋体" w:cs="Courier New"/>
                <w:color w:val="000000"/>
                <w:szCs w:val="21"/>
                <w:lang w:val="en-US" w:eastAsia="zh-CN"/>
              </w:rPr>
              <w:t>应</w:t>
            </w:r>
            <w:r>
              <w:rPr>
                <w:rFonts w:hint="eastAsia" w:ascii="宋体" w:hAnsi="宋体" w:cs="Courier New"/>
                <w:color w:val="000000"/>
                <w:szCs w:val="21"/>
              </w:rPr>
              <w:t>文件中提供合同复印件并加盖供应商CA电子签章，未提供证明材料的不予计分。）</w:t>
            </w:r>
          </w:p>
        </w:tc>
      </w:tr>
      <w:tr w14:paraId="1BB0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noWrap w:val="0"/>
            <w:vAlign w:val="top"/>
          </w:tcPr>
          <w:p w14:paraId="56756382">
            <w:pPr>
              <w:spacing w:line="440" w:lineRule="exact"/>
              <w:rPr>
                <w:rFonts w:hint="default" w:hAnsi="宋体" w:eastAsia="宋体"/>
                <w:b/>
                <w:bCs/>
                <w:color w:val="000000"/>
                <w:lang w:val="en-US" w:eastAsia="zh-CN"/>
              </w:rPr>
            </w:pPr>
            <w:r>
              <w:rPr>
                <w:rFonts w:hint="eastAsia" w:hAnsi="宋体"/>
                <w:b/>
                <w:bCs/>
                <w:color w:val="000000"/>
              </w:rPr>
              <w:t>总得分</w:t>
            </w:r>
            <w:r>
              <w:rPr>
                <w:rFonts w:hint="eastAsia" w:ascii="宋体" w:hAnsi="宋体" w:eastAsia="宋体" w:cs="宋体"/>
                <w:b/>
                <w:bCs/>
                <w:color w:val="000000"/>
                <w:lang w:val="en-US" w:eastAsia="zh-CN"/>
              </w:rPr>
              <w:t>=1+2+3</w:t>
            </w:r>
          </w:p>
        </w:tc>
      </w:tr>
    </w:tbl>
    <w:p w14:paraId="7DB5B8EE">
      <w:pPr>
        <w:pStyle w:val="22"/>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14:paraId="0A3C3803">
      <w:pPr>
        <w:pStyle w:val="22"/>
        <w:spacing w:line="440" w:lineRule="exact"/>
        <w:ind w:firstLine="420"/>
        <w:rPr>
          <w:rFonts w:hAnsi="宋体" w:cs="宋体"/>
          <w:color w:val="auto"/>
          <w:sz w:val="21"/>
          <w:highlight w:val="none"/>
        </w:rPr>
      </w:pPr>
      <w:r>
        <w:rPr>
          <w:rFonts w:hint="eastAsia" w:hAnsi="宋体" w:cs="宋体"/>
          <w:color w:val="auto"/>
          <w:sz w:val="21"/>
          <w:highlight w:val="none"/>
        </w:rPr>
        <w:t>由磋商小组根据综合评分情况，按照评审得分由高到低顺序推荐3名以上中标（成交）候选供应商，并编写评审报告。评审得分相同的，按照最后报价（不计算价格折扣）由低到高的顺序推荐。评审得分且最后报价（不计算价格折扣）相同的，按照技术指标优劣顺序推荐（按综合评分中服务水平、售后服务、履约能力、政策功能得分高低依次确定）。评审得分、最后报价（不计算价格折扣）、技术得分均相同的，由磋商小组随机抽取推荐。</w:t>
      </w:r>
    </w:p>
    <w:p w14:paraId="46F431A0">
      <w:pPr>
        <w:pStyle w:val="22"/>
        <w:spacing w:line="440" w:lineRule="exact"/>
        <w:ind w:firstLine="420"/>
        <w:rPr>
          <w:rFonts w:hAnsi="宋体" w:cs="宋体"/>
          <w:color w:val="auto"/>
          <w:sz w:val="21"/>
          <w:highlight w:val="none"/>
        </w:rPr>
      </w:pPr>
      <w:r>
        <w:rPr>
          <w:rFonts w:hint="eastAsia" w:hAnsi="宋体" w:cs="宋体"/>
          <w:color w:val="auto"/>
          <w:sz w:val="21"/>
          <w:highlight w:val="none"/>
        </w:rPr>
        <w:t>本项目确定一名成交供应商。采购单位应当确定磋商小组推荐排名第一的成交候选供应商为成交供应商。</w:t>
      </w:r>
    </w:p>
    <w:p w14:paraId="793656FC">
      <w:pPr>
        <w:pStyle w:val="22"/>
        <w:spacing w:line="440" w:lineRule="exact"/>
        <w:ind w:firstLine="420"/>
        <w:rPr>
          <w:rFonts w:hAnsi="宋体" w:cs="宋体"/>
          <w:color w:val="auto"/>
          <w:sz w:val="21"/>
          <w:highlight w:val="none"/>
        </w:rPr>
      </w:pPr>
      <w:r>
        <w:rPr>
          <w:rFonts w:hint="eastAsia" w:hAnsi="宋体" w:cs="宋体"/>
          <w:color w:val="auto"/>
          <w:sz w:val="21"/>
          <w:highlight w:val="none"/>
        </w:rPr>
        <w:t>排名第一的中标（成交）候选人放弃中标、因不可抗力提出不能履行合同，或者招标文件规定应当提交履约保证金而在规定的期限内未能提交的，或因失信行为被取消中标候选人资格的，采购人可以确定排名第二的中标（成交）候选人为中标人，并依此类推。</w:t>
      </w:r>
    </w:p>
    <w:p w14:paraId="4220F490">
      <w:pPr>
        <w:spacing w:line="44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四、特别说明</w:t>
      </w:r>
    </w:p>
    <w:p w14:paraId="3EEDF598">
      <w:pPr>
        <w:spacing w:line="440" w:lineRule="exact"/>
        <w:ind w:firstLine="411" w:firstLineChars="196"/>
        <w:rPr>
          <w:rFonts w:ascii="宋体" w:hAnsi="宋体" w:cs="宋体"/>
          <w:color w:val="auto"/>
          <w:szCs w:val="21"/>
          <w:highlight w:val="none"/>
        </w:rPr>
      </w:pPr>
      <w:r>
        <w:rPr>
          <w:rFonts w:hint="eastAsia" w:hAnsi="宋体" w:cs="宋体"/>
          <w:color w:val="auto"/>
          <w:sz w:val="21"/>
          <w:highlight w:val="none"/>
        </w:rPr>
        <w:t>评审时，磋商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磋商小组作为无效响应处理。如果供应商不能合理说明或者提供的有关证明材料不完整，不能证明其报价合理性的，磋商小组应当将其作为无效投标处理。供应商书面说明应当签字确认或者加盖公章，否则无效。</w:t>
      </w:r>
      <w:bookmarkEnd w:id="33"/>
    </w:p>
    <w:sectPr>
      <w:headerReference r:id="rId5" w:type="default"/>
      <w:footerReference r:id="rId6" w:type="default"/>
      <w:pgSz w:w="11906" w:h="16838"/>
      <w:pgMar w:top="1134" w:right="1247" w:bottom="1134" w:left="1247" w:header="851" w:footer="131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大黑简体2.">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4BE50">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B0204">
                          <w:pPr>
                            <w:pStyle w:val="2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44AB0204">
                    <w:pPr>
                      <w:pStyle w:val="2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0AC5B">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68DF6">
                          <w:pPr>
                            <w:pStyle w:val="26"/>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C468DF6">
                    <w:pPr>
                      <w:pStyle w:val="26"/>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126B6">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6635">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5048E6"/>
    <w:multiLevelType w:val="singleLevel"/>
    <w:tmpl w:val="785048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ZDU1YWYxNzI0MzY5N2Y5ZTM5MGMzNzEyOGQ0M2MifQ=="/>
    <w:docVar w:name="KSO_WPS_MARK_KEY" w:val="2a0489cf-a869-4ecf-81ec-ac97af0ac8d4"/>
  </w:docVars>
  <w:rsids>
    <w:rsidRoot w:val="00172A27"/>
    <w:rsid w:val="0000090E"/>
    <w:rsid w:val="000015DB"/>
    <w:rsid w:val="000067C1"/>
    <w:rsid w:val="0000695D"/>
    <w:rsid w:val="00013DC2"/>
    <w:rsid w:val="0001413E"/>
    <w:rsid w:val="0002592F"/>
    <w:rsid w:val="0002786B"/>
    <w:rsid w:val="00035557"/>
    <w:rsid w:val="0004133D"/>
    <w:rsid w:val="00041B3F"/>
    <w:rsid w:val="00043E0A"/>
    <w:rsid w:val="000514EF"/>
    <w:rsid w:val="000560B8"/>
    <w:rsid w:val="00065310"/>
    <w:rsid w:val="00077CC5"/>
    <w:rsid w:val="000815B2"/>
    <w:rsid w:val="00086172"/>
    <w:rsid w:val="00093515"/>
    <w:rsid w:val="000A7C55"/>
    <w:rsid w:val="000C2708"/>
    <w:rsid w:val="000D0985"/>
    <w:rsid w:val="000D2138"/>
    <w:rsid w:val="000D4081"/>
    <w:rsid w:val="000E3C92"/>
    <w:rsid w:val="000E56CB"/>
    <w:rsid w:val="000E78EB"/>
    <w:rsid w:val="000E7901"/>
    <w:rsid w:val="000F0388"/>
    <w:rsid w:val="000F46D6"/>
    <w:rsid w:val="000F6D52"/>
    <w:rsid w:val="00102F6B"/>
    <w:rsid w:val="0010453E"/>
    <w:rsid w:val="0011098A"/>
    <w:rsid w:val="00111AF2"/>
    <w:rsid w:val="00114092"/>
    <w:rsid w:val="00114D6A"/>
    <w:rsid w:val="00115FEF"/>
    <w:rsid w:val="001318DA"/>
    <w:rsid w:val="001324F1"/>
    <w:rsid w:val="001335D8"/>
    <w:rsid w:val="0014576F"/>
    <w:rsid w:val="00152934"/>
    <w:rsid w:val="00172A27"/>
    <w:rsid w:val="001771ED"/>
    <w:rsid w:val="00184CD3"/>
    <w:rsid w:val="00187384"/>
    <w:rsid w:val="00192CF5"/>
    <w:rsid w:val="00197A96"/>
    <w:rsid w:val="001A22E8"/>
    <w:rsid w:val="001A25E3"/>
    <w:rsid w:val="001A681E"/>
    <w:rsid w:val="001B2B72"/>
    <w:rsid w:val="001B2F7C"/>
    <w:rsid w:val="001B7405"/>
    <w:rsid w:val="001C1F14"/>
    <w:rsid w:val="001C7C61"/>
    <w:rsid w:val="001D5246"/>
    <w:rsid w:val="001E73BE"/>
    <w:rsid w:val="00200139"/>
    <w:rsid w:val="002144F0"/>
    <w:rsid w:val="0023030D"/>
    <w:rsid w:val="00236F5B"/>
    <w:rsid w:val="0024402E"/>
    <w:rsid w:val="00250C35"/>
    <w:rsid w:val="0025799C"/>
    <w:rsid w:val="002664CA"/>
    <w:rsid w:val="00266C78"/>
    <w:rsid w:val="002828EE"/>
    <w:rsid w:val="00282EE6"/>
    <w:rsid w:val="00284181"/>
    <w:rsid w:val="00286316"/>
    <w:rsid w:val="00290ABF"/>
    <w:rsid w:val="002A0B70"/>
    <w:rsid w:val="002C1E03"/>
    <w:rsid w:val="002D4643"/>
    <w:rsid w:val="002E0745"/>
    <w:rsid w:val="002E2998"/>
    <w:rsid w:val="002F035C"/>
    <w:rsid w:val="002F1CE1"/>
    <w:rsid w:val="002F4EB4"/>
    <w:rsid w:val="002F524C"/>
    <w:rsid w:val="002F5959"/>
    <w:rsid w:val="002F7395"/>
    <w:rsid w:val="0032415A"/>
    <w:rsid w:val="00330926"/>
    <w:rsid w:val="00330E48"/>
    <w:rsid w:val="0033133C"/>
    <w:rsid w:val="00350B58"/>
    <w:rsid w:val="00354790"/>
    <w:rsid w:val="00363580"/>
    <w:rsid w:val="00374A13"/>
    <w:rsid w:val="003759F0"/>
    <w:rsid w:val="00376E31"/>
    <w:rsid w:val="003927CF"/>
    <w:rsid w:val="00393BED"/>
    <w:rsid w:val="003A67E8"/>
    <w:rsid w:val="003A78D2"/>
    <w:rsid w:val="003B74DD"/>
    <w:rsid w:val="003B7FF9"/>
    <w:rsid w:val="003C7AD6"/>
    <w:rsid w:val="003D69B4"/>
    <w:rsid w:val="003E2F67"/>
    <w:rsid w:val="003E346C"/>
    <w:rsid w:val="003E4FF9"/>
    <w:rsid w:val="003F36B5"/>
    <w:rsid w:val="003F4BD2"/>
    <w:rsid w:val="003F6B4E"/>
    <w:rsid w:val="004048A3"/>
    <w:rsid w:val="004073EC"/>
    <w:rsid w:val="004138F0"/>
    <w:rsid w:val="00417A17"/>
    <w:rsid w:val="00421B89"/>
    <w:rsid w:val="00436F11"/>
    <w:rsid w:val="00442B23"/>
    <w:rsid w:val="004438BE"/>
    <w:rsid w:val="00444E68"/>
    <w:rsid w:val="0044516E"/>
    <w:rsid w:val="0044614E"/>
    <w:rsid w:val="00450AE8"/>
    <w:rsid w:val="00453CAA"/>
    <w:rsid w:val="00454723"/>
    <w:rsid w:val="00457286"/>
    <w:rsid w:val="00457799"/>
    <w:rsid w:val="004646A8"/>
    <w:rsid w:val="0046526E"/>
    <w:rsid w:val="0047262E"/>
    <w:rsid w:val="00474C4D"/>
    <w:rsid w:val="00484142"/>
    <w:rsid w:val="00485BEB"/>
    <w:rsid w:val="004A1D3E"/>
    <w:rsid w:val="004A2EE5"/>
    <w:rsid w:val="004B4985"/>
    <w:rsid w:val="004B551A"/>
    <w:rsid w:val="004C3110"/>
    <w:rsid w:val="004C5291"/>
    <w:rsid w:val="004D71CD"/>
    <w:rsid w:val="004E50FE"/>
    <w:rsid w:val="004F7773"/>
    <w:rsid w:val="00500D36"/>
    <w:rsid w:val="00505534"/>
    <w:rsid w:val="00507882"/>
    <w:rsid w:val="00523F15"/>
    <w:rsid w:val="0052488F"/>
    <w:rsid w:val="00525AA5"/>
    <w:rsid w:val="00527462"/>
    <w:rsid w:val="005275EC"/>
    <w:rsid w:val="00533464"/>
    <w:rsid w:val="0054045B"/>
    <w:rsid w:val="0054736B"/>
    <w:rsid w:val="00551237"/>
    <w:rsid w:val="00556601"/>
    <w:rsid w:val="00557C30"/>
    <w:rsid w:val="00562ABC"/>
    <w:rsid w:val="00565011"/>
    <w:rsid w:val="005674DD"/>
    <w:rsid w:val="00572E67"/>
    <w:rsid w:val="005752A1"/>
    <w:rsid w:val="005808D1"/>
    <w:rsid w:val="00584495"/>
    <w:rsid w:val="005933B0"/>
    <w:rsid w:val="005B36C7"/>
    <w:rsid w:val="005B3CA7"/>
    <w:rsid w:val="005D1E87"/>
    <w:rsid w:val="005D26AC"/>
    <w:rsid w:val="005E0AC0"/>
    <w:rsid w:val="005E0F69"/>
    <w:rsid w:val="005E266D"/>
    <w:rsid w:val="005E4943"/>
    <w:rsid w:val="005E4FA7"/>
    <w:rsid w:val="005F0475"/>
    <w:rsid w:val="005F15A4"/>
    <w:rsid w:val="005F471E"/>
    <w:rsid w:val="0060128B"/>
    <w:rsid w:val="006064E1"/>
    <w:rsid w:val="00607698"/>
    <w:rsid w:val="006116A3"/>
    <w:rsid w:val="00613BEF"/>
    <w:rsid w:val="0061464B"/>
    <w:rsid w:val="00616EE6"/>
    <w:rsid w:val="00621BB0"/>
    <w:rsid w:val="00624849"/>
    <w:rsid w:val="00625B22"/>
    <w:rsid w:val="006304A8"/>
    <w:rsid w:val="006437A1"/>
    <w:rsid w:val="006446AB"/>
    <w:rsid w:val="0064641B"/>
    <w:rsid w:val="006468D9"/>
    <w:rsid w:val="0065527C"/>
    <w:rsid w:val="00661805"/>
    <w:rsid w:val="00667BAC"/>
    <w:rsid w:val="00671F7C"/>
    <w:rsid w:val="00676E82"/>
    <w:rsid w:val="00687FBE"/>
    <w:rsid w:val="00695BF2"/>
    <w:rsid w:val="006A33F2"/>
    <w:rsid w:val="006B6976"/>
    <w:rsid w:val="006B6D24"/>
    <w:rsid w:val="006B7E19"/>
    <w:rsid w:val="006C4F1C"/>
    <w:rsid w:val="006D004D"/>
    <w:rsid w:val="006D0BE3"/>
    <w:rsid w:val="006D2E71"/>
    <w:rsid w:val="006D586C"/>
    <w:rsid w:val="006E2180"/>
    <w:rsid w:val="006E4B63"/>
    <w:rsid w:val="006F70C4"/>
    <w:rsid w:val="00711C91"/>
    <w:rsid w:val="007131B1"/>
    <w:rsid w:val="00726B55"/>
    <w:rsid w:val="00730782"/>
    <w:rsid w:val="00733E84"/>
    <w:rsid w:val="00737F70"/>
    <w:rsid w:val="007609A0"/>
    <w:rsid w:val="00762CD4"/>
    <w:rsid w:val="00775DA7"/>
    <w:rsid w:val="00781360"/>
    <w:rsid w:val="00787233"/>
    <w:rsid w:val="0079150F"/>
    <w:rsid w:val="00793A6F"/>
    <w:rsid w:val="007951FD"/>
    <w:rsid w:val="007C5EC3"/>
    <w:rsid w:val="007D2FF9"/>
    <w:rsid w:val="007D5341"/>
    <w:rsid w:val="007E13F9"/>
    <w:rsid w:val="007E4478"/>
    <w:rsid w:val="007E5553"/>
    <w:rsid w:val="007F26D3"/>
    <w:rsid w:val="007F7145"/>
    <w:rsid w:val="00800876"/>
    <w:rsid w:val="0080268F"/>
    <w:rsid w:val="0081321E"/>
    <w:rsid w:val="00814689"/>
    <w:rsid w:val="0081540E"/>
    <w:rsid w:val="008219B8"/>
    <w:rsid w:val="008277DD"/>
    <w:rsid w:val="00840C78"/>
    <w:rsid w:val="00854713"/>
    <w:rsid w:val="008552AA"/>
    <w:rsid w:val="008642A9"/>
    <w:rsid w:val="00875B64"/>
    <w:rsid w:val="00881E06"/>
    <w:rsid w:val="00882368"/>
    <w:rsid w:val="00885A16"/>
    <w:rsid w:val="0089591B"/>
    <w:rsid w:val="00897C42"/>
    <w:rsid w:val="008A28E9"/>
    <w:rsid w:val="008A4B60"/>
    <w:rsid w:val="008A4D79"/>
    <w:rsid w:val="008A5290"/>
    <w:rsid w:val="008A60A6"/>
    <w:rsid w:val="008A6376"/>
    <w:rsid w:val="008B4ED6"/>
    <w:rsid w:val="008C0AB7"/>
    <w:rsid w:val="008E316B"/>
    <w:rsid w:val="008F4B8C"/>
    <w:rsid w:val="009013C7"/>
    <w:rsid w:val="00901D92"/>
    <w:rsid w:val="00902842"/>
    <w:rsid w:val="00905441"/>
    <w:rsid w:val="00910264"/>
    <w:rsid w:val="00911E65"/>
    <w:rsid w:val="009135BA"/>
    <w:rsid w:val="00914911"/>
    <w:rsid w:val="009164ED"/>
    <w:rsid w:val="00916C6C"/>
    <w:rsid w:val="00925759"/>
    <w:rsid w:val="00933875"/>
    <w:rsid w:val="00941666"/>
    <w:rsid w:val="009502DD"/>
    <w:rsid w:val="009504C8"/>
    <w:rsid w:val="0095325C"/>
    <w:rsid w:val="00971F78"/>
    <w:rsid w:val="0097344E"/>
    <w:rsid w:val="00975445"/>
    <w:rsid w:val="00986FE4"/>
    <w:rsid w:val="00994085"/>
    <w:rsid w:val="009B011B"/>
    <w:rsid w:val="009B6C14"/>
    <w:rsid w:val="009B7507"/>
    <w:rsid w:val="009C5193"/>
    <w:rsid w:val="009D21C1"/>
    <w:rsid w:val="009D59BC"/>
    <w:rsid w:val="009F0AE7"/>
    <w:rsid w:val="00A01634"/>
    <w:rsid w:val="00A04DA8"/>
    <w:rsid w:val="00A115EA"/>
    <w:rsid w:val="00A152E9"/>
    <w:rsid w:val="00A42421"/>
    <w:rsid w:val="00A51634"/>
    <w:rsid w:val="00A60374"/>
    <w:rsid w:val="00A60859"/>
    <w:rsid w:val="00A623A9"/>
    <w:rsid w:val="00A722ED"/>
    <w:rsid w:val="00A85EA8"/>
    <w:rsid w:val="00AA16DB"/>
    <w:rsid w:val="00AB3DB4"/>
    <w:rsid w:val="00AB68A1"/>
    <w:rsid w:val="00AB71E4"/>
    <w:rsid w:val="00AC22EA"/>
    <w:rsid w:val="00AC29D5"/>
    <w:rsid w:val="00AC2DBC"/>
    <w:rsid w:val="00AC73B2"/>
    <w:rsid w:val="00AD0C44"/>
    <w:rsid w:val="00AD2950"/>
    <w:rsid w:val="00AD511A"/>
    <w:rsid w:val="00AD63D3"/>
    <w:rsid w:val="00AE04FE"/>
    <w:rsid w:val="00AE3544"/>
    <w:rsid w:val="00AE7A13"/>
    <w:rsid w:val="00AF4EE7"/>
    <w:rsid w:val="00B02BD7"/>
    <w:rsid w:val="00B05C39"/>
    <w:rsid w:val="00B21E79"/>
    <w:rsid w:val="00B3085B"/>
    <w:rsid w:val="00B32F6D"/>
    <w:rsid w:val="00B33824"/>
    <w:rsid w:val="00B35A99"/>
    <w:rsid w:val="00B361A5"/>
    <w:rsid w:val="00B404D3"/>
    <w:rsid w:val="00B408AC"/>
    <w:rsid w:val="00B453E2"/>
    <w:rsid w:val="00B453F5"/>
    <w:rsid w:val="00B539BF"/>
    <w:rsid w:val="00B57027"/>
    <w:rsid w:val="00B6498C"/>
    <w:rsid w:val="00B64E1F"/>
    <w:rsid w:val="00B8384E"/>
    <w:rsid w:val="00B92702"/>
    <w:rsid w:val="00B93C7F"/>
    <w:rsid w:val="00BB6C2F"/>
    <w:rsid w:val="00BC2783"/>
    <w:rsid w:val="00BC380A"/>
    <w:rsid w:val="00BC3CB6"/>
    <w:rsid w:val="00BD1B07"/>
    <w:rsid w:val="00BD30B2"/>
    <w:rsid w:val="00BD554E"/>
    <w:rsid w:val="00BE056A"/>
    <w:rsid w:val="00BE2082"/>
    <w:rsid w:val="00BE20A1"/>
    <w:rsid w:val="00BE2888"/>
    <w:rsid w:val="00BE4F8C"/>
    <w:rsid w:val="00BF19B4"/>
    <w:rsid w:val="00BF70AB"/>
    <w:rsid w:val="00C054BC"/>
    <w:rsid w:val="00C12C5F"/>
    <w:rsid w:val="00C16A3F"/>
    <w:rsid w:val="00C35EE6"/>
    <w:rsid w:val="00C4123B"/>
    <w:rsid w:val="00C43679"/>
    <w:rsid w:val="00C450BD"/>
    <w:rsid w:val="00C51002"/>
    <w:rsid w:val="00C7124E"/>
    <w:rsid w:val="00C763AD"/>
    <w:rsid w:val="00C77867"/>
    <w:rsid w:val="00C87EED"/>
    <w:rsid w:val="00CB0360"/>
    <w:rsid w:val="00CB6C17"/>
    <w:rsid w:val="00CC7D75"/>
    <w:rsid w:val="00CF33E7"/>
    <w:rsid w:val="00D027AD"/>
    <w:rsid w:val="00D065A5"/>
    <w:rsid w:val="00D159A1"/>
    <w:rsid w:val="00D21270"/>
    <w:rsid w:val="00D21D8D"/>
    <w:rsid w:val="00D27C5C"/>
    <w:rsid w:val="00D30121"/>
    <w:rsid w:val="00D3567D"/>
    <w:rsid w:val="00D44AA3"/>
    <w:rsid w:val="00D56B12"/>
    <w:rsid w:val="00D6485C"/>
    <w:rsid w:val="00D67980"/>
    <w:rsid w:val="00D71C53"/>
    <w:rsid w:val="00D7692A"/>
    <w:rsid w:val="00D76D24"/>
    <w:rsid w:val="00D834FE"/>
    <w:rsid w:val="00D91F49"/>
    <w:rsid w:val="00DB5446"/>
    <w:rsid w:val="00DB6EAC"/>
    <w:rsid w:val="00DC055C"/>
    <w:rsid w:val="00DD09D7"/>
    <w:rsid w:val="00DE11B4"/>
    <w:rsid w:val="00DF0657"/>
    <w:rsid w:val="00DF3C49"/>
    <w:rsid w:val="00E0017A"/>
    <w:rsid w:val="00E00FCE"/>
    <w:rsid w:val="00E05C90"/>
    <w:rsid w:val="00E063CA"/>
    <w:rsid w:val="00E06EE6"/>
    <w:rsid w:val="00E205E7"/>
    <w:rsid w:val="00E238EE"/>
    <w:rsid w:val="00E34119"/>
    <w:rsid w:val="00E37FC3"/>
    <w:rsid w:val="00E41624"/>
    <w:rsid w:val="00E522FB"/>
    <w:rsid w:val="00E60EC9"/>
    <w:rsid w:val="00E63676"/>
    <w:rsid w:val="00E81204"/>
    <w:rsid w:val="00E9713C"/>
    <w:rsid w:val="00EA02C2"/>
    <w:rsid w:val="00EA5F28"/>
    <w:rsid w:val="00EB063D"/>
    <w:rsid w:val="00EC6161"/>
    <w:rsid w:val="00ED0A74"/>
    <w:rsid w:val="00ED1677"/>
    <w:rsid w:val="00ED20C3"/>
    <w:rsid w:val="00ED4402"/>
    <w:rsid w:val="00ED48AC"/>
    <w:rsid w:val="00EE1851"/>
    <w:rsid w:val="00EF6786"/>
    <w:rsid w:val="00F021D7"/>
    <w:rsid w:val="00F06689"/>
    <w:rsid w:val="00F10BA5"/>
    <w:rsid w:val="00F1201C"/>
    <w:rsid w:val="00F13D95"/>
    <w:rsid w:val="00F219EB"/>
    <w:rsid w:val="00F272D0"/>
    <w:rsid w:val="00F3159C"/>
    <w:rsid w:val="00F37635"/>
    <w:rsid w:val="00F37E03"/>
    <w:rsid w:val="00F463CE"/>
    <w:rsid w:val="00F47689"/>
    <w:rsid w:val="00F61E8C"/>
    <w:rsid w:val="00F65341"/>
    <w:rsid w:val="00F7046E"/>
    <w:rsid w:val="00F715B4"/>
    <w:rsid w:val="00F725BF"/>
    <w:rsid w:val="00F860E2"/>
    <w:rsid w:val="00F86A97"/>
    <w:rsid w:val="00F91299"/>
    <w:rsid w:val="00F96E38"/>
    <w:rsid w:val="00FA1224"/>
    <w:rsid w:val="00FA159A"/>
    <w:rsid w:val="00FA364F"/>
    <w:rsid w:val="00FB4608"/>
    <w:rsid w:val="00FB70EF"/>
    <w:rsid w:val="00FC49FB"/>
    <w:rsid w:val="00FD552A"/>
    <w:rsid w:val="00FD6C46"/>
    <w:rsid w:val="00FD6D32"/>
    <w:rsid w:val="00FE600C"/>
    <w:rsid w:val="00FF4075"/>
    <w:rsid w:val="00FF52C7"/>
    <w:rsid w:val="013C690E"/>
    <w:rsid w:val="017F1002"/>
    <w:rsid w:val="018039CD"/>
    <w:rsid w:val="01A3661E"/>
    <w:rsid w:val="01F20D71"/>
    <w:rsid w:val="02352FCB"/>
    <w:rsid w:val="024A011D"/>
    <w:rsid w:val="02B250DA"/>
    <w:rsid w:val="03005BDD"/>
    <w:rsid w:val="031670D6"/>
    <w:rsid w:val="03473B72"/>
    <w:rsid w:val="03FC10E3"/>
    <w:rsid w:val="04226DE4"/>
    <w:rsid w:val="042D3406"/>
    <w:rsid w:val="0446464E"/>
    <w:rsid w:val="04CE2C04"/>
    <w:rsid w:val="04DB3800"/>
    <w:rsid w:val="05126AA1"/>
    <w:rsid w:val="052B2F21"/>
    <w:rsid w:val="05313213"/>
    <w:rsid w:val="06086033"/>
    <w:rsid w:val="06B312BD"/>
    <w:rsid w:val="06F537E7"/>
    <w:rsid w:val="073A6A62"/>
    <w:rsid w:val="074167A2"/>
    <w:rsid w:val="075210C8"/>
    <w:rsid w:val="075F1744"/>
    <w:rsid w:val="0778645F"/>
    <w:rsid w:val="07A836E6"/>
    <w:rsid w:val="07CF4447"/>
    <w:rsid w:val="07EF15E7"/>
    <w:rsid w:val="081E6C34"/>
    <w:rsid w:val="08A45612"/>
    <w:rsid w:val="08C01E1B"/>
    <w:rsid w:val="09433009"/>
    <w:rsid w:val="094A733A"/>
    <w:rsid w:val="0AF11100"/>
    <w:rsid w:val="0AF4333B"/>
    <w:rsid w:val="0B347426"/>
    <w:rsid w:val="0B7D6C68"/>
    <w:rsid w:val="0B951AB4"/>
    <w:rsid w:val="0BAB6169"/>
    <w:rsid w:val="0BB37D2F"/>
    <w:rsid w:val="0BD30502"/>
    <w:rsid w:val="0BF30BA8"/>
    <w:rsid w:val="0C0718FB"/>
    <w:rsid w:val="0C677253"/>
    <w:rsid w:val="0CAB6B8B"/>
    <w:rsid w:val="0DE04493"/>
    <w:rsid w:val="0E177B42"/>
    <w:rsid w:val="0E8C7D6A"/>
    <w:rsid w:val="0E9D6C3E"/>
    <w:rsid w:val="0F1A4356"/>
    <w:rsid w:val="0F56037E"/>
    <w:rsid w:val="109C081A"/>
    <w:rsid w:val="10EB7F83"/>
    <w:rsid w:val="111A64A0"/>
    <w:rsid w:val="113423A2"/>
    <w:rsid w:val="114104C2"/>
    <w:rsid w:val="12492FB5"/>
    <w:rsid w:val="126855F2"/>
    <w:rsid w:val="129A7E11"/>
    <w:rsid w:val="12B94AA0"/>
    <w:rsid w:val="12CA6D88"/>
    <w:rsid w:val="12D4198A"/>
    <w:rsid w:val="12EA7371"/>
    <w:rsid w:val="134013C4"/>
    <w:rsid w:val="13551A69"/>
    <w:rsid w:val="13761F34"/>
    <w:rsid w:val="14481E06"/>
    <w:rsid w:val="14522278"/>
    <w:rsid w:val="15567406"/>
    <w:rsid w:val="158C0F75"/>
    <w:rsid w:val="15BE0D9D"/>
    <w:rsid w:val="15D117D4"/>
    <w:rsid w:val="1621637D"/>
    <w:rsid w:val="1622167D"/>
    <w:rsid w:val="168077AB"/>
    <w:rsid w:val="16B21D45"/>
    <w:rsid w:val="16CD5440"/>
    <w:rsid w:val="16D21E3A"/>
    <w:rsid w:val="16F078A5"/>
    <w:rsid w:val="16F26BDC"/>
    <w:rsid w:val="1708097D"/>
    <w:rsid w:val="1732421A"/>
    <w:rsid w:val="17653C9A"/>
    <w:rsid w:val="17917D4C"/>
    <w:rsid w:val="17A60604"/>
    <w:rsid w:val="17C26C63"/>
    <w:rsid w:val="180A18BE"/>
    <w:rsid w:val="180B37EA"/>
    <w:rsid w:val="18754534"/>
    <w:rsid w:val="188D4D39"/>
    <w:rsid w:val="18C01D90"/>
    <w:rsid w:val="18DD66FE"/>
    <w:rsid w:val="19277932"/>
    <w:rsid w:val="196B6A36"/>
    <w:rsid w:val="197F500A"/>
    <w:rsid w:val="19F442E3"/>
    <w:rsid w:val="1A101FC5"/>
    <w:rsid w:val="1A5775E2"/>
    <w:rsid w:val="1A9F5573"/>
    <w:rsid w:val="1AD5246F"/>
    <w:rsid w:val="1BA16F6F"/>
    <w:rsid w:val="1C1F4E67"/>
    <w:rsid w:val="1C41290C"/>
    <w:rsid w:val="1CAC2540"/>
    <w:rsid w:val="1CAD565A"/>
    <w:rsid w:val="1D1C1676"/>
    <w:rsid w:val="1D4F0555"/>
    <w:rsid w:val="1D6E3BAA"/>
    <w:rsid w:val="1D8B2357"/>
    <w:rsid w:val="1DD64580"/>
    <w:rsid w:val="1E5E59F5"/>
    <w:rsid w:val="1E6C1A8F"/>
    <w:rsid w:val="1E7F5C4E"/>
    <w:rsid w:val="1E8F40C9"/>
    <w:rsid w:val="1ED80129"/>
    <w:rsid w:val="1F853661"/>
    <w:rsid w:val="1FA036A7"/>
    <w:rsid w:val="1FA71630"/>
    <w:rsid w:val="1FAB284F"/>
    <w:rsid w:val="204A474C"/>
    <w:rsid w:val="208731A6"/>
    <w:rsid w:val="2094600D"/>
    <w:rsid w:val="20BC2CB0"/>
    <w:rsid w:val="20EC75B1"/>
    <w:rsid w:val="20F875A5"/>
    <w:rsid w:val="21152809"/>
    <w:rsid w:val="211C2806"/>
    <w:rsid w:val="212968C1"/>
    <w:rsid w:val="21315554"/>
    <w:rsid w:val="21920807"/>
    <w:rsid w:val="21B666E7"/>
    <w:rsid w:val="220A45D5"/>
    <w:rsid w:val="22102323"/>
    <w:rsid w:val="225418B2"/>
    <w:rsid w:val="22BC61C2"/>
    <w:rsid w:val="22CF3229"/>
    <w:rsid w:val="23243130"/>
    <w:rsid w:val="23877D2A"/>
    <w:rsid w:val="2417445E"/>
    <w:rsid w:val="24BA280C"/>
    <w:rsid w:val="24EB703A"/>
    <w:rsid w:val="24EC3854"/>
    <w:rsid w:val="253003B0"/>
    <w:rsid w:val="25377199"/>
    <w:rsid w:val="258B0F50"/>
    <w:rsid w:val="25905E1C"/>
    <w:rsid w:val="26511DD2"/>
    <w:rsid w:val="266D4CF0"/>
    <w:rsid w:val="26D1775D"/>
    <w:rsid w:val="27565784"/>
    <w:rsid w:val="27B44B02"/>
    <w:rsid w:val="27FA543F"/>
    <w:rsid w:val="28467543"/>
    <w:rsid w:val="28475999"/>
    <w:rsid w:val="28710E21"/>
    <w:rsid w:val="287F40F1"/>
    <w:rsid w:val="2886652D"/>
    <w:rsid w:val="28D21782"/>
    <w:rsid w:val="28D85D13"/>
    <w:rsid w:val="29894089"/>
    <w:rsid w:val="2A0E500A"/>
    <w:rsid w:val="2AAA0146"/>
    <w:rsid w:val="2AD2298B"/>
    <w:rsid w:val="2AE8703B"/>
    <w:rsid w:val="2B01233C"/>
    <w:rsid w:val="2B157CAA"/>
    <w:rsid w:val="2B4C5398"/>
    <w:rsid w:val="2B512CEB"/>
    <w:rsid w:val="2B812C0E"/>
    <w:rsid w:val="2BB06D6E"/>
    <w:rsid w:val="2BC96582"/>
    <w:rsid w:val="2BF07E80"/>
    <w:rsid w:val="2BF536D0"/>
    <w:rsid w:val="2BF94DA0"/>
    <w:rsid w:val="2C153BB2"/>
    <w:rsid w:val="2CCC1540"/>
    <w:rsid w:val="2CF51085"/>
    <w:rsid w:val="2D0E19FB"/>
    <w:rsid w:val="2D425435"/>
    <w:rsid w:val="2D4D65CE"/>
    <w:rsid w:val="2D653F91"/>
    <w:rsid w:val="2D6F0495"/>
    <w:rsid w:val="2D980D54"/>
    <w:rsid w:val="2DA5011B"/>
    <w:rsid w:val="2DF85CB5"/>
    <w:rsid w:val="2E2B4302"/>
    <w:rsid w:val="2E411387"/>
    <w:rsid w:val="2E68598C"/>
    <w:rsid w:val="2E7D0637"/>
    <w:rsid w:val="2E8C10FD"/>
    <w:rsid w:val="2EE846B5"/>
    <w:rsid w:val="2F3C7AFC"/>
    <w:rsid w:val="2F9015F7"/>
    <w:rsid w:val="2FA34028"/>
    <w:rsid w:val="2FB14BFA"/>
    <w:rsid w:val="2FD24608"/>
    <w:rsid w:val="30414815"/>
    <w:rsid w:val="30956DCA"/>
    <w:rsid w:val="309D2676"/>
    <w:rsid w:val="31440D43"/>
    <w:rsid w:val="31707F16"/>
    <w:rsid w:val="318575BE"/>
    <w:rsid w:val="31FA6041"/>
    <w:rsid w:val="32242510"/>
    <w:rsid w:val="32867478"/>
    <w:rsid w:val="32C75788"/>
    <w:rsid w:val="32FD7AE2"/>
    <w:rsid w:val="33002A5A"/>
    <w:rsid w:val="331F5904"/>
    <w:rsid w:val="339C0D25"/>
    <w:rsid w:val="33AF5DBD"/>
    <w:rsid w:val="33C70265"/>
    <w:rsid w:val="33DD16AF"/>
    <w:rsid w:val="344D5332"/>
    <w:rsid w:val="34596520"/>
    <w:rsid w:val="348B1723"/>
    <w:rsid w:val="34AC5B15"/>
    <w:rsid w:val="34B65BA8"/>
    <w:rsid w:val="356E0FA7"/>
    <w:rsid w:val="35897EE6"/>
    <w:rsid w:val="35A10D62"/>
    <w:rsid w:val="35BF41B7"/>
    <w:rsid w:val="35CF507F"/>
    <w:rsid w:val="35E02152"/>
    <w:rsid w:val="36212A2F"/>
    <w:rsid w:val="362D0AAC"/>
    <w:rsid w:val="364213EB"/>
    <w:rsid w:val="368A3AA0"/>
    <w:rsid w:val="369B3BBB"/>
    <w:rsid w:val="36A24866"/>
    <w:rsid w:val="37F83689"/>
    <w:rsid w:val="37F84106"/>
    <w:rsid w:val="38741B00"/>
    <w:rsid w:val="391A2AB5"/>
    <w:rsid w:val="39333B77"/>
    <w:rsid w:val="39355C2E"/>
    <w:rsid w:val="395F5EFD"/>
    <w:rsid w:val="39965EB4"/>
    <w:rsid w:val="3A3A0F35"/>
    <w:rsid w:val="3A4D0C68"/>
    <w:rsid w:val="3A962A0D"/>
    <w:rsid w:val="3B857EF5"/>
    <w:rsid w:val="3B9F72A2"/>
    <w:rsid w:val="3BDC04F6"/>
    <w:rsid w:val="3BF57164"/>
    <w:rsid w:val="3BF9786A"/>
    <w:rsid w:val="3C2D3BCC"/>
    <w:rsid w:val="3C2F7A2F"/>
    <w:rsid w:val="3C5854FA"/>
    <w:rsid w:val="3CA43637"/>
    <w:rsid w:val="3CB93B8B"/>
    <w:rsid w:val="3D2B3420"/>
    <w:rsid w:val="3D2E039F"/>
    <w:rsid w:val="3D697604"/>
    <w:rsid w:val="3DD746CE"/>
    <w:rsid w:val="3E0237FE"/>
    <w:rsid w:val="3E4D474F"/>
    <w:rsid w:val="3EB1187A"/>
    <w:rsid w:val="3ECD050F"/>
    <w:rsid w:val="3F512FA9"/>
    <w:rsid w:val="3F635508"/>
    <w:rsid w:val="3F814DC4"/>
    <w:rsid w:val="3F942A14"/>
    <w:rsid w:val="3F9654C5"/>
    <w:rsid w:val="3FB129AA"/>
    <w:rsid w:val="3FC3035B"/>
    <w:rsid w:val="3FCA68B7"/>
    <w:rsid w:val="40395517"/>
    <w:rsid w:val="405C37BB"/>
    <w:rsid w:val="411822B4"/>
    <w:rsid w:val="415F5E84"/>
    <w:rsid w:val="416536D7"/>
    <w:rsid w:val="41EE7883"/>
    <w:rsid w:val="42195183"/>
    <w:rsid w:val="423B3B37"/>
    <w:rsid w:val="42AC5638"/>
    <w:rsid w:val="42D61C15"/>
    <w:rsid w:val="43DE2931"/>
    <w:rsid w:val="443A5768"/>
    <w:rsid w:val="44890AEF"/>
    <w:rsid w:val="44D9507E"/>
    <w:rsid w:val="451D115F"/>
    <w:rsid w:val="451D54D5"/>
    <w:rsid w:val="453F34B5"/>
    <w:rsid w:val="458E4E11"/>
    <w:rsid w:val="46154283"/>
    <w:rsid w:val="4654512D"/>
    <w:rsid w:val="467E22DA"/>
    <w:rsid w:val="46B62C9F"/>
    <w:rsid w:val="46BD4E02"/>
    <w:rsid w:val="47F45591"/>
    <w:rsid w:val="480D36D1"/>
    <w:rsid w:val="48834FAF"/>
    <w:rsid w:val="48E44E8E"/>
    <w:rsid w:val="48EA5263"/>
    <w:rsid w:val="492E08FE"/>
    <w:rsid w:val="49463658"/>
    <w:rsid w:val="49CC7779"/>
    <w:rsid w:val="49F92C03"/>
    <w:rsid w:val="4A4A6F73"/>
    <w:rsid w:val="4A9F73F2"/>
    <w:rsid w:val="4B065F3E"/>
    <w:rsid w:val="4BA03308"/>
    <w:rsid w:val="4BE800A4"/>
    <w:rsid w:val="4C2A4338"/>
    <w:rsid w:val="4CB25F17"/>
    <w:rsid w:val="4CCA41E9"/>
    <w:rsid w:val="4D505D63"/>
    <w:rsid w:val="4DB276E1"/>
    <w:rsid w:val="4E05713A"/>
    <w:rsid w:val="4E064E9F"/>
    <w:rsid w:val="4E510D5E"/>
    <w:rsid w:val="4E9042A5"/>
    <w:rsid w:val="4EBD41B7"/>
    <w:rsid w:val="4EC105A5"/>
    <w:rsid w:val="4F6A193E"/>
    <w:rsid w:val="4FD5703C"/>
    <w:rsid w:val="50281F8E"/>
    <w:rsid w:val="50926F7D"/>
    <w:rsid w:val="509803E1"/>
    <w:rsid w:val="50B225EC"/>
    <w:rsid w:val="51062AD6"/>
    <w:rsid w:val="511C5A4B"/>
    <w:rsid w:val="5140229F"/>
    <w:rsid w:val="5162517B"/>
    <w:rsid w:val="51886AFA"/>
    <w:rsid w:val="51CB7009"/>
    <w:rsid w:val="51F021AD"/>
    <w:rsid w:val="51F86337"/>
    <w:rsid w:val="520854F6"/>
    <w:rsid w:val="525726F1"/>
    <w:rsid w:val="529979C0"/>
    <w:rsid w:val="52C34DF2"/>
    <w:rsid w:val="52C46295"/>
    <w:rsid w:val="52FE3879"/>
    <w:rsid w:val="53351E09"/>
    <w:rsid w:val="53C12459"/>
    <w:rsid w:val="53FB15D1"/>
    <w:rsid w:val="5459179A"/>
    <w:rsid w:val="54AB08B3"/>
    <w:rsid w:val="54AE0B6A"/>
    <w:rsid w:val="54B81A07"/>
    <w:rsid w:val="54F2448F"/>
    <w:rsid w:val="55877D4E"/>
    <w:rsid w:val="55BB0964"/>
    <w:rsid w:val="55C06351"/>
    <w:rsid w:val="55DA7F72"/>
    <w:rsid w:val="56525EF4"/>
    <w:rsid w:val="56650268"/>
    <w:rsid w:val="567A01AB"/>
    <w:rsid w:val="56B81FA2"/>
    <w:rsid w:val="56DE116E"/>
    <w:rsid w:val="576F766B"/>
    <w:rsid w:val="57B40121"/>
    <w:rsid w:val="57EB5345"/>
    <w:rsid w:val="57EE7F31"/>
    <w:rsid w:val="5872200A"/>
    <w:rsid w:val="5885761A"/>
    <w:rsid w:val="593755F3"/>
    <w:rsid w:val="59534355"/>
    <w:rsid w:val="59BD4B74"/>
    <w:rsid w:val="5A90351C"/>
    <w:rsid w:val="5ADF6F86"/>
    <w:rsid w:val="5AFA0685"/>
    <w:rsid w:val="5B0736DF"/>
    <w:rsid w:val="5B3F474C"/>
    <w:rsid w:val="5B827561"/>
    <w:rsid w:val="5BE52BC1"/>
    <w:rsid w:val="5C1F00E3"/>
    <w:rsid w:val="5C2515ED"/>
    <w:rsid w:val="5C582DE4"/>
    <w:rsid w:val="5C755C8B"/>
    <w:rsid w:val="5C7E5E7E"/>
    <w:rsid w:val="5C985053"/>
    <w:rsid w:val="5CC55DD5"/>
    <w:rsid w:val="5DE6305B"/>
    <w:rsid w:val="5DF60B1D"/>
    <w:rsid w:val="5E007E87"/>
    <w:rsid w:val="5E0D6E04"/>
    <w:rsid w:val="5E1C72DF"/>
    <w:rsid w:val="5E1E00A2"/>
    <w:rsid w:val="5E5E0920"/>
    <w:rsid w:val="5E6563CE"/>
    <w:rsid w:val="5E743A3E"/>
    <w:rsid w:val="5EA5614C"/>
    <w:rsid w:val="5ED03D00"/>
    <w:rsid w:val="5FCB6BB4"/>
    <w:rsid w:val="5FE0097E"/>
    <w:rsid w:val="601B5EA1"/>
    <w:rsid w:val="603253DE"/>
    <w:rsid w:val="60591AB4"/>
    <w:rsid w:val="61405198"/>
    <w:rsid w:val="615A76D5"/>
    <w:rsid w:val="61851963"/>
    <w:rsid w:val="61DB1E7F"/>
    <w:rsid w:val="623A203D"/>
    <w:rsid w:val="62A45FB5"/>
    <w:rsid w:val="62D87EFC"/>
    <w:rsid w:val="63005C83"/>
    <w:rsid w:val="63A92B04"/>
    <w:rsid w:val="64562C2A"/>
    <w:rsid w:val="64570A30"/>
    <w:rsid w:val="647F66FF"/>
    <w:rsid w:val="653E0389"/>
    <w:rsid w:val="655C47AD"/>
    <w:rsid w:val="656D2474"/>
    <w:rsid w:val="65920B3A"/>
    <w:rsid w:val="665F049D"/>
    <w:rsid w:val="670642A3"/>
    <w:rsid w:val="67087AB0"/>
    <w:rsid w:val="6739269B"/>
    <w:rsid w:val="6787237B"/>
    <w:rsid w:val="67DC5103"/>
    <w:rsid w:val="68171689"/>
    <w:rsid w:val="68527CF8"/>
    <w:rsid w:val="68C915E9"/>
    <w:rsid w:val="692E42FC"/>
    <w:rsid w:val="69EB46B7"/>
    <w:rsid w:val="6A122FEF"/>
    <w:rsid w:val="6A31226B"/>
    <w:rsid w:val="6A4609BE"/>
    <w:rsid w:val="6A4E53A8"/>
    <w:rsid w:val="6A6448E1"/>
    <w:rsid w:val="6AA327D8"/>
    <w:rsid w:val="6BD855C8"/>
    <w:rsid w:val="6C0D7E8B"/>
    <w:rsid w:val="6C366156"/>
    <w:rsid w:val="6C3B7778"/>
    <w:rsid w:val="6C8330C7"/>
    <w:rsid w:val="6D5E3CDA"/>
    <w:rsid w:val="6DBB644B"/>
    <w:rsid w:val="6E166FE8"/>
    <w:rsid w:val="6E4726C8"/>
    <w:rsid w:val="6E505CF5"/>
    <w:rsid w:val="6E5D6FEF"/>
    <w:rsid w:val="6E684047"/>
    <w:rsid w:val="6EB21F1C"/>
    <w:rsid w:val="6EDC78D7"/>
    <w:rsid w:val="6EDE4FCA"/>
    <w:rsid w:val="6EE96A8E"/>
    <w:rsid w:val="6F5C37C2"/>
    <w:rsid w:val="6F8D32DA"/>
    <w:rsid w:val="6FC34B45"/>
    <w:rsid w:val="6FD25E45"/>
    <w:rsid w:val="6FFC1CFD"/>
    <w:rsid w:val="708D464B"/>
    <w:rsid w:val="70D311C0"/>
    <w:rsid w:val="70F27898"/>
    <w:rsid w:val="713129D2"/>
    <w:rsid w:val="7188610C"/>
    <w:rsid w:val="72805BCB"/>
    <w:rsid w:val="73615A08"/>
    <w:rsid w:val="73D826FF"/>
    <w:rsid w:val="744A07D5"/>
    <w:rsid w:val="74813F47"/>
    <w:rsid w:val="74A62AE9"/>
    <w:rsid w:val="74D71E52"/>
    <w:rsid w:val="757374AE"/>
    <w:rsid w:val="75CA2B09"/>
    <w:rsid w:val="75D154CB"/>
    <w:rsid w:val="760A66CD"/>
    <w:rsid w:val="76204309"/>
    <w:rsid w:val="7634606A"/>
    <w:rsid w:val="76576F10"/>
    <w:rsid w:val="76C863E9"/>
    <w:rsid w:val="76E52294"/>
    <w:rsid w:val="77C30BC6"/>
    <w:rsid w:val="77C8624F"/>
    <w:rsid w:val="77DA252A"/>
    <w:rsid w:val="77E8339E"/>
    <w:rsid w:val="77EE3FE7"/>
    <w:rsid w:val="786A6925"/>
    <w:rsid w:val="78A54D64"/>
    <w:rsid w:val="78B64DDB"/>
    <w:rsid w:val="78D17CF6"/>
    <w:rsid w:val="78DD498A"/>
    <w:rsid w:val="78F51C72"/>
    <w:rsid w:val="7936053E"/>
    <w:rsid w:val="797F408A"/>
    <w:rsid w:val="7A3063DE"/>
    <w:rsid w:val="7A5536F5"/>
    <w:rsid w:val="7AB2269C"/>
    <w:rsid w:val="7AC6441E"/>
    <w:rsid w:val="7AD03B56"/>
    <w:rsid w:val="7AFD74CC"/>
    <w:rsid w:val="7C9A51F7"/>
    <w:rsid w:val="7D482EAC"/>
    <w:rsid w:val="7D5E5958"/>
    <w:rsid w:val="7D7A213C"/>
    <w:rsid w:val="7D9D6DDE"/>
    <w:rsid w:val="7DB920A8"/>
    <w:rsid w:val="7E13413D"/>
    <w:rsid w:val="7E1E065F"/>
    <w:rsid w:val="7E657413"/>
    <w:rsid w:val="7E8B2AD2"/>
    <w:rsid w:val="7E952F4B"/>
    <w:rsid w:val="7E982A38"/>
    <w:rsid w:val="7EAC11C6"/>
    <w:rsid w:val="7EB561B5"/>
    <w:rsid w:val="7EE579CB"/>
    <w:rsid w:val="7EED41C0"/>
    <w:rsid w:val="7EFE565A"/>
    <w:rsid w:val="7F21638D"/>
    <w:rsid w:val="7F632560"/>
    <w:rsid w:val="7FA31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99" w:name="toc 6"/>
    <w:lsdException w:uiPriority="39" w:name="toc 7"/>
    <w:lsdException w:uiPriority="39"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2"/>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2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9"/>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109"/>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62"/>
    <w:qFormat/>
    <w:uiPriority w:val="0"/>
    <w:pPr>
      <w:keepNext/>
      <w:keepLines/>
      <w:spacing w:before="240" w:after="64" w:line="320" w:lineRule="auto"/>
      <w:outlineLvl w:val="5"/>
    </w:pPr>
    <w:rPr>
      <w:rFonts w:ascii="Calibri Light" w:hAnsi="Calibri Light"/>
      <w:b/>
      <w:bCs/>
      <w:sz w:val="24"/>
    </w:rPr>
  </w:style>
  <w:style w:type="paragraph" w:styleId="9">
    <w:name w:val="heading 7"/>
    <w:basedOn w:val="1"/>
    <w:next w:val="10"/>
    <w:link w:val="52"/>
    <w:qFormat/>
    <w:uiPriority w:val="0"/>
    <w:pPr>
      <w:keepNext/>
      <w:keepLines/>
      <w:spacing w:before="240" w:after="64" w:line="320" w:lineRule="auto"/>
      <w:outlineLvl w:val="6"/>
    </w:pPr>
    <w:rPr>
      <w:b/>
      <w:sz w:val="24"/>
    </w:rPr>
  </w:style>
  <w:style w:type="paragraph" w:styleId="11">
    <w:name w:val="heading 8"/>
    <w:basedOn w:val="1"/>
    <w:next w:val="10"/>
    <w:link w:val="138"/>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0"/>
    <w:link w:val="101"/>
    <w:qFormat/>
    <w:uiPriority w:val="0"/>
    <w:pPr>
      <w:keepNext/>
      <w:keepLines/>
      <w:spacing w:before="240" w:after="64" w:line="320"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3">
    <w:name w:val="macro"/>
    <w:link w:val="56"/>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0">
    <w:name w:val="Normal Indent"/>
    <w:basedOn w:val="1"/>
    <w:link w:val="103"/>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131"/>
    <w:semiHidden/>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link w:val="133"/>
    <w:qFormat/>
    <w:uiPriority w:val="0"/>
    <w:pPr>
      <w:spacing w:line="500" w:lineRule="exact"/>
    </w:pPr>
    <w:rPr>
      <w:b/>
      <w:bCs/>
      <w:kern w:val="0"/>
      <w:sz w:val="24"/>
    </w:rPr>
  </w:style>
  <w:style w:type="paragraph" w:styleId="18">
    <w:name w:val="Body Text"/>
    <w:basedOn w:val="1"/>
    <w:link w:val="83"/>
    <w:unhideWhenUsed/>
    <w:qFormat/>
    <w:uiPriority w:val="99"/>
    <w:pPr>
      <w:spacing w:after="120"/>
    </w:pPr>
  </w:style>
  <w:style w:type="paragraph" w:styleId="19">
    <w:name w:val="Body Text Indent"/>
    <w:basedOn w:val="1"/>
    <w:link w:val="55"/>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tabs>
        <w:tab w:val="left" w:pos="900"/>
      </w:tabs>
      <w:ind w:left="900" w:hanging="420"/>
    </w:pPr>
  </w:style>
  <w:style w:type="paragraph" w:styleId="21">
    <w:name w:val="List 2"/>
    <w:basedOn w:val="1"/>
    <w:qFormat/>
    <w:uiPriority w:val="0"/>
    <w:pPr>
      <w:ind w:left="100" w:leftChars="200" w:hanging="200" w:hangingChars="200"/>
    </w:pPr>
    <w:rPr>
      <w:sz w:val="28"/>
    </w:rPr>
  </w:style>
  <w:style w:type="paragraph" w:styleId="22">
    <w:name w:val="Plain Text"/>
    <w:basedOn w:val="1"/>
    <w:link w:val="121"/>
    <w:qFormat/>
    <w:uiPriority w:val="0"/>
    <w:rPr>
      <w:rFonts w:ascii="宋体" w:hAnsi="Courier New"/>
      <w:kern w:val="0"/>
      <w:sz w:val="20"/>
      <w:szCs w:val="21"/>
    </w:rPr>
  </w:style>
  <w:style w:type="paragraph" w:styleId="23">
    <w:name w:val="Date"/>
    <w:basedOn w:val="1"/>
    <w:next w:val="1"/>
    <w:link w:val="50"/>
    <w:qFormat/>
    <w:uiPriority w:val="0"/>
    <w:pPr>
      <w:ind w:left="100" w:leftChars="2500"/>
    </w:pPr>
  </w:style>
  <w:style w:type="paragraph" w:styleId="24">
    <w:name w:val="Body Text Indent 2"/>
    <w:basedOn w:val="1"/>
    <w:link w:val="75"/>
    <w:unhideWhenUsed/>
    <w:qFormat/>
    <w:uiPriority w:val="0"/>
    <w:pPr>
      <w:spacing w:after="120" w:line="480" w:lineRule="auto"/>
      <w:ind w:left="420" w:leftChars="200"/>
    </w:pPr>
  </w:style>
  <w:style w:type="paragraph" w:styleId="25">
    <w:name w:val="Balloon Text"/>
    <w:basedOn w:val="1"/>
    <w:link w:val="113"/>
    <w:semiHidden/>
    <w:qFormat/>
    <w:uiPriority w:val="0"/>
    <w:rPr>
      <w:sz w:val="18"/>
      <w:szCs w:val="18"/>
    </w:rPr>
  </w:style>
  <w:style w:type="paragraph" w:styleId="26">
    <w:name w:val="footer"/>
    <w:basedOn w:val="1"/>
    <w:link w:val="116"/>
    <w:unhideWhenUsed/>
    <w:qFormat/>
    <w:uiPriority w:val="0"/>
    <w:pPr>
      <w:tabs>
        <w:tab w:val="center" w:pos="4153"/>
        <w:tab w:val="right" w:pos="8306"/>
      </w:tabs>
      <w:snapToGrid w:val="0"/>
      <w:jc w:val="left"/>
    </w:pPr>
    <w:rPr>
      <w:rFonts w:ascii="Calibri" w:hAnsi="Calibri"/>
      <w:kern w:val="0"/>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107"/>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39"/>
    <w:pPr>
      <w:tabs>
        <w:tab w:val="right" w:leader="dot" w:pos="9000"/>
      </w:tabs>
      <w:spacing w:before="120" w:after="120" w:line="480" w:lineRule="exact"/>
      <w:ind w:left="126" w:leftChars="60" w:firstLine="440" w:firstLineChars="137"/>
      <w:jc w:val="left"/>
    </w:pPr>
    <w:rPr>
      <w:rFonts w:ascii="宋体" w:hAnsi="宋体"/>
      <w:b/>
      <w:bCs/>
      <w:caps/>
      <w:sz w:val="24"/>
    </w:rPr>
  </w:style>
  <w:style w:type="paragraph" w:styleId="30">
    <w:name w:val="List"/>
    <w:basedOn w:val="1"/>
    <w:qFormat/>
    <w:uiPriority w:val="0"/>
    <w:pPr>
      <w:ind w:left="200" w:hanging="200" w:hangingChars="200"/>
    </w:pPr>
    <w:rPr>
      <w:sz w:val="28"/>
    </w:rPr>
  </w:style>
  <w:style w:type="paragraph" w:styleId="31">
    <w:name w:val="toc 6"/>
    <w:basedOn w:val="1"/>
    <w:next w:val="1"/>
    <w:semiHidden/>
    <w:qFormat/>
    <w:uiPriority w:val="99"/>
    <w:pPr>
      <w:ind w:left="2100" w:leftChars="1000"/>
    </w:pPr>
  </w:style>
  <w:style w:type="paragraph" w:styleId="32">
    <w:name w:val="Body Text Indent 3"/>
    <w:basedOn w:val="1"/>
    <w:link w:val="97"/>
    <w:qFormat/>
    <w:uiPriority w:val="0"/>
    <w:pPr>
      <w:spacing w:after="120"/>
      <w:ind w:left="420" w:leftChars="200"/>
    </w:pPr>
    <w:rPr>
      <w:kern w:val="0"/>
      <w:sz w:val="16"/>
      <w:szCs w:val="16"/>
    </w:rPr>
  </w:style>
  <w:style w:type="paragraph" w:styleId="33">
    <w:name w:val="toc 9"/>
    <w:basedOn w:val="1"/>
    <w:next w:val="1"/>
    <w:semiHidden/>
    <w:qFormat/>
    <w:uiPriority w:val="0"/>
    <w:pPr>
      <w:ind w:left="3360" w:leftChars="1600"/>
    </w:pPr>
    <w:rPr>
      <w:rFonts w:ascii="宋体" w:hAnsi="Courier New"/>
      <w:szCs w:val="20"/>
    </w:rPr>
  </w:style>
  <w:style w:type="paragraph" w:styleId="34">
    <w:name w:val="Body Text 2"/>
    <w:basedOn w:val="1"/>
    <w:link w:val="146"/>
    <w:qFormat/>
    <w:uiPriority w:val="0"/>
    <w:pPr>
      <w:spacing w:after="120" w:line="480" w:lineRule="auto"/>
    </w:pPr>
    <w:rPr>
      <w:kern w:val="0"/>
      <w:sz w:val="20"/>
    </w:rPr>
  </w:style>
  <w:style w:type="paragraph" w:styleId="35">
    <w:name w:val="HTML Preformatted"/>
    <w:basedOn w:val="1"/>
    <w:link w:val="11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6">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annotation subject"/>
    <w:basedOn w:val="16"/>
    <w:next w:val="16"/>
    <w:link w:val="51"/>
    <w:semiHidden/>
    <w:qFormat/>
    <w:uiPriority w:val="0"/>
    <w:rPr>
      <w:b/>
      <w:bCs/>
    </w:rPr>
  </w:style>
  <w:style w:type="paragraph" w:styleId="39">
    <w:name w:val="Body Text First Indent"/>
    <w:basedOn w:val="18"/>
    <w:next w:val="31"/>
    <w:unhideWhenUsed/>
    <w:qFormat/>
    <w:uiPriority w:val="99"/>
    <w:pPr>
      <w:ind w:firstLine="420" w:firstLineChars="100"/>
    </w:pPr>
  </w:style>
  <w:style w:type="paragraph" w:styleId="40">
    <w:name w:val="Body Text First Indent 2"/>
    <w:basedOn w:val="19"/>
    <w:next w:val="1"/>
    <w:link w:val="210"/>
    <w:qFormat/>
    <w:uiPriority w:val="0"/>
    <w:pPr>
      <w:spacing w:after="120"/>
      <w:ind w:left="420" w:leftChars="200" w:firstLine="420" w:firstLineChars="200"/>
    </w:pPr>
    <w:rPr>
      <w:rFonts w:ascii="Times New Roman" w:eastAsia="宋体"/>
      <w:kern w:val="2"/>
      <w:sz w:val="21"/>
      <w:szCs w:val="24"/>
    </w:rPr>
  </w:style>
  <w:style w:type="table" w:styleId="42">
    <w:name w:val="Table Grid"/>
    <w:basedOn w:val="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99"/>
    <w:rPr>
      <w:color w:val="800080"/>
      <w:u w:val="single"/>
    </w:rPr>
  </w:style>
  <w:style w:type="character" w:styleId="47">
    <w:name w:val="Emphasis"/>
    <w:qFormat/>
    <w:uiPriority w:val="0"/>
    <w:rPr>
      <w:color w:val="CC0000"/>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customStyle="1" w:styleId="50">
    <w:name w:val="日期 Char"/>
    <w:link w:val="23"/>
    <w:qFormat/>
    <w:uiPriority w:val="0"/>
    <w:rPr>
      <w:rFonts w:ascii="Times New Roman" w:hAnsi="Times New Roman"/>
      <w:kern w:val="2"/>
      <w:sz w:val="21"/>
      <w:szCs w:val="24"/>
    </w:rPr>
  </w:style>
  <w:style w:type="character" w:customStyle="1" w:styleId="51">
    <w:name w:val="批注主题 Char"/>
    <w:link w:val="38"/>
    <w:semiHidden/>
    <w:qFormat/>
    <w:uiPriority w:val="0"/>
    <w:rPr>
      <w:rFonts w:ascii="Times New Roman" w:hAnsi="Times New Roman"/>
      <w:b/>
      <w:bCs/>
      <w:kern w:val="2"/>
      <w:sz w:val="21"/>
      <w:szCs w:val="24"/>
    </w:rPr>
  </w:style>
  <w:style w:type="character" w:customStyle="1" w:styleId="52">
    <w:name w:val="标题 7 Char"/>
    <w:link w:val="9"/>
    <w:qFormat/>
    <w:uiPriority w:val="0"/>
    <w:rPr>
      <w:rFonts w:ascii="Times New Roman" w:hAnsi="Times New Roman"/>
      <w:b/>
      <w:kern w:val="2"/>
      <w:sz w:val="24"/>
      <w:szCs w:val="24"/>
    </w:rPr>
  </w:style>
  <w:style w:type="character" w:customStyle="1" w:styleId="53">
    <w:name w:val="apple-converted-space"/>
    <w:basedOn w:val="43"/>
    <w:qFormat/>
    <w:uiPriority w:val="0"/>
  </w:style>
  <w:style w:type="character" w:customStyle="1" w:styleId="54">
    <w:name w:val="纯文本 Char1"/>
    <w:qFormat/>
    <w:uiPriority w:val="0"/>
    <w:rPr>
      <w:rFonts w:ascii="宋体" w:hAnsi="Courier New" w:eastAsia="宋体" w:cs="Times New Roman"/>
      <w:szCs w:val="20"/>
    </w:rPr>
  </w:style>
  <w:style w:type="character" w:customStyle="1" w:styleId="55">
    <w:name w:val="正文文本缩进 Char"/>
    <w:link w:val="19"/>
    <w:qFormat/>
    <w:uiPriority w:val="0"/>
    <w:rPr>
      <w:rFonts w:ascii="仿宋_GB2312" w:hAnsi="Times New Roman" w:eastAsia="仿宋_GB2312" w:cs="Times New Roman"/>
      <w:sz w:val="32"/>
      <w:szCs w:val="20"/>
    </w:rPr>
  </w:style>
  <w:style w:type="character" w:customStyle="1" w:styleId="56">
    <w:name w:val="宏文本 Char"/>
    <w:link w:val="3"/>
    <w:semiHidden/>
    <w:qFormat/>
    <w:uiPriority w:val="0"/>
    <w:rPr>
      <w:rFonts w:ascii="Courier New" w:hAnsi="Courier New"/>
      <w:lang w:val="en-US" w:eastAsia="zh-CN" w:bidi="ar-SA"/>
    </w:rPr>
  </w:style>
  <w:style w:type="character" w:customStyle="1" w:styleId="57">
    <w:name w:val="Char Char15"/>
    <w:qFormat/>
    <w:locked/>
    <w:uiPriority w:val="0"/>
    <w:rPr>
      <w:rFonts w:eastAsia="宋体"/>
      <w:b/>
      <w:kern w:val="2"/>
      <w:sz w:val="24"/>
      <w:szCs w:val="24"/>
      <w:lang w:bidi="ar-SA"/>
    </w:rPr>
  </w:style>
  <w:style w:type="character" w:customStyle="1" w:styleId="58">
    <w:name w:val="正文文本 2 Char1"/>
    <w:semiHidden/>
    <w:qFormat/>
    <w:uiPriority w:val="99"/>
    <w:rPr>
      <w:rFonts w:ascii="Times New Roman" w:hAnsi="Times New Roman"/>
      <w:kern w:val="2"/>
      <w:sz w:val="21"/>
      <w:szCs w:val="24"/>
    </w:rPr>
  </w:style>
  <w:style w:type="character" w:customStyle="1" w:styleId="59">
    <w:name w:val="标题 3 Char"/>
    <w:link w:val="5"/>
    <w:qFormat/>
    <w:uiPriority w:val="0"/>
    <w:rPr>
      <w:rFonts w:ascii="Times New Roman" w:hAnsi="Times New Roman"/>
      <w:b/>
      <w:bCs/>
      <w:sz w:val="32"/>
      <w:szCs w:val="32"/>
    </w:rPr>
  </w:style>
  <w:style w:type="character" w:customStyle="1" w:styleId="60">
    <w:name w:val="font41"/>
    <w:qFormat/>
    <w:uiPriority w:val="0"/>
    <w:rPr>
      <w:rFonts w:hint="eastAsia" w:ascii="宋体" w:hAnsi="宋体" w:eastAsia="宋体" w:cs="宋体"/>
      <w:color w:val="000000"/>
      <w:sz w:val="22"/>
      <w:szCs w:val="22"/>
      <w:u w:val="none"/>
    </w:rPr>
  </w:style>
  <w:style w:type="character" w:customStyle="1" w:styleId="61">
    <w:name w:val="正文文本 3 Char2"/>
    <w:semiHidden/>
    <w:qFormat/>
    <w:uiPriority w:val="99"/>
    <w:rPr>
      <w:rFonts w:ascii="Times New Roman" w:hAnsi="Times New Roman"/>
      <w:kern w:val="2"/>
      <w:sz w:val="16"/>
      <w:szCs w:val="16"/>
    </w:rPr>
  </w:style>
  <w:style w:type="character" w:customStyle="1" w:styleId="62">
    <w:name w:val="标题 6 Char"/>
    <w:link w:val="8"/>
    <w:qFormat/>
    <w:uiPriority w:val="0"/>
    <w:rPr>
      <w:rFonts w:ascii="Calibri Light" w:hAnsi="Calibri Light" w:eastAsia="宋体" w:cs="Times New Roman"/>
      <w:b/>
      <w:bCs/>
      <w:kern w:val="2"/>
      <w:sz w:val="24"/>
      <w:szCs w:val="24"/>
    </w:rPr>
  </w:style>
  <w:style w:type="character" w:customStyle="1" w:styleId="63">
    <w:name w:val="正文文本 2 Char2"/>
    <w:semiHidden/>
    <w:qFormat/>
    <w:uiPriority w:val="99"/>
    <w:rPr>
      <w:rFonts w:ascii="Times New Roman" w:hAnsi="Times New Roman"/>
      <w:kern w:val="2"/>
      <w:sz w:val="21"/>
      <w:szCs w:val="24"/>
    </w:rPr>
  </w:style>
  <w:style w:type="character" w:customStyle="1" w:styleId="64">
    <w:name w:val="Char Char"/>
    <w:qFormat/>
    <w:locked/>
    <w:uiPriority w:val="0"/>
    <w:rPr>
      <w:rFonts w:ascii="宋体" w:hAnsi="宋体" w:eastAsia="宋体"/>
      <w:kern w:val="2"/>
      <w:sz w:val="21"/>
      <w:szCs w:val="24"/>
      <w:lang w:bidi="ar-SA"/>
    </w:rPr>
  </w:style>
  <w:style w:type="character" w:customStyle="1" w:styleId="65">
    <w:name w:val="Char Char1"/>
    <w:qFormat/>
    <w:locked/>
    <w:uiPriority w:val="0"/>
    <w:rPr>
      <w:rFonts w:ascii="宋体" w:hAnsi="宋体" w:eastAsia="宋体"/>
      <w:szCs w:val="24"/>
      <w:lang w:bidi="ar-SA"/>
    </w:rPr>
  </w:style>
  <w:style w:type="character" w:customStyle="1" w:styleId="66">
    <w:name w:val="日期 Char2"/>
    <w:semiHidden/>
    <w:qFormat/>
    <w:uiPriority w:val="99"/>
    <w:rPr>
      <w:rFonts w:ascii="Times New Roman" w:hAnsi="Times New Roman"/>
      <w:kern w:val="2"/>
      <w:sz w:val="21"/>
      <w:szCs w:val="24"/>
    </w:rPr>
  </w:style>
  <w:style w:type="character" w:customStyle="1" w:styleId="67">
    <w:name w:val="正文文本缩进 Char2"/>
    <w:semiHidden/>
    <w:qFormat/>
    <w:uiPriority w:val="99"/>
    <w:rPr>
      <w:rFonts w:ascii="Times New Roman" w:hAnsi="Times New Roman"/>
      <w:kern w:val="2"/>
      <w:sz w:val="21"/>
      <w:szCs w:val="24"/>
    </w:rPr>
  </w:style>
  <w:style w:type="character" w:customStyle="1" w:styleId="68">
    <w:name w:val="页眉 Char2"/>
    <w:semiHidden/>
    <w:qFormat/>
    <w:uiPriority w:val="99"/>
    <w:rPr>
      <w:rFonts w:ascii="Times New Roman" w:hAnsi="Times New Roman"/>
      <w:kern w:val="2"/>
      <w:sz w:val="18"/>
      <w:szCs w:val="18"/>
    </w:rPr>
  </w:style>
  <w:style w:type="character" w:customStyle="1" w:styleId="69">
    <w:name w:val="Char Char18"/>
    <w:qFormat/>
    <w:locked/>
    <w:uiPriority w:val="0"/>
    <w:rPr>
      <w:rFonts w:eastAsia="宋体"/>
      <w:b/>
      <w:bCs/>
      <w:sz w:val="32"/>
      <w:szCs w:val="32"/>
      <w:lang w:bidi="ar-SA"/>
    </w:rPr>
  </w:style>
  <w:style w:type="character" w:customStyle="1" w:styleId="70">
    <w:name w:val="Char Char9"/>
    <w:qFormat/>
    <w:locked/>
    <w:uiPriority w:val="0"/>
    <w:rPr>
      <w:rFonts w:ascii="宋体" w:hAnsi="宋体" w:eastAsia="宋体"/>
      <w:sz w:val="32"/>
      <w:lang w:bidi="ar-SA"/>
    </w:rPr>
  </w:style>
  <w:style w:type="character" w:customStyle="1" w:styleId="71">
    <w:name w:val="批注文字 Char"/>
    <w:link w:val="16"/>
    <w:qFormat/>
    <w:uiPriority w:val="0"/>
    <w:rPr>
      <w:rFonts w:ascii="Times New Roman" w:hAnsi="Times New Roman"/>
      <w:kern w:val="2"/>
      <w:sz w:val="21"/>
      <w:szCs w:val="24"/>
    </w:rPr>
  </w:style>
  <w:style w:type="character" w:customStyle="1" w:styleId="72">
    <w:name w:val="宏文本 Char2"/>
    <w:semiHidden/>
    <w:qFormat/>
    <w:uiPriority w:val="99"/>
    <w:rPr>
      <w:rFonts w:ascii="Courier New" w:hAnsi="Courier New" w:cs="Courier New"/>
      <w:kern w:val="2"/>
      <w:sz w:val="24"/>
      <w:szCs w:val="24"/>
    </w:rPr>
  </w:style>
  <w:style w:type="character" w:customStyle="1" w:styleId="73">
    <w:name w:val="Char Char10"/>
    <w:qFormat/>
    <w:locked/>
    <w:uiPriority w:val="0"/>
    <w:rPr>
      <w:rFonts w:ascii="宋体" w:hAnsi="宋体" w:eastAsia="宋体"/>
      <w:b/>
      <w:bCs/>
      <w:sz w:val="24"/>
      <w:szCs w:val="24"/>
      <w:lang w:bidi="ar-SA"/>
    </w:rPr>
  </w:style>
  <w:style w:type="character" w:customStyle="1" w:styleId="74">
    <w:name w:val="font51"/>
    <w:qFormat/>
    <w:uiPriority w:val="0"/>
    <w:rPr>
      <w:rFonts w:hint="eastAsia" w:ascii="宋体" w:hAnsi="宋体" w:eastAsia="宋体" w:cs="宋体"/>
      <w:color w:val="000000"/>
      <w:sz w:val="20"/>
      <w:szCs w:val="20"/>
      <w:u w:val="none"/>
    </w:rPr>
  </w:style>
  <w:style w:type="character" w:customStyle="1" w:styleId="75">
    <w:name w:val="正文文本缩进 2 Char"/>
    <w:link w:val="24"/>
    <w:qFormat/>
    <w:uiPriority w:val="0"/>
    <w:rPr>
      <w:rFonts w:ascii="Times New Roman" w:hAnsi="Times New Roman"/>
      <w:kern w:val="2"/>
      <w:sz w:val="21"/>
      <w:szCs w:val="24"/>
    </w:rPr>
  </w:style>
  <w:style w:type="character" w:customStyle="1" w:styleId="76">
    <w:name w:val="mark"/>
    <w:basedOn w:val="43"/>
    <w:qFormat/>
    <w:uiPriority w:val="0"/>
  </w:style>
  <w:style w:type="character" w:customStyle="1" w:styleId="77">
    <w:name w:val="正文文本 Char2"/>
    <w:semiHidden/>
    <w:qFormat/>
    <w:uiPriority w:val="99"/>
    <w:rPr>
      <w:rFonts w:ascii="Times New Roman" w:hAnsi="Times New Roman"/>
      <w:kern w:val="2"/>
      <w:sz w:val="21"/>
      <w:szCs w:val="24"/>
    </w:rPr>
  </w:style>
  <w:style w:type="character" w:customStyle="1" w:styleId="78">
    <w:name w:val="Char Char17"/>
    <w:qFormat/>
    <w:locked/>
    <w:uiPriority w:val="0"/>
    <w:rPr>
      <w:rFonts w:eastAsia="宋体"/>
      <w:b/>
      <w:kern w:val="2"/>
      <w:sz w:val="28"/>
      <w:szCs w:val="24"/>
      <w:lang w:bidi="ar-SA"/>
    </w:rPr>
  </w:style>
  <w:style w:type="character" w:customStyle="1" w:styleId="79">
    <w:name w:val="列出段落 Char"/>
    <w:link w:val="80"/>
    <w:qFormat/>
    <w:locked/>
    <w:uiPriority w:val="0"/>
    <w:rPr>
      <w:kern w:val="2"/>
      <w:sz w:val="21"/>
      <w:szCs w:val="22"/>
    </w:rPr>
  </w:style>
  <w:style w:type="paragraph" w:styleId="80">
    <w:name w:val="List Paragraph"/>
    <w:basedOn w:val="1"/>
    <w:link w:val="79"/>
    <w:qFormat/>
    <w:uiPriority w:val="0"/>
    <w:pPr>
      <w:ind w:firstLine="420" w:firstLineChars="200"/>
    </w:pPr>
    <w:rPr>
      <w:rFonts w:ascii="Calibri" w:hAnsi="Calibri"/>
      <w:szCs w:val="22"/>
    </w:rPr>
  </w:style>
  <w:style w:type="character" w:customStyle="1" w:styleId="81">
    <w:name w:val="正文文本缩进 2 Char1"/>
    <w:semiHidden/>
    <w:qFormat/>
    <w:locked/>
    <w:uiPriority w:val="99"/>
    <w:rPr>
      <w:rFonts w:ascii="Times New Roman" w:hAnsi="Times New Roman"/>
      <w:sz w:val="32"/>
    </w:rPr>
  </w:style>
  <w:style w:type="character" w:customStyle="1" w:styleId="82">
    <w:name w:val="Char Char19"/>
    <w:qFormat/>
    <w:locked/>
    <w:uiPriority w:val="0"/>
    <w:rPr>
      <w:rFonts w:ascii="Arial" w:hAnsi="Arial" w:eastAsia="黑体"/>
      <w:b/>
      <w:bCs/>
      <w:sz w:val="32"/>
      <w:szCs w:val="32"/>
      <w:lang w:bidi="ar-SA"/>
    </w:rPr>
  </w:style>
  <w:style w:type="character" w:customStyle="1" w:styleId="83">
    <w:name w:val="正文文本 Char"/>
    <w:link w:val="18"/>
    <w:qFormat/>
    <w:uiPriority w:val="0"/>
    <w:rPr>
      <w:rFonts w:ascii="Times New Roman" w:hAnsi="Times New Roman"/>
      <w:kern w:val="2"/>
      <w:sz w:val="21"/>
      <w:szCs w:val="24"/>
    </w:rPr>
  </w:style>
  <w:style w:type="character" w:customStyle="1" w:styleId="84">
    <w:name w:val="ca-41"/>
    <w:qFormat/>
    <w:uiPriority w:val="0"/>
    <w:rPr>
      <w:rFonts w:hint="eastAsia" w:ascii="宋体" w:hAnsi="宋体" w:eastAsia="宋体"/>
      <w:color w:val="FF0000"/>
      <w:sz w:val="21"/>
      <w:szCs w:val="21"/>
    </w:rPr>
  </w:style>
  <w:style w:type="character" w:customStyle="1" w:styleId="85">
    <w:name w:val="Char Char4"/>
    <w:qFormat/>
    <w:locked/>
    <w:uiPriority w:val="0"/>
    <w:rPr>
      <w:rFonts w:ascii="宋体" w:hAnsi="Courier New" w:eastAsia="宋体"/>
      <w:szCs w:val="21"/>
      <w:lang w:bidi="ar-SA"/>
    </w:rPr>
  </w:style>
  <w:style w:type="character" w:customStyle="1" w:styleId="86">
    <w:name w:val="Char Char14"/>
    <w:qFormat/>
    <w:locked/>
    <w:uiPriority w:val="0"/>
    <w:rPr>
      <w:rFonts w:ascii="Arial" w:hAnsi="Arial" w:eastAsia="黑体"/>
      <w:kern w:val="2"/>
      <w:sz w:val="24"/>
      <w:szCs w:val="24"/>
      <w:lang w:bidi="ar-SA"/>
    </w:rPr>
  </w:style>
  <w:style w:type="character" w:customStyle="1" w:styleId="87">
    <w:name w:val="日期 Char1"/>
    <w:semiHidden/>
    <w:qFormat/>
    <w:uiPriority w:val="99"/>
    <w:rPr>
      <w:rFonts w:ascii="Times New Roman" w:hAnsi="Times New Roman" w:eastAsia="宋体" w:cs="Times New Roman"/>
      <w:szCs w:val="24"/>
    </w:rPr>
  </w:style>
  <w:style w:type="character" w:customStyle="1" w:styleId="88">
    <w:name w:val="case31"/>
    <w:qFormat/>
    <w:uiPriority w:val="0"/>
    <w:rPr>
      <w:rFonts w:hint="default"/>
      <w:sz w:val="21"/>
      <w:szCs w:val="21"/>
    </w:rPr>
  </w:style>
  <w:style w:type="character" w:customStyle="1" w:styleId="89">
    <w:name w:val="Heading 1 Char"/>
    <w:qFormat/>
    <w:locked/>
    <w:uiPriority w:val="0"/>
    <w:rPr>
      <w:rFonts w:ascii="Calibri" w:hAnsi="Calibri" w:eastAsia="宋体"/>
      <w:b/>
      <w:kern w:val="44"/>
      <w:sz w:val="44"/>
      <w:lang w:val="en-US" w:eastAsia="zh-CN" w:bidi="ar-SA"/>
    </w:rPr>
  </w:style>
  <w:style w:type="character" w:customStyle="1" w:styleId="90">
    <w:name w:val="Char Char20"/>
    <w:qFormat/>
    <w:locked/>
    <w:uiPriority w:val="0"/>
    <w:rPr>
      <w:rFonts w:eastAsia="宋体"/>
      <w:b/>
      <w:bCs/>
      <w:kern w:val="44"/>
      <w:sz w:val="44"/>
      <w:szCs w:val="44"/>
      <w:lang w:bidi="ar-SA"/>
    </w:rPr>
  </w:style>
  <w:style w:type="character" w:customStyle="1" w:styleId="91">
    <w:name w:val="Char Char11"/>
    <w:qFormat/>
    <w:locked/>
    <w:uiPriority w:val="0"/>
    <w:rPr>
      <w:rFonts w:ascii="仿宋_GB2312" w:eastAsia="仿宋_GB2312"/>
      <w:sz w:val="32"/>
      <w:lang w:bidi="ar-SA"/>
    </w:rPr>
  </w:style>
  <w:style w:type="character" w:customStyle="1" w:styleId="92">
    <w:name w:val="标题 1 Char"/>
    <w:link w:val="4"/>
    <w:qFormat/>
    <w:uiPriority w:val="0"/>
    <w:rPr>
      <w:rFonts w:ascii="Times New Roman" w:hAnsi="Times New Roman"/>
      <w:b/>
      <w:bCs/>
      <w:kern w:val="44"/>
      <w:sz w:val="44"/>
      <w:szCs w:val="44"/>
    </w:rPr>
  </w:style>
  <w:style w:type="character" w:customStyle="1" w:styleId="93">
    <w:name w:val="Char Char6"/>
    <w:qFormat/>
    <w:locked/>
    <w:uiPriority w:val="0"/>
    <w:rPr>
      <w:rFonts w:ascii="宋体" w:hAnsi="宋体" w:eastAsia="宋体"/>
      <w:sz w:val="16"/>
      <w:szCs w:val="16"/>
      <w:lang w:bidi="ar-SA"/>
    </w:rPr>
  </w:style>
  <w:style w:type="character" w:customStyle="1" w:styleId="94">
    <w:name w:val="Char Char5"/>
    <w:qFormat/>
    <w:locked/>
    <w:uiPriority w:val="0"/>
    <w:rPr>
      <w:sz w:val="18"/>
      <w:szCs w:val="18"/>
      <w:lang w:bidi="ar-SA"/>
    </w:rPr>
  </w:style>
  <w:style w:type="character" w:customStyle="1" w:styleId="95">
    <w:name w:val="批注框文本 Char2"/>
    <w:semiHidden/>
    <w:qFormat/>
    <w:uiPriority w:val="99"/>
    <w:rPr>
      <w:rFonts w:ascii="Times New Roman" w:hAnsi="Times New Roman"/>
      <w:kern w:val="2"/>
      <w:sz w:val="18"/>
      <w:szCs w:val="18"/>
    </w:rPr>
  </w:style>
  <w:style w:type="character" w:customStyle="1" w:styleId="96">
    <w:name w:val="Char Char8"/>
    <w:qFormat/>
    <w:locked/>
    <w:uiPriority w:val="0"/>
    <w:rPr>
      <w:sz w:val="18"/>
      <w:szCs w:val="18"/>
      <w:lang w:bidi="ar-SA"/>
    </w:rPr>
  </w:style>
  <w:style w:type="character" w:customStyle="1" w:styleId="97">
    <w:name w:val="正文文本缩进 3 Char"/>
    <w:link w:val="32"/>
    <w:qFormat/>
    <w:uiPriority w:val="0"/>
    <w:rPr>
      <w:rFonts w:ascii="Times New Roman" w:hAnsi="Times New Roman"/>
      <w:sz w:val="16"/>
      <w:szCs w:val="16"/>
    </w:rPr>
  </w:style>
  <w:style w:type="character" w:customStyle="1" w:styleId="98">
    <w:name w:val="正文文本缩进 Char1"/>
    <w:semiHidden/>
    <w:qFormat/>
    <w:uiPriority w:val="99"/>
    <w:rPr>
      <w:rFonts w:ascii="Times New Roman" w:hAnsi="Times New Roman" w:eastAsia="宋体" w:cs="Times New Roman"/>
      <w:szCs w:val="24"/>
    </w:rPr>
  </w:style>
  <w:style w:type="character" w:customStyle="1" w:styleId="99">
    <w:name w:val="批注框文本 Char1"/>
    <w:semiHidden/>
    <w:qFormat/>
    <w:uiPriority w:val="99"/>
    <w:rPr>
      <w:rFonts w:ascii="Times New Roman" w:hAnsi="Times New Roman" w:eastAsia="宋体" w:cs="Times New Roman"/>
      <w:sz w:val="18"/>
      <w:szCs w:val="18"/>
    </w:rPr>
  </w:style>
  <w:style w:type="character" w:customStyle="1" w:styleId="100">
    <w:name w:val="文档结构图 Char1"/>
    <w:semiHidden/>
    <w:qFormat/>
    <w:uiPriority w:val="99"/>
    <w:rPr>
      <w:rFonts w:ascii="宋体" w:hAnsi="Times New Roman"/>
      <w:kern w:val="2"/>
      <w:sz w:val="18"/>
      <w:szCs w:val="18"/>
    </w:rPr>
  </w:style>
  <w:style w:type="character" w:customStyle="1" w:styleId="101">
    <w:name w:val="标题 9 Char"/>
    <w:link w:val="12"/>
    <w:qFormat/>
    <w:uiPriority w:val="0"/>
    <w:rPr>
      <w:rFonts w:ascii="Arial" w:hAnsi="Arial" w:eastAsia="黑体"/>
      <w:kern w:val="2"/>
      <w:sz w:val="21"/>
      <w:szCs w:val="24"/>
    </w:rPr>
  </w:style>
  <w:style w:type="character" w:customStyle="1" w:styleId="102">
    <w:name w:val="页脚 Char2"/>
    <w:semiHidden/>
    <w:qFormat/>
    <w:uiPriority w:val="99"/>
    <w:rPr>
      <w:rFonts w:ascii="Times New Roman" w:hAnsi="Times New Roman"/>
      <w:kern w:val="2"/>
      <w:sz w:val="18"/>
      <w:szCs w:val="18"/>
    </w:rPr>
  </w:style>
  <w:style w:type="character" w:customStyle="1" w:styleId="103">
    <w:name w:val="正文缩进 Char"/>
    <w:link w:val="10"/>
    <w:qFormat/>
    <w:uiPriority w:val="0"/>
    <w:rPr>
      <w:rFonts w:ascii="Times New Roman" w:hAnsi="Times New Roman"/>
      <w:kern w:val="2"/>
      <w:sz w:val="21"/>
    </w:rPr>
  </w:style>
  <w:style w:type="character" w:customStyle="1" w:styleId="104">
    <w:name w:val="HTML 预设格式 Char2"/>
    <w:semiHidden/>
    <w:qFormat/>
    <w:uiPriority w:val="99"/>
    <w:rPr>
      <w:rFonts w:ascii="Courier New" w:hAnsi="Courier New" w:cs="Courier New"/>
      <w:kern w:val="2"/>
    </w:rPr>
  </w:style>
  <w:style w:type="character" w:customStyle="1" w:styleId="105">
    <w:name w:val="纯文本 Char2"/>
    <w:semiHidden/>
    <w:qFormat/>
    <w:uiPriority w:val="99"/>
    <w:rPr>
      <w:rFonts w:ascii="宋体" w:hAnsi="Courier New" w:cs="Courier New"/>
      <w:kern w:val="2"/>
      <w:sz w:val="21"/>
      <w:szCs w:val="21"/>
    </w:rPr>
  </w:style>
  <w:style w:type="character" w:customStyle="1" w:styleId="106">
    <w:name w:val="正文文本 3 Char1"/>
    <w:semiHidden/>
    <w:qFormat/>
    <w:uiPriority w:val="99"/>
    <w:rPr>
      <w:rFonts w:ascii="Times New Roman" w:hAnsi="Times New Roman"/>
      <w:kern w:val="2"/>
      <w:sz w:val="16"/>
      <w:szCs w:val="16"/>
    </w:rPr>
  </w:style>
  <w:style w:type="character" w:customStyle="1" w:styleId="107">
    <w:name w:val="页眉 Char"/>
    <w:link w:val="28"/>
    <w:qFormat/>
    <w:uiPriority w:val="0"/>
    <w:rPr>
      <w:sz w:val="18"/>
      <w:szCs w:val="18"/>
    </w:rPr>
  </w:style>
  <w:style w:type="character" w:customStyle="1" w:styleId="108">
    <w:name w:val="批注文字 Char1"/>
    <w:semiHidden/>
    <w:qFormat/>
    <w:uiPriority w:val="99"/>
    <w:rPr>
      <w:rFonts w:ascii="Times New Roman" w:hAnsi="Times New Roman"/>
      <w:kern w:val="2"/>
      <w:sz w:val="21"/>
      <w:szCs w:val="24"/>
    </w:rPr>
  </w:style>
  <w:style w:type="character" w:customStyle="1" w:styleId="109">
    <w:name w:val="标题 5 Char"/>
    <w:link w:val="7"/>
    <w:qFormat/>
    <w:uiPriority w:val="0"/>
    <w:rPr>
      <w:rFonts w:eastAsia="宋体"/>
      <w:b/>
      <w:bCs/>
      <w:kern w:val="2"/>
      <w:sz w:val="28"/>
      <w:szCs w:val="28"/>
      <w:lang w:val="en-US" w:eastAsia="zh-CN" w:bidi="ar-SA"/>
    </w:rPr>
  </w:style>
  <w:style w:type="character" w:customStyle="1" w:styleId="110">
    <w:name w:val="表格标题2 Char"/>
    <w:link w:val="111"/>
    <w:qFormat/>
    <w:uiPriority w:val="0"/>
    <w:rPr>
      <w:rFonts w:ascii="Arial" w:hAnsi="Arial" w:eastAsia="微软雅黑"/>
      <w:b/>
      <w:bCs/>
      <w:kern w:val="2"/>
      <w:sz w:val="21"/>
      <w:szCs w:val="24"/>
    </w:rPr>
  </w:style>
  <w:style w:type="paragraph" w:customStyle="1" w:styleId="111">
    <w:name w:val="表格标题2"/>
    <w:basedOn w:val="8"/>
    <w:link w:val="110"/>
    <w:qFormat/>
    <w:uiPriority w:val="0"/>
    <w:pPr>
      <w:spacing w:before="0" w:after="0" w:line="240" w:lineRule="auto"/>
      <w:jc w:val="center"/>
    </w:pPr>
    <w:rPr>
      <w:rFonts w:ascii="Arial" w:hAnsi="Arial" w:eastAsia="微软雅黑"/>
      <w:sz w:val="21"/>
    </w:rPr>
  </w:style>
  <w:style w:type="character" w:customStyle="1" w:styleId="112">
    <w:name w:val="普通文字 Char Char2"/>
    <w:qFormat/>
    <w:uiPriority w:val="0"/>
    <w:rPr>
      <w:rFonts w:ascii="宋体" w:hAnsi="Courier New" w:eastAsia="宋体"/>
      <w:szCs w:val="21"/>
      <w:lang w:bidi="ar-SA"/>
    </w:rPr>
  </w:style>
  <w:style w:type="character" w:customStyle="1" w:styleId="113">
    <w:name w:val="批注框文本 Char"/>
    <w:link w:val="25"/>
    <w:semiHidden/>
    <w:qFormat/>
    <w:uiPriority w:val="0"/>
    <w:rPr>
      <w:rFonts w:ascii="Times New Roman" w:hAnsi="Times New Roman"/>
      <w:kern w:val="2"/>
      <w:sz w:val="18"/>
      <w:szCs w:val="18"/>
    </w:rPr>
  </w:style>
  <w:style w:type="character" w:customStyle="1" w:styleId="114">
    <w:name w:val="font21"/>
    <w:qFormat/>
    <w:uiPriority w:val="0"/>
    <w:rPr>
      <w:rFonts w:hint="eastAsia" w:ascii="宋体" w:hAnsi="宋体" w:eastAsia="宋体" w:cs="宋体"/>
      <w:color w:val="000000"/>
      <w:sz w:val="24"/>
      <w:szCs w:val="24"/>
      <w:u w:val="none"/>
    </w:rPr>
  </w:style>
  <w:style w:type="character" w:customStyle="1" w:styleId="115">
    <w:name w:val="HTML 预设格式 Char"/>
    <w:link w:val="35"/>
    <w:qFormat/>
    <w:uiPriority w:val="99"/>
    <w:rPr>
      <w:rFonts w:ascii="宋体" w:hAnsi="宋体" w:cs="宋体"/>
      <w:sz w:val="24"/>
      <w:szCs w:val="24"/>
    </w:rPr>
  </w:style>
  <w:style w:type="character" w:customStyle="1" w:styleId="116">
    <w:name w:val="页脚 Char"/>
    <w:link w:val="26"/>
    <w:qFormat/>
    <w:uiPriority w:val="0"/>
    <w:rPr>
      <w:sz w:val="18"/>
      <w:szCs w:val="18"/>
    </w:rPr>
  </w:style>
  <w:style w:type="character" w:customStyle="1" w:styleId="117">
    <w:name w:val="明显引用 Char"/>
    <w:link w:val="118"/>
    <w:qFormat/>
    <w:uiPriority w:val="0"/>
    <w:rPr>
      <w:rFonts w:ascii="宋体" w:hAnsi="华文细黑"/>
      <w:bCs/>
      <w:iCs/>
      <w:color w:val="000000"/>
      <w:kern w:val="2"/>
      <w:sz w:val="21"/>
    </w:rPr>
  </w:style>
  <w:style w:type="paragraph" w:customStyle="1" w:styleId="118">
    <w:name w:val="明显引用1"/>
    <w:basedOn w:val="1"/>
    <w:next w:val="1"/>
    <w:link w:val="117"/>
    <w:qFormat/>
    <w:uiPriority w:val="0"/>
    <w:pPr>
      <w:spacing w:line="360" w:lineRule="auto"/>
      <w:jc w:val="center"/>
    </w:pPr>
    <w:rPr>
      <w:rFonts w:ascii="宋体" w:hAnsi="华文细黑"/>
      <w:bCs/>
      <w:iCs/>
      <w:color w:val="000000"/>
      <w:szCs w:val="20"/>
    </w:rPr>
  </w:style>
  <w:style w:type="character" w:customStyle="1" w:styleId="119">
    <w:name w:val="apple-style-span"/>
    <w:basedOn w:val="43"/>
    <w:qFormat/>
    <w:uiPriority w:val="0"/>
  </w:style>
  <w:style w:type="character" w:customStyle="1" w:styleId="120">
    <w:name w:val="Char Char2"/>
    <w:qFormat/>
    <w:locked/>
    <w:uiPriority w:val="0"/>
    <w:rPr>
      <w:rFonts w:ascii="宋体" w:hAnsi="宋体" w:eastAsia="宋体"/>
      <w:sz w:val="24"/>
      <w:szCs w:val="24"/>
      <w:lang w:bidi="ar-SA"/>
    </w:rPr>
  </w:style>
  <w:style w:type="character" w:customStyle="1" w:styleId="121">
    <w:name w:val="纯文本 Char"/>
    <w:link w:val="22"/>
    <w:qFormat/>
    <w:uiPriority w:val="0"/>
    <w:rPr>
      <w:rFonts w:ascii="宋体" w:hAnsi="Courier New" w:eastAsia="宋体" w:cs="Courier New"/>
      <w:szCs w:val="21"/>
    </w:rPr>
  </w:style>
  <w:style w:type="character" w:customStyle="1" w:styleId="122">
    <w:name w:val="font91"/>
    <w:qFormat/>
    <w:uiPriority w:val="0"/>
    <w:rPr>
      <w:rFonts w:hint="default" w:ascii="Times New Roman" w:hAnsi="Times New Roman" w:cs="Times New Roman"/>
      <w:color w:val="000000"/>
      <w:sz w:val="20"/>
      <w:szCs w:val="20"/>
      <w:u w:val="none"/>
    </w:rPr>
  </w:style>
  <w:style w:type="character" w:customStyle="1" w:styleId="123">
    <w:name w:val="Char Char16"/>
    <w:qFormat/>
    <w:locked/>
    <w:uiPriority w:val="0"/>
    <w:rPr>
      <w:rFonts w:ascii="Arial" w:hAnsi="Arial" w:eastAsia="黑体"/>
      <w:b/>
      <w:kern w:val="2"/>
      <w:sz w:val="24"/>
      <w:szCs w:val="24"/>
      <w:lang w:bidi="ar-SA"/>
    </w:rPr>
  </w:style>
  <w:style w:type="character" w:customStyle="1" w:styleId="124">
    <w:name w:val="正文文本缩进 2 Char2"/>
    <w:semiHidden/>
    <w:qFormat/>
    <w:uiPriority w:val="99"/>
    <w:rPr>
      <w:rFonts w:ascii="Times New Roman" w:hAnsi="Times New Roman"/>
      <w:kern w:val="2"/>
      <w:sz w:val="21"/>
      <w:szCs w:val="24"/>
    </w:rPr>
  </w:style>
  <w:style w:type="character" w:customStyle="1" w:styleId="125">
    <w:name w:val="A4"/>
    <w:qFormat/>
    <w:uiPriority w:val="0"/>
    <w:rPr>
      <w:rFonts w:ascii="新宋体" w:eastAsia="新宋体" w:cs="新宋体"/>
      <w:color w:val="000000"/>
      <w:lang w:bidi="ar-SA"/>
    </w:rPr>
  </w:style>
  <w:style w:type="character" w:customStyle="1" w:styleId="126">
    <w:name w:val="标题 2 Char"/>
    <w:link w:val="2"/>
    <w:qFormat/>
    <w:uiPriority w:val="0"/>
    <w:rPr>
      <w:rFonts w:ascii="Arial" w:hAnsi="Arial" w:eastAsia="黑体"/>
      <w:b/>
      <w:bCs/>
      <w:kern w:val="2"/>
      <w:sz w:val="32"/>
      <w:szCs w:val="32"/>
      <w:lang w:val="en-US" w:eastAsia="zh-CN" w:bidi="ar-SA"/>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脚 Char1"/>
    <w:semiHidden/>
    <w:qFormat/>
    <w:uiPriority w:val="99"/>
    <w:rPr>
      <w:rFonts w:ascii="Times New Roman" w:hAnsi="Times New Roman" w:eastAsia="宋体" w:cs="Times New Roman"/>
      <w:sz w:val="18"/>
      <w:szCs w:val="18"/>
    </w:rPr>
  </w:style>
  <w:style w:type="character" w:customStyle="1" w:styleId="129">
    <w:name w:val="正文文本 (2)_"/>
    <w:link w:val="130"/>
    <w:qFormat/>
    <w:uiPriority w:val="0"/>
    <w:rPr>
      <w:rFonts w:eastAsia="Times New Roman"/>
      <w:kern w:val="0"/>
      <w:sz w:val="20"/>
      <w:szCs w:val="20"/>
    </w:rPr>
  </w:style>
  <w:style w:type="paragraph" w:customStyle="1" w:styleId="130">
    <w:name w:val="正文文本 (2)"/>
    <w:basedOn w:val="1"/>
    <w:link w:val="129"/>
    <w:qFormat/>
    <w:uiPriority w:val="0"/>
    <w:pPr>
      <w:shd w:val="clear" w:color="auto" w:fill="FFFFFF"/>
      <w:spacing w:before="600" w:line="379" w:lineRule="exact"/>
      <w:jc w:val="distribute"/>
    </w:pPr>
    <w:rPr>
      <w:rFonts w:ascii="Calibri" w:hAnsi="Calibri" w:eastAsia="Times New Roman"/>
      <w:kern w:val="0"/>
      <w:sz w:val="20"/>
      <w:szCs w:val="20"/>
    </w:rPr>
  </w:style>
  <w:style w:type="character" w:customStyle="1" w:styleId="131">
    <w:name w:val="文档结构图 Char"/>
    <w:link w:val="15"/>
    <w:semiHidden/>
    <w:qFormat/>
    <w:uiPriority w:val="0"/>
    <w:rPr>
      <w:rFonts w:ascii="Times New Roman" w:hAnsi="Times New Roman"/>
      <w:kern w:val="2"/>
      <w:sz w:val="21"/>
      <w:szCs w:val="24"/>
      <w:shd w:val="clear" w:color="auto" w:fill="000080"/>
    </w:rPr>
  </w:style>
  <w:style w:type="character" w:customStyle="1" w:styleId="132">
    <w:name w:val="正文文本缩进 3 Char1"/>
    <w:semiHidden/>
    <w:qFormat/>
    <w:uiPriority w:val="99"/>
    <w:rPr>
      <w:rFonts w:ascii="Times New Roman" w:hAnsi="Times New Roman"/>
      <w:kern w:val="2"/>
      <w:sz w:val="16"/>
      <w:szCs w:val="16"/>
    </w:rPr>
  </w:style>
  <w:style w:type="character" w:customStyle="1" w:styleId="133">
    <w:name w:val="正文文本 3 Char"/>
    <w:link w:val="17"/>
    <w:qFormat/>
    <w:uiPriority w:val="0"/>
    <w:rPr>
      <w:rFonts w:ascii="Times New Roman" w:hAnsi="Times New Roman"/>
      <w:b/>
      <w:bCs/>
      <w:sz w:val="24"/>
      <w:szCs w:val="24"/>
    </w:rPr>
  </w:style>
  <w:style w:type="character" w:customStyle="1" w:styleId="134">
    <w:name w:val="批注主题 Char1"/>
    <w:semiHidden/>
    <w:qFormat/>
    <w:uiPriority w:val="99"/>
    <w:rPr>
      <w:rFonts w:ascii="Times New Roman" w:hAnsi="Times New Roman"/>
      <w:b/>
      <w:bCs/>
      <w:kern w:val="2"/>
      <w:sz w:val="21"/>
      <w:szCs w:val="24"/>
    </w:rPr>
  </w:style>
  <w:style w:type="character" w:customStyle="1" w:styleId="135">
    <w:name w:val="页眉 Char1"/>
    <w:semiHidden/>
    <w:qFormat/>
    <w:uiPriority w:val="99"/>
    <w:rPr>
      <w:rFonts w:ascii="Times New Roman" w:hAnsi="Times New Roman" w:eastAsia="宋体" w:cs="Times New Roman"/>
      <w:sz w:val="18"/>
      <w:szCs w:val="18"/>
    </w:rPr>
  </w:style>
  <w:style w:type="character" w:customStyle="1" w:styleId="136">
    <w:name w:val="font11"/>
    <w:qFormat/>
    <w:uiPriority w:val="0"/>
    <w:rPr>
      <w:rFonts w:hint="default" w:ascii="Times New Roman" w:hAnsi="Times New Roman" w:cs="Times New Roman"/>
      <w:color w:val="000000"/>
      <w:sz w:val="24"/>
      <w:szCs w:val="24"/>
      <w:u w:val="none"/>
    </w:rPr>
  </w:style>
  <w:style w:type="character" w:customStyle="1" w:styleId="137">
    <w:name w:val="Char Char3"/>
    <w:qFormat/>
    <w:locked/>
    <w:uiPriority w:val="0"/>
    <w:rPr>
      <w:rFonts w:ascii="宋体" w:hAnsi="宋体" w:eastAsia="宋体"/>
      <w:sz w:val="24"/>
      <w:szCs w:val="24"/>
      <w:lang w:bidi="ar-SA"/>
    </w:rPr>
  </w:style>
  <w:style w:type="character" w:customStyle="1" w:styleId="138">
    <w:name w:val="标题 8 Char"/>
    <w:link w:val="11"/>
    <w:qFormat/>
    <w:uiPriority w:val="0"/>
    <w:rPr>
      <w:rFonts w:ascii="Arial" w:hAnsi="Arial" w:eastAsia="黑体"/>
      <w:kern w:val="2"/>
      <w:sz w:val="24"/>
      <w:szCs w:val="24"/>
    </w:rPr>
  </w:style>
  <w:style w:type="character" w:customStyle="1" w:styleId="139">
    <w:name w:val="font31"/>
    <w:qFormat/>
    <w:uiPriority w:val="0"/>
    <w:rPr>
      <w:rFonts w:hint="default" w:ascii="Times New Roman" w:hAnsi="Times New Roman" w:cs="Times New Roman"/>
      <w:color w:val="000000"/>
      <w:sz w:val="24"/>
      <w:szCs w:val="24"/>
      <w:u w:val="none"/>
    </w:rPr>
  </w:style>
  <w:style w:type="character" w:customStyle="1" w:styleId="140">
    <w:name w:val="宏文本 Char1"/>
    <w:semiHidden/>
    <w:qFormat/>
    <w:uiPriority w:val="99"/>
    <w:rPr>
      <w:rFonts w:ascii="Courier New" w:hAnsi="Courier New" w:cs="Courier New"/>
      <w:kern w:val="2"/>
      <w:sz w:val="24"/>
      <w:szCs w:val="24"/>
    </w:rPr>
  </w:style>
  <w:style w:type="character" w:customStyle="1" w:styleId="141">
    <w:name w:val="普通文字 Char Char3"/>
    <w:qFormat/>
    <w:uiPriority w:val="0"/>
    <w:rPr>
      <w:rFonts w:ascii="宋体" w:hAnsi="Courier New" w:eastAsia="宋体" w:cs="Courier New"/>
      <w:szCs w:val="21"/>
    </w:rPr>
  </w:style>
  <w:style w:type="character" w:customStyle="1" w:styleId="142">
    <w:name w:val="Char Char13"/>
    <w:qFormat/>
    <w:locked/>
    <w:uiPriority w:val="0"/>
    <w:rPr>
      <w:rFonts w:ascii="Arial" w:hAnsi="Arial" w:eastAsia="黑体"/>
      <w:kern w:val="2"/>
      <w:sz w:val="21"/>
      <w:szCs w:val="24"/>
      <w:lang w:bidi="ar-SA"/>
    </w:rPr>
  </w:style>
  <w:style w:type="character" w:customStyle="1" w:styleId="143">
    <w:name w:val="font01"/>
    <w:qFormat/>
    <w:uiPriority w:val="0"/>
    <w:rPr>
      <w:rFonts w:hint="eastAsia" w:ascii="宋体" w:hAnsi="宋体" w:eastAsia="宋体" w:cs="宋体"/>
      <w:color w:val="000000"/>
      <w:sz w:val="24"/>
      <w:szCs w:val="24"/>
      <w:u w:val="none"/>
    </w:rPr>
  </w:style>
  <w:style w:type="character" w:customStyle="1" w:styleId="144">
    <w:name w:val="正文文本缩进 3 Char2"/>
    <w:semiHidden/>
    <w:qFormat/>
    <w:uiPriority w:val="99"/>
    <w:rPr>
      <w:rFonts w:ascii="Times New Roman" w:hAnsi="Times New Roman"/>
      <w:kern w:val="2"/>
      <w:sz w:val="16"/>
      <w:szCs w:val="16"/>
    </w:rPr>
  </w:style>
  <w:style w:type="character" w:customStyle="1" w:styleId="145">
    <w:name w:val="HTML 预设格式 Char1"/>
    <w:semiHidden/>
    <w:qFormat/>
    <w:uiPriority w:val="99"/>
    <w:rPr>
      <w:rFonts w:ascii="Courier New" w:hAnsi="Courier New" w:cs="Courier New"/>
      <w:kern w:val="2"/>
    </w:rPr>
  </w:style>
  <w:style w:type="character" w:customStyle="1" w:styleId="146">
    <w:name w:val="正文文本 2 Char"/>
    <w:link w:val="34"/>
    <w:qFormat/>
    <w:uiPriority w:val="0"/>
    <w:rPr>
      <w:rFonts w:ascii="Times New Roman" w:hAnsi="Times New Roman"/>
      <w:szCs w:val="24"/>
    </w:rPr>
  </w:style>
  <w:style w:type="paragraph" w:customStyle="1" w:styleId="147">
    <w:name w:val="List Paragraph1"/>
    <w:basedOn w:val="1"/>
    <w:qFormat/>
    <w:uiPriority w:val="0"/>
    <w:pPr>
      <w:ind w:firstLine="420" w:firstLineChars="200"/>
    </w:pPr>
  </w:style>
  <w:style w:type="paragraph" w:customStyle="1" w:styleId="148">
    <w:name w:val="Char"/>
    <w:basedOn w:val="1"/>
    <w:qFormat/>
    <w:uiPriority w:val="0"/>
  </w:style>
  <w:style w:type="paragraph" w:customStyle="1" w:styleId="149">
    <w:name w:val="xl65"/>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2">
    <w:name w:val="Char1"/>
    <w:basedOn w:val="1"/>
    <w:qFormat/>
    <w:uiPriority w:val="0"/>
    <w:rPr>
      <w:szCs w:val="21"/>
    </w:rPr>
  </w:style>
  <w:style w:type="paragraph" w:customStyle="1" w:styleId="153">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54">
    <w:name w:val="列出段落11"/>
    <w:basedOn w:val="1"/>
    <w:qFormat/>
    <w:uiPriority w:val="0"/>
    <w:pPr>
      <w:ind w:firstLine="420" w:firstLineChars="200"/>
    </w:pPr>
  </w:style>
  <w:style w:type="paragraph" w:customStyle="1" w:styleId="155">
    <w:name w:val="Char Char Char Char"/>
    <w:basedOn w:val="1"/>
    <w:qFormat/>
    <w:uiPriority w:val="0"/>
  </w:style>
  <w:style w:type="paragraph" w:customStyle="1" w:styleId="156">
    <w:name w:val="三级条标题"/>
    <w:basedOn w:val="157"/>
    <w:next w:val="158"/>
    <w:qFormat/>
    <w:uiPriority w:val="0"/>
    <w:pPr>
      <w:outlineLvl w:val="4"/>
    </w:pPr>
  </w:style>
  <w:style w:type="paragraph" w:customStyle="1" w:styleId="157">
    <w:name w:val="二级条标题"/>
    <w:basedOn w:val="1"/>
    <w:next w:val="1"/>
    <w:qFormat/>
    <w:uiPriority w:val="0"/>
    <w:pPr>
      <w:widowControl/>
      <w:jc w:val="left"/>
      <w:outlineLvl w:val="3"/>
    </w:pPr>
    <w:rPr>
      <w:rFonts w:ascii="宋体" w:hAnsi="宋体"/>
      <w:color w:val="000000"/>
      <w:kern w:val="0"/>
      <w:szCs w:val="20"/>
    </w:rPr>
  </w:style>
  <w:style w:type="paragraph" w:customStyle="1" w:styleId="1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1">
    <w:name w:val="Char Char Char"/>
    <w:basedOn w:val="1"/>
    <w:qFormat/>
    <w:uiPriority w:val="0"/>
    <w:rPr>
      <w:rFonts w:ascii="Tahoma" w:hAnsi="Tahoma"/>
      <w:sz w:val="24"/>
      <w:szCs w:val="20"/>
    </w:rPr>
  </w:style>
  <w:style w:type="paragraph" w:customStyle="1" w:styleId="162">
    <w:name w:val="表格"/>
    <w:basedOn w:val="1"/>
    <w:qFormat/>
    <w:uiPriority w:val="0"/>
    <w:pPr>
      <w:spacing w:line="400" w:lineRule="exact"/>
    </w:pPr>
    <w:rPr>
      <w:sz w:val="24"/>
    </w:rPr>
  </w:style>
  <w:style w:type="paragraph" w:customStyle="1" w:styleId="163">
    <w:name w:val="纯文本1"/>
    <w:basedOn w:val="1"/>
    <w:qFormat/>
    <w:uiPriority w:val="0"/>
    <w:rPr>
      <w:rFonts w:ascii="宋体" w:hAnsi="Courier New" w:cs="Courier New"/>
      <w:kern w:val="0"/>
      <w:sz w:val="20"/>
      <w:szCs w:val="21"/>
    </w:rPr>
  </w:style>
  <w:style w:type="paragraph" w:customStyle="1" w:styleId="164">
    <w:name w:val="五级条标题"/>
    <w:basedOn w:val="165"/>
    <w:next w:val="158"/>
    <w:qFormat/>
    <w:uiPriority w:val="0"/>
    <w:pPr>
      <w:outlineLvl w:val="6"/>
    </w:pPr>
  </w:style>
  <w:style w:type="paragraph" w:customStyle="1" w:styleId="165">
    <w:name w:val="四级条标题"/>
    <w:basedOn w:val="156"/>
    <w:next w:val="158"/>
    <w:qFormat/>
    <w:uiPriority w:val="0"/>
    <w:pPr>
      <w:outlineLvl w:val="5"/>
    </w:pPr>
  </w:style>
  <w:style w:type="paragraph" w:customStyle="1" w:styleId="166">
    <w:name w:val="Char11"/>
    <w:basedOn w:val="1"/>
    <w:qFormat/>
    <w:uiPriority w:val="0"/>
    <w:rPr>
      <w:szCs w:val="21"/>
    </w:rPr>
  </w:style>
  <w:style w:type="paragraph" w:customStyle="1" w:styleId="167">
    <w:name w:val="默认段落字体 Para Char Char Char Char Char Char Char Char Char1 Char Char Char Char"/>
    <w:basedOn w:val="1"/>
    <w:qFormat/>
    <w:uiPriority w:val="0"/>
    <w:rPr>
      <w:rFonts w:ascii="Tahoma" w:hAnsi="Tahoma"/>
      <w:sz w:val="24"/>
      <w:szCs w:val="20"/>
    </w:rPr>
  </w:style>
  <w:style w:type="paragraph" w:customStyle="1" w:styleId="168">
    <w:name w:val="列出段落2"/>
    <w:basedOn w:val="1"/>
    <w:qFormat/>
    <w:uiPriority w:val="0"/>
    <w:pPr>
      <w:ind w:firstLine="420" w:firstLineChars="200"/>
    </w:pPr>
    <w:rPr>
      <w:rFonts w:ascii="Calibri" w:hAnsi="Calibri"/>
      <w:szCs w:val="22"/>
    </w:rPr>
  </w:style>
  <w:style w:type="paragraph" w:customStyle="1" w:styleId="169">
    <w:name w:val="样式 首行缩进:  2 字符"/>
    <w:basedOn w:val="1"/>
    <w:qFormat/>
    <w:uiPriority w:val="0"/>
    <w:pPr>
      <w:spacing w:line="400" w:lineRule="exact"/>
      <w:ind w:firstLine="200" w:firstLineChars="200"/>
    </w:pPr>
    <w:rPr>
      <w:rFonts w:cs="宋体"/>
      <w:sz w:val="24"/>
    </w:rPr>
  </w:style>
  <w:style w:type="paragraph" w:customStyle="1" w:styleId="170">
    <w:name w:val="1"/>
    <w:basedOn w:val="1"/>
    <w:next w:val="22"/>
    <w:qFormat/>
    <w:uiPriority w:val="0"/>
    <w:rPr>
      <w:rFonts w:ascii="宋体" w:hAnsi="Courier New"/>
      <w:szCs w:val="20"/>
    </w:rPr>
  </w:style>
  <w:style w:type="paragraph" w:customStyle="1" w:styleId="17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73">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kern w:val="0"/>
      <w:sz w:val="28"/>
      <w:szCs w:val="20"/>
    </w:rPr>
  </w:style>
  <w:style w:type="paragraph" w:customStyle="1" w:styleId="17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列出段落21"/>
    <w:basedOn w:val="1"/>
    <w:qFormat/>
    <w:uiPriority w:val="0"/>
    <w:pPr>
      <w:ind w:firstLine="420" w:firstLineChars="200"/>
    </w:pPr>
    <w:rPr>
      <w:rFonts w:ascii="Calibri" w:hAnsi="Calibri"/>
      <w:szCs w:val="22"/>
    </w:rPr>
  </w:style>
  <w:style w:type="paragraph" w:customStyle="1" w:styleId="176">
    <w:name w:val="_Style 6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前言、引言标题"/>
    <w:next w:val="1"/>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Char2"/>
    <w:basedOn w:val="1"/>
    <w:qFormat/>
    <w:uiPriority w:val="0"/>
  </w:style>
  <w:style w:type="paragraph" w:customStyle="1" w:styleId="181">
    <w:name w:val="Char12"/>
    <w:basedOn w:val="15"/>
    <w:qFormat/>
    <w:uiPriority w:val="0"/>
    <w:pPr>
      <w:widowControl/>
      <w:ind w:firstLine="454"/>
      <w:jc w:val="left"/>
    </w:pPr>
    <w:rPr>
      <w:rFonts w:ascii="Tahoma" w:hAnsi="Tahoma" w:cs="宋体"/>
      <w:kern w:val="0"/>
      <w:sz w:val="24"/>
      <w:szCs w:val="20"/>
    </w:rPr>
  </w:style>
  <w:style w:type="paragraph" w:customStyle="1" w:styleId="1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3">
    <w:name w:val="Char3"/>
    <w:basedOn w:val="1"/>
    <w:qFormat/>
    <w:uiPriority w:val="0"/>
  </w:style>
  <w:style w:type="paragraph" w:styleId="184">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18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8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87">
    <w:name w:val="p0"/>
    <w:basedOn w:val="1"/>
    <w:qFormat/>
    <w:uiPriority w:val="0"/>
    <w:pPr>
      <w:widowControl/>
    </w:pPr>
    <w:rPr>
      <w:kern w:val="0"/>
      <w:szCs w:val="21"/>
    </w:rPr>
  </w:style>
  <w:style w:type="paragraph" w:customStyle="1" w:styleId="188">
    <w:name w:val="正文段"/>
    <w:basedOn w:val="1"/>
    <w:qFormat/>
    <w:uiPriority w:val="0"/>
    <w:pPr>
      <w:widowControl/>
      <w:snapToGrid w:val="0"/>
      <w:spacing w:afterLines="50"/>
      <w:ind w:firstLine="200" w:firstLineChars="200"/>
    </w:pPr>
    <w:rPr>
      <w:kern w:val="0"/>
      <w:sz w:val="24"/>
      <w:szCs w:val="20"/>
    </w:rPr>
  </w:style>
  <w:style w:type="paragraph" w:customStyle="1" w:styleId="18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0">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1">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2">
    <w:name w:val="xl6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94">
    <w:name w:val="Char Char Char Char Char Char Char"/>
    <w:basedOn w:val="1"/>
    <w:qFormat/>
    <w:uiPriority w:val="0"/>
    <w:pPr>
      <w:tabs>
        <w:tab w:val="left" w:pos="432"/>
      </w:tabs>
      <w:ind w:left="432" w:hanging="432"/>
    </w:pPr>
    <w:rPr>
      <w:rFonts w:ascii="Tahoma" w:hAnsi="Tahoma"/>
      <w:sz w:val="24"/>
      <w:szCs w:val="20"/>
    </w:rPr>
  </w:style>
  <w:style w:type="paragraph" w:customStyle="1" w:styleId="1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一级条标题"/>
    <w:next w:val="158"/>
    <w:qFormat/>
    <w:uiPriority w:val="0"/>
    <w:pPr>
      <w:ind w:left="284"/>
      <w:outlineLvl w:val="2"/>
    </w:pPr>
    <w:rPr>
      <w:rFonts w:ascii="Times New Roman" w:hAnsi="Times New Roman" w:eastAsia="黑体" w:cs="Times New Roman"/>
      <w:sz w:val="21"/>
      <w:lang w:val="en-US" w:eastAsia="zh-CN" w:bidi="ar-SA"/>
    </w:rPr>
  </w:style>
  <w:style w:type="paragraph" w:customStyle="1" w:styleId="197">
    <w:name w:val="xl67"/>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8">
    <w:name w:val="Char Char Char Char2"/>
    <w:basedOn w:val="1"/>
    <w:qFormat/>
    <w:uiPriority w:val="0"/>
  </w:style>
  <w:style w:type="paragraph" w:customStyle="1" w:styleId="199">
    <w:name w:val="正文首行缩进两字符"/>
    <w:basedOn w:val="1"/>
    <w:qFormat/>
    <w:uiPriority w:val="0"/>
    <w:pPr>
      <w:spacing w:line="360" w:lineRule="auto"/>
      <w:ind w:firstLine="200" w:firstLineChars="200"/>
    </w:pPr>
  </w:style>
  <w:style w:type="paragraph" w:customStyle="1" w:styleId="200">
    <w:name w:val="无间隔1"/>
    <w:qFormat/>
    <w:uiPriority w:val="1"/>
    <w:pPr>
      <w:widowControl w:val="0"/>
      <w:jc w:val="both"/>
    </w:pPr>
    <w:rPr>
      <w:rFonts w:ascii="Calibri" w:hAnsi="Calibri" w:eastAsia="宋体" w:cs="Times New Roman"/>
      <w:kern w:val="2"/>
      <w:sz w:val="21"/>
      <w:szCs w:val="24"/>
      <w:lang w:val="en-US" w:eastAsia="zh-CN" w:bidi="ar-SA"/>
    </w:rPr>
  </w:style>
  <w:style w:type="paragraph" w:customStyle="1" w:styleId="201">
    <w:name w:val="Char Char Char Char Char Char Char1"/>
    <w:basedOn w:val="1"/>
    <w:qFormat/>
    <w:uiPriority w:val="0"/>
  </w:style>
  <w:style w:type="paragraph" w:customStyle="1" w:styleId="202">
    <w:name w:val="Char Char Char Char1"/>
    <w:basedOn w:val="1"/>
    <w:qFormat/>
    <w:uiPriority w:val="0"/>
  </w:style>
  <w:style w:type="paragraph" w:customStyle="1" w:styleId="203">
    <w:name w:val="xl11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w:hAnsi="Times"/>
      <w:kern w:val="0"/>
      <w:sz w:val="20"/>
      <w:szCs w:val="20"/>
    </w:rPr>
  </w:style>
  <w:style w:type="paragraph" w:customStyle="1" w:styleId="204">
    <w:name w:val="Char Char Char1"/>
    <w:basedOn w:val="1"/>
    <w:qFormat/>
    <w:uiPriority w:val="0"/>
    <w:rPr>
      <w:rFonts w:ascii="Tahoma" w:hAnsi="Tahoma"/>
      <w:sz w:val="24"/>
      <w:szCs w:val="20"/>
    </w:rPr>
  </w:style>
  <w:style w:type="paragraph" w:customStyle="1" w:styleId="20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06">
    <w:name w:val="样式3"/>
    <w:basedOn w:val="80"/>
    <w:qFormat/>
    <w:uiPriority w:val="0"/>
    <w:pPr>
      <w:spacing w:line="360" w:lineRule="auto"/>
      <w:ind w:left="900" w:firstLine="0" w:firstLineChars="0"/>
      <w:jc w:val="center"/>
    </w:pPr>
    <w:rPr>
      <w:rFonts w:ascii="宋体" w:hAnsi="宋体"/>
      <w:sz w:val="24"/>
      <w:szCs w:val="28"/>
      <w:lang w:val="zh-CN"/>
    </w:rPr>
  </w:style>
  <w:style w:type="paragraph" w:customStyle="1" w:styleId="207">
    <w:name w:val="Table Paragraph"/>
    <w:basedOn w:val="1"/>
    <w:qFormat/>
    <w:uiPriority w:val="1"/>
    <w:pPr>
      <w:ind w:left="100" w:right="-10"/>
      <w:jc w:val="left"/>
    </w:pPr>
    <w:rPr>
      <w:rFonts w:ascii="宋体" w:hAnsi="宋体" w:cs="宋体"/>
      <w:kern w:val="0"/>
      <w:sz w:val="22"/>
      <w:szCs w:val="22"/>
      <w:lang w:eastAsia="en-US"/>
    </w:rPr>
  </w:style>
  <w:style w:type="paragraph" w:customStyle="1" w:styleId="208">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10">
    <w:name w:val="正文首行缩进 2 Char"/>
    <w:basedOn w:val="55"/>
    <w:link w:val="40"/>
    <w:qFormat/>
    <w:uiPriority w:val="0"/>
    <w:rPr>
      <w:rFonts w:ascii="Times New Roman" w:hAnsi="Times New Roman" w:eastAsia="仿宋_GB2312" w:cs="Times New Roman"/>
      <w:kern w:val="2"/>
      <w:sz w:val="21"/>
      <w:szCs w:val="24"/>
    </w:rPr>
  </w:style>
  <w:style w:type="paragraph" w:customStyle="1" w:styleId="211">
    <w:name w:val="引言二级条标题"/>
    <w:basedOn w:val="212"/>
    <w:next w:val="158"/>
    <w:qFormat/>
    <w:uiPriority w:val="0"/>
    <w:pPr>
      <w:ind w:left="0" w:firstLine="0"/>
    </w:pPr>
    <w:rPr>
      <w:rFonts w:eastAsia="宋体"/>
    </w:rPr>
  </w:style>
  <w:style w:type="paragraph" w:customStyle="1" w:styleId="212">
    <w:name w:val="引言一级条标题"/>
    <w:basedOn w:val="1"/>
    <w:next w:val="158"/>
    <w:qFormat/>
    <w:uiPriority w:val="0"/>
    <w:pPr>
      <w:widowControl/>
      <w:spacing w:before="100" w:beforeAutospacing="1" w:after="100" w:afterAutospacing="1"/>
      <w:ind w:left="900" w:hanging="900"/>
    </w:pPr>
    <w:rPr>
      <w:rFonts w:eastAsia="黑体"/>
      <w:b/>
      <w:bCs/>
    </w:rPr>
  </w:style>
  <w:style w:type="paragraph" w:customStyle="1" w:styleId="213">
    <w:name w:val="表格文字"/>
    <w:basedOn w:val="1"/>
    <w:qFormat/>
    <w:uiPriority w:val="99"/>
    <w:pPr>
      <w:spacing w:before="25" w:after="25"/>
      <w:jc w:val="left"/>
    </w:pPr>
    <w:rPr>
      <w:bCs/>
      <w:spacing w:val="10"/>
      <w:kern w:val="0"/>
      <w:sz w:val="24"/>
    </w:rPr>
  </w:style>
  <w:style w:type="character" w:customStyle="1" w:styleId="214">
    <w:name w:val="font61"/>
    <w:basedOn w:val="43"/>
    <w:qFormat/>
    <w:uiPriority w:val="0"/>
    <w:rPr>
      <w:rFonts w:ascii="Arial" w:hAnsi="Arial" w:cs="Arial"/>
      <w:color w:val="000000"/>
      <w:sz w:val="20"/>
      <w:szCs w:val="20"/>
      <w:u w:val="none"/>
    </w:rPr>
  </w:style>
  <w:style w:type="paragraph" w:customStyle="1" w:styleId="215">
    <w:name w:val="Table Text"/>
    <w:basedOn w:val="1"/>
    <w:semiHidden/>
    <w:qFormat/>
    <w:uiPriority w:val="0"/>
    <w:rPr>
      <w:rFonts w:ascii="宋体" w:hAnsi="宋体" w:cs="宋体"/>
      <w:sz w:val="20"/>
      <w:szCs w:val="20"/>
      <w:lang w:eastAsia="en-US"/>
    </w:rPr>
  </w:style>
  <w:style w:type="table" w:customStyle="1" w:styleId="2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71</Pages>
  <Words>16962</Words>
  <Characters>17827</Characters>
  <Lines>645</Lines>
  <Paragraphs>181</Paragraphs>
  <TotalTime>13</TotalTime>
  <ScaleCrop>false</ScaleCrop>
  <LinksUpToDate>false</LinksUpToDate>
  <CharactersWithSpaces>18016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2025-04-17T09:59:00Z</dcterms:created>
  <dc:creator>广西智瀚</dc:creator>
  <cp:lastModifiedBy>懒懒</cp:lastModifiedBy>
  <cp:lastPrinted>2025-11-28T01:25:00Z</cp:lastPrinted>
  <dcterms:modified xsi:type="dcterms:W3CDTF">2025-12-04T03:51:02Z</dcterms:modified>
  <dc:title>竞争性磋商文件规范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3C68267D95FF41CBB10CDF67742B6A6F_13</vt:lpwstr>
  </property>
  <property fmtid="{D5CDD505-2E9C-101B-9397-08002B2CF9AE}" pid="4" name="KSOTemplateDocerSaveRecord">
    <vt:lpwstr>eyJoZGlkIjoiNzU3YTg2MjlhNTgzYjFkNTMyODU0ZDVlYTQ2NWU4MDciLCJ1c2VySWQiOiI1NDY0ODI0ODkifQ==</vt:lpwstr>
  </property>
</Properties>
</file>