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6B22C">
      <w:pPr>
        <w:pStyle w:val="2"/>
        <w:shd w:val="clear" w:color="auto" w:fill="auto"/>
        <w:rPr>
          <w:rFonts w:hint="eastAsia" w:eastAsia="宋体"/>
          <w:color w:val="auto"/>
          <w:highlight w:val="none"/>
          <w:lang w:eastAsia="zh-CN"/>
        </w:rPr>
      </w:pPr>
      <w:r>
        <w:rPr>
          <w:rFonts w:hint="eastAsia" w:eastAsia="宋体"/>
          <w:color w:val="auto"/>
          <w:highlight w:val="none"/>
          <w:lang w:eastAsia="zh-CN"/>
        </w:rPr>
        <w:drawing>
          <wp:anchor distT="0" distB="0" distL="114300" distR="114300" simplePos="0" relativeHeight="251659264" behindDoc="0" locked="0" layoutInCell="1" allowOverlap="1">
            <wp:simplePos x="0" y="0"/>
            <wp:positionH relativeFrom="column">
              <wp:posOffset>-1115060</wp:posOffset>
            </wp:positionH>
            <wp:positionV relativeFrom="paragraph">
              <wp:posOffset>-876935</wp:posOffset>
            </wp:positionV>
            <wp:extent cx="7440930" cy="10526395"/>
            <wp:effectExtent l="0" t="0" r="7620" b="8255"/>
            <wp:wrapNone/>
            <wp:docPr id="7" name="图片 7" descr="2025102816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2510281602_01"/>
                    <pic:cNvPicPr>
                      <a:picLocks noChangeAspect="1"/>
                    </pic:cNvPicPr>
                  </pic:nvPicPr>
                  <pic:blipFill>
                    <a:blip r:embed="rId14"/>
                    <a:stretch>
                      <a:fillRect/>
                    </a:stretch>
                  </pic:blipFill>
                  <pic:spPr>
                    <a:xfrm>
                      <a:off x="0" y="0"/>
                      <a:ext cx="7440930" cy="10526395"/>
                    </a:xfrm>
                    <a:prstGeom prst="rect">
                      <a:avLst/>
                    </a:prstGeom>
                  </pic:spPr>
                </pic:pic>
              </a:graphicData>
            </a:graphic>
          </wp:anchor>
        </w:drawing>
      </w:r>
    </w:p>
    <w:p w14:paraId="1F80C70E">
      <w:pPr>
        <w:shd w:val="clear" w:color="auto" w:fill="auto"/>
        <w:spacing w:line="360" w:lineRule="auto"/>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广西德元工程项目管理有限责任公司</w:t>
      </w:r>
    </w:p>
    <w:p w14:paraId="5F37D930">
      <w:pPr>
        <w:shd w:val="clear" w:color="auto" w:fill="auto"/>
        <w:spacing w:before="156" w:beforeLines="50" w:line="360" w:lineRule="auto"/>
        <w:jc w:val="center"/>
        <w:rPr>
          <w:rFonts w:hint="eastAsia" w:ascii="宋体" w:hAnsi="宋体" w:cs="宋体"/>
          <w:b/>
          <w:color w:val="auto"/>
          <w:sz w:val="44"/>
          <w:szCs w:val="44"/>
          <w:highlight w:val="none"/>
        </w:rPr>
      </w:pPr>
      <w:r>
        <w:rPr>
          <w:rFonts w:hint="eastAsia" w:ascii="宋体" w:hAnsi="宋体" w:cs="宋体"/>
          <w:i/>
          <w:color w:val="auto"/>
          <w:sz w:val="52"/>
          <w:szCs w:val="52"/>
          <w:highlight w:val="none"/>
        </w:rPr>
        <w:t>（</w:t>
      </w:r>
      <w:r>
        <w:rPr>
          <w:rFonts w:hint="eastAsia" w:ascii="宋体" w:hAnsi="宋体" w:cs="宋体"/>
          <w:i/>
          <w:color w:val="auto"/>
          <w:sz w:val="52"/>
          <w:szCs w:val="52"/>
          <w:highlight w:val="none"/>
          <w:lang w:eastAsia="zh-CN"/>
        </w:rPr>
        <w:t>工程</w:t>
      </w:r>
      <w:r>
        <w:rPr>
          <w:rFonts w:hint="eastAsia" w:ascii="宋体" w:hAnsi="宋体" w:cs="宋体"/>
          <w:i/>
          <w:color w:val="auto"/>
          <w:sz w:val="52"/>
          <w:szCs w:val="52"/>
          <w:highlight w:val="none"/>
        </w:rPr>
        <w:t>类政府采购）</w:t>
      </w:r>
    </w:p>
    <w:p w14:paraId="0954193C">
      <w:pPr>
        <w:shd w:val="clear" w:color="auto" w:fill="auto"/>
        <w:snapToGrid w:val="0"/>
        <w:spacing w:before="156" w:beforeLines="50" w:line="360" w:lineRule="auto"/>
        <w:jc w:val="center"/>
        <w:rPr>
          <w:rFonts w:hint="eastAsia" w:ascii="宋体" w:hAnsi="宋体" w:cs="宋体"/>
          <w:color w:val="auto"/>
          <w:sz w:val="120"/>
          <w:szCs w:val="120"/>
          <w:highlight w:val="none"/>
        </w:rPr>
      </w:pPr>
      <w:r>
        <w:rPr>
          <w:rFonts w:hint="eastAsia" w:ascii="宋体" w:hAnsi="宋体" w:cs="宋体"/>
          <w:color w:val="auto"/>
          <w:sz w:val="120"/>
          <w:szCs w:val="120"/>
          <w:highlight w:val="none"/>
        </w:rPr>
        <w:t>竞争性</w:t>
      </w:r>
      <w:r>
        <w:rPr>
          <w:rFonts w:hint="eastAsia" w:ascii="宋体" w:hAnsi="宋体" w:cs="宋体"/>
          <w:color w:val="auto"/>
          <w:sz w:val="120"/>
          <w:szCs w:val="120"/>
          <w:highlight w:val="none"/>
          <w:lang w:eastAsia="zh-CN"/>
        </w:rPr>
        <w:t>磋商</w:t>
      </w:r>
      <w:r>
        <w:rPr>
          <w:rFonts w:hint="eastAsia" w:ascii="宋体" w:hAnsi="宋体" w:cs="宋体"/>
          <w:color w:val="auto"/>
          <w:sz w:val="120"/>
          <w:szCs w:val="120"/>
          <w:highlight w:val="none"/>
        </w:rPr>
        <w:t>文件</w:t>
      </w:r>
    </w:p>
    <w:p w14:paraId="1DACA9CD">
      <w:pPr>
        <w:shd w:val="clear" w:color="auto" w:fill="auto"/>
        <w:snapToGrid w:val="0"/>
        <w:spacing w:before="156" w:beforeLines="50" w:line="360" w:lineRule="auto"/>
        <w:jc w:val="center"/>
        <w:rPr>
          <w:rFonts w:hint="eastAsia" w:ascii="宋体" w:hAnsi="宋体" w:cs="宋体"/>
          <w:color w:val="auto"/>
          <w:sz w:val="30"/>
          <w:szCs w:val="72"/>
          <w:highlight w:val="none"/>
        </w:rPr>
      </w:pPr>
      <w:r>
        <w:rPr>
          <w:rFonts w:hint="eastAsia" w:ascii="宋体" w:hAnsi="宋体" w:cs="宋体"/>
          <w:b/>
          <w:color w:val="auto"/>
          <w:sz w:val="48"/>
          <w:szCs w:val="48"/>
          <w:highlight w:val="none"/>
        </w:rPr>
        <w:t>（全流程电子化采购）</w:t>
      </w:r>
    </w:p>
    <w:p w14:paraId="501AC66A">
      <w:pPr>
        <w:pStyle w:val="12"/>
        <w:shd w:val="clear" w:color="auto" w:fill="auto"/>
        <w:snapToGrid w:val="0"/>
        <w:spacing w:line="360" w:lineRule="auto"/>
        <w:ind w:left="2702" w:leftChars="568" w:hanging="1509" w:hangingChars="501"/>
        <w:rPr>
          <w:rFonts w:hint="eastAsia" w:hAnsi="宋体" w:cs="宋体"/>
          <w:b/>
          <w:bCs/>
          <w:color w:val="auto"/>
          <w:sz w:val="30"/>
          <w:szCs w:val="30"/>
          <w:highlight w:val="none"/>
        </w:rPr>
      </w:pPr>
    </w:p>
    <w:p w14:paraId="53D423AE">
      <w:pPr>
        <w:pStyle w:val="12"/>
        <w:shd w:val="clear" w:color="auto" w:fill="auto"/>
        <w:snapToGrid w:val="0"/>
        <w:spacing w:line="360" w:lineRule="auto"/>
        <w:ind w:left="2702" w:leftChars="568" w:hanging="1509" w:hangingChars="501"/>
        <w:rPr>
          <w:rFonts w:hint="eastAsia" w:hAnsi="宋体" w:cs="宋体"/>
          <w:b/>
          <w:bCs/>
          <w:color w:val="auto"/>
          <w:sz w:val="30"/>
          <w:szCs w:val="30"/>
          <w:highlight w:val="none"/>
        </w:rPr>
      </w:pPr>
    </w:p>
    <w:p w14:paraId="0AA3CF34">
      <w:pPr>
        <w:pStyle w:val="12"/>
        <w:shd w:val="clear" w:color="auto" w:fill="auto"/>
        <w:snapToGrid w:val="0"/>
        <w:spacing w:line="360" w:lineRule="auto"/>
        <w:ind w:left="2702" w:leftChars="568" w:hanging="1509" w:hangingChars="501"/>
        <w:rPr>
          <w:rFonts w:hint="eastAsia" w:ascii="宋体" w:hAnsi="宋体" w:eastAsia="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ascii="宋体" w:hAnsi="宋体" w:eastAsia="宋体" w:cs="宋体"/>
          <w:b/>
          <w:bCs/>
          <w:color w:val="auto"/>
          <w:sz w:val="30"/>
          <w:szCs w:val="30"/>
          <w:highlight w:val="none"/>
          <w:lang w:eastAsia="zh-CN"/>
        </w:rPr>
        <w:t>企沙人民法庭修缮改造工程</w:t>
      </w:r>
    </w:p>
    <w:p w14:paraId="74C474BE">
      <w:pPr>
        <w:shd w:val="clear" w:color="auto" w:fill="auto"/>
        <w:snapToGrid w:val="0"/>
        <w:spacing w:line="360" w:lineRule="auto"/>
        <w:ind w:firstLine="1145" w:firstLineChars="400"/>
        <w:rPr>
          <w:rFonts w:hint="eastAsia" w:ascii="宋体" w:hAnsi="宋体" w:cs="宋体"/>
          <w:color w:val="auto"/>
          <w:sz w:val="30"/>
          <w:szCs w:val="72"/>
          <w:highlight w:val="none"/>
        </w:rPr>
      </w:pPr>
      <w:r>
        <w:rPr>
          <w:rFonts w:hint="eastAsia" w:ascii="宋体" w:hAnsi="宋体" w:cs="宋体"/>
          <w:b/>
          <w:bCs/>
          <w:color w:val="auto"/>
          <w:w w:val="95"/>
          <w:sz w:val="30"/>
          <w:szCs w:val="30"/>
          <w:highlight w:val="none"/>
        </w:rPr>
        <w:t>项目</w:t>
      </w:r>
      <w:r>
        <w:rPr>
          <w:rFonts w:hint="eastAsia" w:ascii="宋体" w:hAnsi="宋体" w:cs="宋体"/>
          <w:b/>
          <w:bCs/>
          <w:color w:val="auto"/>
          <w:sz w:val="30"/>
          <w:szCs w:val="30"/>
          <w:highlight w:val="none"/>
        </w:rPr>
        <w:t>编号</w:t>
      </w:r>
      <w:r>
        <w:rPr>
          <w:rFonts w:hint="eastAsia" w:ascii="宋体" w:hAnsi="宋体" w:cs="宋体"/>
          <w:b/>
          <w:bCs/>
          <w:color w:val="auto"/>
          <w:w w:val="95"/>
          <w:sz w:val="30"/>
          <w:szCs w:val="30"/>
          <w:highlight w:val="none"/>
        </w:rPr>
        <w:t>：</w:t>
      </w:r>
      <w:r>
        <w:rPr>
          <w:rFonts w:hint="eastAsia" w:ascii="宋体" w:hAnsi="宋体" w:cs="宋体"/>
          <w:b/>
          <w:bCs/>
          <w:color w:val="auto"/>
          <w:w w:val="95"/>
          <w:sz w:val="30"/>
          <w:szCs w:val="30"/>
          <w:highlight w:val="none"/>
          <w:lang w:eastAsia="zh-CN"/>
        </w:rPr>
        <w:t>FCZC2025-C2-990145-GXDY</w:t>
      </w:r>
    </w:p>
    <w:p w14:paraId="2D176C85">
      <w:pPr>
        <w:pStyle w:val="12"/>
        <w:shd w:val="clear" w:color="auto" w:fill="auto"/>
        <w:snapToGrid w:val="0"/>
        <w:spacing w:line="360" w:lineRule="auto"/>
        <w:ind w:left="2638" w:leftChars="568" w:hanging="1445" w:hangingChars="505"/>
        <w:rPr>
          <w:rFonts w:hint="eastAsia" w:hAnsi="宋体" w:cs="宋体"/>
          <w:b/>
          <w:bCs/>
          <w:color w:val="auto"/>
          <w:w w:val="95"/>
          <w:sz w:val="30"/>
          <w:szCs w:val="30"/>
          <w:highlight w:val="none"/>
        </w:rPr>
      </w:pPr>
    </w:p>
    <w:p w14:paraId="3D225EC9">
      <w:pPr>
        <w:pStyle w:val="12"/>
        <w:shd w:val="clear" w:color="auto" w:fill="auto"/>
        <w:snapToGrid w:val="0"/>
        <w:spacing w:line="360" w:lineRule="auto"/>
        <w:ind w:left="2638" w:leftChars="568" w:hanging="1445" w:hangingChars="505"/>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防城港市港口区人民法院</w:t>
      </w:r>
    </w:p>
    <w:p w14:paraId="55A16BD3">
      <w:pPr>
        <w:pStyle w:val="12"/>
        <w:shd w:val="clear" w:color="auto" w:fill="auto"/>
        <w:snapToGrid w:val="0"/>
        <w:spacing w:line="360" w:lineRule="auto"/>
        <w:ind w:firstLine="1125" w:firstLineChars="393"/>
        <w:rPr>
          <w:rFonts w:hint="eastAsia" w:hAnsi="宋体" w:cs="宋体"/>
          <w:b/>
          <w:bCs/>
          <w:color w:val="auto"/>
          <w:w w:val="95"/>
          <w:sz w:val="30"/>
          <w:szCs w:val="30"/>
          <w:highlight w:val="none"/>
        </w:rPr>
      </w:pPr>
      <w:r>
        <w:rPr>
          <w:rFonts w:hint="eastAsia" w:hAnsi="宋体" w:cs="宋体"/>
          <w:b/>
          <w:bCs/>
          <w:color w:val="auto"/>
          <w:w w:val="95"/>
          <w:sz w:val="30"/>
          <w:szCs w:val="30"/>
          <w:highlight w:val="none"/>
        </w:rPr>
        <w:t>采购代理机构：广西德元工程项目管理有限责任公司</w:t>
      </w:r>
    </w:p>
    <w:p w14:paraId="2719E41D">
      <w:pPr>
        <w:pStyle w:val="12"/>
        <w:shd w:val="clear" w:color="auto" w:fill="auto"/>
        <w:snapToGrid w:val="0"/>
        <w:spacing w:line="360" w:lineRule="auto"/>
        <w:ind w:firstLine="1125" w:firstLineChars="393"/>
        <w:rPr>
          <w:rFonts w:hint="eastAsia" w:hAnsi="宋体" w:cs="宋体"/>
          <w:b/>
          <w:bCs/>
          <w:color w:val="auto"/>
          <w:w w:val="95"/>
          <w:sz w:val="30"/>
          <w:szCs w:val="30"/>
          <w:highlight w:val="none"/>
        </w:rPr>
      </w:pPr>
    </w:p>
    <w:p w14:paraId="709F4D53">
      <w:pPr>
        <w:pStyle w:val="12"/>
        <w:ind w:firstLine="572" w:firstLineChars="200"/>
        <w:jc w:val="center"/>
        <w:rPr>
          <w:rFonts w:hint="eastAsia" w:ascii="宋体" w:hAnsi="宋体" w:eastAsia="宋体" w:cs="宋体"/>
          <w:b/>
          <w:bCs/>
          <w:color w:val="auto"/>
          <w:sz w:val="72"/>
          <w:szCs w:val="72"/>
          <w:highlight w:val="none"/>
          <w:lang w:eastAsia="zh-CN"/>
        </w:rPr>
      </w:pPr>
      <w:r>
        <w:rPr>
          <w:rFonts w:hint="eastAsia" w:hAnsi="宋体" w:cs="宋体"/>
          <w:b/>
          <w:bCs/>
          <w:color w:val="auto"/>
          <w:w w:val="95"/>
          <w:sz w:val="30"/>
          <w:szCs w:val="30"/>
          <w:highlight w:val="none"/>
          <w:lang w:eastAsia="zh-CN"/>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lang w:eastAsia="zh-CN"/>
        </w:rPr>
        <w:t>年</w:t>
      </w:r>
      <w:r>
        <w:rPr>
          <w:rFonts w:hint="eastAsia" w:hAnsi="宋体" w:cs="宋体"/>
          <w:b/>
          <w:bCs/>
          <w:color w:val="auto"/>
          <w:w w:val="95"/>
          <w:sz w:val="30"/>
          <w:szCs w:val="30"/>
          <w:highlight w:val="none"/>
          <w:lang w:val="en-US" w:eastAsia="zh-CN"/>
        </w:rPr>
        <w:t>10</w:t>
      </w:r>
      <w:r>
        <w:rPr>
          <w:rFonts w:hint="eastAsia" w:hAnsi="宋体" w:cs="宋体"/>
          <w:b/>
          <w:bCs/>
          <w:color w:val="auto"/>
          <w:w w:val="95"/>
          <w:sz w:val="30"/>
          <w:szCs w:val="30"/>
          <w:highlight w:val="none"/>
          <w:lang w:eastAsia="zh-CN"/>
        </w:rPr>
        <w:t>月</w:t>
      </w:r>
    </w:p>
    <w:p w14:paraId="3C06F33C">
      <w:pPr>
        <w:pStyle w:val="17"/>
        <w:shd w:val="clear" w:color="auto" w:fill="FFFFFF"/>
        <w:tabs>
          <w:tab w:val="right" w:leader="dot" w:pos="9298"/>
        </w:tabs>
        <w:jc w:val="center"/>
        <w:rPr>
          <w:rFonts w:hint="eastAsia" w:ascii="宋体" w:hAnsi="宋体" w:eastAsia="宋体" w:cs="宋体"/>
          <w:b/>
          <w:bCs/>
          <w:color w:val="auto"/>
          <w:sz w:val="44"/>
          <w:szCs w:val="44"/>
          <w:highlight w:val="none"/>
        </w:rPr>
        <w:sectPr>
          <w:footerReference r:id="rId3" w:type="default"/>
          <w:pgSz w:w="11907" w:h="16840"/>
          <w:pgMar w:top="1440" w:right="1440" w:bottom="1440" w:left="1797" w:header="851" w:footer="851" w:gutter="0"/>
          <w:pgNumType w:fmt="decimal" w:start="1"/>
          <w:cols w:space="720" w:num="1"/>
          <w:docGrid w:linePitch="312" w:charSpace="0"/>
        </w:sectPr>
      </w:pPr>
    </w:p>
    <w:p w14:paraId="141710A5">
      <w:pPr>
        <w:pStyle w:val="17"/>
        <w:shd w:val="clear" w:color="auto" w:fill="FFFFFF"/>
        <w:tabs>
          <w:tab w:val="right" w:leader="dot" w:pos="9298"/>
        </w:tabs>
        <w:ind w:firstLine="883" w:firstLineChars="20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目录</w:t>
      </w:r>
    </w:p>
    <w:p w14:paraId="3C10F2F3">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p>
    <w:p w14:paraId="5A4FAE0A">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TOC \o "1-1" \h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_Toc26559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color w:val="auto"/>
          <w:sz w:val="32"/>
          <w:szCs w:val="32"/>
          <w:highlight w:val="none"/>
        </w:rPr>
        <w:t>第一章 竞争性</w:t>
      </w:r>
      <w:r>
        <w:rPr>
          <w:rFonts w:hint="eastAsia" w:ascii="宋体" w:hAnsi="宋体" w:eastAsia="宋体" w:cs="宋体"/>
          <w:bCs/>
          <w:color w:val="auto"/>
          <w:sz w:val="32"/>
          <w:szCs w:val="32"/>
          <w:highlight w:val="none"/>
          <w:lang w:eastAsia="zh-CN"/>
        </w:rPr>
        <w:t>磋商</w:t>
      </w:r>
      <w:r>
        <w:rPr>
          <w:rFonts w:hint="eastAsia" w:ascii="宋体" w:hAnsi="宋体" w:eastAsia="宋体" w:cs="宋体"/>
          <w:bCs/>
          <w:color w:val="auto"/>
          <w:sz w:val="32"/>
          <w:szCs w:val="32"/>
          <w:highlight w:val="none"/>
        </w:rPr>
        <w:t>公告</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_Toc26559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71AA204B">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_Toc22437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color w:val="auto"/>
          <w:sz w:val="32"/>
          <w:szCs w:val="32"/>
          <w:highlight w:val="none"/>
          <w:lang w:eastAsia="zh-CN"/>
        </w:rPr>
        <w:t>第二章</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供应商须知</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_Toc22437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5</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3DD13D0A">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_Toc12510 </w:instrText>
      </w:r>
      <w:r>
        <w:rPr>
          <w:rFonts w:hint="eastAsia" w:ascii="宋体" w:hAnsi="宋体" w:eastAsia="宋体" w:cs="宋体"/>
          <w:color w:val="auto"/>
          <w:sz w:val="32"/>
          <w:szCs w:val="32"/>
          <w:highlight w:val="none"/>
        </w:rPr>
        <w:fldChar w:fldCharType="separate"/>
      </w:r>
      <w:bookmarkStart w:id="0" w:name="OLE_LINK7"/>
      <w:r>
        <w:rPr>
          <w:rFonts w:hint="eastAsia" w:ascii="宋体" w:hAnsi="宋体" w:eastAsia="宋体" w:cs="宋体"/>
          <w:bCs/>
          <w:color w:val="auto"/>
          <w:sz w:val="32"/>
          <w:szCs w:val="32"/>
          <w:highlight w:val="none"/>
        </w:rPr>
        <w:t>第三章 项目需求</w:t>
      </w:r>
      <w:bookmarkStart w:id="1213" w:name="_GoBack"/>
      <w:bookmarkEnd w:id="1213"/>
      <w:r>
        <w:rPr>
          <w:rFonts w:hint="eastAsia" w:ascii="宋体" w:hAnsi="宋体" w:eastAsia="宋体" w:cs="宋体"/>
          <w:bCs/>
          <w:color w:val="auto"/>
          <w:sz w:val="32"/>
          <w:szCs w:val="32"/>
          <w:highlight w:val="none"/>
        </w:rPr>
        <w:t>和说明</w:t>
      </w:r>
      <w:bookmarkEnd w:id="0"/>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_Toc12510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24</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8E447A3">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_Toc16101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第四章 合同条款及格式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_Toc16101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26</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646F1C1F">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_Toc13291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color w:val="auto"/>
          <w:sz w:val="32"/>
          <w:szCs w:val="32"/>
          <w:highlight w:val="none"/>
        </w:rPr>
        <w:t>第五章 响应文件格式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_Toc13291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85</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7533640A">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_Toc2422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工程量清单</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_Toc2422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105</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AF119B6">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_Toc2377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第七章 图纸</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另附</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_Toc2377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105</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C65E72B">
      <w:pPr>
        <w:pStyle w:val="17"/>
        <w:tabs>
          <w:tab w:val="right" w:leader="dot" w:pos="8670"/>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_Toc29181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八</w:t>
      </w:r>
      <w:r>
        <w:rPr>
          <w:rFonts w:hint="eastAsia" w:ascii="宋体" w:hAnsi="宋体" w:eastAsia="宋体" w:cs="宋体"/>
          <w:color w:val="auto"/>
          <w:sz w:val="32"/>
          <w:szCs w:val="32"/>
          <w:highlight w:val="none"/>
        </w:rPr>
        <w:t>章 评定标准</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_Toc29181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106</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2AB65273">
      <w:pPr>
        <w:pStyle w:val="17"/>
        <w:tabs>
          <w:tab w:val="right" w:leader="dot" w:pos="8670"/>
        </w:tabs>
        <w:spacing w:line="360" w:lineRule="auto"/>
        <w:ind w:firstLine="640" w:firstLineChars="20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_Toc25850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九</w:t>
      </w:r>
      <w:r>
        <w:rPr>
          <w:rFonts w:hint="eastAsia" w:ascii="宋体" w:hAnsi="宋体" w:eastAsia="宋体" w:cs="宋体"/>
          <w:color w:val="auto"/>
          <w:sz w:val="32"/>
          <w:szCs w:val="32"/>
          <w:highlight w:val="none"/>
        </w:rPr>
        <w:t>章 质疑、投诉材料格式</w:t>
      </w:r>
      <w:r>
        <w:rPr>
          <w:rFonts w:hint="eastAsia" w:ascii="宋体" w:hAnsi="宋体" w:eastAsia="宋体" w:cs="宋体"/>
          <w:color w:val="auto"/>
          <w:sz w:val="32"/>
          <w:szCs w:val="32"/>
          <w:highlight w:val="none"/>
        </w:rPr>
        <w:tab/>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rPr>
        <w:fldChar w:fldCharType="end"/>
      </w:r>
      <w:r>
        <w:rPr>
          <w:rFonts w:hint="eastAsia" w:ascii="宋体" w:hAnsi="宋体" w:cs="宋体"/>
          <w:color w:val="auto"/>
          <w:sz w:val="32"/>
          <w:szCs w:val="32"/>
          <w:highlight w:val="none"/>
          <w:lang w:val="en-US" w:eastAsia="zh-CN"/>
        </w:rPr>
        <w:t>21</w:t>
      </w:r>
    </w:p>
    <w:p w14:paraId="21B48DBD">
      <w:pPr>
        <w:shd w:val="clear" w:color="auto" w:fill="FFFFFF"/>
        <w:tabs>
          <w:tab w:val="left" w:pos="5221"/>
        </w:tabs>
        <w:spacing w:line="360" w:lineRule="auto"/>
        <w:ind w:firstLine="64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28"/>
          <w:szCs w:val="28"/>
          <w:highlight w:val="none"/>
        </w:rPr>
        <w:tab/>
      </w:r>
    </w:p>
    <w:p w14:paraId="53063E24">
      <w:pPr>
        <w:shd w:val="clear" w:color="auto" w:fill="FFFFFF"/>
        <w:spacing w:line="600" w:lineRule="exact"/>
        <w:jc w:val="center"/>
        <w:outlineLvl w:val="0"/>
        <w:rPr>
          <w:rFonts w:hint="eastAsia" w:ascii="宋体" w:hAnsi="宋体" w:eastAsia="宋体" w:cs="宋体"/>
          <w:b/>
          <w:bCs/>
          <w:color w:val="auto"/>
          <w:sz w:val="36"/>
          <w:szCs w:val="36"/>
          <w:highlight w:val="none"/>
        </w:rPr>
        <w:sectPr>
          <w:footerReference r:id="rId4" w:type="default"/>
          <w:pgSz w:w="11907" w:h="16840"/>
          <w:pgMar w:top="1440" w:right="1440" w:bottom="1440" w:left="1797" w:header="851" w:footer="851" w:gutter="0"/>
          <w:pgNumType w:fmt="decimal" w:start="1"/>
          <w:cols w:space="720" w:num="1"/>
          <w:docGrid w:linePitch="312" w:charSpace="0"/>
        </w:sectPr>
      </w:pPr>
      <w:bookmarkStart w:id="1" w:name="_Toc13257"/>
    </w:p>
    <w:bookmarkEnd w:id="1"/>
    <w:p w14:paraId="612C1899">
      <w:pPr>
        <w:numPr>
          <w:ilvl w:val="0"/>
          <w:numId w:val="2"/>
        </w:numPr>
        <w:shd w:val="clear" w:color="auto" w:fill="FFFFFF"/>
        <w:spacing w:line="600" w:lineRule="exact"/>
        <w:ind w:firstLine="723" w:firstLineChars="200"/>
        <w:jc w:val="center"/>
        <w:outlineLvl w:val="0"/>
        <w:rPr>
          <w:rFonts w:hint="eastAsia" w:ascii="宋体" w:hAnsi="宋体" w:eastAsia="宋体" w:cs="宋体"/>
          <w:b/>
          <w:bCs/>
          <w:color w:val="auto"/>
          <w:sz w:val="36"/>
          <w:szCs w:val="36"/>
          <w:highlight w:val="none"/>
        </w:rPr>
      </w:pPr>
      <w:bookmarkStart w:id="2" w:name="_Toc26559"/>
      <w:r>
        <w:rPr>
          <w:rFonts w:hint="eastAsia" w:ascii="宋体" w:hAnsi="宋体" w:eastAsia="宋体" w:cs="宋体"/>
          <w:b/>
          <w:bCs/>
          <w:color w:val="auto"/>
          <w:sz w:val="36"/>
          <w:szCs w:val="36"/>
          <w:highlight w:val="none"/>
        </w:rPr>
        <w:t>竞争性</w:t>
      </w:r>
      <w:r>
        <w:rPr>
          <w:rFonts w:hint="eastAsia" w:ascii="宋体" w:hAnsi="宋体" w:eastAsia="宋体" w:cs="宋体"/>
          <w:b/>
          <w:bCs/>
          <w:color w:val="auto"/>
          <w:sz w:val="36"/>
          <w:szCs w:val="36"/>
          <w:highlight w:val="none"/>
          <w:lang w:eastAsia="zh-CN"/>
        </w:rPr>
        <w:t>磋商</w:t>
      </w:r>
      <w:r>
        <w:rPr>
          <w:rFonts w:hint="eastAsia" w:ascii="宋体" w:hAnsi="宋体" w:eastAsia="宋体" w:cs="宋体"/>
          <w:b/>
          <w:bCs/>
          <w:color w:val="auto"/>
          <w:sz w:val="36"/>
          <w:szCs w:val="36"/>
          <w:highlight w:val="none"/>
        </w:rPr>
        <w:t>公告</w:t>
      </w:r>
      <w:bookmarkEnd w:id="2"/>
    </w:p>
    <w:p w14:paraId="6CD7717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3" w:name="_Toc424307741"/>
      <w:r>
        <w:rPr>
          <w:rFonts w:hint="eastAsia" w:ascii="宋体" w:hAnsi="宋体" w:eastAsia="宋体" w:cs="宋体"/>
          <w:color w:val="auto"/>
          <w:sz w:val="21"/>
          <w:szCs w:val="21"/>
          <w:highlight w:val="none"/>
        </w:rPr>
        <w:t>项目概况：</w:t>
      </w:r>
    </w:p>
    <w:p w14:paraId="4A4C783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企沙人民法庭修缮改造工程</w:t>
      </w:r>
      <w:r>
        <w:rPr>
          <w:rFonts w:hint="eastAsia" w:ascii="宋体" w:hAnsi="宋体" w:eastAsia="宋体" w:cs="宋体"/>
          <w:color w:val="auto"/>
          <w:sz w:val="21"/>
          <w:szCs w:val="21"/>
          <w:highlight w:val="none"/>
          <w:lang w:eastAsia="zh-CN"/>
        </w:rPr>
        <w:t>采购项目</w:t>
      </w:r>
      <w:r>
        <w:rPr>
          <w:rFonts w:hint="eastAsia" w:ascii="宋体" w:hAnsi="宋体" w:eastAsia="宋体" w:cs="宋体"/>
          <w:color w:val="auto"/>
          <w:sz w:val="21"/>
          <w:szCs w:val="21"/>
          <w:highlight w:val="none"/>
        </w:rPr>
        <w:t>的潜在供应商应在</w:t>
      </w:r>
      <w:r>
        <w:rPr>
          <w:rFonts w:hint="eastAsia" w:ascii="宋体" w:hAnsi="宋体"/>
          <w:color w:val="auto"/>
          <w:szCs w:val="21"/>
          <w:highlight w:val="none"/>
          <w:u w:val="single"/>
          <w:lang w:eastAsia="zh-CN"/>
        </w:rPr>
        <w:t>广西政府采购云平台</w:t>
      </w:r>
      <w:r>
        <w:rPr>
          <w:rFonts w:hint="eastAsia" w:ascii="宋体" w:hAnsi="宋体" w:eastAsia="宋体" w:cs="宋体"/>
          <w:color w:val="auto"/>
          <w:sz w:val="21"/>
          <w:szCs w:val="21"/>
          <w:highlight w:val="none"/>
        </w:rPr>
        <w:t>获</w:t>
      </w:r>
      <w:r>
        <w:rPr>
          <w:rFonts w:hint="eastAsia" w:ascii="宋体" w:hAnsi="宋体" w:cs="宋体"/>
          <w:color w:val="auto"/>
          <w:sz w:val="21"/>
          <w:szCs w:val="21"/>
          <w:highlight w:val="none"/>
          <w:lang w:val="en-US" w:eastAsia="zh-CN"/>
        </w:rPr>
        <w:t>取采购</w:t>
      </w:r>
      <w:r>
        <w:rPr>
          <w:rFonts w:hint="eastAsia" w:ascii="宋体" w:hAnsi="宋体" w:eastAsia="宋体" w:cs="宋体"/>
          <w:color w:val="auto"/>
          <w:sz w:val="21"/>
          <w:szCs w:val="21"/>
          <w:highlight w:val="none"/>
        </w:rPr>
        <w:t>文件，并于</w:t>
      </w:r>
      <w:r>
        <w:rPr>
          <w:rFonts w:hint="eastAsia" w:ascii="宋体" w:hAnsi="宋体" w:cs="宋体"/>
          <w:color w:val="auto"/>
          <w:kern w:val="0"/>
          <w:szCs w:val="21"/>
          <w:highlight w:val="none"/>
          <w:u w:val="single"/>
          <w:lang w:val="en-US" w:eastAsia="zh-CN"/>
        </w:rPr>
        <w:t>2025年11月10日9点30分</w:t>
      </w:r>
      <w:r>
        <w:rPr>
          <w:rFonts w:hint="eastAsia" w:ascii="宋体" w:hAnsi="宋体" w:cs="宋体"/>
          <w:color w:val="auto"/>
          <w:kern w:val="0"/>
          <w:szCs w:val="21"/>
          <w:highlight w:val="none"/>
          <w:u w:val="single"/>
          <w:lang w:eastAsia="zh-CN"/>
        </w:rPr>
        <w:t>（北京时间）</w:t>
      </w:r>
      <w:r>
        <w:rPr>
          <w:rFonts w:hint="eastAsia" w:ascii="宋体" w:hAnsi="宋体" w:eastAsia="宋体" w:cs="宋体"/>
          <w:bCs/>
          <w:color w:val="auto"/>
          <w:sz w:val="21"/>
          <w:szCs w:val="21"/>
          <w:highlight w:val="none"/>
        </w:rPr>
        <w:t>前</w:t>
      </w:r>
      <w:r>
        <w:rPr>
          <w:rFonts w:hint="eastAsia" w:ascii="宋体" w:hAnsi="宋体" w:cs="宋体"/>
          <w:bCs/>
          <w:color w:val="auto"/>
          <w:sz w:val="21"/>
          <w:szCs w:val="21"/>
          <w:highlight w:val="none"/>
          <w:lang w:val="en-US" w:eastAsia="zh-CN"/>
        </w:rPr>
        <w:t>提</w:t>
      </w:r>
      <w:r>
        <w:rPr>
          <w:rFonts w:hint="eastAsia" w:ascii="宋体" w:hAnsi="宋体" w:eastAsia="宋体" w:cs="宋体"/>
          <w:bCs/>
          <w:color w:val="auto"/>
          <w:sz w:val="21"/>
          <w:szCs w:val="21"/>
          <w:highlight w:val="none"/>
        </w:rPr>
        <w:t>交响应文件</w:t>
      </w:r>
      <w:r>
        <w:rPr>
          <w:rFonts w:hint="eastAsia" w:ascii="宋体" w:hAnsi="宋体" w:eastAsia="宋体" w:cs="宋体"/>
          <w:color w:val="auto"/>
          <w:sz w:val="21"/>
          <w:szCs w:val="21"/>
          <w:highlight w:val="none"/>
        </w:rPr>
        <w:t>。</w:t>
      </w:r>
    </w:p>
    <w:p w14:paraId="698A0E0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bookmarkStart w:id="4" w:name="_Toc35393790"/>
      <w:bookmarkStart w:id="5" w:name="_Toc35393621"/>
      <w:bookmarkStart w:id="6" w:name="_Toc28359002"/>
      <w:bookmarkStart w:id="7" w:name="_Toc28359079"/>
      <w:bookmarkStart w:id="8" w:name="_Hlk24379207"/>
      <w:r>
        <w:rPr>
          <w:rFonts w:hint="eastAsia" w:ascii="宋体" w:hAnsi="宋体" w:eastAsia="宋体" w:cs="宋体"/>
          <w:b/>
          <w:bCs/>
          <w:color w:val="auto"/>
          <w:sz w:val="21"/>
          <w:szCs w:val="21"/>
          <w:highlight w:val="none"/>
        </w:rPr>
        <w:t>一、项目基本情况</w:t>
      </w:r>
      <w:bookmarkEnd w:id="4"/>
      <w:bookmarkEnd w:id="5"/>
      <w:bookmarkEnd w:id="6"/>
      <w:bookmarkEnd w:id="7"/>
    </w:p>
    <w:p w14:paraId="5253FB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FCZC2025-C2-990145-GXDY</w:t>
      </w:r>
    </w:p>
    <w:p w14:paraId="2CDCE0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项目名称：</w:t>
      </w:r>
      <w:bookmarkEnd w:id="8"/>
      <w:r>
        <w:rPr>
          <w:rFonts w:hint="eastAsia" w:ascii="宋体" w:hAnsi="宋体" w:cs="宋体"/>
          <w:color w:val="auto"/>
          <w:sz w:val="21"/>
          <w:szCs w:val="21"/>
          <w:highlight w:val="none"/>
          <w:u w:val="none"/>
          <w:lang w:val="en-US" w:eastAsia="zh-CN"/>
        </w:rPr>
        <w:t>企沙人民法庭修缮改造工程</w:t>
      </w:r>
    </w:p>
    <w:p w14:paraId="25696C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rPr>
        <w:t>采购方式：</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szCs w:val="21"/>
          <w:highlight w:val="none"/>
          <w:u w:val="none" w:color="auto"/>
        </w:rPr>
        <w:t xml:space="preserve"> 竞争性</w:t>
      </w:r>
      <w:r>
        <w:rPr>
          <w:rFonts w:hint="eastAsia" w:ascii="宋体" w:hAnsi="宋体" w:cs="宋体"/>
          <w:color w:val="auto"/>
          <w:sz w:val="21"/>
          <w:szCs w:val="21"/>
          <w:highlight w:val="none"/>
          <w:u w:val="none" w:color="auto"/>
          <w:lang w:val="en-US" w:eastAsia="zh-CN"/>
        </w:rPr>
        <w:t>谈判</w:t>
      </w:r>
      <w:r>
        <w:rPr>
          <w:rFonts w:hint="eastAsia" w:ascii="宋体" w:hAnsi="宋体" w:eastAsia="宋体" w:cs="宋体"/>
          <w:color w:val="auto"/>
          <w:sz w:val="21"/>
          <w:szCs w:val="21"/>
          <w:highlight w:val="none"/>
          <w:u w:val="none" w:color="auto"/>
        </w:rPr>
        <w:t xml:space="preserve"> </w:t>
      </w:r>
      <w:r>
        <w:rPr>
          <w:rFonts w:hint="eastAsia" w:ascii="宋体" w:hAnsi="宋体" w:cs="宋体"/>
          <w:color w:val="auto"/>
          <w:sz w:val="21"/>
          <w:szCs w:val="21"/>
          <w:highlight w:val="none"/>
          <w:u w:val="none" w:color="auto"/>
          <w:lang w:eastAsia="zh-CN"/>
        </w:rPr>
        <w:t>☑</w:t>
      </w:r>
      <w:r>
        <w:rPr>
          <w:rFonts w:hint="eastAsia" w:ascii="宋体" w:hAnsi="宋体" w:eastAsia="宋体" w:cs="宋体"/>
          <w:color w:val="auto"/>
          <w:sz w:val="21"/>
          <w:szCs w:val="21"/>
          <w:highlight w:val="none"/>
          <w:u w:val="none" w:color="auto"/>
        </w:rPr>
        <w:t>竞争性磋商 □询价</w:t>
      </w:r>
    </w:p>
    <w:p w14:paraId="08F05A57">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rPr>
        <w:t>预算金额：</w:t>
      </w:r>
      <w:r>
        <w:rPr>
          <w:rFonts w:hint="eastAsia" w:ascii="宋体" w:hAnsi="宋体" w:cs="宋体"/>
          <w:color w:val="auto"/>
          <w:sz w:val="21"/>
          <w:szCs w:val="21"/>
          <w:highlight w:val="none"/>
          <w:u w:val="none" w:color="auto"/>
          <w:lang w:eastAsia="zh-CN"/>
        </w:rPr>
        <w:t>人民币捌拾玖万捌仟陆佰陆拾玖元伍角贰分（¥898669.52元）</w:t>
      </w:r>
    </w:p>
    <w:p w14:paraId="64D03DD0">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rPr>
        <w:t>最高限价</w:t>
      </w:r>
      <w:r>
        <w:rPr>
          <w:rFonts w:hint="eastAsia" w:ascii="宋体" w:hAnsi="宋体" w:eastAsia="宋体" w:cs="宋体"/>
          <w:color w:val="auto"/>
          <w:sz w:val="21"/>
          <w:szCs w:val="21"/>
          <w:highlight w:val="none"/>
          <w:u w:val="none" w:color="auto"/>
          <w:lang w:eastAsia="zh-CN"/>
        </w:rPr>
        <w:t>：人民币</w:t>
      </w:r>
      <w:r>
        <w:rPr>
          <w:rFonts w:hint="eastAsia" w:ascii="宋体" w:hAnsi="宋体" w:cs="宋体"/>
          <w:color w:val="auto"/>
          <w:sz w:val="21"/>
          <w:szCs w:val="21"/>
          <w:highlight w:val="none"/>
          <w:u w:val="none" w:color="auto"/>
          <w:lang w:eastAsia="zh-CN"/>
        </w:rPr>
        <w:t>捌拾玖万捌仟陆佰陆拾玖元伍角贰分</w:t>
      </w:r>
      <w:r>
        <w:rPr>
          <w:rFonts w:hint="eastAsia" w:ascii="宋体" w:hAnsi="宋体" w:eastAsia="宋体" w:cs="宋体"/>
          <w:color w:val="auto"/>
          <w:sz w:val="21"/>
          <w:szCs w:val="21"/>
          <w:highlight w:val="none"/>
          <w:u w:val="none" w:color="auto"/>
          <w:lang w:eastAsia="zh-CN"/>
        </w:rPr>
        <w:t>（¥</w:t>
      </w:r>
      <w:r>
        <w:rPr>
          <w:rFonts w:hint="eastAsia" w:ascii="宋体" w:hAnsi="宋体" w:cs="宋体"/>
          <w:color w:val="auto"/>
          <w:sz w:val="21"/>
          <w:szCs w:val="21"/>
          <w:highlight w:val="none"/>
          <w:u w:val="none" w:color="auto"/>
          <w:lang w:eastAsia="zh-CN"/>
        </w:rPr>
        <w:t>898669.52</w:t>
      </w:r>
      <w:r>
        <w:rPr>
          <w:rFonts w:hint="eastAsia" w:ascii="宋体" w:hAnsi="宋体" w:eastAsia="宋体" w:cs="宋体"/>
          <w:color w:val="auto"/>
          <w:sz w:val="21"/>
          <w:szCs w:val="21"/>
          <w:highlight w:val="none"/>
          <w:u w:val="none" w:color="auto"/>
          <w:lang w:eastAsia="zh-CN"/>
        </w:rPr>
        <w:t>元）</w:t>
      </w:r>
    </w:p>
    <w:p w14:paraId="4F8A5D9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采购需求：</w:t>
      </w:r>
    </w:p>
    <w:tbl>
      <w:tblPr>
        <w:tblStyle w:val="22"/>
        <w:tblW w:w="8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9"/>
        <w:gridCol w:w="1715"/>
        <w:gridCol w:w="1035"/>
        <w:gridCol w:w="5496"/>
      </w:tblGrid>
      <w:tr w14:paraId="1E162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6B392E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highlight w:val="none"/>
              </w:rPr>
            </w:pPr>
            <w:r>
              <w:rPr>
                <w:rFonts w:hint="eastAsia"/>
                <w:color w:val="auto"/>
                <w:highlight w:val="none"/>
              </w:rPr>
              <w:t>序号</w:t>
            </w:r>
          </w:p>
        </w:tc>
        <w:tc>
          <w:tcPr>
            <w:tcW w:w="1715" w:type="dxa"/>
            <w:tcBorders>
              <w:top w:val="single" w:color="auto" w:sz="4" w:space="0"/>
              <w:left w:val="single" w:color="auto" w:sz="4" w:space="0"/>
              <w:bottom w:val="single" w:color="auto" w:sz="4" w:space="0"/>
              <w:right w:val="single" w:color="auto" w:sz="4" w:space="0"/>
            </w:tcBorders>
            <w:vAlign w:val="center"/>
          </w:tcPr>
          <w:p w14:paraId="6DC76F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highlight w:val="none"/>
              </w:rPr>
            </w:pPr>
            <w:r>
              <w:rPr>
                <w:rFonts w:hint="eastAsia"/>
                <w:color w:val="auto"/>
                <w:highlight w:val="none"/>
              </w:rPr>
              <w:t>标的名称</w:t>
            </w:r>
          </w:p>
        </w:tc>
        <w:tc>
          <w:tcPr>
            <w:tcW w:w="1035" w:type="dxa"/>
            <w:tcBorders>
              <w:top w:val="single" w:color="auto" w:sz="4" w:space="0"/>
              <w:left w:val="single" w:color="auto" w:sz="4" w:space="0"/>
              <w:bottom w:val="single" w:color="auto" w:sz="4" w:space="0"/>
              <w:right w:val="single" w:color="auto" w:sz="4" w:space="0"/>
            </w:tcBorders>
            <w:vAlign w:val="center"/>
          </w:tcPr>
          <w:p w14:paraId="59E0EB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highlight w:val="none"/>
              </w:rPr>
            </w:pPr>
            <w:r>
              <w:rPr>
                <w:rFonts w:hint="eastAsia"/>
                <w:color w:val="auto"/>
                <w:highlight w:val="none"/>
              </w:rPr>
              <w:t>数量及单位</w:t>
            </w:r>
          </w:p>
        </w:tc>
        <w:tc>
          <w:tcPr>
            <w:tcW w:w="5496" w:type="dxa"/>
            <w:tcBorders>
              <w:top w:val="single" w:color="auto" w:sz="4" w:space="0"/>
              <w:left w:val="single" w:color="auto" w:sz="4" w:space="0"/>
              <w:bottom w:val="single" w:color="auto" w:sz="4" w:space="0"/>
              <w:right w:val="single" w:color="auto" w:sz="4" w:space="0"/>
            </w:tcBorders>
            <w:vAlign w:val="center"/>
          </w:tcPr>
          <w:p w14:paraId="40406E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highlight w:val="none"/>
              </w:rPr>
            </w:pPr>
            <w:r>
              <w:rPr>
                <w:rFonts w:hint="eastAsia"/>
                <w:color w:val="auto"/>
                <w:highlight w:val="none"/>
              </w:rPr>
              <w:t>简要技术需求</w:t>
            </w:r>
          </w:p>
        </w:tc>
      </w:tr>
      <w:tr w14:paraId="6CBC0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9" w:type="dxa"/>
            <w:tcBorders>
              <w:top w:val="single" w:color="auto" w:sz="4" w:space="0"/>
              <w:left w:val="single" w:color="auto" w:sz="4" w:space="0"/>
              <w:bottom w:val="single" w:color="auto" w:sz="4" w:space="0"/>
              <w:right w:val="single" w:color="auto" w:sz="4" w:space="0"/>
            </w:tcBorders>
            <w:vAlign w:val="center"/>
          </w:tcPr>
          <w:p w14:paraId="6B429B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01</w:t>
            </w:r>
          </w:p>
        </w:tc>
        <w:tc>
          <w:tcPr>
            <w:tcW w:w="1715" w:type="dxa"/>
            <w:tcBorders>
              <w:top w:val="single" w:color="auto" w:sz="4" w:space="0"/>
              <w:left w:val="single" w:color="auto" w:sz="4" w:space="0"/>
              <w:bottom w:val="single" w:color="auto" w:sz="4" w:space="0"/>
              <w:right w:val="single" w:color="auto" w:sz="4" w:space="0"/>
            </w:tcBorders>
            <w:vAlign w:val="center"/>
          </w:tcPr>
          <w:p w14:paraId="5B0277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Cs w:val="21"/>
                <w:highlight w:val="none"/>
              </w:rPr>
            </w:pPr>
            <w:r>
              <w:rPr>
                <w:rFonts w:hint="eastAsia" w:ascii="宋体" w:hAnsi="宋体" w:cs="宋体"/>
                <w:color w:val="auto"/>
                <w:sz w:val="21"/>
                <w:szCs w:val="21"/>
                <w:highlight w:val="none"/>
                <w:u w:val="none"/>
                <w:lang w:val="en-US" w:eastAsia="zh-CN"/>
              </w:rPr>
              <w:t>企沙人民法庭修缮改造工程</w:t>
            </w:r>
          </w:p>
        </w:tc>
        <w:tc>
          <w:tcPr>
            <w:tcW w:w="1035" w:type="dxa"/>
            <w:tcBorders>
              <w:top w:val="single" w:color="auto" w:sz="4" w:space="0"/>
              <w:left w:val="single" w:color="auto" w:sz="4" w:space="0"/>
              <w:bottom w:val="single" w:color="auto" w:sz="4" w:space="0"/>
              <w:right w:val="single" w:color="auto" w:sz="4" w:space="0"/>
            </w:tcBorders>
            <w:vAlign w:val="center"/>
          </w:tcPr>
          <w:p w14:paraId="0C4CB7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1项</w:t>
            </w:r>
          </w:p>
        </w:tc>
        <w:tc>
          <w:tcPr>
            <w:tcW w:w="5496" w:type="dxa"/>
            <w:tcBorders>
              <w:top w:val="single" w:color="auto" w:sz="4" w:space="0"/>
              <w:left w:val="single" w:color="auto" w:sz="4" w:space="0"/>
              <w:bottom w:val="single" w:color="auto" w:sz="4" w:space="0"/>
              <w:right w:val="single" w:color="auto" w:sz="4" w:space="0"/>
            </w:tcBorders>
            <w:vAlign w:val="center"/>
          </w:tcPr>
          <w:p w14:paraId="036E1B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val="en-US" w:eastAsia="zh-CN"/>
              </w:rPr>
              <w:t>主要对外立面、一层室内装修、各层卫生间、楼顶防水、会议室及一层安检室建设进行提升改造工作</w:t>
            </w:r>
            <w:r>
              <w:rPr>
                <w:rFonts w:hint="eastAsia" w:ascii="宋体" w:hAnsi="宋体" w:eastAsia="宋体" w:cs="宋体"/>
                <w:color w:val="auto"/>
                <w:sz w:val="21"/>
                <w:szCs w:val="21"/>
                <w:highlight w:val="none"/>
                <w:u w:val="none"/>
                <w:lang w:val="en-US" w:eastAsia="zh-CN"/>
              </w:rPr>
              <w:t>。如需进一步了解详细内容，详见竞争性磋商文件、施工图纸、工程量清单及相关说明。</w:t>
            </w:r>
          </w:p>
        </w:tc>
      </w:tr>
    </w:tbl>
    <w:p w14:paraId="50D94F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Fonts w:hint="eastAsia" w:ascii="宋体" w:hAnsi="宋体" w:cs="宋体"/>
          <w:color w:val="auto"/>
          <w:sz w:val="21"/>
          <w:szCs w:val="21"/>
          <w:highlight w:val="none"/>
          <w:lang w:val="en-US" w:eastAsia="zh-CN"/>
        </w:rPr>
        <w:t>工期要求</w:t>
      </w:r>
      <w:r>
        <w:rPr>
          <w:rFonts w:hint="eastAsia" w:ascii="宋体" w:hAnsi="宋体" w:cs="宋体"/>
          <w:b/>
          <w:bCs/>
          <w:color w:val="auto"/>
          <w:sz w:val="21"/>
          <w:szCs w:val="21"/>
          <w:highlight w:val="none"/>
          <w:u w:val="single"/>
          <w:lang w:val="en-US" w:eastAsia="zh-CN"/>
        </w:rPr>
        <w:t>92</w:t>
      </w:r>
      <w:r>
        <w:rPr>
          <w:rFonts w:hint="eastAsia" w:ascii="宋体" w:hAnsi="宋体" w:eastAsia="宋体" w:cs="宋体"/>
          <w:b/>
          <w:bCs/>
          <w:color w:val="auto"/>
          <w:sz w:val="21"/>
          <w:szCs w:val="21"/>
          <w:highlight w:val="none"/>
        </w:rPr>
        <w:t>日历天。</w:t>
      </w:r>
    </w:p>
    <w:p w14:paraId="35A0F6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接受联合体。</w:t>
      </w:r>
    </w:p>
    <w:p w14:paraId="0306E44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二、申请人的资格要求：</w:t>
      </w:r>
    </w:p>
    <w:p w14:paraId="332FB5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54C0BF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b/>
          <w:bCs/>
          <w:color w:val="auto"/>
          <w:sz w:val="21"/>
          <w:szCs w:val="21"/>
          <w:highlight w:val="none"/>
        </w:rPr>
        <w:t>专门面向小微企业采购的项目（供应商应为小型或微型企业或监狱企业或残疾人福利性单位)</w:t>
      </w:r>
      <w:r>
        <w:rPr>
          <w:rFonts w:hint="eastAsia" w:ascii="宋体" w:hAnsi="宋体" w:cs="宋体"/>
          <w:color w:val="auto"/>
          <w:kern w:val="0"/>
          <w:szCs w:val="21"/>
          <w:highlight w:val="none"/>
          <w:lang w:val="en-US" w:eastAsia="zh-CN"/>
        </w:rPr>
        <w:t>；</w:t>
      </w:r>
    </w:p>
    <w:p w14:paraId="52B22C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3.本项目的特定资格要求：</w:t>
      </w:r>
    </w:p>
    <w:p w14:paraId="7F738F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本项目供应商企业资质要求具备</w:t>
      </w:r>
      <w:r>
        <w:rPr>
          <w:rFonts w:hint="eastAsia" w:ascii="宋体" w:hAnsi="宋体" w:cs="宋体"/>
          <w:b/>
          <w:bCs/>
          <w:color w:val="auto"/>
          <w:szCs w:val="21"/>
          <w:highlight w:val="none"/>
          <w:lang w:val="en-US" w:eastAsia="zh-CN"/>
        </w:rPr>
        <w:t>建筑工程施工总承包三级以上（含三级）资质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具有有效的</w:t>
      </w:r>
      <w:bookmarkStart w:id="9" w:name="OLE_LINK4"/>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安全生产许可证</w:t>
      </w:r>
      <w:bookmarkEnd w:id="9"/>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szCs w:val="21"/>
          <w:highlight w:val="none"/>
        </w:rPr>
        <w:t>在人员、设备、资金等方面具有相应的施工能力</w:t>
      </w:r>
      <w:r>
        <w:rPr>
          <w:rFonts w:hint="eastAsia" w:ascii="宋体" w:hAnsi="宋体" w:eastAsia="宋体" w:cs="宋体"/>
          <w:color w:val="auto"/>
          <w:szCs w:val="21"/>
          <w:highlight w:val="none"/>
          <w:lang w:val="en-US" w:eastAsia="zh-CN"/>
        </w:rPr>
        <w:t>；</w:t>
      </w:r>
    </w:p>
    <w:p w14:paraId="3616D1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szCs w:val="21"/>
          <w:highlight w:val="none"/>
        </w:rPr>
        <w:t>拟派项目经理资格要求具备</w:t>
      </w:r>
      <w:r>
        <w:rPr>
          <w:rFonts w:hint="eastAsia" w:ascii="宋体" w:hAnsi="宋体" w:cs="宋体"/>
          <w:b/>
          <w:bCs/>
          <w:color w:val="auto"/>
          <w:szCs w:val="21"/>
          <w:highlight w:val="none"/>
          <w:lang w:val="en-US" w:eastAsia="zh-CN"/>
        </w:rPr>
        <w:t>建筑工程</w:t>
      </w:r>
      <w:r>
        <w:rPr>
          <w:rFonts w:hint="eastAsia" w:ascii="宋体" w:hAnsi="宋体" w:eastAsia="宋体" w:cs="宋体"/>
          <w:color w:val="auto"/>
          <w:sz w:val="21"/>
          <w:szCs w:val="21"/>
          <w:highlight w:val="none"/>
          <w:lang w:val="zh-CN" w:eastAsia="zh-CN" w:bidi="zh-CN"/>
        </w:rPr>
        <w:t>专业贰级以上（含贰级）</w:t>
      </w:r>
      <w:r>
        <w:rPr>
          <w:rFonts w:hint="eastAsia" w:ascii="宋体" w:hAnsi="宋体" w:eastAsia="宋体" w:cs="宋体"/>
          <w:color w:val="auto"/>
          <w:szCs w:val="21"/>
          <w:highlight w:val="none"/>
        </w:rPr>
        <w:t>注册建造师证书，并持有效的安全生产考核合格证书（B证）</w:t>
      </w:r>
      <w:r>
        <w:rPr>
          <w:rFonts w:hint="eastAsia" w:ascii="宋体" w:hAnsi="宋体" w:eastAsia="宋体" w:cs="宋体"/>
          <w:color w:val="auto"/>
          <w:szCs w:val="21"/>
          <w:highlight w:val="none"/>
          <w:lang w:eastAsia="zh-CN"/>
        </w:rPr>
        <w:t>。</w:t>
      </w:r>
    </w:p>
    <w:p w14:paraId="0B59671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p>
    <w:p w14:paraId="4AA37D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时间：</w:t>
      </w:r>
      <w:r>
        <w:rPr>
          <w:rFonts w:hint="eastAsia" w:ascii="宋体" w:hAnsi="宋体" w:cs="宋体"/>
          <w:color w:val="auto"/>
          <w:kern w:val="0"/>
          <w:szCs w:val="21"/>
          <w:highlight w:val="none"/>
          <w:u w:val="none"/>
          <w:lang w:val="en-US" w:eastAsia="zh-CN"/>
        </w:rPr>
        <w:t>2025年10月28日至2025年11月04日，</w:t>
      </w:r>
      <w:r>
        <w:rPr>
          <w:rFonts w:hint="eastAsia" w:ascii="宋体" w:hAnsi="宋体" w:eastAsia="宋体" w:cs="宋体"/>
          <w:bCs/>
          <w:color w:val="auto"/>
          <w:kern w:val="0"/>
          <w:szCs w:val="21"/>
          <w:highlight w:val="none"/>
        </w:rPr>
        <w:t>每天上午</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rPr>
        <w:t>：00</w:t>
      </w:r>
      <w:r>
        <w:rPr>
          <w:rFonts w:hint="eastAsia" w:ascii="宋体" w:hAnsi="宋体" w:cs="宋体"/>
          <w:color w:val="auto"/>
          <w:szCs w:val="21"/>
          <w:highlight w:val="none"/>
        </w:rPr>
        <w:t>至</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eastAsia="宋体" w:cs="宋体"/>
          <w:bCs/>
          <w:color w:val="auto"/>
          <w:kern w:val="0"/>
          <w:szCs w:val="21"/>
          <w:highlight w:val="none"/>
        </w:rPr>
        <w:t>，</w:t>
      </w:r>
      <w:r>
        <w:rPr>
          <w:rFonts w:hint="eastAsia" w:ascii="宋体" w:hAnsi="宋体" w:cs="宋体"/>
          <w:color w:val="auto"/>
          <w:szCs w:val="21"/>
          <w:highlight w:val="none"/>
        </w:rPr>
        <w:t>下午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：00</w:t>
      </w:r>
      <w:r>
        <w:rPr>
          <w:rFonts w:hint="eastAsia" w:ascii="宋体" w:hAnsi="宋体" w:cs="宋体"/>
          <w:color w:val="auto"/>
          <w:szCs w:val="21"/>
          <w:highlight w:val="none"/>
        </w:rPr>
        <w:t>至</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eastAsia="宋体" w:cs="宋体"/>
          <w:bCs/>
          <w:color w:val="auto"/>
          <w:kern w:val="0"/>
          <w:szCs w:val="21"/>
          <w:highlight w:val="none"/>
        </w:rPr>
        <w:t>（北京时间，法定节假日除外）</w:t>
      </w:r>
      <w:r>
        <w:rPr>
          <w:rFonts w:hint="eastAsia" w:ascii="宋体" w:hAnsi="宋体" w:eastAsia="宋体" w:cs="宋体"/>
          <w:color w:val="auto"/>
          <w:kern w:val="0"/>
          <w:sz w:val="21"/>
          <w:szCs w:val="21"/>
          <w:highlight w:val="none"/>
          <w:lang w:eastAsia="zh-CN"/>
        </w:rPr>
        <w:t>；</w:t>
      </w:r>
    </w:p>
    <w:p w14:paraId="5F0215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地点：</w:t>
      </w:r>
      <w:r>
        <w:rPr>
          <w:rFonts w:hint="eastAsia" w:ascii="宋体" w:hAnsi="宋体"/>
          <w:color w:val="auto"/>
          <w:szCs w:val="21"/>
          <w:highlight w:val="none"/>
          <w:u w:val="none"/>
          <w:lang w:eastAsia="zh-CN"/>
        </w:rPr>
        <w:t>广西政府采购云平台</w:t>
      </w:r>
      <w:r>
        <w:rPr>
          <w:rFonts w:hint="eastAsia" w:ascii="宋体" w:hAnsi="宋体" w:eastAsia="宋体" w:cs="宋体"/>
          <w:color w:val="auto"/>
          <w:kern w:val="0"/>
          <w:sz w:val="21"/>
          <w:szCs w:val="21"/>
          <w:highlight w:val="none"/>
        </w:rPr>
        <w:t>；</w:t>
      </w:r>
    </w:p>
    <w:p w14:paraId="2A5E8E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方式：网上下载。本项目不发放纸质采购文件，</w:t>
      </w:r>
      <w:r>
        <w:rPr>
          <w:rFonts w:hint="eastAsia" w:ascii="宋体" w:hAnsi="宋体" w:eastAsia="宋体" w:cs="宋体"/>
          <w:color w:val="auto"/>
          <w:kern w:val="0"/>
          <w:szCs w:val="21"/>
          <w:highlight w:val="none"/>
          <w:lang w:eastAsia="zh-CN"/>
        </w:rPr>
        <w:t>潜在</w:t>
      </w:r>
      <w:r>
        <w:rPr>
          <w:rFonts w:hint="eastAsia" w:ascii="宋体" w:hAnsi="宋体" w:eastAsia="宋体" w:cs="宋体"/>
          <w:color w:val="auto"/>
          <w:kern w:val="0"/>
          <w:szCs w:val="21"/>
          <w:highlight w:val="none"/>
        </w:rPr>
        <w:t>供应商可自行在</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rPr>
        <w:t>下载采购文件（操作路径：登录</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rPr>
        <w:t>-项目采购-获取采购文件-找到本项目-点击“申请获取采购文件”），电子响应文件制作需要基于</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rPr>
        <w:t>获取的采购文件编制。</w:t>
      </w:r>
    </w:p>
    <w:p w14:paraId="7679DB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售价：人民币0元。 </w:t>
      </w:r>
    </w:p>
    <w:p w14:paraId="68CE1A6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四、响应文件提交：</w:t>
      </w:r>
    </w:p>
    <w:p w14:paraId="7625BE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首次响应</w:t>
      </w:r>
      <w:r>
        <w:rPr>
          <w:rFonts w:hint="eastAsia" w:ascii="宋体" w:hAnsi="宋体" w:eastAsia="宋体" w:cs="宋体"/>
          <w:color w:val="auto"/>
          <w:sz w:val="21"/>
          <w:szCs w:val="21"/>
          <w:highlight w:val="none"/>
          <w:u w:val="none"/>
        </w:rPr>
        <w:t>文件提交截止时间</w:t>
      </w:r>
      <w:r>
        <w:rPr>
          <w:rFonts w:hint="eastAsia" w:ascii="宋体" w:hAnsi="宋体" w:cs="宋体"/>
          <w:color w:val="auto"/>
          <w:kern w:val="0"/>
          <w:szCs w:val="21"/>
          <w:highlight w:val="none"/>
          <w:u w:val="none"/>
          <w:lang w:val="en-US" w:eastAsia="zh-CN"/>
        </w:rPr>
        <w:t>：2025年11月10日9点30分（</w:t>
      </w:r>
      <w:r>
        <w:rPr>
          <w:rFonts w:hint="eastAsia" w:ascii="宋体" w:hAnsi="宋体" w:eastAsia="宋体" w:cs="宋体"/>
          <w:bCs/>
          <w:color w:val="auto"/>
          <w:sz w:val="21"/>
          <w:szCs w:val="21"/>
          <w:highlight w:val="none"/>
          <w:u w:val="none"/>
        </w:rPr>
        <w:t>北京时间）</w:t>
      </w:r>
      <w:r>
        <w:rPr>
          <w:rFonts w:hint="eastAsia" w:ascii="宋体" w:hAnsi="宋体" w:eastAsia="宋体" w:cs="宋体"/>
          <w:bCs/>
          <w:color w:val="auto"/>
          <w:sz w:val="21"/>
          <w:szCs w:val="21"/>
          <w:highlight w:val="none"/>
          <w:u w:val="none"/>
          <w:lang w:eastAsia="zh-CN"/>
        </w:rPr>
        <w:t>；</w:t>
      </w:r>
    </w:p>
    <w:p w14:paraId="00706A0A">
      <w:pPr>
        <w:keepNext w:val="0"/>
        <w:keepLines w:val="0"/>
        <w:pageBreakBefore w:val="0"/>
        <w:widowControl w:val="0"/>
        <w:kinsoku/>
        <w:wordWrap/>
        <w:overflowPunct/>
        <w:topLinePunct w:val="0"/>
        <w:autoSpaceDE/>
        <w:autoSpaceDN/>
        <w:bidi w:val="0"/>
        <w:adjustRightInd/>
        <w:snapToGrid/>
        <w:spacing w:line="360" w:lineRule="auto"/>
        <w:ind w:right="15" w:rightChars="7"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首次响应文件提交地点：通过</w:t>
      </w:r>
      <w:r>
        <w:rPr>
          <w:rFonts w:hint="eastAsia" w:ascii="宋体" w:hAnsi="宋体" w:cs="宋体"/>
          <w:color w:val="auto"/>
          <w:sz w:val="21"/>
          <w:szCs w:val="21"/>
          <w:highlight w:val="none"/>
          <w:u w:val="none"/>
          <w:lang w:val="en-US" w:eastAsia="zh-CN"/>
        </w:rPr>
        <w:t>广西政府采购云平台</w:t>
      </w:r>
      <w:r>
        <w:rPr>
          <w:rFonts w:hint="eastAsia" w:ascii="宋体" w:hAnsi="宋体" w:eastAsia="宋体" w:cs="宋体"/>
          <w:color w:val="auto"/>
          <w:sz w:val="21"/>
          <w:szCs w:val="21"/>
          <w:highlight w:val="none"/>
          <w:u w:val="none"/>
        </w:rPr>
        <w:t>在线提交。</w:t>
      </w:r>
    </w:p>
    <w:p w14:paraId="0FE39B2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u w:val="none"/>
        </w:rPr>
      </w:pPr>
      <w:bookmarkStart w:id="10" w:name="_Toc28359016"/>
      <w:bookmarkStart w:id="11" w:name="_Toc35393802"/>
      <w:bookmarkStart w:id="12" w:name="_Toc35393633"/>
      <w:bookmarkStart w:id="13" w:name="_Toc28359093"/>
      <w:r>
        <w:rPr>
          <w:rFonts w:hint="eastAsia" w:ascii="宋体" w:hAnsi="宋体" w:eastAsia="宋体" w:cs="宋体"/>
          <w:b/>
          <w:bCs/>
          <w:color w:val="auto"/>
          <w:sz w:val="21"/>
          <w:szCs w:val="21"/>
          <w:highlight w:val="none"/>
          <w:u w:val="none"/>
        </w:rPr>
        <w:t>五、开启</w:t>
      </w:r>
      <w:bookmarkEnd w:id="10"/>
      <w:bookmarkEnd w:id="11"/>
      <w:bookmarkEnd w:id="12"/>
      <w:bookmarkEnd w:id="13"/>
    </w:p>
    <w:p w14:paraId="227345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Cs/>
          <w:color w:val="auto"/>
          <w:szCs w:val="21"/>
          <w:highlight w:val="none"/>
          <w:u w:val="none"/>
          <w:lang w:eastAsia="zh-CN"/>
        </w:rPr>
      </w:pPr>
      <w:bookmarkStart w:id="14" w:name="_Toc35393634"/>
      <w:bookmarkStart w:id="15" w:name="_Toc28359017"/>
      <w:bookmarkStart w:id="16" w:name="_Toc28359094"/>
      <w:bookmarkStart w:id="17" w:name="_Toc35393803"/>
      <w:r>
        <w:rPr>
          <w:rFonts w:hint="eastAsia" w:ascii="宋体" w:hAnsi="宋体"/>
          <w:color w:val="auto"/>
          <w:szCs w:val="21"/>
          <w:highlight w:val="none"/>
          <w:u w:val="none"/>
        </w:rPr>
        <w:t>1</w:t>
      </w:r>
      <w:r>
        <w:rPr>
          <w:rFonts w:ascii="宋体" w:hAnsi="宋体"/>
          <w:color w:val="auto"/>
          <w:szCs w:val="21"/>
          <w:highlight w:val="none"/>
          <w:u w:val="none"/>
        </w:rPr>
        <w:t>.</w:t>
      </w:r>
      <w:r>
        <w:rPr>
          <w:rFonts w:hint="eastAsia" w:ascii="宋体" w:hAnsi="宋体"/>
          <w:color w:val="auto"/>
          <w:szCs w:val="21"/>
          <w:highlight w:val="none"/>
          <w:u w:val="none"/>
        </w:rPr>
        <w:t>时间：</w:t>
      </w:r>
      <w:r>
        <w:rPr>
          <w:rFonts w:hint="eastAsia" w:ascii="宋体" w:hAnsi="宋体" w:cs="宋体"/>
          <w:color w:val="auto"/>
          <w:kern w:val="0"/>
          <w:szCs w:val="21"/>
          <w:highlight w:val="none"/>
          <w:u w:val="none"/>
          <w:lang w:val="en-US" w:eastAsia="zh-CN"/>
        </w:rPr>
        <w:t>2025年11月10日9点30分</w:t>
      </w:r>
      <w:r>
        <w:rPr>
          <w:rFonts w:hint="eastAsia" w:ascii="宋体" w:hAnsi="宋体" w:eastAsia="宋体" w:cs="宋体"/>
          <w:color w:val="auto"/>
          <w:kern w:val="0"/>
          <w:sz w:val="21"/>
          <w:szCs w:val="21"/>
          <w:highlight w:val="none"/>
          <w:u w:val="none"/>
        </w:rPr>
        <w:t>（北京时间）</w:t>
      </w:r>
      <w:r>
        <w:rPr>
          <w:rFonts w:hint="eastAsia" w:ascii="宋体" w:hAnsi="宋体"/>
          <w:color w:val="auto"/>
          <w:szCs w:val="21"/>
          <w:highlight w:val="none"/>
          <w:u w:val="none"/>
          <w:lang w:eastAsia="zh-CN"/>
        </w:rPr>
        <w:t>；</w:t>
      </w:r>
    </w:p>
    <w:p w14:paraId="711F66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bCs/>
          <w:color w:val="auto"/>
          <w:szCs w:val="21"/>
          <w:highlight w:val="none"/>
          <w:u w:val="none"/>
          <w:lang w:val="en-US" w:eastAsia="zh-CN"/>
        </w:rPr>
      </w:pPr>
      <w:r>
        <w:rPr>
          <w:rFonts w:hint="eastAsia" w:ascii="宋体" w:hAnsi="宋体"/>
          <w:color w:val="auto"/>
          <w:szCs w:val="21"/>
          <w:highlight w:val="none"/>
          <w:u w:val="none"/>
        </w:rPr>
        <w:t>2</w:t>
      </w:r>
      <w:r>
        <w:rPr>
          <w:rFonts w:ascii="宋体" w:hAnsi="宋体"/>
          <w:color w:val="auto"/>
          <w:szCs w:val="21"/>
          <w:highlight w:val="none"/>
          <w:u w:val="none"/>
        </w:rPr>
        <w:t>.</w:t>
      </w:r>
      <w:r>
        <w:rPr>
          <w:rFonts w:hint="eastAsia" w:ascii="宋体" w:hAnsi="宋体"/>
          <w:color w:val="auto"/>
          <w:szCs w:val="21"/>
          <w:highlight w:val="none"/>
          <w:u w:val="none"/>
        </w:rPr>
        <w:t>地点：广西壮族自治区防城港市开标室</w:t>
      </w:r>
      <w:r>
        <w:rPr>
          <w:rFonts w:hint="eastAsia" w:ascii="宋体" w:hAnsi="宋体"/>
          <w:color w:val="auto"/>
          <w:szCs w:val="21"/>
          <w:highlight w:val="none"/>
          <w:u w:val="single"/>
          <w:lang w:val="en-US" w:eastAsia="zh-CN"/>
        </w:rPr>
        <w:t xml:space="preserve"> 2 </w:t>
      </w:r>
      <w:r>
        <w:rPr>
          <w:rFonts w:hint="eastAsia" w:ascii="宋体" w:hAnsi="宋体"/>
          <w:color w:val="auto"/>
          <w:szCs w:val="21"/>
          <w:highlight w:val="none"/>
          <w:u w:val="none"/>
        </w:rPr>
        <w:t>政府采购开标室</w:t>
      </w:r>
      <w:r>
        <w:rPr>
          <w:rFonts w:hint="eastAsia" w:ascii="宋体" w:hAnsi="宋体"/>
          <w:color w:val="auto"/>
          <w:szCs w:val="21"/>
          <w:highlight w:val="none"/>
          <w:u w:val="single"/>
          <w:lang w:val="en-US" w:eastAsia="zh-CN"/>
        </w:rPr>
        <w:t xml:space="preserve"> 2 </w:t>
      </w:r>
      <w:r>
        <w:rPr>
          <w:rFonts w:hint="eastAsia" w:ascii="宋体" w:hAnsi="宋体"/>
          <w:color w:val="auto"/>
          <w:szCs w:val="21"/>
          <w:highlight w:val="none"/>
          <w:u w:val="none"/>
          <w:lang w:val="en-US" w:eastAsia="zh-CN"/>
        </w:rPr>
        <w:t xml:space="preserve">  </w:t>
      </w:r>
    </w:p>
    <w:p w14:paraId="6A6A5A2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六、公告期限</w:t>
      </w:r>
      <w:bookmarkEnd w:id="14"/>
      <w:bookmarkEnd w:id="15"/>
      <w:bookmarkEnd w:id="16"/>
      <w:bookmarkEnd w:id="17"/>
    </w:p>
    <w:p w14:paraId="6B5E72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086E65A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bookmarkStart w:id="18" w:name="_Toc35393804"/>
      <w:bookmarkStart w:id="19" w:name="_Toc35393635"/>
      <w:r>
        <w:rPr>
          <w:rFonts w:hint="eastAsia" w:ascii="宋体" w:hAnsi="宋体" w:eastAsia="宋体" w:cs="宋体"/>
          <w:b/>
          <w:bCs/>
          <w:color w:val="auto"/>
          <w:sz w:val="21"/>
          <w:szCs w:val="21"/>
          <w:highlight w:val="none"/>
        </w:rPr>
        <w:t>七、其他补充事宜</w:t>
      </w:r>
      <w:bookmarkEnd w:id="18"/>
      <w:bookmarkEnd w:id="19"/>
    </w:p>
    <w:p w14:paraId="47BA5728">
      <w:pPr>
        <w:spacing w:line="360" w:lineRule="auto"/>
        <w:ind w:firstLine="420" w:firstLineChars="200"/>
        <w:rPr>
          <w:rFonts w:hint="eastAsia" w:ascii="宋体" w:hAnsi="宋体" w:eastAsia="宋体" w:cs="宋体"/>
          <w:color w:val="auto"/>
          <w:kern w:val="0"/>
          <w:szCs w:val="21"/>
          <w:highlight w:val="none"/>
        </w:rPr>
      </w:pPr>
      <w:bookmarkStart w:id="20" w:name="_Toc35393636"/>
      <w:bookmarkStart w:id="21" w:name="_Toc28359095"/>
      <w:bookmarkStart w:id="22" w:name="_Toc28359018"/>
      <w:bookmarkStart w:id="23" w:name="_Toc35393805"/>
      <w:r>
        <w:rPr>
          <w:rFonts w:hint="eastAsia" w:ascii="宋体" w:hAnsi="宋体" w:eastAsia="宋体" w:cs="宋体"/>
          <w:color w:val="auto"/>
          <w:kern w:val="0"/>
          <w:szCs w:val="21"/>
          <w:highlight w:val="none"/>
        </w:rPr>
        <w:t>1.磋商保证金：</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r>
        <w:rPr>
          <w:rFonts w:hint="eastAsia" w:ascii="宋体" w:hAnsi="宋体" w:eastAsia="宋体" w:cs="宋体"/>
          <w:b/>
          <w:bCs/>
          <w:color w:val="auto"/>
          <w:szCs w:val="21"/>
          <w:highlight w:val="none"/>
          <w:lang w:val="en-US" w:eastAsia="zh-CN"/>
        </w:rPr>
        <w:t>。</w:t>
      </w:r>
    </w:p>
    <w:p w14:paraId="6BD36FD2">
      <w:pPr>
        <w:spacing w:line="360" w:lineRule="auto"/>
        <w:ind w:firstLine="420" w:firstLineChars="200"/>
        <w:rPr>
          <w:rFonts w:hint="eastAsia" w:ascii="宋体" w:hAnsi="宋体" w:eastAsia="宋体" w:cs="宋体"/>
          <w:color w:val="auto"/>
          <w:kern w:val="0"/>
          <w:szCs w:val="21"/>
          <w:highlight w:val="none"/>
          <w:lang w:eastAsia="zh-CN"/>
        </w:rPr>
      </w:pPr>
      <w:bookmarkStart w:id="24" w:name="_Hlk37429585"/>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bookmarkStart w:id="25" w:name="_Hlk37429595"/>
      <w:r>
        <w:rPr>
          <w:rFonts w:hint="eastAsia" w:ascii="宋体" w:hAnsi="宋体" w:eastAsia="宋体" w:cs="宋体"/>
          <w:color w:val="auto"/>
          <w:kern w:val="0"/>
          <w:szCs w:val="21"/>
          <w:highlight w:val="none"/>
        </w:rPr>
        <w:t>网上查询地址</w:t>
      </w:r>
      <w:r>
        <w:rPr>
          <w:rFonts w:hint="eastAsia" w:ascii="宋体" w:hAnsi="宋体" w:eastAsia="宋体" w:cs="宋体"/>
          <w:color w:val="auto"/>
          <w:kern w:val="0"/>
          <w:szCs w:val="21"/>
          <w:highlight w:val="none"/>
          <w:lang w:eastAsia="zh-CN"/>
        </w:rPr>
        <w:t>：</w:t>
      </w:r>
    </w:p>
    <w:bookmarkEnd w:id="24"/>
    <w:bookmarkEnd w:id="25"/>
    <w:p w14:paraId="5FCCD383">
      <w:pPr>
        <w:spacing w:line="360" w:lineRule="auto"/>
        <w:ind w:firstLine="420" w:firstLineChars="200"/>
        <w:rPr>
          <w:rFonts w:hint="eastAsia" w:ascii="宋体" w:hAnsi="宋体" w:eastAsia="宋体" w:cs="宋体"/>
          <w:color w:val="auto"/>
          <w:kern w:val="0"/>
          <w:szCs w:val="21"/>
          <w:highlight w:val="none"/>
        </w:rPr>
      </w:pPr>
      <w:bookmarkStart w:id="26" w:name="_Hlk37429674"/>
      <w:r>
        <w:rPr>
          <w:rFonts w:hint="eastAsia" w:ascii="宋体" w:hAnsi="宋体" w:eastAsia="宋体" w:cs="宋体"/>
          <w:color w:val="auto"/>
          <w:kern w:val="0"/>
          <w:szCs w:val="21"/>
          <w:highlight w:val="none"/>
        </w:rPr>
        <w:t>中国政府采购网、广西壮族自治区政府采购网、全国公共资源交易平台（广西•防城港）。</w:t>
      </w:r>
    </w:p>
    <w:p w14:paraId="78AA2DC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本项目需要落实的政府采购政策</w:t>
      </w:r>
    </w:p>
    <w:p w14:paraId="56DA501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66304BC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1B66EB2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4ACEB39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5805B30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bookmarkEnd w:id="26"/>
    </w:p>
    <w:p w14:paraId="2A254F9B">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65949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.对在“信用中国”网站、中国政府采购网被列入失信被执行人、</w:t>
      </w:r>
      <w:r>
        <w:rPr>
          <w:rFonts w:hint="eastAsia" w:ascii="宋体" w:hAnsi="宋体" w:cs="宋体"/>
          <w:color w:val="auto"/>
          <w:szCs w:val="21"/>
          <w:highlight w:val="none"/>
          <w:lang w:eastAsia="zh-CN"/>
        </w:rPr>
        <w:t>重大税收违法失信主体名单</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35C6FEE4">
      <w:pPr>
        <w:spacing w:line="360" w:lineRule="auto"/>
        <w:ind w:firstLine="422" w:firstLineChars="200"/>
        <w:rPr>
          <w:rFonts w:hint="eastAsia" w:ascii="宋体" w:hAnsi="宋体" w:eastAsia="宋体" w:cs="宋体"/>
          <w:color w:val="auto"/>
          <w:kern w:val="0"/>
          <w:szCs w:val="21"/>
          <w:highlight w:val="none"/>
          <w:lang w:val="en-US" w:eastAsia="zh-CN"/>
        </w:rPr>
      </w:pPr>
      <w:r>
        <w:rPr>
          <w:rFonts w:hint="eastAsia" w:ascii="宋体" w:hAnsi="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szCs w:val="21"/>
          <w:highlight w:val="none"/>
        </w:rPr>
        <w:t>在线</w:t>
      </w:r>
      <w:r>
        <w:rPr>
          <w:rFonts w:hint="eastAsia" w:ascii="宋体" w:hAnsi="宋体" w:eastAsia="宋体" w:cs="宋体"/>
          <w:b/>
          <w:bCs/>
          <w:color w:val="auto"/>
          <w:szCs w:val="21"/>
          <w:highlight w:val="none"/>
          <w:lang w:eastAsia="zh-CN"/>
        </w:rPr>
        <w:t>竞</w:t>
      </w:r>
      <w:r>
        <w:rPr>
          <w:rFonts w:hint="eastAsia" w:ascii="宋体" w:hAnsi="宋体" w:eastAsia="宋体" w:cs="宋体"/>
          <w:b/>
          <w:bCs/>
          <w:color w:val="auto"/>
          <w:szCs w:val="21"/>
          <w:highlight w:val="none"/>
        </w:rPr>
        <w:t>标</w:t>
      </w:r>
      <w:r>
        <w:rPr>
          <w:rFonts w:hint="eastAsia" w:ascii="宋体" w:hAnsi="宋体" w:eastAsia="宋体" w:cs="宋体"/>
          <w:b/>
          <w:bCs/>
          <w:color w:val="auto"/>
          <w:szCs w:val="21"/>
          <w:highlight w:val="none"/>
          <w:lang w:eastAsia="zh-CN"/>
        </w:rPr>
        <w:t>的有关</w:t>
      </w:r>
      <w:r>
        <w:rPr>
          <w:rFonts w:hint="eastAsia" w:ascii="宋体" w:hAnsi="宋体" w:eastAsia="宋体" w:cs="宋体"/>
          <w:b/>
          <w:bCs/>
          <w:color w:val="auto"/>
          <w:szCs w:val="21"/>
          <w:highlight w:val="none"/>
        </w:rPr>
        <w:t>说明</w:t>
      </w:r>
      <w:r>
        <w:rPr>
          <w:rFonts w:hint="eastAsia" w:ascii="宋体" w:hAnsi="宋体" w:eastAsia="宋体" w:cs="宋体"/>
          <w:b/>
          <w:bCs/>
          <w:color w:val="auto"/>
          <w:kern w:val="0"/>
          <w:szCs w:val="21"/>
          <w:highlight w:val="none"/>
          <w:lang w:eastAsia="zh-CN"/>
        </w:rPr>
        <w:t>：</w:t>
      </w:r>
    </w:p>
    <w:p w14:paraId="6D5EB33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实行在线电子响应，供应商应先安装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的要求编制、加密后在</w:t>
      </w:r>
      <w:r>
        <w:rPr>
          <w:rFonts w:hint="eastAsia" w:ascii="宋体" w:hAnsi="宋体" w:eastAsia="宋体" w:cs="宋体"/>
          <w:color w:val="auto"/>
          <w:szCs w:val="21"/>
          <w:highlight w:val="none"/>
          <w:lang w:eastAsia="zh-CN"/>
        </w:rPr>
        <w:t>响应文件提交</w:t>
      </w:r>
      <w:r>
        <w:rPr>
          <w:rFonts w:hint="eastAsia" w:ascii="宋体" w:hAnsi="宋体" w:eastAsia="宋体" w:cs="宋体"/>
          <w:color w:val="auto"/>
          <w:szCs w:val="21"/>
          <w:highlight w:val="none"/>
        </w:rPr>
        <w:t>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提交电子版响应文件时，请填写参加远程开标活动经办人联系方式</w:t>
      </w:r>
      <w:r>
        <w:rPr>
          <w:rFonts w:hint="eastAsia" w:ascii="宋体" w:hAnsi="宋体" w:eastAsia="宋体" w:cs="宋体"/>
          <w:color w:val="auto"/>
          <w:szCs w:val="21"/>
          <w:highlight w:val="none"/>
        </w:rPr>
        <w:t>。</w:t>
      </w:r>
    </w:p>
    <w:p w14:paraId="6668CDD3">
      <w:pPr>
        <w:widowControl/>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（2）未进行网上注册并办理数字证书（CA认证）的供应商将无法参与本项目政府采购活动，潜在供应商应当在首次响应文件提交截止时间前，完成电子交易平台上的CA数字证书办理及响应文件的提交。        </w:t>
      </w:r>
    </w:p>
    <w:p w14:paraId="165A15CA">
      <w:pPr>
        <w:widowControl/>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（3）为确保网上操作合法、有效和安全，请供应商确保在电子响应过程中能够对相关数据电文进行加密和使用电子签章，妥善保管CA数字证书并使用有效的CA数字证书参与整个采购活动。</w:t>
      </w:r>
    </w:p>
    <w:p w14:paraId="46DC72F9">
      <w:pPr>
        <w:spacing w:line="360" w:lineRule="auto"/>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eastAsia="宋体" w:cs="宋体"/>
          <w:b/>
          <w:color w:val="auto"/>
          <w:szCs w:val="21"/>
          <w:highlight w:val="none"/>
          <w:lang w:eastAsia="zh-CN"/>
        </w:rPr>
        <w:t>响应文件提交</w:t>
      </w:r>
      <w:r>
        <w:rPr>
          <w:rFonts w:hint="eastAsia" w:ascii="宋体" w:hAnsi="宋体" w:eastAsia="宋体" w:cs="宋体"/>
          <w:b/>
          <w:bCs w:val="0"/>
          <w:color w:val="auto"/>
          <w:szCs w:val="21"/>
          <w:highlight w:val="none"/>
          <w:u w:val="single"/>
        </w:rPr>
        <w:t>截止时间前未完成上传、递交的，视为撤回响应文件。响应文件提交截止时间以后上传递交的响应文件的，</w:t>
      </w:r>
      <w:bookmarkStart w:id="27" w:name="OLE_LINK9"/>
      <w:r>
        <w:rPr>
          <w:rFonts w:hint="eastAsia" w:ascii="宋体" w:hAnsi="宋体" w:eastAsia="宋体" w:cs="宋体"/>
          <w:b/>
          <w:bCs w:val="0"/>
          <w:color w:val="auto"/>
          <w:sz w:val="21"/>
          <w:szCs w:val="21"/>
          <w:highlight w:val="none"/>
          <w:u w:val="single"/>
          <w:lang w:val="en-US" w:eastAsia="zh-CN"/>
        </w:rPr>
        <w:t>广西</w:t>
      </w:r>
      <w:bookmarkEnd w:id="27"/>
      <w:r>
        <w:rPr>
          <w:rFonts w:hint="eastAsia" w:ascii="宋体" w:hAnsi="宋体" w:eastAsia="宋体" w:cs="宋体"/>
          <w:b/>
          <w:bCs w:val="0"/>
          <w:color w:val="auto"/>
          <w:sz w:val="21"/>
          <w:szCs w:val="21"/>
          <w:highlight w:val="none"/>
          <w:u w:val="single"/>
          <w:lang w:val="en-US" w:eastAsia="zh-CN"/>
        </w:rPr>
        <w:t>政府采购云平台</w:t>
      </w:r>
      <w:r>
        <w:rPr>
          <w:rFonts w:hint="eastAsia" w:ascii="宋体" w:hAnsi="宋体" w:eastAsia="宋体" w:cs="宋体"/>
          <w:b/>
          <w:bCs w:val="0"/>
          <w:color w:val="auto"/>
          <w:szCs w:val="21"/>
          <w:highlight w:val="none"/>
          <w:u w:val="single"/>
        </w:rPr>
        <w:t>将予以拒收。</w:t>
      </w:r>
    </w:p>
    <w:p w14:paraId="6B6BD22A">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CA证书在线解密：首次响应文件开启时，需要供应商携带制作响应文件时用来加密的有效数字证书（CA认证）登录</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w:t>
      </w:r>
    </w:p>
    <w:p w14:paraId="32D9672B">
      <w:pPr>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62651385">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若对项目采购电子交易系统操作有疑问，可登录</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获取热线服务帮助。</w:t>
      </w:r>
    </w:p>
    <w:p w14:paraId="3E877B86">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olor w:val="auto"/>
          <w:kern w:val="0"/>
          <w:szCs w:val="21"/>
          <w:highlight w:val="none"/>
        </w:rPr>
        <w:t>监督部门</w:t>
      </w:r>
    </w:p>
    <w:p w14:paraId="1BFEBD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名称：防城港市财政局</w:t>
      </w:r>
    </w:p>
    <w:p w14:paraId="36E218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电话：0770-6102319</w:t>
      </w:r>
    </w:p>
    <w:p w14:paraId="16812FD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八、凡对本次采购提出询问，请按以下方式联系。</w:t>
      </w:r>
      <w:bookmarkEnd w:id="20"/>
      <w:bookmarkEnd w:id="21"/>
      <w:bookmarkEnd w:id="22"/>
      <w:bookmarkEnd w:id="23"/>
    </w:p>
    <w:p w14:paraId="076209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1.采购人信息</w:t>
      </w:r>
    </w:p>
    <w:p w14:paraId="4AD12D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    称：</w:t>
      </w:r>
      <w:r>
        <w:rPr>
          <w:rFonts w:hint="eastAsia" w:ascii="宋体" w:hAnsi="宋体" w:cs="宋体"/>
          <w:color w:val="auto"/>
          <w:kern w:val="0"/>
          <w:sz w:val="21"/>
          <w:szCs w:val="21"/>
          <w:highlight w:val="none"/>
          <w:lang w:eastAsia="zh-CN"/>
        </w:rPr>
        <w:t>防城港市港口区人民法院</w:t>
      </w:r>
      <w:r>
        <w:rPr>
          <w:rFonts w:hint="eastAsia" w:ascii="宋体" w:hAnsi="宋体" w:eastAsia="宋体" w:cs="宋体"/>
          <w:color w:val="auto"/>
          <w:sz w:val="21"/>
          <w:szCs w:val="21"/>
          <w:highlight w:val="none"/>
          <w:lang w:eastAsia="zh-CN"/>
        </w:rPr>
        <w:t>　</w:t>
      </w:r>
    </w:p>
    <w:p w14:paraId="0C3206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    址：</w:t>
      </w:r>
      <w:r>
        <w:rPr>
          <w:rFonts w:hint="eastAsia" w:ascii="宋体" w:hAnsi="宋体"/>
          <w:color w:val="auto"/>
          <w:szCs w:val="21"/>
          <w:highlight w:val="none"/>
          <w:lang w:eastAsia="zh-CN"/>
        </w:rPr>
        <w:t>广西防城港市港口区建政路1号</w:t>
      </w:r>
    </w:p>
    <w:p w14:paraId="533023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ascii="宋体" w:hAnsi="宋体" w:cs="宋体"/>
          <w:color w:val="auto"/>
          <w:sz w:val="21"/>
          <w:szCs w:val="21"/>
          <w:highlight w:val="none"/>
          <w:lang w:val="en-US" w:eastAsia="zh-CN"/>
        </w:rPr>
        <w:t>覃海云，</w:t>
      </w:r>
      <w:r>
        <w:rPr>
          <w:rFonts w:hint="eastAsia" w:ascii="宋体" w:hAnsi="宋体"/>
          <w:color w:val="auto"/>
          <w:szCs w:val="21"/>
          <w:highlight w:val="none"/>
          <w:lang w:val="en-US" w:eastAsia="zh-CN"/>
        </w:rPr>
        <w:t>0770-2863001</w:t>
      </w:r>
    </w:p>
    <w:p w14:paraId="406D69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bookmarkStart w:id="28" w:name="_Toc35393807"/>
      <w:bookmarkStart w:id="29" w:name="_Toc35393638"/>
      <w:bookmarkStart w:id="30" w:name="_Toc28359020"/>
      <w:bookmarkStart w:id="31" w:name="_Toc28359097"/>
      <w:r>
        <w:rPr>
          <w:rFonts w:hint="eastAsia" w:ascii="宋体" w:hAnsi="宋体" w:eastAsia="宋体" w:cs="宋体"/>
          <w:color w:val="auto"/>
          <w:sz w:val="21"/>
          <w:szCs w:val="21"/>
          <w:highlight w:val="none"/>
        </w:rPr>
        <w:t>2.采购代理机构信息</w:t>
      </w:r>
      <w:bookmarkEnd w:id="28"/>
      <w:bookmarkEnd w:id="29"/>
      <w:bookmarkEnd w:id="30"/>
      <w:bookmarkEnd w:id="31"/>
    </w:p>
    <w:p w14:paraId="07729A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广西德元工程项目管理有限责任公司</w:t>
      </w:r>
    </w:p>
    <w:p w14:paraId="32855C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val="en-US" w:eastAsia="zh-CN"/>
        </w:rPr>
        <w:t>南宁市良庆区凯旋路15号绿地中心7号楼8楼</w:t>
      </w:r>
    </w:p>
    <w:p w14:paraId="3200588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cs="宋体"/>
          <w:color w:val="auto"/>
          <w:kern w:val="0"/>
          <w:szCs w:val="21"/>
          <w:highlight w:val="none"/>
          <w:lang w:val="en-US" w:eastAsia="zh-CN"/>
        </w:rPr>
        <w:t>龙海霞、黄清霞</w:t>
      </w:r>
      <w:r>
        <w:rPr>
          <w:rFonts w:hint="eastAsia" w:ascii="宋体" w:hAnsi="宋体"/>
          <w:color w:val="auto"/>
          <w:szCs w:val="21"/>
          <w:highlight w:val="none"/>
        </w:rPr>
        <w:t>；</w:t>
      </w:r>
      <w:r>
        <w:rPr>
          <w:rFonts w:hint="eastAsia" w:ascii="宋体" w:hAnsi="宋体" w:cs="宋体"/>
          <w:color w:val="auto"/>
          <w:kern w:val="0"/>
          <w:szCs w:val="21"/>
          <w:highlight w:val="none"/>
          <w:lang w:eastAsia="zh-CN"/>
        </w:rPr>
        <w:t>0771-5084767</w:t>
      </w:r>
    </w:p>
    <w:p w14:paraId="607EB1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bookmarkStart w:id="32" w:name="_Toc28359021"/>
      <w:bookmarkStart w:id="33" w:name="_Toc28359098"/>
      <w:bookmarkStart w:id="34" w:name="_Toc35393639"/>
      <w:bookmarkStart w:id="35" w:name="_Toc35393808"/>
      <w:r>
        <w:rPr>
          <w:rFonts w:hint="eastAsia" w:ascii="宋体" w:hAnsi="宋体" w:eastAsia="宋体" w:cs="宋体"/>
          <w:color w:val="auto"/>
          <w:sz w:val="21"/>
          <w:szCs w:val="21"/>
          <w:highlight w:val="none"/>
        </w:rPr>
        <w:t>3.项目联系方式</w:t>
      </w:r>
      <w:bookmarkEnd w:id="32"/>
      <w:bookmarkEnd w:id="33"/>
      <w:bookmarkEnd w:id="34"/>
      <w:bookmarkEnd w:id="35"/>
    </w:p>
    <w:p w14:paraId="74DCE4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cs="宋体"/>
          <w:color w:val="auto"/>
          <w:kern w:val="0"/>
          <w:szCs w:val="21"/>
          <w:highlight w:val="none"/>
          <w:lang w:val="en-US" w:eastAsia="zh-CN"/>
        </w:rPr>
        <w:t>龙海霞、黄清霞</w:t>
      </w:r>
    </w:p>
    <w:p w14:paraId="09584C9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kern w:val="0"/>
          <w:szCs w:val="21"/>
          <w:highlight w:val="none"/>
          <w:lang w:eastAsia="zh-CN"/>
        </w:rPr>
        <w:t>0771-5084767</w:t>
      </w:r>
    </w:p>
    <w:p w14:paraId="3C352943">
      <w:pPr>
        <w:spacing w:line="360" w:lineRule="auto"/>
        <w:ind w:firstLine="420" w:firstLineChars="20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p w14:paraId="5841C936">
      <w:pPr>
        <w:spacing w:line="360" w:lineRule="auto"/>
        <w:ind w:firstLine="420" w:firstLineChars="200"/>
        <w:jc w:val="center"/>
        <w:rPr>
          <w:rFonts w:hint="eastAsia" w:ascii="宋体" w:hAnsi="宋体" w:cs="宋体"/>
          <w:color w:val="auto"/>
          <w:sz w:val="21"/>
          <w:szCs w:val="21"/>
          <w:highlight w:val="none"/>
          <w:lang w:val="en-US" w:eastAsia="zh-CN"/>
        </w:rPr>
      </w:pPr>
    </w:p>
    <w:p w14:paraId="621D85CE">
      <w:pPr>
        <w:pStyle w:val="70"/>
        <w:spacing w:line="440" w:lineRule="exact"/>
        <w:ind w:firstLine="420" w:firstLineChars="200"/>
        <w:jc w:val="right"/>
        <w:rPr>
          <w:rFonts w:hint="eastAsia"/>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color w:val="auto"/>
          <w:sz w:val="21"/>
          <w:szCs w:val="21"/>
          <w:highlight w:val="none"/>
        </w:rPr>
        <w:t>采购人：</w:t>
      </w:r>
      <w:r>
        <w:rPr>
          <w:rFonts w:hint="eastAsia"/>
          <w:color w:val="auto"/>
          <w:sz w:val="21"/>
          <w:szCs w:val="21"/>
          <w:highlight w:val="none"/>
          <w:lang w:eastAsia="zh-CN"/>
        </w:rPr>
        <w:t>防城港市港口区人民法院</w:t>
      </w:r>
    </w:p>
    <w:p w14:paraId="2A81D571">
      <w:pPr>
        <w:pStyle w:val="70"/>
        <w:spacing w:line="440" w:lineRule="exact"/>
        <w:ind w:firstLine="420" w:firstLineChars="200"/>
        <w:jc w:val="right"/>
        <w:rPr>
          <w:rFonts w:hint="eastAsia" w:eastAsia="宋体"/>
          <w:color w:val="auto"/>
          <w:sz w:val="21"/>
          <w:szCs w:val="21"/>
          <w:highlight w:val="none"/>
          <w:lang w:eastAsia="zh-CN"/>
        </w:rPr>
      </w:pPr>
      <w:r>
        <w:rPr>
          <w:rFonts w:hint="eastAsia"/>
          <w:color w:val="auto"/>
          <w:sz w:val="21"/>
          <w:szCs w:val="21"/>
          <w:highlight w:val="none"/>
          <w:lang w:val="en-US" w:eastAsia="zh-CN"/>
        </w:rPr>
        <w:t>采购代理机构：</w:t>
      </w:r>
      <w:r>
        <w:rPr>
          <w:rFonts w:hint="eastAsia"/>
          <w:color w:val="auto"/>
          <w:sz w:val="21"/>
          <w:szCs w:val="21"/>
          <w:highlight w:val="none"/>
          <w:lang w:eastAsia="zh-CN"/>
        </w:rPr>
        <w:t>广西德元工程项目管理有限责任公司</w:t>
      </w:r>
    </w:p>
    <w:p w14:paraId="12614FF6">
      <w:pPr>
        <w:pStyle w:val="70"/>
        <w:spacing w:line="440" w:lineRule="exact"/>
        <w:ind w:firstLine="420" w:firstLineChars="200"/>
        <w:jc w:val="righ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28</w:t>
      </w:r>
      <w:r>
        <w:rPr>
          <w:rFonts w:hint="eastAsia" w:asciiTheme="minorEastAsia" w:hAnsiTheme="minorEastAsia" w:eastAsiaTheme="minorEastAsia" w:cstheme="minorEastAsia"/>
          <w:color w:val="auto"/>
          <w:sz w:val="21"/>
          <w:szCs w:val="21"/>
          <w:highlight w:val="none"/>
        </w:rPr>
        <w:t>日</w:t>
      </w:r>
    </w:p>
    <w:p w14:paraId="214CF156">
      <w:pPr>
        <w:pStyle w:val="32"/>
        <w:widowControl w:val="0"/>
        <w:spacing w:after="0" w:afterLines="0" w:line="360" w:lineRule="auto"/>
        <w:ind w:firstLine="420" w:firstLineChars="200"/>
        <w:jc w:val="center"/>
        <w:rPr>
          <w:rFonts w:hint="eastAsia" w:ascii="宋体" w:hAnsi="宋体" w:eastAsia="宋体" w:cs="宋体"/>
          <w:color w:val="auto"/>
          <w:sz w:val="21"/>
          <w:szCs w:val="21"/>
          <w:highlight w:val="none"/>
        </w:rPr>
      </w:pPr>
    </w:p>
    <w:p w14:paraId="54A1ECEF">
      <w:pPr>
        <w:spacing w:line="360" w:lineRule="auto"/>
        <w:ind w:firstLine="420" w:firstLineChars="200"/>
        <w:jc w:val="right"/>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p>
    <w:p w14:paraId="3DA0AF42">
      <w:pPr>
        <w:shd w:val="clear" w:color="auto" w:fill="FFFFFF"/>
        <w:spacing w:line="600" w:lineRule="exact"/>
        <w:ind w:firstLine="723" w:firstLineChars="200"/>
        <w:jc w:val="center"/>
        <w:outlineLvl w:val="0"/>
        <w:rPr>
          <w:rFonts w:hint="eastAsia" w:ascii="宋体" w:hAnsi="宋体" w:eastAsia="宋体" w:cs="宋体"/>
          <w:b/>
          <w:bCs/>
          <w:color w:val="auto"/>
          <w:sz w:val="36"/>
          <w:szCs w:val="36"/>
          <w:highlight w:val="none"/>
        </w:rPr>
      </w:pPr>
      <w:bookmarkStart w:id="36" w:name="_Toc22437"/>
      <w:r>
        <w:rPr>
          <w:rFonts w:hint="eastAsia" w:ascii="宋体" w:hAnsi="宋体" w:eastAsia="宋体" w:cs="宋体"/>
          <w:b/>
          <w:bCs/>
          <w:color w:val="auto"/>
          <w:sz w:val="36"/>
          <w:szCs w:val="36"/>
          <w:highlight w:val="none"/>
          <w:lang w:eastAsia="zh-CN"/>
        </w:rPr>
        <w:t>第二章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供应商须知</w:t>
      </w:r>
      <w:bookmarkEnd w:id="3"/>
      <w:bookmarkEnd w:id="36"/>
      <w:bookmarkStart w:id="37" w:name="_Toc424307742"/>
      <w:bookmarkStart w:id="38" w:name="_Toc424307475"/>
    </w:p>
    <w:p w14:paraId="56B7B2AA">
      <w:pPr>
        <w:keepNext w:val="0"/>
        <w:keepLines w:val="0"/>
        <w:pageBreakBefore w:val="0"/>
        <w:widowControl w:val="0"/>
        <w:kinsoku/>
        <w:wordWrap/>
        <w:overflowPunct/>
        <w:topLinePunct w:val="0"/>
        <w:bidi w:val="0"/>
        <w:spacing w:line="420" w:lineRule="exact"/>
        <w:ind w:firstLine="482" w:firstLineChars="200"/>
        <w:jc w:val="center"/>
        <w:textAlignment w:val="auto"/>
        <w:outlineLvl w:val="0"/>
        <w:rPr>
          <w:rFonts w:hint="eastAsia" w:ascii="宋体" w:hAnsi="宋体" w:eastAsia="宋体" w:cs="宋体"/>
          <w:b/>
          <w:bCs/>
          <w:color w:val="auto"/>
          <w:sz w:val="24"/>
          <w:highlight w:val="none"/>
        </w:rPr>
      </w:pPr>
      <w:bookmarkStart w:id="39" w:name="_Toc15423"/>
      <w:bookmarkStart w:id="40" w:name="_Toc14902"/>
      <w:r>
        <w:rPr>
          <w:rFonts w:hint="eastAsia" w:ascii="宋体" w:hAnsi="宋体" w:eastAsia="宋体" w:cs="宋体"/>
          <w:b/>
          <w:bCs/>
          <w:color w:val="auto"/>
          <w:sz w:val="24"/>
          <w:highlight w:val="none"/>
        </w:rPr>
        <w:t>供应商须知前附表</w:t>
      </w:r>
      <w:bookmarkEnd w:id="37"/>
      <w:bookmarkEnd w:id="38"/>
      <w:bookmarkEnd w:id="39"/>
      <w:bookmarkEnd w:id="40"/>
      <w:bookmarkStart w:id="41" w:name="_Toc12869"/>
      <w:bookmarkStart w:id="42" w:name="_Toc18886"/>
      <w:bookmarkStart w:id="43" w:name="_Toc30070"/>
      <w:bookmarkStart w:id="44" w:name="_Toc26924"/>
      <w:bookmarkStart w:id="45" w:name="_Toc424307744"/>
    </w:p>
    <w:tbl>
      <w:tblPr>
        <w:tblStyle w:val="22"/>
        <w:tblW w:w="9612"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8595"/>
      </w:tblGrid>
      <w:tr w14:paraId="7F02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17" w:type="dxa"/>
            <w:vAlign w:val="center"/>
          </w:tcPr>
          <w:p w14:paraId="4C712F6C">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8595" w:type="dxa"/>
            <w:vAlign w:val="center"/>
          </w:tcPr>
          <w:p w14:paraId="7C3F69FD">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     容</w:t>
            </w:r>
          </w:p>
        </w:tc>
      </w:tr>
      <w:tr w14:paraId="2E3B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17" w:type="dxa"/>
            <w:vAlign w:val="center"/>
          </w:tcPr>
          <w:p w14:paraId="0E8FB878">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595" w:type="dxa"/>
            <w:vAlign w:val="center"/>
          </w:tcPr>
          <w:p w14:paraId="6F666699">
            <w:pPr>
              <w:keepNext w:val="0"/>
              <w:keepLines w:val="0"/>
              <w:pageBreakBefore w:val="0"/>
              <w:widowControl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cs="宋体"/>
                <w:color w:val="auto"/>
                <w:highlight w:val="none"/>
                <w:lang w:eastAsia="zh-CN"/>
              </w:rPr>
              <w:t>企沙人民法庭修缮改造工程</w:t>
            </w:r>
          </w:p>
          <w:p w14:paraId="53001B3A">
            <w:pPr>
              <w:keepNext w:val="0"/>
              <w:keepLines w:val="0"/>
              <w:pageBreakBefore w:val="0"/>
              <w:widowControl w:val="0"/>
              <w:kinsoku/>
              <w:wordWrap/>
              <w:overflowPunct/>
              <w:topLinePunct w:val="0"/>
              <w:bidi w:val="0"/>
              <w:spacing w:line="42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highlight w:val="none"/>
              </w:rPr>
              <w:t>项目编号：</w:t>
            </w:r>
            <w:r>
              <w:rPr>
                <w:rFonts w:hint="eastAsia" w:ascii="宋体" w:hAnsi="宋体" w:cs="宋体"/>
                <w:color w:val="auto"/>
                <w:highlight w:val="none"/>
                <w:lang w:eastAsia="zh-CN"/>
              </w:rPr>
              <w:t>FCZC2025-C2-990145-GXDY</w:t>
            </w:r>
          </w:p>
        </w:tc>
      </w:tr>
      <w:tr w14:paraId="343F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17" w:type="dxa"/>
            <w:vAlign w:val="center"/>
          </w:tcPr>
          <w:p w14:paraId="1F320BD4">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color w:val="auto"/>
                <w:szCs w:val="21"/>
                <w:highlight w:val="none"/>
                <w:lang w:val="en-US" w:eastAsia="zh-CN"/>
              </w:rPr>
            </w:pPr>
            <w:r>
              <w:rPr>
                <w:rFonts w:hint="eastAsia"/>
                <w:color w:val="auto"/>
                <w:highlight w:val="none"/>
                <w:lang w:val="en-US" w:eastAsia="zh-CN"/>
              </w:rPr>
              <w:t>2</w:t>
            </w:r>
          </w:p>
        </w:tc>
        <w:tc>
          <w:tcPr>
            <w:tcW w:w="8595" w:type="dxa"/>
            <w:vAlign w:val="center"/>
          </w:tcPr>
          <w:p w14:paraId="54318FE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供应商资格要求：</w:t>
            </w:r>
          </w:p>
          <w:p w14:paraId="135BF5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64F53F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b/>
                <w:bCs/>
                <w:color w:val="auto"/>
                <w:sz w:val="21"/>
                <w:szCs w:val="21"/>
                <w:highlight w:val="none"/>
              </w:rPr>
              <w:t>专门面向小微企业采购的项目（供应商应为小型或微型企业或监狱企业或残疾人福利性单位)</w:t>
            </w:r>
            <w:r>
              <w:rPr>
                <w:rFonts w:hint="eastAsia" w:ascii="宋体" w:hAnsi="宋体" w:cs="宋体"/>
                <w:color w:val="auto"/>
                <w:kern w:val="0"/>
                <w:szCs w:val="21"/>
                <w:highlight w:val="none"/>
                <w:lang w:val="en-US" w:eastAsia="zh-CN"/>
              </w:rPr>
              <w:t>；</w:t>
            </w:r>
          </w:p>
          <w:p w14:paraId="0AA327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3.本项目的特定资格要求：</w:t>
            </w:r>
          </w:p>
          <w:p w14:paraId="7B61C3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本项目供应商企业资质要求具备</w:t>
            </w:r>
            <w:r>
              <w:rPr>
                <w:rFonts w:hint="eastAsia" w:ascii="宋体" w:hAnsi="宋体" w:cs="宋体"/>
                <w:b/>
                <w:bCs/>
                <w:color w:val="auto"/>
                <w:szCs w:val="21"/>
                <w:highlight w:val="none"/>
                <w:lang w:val="en-US" w:eastAsia="zh-CN"/>
              </w:rPr>
              <w:t>建筑工程施工总承包三级以上（含三级）资质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具有有效的</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安全生产许可证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szCs w:val="21"/>
                <w:highlight w:val="none"/>
              </w:rPr>
              <w:t>在人员、设备、资金等方面具有相应的施工能力</w:t>
            </w:r>
            <w:r>
              <w:rPr>
                <w:rFonts w:hint="eastAsia" w:ascii="宋体" w:hAnsi="宋体" w:eastAsia="宋体" w:cs="宋体"/>
                <w:color w:val="auto"/>
                <w:szCs w:val="21"/>
                <w:highlight w:val="none"/>
                <w:lang w:val="en-US" w:eastAsia="zh-CN"/>
              </w:rPr>
              <w:t>；</w:t>
            </w:r>
          </w:p>
          <w:p w14:paraId="52E827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szCs w:val="21"/>
                <w:highlight w:val="none"/>
              </w:rPr>
              <w:t>拟派项目经理资格要求具备</w:t>
            </w:r>
            <w:r>
              <w:rPr>
                <w:rFonts w:hint="eastAsia" w:ascii="宋体" w:hAnsi="宋体" w:cs="宋体"/>
                <w:b/>
                <w:bCs/>
                <w:color w:val="auto"/>
                <w:szCs w:val="21"/>
                <w:highlight w:val="none"/>
                <w:lang w:val="en-US" w:eastAsia="zh-CN"/>
              </w:rPr>
              <w:t>建筑工程</w:t>
            </w:r>
            <w:r>
              <w:rPr>
                <w:rFonts w:hint="eastAsia" w:ascii="宋体" w:hAnsi="宋体" w:eastAsia="宋体" w:cs="宋体"/>
                <w:color w:val="auto"/>
                <w:sz w:val="21"/>
                <w:szCs w:val="21"/>
                <w:highlight w:val="none"/>
                <w:lang w:val="zh-CN" w:eastAsia="zh-CN" w:bidi="zh-CN"/>
              </w:rPr>
              <w:t>专业贰级以上（含贰级）</w:t>
            </w:r>
            <w:r>
              <w:rPr>
                <w:rFonts w:hint="eastAsia" w:ascii="宋体" w:hAnsi="宋体" w:eastAsia="宋体" w:cs="宋体"/>
                <w:color w:val="auto"/>
                <w:szCs w:val="21"/>
                <w:highlight w:val="none"/>
              </w:rPr>
              <w:t>注册建造师证书，并持有效的安全生产考核合格证书（B证），为</w:t>
            </w:r>
            <w:r>
              <w:rPr>
                <w:rFonts w:hint="eastAsia"/>
                <w:color w:val="auto"/>
                <w:highlight w:val="none"/>
                <w:lang w:val="en-US" w:eastAsia="zh-CN"/>
              </w:rPr>
              <w:t>供应商</w:t>
            </w:r>
            <w:r>
              <w:rPr>
                <w:rFonts w:hint="eastAsia" w:ascii="宋体" w:hAnsi="宋体" w:eastAsia="宋体" w:cs="宋体"/>
                <w:color w:val="auto"/>
                <w:szCs w:val="21"/>
                <w:highlight w:val="none"/>
              </w:rPr>
              <w:t>本单位的在岗人员，且未担任其他在建项目或已中标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未开工项目或已列为项目第一</w:t>
            </w:r>
            <w:r>
              <w:rPr>
                <w:rFonts w:hint="eastAsia" w:ascii="宋体" w:hAnsi="宋体" w:cs="宋体"/>
                <w:color w:val="auto"/>
                <w:szCs w:val="21"/>
                <w:highlight w:val="none"/>
                <w:lang w:val="en-US" w:eastAsia="zh-CN"/>
              </w:rPr>
              <w:t>中标（成交）</w:t>
            </w:r>
            <w:r>
              <w:rPr>
                <w:rFonts w:hint="eastAsia" w:ascii="宋体" w:hAnsi="宋体" w:eastAsia="宋体" w:cs="宋体"/>
                <w:color w:val="auto"/>
                <w:szCs w:val="21"/>
                <w:highlight w:val="none"/>
              </w:rPr>
              <w:t>候选人项目的项目经理</w:t>
            </w:r>
            <w:r>
              <w:rPr>
                <w:rFonts w:hint="eastAsia" w:ascii="宋体" w:hAnsi="宋体" w:eastAsia="宋体" w:cs="宋体"/>
                <w:color w:val="auto"/>
                <w:szCs w:val="21"/>
                <w:highlight w:val="none"/>
                <w:lang w:eastAsia="zh-CN"/>
              </w:rPr>
              <w:t>。</w:t>
            </w:r>
          </w:p>
        </w:tc>
      </w:tr>
      <w:tr w14:paraId="209D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17" w:type="dxa"/>
            <w:vAlign w:val="center"/>
          </w:tcPr>
          <w:p w14:paraId="60D2139F">
            <w:pPr>
              <w:keepNext w:val="0"/>
              <w:keepLines w:val="0"/>
              <w:pageBreakBefore w:val="0"/>
              <w:widowControl w:val="0"/>
              <w:kinsoku/>
              <w:wordWrap/>
              <w:overflowPunct/>
              <w:topLinePunct w:val="0"/>
              <w:bidi w:val="0"/>
              <w:spacing w:line="42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8595" w:type="dxa"/>
            <w:vAlign w:val="center"/>
          </w:tcPr>
          <w:p w14:paraId="69739E5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rPr>
              <w:t>是否接受联合体竞标</w:t>
            </w:r>
            <w:r>
              <w:rPr>
                <w:rFonts w:hint="eastAsia" w:ascii="宋体" w:hAnsi="宋体" w:eastAsia="宋体" w:cs="宋体"/>
                <w:color w:val="auto"/>
                <w:szCs w:val="21"/>
                <w:highlight w:val="none"/>
                <w:lang w:eastAsia="zh-CN"/>
              </w:rPr>
              <w:t>：</w:t>
            </w:r>
            <w:bookmarkStart w:id="46" w:name="PO_3000001868_PM007"/>
            <w:r>
              <w:rPr>
                <w:rFonts w:hint="eastAsia" w:ascii="宋体" w:hAnsi="宋体" w:eastAsia="宋体" w:cs="宋体"/>
                <w:color w:val="auto"/>
                <w:szCs w:val="21"/>
                <w:highlight w:val="none"/>
              </w:rPr>
              <w:t>详见竞争性磋商公告</w:t>
            </w:r>
            <w:bookmarkEnd w:id="46"/>
            <w:r>
              <w:rPr>
                <w:rFonts w:hint="eastAsia" w:ascii="宋体" w:hAnsi="宋体" w:eastAsia="宋体" w:cs="宋体"/>
                <w:color w:val="auto"/>
                <w:szCs w:val="21"/>
                <w:highlight w:val="none"/>
                <w:lang w:eastAsia="zh-CN"/>
              </w:rPr>
              <w:t>。</w:t>
            </w:r>
          </w:p>
        </w:tc>
      </w:tr>
      <w:tr w14:paraId="2DB5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17" w:type="dxa"/>
            <w:vAlign w:val="center"/>
          </w:tcPr>
          <w:p w14:paraId="4A6980A5">
            <w:pPr>
              <w:keepNext w:val="0"/>
              <w:keepLines w:val="0"/>
              <w:pageBreakBefore w:val="0"/>
              <w:widowControl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8595" w:type="dxa"/>
            <w:vAlign w:val="center"/>
          </w:tcPr>
          <w:p w14:paraId="3DAD4C9B">
            <w:pPr>
              <w:pStyle w:val="1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是否允许分包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不允许分包</w:t>
            </w:r>
            <w:r>
              <w:rPr>
                <w:rFonts w:hint="eastAsia" w:ascii="宋体" w:hAnsi="宋体" w:eastAsia="宋体" w:cs="宋体"/>
                <w:color w:val="auto"/>
                <w:szCs w:val="21"/>
                <w:highlight w:val="none"/>
                <w:lang w:eastAsia="zh-CN"/>
              </w:rPr>
              <w:t>。</w:t>
            </w:r>
          </w:p>
        </w:tc>
      </w:tr>
      <w:tr w14:paraId="19DF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17" w:type="dxa"/>
            <w:vAlign w:val="center"/>
          </w:tcPr>
          <w:p w14:paraId="6E35422F">
            <w:pPr>
              <w:keepNext w:val="0"/>
              <w:keepLines w:val="0"/>
              <w:pageBreakBefore w:val="0"/>
              <w:widowControl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8.7</w:t>
            </w:r>
          </w:p>
        </w:tc>
        <w:tc>
          <w:tcPr>
            <w:tcW w:w="8595" w:type="dxa"/>
            <w:vAlign w:val="center"/>
          </w:tcPr>
          <w:p w14:paraId="0D33373D">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响应文件的编制</w:t>
            </w:r>
          </w:p>
          <w:p w14:paraId="75EB5FE5">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7</w:t>
            </w:r>
            <w:r>
              <w:rPr>
                <w:rFonts w:hint="eastAsia" w:ascii="宋体" w:hAnsi="宋体" w:eastAsia="宋体" w:cs="宋体"/>
                <w:b/>
                <w:bCs/>
                <w:color w:val="auto"/>
                <w:highlight w:val="none"/>
              </w:rPr>
              <w:t>.1</w:t>
            </w:r>
            <w:r>
              <w:rPr>
                <w:rFonts w:hint="eastAsia" w:ascii="宋体" w:hAnsi="宋体" w:eastAsia="宋体" w:cs="宋体"/>
                <w:b/>
                <w:bCs/>
                <w:color w:val="auto"/>
                <w:szCs w:val="21"/>
                <w:highlight w:val="none"/>
              </w:rPr>
              <w:t>资格审查文件</w:t>
            </w:r>
          </w:p>
          <w:p w14:paraId="3A680D07">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法定代表人身份证明书及法定代表人有效身份证正反面复印件</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szCs w:val="21"/>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p>
          <w:p w14:paraId="3E114F3F">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授权委托书及代理人有效身份证正反面复印件（如有委托）</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委托时</w:t>
            </w:r>
            <w:r>
              <w:rPr>
                <w:rFonts w:hint="eastAsia" w:ascii="宋体" w:hAnsi="宋体" w:cs="宋体"/>
                <w:b/>
                <w:color w:val="auto"/>
                <w:szCs w:val="21"/>
                <w:highlight w:val="none"/>
                <w:lang w:val="en-US" w:eastAsia="zh-CN"/>
              </w:rPr>
              <w:t>必须提供，授权委托书</w:t>
            </w:r>
            <w:r>
              <w:rPr>
                <w:rFonts w:hint="eastAsia" w:ascii="宋体" w:hAnsi="宋体" w:cs="宋体"/>
                <w:b/>
                <w:color w:val="auto"/>
                <w:szCs w:val="21"/>
                <w:highlight w:val="none"/>
              </w:rPr>
              <w:t>由法定代表人及</w:t>
            </w:r>
            <w:r>
              <w:rPr>
                <w:rFonts w:hint="eastAsia" w:ascii="宋体" w:hAnsi="宋体" w:cs="宋体"/>
                <w:b/>
                <w:color w:val="auto"/>
                <w:szCs w:val="21"/>
                <w:highlight w:val="none"/>
                <w:lang w:eastAsia="zh-CN"/>
              </w:rPr>
              <w:t>其</w:t>
            </w:r>
            <w:r>
              <w:rPr>
                <w:rFonts w:hint="eastAsia" w:ascii="宋体" w:hAnsi="宋体" w:cs="宋体"/>
                <w:b/>
                <w:color w:val="auto"/>
                <w:szCs w:val="21"/>
                <w:highlight w:val="none"/>
              </w:rPr>
              <w:t>委托代理人签字，并加盖供应商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p>
          <w:p w14:paraId="1B99CF32">
            <w:pPr>
              <w:keepNext w:val="0"/>
              <w:keepLines w:val="0"/>
              <w:pageBreakBefore w:val="0"/>
              <w:widowControl w:val="0"/>
              <w:shd w:val="clear" w:color="auto" w:fill="FFFFFF"/>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有效营业执照、资质证书、</w:t>
            </w:r>
            <w:r>
              <w:rPr>
                <w:rFonts w:hint="eastAsia" w:ascii="宋体" w:hAnsi="宋体" w:eastAsia="宋体" w:cs="宋体"/>
                <w:bCs/>
                <w:color w:val="auto"/>
                <w:szCs w:val="21"/>
                <w:highlight w:val="none"/>
              </w:rPr>
              <w:t>企业安全生产许可证复印件</w:t>
            </w:r>
            <w:r>
              <w:rPr>
                <w:rFonts w:hint="eastAsia" w:ascii="宋体" w:hAnsi="宋体" w:eastAsia="宋体" w:cs="宋体"/>
                <w:b/>
                <w:bCs/>
                <w:color w:val="auto"/>
                <w:szCs w:val="21"/>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p>
          <w:p w14:paraId="27C628BD">
            <w:pPr>
              <w:pStyle w:val="10"/>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lang w:val="en-US" w:eastAsia="zh-CN" w:bidi="ar-SA"/>
              </w:rPr>
              <w:t>4</w:t>
            </w:r>
            <w:r>
              <w:rPr>
                <w:rFonts w:hint="eastAsia" w:ascii="宋体" w:hAnsi="宋体" w:eastAsia="宋体" w:cs="宋体"/>
                <w:color w:val="auto"/>
                <w:kern w:val="2"/>
                <w:sz w:val="21"/>
                <w:szCs w:val="24"/>
                <w:highlight w:val="none"/>
                <w:lang w:val="en-US" w:eastAsia="zh-CN" w:bidi="ar-SA"/>
              </w:rPr>
              <w:t>）项目经理资格：拟投入本项目的项目经理</w:t>
            </w:r>
            <w:r>
              <w:rPr>
                <w:rFonts w:hint="eastAsia"/>
                <w:color w:val="auto"/>
                <w:highlight w:val="none"/>
                <w:lang w:val="en-US" w:eastAsia="zh-CN"/>
              </w:rPr>
              <w:t>的有效</w:t>
            </w:r>
            <w:r>
              <w:rPr>
                <w:rFonts w:hint="eastAsia" w:ascii="宋体" w:hAnsi="宋体" w:eastAsia="宋体" w:cs="宋体"/>
                <w:color w:val="auto"/>
                <w:kern w:val="2"/>
                <w:sz w:val="21"/>
                <w:szCs w:val="24"/>
                <w:highlight w:val="none"/>
                <w:lang w:val="en-US" w:eastAsia="zh-CN" w:bidi="ar-SA"/>
              </w:rPr>
              <w:t>第二代身份证正反面复印件、注册建造师证书复印件及安全生产考核合格证（B证）证件复印件</w:t>
            </w:r>
            <w:r>
              <w:rPr>
                <w:rFonts w:hint="eastAsia" w:ascii="宋体" w:hAnsi="宋体" w:eastAsia="宋体" w:cs="宋体"/>
                <w:b/>
                <w:bCs/>
                <w:color w:val="auto"/>
                <w:szCs w:val="21"/>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p>
          <w:p w14:paraId="72DF43C8">
            <w:pPr>
              <w:keepNext w:val="0"/>
              <w:keepLines w:val="0"/>
              <w:pageBreakBefore w:val="0"/>
              <w:widowControl w:val="0"/>
              <w:numPr>
                <w:ilvl w:val="0"/>
                <w:numId w:val="0"/>
              </w:numPr>
              <w:shd w:val="clear" w:color="auto" w:fill="FFFFFF"/>
              <w:tabs>
                <w:tab w:val="left" w:pos="826"/>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b/>
                <w:bCs/>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）防城港市政府采购供应商信用承诺函（格式后附）；</w:t>
            </w:r>
            <w:r>
              <w:rPr>
                <w:rFonts w:hint="eastAsia" w:ascii="宋体" w:hAnsi="宋体" w:eastAsia="宋体" w:cs="宋体"/>
                <w:b/>
                <w:bCs/>
                <w:color w:val="auto"/>
                <w:highlight w:val="none"/>
                <w:lang w:val="en-US" w:eastAsia="zh-CN"/>
              </w:rPr>
              <w:t>（必须提供，否则响应文件作无效响应处理）</w:t>
            </w:r>
            <w:r>
              <w:rPr>
                <w:rFonts w:hint="eastAsia" w:ascii="宋体" w:hAnsi="宋体" w:eastAsia="宋体" w:cs="宋体"/>
                <w:b/>
                <w:bCs/>
                <w:color w:val="auto"/>
                <w:highlight w:val="none"/>
              </w:rPr>
              <w:t>；</w:t>
            </w:r>
          </w:p>
          <w:p w14:paraId="4554CEA7">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u w:val="none"/>
                <w:lang w:val="en-US" w:eastAsia="zh-CN"/>
              </w:rPr>
              <w:t>本项目为专门面向小微企业采购的项目。</w:t>
            </w:r>
            <w:r>
              <w:rPr>
                <w:rFonts w:hint="eastAsia" w:ascii="宋体" w:hAnsi="宋体" w:eastAsia="宋体" w:cs="宋体"/>
                <w:color w:val="auto"/>
                <w:szCs w:val="21"/>
                <w:highlight w:val="none"/>
                <w:lang w:val="en-US" w:eastAsia="zh-CN"/>
              </w:rPr>
              <w:t>供应商必须</w:t>
            </w:r>
            <w:r>
              <w:rPr>
                <w:rFonts w:hint="eastAsia" w:ascii="宋体" w:hAnsi="宋体" w:eastAsia="宋体" w:cs="宋体"/>
                <w:color w:val="auto"/>
                <w:szCs w:val="21"/>
                <w:highlight w:val="none"/>
                <w:lang w:eastAsia="zh-CN"/>
              </w:rPr>
              <w:t>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cs="宋体"/>
                <w:color w:val="auto"/>
                <w:szCs w:val="21"/>
                <w:highlight w:val="none"/>
                <w:lang w:val="en-US" w:eastAsia="zh-CN"/>
              </w:rPr>
              <w:t>复印件</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szCs w:val="21"/>
                <w:highlight w:val="none"/>
                <w:lang w:eastAsia="zh-CN"/>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lang w:eastAsia="zh-CN"/>
              </w:rPr>
              <w:t>）</w:t>
            </w:r>
            <w:r>
              <w:rPr>
                <w:rFonts w:hint="eastAsia" w:ascii="宋体" w:hAnsi="宋体" w:cs="宋体"/>
                <w:color w:val="auto"/>
                <w:szCs w:val="21"/>
                <w:highlight w:val="none"/>
                <w:lang w:eastAsia="zh-CN"/>
              </w:rPr>
              <w:t>；</w:t>
            </w:r>
          </w:p>
          <w:p w14:paraId="167C00A7">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color w:val="auto"/>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除</w:t>
            </w:r>
            <w:r>
              <w:rPr>
                <w:rFonts w:hint="eastAsia" w:ascii="宋体" w:hAnsi="宋体" w:cs="宋体"/>
                <w:color w:val="auto"/>
                <w:szCs w:val="21"/>
                <w:highlight w:val="none"/>
                <w:lang w:val="en-US" w:eastAsia="zh-CN"/>
              </w:rPr>
              <w:t>竞争性</w:t>
            </w:r>
            <w:r>
              <w:rPr>
                <w:rFonts w:hint="eastAsia" w:ascii="宋体" w:hAnsi="宋体" w:cs="宋体"/>
                <w:color w:val="auto"/>
                <w:szCs w:val="21"/>
                <w:highlight w:val="none"/>
              </w:rPr>
              <w:t>磋商文件规定必须提供以外，供应商认为需要提供的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证明材料</w:t>
            </w:r>
            <w:r>
              <w:rPr>
                <w:rFonts w:hint="eastAsia" w:ascii="宋体" w:hAnsi="宋体" w:cs="宋体"/>
                <w:color w:val="auto"/>
                <w:szCs w:val="21"/>
                <w:highlight w:val="none"/>
                <w:lang w:eastAsia="zh-CN"/>
              </w:rPr>
              <w:t>。</w:t>
            </w:r>
          </w:p>
          <w:p w14:paraId="779EFA79">
            <w:pPr>
              <w:keepNext w:val="0"/>
              <w:keepLines w:val="0"/>
              <w:pageBreakBefore w:val="0"/>
              <w:shd w:val="clear" w:color="auto" w:fill="FFFFFF"/>
              <w:kinsoku/>
              <w:wordWrap/>
              <w:overflowPunct/>
              <w:topLinePunct w:val="0"/>
              <w:autoSpaceDE/>
              <w:autoSpaceDN/>
              <w:bidi w:val="0"/>
              <w:spacing w:line="452" w:lineRule="exact"/>
              <w:ind w:firstLine="422" w:firstLineChars="200"/>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7</w:t>
            </w:r>
            <w:r>
              <w:rPr>
                <w:rFonts w:hint="eastAsia" w:ascii="宋体" w:hAnsi="宋体" w:eastAsia="宋体" w:cs="宋体"/>
                <w:b/>
                <w:bCs/>
                <w:color w:val="auto"/>
                <w:highlight w:val="none"/>
              </w:rPr>
              <w:t>.2</w:t>
            </w:r>
            <w:r>
              <w:rPr>
                <w:rFonts w:hint="eastAsia" w:ascii="宋体" w:hAnsi="宋体" w:cs="宋体"/>
                <w:b/>
                <w:bCs/>
                <w:color w:val="auto"/>
                <w:szCs w:val="21"/>
                <w:highlight w:val="none"/>
                <w:lang w:val="en-US" w:eastAsia="zh-CN"/>
              </w:rPr>
              <w:t>报价</w:t>
            </w:r>
            <w:r>
              <w:rPr>
                <w:rFonts w:hint="eastAsia" w:ascii="宋体" w:hAnsi="宋体" w:eastAsia="宋体" w:cs="宋体"/>
                <w:b/>
                <w:bCs/>
                <w:color w:val="auto"/>
                <w:szCs w:val="21"/>
                <w:highlight w:val="none"/>
              </w:rPr>
              <w:t>文件</w:t>
            </w:r>
          </w:p>
          <w:p w14:paraId="57D3B526">
            <w:pPr>
              <w:keepNext w:val="0"/>
              <w:keepLines w:val="0"/>
              <w:pageBreakBefore w:val="0"/>
              <w:kinsoku/>
              <w:wordWrap/>
              <w:overflowPunct/>
              <w:topLinePunct w:val="0"/>
              <w:autoSpaceDE/>
              <w:autoSpaceDN/>
              <w:bidi w:val="0"/>
              <w:spacing w:line="452"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）磋商函</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kern w:val="0"/>
                <w:sz w:val="24"/>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p>
          <w:p w14:paraId="479E1C27">
            <w:pPr>
              <w:keepNext w:val="0"/>
              <w:keepLines w:val="0"/>
              <w:pageBreakBefore w:val="0"/>
              <w:shd w:val="clear" w:color="auto" w:fill="FFFFFF"/>
              <w:kinsoku/>
              <w:wordWrap/>
              <w:overflowPunct/>
              <w:topLinePunct w:val="0"/>
              <w:autoSpaceDE/>
              <w:autoSpaceDN/>
              <w:bidi w:val="0"/>
              <w:spacing w:line="452" w:lineRule="exact"/>
              <w:ind w:firstLine="420" w:firstLineChars="200"/>
              <w:textAlignment w:val="auto"/>
              <w:rPr>
                <w:rFonts w:hint="eastAsia" w:ascii="宋体" w:hAnsi="宋体" w:eastAsia="宋体" w:cs="宋体"/>
                <w:b/>
                <w:bCs/>
                <w:color w:val="auto"/>
                <w:highlight w:val="none"/>
                <w:lang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）已标价工程量清单</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部分</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kern w:val="0"/>
                <w:sz w:val="24"/>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cs="宋体"/>
                <w:b/>
                <w:bCs/>
                <w:color w:val="auto"/>
                <w:highlight w:val="none"/>
                <w:lang w:eastAsia="zh-CN"/>
              </w:rPr>
              <w:t>；</w:t>
            </w:r>
          </w:p>
          <w:p w14:paraId="421B828D">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cs="宋体"/>
                <w:color w:val="auto"/>
                <w:highlight w:val="none"/>
                <w:lang w:val="en-US" w:eastAsia="zh-CN"/>
              </w:rPr>
              <w:t>竞标报价表（部分格式见第五章）</w:t>
            </w:r>
            <w:r>
              <w:rPr>
                <w:rFonts w:hint="eastAsia" w:ascii="宋体" w:hAnsi="宋体" w:eastAsia="宋体" w:cs="宋体"/>
                <w:b/>
                <w:bCs/>
                <w:color w:val="auto"/>
                <w:kern w:val="0"/>
                <w:sz w:val="24"/>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cs="宋体"/>
                <w:b/>
                <w:bCs/>
                <w:color w:val="auto"/>
                <w:highlight w:val="none"/>
                <w:lang w:eastAsia="zh-CN"/>
              </w:rPr>
              <w:t>；</w:t>
            </w:r>
          </w:p>
          <w:p w14:paraId="4461F69B">
            <w:pPr>
              <w:keepNext w:val="0"/>
              <w:keepLines w:val="0"/>
              <w:pageBreakBefore w:val="0"/>
              <w:widowControl w:val="0"/>
              <w:kinsoku/>
              <w:wordWrap/>
              <w:overflowPunct/>
              <w:topLinePunct w:val="0"/>
              <w:autoSpaceDE/>
              <w:autoSpaceDN/>
              <w:bidi w:val="0"/>
              <w:adjustRightInd/>
              <w:spacing w:line="452" w:lineRule="exact"/>
              <w:ind w:firstLine="420" w:firstLineChars="200"/>
              <w:textAlignment w:val="auto"/>
              <w:rPr>
                <w:rFonts w:hint="eastAsia"/>
                <w:color w:val="auto"/>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除</w:t>
            </w:r>
            <w:r>
              <w:rPr>
                <w:rFonts w:hint="eastAsia" w:ascii="宋体" w:hAnsi="宋体" w:cs="宋体"/>
                <w:color w:val="auto"/>
                <w:szCs w:val="21"/>
                <w:highlight w:val="none"/>
                <w:lang w:val="en-US" w:eastAsia="zh-CN"/>
              </w:rPr>
              <w:t>竞争性</w:t>
            </w:r>
            <w:r>
              <w:rPr>
                <w:rFonts w:hint="eastAsia" w:ascii="宋体" w:hAnsi="宋体" w:cs="宋体"/>
                <w:color w:val="auto"/>
                <w:szCs w:val="21"/>
                <w:highlight w:val="none"/>
              </w:rPr>
              <w:t>磋商文件规定必须提供以外，供应商认为需要提供的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证明材料</w:t>
            </w:r>
            <w:r>
              <w:rPr>
                <w:rFonts w:hint="eastAsia" w:ascii="宋体" w:hAnsi="宋体" w:cs="宋体"/>
                <w:color w:val="auto"/>
                <w:szCs w:val="21"/>
                <w:highlight w:val="none"/>
                <w:lang w:eastAsia="zh-CN"/>
              </w:rPr>
              <w:t>。</w:t>
            </w:r>
          </w:p>
          <w:p w14:paraId="1530B36D">
            <w:pPr>
              <w:keepNext w:val="0"/>
              <w:keepLines w:val="0"/>
              <w:pageBreakBefore w:val="0"/>
              <w:shd w:val="clear" w:color="auto" w:fill="FFFFFF"/>
              <w:kinsoku/>
              <w:wordWrap/>
              <w:overflowPunct/>
              <w:topLinePunct w:val="0"/>
              <w:autoSpaceDE/>
              <w:autoSpaceDN/>
              <w:bidi w:val="0"/>
              <w:spacing w:line="452" w:lineRule="exact"/>
              <w:ind w:firstLine="422" w:firstLineChars="200"/>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7</w:t>
            </w:r>
            <w:r>
              <w:rPr>
                <w:rFonts w:hint="eastAsia" w:ascii="宋体" w:hAnsi="宋体" w:eastAsia="宋体" w:cs="宋体"/>
                <w:b/>
                <w:bCs/>
                <w:color w:val="auto"/>
                <w:highlight w:val="none"/>
              </w:rPr>
              <w:t>.3</w:t>
            </w:r>
            <w:r>
              <w:rPr>
                <w:rFonts w:hint="eastAsia" w:ascii="宋体" w:hAnsi="宋体" w:cs="宋体"/>
                <w:b/>
                <w:bCs/>
                <w:color w:val="auto"/>
                <w:highlight w:val="none"/>
                <w:lang w:val="en-US" w:eastAsia="zh-CN"/>
              </w:rPr>
              <w:t>商务</w:t>
            </w:r>
            <w:r>
              <w:rPr>
                <w:rFonts w:hint="eastAsia" w:ascii="宋体" w:hAnsi="宋体" w:eastAsia="宋体" w:cs="宋体"/>
                <w:b/>
                <w:bCs/>
                <w:color w:val="auto"/>
                <w:highlight w:val="none"/>
              </w:rPr>
              <w:t>技术标文件</w:t>
            </w:r>
          </w:p>
          <w:p w14:paraId="0E66D429">
            <w:pPr>
              <w:keepNext w:val="0"/>
              <w:keepLines w:val="0"/>
              <w:pageBreakBefore w:val="0"/>
              <w:widowControl w:val="0"/>
              <w:kinsoku/>
              <w:wordWrap/>
              <w:overflowPunct/>
              <w:topLinePunct w:val="0"/>
              <w:autoSpaceDE/>
              <w:autoSpaceDN/>
              <w:bidi w:val="0"/>
              <w:adjustRightInd/>
              <w:spacing w:line="45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szCs w:val="21"/>
                <w:highlight w:val="none"/>
                <w:lang w:eastAsia="zh-CN"/>
              </w:rPr>
              <w:t>农民工工资保障承诺书</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val="en-US" w:eastAsia="zh-CN"/>
              </w:rPr>
              <w:t>格式自拟，</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lang w:eastAsia="zh-CN"/>
              </w:rPr>
              <w:t>；</w:t>
            </w:r>
          </w:p>
          <w:p w14:paraId="701C4527">
            <w:pPr>
              <w:keepNext w:val="0"/>
              <w:keepLines w:val="0"/>
              <w:pageBreakBefore w:val="0"/>
              <w:kinsoku/>
              <w:wordWrap/>
              <w:overflowPunct/>
              <w:topLinePunct w:val="0"/>
              <w:autoSpaceDE/>
              <w:autoSpaceDN/>
              <w:bidi w:val="0"/>
              <w:spacing w:line="452"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）磋商函附录</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kern w:val="0"/>
                <w:sz w:val="24"/>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p>
          <w:p w14:paraId="1D746E54">
            <w:pPr>
              <w:keepNext w:val="0"/>
              <w:keepLines w:val="0"/>
              <w:pageBreakBefore w:val="0"/>
              <w:kinsoku/>
              <w:wordWrap/>
              <w:overflowPunct/>
              <w:topLinePunct w:val="0"/>
              <w:autoSpaceDE/>
              <w:autoSpaceDN/>
              <w:bidi w:val="0"/>
              <w:spacing w:line="452"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）施工组织设计</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部分</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w:t>
            </w:r>
          </w:p>
          <w:p w14:paraId="75B642D4">
            <w:pPr>
              <w:keepNext w:val="0"/>
              <w:keepLines w:val="0"/>
              <w:pageBreakBefore w:val="0"/>
              <w:kinsoku/>
              <w:wordWrap/>
              <w:overflowPunct/>
              <w:topLinePunct w:val="0"/>
              <w:autoSpaceDE/>
              <w:autoSpaceDN/>
              <w:bidi w:val="0"/>
              <w:spacing w:line="452"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）项目管理机构及人员配备</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部分</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w:t>
            </w:r>
          </w:p>
          <w:p w14:paraId="2EBF8013">
            <w:pPr>
              <w:keepNext w:val="0"/>
              <w:keepLines w:val="0"/>
              <w:pageBreakBefore w:val="0"/>
              <w:widowControl w:val="0"/>
              <w:shd w:val="clear" w:color="auto" w:fill="auto"/>
              <w:kinsoku/>
              <w:wordWrap/>
              <w:overflowPunct/>
              <w:topLinePunct w:val="0"/>
              <w:autoSpaceDE/>
              <w:autoSpaceDN/>
              <w:bidi w:val="0"/>
              <w:adjustRightInd/>
              <w:spacing w:line="452"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除</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文件规定必须提供以外，供应商认为需要提供的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证明材料</w:t>
            </w:r>
            <w:r>
              <w:rPr>
                <w:rFonts w:hint="eastAsia" w:ascii="宋体" w:hAnsi="宋体" w:cs="宋体"/>
                <w:color w:val="auto"/>
                <w:szCs w:val="21"/>
                <w:highlight w:val="none"/>
                <w:lang w:eastAsia="zh-CN"/>
              </w:rPr>
              <w:t>。</w:t>
            </w:r>
          </w:p>
        </w:tc>
      </w:tr>
      <w:tr w14:paraId="3162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17" w:type="dxa"/>
            <w:vAlign w:val="center"/>
          </w:tcPr>
          <w:p w14:paraId="049940B2">
            <w:pPr>
              <w:keepNext w:val="0"/>
              <w:keepLines w:val="0"/>
              <w:pageBreakBefore w:val="0"/>
              <w:widowControl w:val="0"/>
              <w:kinsoku/>
              <w:wordWrap/>
              <w:overflowPunct/>
              <w:topLinePunct w:val="0"/>
              <w:bidi w:val="0"/>
              <w:spacing w:line="420" w:lineRule="exact"/>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8595" w:type="dxa"/>
            <w:vAlign w:val="center"/>
          </w:tcPr>
          <w:p w14:paraId="1AA68FC6">
            <w:pPr>
              <w:pStyle w:val="10"/>
              <w:ind w:firstLine="420" w:firstLineChars="200"/>
              <w:rPr>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.响应文件电子版要求：</w:t>
            </w:r>
            <w:r>
              <w:rPr>
                <w:rFonts w:hint="eastAsia"/>
                <w:color w:val="auto"/>
                <w:highlight w:val="none"/>
              </w:rPr>
              <w:t>按照本竞争性磋商文件“第五章 响应文件格式”编写，第五章未附格式的，由供应商自行拟定。</w:t>
            </w:r>
          </w:p>
          <w:p w14:paraId="31DECDF2">
            <w:pPr>
              <w:keepNext w:val="0"/>
              <w:keepLines w:val="0"/>
              <w:pageBreakBefore w:val="0"/>
              <w:widowControl w:val="0"/>
              <w:kinsoku/>
              <w:wordWrap/>
              <w:overflowPunct/>
              <w:topLinePunct w:val="0"/>
              <w:bidi w:val="0"/>
              <w:adjustRightInd/>
              <w:snapToGrid w:val="0"/>
              <w:spacing w:line="398"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.响应文件电子版密封方式：电子响应文件通过平台有效CA加密后在“</w:t>
            </w:r>
            <w:r>
              <w:rPr>
                <w:rFonts w:hint="eastAsia" w:ascii="宋体" w:hAnsi="宋体" w:cs="宋体"/>
                <w:color w:val="auto"/>
                <w:highlight w:val="none"/>
                <w:lang w:val="en-US" w:eastAsia="zh-CN"/>
              </w:rPr>
              <w:t>广西政府采购云</w:t>
            </w:r>
            <w:r>
              <w:rPr>
                <w:rFonts w:hint="eastAsia" w:ascii="宋体" w:hAnsi="宋体" w:eastAsia="宋体" w:cs="宋体"/>
                <w:color w:val="auto"/>
                <w:highlight w:val="none"/>
              </w:rPr>
              <w:t>”平台投送。</w:t>
            </w:r>
          </w:p>
        </w:tc>
      </w:tr>
      <w:tr w14:paraId="57D8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17" w:type="dxa"/>
            <w:vAlign w:val="center"/>
          </w:tcPr>
          <w:p w14:paraId="5481C718">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8595" w:type="dxa"/>
            <w:vAlign w:val="center"/>
          </w:tcPr>
          <w:p w14:paraId="7E943B9E">
            <w:pPr>
              <w:keepNext w:val="0"/>
              <w:keepLines w:val="0"/>
              <w:pageBreakBefore w:val="0"/>
              <w:widowControl w:val="0"/>
              <w:kinsoku/>
              <w:wordWrap/>
              <w:overflowPunct/>
              <w:topLinePunct w:val="0"/>
              <w:bidi w:val="0"/>
              <w:adjustRightInd/>
              <w:snapToGrid w:val="0"/>
              <w:spacing w:line="398" w:lineRule="exact"/>
              <w:jc w:val="left"/>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报价</w:t>
            </w:r>
            <w:r>
              <w:rPr>
                <w:rFonts w:hint="eastAsia" w:ascii="宋体" w:hAnsi="宋体" w:eastAsia="宋体" w:cs="宋体"/>
                <w:color w:val="auto"/>
                <w:highlight w:val="none"/>
                <w:lang w:eastAsia="zh-CN"/>
              </w:rPr>
              <w:t>：供应商须根据采购人提供的</w:t>
            </w:r>
            <w:r>
              <w:rPr>
                <w:rFonts w:hint="eastAsia" w:ascii="宋体" w:hAnsi="宋体" w:eastAsia="宋体" w:cs="宋体"/>
                <w:color w:val="auto"/>
                <w:highlight w:val="none"/>
                <w:lang w:val="en-US" w:eastAsia="zh-CN"/>
              </w:rPr>
              <w:t>工程</w:t>
            </w:r>
            <w:r>
              <w:rPr>
                <w:rFonts w:hint="eastAsia" w:ascii="宋体" w:hAnsi="宋体" w:eastAsia="宋体" w:cs="宋体"/>
                <w:color w:val="auto"/>
                <w:highlight w:val="none"/>
                <w:lang w:eastAsia="zh-CN"/>
              </w:rPr>
              <w:t>清单及图纸编制完整的</w:t>
            </w:r>
            <w:bookmarkStart w:id="47" w:name="OLE_LINK23"/>
            <w:r>
              <w:rPr>
                <w:rFonts w:hint="eastAsia" w:ascii="宋体" w:hAnsi="宋体" w:eastAsia="宋体" w:cs="宋体"/>
                <w:color w:val="auto"/>
                <w:highlight w:val="none"/>
              </w:rPr>
              <w:t>工程量清单</w:t>
            </w:r>
            <w:r>
              <w:rPr>
                <w:rFonts w:hint="eastAsia" w:ascii="宋体" w:hAnsi="宋体" w:eastAsia="宋体" w:cs="宋体"/>
                <w:color w:val="auto"/>
                <w:highlight w:val="none"/>
                <w:lang w:eastAsia="zh-CN"/>
              </w:rPr>
              <w:t>报价文件</w:t>
            </w:r>
            <w:bookmarkEnd w:id="47"/>
            <w:r>
              <w:rPr>
                <w:rFonts w:hint="eastAsia" w:ascii="宋体" w:hAnsi="宋体" w:cs="宋体"/>
                <w:color w:val="auto"/>
                <w:highlight w:val="none"/>
                <w:lang w:eastAsia="zh-CN"/>
              </w:rPr>
              <w:t>。</w:t>
            </w:r>
          </w:p>
        </w:tc>
      </w:tr>
      <w:tr w14:paraId="2FF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17" w:type="dxa"/>
            <w:vAlign w:val="center"/>
          </w:tcPr>
          <w:p w14:paraId="1C729965">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.1</w:t>
            </w:r>
          </w:p>
        </w:tc>
        <w:tc>
          <w:tcPr>
            <w:tcW w:w="8595" w:type="dxa"/>
            <w:vAlign w:val="center"/>
          </w:tcPr>
          <w:p w14:paraId="010D8D39">
            <w:pPr>
              <w:keepNext w:val="0"/>
              <w:keepLines w:val="0"/>
              <w:pageBreakBefore w:val="0"/>
              <w:widowControl w:val="0"/>
              <w:shd w:val="clear" w:color="auto" w:fill="FFFFFF"/>
              <w:kinsoku/>
              <w:wordWrap/>
              <w:overflowPunct/>
              <w:topLinePunct w:val="0"/>
              <w:bidi w:val="0"/>
              <w:spacing w:line="4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竞标</w:t>
            </w:r>
            <w:r>
              <w:rPr>
                <w:rFonts w:hint="eastAsia" w:ascii="宋体" w:hAnsi="宋体" w:eastAsia="宋体" w:cs="宋体"/>
                <w:color w:val="auto"/>
                <w:szCs w:val="21"/>
                <w:highlight w:val="none"/>
              </w:rPr>
              <w:t>有效期：</w:t>
            </w:r>
            <w:r>
              <w:rPr>
                <w:rFonts w:hint="eastAsia" w:ascii="宋体" w:hAnsi="宋体" w:eastAsia="宋体" w:cs="宋体"/>
                <w:color w:val="auto"/>
                <w:spacing w:val="2"/>
                <w:highlight w:val="none"/>
              </w:rPr>
              <w:t>自首次响应文件提交截止时间起至政府采购合同签订之日止。</w:t>
            </w:r>
          </w:p>
        </w:tc>
      </w:tr>
      <w:tr w14:paraId="4FEB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17" w:type="dxa"/>
            <w:vAlign w:val="center"/>
          </w:tcPr>
          <w:p w14:paraId="76D01A48">
            <w:pPr>
              <w:keepNext w:val="0"/>
              <w:keepLines w:val="0"/>
              <w:pageBreakBefore w:val="0"/>
              <w:widowControl w:val="0"/>
              <w:kinsoku/>
              <w:wordWrap/>
              <w:overflowPunct/>
              <w:topLinePunct w:val="0"/>
              <w:bidi w:val="0"/>
              <w:spacing w:line="42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.1</w:t>
            </w:r>
          </w:p>
        </w:tc>
        <w:tc>
          <w:tcPr>
            <w:tcW w:w="8595" w:type="dxa"/>
            <w:vAlign w:val="center"/>
          </w:tcPr>
          <w:p w14:paraId="0A95880B">
            <w:pPr>
              <w:spacing w:line="360" w:lineRule="auto"/>
              <w:ind w:firstLine="422"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p>
        </w:tc>
      </w:tr>
      <w:tr w14:paraId="2F1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7" w:type="dxa"/>
            <w:vAlign w:val="center"/>
          </w:tcPr>
          <w:p w14:paraId="4C4BB920">
            <w:pPr>
              <w:keepNext w:val="0"/>
              <w:keepLines w:val="0"/>
              <w:pageBreakBefore w:val="0"/>
              <w:widowControl w:val="0"/>
              <w:kinsoku/>
              <w:wordWrap/>
              <w:overflowPunct/>
              <w:topLinePunct w:val="0"/>
              <w:bidi w:val="0"/>
              <w:spacing w:line="420" w:lineRule="exact"/>
              <w:jc w:val="center"/>
              <w:textAlignment w:val="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18</w:t>
            </w:r>
          </w:p>
        </w:tc>
        <w:tc>
          <w:tcPr>
            <w:tcW w:w="8595" w:type="dxa"/>
            <w:vAlign w:val="center"/>
          </w:tcPr>
          <w:p w14:paraId="1CF43DC0">
            <w:pPr>
              <w:keepNext w:val="0"/>
              <w:keepLines w:val="0"/>
              <w:pageBreakBefore w:val="0"/>
              <w:widowControl w:val="0"/>
              <w:kinsoku/>
              <w:wordWrap/>
              <w:overflowPunct/>
              <w:topLinePunct w:val="0"/>
              <w:bidi w:val="0"/>
              <w:adjustRightInd/>
              <w:snapToGrid w:val="0"/>
              <w:spacing w:line="398" w:lineRule="exact"/>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首次响应文件提交截止时间：详见竞争性磋商公告。</w:t>
            </w:r>
          </w:p>
          <w:p w14:paraId="3C9CBD3D">
            <w:pPr>
              <w:keepNext w:val="0"/>
              <w:keepLines w:val="0"/>
              <w:pageBreakBefore w:val="0"/>
              <w:widowControl w:val="0"/>
              <w:kinsoku/>
              <w:wordWrap/>
              <w:overflowPunct/>
              <w:topLinePunct w:val="0"/>
              <w:bidi w:val="0"/>
              <w:adjustRightInd/>
              <w:snapToGrid w:val="0"/>
              <w:spacing w:line="398" w:lineRule="exact"/>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首次响应文件提交地点：详见竞争性磋商公告。</w:t>
            </w:r>
          </w:p>
          <w:p w14:paraId="73833A38">
            <w:pPr>
              <w:keepNext w:val="0"/>
              <w:keepLines w:val="0"/>
              <w:pageBreakBefore w:val="0"/>
              <w:widowControl w:val="0"/>
              <w:kinsoku/>
              <w:wordWrap/>
              <w:overflowPunct/>
              <w:topLinePunct w:val="0"/>
              <w:bidi w:val="0"/>
              <w:adjustRightInd/>
              <w:snapToGrid w:val="0"/>
              <w:spacing w:line="398" w:lineRule="exact"/>
              <w:ind w:firstLine="420" w:firstLineChars="20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首次响应文件</w:t>
            </w:r>
            <w:r>
              <w:rPr>
                <w:rFonts w:hint="eastAsia" w:ascii="Times New Roman" w:hAnsi="Times New Roman" w:eastAsia="宋体" w:cs="Times New Roman"/>
                <w:color w:val="auto"/>
                <w:highlight w:val="none"/>
                <w:lang w:eastAsia="zh-CN"/>
              </w:rPr>
              <w:t>开启</w:t>
            </w:r>
            <w:r>
              <w:rPr>
                <w:rFonts w:hint="eastAsia" w:ascii="Times New Roman" w:hAnsi="Times New Roman" w:eastAsia="宋体" w:cs="Times New Roman"/>
                <w:color w:val="auto"/>
                <w:highlight w:val="none"/>
              </w:rPr>
              <w:t>时间</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详见竞争性磋商公告</w:t>
            </w:r>
            <w:r>
              <w:rPr>
                <w:rFonts w:hint="eastAsia" w:ascii="Times New Roman" w:hAnsi="Times New Roman" w:eastAsia="宋体" w:cs="Times New Roman"/>
                <w:color w:val="auto"/>
                <w:highlight w:val="none"/>
                <w:lang w:eastAsia="zh-CN"/>
              </w:rPr>
              <w:t>。</w:t>
            </w:r>
          </w:p>
          <w:p w14:paraId="6E89362B">
            <w:pPr>
              <w:keepNext w:val="0"/>
              <w:keepLines w:val="0"/>
              <w:pageBreakBefore w:val="0"/>
              <w:widowControl w:val="0"/>
              <w:kinsoku/>
              <w:wordWrap/>
              <w:overflowPunct/>
              <w:topLinePunct w:val="0"/>
              <w:bidi w:val="0"/>
              <w:adjustRightInd/>
              <w:snapToGrid w:val="0"/>
              <w:spacing w:line="398" w:lineRule="exact"/>
              <w:ind w:firstLine="420" w:firstLineChars="200"/>
              <w:jc w:val="left"/>
              <w:rPr>
                <w:rFonts w:hint="eastAsia" w:ascii="宋体" w:hAnsi="宋体" w:eastAsia="宋体" w:cs="宋体"/>
                <w:color w:val="auto"/>
                <w:szCs w:val="21"/>
                <w:highlight w:val="none"/>
                <w:lang w:eastAsia="zh-CN"/>
              </w:rPr>
            </w:pPr>
            <w:r>
              <w:rPr>
                <w:rFonts w:hint="eastAsia" w:ascii="Times New Roman" w:hAnsi="Times New Roman" w:eastAsia="宋体" w:cs="Times New Roman"/>
                <w:color w:val="auto"/>
                <w:highlight w:val="none"/>
              </w:rPr>
              <w:t>备份响应文件</w:t>
            </w:r>
            <w:r>
              <w:rPr>
                <w:rFonts w:hint="eastAsia" w:ascii="Times New Roman" w:hAnsi="Times New Roman" w:eastAsia="宋体" w:cs="Times New Roman"/>
                <w:color w:val="auto"/>
                <w:highlight w:val="none"/>
                <w:lang w:eastAsia="zh-CN"/>
              </w:rPr>
              <w:t>：</w:t>
            </w:r>
            <w:r>
              <w:rPr>
                <w:rFonts w:hint="eastAsia" w:ascii="宋体" w:hAnsi="宋体" w:eastAsia="宋体" w:cs="宋体"/>
                <w:color w:val="auto"/>
                <w:szCs w:val="21"/>
                <w:highlight w:val="none"/>
              </w:rPr>
              <w:t>本项目不接受备份响应文件</w:t>
            </w:r>
            <w:r>
              <w:rPr>
                <w:rFonts w:hint="eastAsia" w:ascii="宋体" w:hAnsi="宋体" w:eastAsia="宋体" w:cs="宋体"/>
                <w:color w:val="auto"/>
                <w:szCs w:val="21"/>
                <w:highlight w:val="none"/>
                <w:lang w:eastAsia="zh-CN"/>
              </w:rPr>
              <w:t>。</w:t>
            </w:r>
          </w:p>
        </w:tc>
      </w:tr>
      <w:tr w14:paraId="754E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7" w:type="dxa"/>
            <w:vAlign w:val="center"/>
          </w:tcPr>
          <w:p w14:paraId="07DC1516">
            <w:pPr>
              <w:keepNext w:val="0"/>
              <w:keepLines w:val="0"/>
              <w:pageBreakBefore w:val="0"/>
              <w:widowControl w:val="0"/>
              <w:kinsoku/>
              <w:wordWrap/>
              <w:overflowPunct/>
              <w:topLinePunct w:val="0"/>
              <w:bidi w:val="0"/>
              <w:adjustRightInd/>
              <w:spacing w:line="398"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21</w:t>
            </w:r>
          </w:p>
        </w:tc>
        <w:tc>
          <w:tcPr>
            <w:tcW w:w="8595" w:type="dxa"/>
            <w:vAlign w:val="center"/>
          </w:tcPr>
          <w:p w14:paraId="1500CC0F">
            <w:pPr>
              <w:keepNext w:val="0"/>
              <w:keepLines w:val="0"/>
              <w:pageBreakBefore w:val="0"/>
              <w:widowControl w:val="0"/>
              <w:kinsoku/>
              <w:wordWrap/>
              <w:overflowPunct/>
              <w:topLinePunct w:val="0"/>
              <w:bidi w:val="0"/>
              <w:adjustRightInd/>
              <w:snapToGrid w:val="0"/>
              <w:spacing w:line="398" w:lineRule="exact"/>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w:t>
            </w:r>
          </w:p>
        </w:tc>
      </w:tr>
      <w:tr w14:paraId="42A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1017" w:type="dxa"/>
            <w:vAlign w:val="center"/>
          </w:tcPr>
          <w:p w14:paraId="0377C140">
            <w:pPr>
              <w:keepNext w:val="0"/>
              <w:keepLines w:val="0"/>
              <w:pageBreakBefore w:val="0"/>
              <w:widowControl w:val="0"/>
              <w:kinsoku/>
              <w:wordWrap/>
              <w:overflowPunct/>
              <w:topLinePunct w:val="0"/>
              <w:bidi w:val="0"/>
              <w:spacing w:line="42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23.3</w:t>
            </w:r>
          </w:p>
        </w:tc>
        <w:tc>
          <w:tcPr>
            <w:tcW w:w="8595" w:type="dxa"/>
            <w:vAlign w:val="center"/>
          </w:tcPr>
          <w:p w14:paraId="1DB007E9">
            <w:pPr>
              <w:pStyle w:val="1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21A4AFA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p w14:paraId="5FA4B3CD">
            <w:pPr>
              <w:pStyle w:val="10"/>
              <w:spacing w:line="360" w:lineRule="auto"/>
              <w:ind w:firstLine="422" w:firstLineChars="200"/>
              <w:rPr>
                <w:rFonts w:hint="eastAsia" w:ascii="宋体" w:hAnsi="宋体" w:eastAsia="宋体" w:cs="宋体"/>
                <w:color w:val="auto"/>
                <w:highlight w:val="none"/>
                <w:lang w:eastAsia="zh-CN"/>
              </w:rPr>
            </w:pPr>
            <w:r>
              <w:rPr>
                <w:rFonts w:hint="eastAsia" w:ascii="宋体" w:hAnsi="宋体" w:eastAsia="宋体" w:cs="宋体"/>
                <w:b/>
                <w:color w:val="auto"/>
                <w:szCs w:val="21"/>
                <w:highlight w:val="none"/>
              </w:rPr>
              <w:t>参与磋商前，磋商小组</w:t>
            </w:r>
            <w:r>
              <w:rPr>
                <w:rFonts w:hint="eastAsia" w:ascii="宋体" w:hAnsi="宋体" w:eastAsia="宋体" w:cs="宋体"/>
                <w:b/>
                <w:color w:val="auto"/>
                <w:szCs w:val="21"/>
                <w:highlight w:val="none"/>
                <w:lang w:eastAsia="zh-CN"/>
              </w:rPr>
              <w:t>如有要求，</w:t>
            </w:r>
            <w:r>
              <w:rPr>
                <w:rFonts w:hint="eastAsia" w:ascii="宋体" w:hAnsi="宋体" w:eastAsia="宋体" w:cs="宋体"/>
                <w:b/>
                <w:color w:val="auto"/>
                <w:szCs w:val="21"/>
                <w:highlight w:val="none"/>
              </w:rPr>
              <w:t>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5F0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17" w:type="dxa"/>
            <w:vAlign w:val="center"/>
          </w:tcPr>
          <w:p w14:paraId="1FE26F54">
            <w:pPr>
              <w:keepNext w:val="0"/>
              <w:keepLines w:val="0"/>
              <w:pageBreakBefore w:val="0"/>
              <w:widowControl w:val="0"/>
              <w:kinsoku/>
              <w:wordWrap/>
              <w:overflowPunct/>
              <w:topLinePunct w:val="0"/>
              <w:bidi w:val="0"/>
              <w:adjustRightInd/>
              <w:spacing w:line="398"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8595" w:type="dxa"/>
            <w:vAlign w:val="center"/>
          </w:tcPr>
          <w:p w14:paraId="20DC2BE6">
            <w:pPr>
              <w:pStyle w:val="1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履约保证金</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履约保证金。</w:t>
            </w:r>
          </w:p>
        </w:tc>
      </w:tr>
      <w:tr w14:paraId="5933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17" w:type="dxa"/>
            <w:vAlign w:val="center"/>
          </w:tcPr>
          <w:p w14:paraId="3EC882B0">
            <w:pPr>
              <w:keepNext w:val="0"/>
              <w:keepLines w:val="0"/>
              <w:pageBreakBefore w:val="0"/>
              <w:widowControl w:val="0"/>
              <w:kinsoku/>
              <w:wordWrap/>
              <w:overflowPunct/>
              <w:topLinePunct w:val="0"/>
              <w:bidi w:val="0"/>
              <w:adjustRightInd/>
              <w:spacing w:line="398"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8595" w:type="dxa"/>
            <w:vAlign w:val="center"/>
          </w:tcPr>
          <w:p w14:paraId="07CC9BF6">
            <w:pPr>
              <w:pStyle w:val="1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签订合同携带的材料：</w:t>
            </w:r>
          </w:p>
          <w:p w14:paraId="1DF53023">
            <w:pPr>
              <w:pStyle w:val="1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法定代表人</w:t>
            </w:r>
            <w:r>
              <w:rPr>
                <w:rFonts w:hint="eastAsia"/>
                <w:color w:val="auto"/>
                <w:highlight w:val="none"/>
                <w:lang w:val="en-US" w:eastAsia="zh-CN"/>
              </w:rPr>
              <w:t>签订合同时</w:t>
            </w:r>
            <w:r>
              <w:rPr>
                <w:rFonts w:hint="eastAsia" w:ascii="宋体" w:hAnsi="宋体" w:eastAsia="宋体" w:cs="宋体"/>
                <w:color w:val="auto"/>
                <w:szCs w:val="21"/>
                <w:highlight w:val="none"/>
              </w:rPr>
              <w:t>，须携带法定代表人身份证明原件及身份证原件等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r>
              <w:rPr>
                <w:rFonts w:hint="eastAsia" w:ascii="宋体" w:hAnsi="宋体" w:eastAsia="宋体" w:cs="宋体"/>
                <w:color w:val="auto"/>
                <w:szCs w:val="21"/>
                <w:highlight w:val="none"/>
                <w:lang w:eastAsia="zh-CN"/>
              </w:rPr>
              <w:t>。</w:t>
            </w:r>
          </w:p>
        </w:tc>
      </w:tr>
      <w:tr w14:paraId="7407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17" w:type="dxa"/>
            <w:vMerge w:val="restart"/>
            <w:vAlign w:val="center"/>
          </w:tcPr>
          <w:p w14:paraId="550BF590">
            <w:pPr>
              <w:keepNext w:val="0"/>
              <w:keepLines w:val="0"/>
              <w:pageBreakBefore w:val="0"/>
              <w:widowControl w:val="0"/>
              <w:kinsoku/>
              <w:wordWrap/>
              <w:overflowPunct/>
              <w:topLinePunct w:val="0"/>
              <w:bidi w:val="0"/>
              <w:adjustRightInd/>
              <w:spacing w:line="398"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8595" w:type="dxa"/>
            <w:vAlign w:val="center"/>
          </w:tcPr>
          <w:p w14:paraId="2F8F13C8">
            <w:pPr>
              <w:keepNext w:val="0"/>
              <w:keepLines w:val="0"/>
              <w:pageBreakBefore w:val="0"/>
              <w:widowControl w:val="0"/>
              <w:kinsoku/>
              <w:wordWrap/>
              <w:overflowPunct/>
              <w:topLinePunct w:val="0"/>
              <w:bidi w:val="0"/>
              <w:adjustRightInd/>
              <w:snapToGrid w:val="0"/>
              <w:spacing w:line="398"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接收质疑函方式</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以书面形式</w:t>
            </w:r>
          </w:p>
        </w:tc>
      </w:tr>
      <w:tr w14:paraId="1C8B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7" w:type="dxa"/>
            <w:vMerge w:val="continue"/>
            <w:vAlign w:val="center"/>
          </w:tcPr>
          <w:p w14:paraId="2F319AB3">
            <w:pPr>
              <w:keepNext w:val="0"/>
              <w:keepLines w:val="0"/>
              <w:pageBreakBefore w:val="0"/>
              <w:widowControl w:val="0"/>
              <w:kinsoku/>
              <w:wordWrap/>
              <w:overflowPunct/>
              <w:topLinePunct w:val="0"/>
              <w:bidi w:val="0"/>
              <w:adjustRightInd/>
              <w:spacing w:line="398" w:lineRule="exact"/>
              <w:jc w:val="center"/>
              <w:rPr>
                <w:rFonts w:hint="eastAsia" w:ascii="宋体" w:hAnsi="宋体" w:cs="宋体"/>
                <w:color w:val="auto"/>
                <w:szCs w:val="21"/>
                <w:highlight w:val="none"/>
                <w:lang w:val="en-US" w:eastAsia="zh-CN"/>
              </w:rPr>
            </w:pPr>
          </w:p>
        </w:tc>
        <w:tc>
          <w:tcPr>
            <w:tcW w:w="8595" w:type="dxa"/>
            <w:vAlign w:val="center"/>
          </w:tcPr>
          <w:p w14:paraId="2A190241">
            <w:pPr>
              <w:spacing w:line="380" w:lineRule="exact"/>
              <w:ind w:firstLine="422" w:firstLineChars="200"/>
              <w:jc w:val="both"/>
              <w:rPr>
                <w:rFonts w:hint="eastAsia" w:ascii="Times New Roman" w:hAnsi="Times New Roman" w:eastAsia="宋体" w:cs="Times New Roman"/>
                <w:b/>
                <w:bCs/>
                <w:color w:val="auto"/>
                <w:highlight w:val="none"/>
                <w:lang w:eastAsia="zh-CN"/>
              </w:rPr>
            </w:pPr>
            <w:r>
              <w:rPr>
                <w:rFonts w:hint="eastAsia"/>
                <w:b/>
                <w:bCs/>
                <w:color w:val="auto"/>
                <w:highlight w:val="none"/>
              </w:rPr>
              <w:t>质</w:t>
            </w:r>
            <w:r>
              <w:rPr>
                <w:rFonts w:hint="eastAsia" w:ascii="Times New Roman" w:hAnsi="Times New Roman" w:eastAsia="宋体" w:cs="Times New Roman"/>
                <w:b/>
                <w:bCs/>
                <w:color w:val="auto"/>
                <w:highlight w:val="none"/>
              </w:rPr>
              <w:t>疑联系部门及联系方式</w:t>
            </w:r>
            <w:r>
              <w:rPr>
                <w:rFonts w:hint="eastAsia" w:ascii="Times New Roman" w:hAnsi="Times New Roman" w:eastAsia="宋体" w:cs="Times New Roman"/>
                <w:b/>
                <w:bCs/>
                <w:color w:val="auto"/>
                <w:highlight w:val="none"/>
                <w:lang w:eastAsia="zh-CN"/>
              </w:rPr>
              <w:t>：</w:t>
            </w:r>
          </w:p>
          <w:p w14:paraId="1D4EF714">
            <w:pPr>
              <w:spacing w:line="380" w:lineRule="exact"/>
              <w:ind w:firstLine="42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名称：</w:t>
            </w:r>
            <w:r>
              <w:rPr>
                <w:rFonts w:hint="eastAsia" w:ascii="宋体" w:hAnsi="宋体" w:cs="宋体"/>
                <w:color w:val="auto"/>
                <w:kern w:val="0"/>
                <w:sz w:val="21"/>
                <w:szCs w:val="21"/>
                <w:highlight w:val="none"/>
                <w:lang w:val="en-US" w:eastAsia="zh-CN"/>
              </w:rPr>
              <w:t>防城港市港口区人民法院</w:t>
            </w:r>
          </w:p>
          <w:p w14:paraId="35BCE7A3">
            <w:pPr>
              <w:spacing w:line="380" w:lineRule="exact"/>
              <w:ind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地    址：</w:t>
            </w:r>
            <w:r>
              <w:rPr>
                <w:rFonts w:hint="eastAsia" w:ascii="宋体" w:hAnsi="宋体"/>
                <w:color w:val="auto"/>
                <w:szCs w:val="21"/>
                <w:highlight w:val="none"/>
                <w:lang w:eastAsia="zh-CN"/>
              </w:rPr>
              <w:t>广西防城港市港口区建政路1号</w:t>
            </w:r>
          </w:p>
          <w:p w14:paraId="469C1BCB">
            <w:pPr>
              <w:keepNext w:val="0"/>
              <w:keepLines w:val="0"/>
              <w:pageBreakBefore w:val="0"/>
              <w:widowControl w:val="0"/>
              <w:kinsoku/>
              <w:wordWrap/>
              <w:overflowPunct/>
              <w:topLinePunct w:val="0"/>
              <w:bidi w:val="0"/>
              <w:spacing w:line="420" w:lineRule="exact"/>
              <w:ind w:firstLine="420" w:firstLineChars="200"/>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联系方式：</w:t>
            </w:r>
            <w:r>
              <w:rPr>
                <w:rFonts w:hint="eastAsia" w:ascii="宋体" w:hAnsi="宋体"/>
                <w:color w:val="auto"/>
                <w:szCs w:val="21"/>
                <w:highlight w:val="none"/>
                <w:lang w:val="en-US" w:eastAsia="zh-CN"/>
              </w:rPr>
              <w:t>0770-2863001</w:t>
            </w:r>
            <w:r>
              <w:rPr>
                <w:rFonts w:hint="eastAsia" w:ascii="宋体" w:hAnsi="宋体" w:cs="宋体"/>
                <w:color w:val="auto"/>
                <w:highlight w:val="none"/>
                <w:lang w:val="en-US" w:eastAsia="zh-CN"/>
              </w:rPr>
              <w:t xml:space="preserve"> </w:t>
            </w:r>
            <w:r>
              <w:rPr>
                <w:rFonts w:hint="eastAsia" w:ascii="宋体" w:hAnsi="宋体"/>
                <w:color w:val="auto"/>
                <w:szCs w:val="21"/>
                <w:highlight w:val="none"/>
                <w:lang w:val="en-US" w:eastAsia="zh-CN"/>
              </w:rPr>
              <w:t xml:space="preserve">；  </w:t>
            </w:r>
          </w:p>
          <w:p w14:paraId="77A0F409">
            <w:pPr>
              <w:spacing w:line="380" w:lineRule="exact"/>
              <w:ind w:firstLine="42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名称：</w:t>
            </w:r>
            <w:r>
              <w:rPr>
                <w:rFonts w:hint="eastAsia" w:ascii="宋体" w:hAnsi="宋体" w:cs="宋体"/>
                <w:color w:val="auto"/>
                <w:kern w:val="2"/>
                <w:sz w:val="21"/>
                <w:szCs w:val="21"/>
                <w:highlight w:val="none"/>
                <w:lang w:val="en-US" w:eastAsia="zh-CN"/>
              </w:rPr>
              <w:t>广西德元工程项目管理有限责任公司</w:t>
            </w:r>
          </w:p>
          <w:p w14:paraId="3F30C5AB">
            <w:pPr>
              <w:spacing w:line="380" w:lineRule="exact"/>
              <w:ind w:firstLine="42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w:t>
            </w:r>
            <w:r>
              <w:rPr>
                <w:rFonts w:hint="eastAsia" w:ascii="宋体" w:hAnsi="宋体" w:cs="宋体"/>
                <w:color w:val="auto"/>
                <w:highlight w:val="none"/>
                <w:lang w:val="en-US" w:eastAsia="zh-CN"/>
              </w:rPr>
              <w:t>龙海霞</w:t>
            </w:r>
            <w:r>
              <w:rPr>
                <w:rFonts w:hint="eastAsia" w:ascii="宋体" w:hAnsi="宋体" w:eastAsia="宋体" w:cs="宋体"/>
                <w:color w:val="auto"/>
                <w:highlight w:val="none"/>
              </w:rPr>
              <w:t>；</w:t>
            </w:r>
            <w:r>
              <w:rPr>
                <w:rFonts w:hint="eastAsia" w:ascii="宋体" w:hAnsi="宋体" w:cs="宋体"/>
                <w:color w:val="auto"/>
                <w:highlight w:val="none"/>
                <w:lang w:eastAsia="zh-CN"/>
              </w:rPr>
              <w:t>0771-5084767</w:t>
            </w:r>
          </w:p>
          <w:p w14:paraId="5DC88261">
            <w:pPr>
              <w:spacing w:line="380" w:lineRule="exact"/>
              <w:ind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通讯地址：</w:t>
            </w:r>
            <w:r>
              <w:rPr>
                <w:rFonts w:hint="eastAsia" w:ascii="宋体" w:hAnsi="宋体" w:cs="Times New Roman"/>
                <w:color w:val="auto"/>
                <w:kern w:val="2"/>
                <w:sz w:val="21"/>
                <w:szCs w:val="21"/>
                <w:highlight w:val="none"/>
                <w:lang w:val="en-US" w:eastAsia="zh-CN" w:bidi="ar-SA"/>
              </w:rPr>
              <w:t>南宁市良庆区凯旋路15号绿地中心7号楼8楼</w:t>
            </w:r>
          </w:p>
        </w:tc>
      </w:tr>
      <w:tr w14:paraId="1231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7" w:type="dxa"/>
            <w:vMerge w:val="continue"/>
            <w:vAlign w:val="center"/>
          </w:tcPr>
          <w:p w14:paraId="45D435B3">
            <w:pPr>
              <w:keepNext w:val="0"/>
              <w:keepLines w:val="0"/>
              <w:pageBreakBefore w:val="0"/>
              <w:widowControl w:val="0"/>
              <w:kinsoku/>
              <w:wordWrap/>
              <w:overflowPunct/>
              <w:topLinePunct w:val="0"/>
              <w:bidi w:val="0"/>
              <w:adjustRightInd/>
              <w:spacing w:line="398" w:lineRule="exact"/>
              <w:jc w:val="center"/>
              <w:rPr>
                <w:rFonts w:hint="eastAsia" w:ascii="宋体" w:hAnsi="宋体" w:cs="宋体"/>
                <w:color w:val="auto"/>
                <w:szCs w:val="21"/>
                <w:highlight w:val="none"/>
                <w:lang w:val="en-US" w:eastAsia="zh-CN"/>
              </w:rPr>
            </w:pPr>
          </w:p>
        </w:tc>
        <w:tc>
          <w:tcPr>
            <w:tcW w:w="8595" w:type="dxa"/>
            <w:vAlign w:val="center"/>
          </w:tcPr>
          <w:p w14:paraId="208F5A1B">
            <w:pPr>
              <w:spacing w:line="380" w:lineRule="exact"/>
              <w:jc w:val="both"/>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现场提交质疑办理业务时间</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cs="宋体"/>
                <w:color w:val="auto"/>
                <w:highlight w:val="none"/>
                <w:u w:val="single"/>
                <w:lang w:val="en-US" w:eastAsia="zh-CN"/>
              </w:rPr>
              <w:t>3</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cs="宋体"/>
                <w:color w:val="auto"/>
                <w:highlight w:val="none"/>
                <w:u w:val="single"/>
                <w:lang w:val="en-US" w:eastAsia="zh-CN"/>
              </w:rPr>
              <w:t>6</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14:paraId="0828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7" w:type="dxa"/>
            <w:vMerge w:val="continue"/>
            <w:vAlign w:val="center"/>
          </w:tcPr>
          <w:p w14:paraId="7C89E033">
            <w:pPr>
              <w:keepNext w:val="0"/>
              <w:keepLines w:val="0"/>
              <w:pageBreakBefore w:val="0"/>
              <w:widowControl w:val="0"/>
              <w:kinsoku/>
              <w:wordWrap/>
              <w:overflowPunct/>
              <w:topLinePunct w:val="0"/>
              <w:bidi w:val="0"/>
              <w:adjustRightInd/>
              <w:spacing w:line="398" w:lineRule="exact"/>
              <w:jc w:val="center"/>
              <w:rPr>
                <w:rFonts w:hint="eastAsia" w:ascii="宋体" w:hAnsi="宋体" w:cs="宋体"/>
                <w:color w:val="auto"/>
                <w:szCs w:val="21"/>
                <w:highlight w:val="none"/>
                <w:lang w:val="en-US" w:eastAsia="zh-CN"/>
              </w:rPr>
            </w:pPr>
          </w:p>
        </w:tc>
        <w:tc>
          <w:tcPr>
            <w:tcW w:w="8595" w:type="dxa"/>
            <w:vAlign w:val="center"/>
          </w:tcPr>
          <w:p w14:paraId="219CB097">
            <w:pPr>
              <w:spacing w:line="380" w:lineRule="exact"/>
              <w:ind w:firstLine="422" w:firstLineChars="200"/>
              <w:jc w:val="both"/>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受理投诉方式</w:t>
            </w:r>
            <w:r>
              <w:rPr>
                <w:rFonts w:hint="eastAsia" w:ascii="宋体" w:hAnsi="宋体" w:eastAsia="宋体" w:cs="宋体"/>
                <w:b/>
                <w:bCs/>
                <w:color w:val="auto"/>
                <w:highlight w:val="none"/>
                <w:lang w:eastAsia="zh-CN"/>
              </w:rPr>
              <w:t>：</w:t>
            </w:r>
          </w:p>
          <w:p w14:paraId="5F261787">
            <w:pPr>
              <w:spacing w:line="380" w:lineRule="exact"/>
              <w:ind w:firstLine="42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1.受理方式：纸质方式受理，投诉书正、副本（经过质疑的事项才可投诉）。</w:t>
            </w:r>
          </w:p>
          <w:p w14:paraId="1FD45C71">
            <w:pPr>
              <w:spacing w:line="380" w:lineRule="exact"/>
              <w:ind w:firstLine="42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2.通讯方式</w:t>
            </w:r>
          </w:p>
          <w:p w14:paraId="199840A7">
            <w:pPr>
              <w:spacing w:line="380" w:lineRule="exact"/>
              <w:ind w:firstLine="420" w:firstLineChars="200"/>
              <w:jc w:val="both"/>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名称：防城港市财政局</w:t>
            </w:r>
          </w:p>
          <w:p w14:paraId="7C118208">
            <w:pPr>
              <w:spacing w:line="380" w:lineRule="exact"/>
              <w:ind w:firstLine="420" w:firstLineChars="200"/>
              <w:jc w:val="both"/>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电话：0770-6102319</w:t>
            </w:r>
          </w:p>
        </w:tc>
      </w:tr>
      <w:tr w14:paraId="6D96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17" w:type="dxa"/>
            <w:vAlign w:val="center"/>
          </w:tcPr>
          <w:p w14:paraId="2F369526">
            <w:pPr>
              <w:keepNext w:val="0"/>
              <w:keepLines w:val="0"/>
              <w:pageBreakBefore w:val="0"/>
              <w:widowControl w:val="0"/>
              <w:kinsoku/>
              <w:wordWrap/>
              <w:overflowPunct/>
              <w:topLinePunct w:val="0"/>
              <w:bidi w:val="0"/>
              <w:spacing w:line="42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31.1</w:t>
            </w:r>
          </w:p>
        </w:tc>
        <w:tc>
          <w:tcPr>
            <w:tcW w:w="8595" w:type="dxa"/>
            <w:vAlign w:val="center"/>
          </w:tcPr>
          <w:p w14:paraId="799AD8A6">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w:t>
            </w:r>
          </w:p>
          <w:p w14:paraId="046B971B">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是    □ 否</w:t>
            </w:r>
          </w:p>
          <w:p w14:paraId="68F4AA60">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费支付方式：</w:t>
            </w:r>
          </w:p>
          <w:p w14:paraId="28204778">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代理服务费由成交供应商在签订合同前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以银行转账、电汇等方式</w:t>
            </w:r>
            <w:r>
              <w:rPr>
                <w:rFonts w:hint="eastAsia" w:ascii="宋体" w:hAnsi="宋体" w:eastAsia="宋体" w:cs="宋体"/>
                <w:color w:val="auto"/>
                <w:kern w:val="0"/>
                <w:szCs w:val="21"/>
                <w:highlight w:val="none"/>
              </w:rPr>
              <w:t>一次性向采购代理机构支付。</w:t>
            </w:r>
          </w:p>
          <w:p w14:paraId="467DC6AF">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（支付方式）。</w:t>
            </w:r>
          </w:p>
          <w:p w14:paraId="7460991B">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费收取标准：</w:t>
            </w:r>
          </w:p>
          <w:p w14:paraId="0F705612">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成交</w:t>
            </w:r>
            <w:r>
              <w:rPr>
                <w:rFonts w:hint="eastAsia" w:ascii="宋体" w:hAnsi="宋体" w:eastAsia="宋体" w:cs="宋体"/>
                <w:color w:val="auto"/>
                <w:kern w:val="0"/>
                <w:szCs w:val="21"/>
                <w:highlight w:val="none"/>
                <w:lang w:eastAsia="zh-CN"/>
              </w:rPr>
              <w:t>总</w:t>
            </w:r>
            <w:r>
              <w:rPr>
                <w:rFonts w:hint="eastAsia" w:ascii="宋体" w:hAnsi="宋体" w:eastAsia="宋体" w:cs="宋体"/>
                <w:color w:val="auto"/>
                <w:kern w:val="0"/>
                <w:szCs w:val="21"/>
                <w:highlight w:val="none"/>
              </w:rPr>
              <w:t>金额/□采购预算/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kern w:val="0"/>
                <w:szCs w:val="21"/>
                <w:highlight w:val="none"/>
                <w:lang w:val="en-US" w:eastAsia="zh-CN"/>
              </w:rPr>
              <w:t>本须知正文第3</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.2条规定的收费计算标准</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u w:val="single"/>
                <w:lang w:val="en-US" w:eastAsia="zh-CN"/>
              </w:rPr>
              <w:t>工程</w:t>
            </w:r>
            <w:r>
              <w:rPr>
                <w:rFonts w:hint="eastAsia" w:ascii="宋体" w:hAnsi="宋体" w:eastAsia="宋体" w:cs="宋体"/>
                <w:b/>
                <w:bCs/>
                <w:color w:val="auto"/>
                <w:kern w:val="0"/>
                <w:szCs w:val="21"/>
                <w:highlight w:val="none"/>
                <w:u w:val="single"/>
              </w:rPr>
              <w:t>类</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color w:val="auto"/>
                <w:kern w:val="0"/>
                <w:szCs w:val="21"/>
                <w:highlight w:val="none"/>
              </w:rPr>
              <w:t>采用差额定率累进法计算出收费基准价格，采购代理</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收费以（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收费基准价格/</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收费基准价格下浮</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%/□收费基准价格上浮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%）收取。</w:t>
            </w:r>
          </w:p>
          <w:p w14:paraId="764CF7AA">
            <w:pPr>
              <w:snapToGrid w:val="0"/>
              <w:spacing w:line="360" w:lineRule="auto"/>
              <w:ind w:firstLine="420" w:firstLineChars="200"/>
              <w:rPr>
                <w:rFonts w:hint="eastAsia" w:ascii="宋体" w:hAnsi="宋体" w:eastAsia="宋体" w:cs="宋体"/>
                <w:color w:val="auto"/>
                <w:kern w:val="0"/>
                <w:szCs w:val="21"/>
                <w:highlight w:val="none"/>
                <w:lang w:val="en-US"/>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固定采购代理收费：</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8500.00元</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w:t>
            </w:r>
          </w:p>
          <w:p w14:paraId="42C67E12">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费收取银行账户</w:t>
            </w:r>
            <w:r>
              <w:rPr>
                <w:rFonts w:hint="eastAsia" w:ascii="宋体" w:hAnsi="宋体" w:eastAsia="宋体" w:cs="宋体"/>
                <w:color w:val="auto"/>
                <w:kern w:val="0"/>
                <w:szCs w:val="21"/>
                <w:highlight w:val="none"/>
                <w:lang w:eastAsia="zh-CN"/>
              </w:rPr>
              <w:t>的信息</w:t>
            </w:r>
          </w:p>
          <w:p w14:paraId="0E96D6FE">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单位名称：广西德元工程项目管理有限责任公司南宁五象新区运营中心</w:t>
            </w:r>
          </w:p>
          <w:p w14:paraId="753CABCF">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开户行：招商银行股份有限公司广西自贸试验区南宁片区五象支行</w:t>
            </w:r>
          </w:p>
          <w:p w14:paraId="1D54C47F">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  号：771904237410168</w:t>
            </w:r>
          </w:p>
          <w:p w14:paraId="62272B14">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联行号：308611000161  </w:t>
            </w:r>
          </w:p>
        </w:tc>
      </w:tr>
      <w:tr w14:paraId="5885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17" w:type="dxa"/>
            <w:vAlign w:val="center"/>
          </w:tcPr>
          <w:p w14:paraId="612F6E69">
            <w:pPr>
              <w:keepNext w:val="0"/>
              <w:keepLines w:val="0"/>
              <w:pageBreakBefore w:val="0"/>
              <w:widowControl w:val="0"/>
              <w:kinsoku/>
              <w:wordWrap/>
              <w:overflowPunct/>
              <w:topLinePunct w:val="0"/>
              <w:bidi w:val="0"/>
              <w:adjustRightInd/>
              <w:spacing w:line="398"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32.1</w:t>
            </w:r>
          </w:p>
        </w:tc>
        <w:tc>
          <w:tcPr>
            <w:tcW w:w="8595" w:type="dxa"/>
            <w:vAlign w:val="center"/>
          </w:tcPr>
          <w:p w14:paraId="2C9A1F6E">
            <w:pPr>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w:t>
            </w:r>
            <w:r>
              <w:rPr>
                <w:rFonts w:hint="eastAsia" w:ascii="宋体" w:hAnsi="宋体" w:eastAsia="宋体" w:cs="宋体"/>
                <w:color w:val="auto"/>
                <w:kern w:val="0"/>
                <w:szCs w:val="21"/>
                <w:highlight w:val="none"/>
              </w:rPr>
              <w:t>构成本</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磋商文件的各个组成文件应互为解释，互为说明；除</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235A8F74">
            <w:pPr>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14:paraId="3435F6D4">
            <w:pPr>
              <w:pStyle w:val="12"/>
              <w:keepNext w:val="0"/>
              <w:keepLines w:val="0"/>
              <w:pageBreakBefore w:val="0"/>
              <w:widowControl w:val="0"/>
              <w:kinsoku/>
              <w:wordWrap/>
              <w:overflowPunct/>
              <w:topLinePunct w:val="0"/>
              <w:bidi w:val="0"/>
              <w:adjustRightInd/>
              <w:snapToGrid w:val="0"/>
              <w:spacing w:line="398"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本采购文件根据《中华人民共和国政府采购法》、《中华人民共和国民法典》</w:t>
            </w:r>
            <w:r>
              <w:rPr>
                <w:rFonts w:hint="eastAsia" w:hAnsi="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《中华人民共和国政府采购法实施条例》、《政府采购竞争性磋商采购方式管理暂行办法》等有关法律、法规编制，参与本项目的各政府采购当事人依法享有上述法律法规所赋予的权利与义务。</w:t>
            </w:r>
          </w:p>
        </w:tc>
      </w:tr>
      <w:tr w14:paraId="19A2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17" w:type="dxa"/>
            <w:vAlign w:val="center"/>
          </w:tcPr>
          <w:p w14:paraId="6EE2E2CA">
            <w:pPr>
              <w:keepNext w:val="0"/>
              <w:keepLines w:val="0"/>
              <w:pageBreakBefore w:val="0"/>
              <w:widowControl w:val="0"/>
              <w:kinsoku/>
              <w:wordWrap/>
              <w:overflowPunct/>
              <w:topLinePunct w:val="0"/>
              <w:bidi w:val="0"/>
              <w:adjustRightInd/>
              <w:spacing w:line="398"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r>
              <w:rPr>
                <w:rFonts w:ascii="宋体" w:hAnsi="宋体" w:cs="宋体"/>
                <w:color w:val="auto"/>
                <w:szCs w:val="21"/>
                <w:highlight w:val="none"/>
              </w:rPr>
              <w:t>.</w:t>
            </w:r>
            <w:r>
              <w:rPr>
                <w:rFonts w:hint="eastAsia" w:ascii="宋体" w:hAnsi="宋体" w:cs="宋体"/>
                <w:color w:val="auto"/>
                <w:szCs w:val="21"/>
                <w:highlight w:val="none"/>
                <w:lang w:val="en-US" w:eastAsia="zh-CN"/>
              </w:rPr>
              <w:t>2</w:t>
            </w:r>
          </w:p>
        </w:tc>
        <w:tc>
          <w:tcPr>
            <w:tcW w:w="8595" w:type="dxa"/>
            <w:vAlign w:val="center"/>
          </w:tcPr>
          <w:p w14:paraId="4851780A">
            <w:pPr>
              <w:pStyle w:val="10"/>
              <w:spacing w:line="360" w:lineRule="auto"/>
              <w:ind w:firstLine="422" w:firstLineChars="200"/>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其他：</w:t>
            </w:r>
          </w:p>
          <w:p w14:paraId="75F3D771">
            <w:pPr>
              <w:pStyle w:val="10"/>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中描述</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的“公章”是指根据我国对公章的管理规定，用</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或供应商</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有特殊规定外，</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的财务章、部门章、分公司章、工会章、合同章、投标专用章、业务专用章及银行的转账章、现金收讫章、现金付讫章等其他形式印章均不能代替公章。</w:t>
            </w:r>
          </w:p>
          <w:p w14:paraId="3A918995">
            <w:pPr>
              <w:pStyle w:val="10"/>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中描述</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法定代表人或者委托代理人姓名制作的电子印章或手写签字。</w:t>
            </w:r>
          </w:p>
          <w:p w14:paraId="5F3443A8">
            <w:pPr>
              <w:pStyle w:val="10"/>
              <w:tabs>
                <w:tab w:val="center" w:pos="4153"/>
                <w:tab w:val="right" w:pos="8306"/>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3.本竞争性磋商文件所称的“电子签章”“电子签名”，是指经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认可的CA认证的电子签名数据为表现形式的印章，可用于签署电子响应文件，电子印章与实物印章具有同等法律效力，不因其采用电子化表现形式而否定其法律效力。</w:t>
            </w:r>
          </w:p>
          <w:p w14:paraId="74AA32BB">
            <w:pPr>
              <w:pStyle w:val="10"/>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供应商</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标的自然人本人。</w:t>
            </w:r>
          </w:p>
          <w:p w14:paraId="48CA09D2">
            <w:pPr>
              <w:pStyle w:val="10"/>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竞</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规定盖公章处由自然人摁手指指印。</w:t>
            </w:r>
          </w:p>
          <w:p w14:paraId="5F1AC1A7">
            <w:pPr>
              <w:pStyle w:val="12"/>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Cs w:val="21"/>
                <w:highlight w:val="none"/>
                <w:lang w:val="en-US" w:eastAsia="zh-CN"/>
              </w:rPr>
              <w:t>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竞争性磋商文件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7AEF1B04">
      <w:pPr>
        <w:pStyle w:val="20"/>
        <w:shd w:val="clear" w:color="auto" w:fill="FFFFFF"/>
        <w:spacing w:before="0" w:after="0" w:line="600" w:lineRule="exact"/>
        <w:ind w:firstLine="723" w:firstLineChars="200"/>
        <w:jc w:val="center"/>
        <w:outlineLvl w:val="9"/>
        <w:rPr>
          <w:rFonts w:hint="eastAsia" w:ascii="宋体" w:hAnsi="宋体" w:eastAsia="宋体" w:cs="宋体"/>
          <w:b/>
          <w:bCs w:val="0"/>
          <w:color w:val="auto"/>
          <w:sz w:val="36"/>
          <w:szCs w:val="36"/>
          <w:highlight w:val="none"/>
        </w:rPr>
        <w:sectPr>
          <w:footerReference r:id="rId5" w:type="default"/>
          <w:pgSz w:w="11906" w:h="16838"/>
          <w:pgMar w:top="1134" w:right="1134" w:bottom="567" w:left="1417" w:header="567" w:footer="567" w:gutter="0"/>
          <w:pgNumType w:fmt="decimal" w:start="1"/>
          <w:cols w:space="720" w:num="1"/>
          <w:docGrid w:type="lines" w:linePitch="312" w:charSpace="0"/>
        </w:sectPr>
      </w:pPr>
      <w:bookmarkStart w:id="48" w:name="_Toc24118"/>
      <w:bookmarkStart w:id="49" w:name="_Toc22651"/>
    </w:p>
    <w:p w14:paraId="502017E5">
      <w:pPr>
        <w:pStyle w:val="20"/>
        <w:shd w:val="clear" w:color="auto" w:fill="FFFFFF"/>
        <w:spacing w:before="0" w:after="0" w:line="600" w:lineRule="exact"/>
        <w:ind w:firstLine="723" w:firstLineChars="200"/>
        <w:jc w:val="center"/>
        <w:outlineLvl w:val="9"/>
        <w:rPr>
          <w:rFonts w:hint="eastAsia" w:ascii="宋体" w:hAnsi="宋体" w:eastAsia="宋体" w:cs="宋体"/>
          <w:b/>
          <w:bCs w:val="0"/>
          <w:color w:val="auto"/>
          <w:spacing w:val="2"/>
          <w:highlight w:val="none"/>
        </w:rPr>
      </w:pPr>
      <w:r>
        <w:rPr>
          <w:rFonts w:hint="eastAsia" w:ascii="宋体" w:hAnsi="宋体" w:eastAsia="宋体" w:cs="宋体"/>
          <w:b/>
          <w:bCs w:val="0"/>
          <w:color w:val="auto"/>
          <w:sz w:val="36"/>
          <w:szCs w:val="36"/>
          <w:highlight w:val="none"/>
        </w:rPr>
        <w:t>供应商须知</w:t>
      </w:r>
      <w:bookmarkEnd w:id="41"/>
      <w:bookmarkEnd w:id="42"/>
      <w:bookmarkEnd w:id="43"/>
      <w:bookmarkEnd w:id="44"/>
      <w:bookmarkEnd w:id="45"/>
      <w:bookmarkEnd w:id="48"/>
      <w:bookmarkEnd w:id="49"/>
    </w:p>
    <w:p w14:paraId="0C3BC763">
      <w:pPr>
        <w:keepNext w:val="0"/>
        <w:keepLines w:val="0"/>
        <w:pageBreakBefore w:val="0"/>
        <w:shd w:val="clear" w:color="auto" w:fill="FFFFFF"/>
        <w:kinsoku/>
        <w:wordWrap/>
        <w:overflowPunct/>
        <w:topLinePunct w:val="0"/>
        <w:autoSpaceDE/>
        <w:autoSpaceDN/>
        <w:bidi w:val="0"/>
        <w:spacing w:line="452" w:lineRule="exact"/>
        <w:ind w:firstLine="430" w:firstLineChars="200"/>
        <w:textAlignment w:val="auto"/>
        <w:rPr>
          <w:rFonts w:hint="eastAsia" w:ascii="宋体" w:hAnsi="宋体" w:eastAsia="宋体" w:cs="宋体"/>
          <w:b/>
          <w:bCs/>
          <w:color w:val="auto"/>
          <w:spacing w:val="2"/>
          <w:highlight w:val="none"/>
        </w:rPr>
      </w:pPr>
      <w:bookmarkStart w:id="50" w:name="_Toc424307479"/>
      <w:bookmarkStart w:id="51" w:name="_Toc424307746"/>
      <w:r>
        <w:rPr>
          <w:rFonts w:hint="eastAsia" w:ascii="宋体" w:hAnsi="宋体" w:eastAsia="宋体" w:cs="宋体"/>
          <w:b/>
          <w:bCs/>
          <w:color w:val="auto"/>
          <w:spacing w:val="2"/>
          <w:highlight w:val="none"/>
        </w:rPr>
        <w:t>一、总  则</w:t>
      </w:r>
    </w:p>
    <w:p w14:paraId="4EA3F596">
      <w:pPr>
        <w:keepNext w:val="0"/>
        <w:keepLines w:val="0"/>
        <w:pageBreakBefore w:val="0"/>
        <w:kinsoku/>
        <w:wordWrap/>
        <w:overflowPunct/>
        <w:topLinePunct w:val="0"/>
        <w:autoSpaceDE/>
        <w:autoSpaceDN/>
        <w:bidi w:val="0"/>
        <w:spacing w:line="452" w:lineRule="exact"/>
        <w:ind w:right="97" w:rightChars="46"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1.项目名称、项目编号：</w:t>
      </w:r>
    </w:p>
    <w:p w14:paraId="6D5F1F9D">
      <w:pPr>
        <w:keepNext w:val="0"/>
        <w:keepLines w:val="0"/>
        <w:pageBreakBefore w:val="0"/>
        <w:kinsoku/>
        <w:wordWrap/>
        <w:overflowPunct/>
        <w:topLinePunct w:val="0"/>
        <w:autoSpaceDE/>
        <w:autoSpaceDN/>
        <w:bidi w:val="0"/>
        <w:spacing w:line="452" w:lineRule="exact"/>
        <w:ind w:right="97" w:rightChars="46" w:firstLine="420" w:firstLineChars="200"/>
        <w:textAlignment w:val="auto"/>
        <w:rPr>
          <w:rFonts w:hint="eastAsia" w:ascii="宋体" w:hAnsi="宋体" w:eastAsia="宋体" w:cs="宋体"/>
          <w:color w:val="auto"/>
          <w:highlight w:val="none"/>
          <w:lang w:eastAsia="zh-CN"/>
        </w:rPr>
      </w:pPr>
      <w:r>
        <w:rPr>
          <w:rFonts w:hint="eastAsia" w:ascii="宋体" w:hAnsi="宋体" w:cs="宋体"/>
          <w:b w:val="0"/>
          <w:bCs w:val="0"/>
          <w:color w:val="auto"/>
          <w:highlight w:val="none"/>
          <w:lang w:val="en-US" w:eastAsia="zh-CN"/>
        </w:rPr>
        <w:t>详见前附表第1项所述。</w:t>
      </w:r>
      <w:r>
        <w:rPr>
          <w:rFonts w:hint="eastAsia" w:ascii="宋体" w:hAnsi="宋体" w:cs="宋体"/>
          <w:b w:val="0"/>
          <w:bCs w:val="0"/>
          <w:color w:val="auto"/>
          <w:highlight w:val="none"/>
        </w:rPr>
        <w:t xml:space="preserve"> </w:t>
      </w:r>
      <w:bookmarkStart w:id="52" w:name="_Toc115703391"/>
    </w:p>
    <w:p w14:paraId="5962AE0F">
      <w:pPr>
        <w:keepNext w:val="0"/>
        <w:keepLines w:val="0"/>
        <w:pageBreakBefore w:val="0"/>
        <w:kinsoku/>
        <w:wordWrap/>
        <w:overflowPunct/>
        <w:topLinePunct w:val="0"/>
        <w:autoSpaceDE/>
        <w:autoSpaceDN/>
        <w:bidi w:val="0"/>
        <w:spacing w:line="452" w:lineRule="exact"/>
        <w:ind w:right="97" w:rightChars="46" w:firstLine="422" w:firstLineChars="200"/>
        <w:textAlignment w:val="auto"/>
        <w:rPr>
          <w:rFonts w:hint="eastAsia" w:ascii="宋体" w:hAnsi="宋体" w:cs="宋体"/>
          <w:b/>
          <w:bCs/>
          <w:color w:val="auto"/>
          <w:highlight w:val="none"/>
        </w:rPr>
      </w:pPr>
      <w:bookmarkStart w:id="53" w:name="_Toc128731525"/>
      <w:r>
        <w:rPr>
          <w:rFonts w:hint="eastAsia" w:ascii="宋体" w:hAnsi="宋体" w:cs="宋体"/>
          <w:b/>
          <w:bCs/>
          <w:color w:val="auto"/>
          <w:highlight w:val="none"/>
        </w:rPr>
        <w:t>2.供应商资格要求：</w:t>
      </w:r>
      <w:bookmarkEnd w:id="52"/>
      <w:bookmarkEnd w:id="53"/>
    </w:p>
    <w:p w14:paraId="039BDA5B">
      <w:pPr>
        <w:keepNext w:val="0"/>
        <w:keepLines w:val="0"/>
        <w:pageBreakBefore w:val="0"/>
        <w:kinsoku/>
        <w:wordWrap/>
        <w:overflowPunct/>
        <w:topLinePunct w:val="0"/>
        <w:autoSpaceDE/>
        <w:autoSpaceDN/>
        <w:bidi w:val="0"/>
        <w:spacing w:line="452"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供应商资格要求见前附表第</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项所述</w:t>
      </w:r>
      <w:r>
        <w:rPr>
          <w:rFonts w:hint="eastAsia" w:ascii="宋体" w:hAnsi="宋体" w:eastAsia="宋体" w:cs="宋体"/>
          <w:color w:val="auto"/>
          <w:highlight w:val="none"/>
          <w:lang w:eastAsia="zh-CN"/>
        </w:rPr>
        <w:t>。</w:t>
      </w:r>
    </w:p>
    <w:p w14:paraId="277DBF23">
      <w:pPr>
        <w:keepNext w:val="0"/>
        <w:keepLines w:val="0"/>
        <w:pageBreakBefore w:val="0"/>
        <w:shd w:val="clear" w:color="auto" w:fill="FFFFFF"/>
        <w:kinsoku/>
        <w:wordWrap/>
        <w:overflowPunct/>
        <w:topLinePunct w:val="0"/>
        <w:autoSpaceDE/>
        <w:autoSpaceDN/>
        <w:bidi w:val="0"/>
        <w:spacing w:line="452"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3</w:t>
      </w:r>
      <w:r>
        <w:rPr>
          <w:rFonts w:hint="eastAsia" w:ascii="宋体" w:hAnsi="宋体" w:eastAsia="宋体" w:cs="宋体"/>
          <w:b/>
          <w:bCs/>
          <w:color w:val="auto"/>
          <w:spacing w:val="2"/>
          <w:highlight w:val="none"/>
        </w:rPr>
        <w:t>.</w:t>
      </w:r>
      <w:r>
        <w:rPr>
          <w:rFonts w:hint="eastAsia" w:ascii="宋体" w:hAnsi="宋体" w:eastAsia="宋体" w:cs="宋体"/>
          <w:b/>
          <w:bCs/>
          <w:color w:val="auto"/>
          <w:spacing w:val="2"/>
          <w:highlight w:val="none"/>
          <w:lang w:eastAsia="zh-CN"/>
        </w:rPr>
        <w:t>磋商</w:t>
      </w:r>
      <w:r>
        <w:rPr>
          <w:rFonts w:hint="eastAsia" w:ascii="宋体" w:hAnsi="宋体" w:eastAsia="宋体" w:cs="宋体"/>
          <w:b/>
          <w:bCs/>
          <w:color w:val="auto"/>
          <w:spacing w:val="2"/>
          <w:highlight w:val="none"/>
        </w:rPr>
        <w:t>费用</w:t>
      </w:r>
    </w:p>
    <w:p w14:paraId="48FD2E80">
      <w:pPr>
        <w:keepNext w:val="0"/>
        <w:keepLines w:val="0"/>
        <w:pageBreakBefore w:val="0"/>
        <w:widowControl/>
        <w:shd w:val="clear" w:color="auto" w:fill="FFFFFF"/>
        <w:kinsoku/>
        <w:wordWrap/>
        <w:overflowPunct/>
        <w:topLinePunct w:val="0"/>
        <w:autoSpaceDE/>
        <w:autoSpaceDN/>
        <w:bidi w:val="0"/>
        <w:snapToGrid w:val="0"/>
        <w:spacing w:line="452" w:lineRule="exact"/>
        <w:ind w:firstLine="420" w:firstLineChars="200"/>
        <w:jc w:val="both"/>
        <w:textAlignment w:val="auto"/>
        <w:rPr>
          <w:rFonts w:hint="eastAsia" w:ascii="宋体" w:hAnsi="宋体" w:eastAsia="宋体" w:cs="宋体"/>
          <w:color w:val="auto"/>
          <w:highlight w:val="none"/>
        </w:rPr>
      </w:pPr>
      <w:r>
        <w:rPr>
          <w:rFonts w:hint="eastAsia" w:ascii="宋体" w:hAnsi="宋体" w:cs="宋体"/>
          <w:color w:val="auto"/>
          <w:szCs w:val="21"/>
          <w:highlight w:val="none"/>
        </w:rPr>
        <w:t>供应商应承担参与本次采购活动有关的所有费用</w:t>
      </w:r>
      <w:r>
        <w:rPr>
          <w:rFonts w:hint="eastAsia" w:ascii="宋体" w:hAnsi="宋体" w:eastAsia="宋体" w:cs="宋体"/>
          <w:color w:val="auto"/>
          <w:sz w:val="21"/>
          <w:szCs w:val="21"/>
          <w:highlight w:val="none"/>
        </w:rPr>
        <w:t>。不管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结果如何，采购代理机构对上述费用不负任何责任</w:t>
      </w:r>
      <w:r>
        <w:rPr>
          <w:rFonts w:hint="eastAsia" w:ascii="宋体" w:hAnsi="宋体" w:eastAsia="宋体" w:cs="宋体"/>
          <w:color w:val="auto"/>
          <w:sz w:val="21"/>
          <w:szCs w:val="21"/>
          <w:highlight w:val="none"/>
          <w:lang w:eastAsia="zh-CN"/>
        </w:rPr>
        <w:t>。</w:t>
      </w:r>
    </w:p>
    <w:p w14:paraId="22CC723E">
      <w:pPr>
        <w:pStyle w:val="12"/>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.联合体竞标</w:t>
      </w:r>
    </w:p>
    <w:p w14:paraId="085E19B9">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.1本项目是否接受联合体竞标，详见“供应商须知前附表”。</w:t>
      </w:r>
    </w:p>
    <w:p w14:paraId="3629AE28">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.2如接受联合体竞标，联合体竞标要求详见“供应商须知前附表”。</w:t>
      </w:r>
    </w:p>
    <w:p w14:paraId="02D42897">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3根据《政府采购促进中小企业发展管理办法》（财库[2020]46号）第九条及《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w:t>
      </w: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%的扣除，用扣除后的价格参加评审。组成联合体的小微企业与联合体内其他企业、分包企业之间存在直接控股、管理关系的，不享受价格扣除优惠政策。</w:t>
      </w:r>
    </w:p>
    <w:p w14:paraId="1C8614A9">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 xml:space="preserve">.转包与分包             </w:t>
      </w:r>
    </w:p>
    <w:p w14:paraId="5E6EE8D6">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.1本项目不允许转包。</w:t>
      </w:r>
    </w:p>
    <w:p w14:paraId="289AA974">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本项目是否允许分包详见“供应商须知前附表”，本项目不允许违法分包。</w:t>
      </w:r>
    </w:p>
    <w:p w14:paraId="21C19355">
      <w:pPr>
        <w:keepNext w:val="0"/>
        <w:keepLines w:val="0"/>
        <w:pageBreakBefore w:val="0"/>
        <w:widowControl/>
        <w:shd w:val="clear" w:color="auto" w:fill="FFFFFF"/>
        <w:kinsoku/>
        <w:wordWrap/>
        <w:overflowPunct/>
        <w:topLinePunct w:val="0"/>
        <w:autoSpaceDE/>
        <w:autoSpaceDN/>
        <w:bidi w:val="0"/>
        <w:snapToGrid w:val="0"/>
        <w:spacing w:line="44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w:t>
      </w: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w:t>
      </w:r>
      <w:bookmarkStart w:id="54" w:name="OLE_LINK3"/>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w:t>
      </w:r>
      <w:bookmarkEnd w:id="54"/>
      <w:r>
        <w:rPr>
          <w:rFonts w:hint="eastAsia" w:ascii="宋体" w:hAnsi="宋体" w:eastAsia="宋体" w:cs="宋体"/>
          <w:color w:val="auto"/>
          <w:highlight w:val="none"/>
          <w:lang w:eastAsia="zh-CN"/>
        </w:rPr>
        <w:t>的扣除，用扣除后的价格参加评审。接受分包的小微企业与分包企业之间存在直接控股、管理关系的，不享受价格扣除优惠政策。</w:t>
      </w:r>
    </w:p>
    <w:p w14:paraId="255F93BA">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二、竞争性</w:t>
      </w:r>
      <w:r>
        <w:rPr>
          <w:rFonts w:hint="eastAsia" w:ascii="宋体" w:hAnsi="宋体" w:eastAsia="宋体" w:cs="宋体"/>
          <w:b/>
          <w:bCs/>
          <w:color w:val="auto"/>
          <w:spacing w:val="2"/>
          <w:highlight w:val="none"/>
          <w:lang w:eastAsia="zh-CN"/>
        </w:rPr>
        <w:t>磋商</w:t>
      </w:r>
      <w:r>
        <w:rPr>
          <w:rFonts w:hint="eastAsia" w:ascii="宋体" w:hAnsi="宋体" w:eastAsia="宋体" w:cs="宋体"/>
          <w:b/>
          <w:bCs/>
          <w:color w:val="auto"/>
          <w:spacing w:val="2"/>
          <w:highlight w:val="none"/>
        </w:rPr>
        <w:t>文件</w:t>
      </w:r>
      <w:bookmarkEnd w:id="50"/>
      <w:bookmarkEnd w:id="51"/>
    </w:p>
    <w:p w14:paraId="19D5F3FF">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6</w:t>
      </w:r>
      <w:r>
        <w:rPr>
          <w:rFonts w:hint="eastAsia" w:ascii="宋体" w:hAnsi="宋体" w:eastAsia="宋体" w:cs="宋体"/>
          <w:b/>
          <w:bCs/>
          <w:color w:val="auto"/>
          <w:spacing w:val="2"/>
          <w:highlight w:val="none"/>
          <w:lang w:val="en-US" w:eastAsia="zh-CN"/>
        </w:rPr>
        <w:t>.</w:t>
      </w:r>
      <w:r>
        <w:rPr>
          <w:rFonts w:hint="eastAsia" w:ascii="宋体" w:hAnsi="宋体" w:eastAsia="宋体" w:cs="宋体"/>
          <w:b/>
          <w:bCs/>
          <w:color w:val="auto"/>
          <w:spacing w:val="2"/>
          <w:highlight w:val="none"/>
        </w:rPr>
        <w:t>竞争性</w:t>
      </w:r>
      <w:r>
        <w:rPr>
          <w:rFonts w:hint="eastAsia" w:ascii="宋体" w:hAnsi="宋体" w:eastAsia="宋体" w:cs="宋体"/>
          <w:b/>
          <w:bCs/>
          <w:color w:val="auto"/>
          <w:spacing w:val="2"/>
          <w:highlight w:val="none"/>
          <w:lang w:eastAsia="zh-CN"/>
        </w:rPr>
        <w:t>磋商</w:t>
      </w:r>
      <w:r>
        <w:rPr>
          <w:rFonts w:hint="eastAsia" w:ascii="宋体" w:hAnsi="宋体" w:eastAsia="宋体" w:cs="宋体"/>
          <w:b/>
          <w:bCs/>
          <w:color w:val="auto"/>
          <w:spacing w:val="2"/>
          <w:highlight w:val="none"/>
        </w:rPr>
        <w:t>文件的</w:t>
      </w:r>
      <w:r>
        <w:rPr>
          <w:rFonts w:hint="eastAsia" w:ascii="宋体" w:hAnsi="宋体" w:cs="宋体"/>
          <w:b/>
          <w:bCs/>
          <w:color w:val="auto"/>
          <w:spacing w:val="2"/>
          <w:highlight w:val="none"/>
          <w:lang w:val="en-US" w:eastAsia="zh-CN"/>
        </w:rPr>
        <w:t>构</w:t>
      </w:r>
      <w:r>
        <w:rPr>
          <w:rFonts w:hint="eastAsia" w:ascii="宋体" w:hAnsi="宋体" w:eastAsia="宋体" w:cs="宋体"/>
          <w:b/>
          <w:bCs/>
          <w:color w:val="auto"/>
          <w:spacing w:val="2"/>
          <w:highlight w:val="none"/>
        </w:rPr>
        <w:t>成</w:t>
      </w:r>
    </w:p>
    <w:p w14:paraId="303CCC99">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bCs/>
          <w:color w:val="auto"/>
          <w:spacing w:val="2"/>
          <w:highlight w:val="none"/>
        </w:rPr>
      </w:pPr>
      <w:r>
        <w:rPr>
          <w:rFonts w:hint="eastAsia" w:ascii="宋体" w:hAnsi="宋体" w:cs="宋体"/>
          <w:bCs/>
          <w:color w:val="auto"/>
          <w:spacing w:val="2"/>
          <w:highlight w:val="none"/>
          <w:lang w:val="en-US" w:eastAsia="zh-CN"/>
        </w:rPr>
        <w:t>6</w:t>
      </w:r>
      <w:r>
        <w:rPr>
          <w:rFonts w:hint="eastAsia" w:ascii="宋体" w:hAnsi="宋体" w:eastAsia="宋体" w:cs="宋体"/>
          <w:bCs/>
          <w:color w:val="auto"/>
          <w:spacing w:val="2"/>
          <w:highlight w:val="none"/>
        </w:rPr>
        <w:t>.1竞争性</w:t>
      </w:r>
      <w:r>
        <w:rPr>
          <w:rFonts w:hint="eastAsia" w:ascii="宋体" w:hAnsi="宋体" w:eastAsia="宋体" w:cs="宋体"/>
          <w:bCs/>
          <w:color w:val="auto"/>
          <w:spacing w:val="2"/>
          <w:highlight w:val="none"/>
          <w:lang w:eastAsia="zh-CN"/>
        </w:rPr>
        <w:t>磋商</w:t>
      </w:r>
      <w:r>
        <w:rPr>
          <w:rFonts w:hint="eastAsia" w:ascii="宋体" w:hAnsi="宋体" w:eastAsia="宋体" w:cs="宋体"/>
          <w:bCs/>
          <w:color w:val="auto"/>
          <w:spacing w:val="2"/>
          <w:highlight w:val="none"/>
        </w:rPr>
        <w:t>文件包括下列内容</w:t>
      </w:r>
      <w:r>
        <w:rPr>
          <w:rFonts w:hint="eastAsia" w:ascii="宋体" w:hAnsi="宋体" w:eastAsia="宋体" w:cs="宋体"/>
          <w:color w:val="auto"/>
          <w:spacing w:val="2"/>
          <w:highlight w:val="none"/>
        </w:rPr>
        <w:t>：</w:t>
      </w:r>
    </w:p>
    <w:p w14:paraId="23AA815A">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第一章  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公告</w:t>
      </w:r>
    </w:p>
    <w:p w14:paraId="7C3B7F7C">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第二章  供应商须知  </w:t>
      </w:r>
    </w:p>
    <w:p w14:paraId="29E55F1A">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第三章  项目需求和说明</w:t>
      </w:r>
    </w:p>
    <w:p w14:paraId="361FDC37">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第四章  合同书（格式）</w:t>
      </w:r>
    </w:p>
    <w:p w14:paraId="589E2204">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第五章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响应文件（格式） </w:t>
      </w:r>
    </w:p>
    <w:p w14:paraId="46B17EE7">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第六章  工程量清单 </w:t>
      </w:r>
    </w:p>
    <w:p w14:paraId="7C8981F6">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第七章  图纸（</w:t>
      </w:r>
      <w:r>
        <w:rPr>
          <w:rFonts w:hint="eastAsia" w:hAnsi="宋体" w:cs="宋体"/>
          <w:color w:val="auto"/>
          <w:highlight w:val="none"/>
          <w:lang w:val="en-US" w:eastAsia="zh-CN"/>
        </w:rPr>
        <w:t>另附</w:t>
      </w:r>
      <w:r>
        <w:rPr>
          <w:rFonts w:hint="eastAsia" w:ascii="宋体" w:hAnsi="宋体" w:eastAsia="宋体" w:cs="宋体"/>
          <w:color w:val="auto"/>
          <w:highlight w:val="none"/>
        </w:rPr>
        <w:t>）</w:t>
      </w:r>
    </w:p>
    <w:p w14:paraId="3F610184">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第八章  评定标准          </w:t>
      </w:r>
    </w:p>
    <w:p w14:paraId="0BC1AFA3">
      <w:pPr>
        <w:pStyle w:val="12"/>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章 质疑、投诉材料格式</w:t>
      </w:r>
    </w:p>
    <w:p w14:paraId="70C685A9">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color w:val="auto"/>
          <w:spacing w:val="2"/>
          <w:highlight w:val="none"/>
        </w:rPr>
      </w:pPr>
      <w:r>
        <w:rPr>
          <w:rFonts w:hint="eastAsia" w:ascii="宋体" w:hAnsi="宋体" w:cs="宋体"/>
          <w:color w:val="auto"/>
          <w:spacing w:val="2"/>
          <w:highlight w:val="none"/>
          <w:lang w:val="en-US" w:eastAsia="zh-CN"/>
        </w:rPr>
        <w:t>6</w:t>
      </w:r>
      <w:r>
        <w:rPr>
          <w:rFonts w:hint="eastAsia" w:ascii="宋体" w:hAnsi="宋体" w:eastAsia="宋体" w:cs="宋体"/>
          <w:color w:val="auto"/>
          <w:spacing w:val="2"/>
          <w:highlight w:val="none"/>
        </w:rPr>
        <w:t>.2 供应商应认真审阅竞争性</w:t>
      </w:r>
      <w:r>
        <w:rPr>
          <w:rFonts w:hint="eastAsia" w:ascii="宋体" w:hAnsi="宋体" w:eastAsia="宋体" w:cs="宋体"/>
          <w:color w:val="auto"/>
          <w:spacing w:val="2"/>
          <w:highlight w:val="none"/>
          <w:lang w:eastAsia="zh-CN"/>
        </w:rPr>
        <w:t>磋商</w:t>
      </w:r>
      <w:r>
        <w:rPr>
          <w:rFonts w:hint="eastAsia" w:ascii="宋体" w:hAnsi="宋体" w:eastAsia="宋体" w:cs="宋体"/>
          <w:color w:val="auto"/>
          <w:spacing w:val="2"/>
          <w:highlight w:val="none"/>
        </w:rPr>
        <w:t>文件中所有的</w:t>
      </w:r>
      <w:r>
        <w:rPr>
          <w:rFonts w:hint="eastAsia" w:ascii="宋体" w:hAnsi="宋体" w:eastAsia="宋体" w:cs="宋体"/>
          <w:color w:val="auto"/>
          <w:spacing w:val="2"/>
          <w:highlight w:val="none"/>
          <w:lang w:eastAsia="zh-CN"/>
        </w:rPr>
        <w:t>磋商</w:t>
      </w:r>
      <w:r>
        <w:rPr>
          <w:rFonts w:hint="eastAsia" w:ascii="宋体" w:hAnsi="宋体" w:eastAsia="宋体" w:cs="宋体"/>
          <w:color w:val="auto"/>
          <w:spacing w:val="2"/>
          <w:highlight w:val="none"/>
        </w:rPr>
        <w:t>须知、合同条件、规定格式、技术规范或技术要求及工程量清单及图纸相关资料。如果供应商编制的响应文件不能符合竞争性</w:t>
      </w:r>
      <w:r>
        <w:rPr>
          <w:rFonts w:hint="eastAsia" w:ascii="宋体" w:hAnsi="宋体" w:eastAsia="宋体" w:cs="宋体"/>
          <w:color w:val="auto"/>
          <w:spacing w:val="2"/>
          <w:highlight w:val="none"/>
          <w:lang w:eastAsia="zh-CN"/>
        </w:rPr>
        <w:t>磋商</w:t>
      </w:r>
      <w:r>
        <w:rPr>
          <w:rFonts w:hint="eastAsia" w:ascii="宋体" w:hAnsi="宋体" w:eastAsia="宋体" w:cs="宋体"/>
          <w:color w:val="auto"/>
          <w:spacing w:val="2"/>
          <w:highlight w:val="none"/>
        </w:rPr>
        <w:t>文件的要求，责任由供应商自负。实质上不响应竞争性</w:t>
      </w:r>
      <w:r>
        <w:rPr>
          <w:rFonts w:hint="eastAsia" w:ascii="宋体" w:hAnsi="宋体" w:eastAsia="宋体" w:cs="宋体"/>
          <w:color w:val="auto"/>
          <w:spacing w:val="2"/>
          <w:highlight w:val="none"/>
          <w:lang w:eastAsia="zh-CN"/>
        </w:rPr>
        <w:t>磋商</w:t>
      </w:r>
      <w:r>
        <w:rPr>
          <w:rFonts w:hint="eastAsia" w:ascii="宋体" w:hAnsi="宋体" w:eastAsia="宋体" w:cs="宋体"/>
          <w:color w:val="auto"/>
          <w:spacing w:val="2"/>
          <w:highlight w:val="none"/>
        </w:rPr>
        <w:t>文件要求的响应文件将被采购代理机构拒绝。</w:t>
      </w:r>
    </w:p>
    <w:p w14:paraId="2EC2F291">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7</w:t>
      </w:r>
      <w:r>
        <w:rPr>
          <w:rFonts w:hint="eastAsia" w:ascii="宋体" w:hAnsi="宋体" w:eastAsia="宋体" w:cs="宋体"/>
          <w:b/>
          <w:bCs/>
          <w:color w:val="auto"/>
          <w:spacing w:val="2"/>
          <w:highlight w:val="none"/>
        </w:rPr>
        <w:t>.竞争性</w:t>
      </w:r>
      <w:r>
        <w:rPr>
          <w:rFonts w:hint="eastAsia" w:ascii="宋体" w:hAnsi="宋体" w:eastAsia="宋体" w:cs="宋体"/>
          <w:b/>
          <w:bCs/>
          <w:color w:val="auto"/>
          <w:spacing w:val="2"/>
          <w:highlight w:val="none"/>
          <w:lang w:eastAsia="zh-CN"/>
        </w:rPr>
        <w:t>磋商</w:t>
      </w:r>
      <w:r>
        <w:rPr>
          <w:rFonts w:hint="eastAsia" w:ascii="宋体" w:hAnsi="宋体" w:eastAsia="宋体" w:cs="宋体"/>
          <w:b/>
          <w:bCs/>
          <w:color w:val="auto"/>
          <w:spacing w:val="2"/>
          <w:highlight w:val="none"/>
        </w:rPr>
        <w:t>文件的解释</w:t>
      </w:r>
      <w:r>
        <w:rPr>
          <w:rFonts w:hint="eastAsia" w:ascii="宋体" w:hAnsi="宋体" w:eastAsia="宋体" w:cs="宋体"/>
          <w:b/>
          <w:color w:val="auto"/>
          <w:highlight w:val="none"/>
        </w:rPr>
        <w:t>、澄清和修改</w:t>
      </w:r>
    </w:p>
    <w:p w14:paraId="1B45EC5D">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.1已获取磋商文件的潜在供应商，若有问题需要澄清，应于应标截止时间前，以书面形式向采购代理机构提出，采购代理机构与采购人研究后，对认为有必要回答的问题，按照本章</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.3的内容处理。</w:t>
      </w:r>
    </w:p>
    <w:p w14:paraId="4CBEAE46">
      <w:pPr>
        <w:keepNext w:val="0"/>
        <w:keepLines w:val="0"/>
        <w:pageBreakBefore w:val="0"/>
        <w:kinsoku/>
        <w:wordWrap/>
        <w:overflowPunct/>
        <w:topLinePunct w:val="0"/>
        <w:autoSpaceDE/>
        <w:autoSpaceDN/>
        <w:bidi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B8033C9">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澄清或者</w:t>
      </w:r>
      <w:r>
        <w:rPr>
          <w:rFonts w:hint="eastAsia" w:ascii="宋体" w:hAnsi="宋体" w:eastAsia="宋体" w:cs="宋体"/>
          <w:color w:val="auto"/>
          <w:szCs w:val="21"/>
          <w:highlight w:val="none"/>
          <w:lang w:val="en-US" w:eastAsia="zh-CN"/>
        </w:rPr>
        <w:t>更正公告</w:t>
      </w:r>
      <w:r>
        <w:rPr>
          <w:rFonts w:hint="eastAsia" w:ascii="宋体" w:hAnsi="宋体" w:eastAsia="宋体" w:cs="宋体"/>
          <w:color w:val="auto"/>
          <w:szCs w:val="21"/>
          <w:highlight w:val="none"/>
          <w:lang w:eastAsia="zh-CN"/>
        </w:rPr>
        <w:t>在竞争性磋商公告发布媒体上发布</w:t>
      </w:r>
      <w:r>
        <w:rPr>
          <w:rFonts w:hint="eastAsia" w:ascii="宋体" w:hAnsi="宋体" w:eastAsia="宋体" w:cs="宋体"/>
          <w:color w:val="auto"/>
          <w:szCs w:val="21"/>
          <w:highlight w:val="none"/>
        </w:rPr>
        <w:t>，一经发布，视作已以书面形式通知所有获取竞争性磋商文件的潜在供应商，不再另行通知，所有潜在供应商应密切关注竞争性磋商公告发布媒体，因未能及时获知，由此产生的后果均应自行承担。</w:t>
      </w:r>
    </w:p>
    <w:p w14:paraId="1425D26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DE073E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.5  采购人和采购代理机构可以视采购具体情况，变更提交首次响应文件截止时间和</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时间，将变更时间将在</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公告中“七、其他补充事宜</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.网上查询地址”规定的政府采购信息发布媒体上发布更正公告。</w:t>
      </w:r>
    </w:p>
    <w:p w14:paraId="2EE1D25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w:t>
      </w:r>
      <w:r>
        <w:rPr>
          <w:rFonts w:hint="eastAsia" w:ascii="宋体" w:hAnsi="宋体" w:eastAsia="宋体" w:cs="宋体"/>
          <w:b/>
          <w:color w:val="auto"/>
          <w:kern w:val="0"/>
          <w:sz w:val="21"/>
          <w:szCs w:val="21"/>
          <w:highlight w:val="none"/>
          <w:lang w:eastAsia="zh-CN"/>
        </w:rPr>
        <w:t>按无效</w:t>
      </w:r>
      <w:r>
        <w:rPr>
          <w:rFonts w:hint="eastAsia" w:ascii="宋体" w:hAnsi="宋体" w:eastAsia="宋体" w:cs="宋体"/>
          <w:b/>
          <w:color w:val="auto"/>
          <w:kern w:val="0"/>
          <w:sz w:val="21"/>
          <w:szCs w:val="21"/>
          <w:highlight w:val="none"/>
        </w:rPr>
        <w:t>处理。</w:t>
      </w:r>
    </w:p>
    <w:p w14:paraId="663D8E23">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三、响应文件的编制</w:t>
      </w:r>
    </w:p>
    <w:p w14:paraId="0F883EDB">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.响应文件编制基本要求</w:t>
      </w:r>
    </w:p>
    <w:p w14:paraId="2E82EE6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r>
        <w:rPr>
          <w:rFonts w:hint="eastAsia" w:ascii="宋体" w:hAnsi="宋体" w:eastAsia="宋体" w:cs="宋体"/>
          <w:color w:val="auto"/>
          <w:szCs w:val="21"/>
          <w:highlight w:val="none"/>
        </w:rPr>
        <w:t>。</w:t>
      </w:r>
    </w:p>
    <w:p w14:paraId="2D2ED133">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供应商提交的响应文件以及供应商与</w:t>
      </w:r>
      <w:r>
        <w:rPr>
          <w:rFonts w:hint="eastAsia" w:ascii="宋体" w:hAnsi="宋体" w:eastAsia="宋体" w:cs="宋体"/>
          <w:color w:val="auto"/>
          <w:highlight w:val="none"/>
        </w:rPr>
        <w:t>采购代理机构</w:t>
      </w:r>
      <w:r>
        <w:rPr>
          <w:rFonts w:hint="eastAsia" w:ascii="宋体" w:hAnsi="宋体" w:eastAsia="宋体" w:cs="宋体"/>
          <w:color w:val="auto"/>
          <w:szCs w:val="21"/>
          <w:highlight w:val="none"/>
        </w:rPr>
        <w:t>和采购人就有关</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的所有来往函电均应使用中文。供应商提交的支持文件和印刷的文献可以使用别的语言，但其相应内容必须附有中文翻译文本，在解释响应文件时以翻译文本为主。</w:t>
      </w:r>
    </w:p>
    <w:p w14:paraId="5FD68E64">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供应商应认真阅读、并充分理解本文件的全部内容（包括所有的</w:t>
      </w:r>
      <w:r>
        <w:rPr>
          <w:rFonts w:hint="eastAsia" w:ascii="宋体" w:hAnsi="宋体" w:eastAsia="宋体" w:cs="宋体"/>
          <w:color w:val="auto"/>
          <w:highlight w:val="none"/>
        </w:rPr>
        <w:t>澄清、</w:t>
      </w:r>
      <w:r>
        <w:rPr>
          <w:rFonts w:hint="eastAsia" w:ascii="宋体" w:hAnsi="宋体" w:eastAsia="宋体" w:cs="宋体"/>
          <w:color w:val="auto"/>
          <w:szCs w:val="21"/>
          <w:highlight w:val="none"/>
        </w:rPr>
        <w:t>更改、补充、答疑等内容），承诺并履行本文件中各项条款规定及要求。</w:t>
      </w:r>
    </w:p>
    <w:p w14:paraId="44F141EA">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响应文件必须按本文件的全部内容，包括所有的</w:t>
      </w:r>
      <w:r>
        <w:rPr>
          <w:rFonts w:hint="eastAsia" w:ascii="宋体" w:hAnsi="宋体" w:eastAsia="宋体" w:cs="宋体"/>
          <w:color w:val="auto"/>
          <w:highlight w:val="none"/>
        </w:rPr>
        <w:t>澄清、</w:t>
      </w:r>
      <w:r>
        <w:rPr>
          <w:rFonts w:hint="eastAsia" w:ascii="宋体" w:hAnsi="宋体" w:eastAsia="宋体" w:cs="宋体"/>
          <w:color w:val="auto"/>
          <w:szCs w:val="21"/>
          <w:highlight w:val="none"/>
        </w:rPr>
        <w:t>更改、补充、答疑等内容及附件进行编制。</w:t>
      </w:r>
    </w:p>
    <w:p w14:paraId="46A972C2">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如因供应商只填写和提供了本文件要求的部分内容和附件，而给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小组评审造成困难，其可能导致的结果和责任由供应商自行承担。</w:t>
      </w:r>
    </w:p>
    <w:p w14:paraId="61D5CCCF">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响应文件的组成：响应文件应分为资格审查文件、</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文件</w:t>
      </w:r>
      <w:r>
        <w:rPr>
          <w:rFonts w:hint="eastAsia" w:ascii="宋体" w:hAnsi="宋体" w:eastAsia="宋体" w:cs="宋体"/>
          <w:color w:val="auto"/>
          <w:szCs w:val="21"/>
          <w:highlight w:val="none"/>
        </w:rPr>
        <w:t>和</w:t>
      </w:r>
      <w:r>
        <w:rPr>
          <w:rFonts w:hint="eastAsia" w:ascii="宋体" w:hAnsi="宋体" w:cs="宋体"/>
          <w:color w:val="auto"/>
          <w:szCs w:val="21"/>
          <w:highlight w:val="none"/>
        </w:rPr>
        <w:t>商务</w:t>
      </w:r>
      <w:r>
        <w:rPr>
          <w:rFonts w:hint="eastAsia" w:ascii="宋体" w:hAnsi="宋体" w:cs="宋体"/>
          <w:color w:val="auto"/>
          <w:szCs w:val="21"/>
          <w:highlight w:val="none"/>
          <w:lang w:val="en-US" w:eastAsia="zh-CN"/>
        </w:rPr>
        <w:t>技术标</w:t>
      </w:r>
      <w:r>
        <w:rPr>
          <w:rFonts w:hint="eastAsia" w:ascii="宋体" w:hAnsi="宋体" w:cs="宋体"/>
          <w:color w:val="auto"/>
          <w:szCs w:val="21"/>
          <w:highlight w:val="none"/>
        </w:rPr>
        <w:t>文件</w:t>
      </w:r>
      <w:r>
        <w:rPr>
          <w:rFonts w:hint="eastAsia" w:ascii="宋体" w:hAnsi="宋体" w:eastAsia="宋体" w:cs="宋体"/>
          <w:color w:val="auto"/>
          <w:szCs w:val="21"/>
          <w:highlight w:val="none"/>
        </w:rPr>
        <w:t>三个部分组成。</w:t>
      </w:r>
    </w:p>
    <w:p w14:paraId="20CB78AD">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7</w:t>
      </w:r>
      <w:r>
        <w:rPr>
          <w:rFonts w:hint="eastAsia" w:ascii="宋体" w:hAnsi="宋体" w:eastAsia="宋体" w:cs="宋体"/>
          <w:b/>
          <w:bCs/>
          <w:color w:val="auto"/>
          <w:highlight w:val="none"/>
        </w:rPr>
        <w:t>.1</w:t>
      </w:r>
      <w:r>
        <w:rPr>
          <w:rFonts w:hint="eastAsia" w:ascii="宋体" w:hAnsi="宋体" w:eastAsia="宋体" w:cs="宋体"/>
          <w:b/>
          <w:bCs/>
          <w:color w:val="auto"/>
          <w:szCs w:val="21"/>
          <w:highlight w:val="none"/>
        </w:rPr>
        <w:t>资格审查文件</w:t>
      </w:r>
    </w:p>
    <w:p w14:paraId="720DABB0">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法定代表人身份证明书及法定代表人有效身份证正反面复印件</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szCs w:val="21"/>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p>
    <w:p w14:paraId="195FB2A2">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授</w:t>
      </w:r>
      <w:bookmarkStart w:id="55" w:name="OLE_LINK11"/>
      <w:r>
        <w:rPr>
          <w:rFonts w:hint="eastAsia" w:ascii="宋体" w:hAnsi="宋体" w:eastAsia="宋体" w:cs="宋体"/>
          <w:color w:val="auto"/>
          <w:highlight w:val="none"/>
        </w:rPr>
        <w:t>权委托书及代理人有效身份证</w:t>
      </w:r>
      <w:bookmarkEnd w:id="55"/>
      <w:r>
        <w:rPr>
          <w:rFonts w:hint="eastAsia" w:ascii="宋体" w:hAnsi="宋体" w:eastAsia="宋体" w:cs="宋体"/>
          <w:color w:val="auto"/>
          <w:highlight w:val="none"/>
        </w:rPr>
        <w:t>正反面复印件（如有委托）</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委托时</w:t>
      </w:r>
      <w:r>
        <w:rPr>
          <w:rFonts w:hint="eastAsia" w:ascii="宋体" w:hAnsi="宋体" w:cs="宋体"/>
          <w:b/>
          <w:color w:val="auto"/>
          <w:szCs w:val="21"/>
          <w:highlight w:val="none"/>
          <w:lang w:val="en-US" w:eastAsia="zh-CN"/>
        </w:rPr>
        <w:t>必须提供，授权委托书</w:t>
      </w:r>
      <w:r>
        <w:rPr>
          <w:rFonts w:hint="eastAsia" w:ascii="宋体" w:hAnsi="宋体" w:cs="宋体"/>
          <w:b/>
          <w:color w:val="auto"/>
          <w:szCs w:val="21"/>
          <w:highlight w:val="none"/>
        </w:rPr>
        <w:t>由法定代表人及</w:t>
      </w:r>
      <w:r>
        <w:rPr>
          <w:rFonts w:hint="eastAsia" w:ascii="宋体" w:hAnsi="宋体" w:cs="宋体"/>
          <w:b/>
          <w:color w:val="auto"/>
          <w:szCs w:val="21"/>
          <w:highlight w:val="none"/>
          <w:lang w:eastAsia="zh-CN"/>
        </w:rPr>
        <w:t>其</w:t>
      </w:r>
      <w:r>
        <w:rPr>
          <w:rFonts w:hint="eastAsia" w:ascii="宋体" w:hAnsi="宋体" w:cs="宋体"/>
          <w:b/>
          <w:color w:val="auto"/>
          <w:szCs w:val="21"/>
          <w:highlight w:val="none"/>
        </w:rPr>
        <w:t>委托代理人签字，并加盖供应商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p>
    <w:p w14:paraId="4958E9B6">
      <w:pPr>
        <w:keepNext w:val="0"/>
        <w:keepLines w:val="0"/>
        <w:pageBreakBefore w:val="0"/>
        <w:widowControl w:val="0"/>
        <w:shd w:val="clear" w:color="auto" w:fill="FFFFFF"/>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有效营业执照、资质证书、</w:t>
      </w:r>
      <w:bookmarkStart w:id="56" w:name="OLE_LINK10"/>
      <w:r>
        <w:rPr>
          <w:rFonts w:hint="eastAsia" w:ascii="宋体" w:hAnsi="宋体" w:eastAsia="宋体" w:cs="宋体"/>
          <w:bCs/>
          <w:color w:val="auto"/>
          <w:szCs w:val="21"/>
          <w:highlight w:val="none"/>
        </w:rPr>
        <w:t>企业安全生产许可证</w:t>
      </w:r>
      <w:bookmarkEnd w:id="56"/>
      <w:r>
        <w:rPr>
          <w:rFonts w:hint="eastAsia" w:ascii="宋体" w:hAnsi="宋体" w:eastAsia="宋体" w:cs="宋体"/>
          <w:bCs/>
          <w:color w:val="auto"/>
          <w:szCs w:val="21"/>
          <w:highlight w:val="none"/>
        </w:rPr>
        <w:t>复印件</w:t>
      </w:r>
      <w:r>
        <w:rPr>
          <w:rFonts w:hint="eastAsia" w:ascii="宋体" w:hAnsi="宋体" w:eastAsia="宋体" w:cs="宋体"/>
          <w:b/>
          <w:bCs/>
          <w:color w:val="auto"/>
          <w:szCs w:val="21"/>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p>
    <w:p w14:paraId="2831BF19">
      <w:pPr>
        <w:pStyle w:val="10"/>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lang w:val="en-US" w:eastAsia="zh-CN" w:bidi="ar-SA"/>
        </w:rPr>
        <w:t>4</w:t>
      </w:r>
      <w:r>
        <w:rPr>
          <w:rFonts w:hint="eastAsia" w:ascii="宋体" w:hAnsi="宋体" w:eastAsia="宋体" w:cs="宋体"/>
          <w:color w:val="auto"/>
          <w:kern w:val="2"/>
          <w:sz w:val="21"/>
          <w:szCs w:val="24"/>
          <w:highlight w:val="none"/>
          <w:lang w:val="en-US" w:eastAsia="zh-CN" w:bidi="ar-SA"/>
        </w:rPr>
        <w:t>）项目经理资格：拟投入本项目的项目经理</w:t>
      </w:r>
      <w:r>
        <w:rPr>
          <w:rFonts w:hint="eastAsia"/>
          <w:color w:val="auto"/>
          <w:highlight w:val="none"/>
          <w:lang w:val="en-US" w:eastAsia="zh-CN"/>
        </w:rPr>
        <w:t>的有效</w:t>
      </w:r>
      <w:r>
        <w:rPr>
          <w:rFonts w:hint="eastAsia" w:ascii="宋体" w:hAnsi="宋体" w:eastAsia="宋体" w:cs="宋体"/>
          <w:color w:val="auto"/>
          <w:kern w:val="2"/>
          <w:sz w:val="21"/>
          <w:szCs w:val="24"/>
          <w:highlight w:val="none"/>
          <w:lang w:val="en-US" w:eastAsia="zh-CN" w:bidi="ar-SA"/>
        </w:rPr>
        <w:t>第二代身份证正反面复印件、</w:t>
      </w:r>
      <w:bookmarkStart w:id="57" w:name="OLE_LINK12"/>
      <w:r>
        <w:rPr>
          <w:rFonts w:hint="eastAsia" w:ascii="宋体" w:hAnsi="宋体" w:eastAsia="宋体" w:cs="宋体"/>
          <w:color w:val="auto"/>
          <w:kern w:val="2"/>
          <w:sz w:val="21"/>
          <w:szCs w:val="24"/>
          <w:highlight w:val="none"/>
          <w:lang w:val="en-US" w:eastAsia="zh-CN" w:bidi="ar-SA"/>
        </w:rPr>
        <w:t>注册建造师</w:t>
      </w:r>
      <w:bookmarkEnd w:id="57"/>
      <w:r>
        <w:rPr>
          <w:rFonts w:hint="eastAsia" w:ascii="宋体" w:hAnsi="宋体" w:eastAsia="宋体" w:cs="宋体"/>
          <w:color w:val="auto"/>
          <w:kern w:val="2"/>
          <w:sz w:val="21"/>
          <w:szCs w:val="24"/>
          <w:highlight w:val="none"/>
          <w:lang w:val="en-US" w:eastAsia="zh-CN" w:bidi="ar-SA"/>
        </w:rPr>
        <w:t>证书复印件及安全生产考核合格证（B证）证件复印件</w:t>
      </w:r>
      <w:r>
        <w:rPr>
          <w:rFonts w:hint="eastAsia" w:ascii="宋体" w:hAnsi="宋体" w:eastAsia="宋体" w:cs="宋体"/>
          <w:b/>
          <w:bCs/>
          <w:color w:val="auto"/>
          <w:szCs w:val="21"/>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p>
    <w:p w14:paraId="07E3B564">
      <w:pPr>
        <w:keepNext w:val="0"/>
        <w:keepLines w:val="0"/>
        <w:pageBreakBefore w:val="0"/>
        <w:widowControl w:val="0"/>
        <w:numPr>
          <w:ilvl w:val="0"/>
          <w:numId w:val="0"/>
        </w:numPr>
        <w:shd w:val="clear" w:color="auto" w:fill="FFFFFF"/>
        <w:tabs>
          <w:tab w:val="left" w:pos="826"/>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b/>
          <w:bCs/>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）防城港市政府采购供应商信用承诺函（格式后附）；</w:t>
      </w:r>
      <w:r>
        <w:rPr>
          <w:rFonts w:hint="eastAsia" w:ascii="宋体" w:hAnsi="宋体" w:eastAsia="宋体" w:cs="宋体"/>
          <w:b/>
          <w:bCs/>
          <w:color w:val="auto"/>
          <w:highlight w:val="none"/>
          <w:lang w:val="en-US" w:eastAsia="zh-CN"/>
        </w:rPr>
        <w:t>（必须提供，否则响应文件作无效响应处理）</w:t>
      </w:r>
      <w:r>
        <w:rPr>
          <w:rFonts w:hint="eastAsia" w:ascii="宋体" w:hAnsi="宋体" w:eastAsia="宋体" w:cs="宋体"/>
          <w:b/>
          <w:bCs/>
          <w:color w:val="auto"/>
          <w:highlight w:val="none"/>
        </w:rPr>
        <w:t>；</w:t>
      </w:r>
    </w:p>
    <w:p w14:paraId="7435984E">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u w:val="none"/>
          <w:lang w:val="en-US" w:eastAsia="zh-CN"/>
        </w:rPr>
        <w:t>本项目为专门面向小微企业采购的项目。</w:t>
      </w:r>
      <w:r>
        <w:rPr>
          <w:rFonts w:hint="eastAsia" w:ascii="宋体" w:hAnsi="宋体" w:eastAsia="宋体" w:cs="宋体"/>
          <w:color w:val="auto"/>
          <w:szCs w:val="21"/>
          <w:highlight w:val="none"/>
          <w:lang w:val="en-US" w:eastAsia="zh-CN"/>
        </w:rPr>
        <w:t>供应商必须</w:t>
      </w:r>
      <w:r>
        <w:rPr>
          <w:rFonts w:hint="eastAsia" w:ascii="宋体" w:hAnsi="宋体" w:eastAsia="宋体" w:cs="宋体"/>
          <w:color w:val="auto"/>
          <w:szCs w:val="21"/>
          <w:highlight w:val="none"/>
          <w:lang w:eastAsia="zh-CN"/>
        </w:rPr>
        <w:t>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cs="宋体"/>
          <w:color w:val="auto"/>
          <w:szCs w:val="21"/>
          <w:highlight w:val="none"/>
          <w:lang w:val="en-US" w:eastAsia="zh-CN"/>
        </w:rPr>
        <w:t>复印件</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szCs w:val="21"/>
          <w:highlight w:val="none"/>
          <w:lang w:eastAsia="zh-CN"/>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lang w:eastAsia="zh-CN"/>
        </w:rPr>
        <w:t>）</w:t>
      </w:r>
      <w:r>
        <w:rPr>
          <w:rFonts w:hint="eastAsia" w:ascii="宋体" w:hAnsi="宋体" w:cs="宋体"/>
          <w:color w:val="auto"/>
          <w:szCs w:val="21"/>
          <w:highlight w:val="none"/>
          <w:lang w:eastAsia="zh-CN"/>
        </w:rPr>
        <w:t>；</w:t>
      </w:r>
    </w:p>
    <w:p w14:paraId="55CCD1FF">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color w:val="auto"/>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除</w:t>
      </w:r>
      <w:r>
        <w:rPr>
          <w:rFonts w:hint="eastAsia" w:ascii="宋体" w:hAnsi="宋体" w:cs="宋体"/>
          <w:color w:val="auto"/>
          <w:szCs w:val="21"/>
          <w:highlight w:val="none"/>
          <w:lang w:val="en-US" w:eastAsia="zh-CN"/>
        </w:rPr>
        <w:t>竞争性</w:t>
      </w:r>
      <w:r>
        <w:rPr>
          <w:rFonts w:hint="eastAsia" w:ascii="宋体" w:hAnsi="宋体" w:cs="宋体"/>
          <w:color w:val="auto"/>
          <w:szCs w:val="21"/>
          <w:highlight w:val="none"/>
        </w:rPr>
        <w:t>磋商文件规定必须提供以外，供应商认为需要提供的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证明材料</w:t>
      </w:r>
      <w:r>
        <w:rPr>
          <w:rFonts w:hint="eastAsia" w:ascii="宋体" w:hAnsi="宋体" w:cs="宋体"/>
          <w:color w:val="auto"/>
          <w:szCs w:val="21"/>
          <w:highlight w:val="none"/>
          <w:lang w:eastAsia="zh-CN"/>
        </w:rPr>
        <w:t>。</w:t>
      </w:r>
    </w:p>
    <w:p w14:paraId="60D04841">
      <w:pPr>
        <w:keepNext w:val="0"/>
        <w:keepLines w:val="0"/>
        <w:pageBreakBefore w:val="0"/>
        <w:shd w:val="clear" w:color="auto" w:fill="FFFFFF"/>
        <w:kinsoku/>
        <w:wordWrap/>
        <w:overflowPunct/>
        <w:topLinePunct w:val="0"/>
        <w:autoSpaceDE/>
        <w:autoSpaceDN/>
        <w:bidi w:val="0"/>
        <w:spacing w:line="452" w:lineRule="exact"/>
        <w:ind w:firstLine="422" w:firstLineChars="200"/>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7</w:t>
      </w:r>
      <w:r>
        <w:rPr>
          <w:rFonts w:hint="eastAsia" w:ascii="宋体" w:hAnsi="宋体" w:eastAsia="宋体" w:cs="宋体"/>
          <w:b/>
          <w:bCs/>
          <w:color w:val="auto"/>
          <w:highlight w:val="none"/>
        </w:rPr>
        <w:t>.2</w:t>
      </w:r>
      <w:r>
        <w:rPr>
          <w:rFonts w:hint="eastAsia" w:ascii="宋体" w:hAnsi="宋体" w:cs="宋体"/>
          <w:b/>
          <w:bCs/>
          <w:color w:val="auto"/>
          <w:szCs w:val="21"/>
          <w:highlight w:val="none"/>
          <w:lang w:val="en-US" w:eastAsia="zh-CN"/>
        </w:rPr>
        <w:t>报价</w:t>
      </w:r>
      <w:r>
        <w:rPr>
          <w:rFonts w:hint="eastAsia" w:ascii="宋体" w:hAnsi="宋体" w:eastAsia="宋体" w:cs="宋体"/>
          <w:b/>
          <w:bCs/>
          <w:color w:val="auto"/>
          <w:szCs w:val="21"/>
          <w:highlight w:val="none"/>
        </w:rPr>
        <w:t>文件</w:t>
      </w:r>
    </w:p>
    <w:p w14:paraId="6B33547A">
      <w:pPr>
        <w:keepNext w:val="0"/>
        <w:keepLines w:val="0"/>
        <w:pageBreakBefore w:val="0"/>
        <w:kinsoku/>
        <w:wordWrap/>
        <w:overflowPunct/>
        <w:topLinePunct w:val="0"/>
        <w:autoSpaceDE/>
        <w:autoSpaceDN/>
        <w:bidi w:val="0"/>
        <w:spacing w:line="452"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）磋商函</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kern w:val="0"/>
          <w:sz w:val="24"/>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p>
    <w:p w14:paraId="3E61A838">
      <w:pPr>
        <w:keepNext w:val="0"/>
        <w:keepLines w:val="0"/>
        <w:pageBreakBefore w:val="0"/>
        <w:shd w:val="clear" w:color="auto" w:fill="FFFFFF"/>
        <w:kinsoku/>
        <w:wordWrap/>
        <w:overflowPunct/>
        <w:topLinePunct w:val="0"/>
        <w:autoSpaceDE/>
        <w:autoSpaceDN/>
        <w:bidi w:val="0"/>
        <w:spacing w:line="452" w:lineRule="exact"/>
        <w:ind w:firstLine="420" w:firstLineChars="200"/>
        <w:textAlignment w:val="auto"/>
        <w:rPr>
          <w:rFonts w:hint="eastAsia" w:ascii="宋体" w:hAnsi="宋体" w:eastAsia="宋体" w:cs="宋体"/>
          <w:b/>
          <w:bCs/>
          <w:color w:val="auto"/>
          <w:highlight w:val="none"/>
          <w:lang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w:t>
      </w:r>
      <w:bookmarkStart w:id="58" w:name="OLE_LINK20"/>
      <w:r>
        <w:rPr>
          <w:rFonts w:hint="eastAsia" w:ascii="宋体" w:hAnsi="宋体" w:eastAsia="宋体" w:cs="宋体"/>
          <w:color w:val="auto"/>
          <w:highlight w:val="none"/>
        </w:rPr>
        <w:t>已标价工程量清单</w:t>
      </w:r>
      <w:bookmarkEnd w:id="58"/>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部分</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kern w:val="0"/>
          <w:sz w:val="24"/>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cs="宋体"/>
          <w:b/>
          <w:bCs/>
          <w:color w:val="auto"/>
          <w:highlight w:val="none"/>
          <w:lang w:eastAsia="zh-CN"/>
        </w:rPr>
        <w:t>；</w:t>
      </w:r>
    </w:p>
    <w:p w14:paraId="63340A2F">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cs="宋体"/>
          <w:color w:val="auto"/>
          <w:highlight w:val="none"/>
          <w:lang w:val="en-US" w:eastAsia="zh-CN"/>
        </w:rPr>
        <w:t>竞标报价表（部分格式见第五章）</w:t>
      </w:r>
      <w:r>
        <w:rPr>
          <w:rFonts w:hint="eastAsia" w:ascii="宋体" w:hAnsi="宋体" w:eastAsia="宋体" w:cs="宋体"/>
          <w:b/>
          <w:bCs/>
          <w:color w:val="auto"/>
          <w:kern w:val="0"/>
          <w:sz w:val="24"/>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cs="宋体"/>
          <w:b/>
          <w:bCs/>
          <w:color w:val="auto"/>
          <w:highlight w:val="none"/>
          <w:lang w:eastAsia="zh-CN"/>
        </w:rPr>
        <w:t>；</w:t>
      </w:r>
    </w:p>
    <w:p w14:paraId="07F36126">
      <w:pPr>
        <w:keepNext w:val="0"/>
        <w:keepLines w:val="0"/>
        <w:pageBreakBefore w:val="0"/>
        <w:widowControl w:val="0"/>
        <w:kinsoku/>
        <w:wordWrap/>
        <w:overflowPunct/>
        <w:topLinePunct w:val="0"/>
        <w:autoSpaceDE/>
        <w:autoSpaceDN/>
        <w:bidi w:val="0"/>
        <w:adjustRightInd/>
        <w:spacing w:line="452" w:lineRule="exact"/>
        <w:ind w:firstLine="420" w:firstLineChars="200"/>
        <w:textAlignment w:val="auto"/>
        <w:rPr>
          <w:rFonts w:hint="eastAsia"/>
          <w:color w:val="auto"/>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除</w:t>
      </w:r>
      <w:r>
        <w:rPr>
          <w:rFonts w:hint="eastAsia" w:ascii="宋体" w:hAnsi="宋体" w:cs="宋体"/>
          <w:color w:val="auto"/>
          <w:szCs w:val="21"/>
          <w:highlight w:val="none"/>
          <w:lang w:val="en-US" w:eastAsia="zh-CN"/>
        </w:rPr>
        <w:t>竞争性</w:t>
      </w:r>
      <w:r>
        <w:rPr>
          <w:rFonts w:hint="eastAsia" w:ascii="宋体" w:hAnsi="宋体" w:cs="宋体"/>
          <w:color w:val="auto"/>
          <w:szCs w:val="21"/>
          <w:highlight w:val="none"/>
        </w:rPr>
        <w:t>磋商文件规定必须提供以外，供应商认为需要提供的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证明材料</w:t>
      </w:r>
      <w:r>
        <w:rPr>
          <w:rFonts w:hint="eastAsia" w:ascii="宋体" w:hAnsi="宋体" w:cs="宋体"/>
          <w:color w:val="auto"/>
          <w:szCs w:val="21"/>
          <w:highlight w:val="none"/>
          <w:lang w:eastAsia="zh-CN"/>
        </w:rPr>
        <w:t>。</w:t>
      </w:r>
    </w:p>
    <w:p w14:paraId="29424254">
      <w:pPr>
        <w:keepNext w:val="0"/>
        <w:keepLines w:val="0"/>
        <w:pageBreakBefore w:val="0"/>
        <w:shd w:val="clear" w:color="auto" w:fill="FFFFFF"/>
        <w:kinsoku/>
        <w:wordWrap/>
        <w:overflowPunct/>
        <w:topLinePunct w:val="0"/>
        <w:autoSpaceDE/>
        <w:autoSpaceDN/>
        <w:bidi w:val="0"/>
        <w:spacing w:line="452" w:lineRule="exact"/>
        <w:ind w:firstLine="422" w:firstLineChars="200"/>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7</w:t>
      </w:r>
      <w:r>
        <w:rPr>
          <w:rFonts w:hint="eastAsia" w:ascii="宋体" w:hAnsi="宋体" w:eastAsia="宋体" w:cs="宋体"/>
          <w:b/>
          <w:bCs/>
          <w:color w:val="auto"/>
          <w:highlight w:val="none"/>
        </w:rPr>
        <w:t>.3</w:t>
      </w:r>
      <w:r>
        <w:rPr>
          <w:rFonts w:hint="eastAsia" w:ascii="宋体" w:hAnsi="宋体" w:cs="宋体"/>
          <w:b/>
          <w:bCs/>
          <w:color w:val="auto"/>
          <w:highlight w:val="none"/>
          <w:lang w:val="en-US" w:eastAsia="zh-CN"/>
        </w:rPr>
        <w:t>商务</w:t>
      </w:r>
      <w:r>
        <w:rPr>
          <w:rFonts w:hint="eastAsia" w:ascii="宋体" w:hAnsi="宋体" w:eastAsia="宋体" w:cs="宋体"/>
          <w:b/>
          <w:bCs/>
          <w:color w:val="auto"/>
          <w:highlight w:val="none"/>
        </w:rPr>
        <w:t>技术标文件</w:t>
      </w:r>
    </w:p>
    <w:p w14:paraId="74F52158">
      <w:pPr>
        <w:keepNext w:val="0"/>
        <w:keepLines w:val="0"/>
        <w:pageBreakBefore w:val="0"/>
        <w:widowControl w:val="0"/>
        <w:kinsoku/>
        <w:wordWrap/>
        <w:overflowPunct/>
        <w:topLinePunct w:val="0"/>
        <w:autoSpaceDE/>
        <w:autoSpaceDN/>
        <w:bidi w:val="0"/>
        <w:adjustRightInd/>
        <w:spacing w:line="45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szCs w:val="21"/>
          <w:highlight w:val="none"/>
          <w:lang w:eastAsia="zh-CN"/>
        </w:rPr>
        <w:t>农民工工资保障承诺书</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val="en-US" w:eastAsia="zh-CN"/>
        </w:rPr>
        <w:t>格式自拟，</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lang w:eastAsia="zh-CN"/>
        </w:rPr>
        <w:t>；</w:t>
      </w:r>
    </w:p>
    <w:p w14:paraId="01EC66D5">
      <w:pPr>
        <w:keepNext w:val="0"/>
        <w:keepLines w:val="0"/>
        <w:pageBreakBefore w:val="0"/>
        <w:kinsoku/>
        <w:wordWrap/>
        <w:overflowPunct/>
        <w:topLinePunct w:val="0"/>
        <w:autoSpaceDE/>
        <w:autoSpaceDN/>
        <w:bidi w:val="0"/>
        <w:spacing w:line="452"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）磋商函附录</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kern w:val="0"/>
          <w:sz w:val="24"/>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p>
    <w:p w14:paraId="34E06AEF">
      <w:pPr>
        <w:keepNext w:val="0"/>
        <w:keepLines w:val="0"/>
        <w:pageBreakBefore w:val="0"/>
        <w:kinsoku/>
        <w:wordWrap/>
        <w:overflowPunct/>
        <w:topLinePunct w:val="0"/>
        <w:autoSpaceDE/>
        <w:autoSpaceDN/>
        <w:bidi w:val="0"/>
        <w:spacing w:line="452"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）施工组织设计</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部分</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w:t>
      </w:r>
    </w:p>
    <w:p w14:paraId="7A13F20D">
      <w:pPr>
        <w:keepNext w:val="0"/>
        <w:keepLines w:val="0"/>
        <w:pageBreakBefore w:val="0"/>
        <w:kinsoku/>
        <w:wordWrap/>
        <w:overflowPunct/>
        <w:topLinePunct w:val="0"/>
        <w:autoSpaceDE/>
        <w:autoSpaceDN/>
        <w:bidi w:val="0"/>
        <w:spacing w:line="452"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）项目管理机构及人员配备</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部分</w:t>
      </w:r>
      <w:r>
        <w:rPr>
          <w:rFonts w:hint="eastAsia" w:ascii="宋体" w:hAnsi="宋体" w:eastAsia="宋体" w:cs="宋体"/>
          <w:b/>
          <w:bCs/>
          <w:color w:val="auto"/>
          <w:highlight w:val="none"/>
        </w:rPr>
        <w:t>格式见第</w:t>
      </w:r>
      <w:r>
        <w:rPr>
          <w:rFonts w:hint="eastAsia" w:ascii="宋体" w:hAnsi="宋体" w:eastAsia="宋体" w:cs="宋体"/>
          <w:b/>
          <w:bCs/>
          <w:color w:val="auto"/>
          <w:highlight w:val="none"/>
          <w:lang w:eastAsia="zh-CN"/>
        </w:rPr>
        <w:t>五</w:t>
      </w:r>
      <w:r>
        <w:rPr>
          <w:rFonts w:hint="eastAsia" w:ascii="宋体" w:hAnsi="宋体" w:eastAsia="宋体" w:cs="宋体"/>
          <w:b/>
          <w:bCs/>
          <w:color w:val="auto"/>
          <w:highlight w:val="none"/>
        </w:rPr>
        <w:t>章</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w:t>
      </w:r>
      <w:r>
        <w:rPr>
          <w:rFonts w:hint="eastAsia" w:ascii="宋体" w:hAnsi="宋体" w:cs="宋体"/>
          <w:b/>
          <w:color w:val="auto"/>
          <w:szCs w:val="21"/>
          <w:highlight w:val="none"/>
          <w:lang w:val="en-US" w:eastAsia="zh-CN"/>
        </w:rPr>
        <w:t>必须提供并加盖</w:t>
      </w:r>
      <w:r>
        <w:rPr>
          <w:rFonts w:hint="eastAsia" w:ascii="宋体" w:hAnsi="宋体" w:cs="宋体"/>
          <w:b/>
          <w:color w:val="auto"/>
          <w:szCs w:val="21"/>
          <w:highlight w:val="none"/>
        </w:rPr>
        <w:t>供应商</w:t>
      </w:r>
      <w:r>
        <w:rPr>
          <w:rFonts w:hint="eastAsia" w:ascii="宋体" w:hAnsi="宋体" w:cs="宋体"/>
          <w:b/>
          <w:color w:val="auto"/>
          <w:szCs w:val="21"/>
          <w:highlight w:val="none"/>
          <w:lang w:val="en-US" w:eastAsia="zh-CN"/>
        </w:rPr>
        <w:t>公</w:t>
      </w:r>
      <w:r>
        <w:rPr>
          <w:rFonts w:hint="eastAsia" w:ascii="宋体" w:hAnsi="宋体" w:cs="宋体"/>
          <w:b/>
          <w:color w:val="auto"/>
          <w:szCs w:val="21"/>
          <w:highlight w:val="none"/>
          <w:lang w:eastAsia="zh-CN"/>
        </w:rPr>
        <w:t>章</w:t>
      </w:r>
      <w:r>
        <w:rPr>
          <w:rFonts w:hint="eastAsia" w:ascii="宋体" w:hAnsi="宋体" w:cs="宋体"/>
          <w:b/>
          <w:color w:val="auto"/>
          <w:szCs w:val="21"/>
          <w:highlight w:val="none"/>
          <w:lang w:val="en-US" w:eastAsia="zh-CN"/>
        </w:rPr>
        <w:t>，否则响应文件按无效响应处理</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w:t>
      </w:r>
    </w:p>
    <w:p w14:paraId="414007CA">
      <w:pPr>
        <w:keepNext w:val="0"/>
        <w:keepLines w:val="0"/>
        <w:pageBreakBefore w:val="0"/>
        <w:widowControl w:val="0"/>
        <w:shd w:val="clear" w:color="auto" w:fill="auto"/>
        <w:kinsoku/>
        <w:wordWrap/>
        <w:overflowPunct/>
        <w:topLinePunct w:val="0"/>
        <w:autoSpaceDE/>
        <w:autoSpaceDN/>
        <w:bidi w:val="0"/>
        <w:adjustRightInd/>
        <w:spacing w:line="452" w:lineRule="exact"/>
        <w:ind w:firstLine="420" w:firstLineChars="200"/>
        <w:textAlignment w:val="auto"/>
        <w:rPr>
          <w:rFonts w:hint="eastAsia"/>
          <w:color w:val="auto"/>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除</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文件文件规定必须提供以外，供应商认为需要提供的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证明材料</w:t>
      </w:r>
      <w:r>
        <w:rPr>
          <w:rFonts w:hint="eastAsia" w:ascii="宋体" w:hAnsi="宋体" w:cs="宋体"/>
          <w:color w:val="auto"/>
          <w:szCs w:val="21"/>
          <w:highlight w:val="none"/>
          <w:lang w:eastAsia="zh-CN"/>
        </w:rPr>
        <w:t>。</w:t>
      </w:r>
    </w:p>
    <w:p w14:paraId="52494F6E">
      <w:pPr>
        <w:pStyle w:val="12"/>
        <w:keepNext w:val="0"/>
        <w:keepLines w:val="0"/>
        <w:pageBreakBefore w:val="0"/>
        <w:shd w:val="clear" w:color="auto" w:fill="FFFFFF"/>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特别说明：</w:t>
      </w:r>
    </w:p>
    <w:p w14:paraId="7929AAA8">
      <w:pPr>
        <w:pageBreakBefore w:val="0"/>
        <w:shd w:val="clear" w:color="auto" w:fill="FFFFFF"/>
        <w:kinsoku/>
        <w:wordWrap/>
        <w:overflowPunct/>
        <w:topLinePunct w:val="0"/>
        <w:autoSpaceDE/>
        <w:autoSpaceDN/>
        <w:bidi w:val="0"/>
        <w:spacing w:line="452" w:lineRule="exact"/>
        <w:ind w:firstLine="422" w:firstLineChars="200"/>
        <w:textAlignment w:val="auto"/>
        <w:rPr>
          <w:rFonts w:hint="eastAsia" w:ascii="宋体" w:hAnsi="宋体" w:cs="宋体"/>
          <w:b/>
          <w:bCs/>
          <w:color w:val="auto"/>
          <w:highlight w:val="none"/>
          <w:lang w:eastAsia="zh-CN"/>
        </w:rPr>
      </w:pPr>
      <w:r>
        <w:rPr>
          <w:rFonts w:hint="eastAsia" w:ascii="宋体" w:hAnsi="宋体" w:cs="宋体"/>
          <w:b/>
          <w:color w:val="auto"/>
          <w:szCs w:val="21"/>
          <w:highlight w:val="none"/>
          <w:lang w:val="en-US" w:eastAsia="zh-CN"/>
        </w:rPr>
        <w:t>（1）</w:t>
      </w:r>
      <w:r>
        <w:rPr>
          <w:rFonts w:hint="eastAsia" w:ascii="宋体" w:hAnsi="宋体" w:cs="宋体"/>
          <w:b/>
          <w:bCs/>
          <w:color w:val="auto"/>
          <w:highlight w:val="none"/>
          <w:lang w:eastAsia="zh-CN"/>
        </w:rPr>
        <w:t>以上标明“必须提供”的材料属于复印件的扫描件的，必须加盖供应商</w:t>
      </w:r>
      <w:r>
        <w:rPr>
          <w:rFonts w:hint="eastAsia" w:ascii="宋体" w:hAnsi="宋体" w:cs="宋体"/>
          <w:b/>
          <w:color w:val="auto"/>
          <w:szCs w:val="21"/>
          <w:highlight w:val="none"/>
          <w:lang w:eastAsia="zh-CN"/>
        </w:rPr>
        <w:t>电子印章</w:t>
      </w:r>
      <w:r>
        <w:rPr>
          <w:rFonts w:hint="eastAsia" w:ascii="宋体" w:hAnsi="宋体" w:cs="宋体"/>
          <w:b/>
          <w:color w:val="auto"/>
          <w:szCs w:val="21"/>
          <w:highlight w:val="none"/>
          <w:lang w:val="en-US" w:eastAsia="zh-CN"/>
        </w:rPr>
        <w:t>，否则响应文件按无效响应处理</w:t>
      </w:r>
      <w:r>
        <w:rPr>
          <w:rFonts w:hint="eastAsia" w:ascii="宋体" w:hAnsi="宋体" w:cs="宋体"/>
          <w:b/>
          <w:bCs/>
          <w:color w:val="auto"/>
          <w:highlight w:val="none"/>
          <w:lang w:eastAsia="zh-CN"/>
        </w:rPr>
        <w:t>。</w:t>
      </w:r>
    </w:p>
    <w:p w14:paraId="6D5C85F3">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highlight w:val="none"/>
        </w:rPr>
      </w:pP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2</w:t>
      </w:r>
      <w:r>
        <w:rPr>
          <w:rFonts w:hint="eastAsia" w:ascii="宋体" w:hAnsi="宋体" w:cs="宋体"/>
          <w:b/>
          <w:bCs/>
          <w:color w:val="auto"/>
          <w:highlight w:val="none"/>
          <w:lang w:eastAsia="zh-CN"/>
        </w:rPr>
        <w:t>）</w:t>
      </w:r>
      <w:r>
        <w:rPr>
          <w:rFonts w:hint="eastAsia" w:ascii="宋体" w:hAnsi="宋体" w:eastAsia="宋体" w:cs="宋体"/>
          <w:b/>
          <w:bCs/>
          <w:color w:val="auto"/>
          <w:highlight w:val="none"/>
        </w:rPr>
        <w:t>供应商必须使用竞争性</w:t>
      </w:r>
      <w:r>
        <w:rPr>
          <w:rFonts w:hint="eastAsia" w:ascii="宋体" w:hAnsi="宋体" w:eastAsia="宋体" w:cs="宋体"/>
          <w:b/>
          <w:bCs/>
          <w:color w:val="auto"/>
          <w:highlight w:val="none"/>
          <w:lang w:eastAsia="zh-CN"/>
        </w:rPr>
        <w:t>磋商</w:t>
      </w:r>
      <w:r>
        <w:rPr>
          <w:rFonts w:hint="eastAsia" w:ascii="宋体" w:hAnsi="宋体" w:eastAsia="宋体" w:cs="宋体"/>
          <w:b/>
          <w:bCs/>
          <w:color w:val="auto"/>
          <w:highlight w:val="none"/>
        </w:rPr>
        <w:t>文件第</w:t>
      </w:r>
      <w:r>
        <w:rPr>
          <w:rFonts w:hint="eastAsia" w:ascii="宋体" w:hAnsi="宋体" w:eastAsia="宋体" w:cs="宋体"/>
          <w:b/>
          <w:bCs/>
          <w:color w:val="auto"/>
          <w:highlight w:val="none"/>
          <w:lang w:eastAsia="zh-CN"/>
        </w:rPr>
        <w:t>五章</w:t>
      </w:r>
      <w:r>
        <w:rPr>
          <w:rFonts w:hint="eastAsia" w:ascii="宋体" w:hAnsi="宋体" w:eastAsia="宋体" w:cs="宋体"/>
          <w:b/>
          <w:bCs/>
          <w:color w:val="auto"/>
          <w:highlight w:val="none"/>
        </w:rPr>
        <w:t>提供的响应文件格式和顺序另行编制响应文件，但表格可以按同样格式扩展。</w:t>
      </w:r>
    </w:p>
    <w:p w14:paraId="5524EA3B">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（3）</w:t>
      </w:r>
      <w:r>
        <w:rPr>
          <w:rFonts w:hint="eastAsia" w:ascii="宋体" w:hAnsi="宋体" w:eastAsia="宋体" w:cs="宋体"/>
          <w:b/>
          <w:bCs/>
          <w:color w:val="auto"/>
          <w:highlight w:val="none"/>
          <w:lang w:eastAsia="zh-CN"/>
        </w:rPr>
        <w:t>磋商</w:t>
      </w:r>
      <w:r>
        <w:rPr>
          <w:rFonts w:hint="eastAsia" w:ascii="宋体" w:hAnsi="宋体" w:eastAsia="宋体" w:cs="宋体"/>
          <w:b/>
          <w:bCs/>
          <w:color w:val="auto"/>
          <w:highlight w:val="none"/>
        </w:rPr>
        <w:t>文件要求“必须提供”的证明等材料，供应商必须全部提供，缺一不可，否则</w:t>
      </w:r>
      <w:r>
        <w:rPr>
          <w:rFonts w:hint="eastAsia" w:ascii="宋体" w:hAnsi="宋体" w:eastAsia="宋体" w:cs="宋体"/>
          <w:b/>
          <w:bCs/>
          <w:color w:val="auto"/>
          <w:highlight w:val="none"/>
          <w:lang w:eastAsia="zh-CN"/>
        </w:rPr>
        <w:t>磋商</w:t>
      </w:r>
      <w:r>
        <w:rPr>
          <w:rFonts w:hint="eastAsia" w:ascii="宋体" w:hAnsi="宋体" w:eastAsia="宋体" w:cs="宋体"/>
          <w:b/>
          <w:bCs/>
          <w:color w:val="auto"/>
          <w:highlight w:val="none"/>
        </w:rPr>
        <w:t>无效。</w:t>
      </w:r>
    </w:p>
    <w:p w14:paraId="7B02475D">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响应文件电子版</w:t>
      </w:r>
      <w:r>
        <w:rPr>
          <w:rFonts w:hint="eastAsia" w:ascii="宋体" w:hAnsi="宋体" w:cs="宋体"/>
          <w:b/>
          <w:bCs/>
          <w:color w:val="auto"/>
          <w:szCs w:val="21"/>
          <w:highlight w:val="none"/>
          <w:lang w:val="en-US" w:eastAsia="zh-CN"/>
        </w:rPr>
        <w:t>要求</w:t>
      </w:r>
    </w:p>
    <w:p w14:paraId="12EE331C">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9.1</w:t>
      </w:r>
      <w:r>
        <w:rPr>
          <w:rFonts w:hint="eastAsia" w:ascii="宋体" w:hAnsi="宋体" w:eastAsia="宋体" w:cs="宋体"/>
          <w:color w:val="auto"/>
          <w:szCs w:val="21"/>
          <w:highlight w:val="none"/>
        </w:rPr>
        <w:t>详见供应商须知前附表</w:t>
      </w:r>
      <w:r>
        <w:rPr>
          <w:rFonts w:hint="eastAsia" w:ascii="宋体" w:hAnsi="宋体" w:cs="宋体"/>
          <w:color w:val="auto"/>
          <w:szCs w:val="21"/>
          <w:highlight w:val="none"/>
          <w:lang w:eastAsia="zh-CN"/>
        </w:rPr>
        <w:t>。</w:t>
      </w:r>
    </w:p>
    <w:p w14:paraId="6DF0BE18">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 计量单位</w:t>
      </w:r>
    </w:p>
    <w:p w14:paraId="524A850C">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.1除技术要求中另有规定外，本文件所要求使用的计量单位均应采用国家法定计量单位。</w:t>
      </w:r>
    </w:p>
    <w:p w14:paraId="65453F72">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bookmarkStart w:id="59" w:name="_Toc424307480"/>
      <w:bookmarkStart w:id="60" w:name="_Toc424307747"/>
      <w:r>
        <w:rPr>
          <w:rFonts w:hint="eastAsia" w:ascii="宋体" w:hAnsi="宋体" w:eastAsia="宋体" w:cs="宋体"/>
          <w:b/>
          <w:bCs/>
          <w:color w:val="auto"/>
          <w:spacing w:val="2"/>
          <w:highlight w:val="none"/>
        </w:rPr>
        <w:t>四、</w:t>
      </w:r>
      <w:r>
        <w:rPr>
          <w:rFonts w:hint="eastAsia" w:ascii="宋体" w:hAnsi="宋体" w:eastAsia="宋体" w:cs="宋体"/>
          <w:b/>
          <w:bCs/>
          <w:color w:val="auto"/>
          <w:spacing w:val="2"/>
          <w:highlight w:val="none"/>
          <w:lang w:eastAsia="zh-CN"/>
        </w:rPr>
        <w:t>磋商</w:t>
      </w:r>
      <w:r>
        <w:rPr>
          <w:rFonts w:hint="eastAsia" w:ascii="宋体" w:hAnsi="宋体" w:eastAsia="宋体" w:cs="宋体"/>
          <w:b/>
          <w:bCs/>
          <w:color w:val="auto"/>
          <w:spacing w:val="2"/>
          <w:highlight w:val="none"/>
        </w:rPr>
        <w:t>报价说明</w:t>
      </w:r>
      <w:bookmarkEnd w:id="59"/>
      <w:bookmarkEnd w:id="60"/>
    </w:p>
    <w:p w14:paraId="1E676A22">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11</w:t>
      </w:r>
      <w:r>
        <w:rPr>
          <w:rFonts w:hint="eastAsia" w:ascii="宋体" w:hAnsi="宋体" w:eastAsia="宋体" w:cs="宋体"/>
          <w:b/>
          <w:bCs/>
          <w:color w:val="auto"/>
          <w:spacing w:val="2"/>
          <w:highlight w:val="none"/>
        </w:rPr>
        <w:t>.</w:t>
      </w:r>
      <w:r>
        <w:rPr>
          <w:rFonts w:hint="eastAsia" w:ascii="宋体" w:hAnsi="宋体" w:eastAsia="宋体" w:cs="宋体"/>
          <w:b/>
          <w:bCs/>
          <w:color w:val="auto"/>
          <w:spacing w:val="2"/>
          <w:highlight w:val="none"/>
          <w:lang w:eastAsia="zh-CN"/>
        </w:rPr>
        <w:t>磋商</w:t>
      </w:r>
      <w:r>
        <w:rPr>
          <w:rFonts w:hint="eastAsia" w:ascii="宋体" w:hAnsi="宋体" w:eastAsia="宋体" w:cs="宋体"/>
          <w:b/>
          <w:bCs/>
          <w:color w:val="auto"/>
          <w:spacing w:val="2"/>
          <w:highlight w:val="none"/>
        </w:rPr>
        <w:t>价格</w:t>
      </w:r>
    </w:p>
    <w:p w14:paraId="7203DA24">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color w:val="auto"/>
          <w:highlight w:val="none"/>
        </w:rPr>
      </w:pPr>
      <w:r>
        <w:rPr>
          <w:rFonts w:hint="eastAsia" w:ascii="宋体" w:hAnsi="宋体" w:cs="宋体"/>
          <w:color w:val="auto"/>
          <w:spacing w:val="2"/>
          <w:highlight w:val="none"/>
          <w:lang w:val="en-US" w:eastAsia="zh-CN"/>
        </w:rPr>
        <w:t>11</w:t>
      </w:r>
      <w:r>
        <w:rPr>
          <w:rFonts w:hint="eastAsia" w:ascii="宋体" w:hAnsi="宋体" w:eastAsia="宋体" w:cs="宋体"/>
          <w:color w:val="auto"/>
          <w:spacing w:val="2"/>
          <w:highlight w:val="none"/>
        </w:rPr>
        <w:t>.1</w:t>
      </w:r>
      <w:r>
        <w:rPr>
          <w:rFonts w:hint="eastAsia" w:ascii="宋体" w:hAnsi="宋体" w:eastAsia="宋体" w:cs="宋体"/>
          <w:color w:val="auto"/>
          <w:highlight w:val="none"/>
        </w:rPr>
        <w:t xml:space="preserve"> 本工程</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报价采用工程量清单报价。</w:t>
      </w:r>
    </w:p>
    <w:p w14:paraId="3B1DFF9B">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11</w:t>
      </w:r>
      <w:r>
        <w:rPr>
          <w:rFonts w:hint="eastAsia" w:ascii="宋体" w:hAnsi="宋体" w:eastAsia="宋体" w:cs="宋体"/>
          <w:color w:val="auto"/>
          <w:highlight w:val="none"/>
        </w:rPr>
        <w:t>.1.1本工程</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价格是固定综合单价，按实际工程量结算。</w:t>
      </w:r>
    </w:p>
    <w:p w14:paraId="099B7E79">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11</w:t>
      </w:r>
      <w:r>
        <w:rPr>
          <w:rFonts w:hint="eastAsia" w:ascii="宋体" w:hAnsi="宋体" w:eastAsia="宋体" w:cs="宋体"/>
          <w:color w:val="auto"/>
          <w:highlight w:val="none"/>
        </w:rPr>
        <w:t xml:space="preserve">.1.2 </w:t>
      </w:r>
      <w:r>
        <w:rPr>
          <w:rFonts w:hint="eastAsia" w:ascii="宋体" w:hAnsi="宋体" w:eastAsia="宋体" w:cs="宋体"/>
          <w:color w:val="auto"/>
          <w:highlight w:val="none"/>
          <w:lang w:val="en-US" w:eastAsia="zh-CN"/>
        </w:rPr>
        <w:t>供应商</w:t>
      </w:r>
      <w:r>
        <w:rPr>
          <w:rFonts w:hint="eastAsia" w:ascii="宋体" w:hAnsi="宋体" w:eastAsia="宋体" w:cs="宋体"/>
          <w:color w:val="auto"/>
          <w:szCs w:val="21"/>
          <w:highlight w:val="none"/>
        </w:rPr>
        <w:t>应认真填写工程量清单中所列的所有各细目的单价和总额价，填写工程量清单时应注意：</w:t>
      </w:r>
    </w:p>
    <w:p w14:paraId="6B81A239">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（1）有工程数量的应报单价和总额。</w:t>
      </w:r>
    </w:p>
    <w:p w14:paraId="3864B323">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（2）无工程数量的项目不报价。</w:t>
      </w:r>
    </w:p>
    <w:p w14:paraId="535804A2">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时，采购</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要求报价的细目，供应商没有填入单价或总额价的细目，其费用应视为已分配在工程量清单的其它单价或总额价中，</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必须按监理工程师的指令完成工程量清单中未填入单价或总额价的工程细目，但不能得到支付与结算。</w:t>
      </w:r>
    </w:p>
    <w:p w14:paraId="38D4CD58">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rPr>
        <w:t>.1.3采购</w:t>
      </w:r>
      <w:r>
        <w:rPr>
          <w:rFonts w:hint="eastAsia" w:ascii="宋体" w:hAnsi="宋体" w:cs="宋体"/>
          <w:b/>
          <w:bCs/>
          <w:color w:val="auto"/>
          <w:szCs w:val="21"/>
          <w:highlight w:val="none"/>
          <w:lang w:val="en-US" w:eastAsia="zh-CN"/>
        </w:rPr>
        <w:t>人</w:t>
      </w:r>
      <w:r>
        <w:rPr>
          <w:rFonts w:hint="eastAsia" w:ascii="宋体" w:hAnsi="宋体" w:eastAsia="宋体" w:cs="宋体"/>
          <w:b/>
          <w:bCs/>
          <w:color w:val="auto"/>
          <w:szCs w:val="21"/>
          <w:highlight w:val="none"/>
        </w:rPr>
        <w:t>所提供的工程量清单及相关资料，应认为已包括完成本工程的所有项目。凡工程量清单及相关资料所示工程所必不可少的附属工程、相关工程、衔接与后续工程所需的费用，供应商应计入相关项目的报价中。</w:t>
      </w:r>
    </w:p>
    <w:p w14:paraId="7231224C">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highlight w:val="none"/>
        </w:rPr>
      </w:pPr>
      <w:r>
        <w:rPr>
          <w:rFonts w:hint="eastAsia" w:ascii="宋体" w:hAnsi="宋体" w:cs="宋体"/>
          <w:b/>
          <w:bCs/>
          <w:color w:val="auto"/>
          <w:szCs w:val="21"/>
          <w:highlight w:val="none"/>
          <w:lang w:val="en-US" w:eastAsia="zh-CN"/>
        </w:rPr>
        <w:t>11</w:t>
      </w: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 xml:space="preserve"> 除非合同中另有规定，具有标价的工程量清单中所报单价和合价，以及报价汇总表中的价格应包括施工设备、劳务、管理、材料、安装、维护、保险、利润、税金、政策性文件规定及合同包含的应有风险、责任等各项应有费用，经</w:t>
      </w:r>
      <w:r>
        <w:rPr>
          <w:rFonts w:hint="eastAsia" w:ascii="宋体" w:hAnsi="宋体" w:eastAsia="宋体" w:cs="宋体"/>
          <w:b/>
          <w:bCs/>
          <w:color w:val="auto"/>
          <w:highlight w:val="none"/>
          <w:lang w:eastAsia="zh-CN"/>
        </w:rPr>
        <w:t>磋商</w:t>
      </w:r>
      <w:r>
        <w:rPr>
          <w:rFonts w:hint="eastAsia" w:ascii="宋体" w:hAnsi="宋体" w:eastAsia="宋体" w:cs="宋体"/>
          <w:b/>
          <w:bCs/>
          <w:color w:val="auto"/>
          <w:highlight w:val="none"/>
        </w:rPr>
        <w:t>小组审核严重不平衡的报价将不予接受。</w:t>
      </w:r>
    </w:p>
    <w:p w14:paraId="05D04C3B">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5供应商须根据</w:t>
      </w:r>
      <w:bookmarkStart w:id="61" w:name="OLE_LINK16"/>
      <w:r>
        <w:rPr>
          <w:rFonts w:hint="eastAsia" w:ascii="宋体" w:hAnsi="宋体" w:eastAsia="宋体" w:cs="宋体"/>
          <w:b/>
          <w:bCs/>
          <w:color w:val="auto"/>
          <w:szCs w:val="21"/>
          <w:highlight w:val="none"/>
          <w:lang w:val="en-US" w:eastAsia="zh-CN"/>
        </w:rPr>
        <w:t>采购人提供的工程</w:t>
      </w:r>
      <w:bookmarkEnd w:id="61"/>
      <w:r>
        <w:rPr>
          <w:rFonts w:hint="eastAsia" w:ascii="宋体" w:hAnsi="宋体" w:eastAsia="宋体" w:cs="宋体"/>
          <w:b/>
          <w:bCs/>
          <w:color w:val="auto"/>
          <w:szCs w:val="21"/>
          <w:highlight w:val="none"/>
          <w:lang w:val="en-US" w:eastAsia="zh-CN"/>
        </w:rPr>
        <w:t>清单及图纸编制完整的</w:t>
      </w:r>
      <w:r>
        <w:rPr>
          <w:rFonts w:hint="eastAsia" w:ascii="宋体" w:hAnsi="宋体" w:cs="宋体"/>
          <w:b/>
          <w:bCs/>
          <w:color w:val="auto"/>
          <w:szCs w:val="21"/>
          <w:highlight w:val="none"/>
          <w:lang w:val="en-US" w:eastAsia="zh-CN"/>
        </w:rPr>
        <w:t>工程量</w:t>
      </w:r>
      <w:r>
        <w:rPr>
          <w:rFonts w:hint="eastAsia" w:ascii="宋体" w:hAnsi="宋体" w:eastAsia="宋体" w:cs="宋体"/>
          <w:b/>
          <w:bCs/>
          <w:color w:val="auto"/>
          <w:szCs w:val="21"/>
          <w:highlight w:val="none"/>
          <w:lang w:val="en-US" w:eastAsia="zh-CN"/>
        </w:rPr>
        <w:t>清单报价文件</w:t>
      </w:r>
      <w:r>
        <w:rPr>
          <w:rFonts w:hint="eastAsia" w:ascii="宋体" w:hAnsi="宋体" w:eastAsia="宋体" w:cs="宋体"/>
          <w:b/>
          <w:bCs/>
          <w:color w:val="auto"/>
          <w:szCs w:val="21"/>
          <w:highlight w:val="none"/>
        </w:rPr>
        <w:t>。供应商对自己所填写的</w:t>
      </w:r>
      <w:r>
        <w:rPr>
          <w:rFonts w:hint="eastAsia" w:ascii="宋体" w:hAnsi="宋体" w:eastAsia="宋体" w:cs="宋体"/>
          <w:b/>
          <w:bCs/>
          <w:color w:val="auto"/>
          <w:highlight w:val="none"/>
        </w:rPr>
        <w:t>项目编码、项目名称及项目特征描述、计量单位、工程量</w:t>
      </w:r>
      <w:r>
        <w:rPr>
          <w:rFonts w:hint="eastAsia" w:ascii="宋体" w:hAnsi="宋体" w:eastAsia="宋体" w:cs="宋体"/>
          <w:b/>
          <w:bCs/>
          <w:color w:val="auto"/>
          <w:szCs w:val="21"/>
          <w:highlight w:val="none"/>
        </w:rPr>
        <w:t>，供应商填写的</w:t>
      </w:r>
      <w:r>
        <w:rPr>
          <w:rFonts w:hint="eastAsia" w:ascii="宋体" w:hAnsi="宋体" w:eastAsia="宋体" w:cs="宋体"/>
          <w:b/>
          <w:bCs/>
          <w:color w:val="auto"/>
          <w:highlight w:val="none"/>
        </w:rPr>
        <w:t>项目编码、</w:t>
      </w:r>
      <w:r>
        <w:rPr>
          <w:rFonts w:hint="eastAsia" w:ascii="宋体" w:hAnsi="宋体" w:cs="宋体"/>
          <w:b/>
          <w:bCs/>
          <w:color w:val="auto"/>
          <w:highlight w:val="none"/>
          <w:lang w:val="en-US" w:eastAsia="zh-CN"/>
        </w:rPr>
        <w:t>项</w:t>
      </w:r>
      <w:r>
        <w:rPr>
          <w:rFonts w:hint="eastAsia" w:ascii="宋体" w:hAnsi="宋体" w:eastAsia="宋体" w:cs="宋体"/>
          <w:b/>
          <w:bCs/>
          <w:color w:val="auto"/>
          <w:highlight w:val="none"/>
        </w:rPr>
        <w:t>目名称及项目特征描述、计量单位、工程量</w:t>
      </w:r>
      <w:r>
        <w:rPr>
          <w:rFonts w:hint="eastAsia" w:ascii="宋体" w:hAnsi="宋体" w:eastAsia="宋体" w:cs="宋体"/>
          <w:b/>
          <w:bCs/>
          <w:color w:val="auto"/>
          <w:szCs w:val="21"/>
          <w:highlight w:val="none"/>
        </w:rPr>
        <w:t>必须与采购人提供的一致。评标中，如</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报价文件</w:t>
      </w:r>
      <w:r>
        <w:rPr>
          <w:rFonts w:hint="eastAsia" w:ascii="宋体" w:hAnsi="宋体" w:eastAsia="宋体" w:cs="宋体"/>
          <w:b/>
          <w:bCs/>
          <w:color w:val="auto"/>
          <w:highlight w:val="none"/>
        </w:rPr>
        <w:t>项目编码、项目名称及项目特征描述、计量单位、工程量</w:t>
      </w:r>
      <w:r>
        <w:rPr>
          <w:rFonts w:hint="eastAsia" w:ascii="宋体" w:hAnsi="宋体" w:eastAsia="宋体" w:cs="宋体"/>
          <w:b/>
          <w:bCs/>
          <w:color w:val="auto"/>
          <w:szCs w:val="21"/>
          <w:highlight w:val="none"/>
        </w:rPr>
        <w:t>与采购人提供不一致的，作</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无效处理。</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报价总价应当与分</w:t>
      </w:r>
      <w:r>
        <w:rPr>
          <w:rFonts w:hint="eastAsia" w:ascii="宋体" w:hAnsi="宋体" w:cs="宋体"/>
          <w:b/>
          <w:bCs/>
          <w:color w:val="auto"/>
          <w:szCs w:val="21"/>
          <w:highlight w:val="none"/>
          <w:lang w:val="en-US" w:eastAsia="zh-CN"/>
        </w:rPr>
        <w:t>类</w:t>
      </w:r>
      <w:r>
        <w:rPr>
          <w:rFonts w:hint="eastAsia" w:ascii="宋体" w:hAnsi="宋体" w:eastAsia="宋体" w:cs="宋体"/>
          <w:b/>
          <w:bCs/>
          <w:color w:val="auto"/>
          <w:szCs w:val="21"/>
          <w:highlight w:val="none"/>
        </w:rPr>
        <w:t>分项工程和单价措施费</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、其他项目费和规费</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、增值税</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的合计金额一致，不一致的作</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无效处理。</w:t>
      </w:r>
    </w:p>
    <w:p w14:paraId="584CB252">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设有暂定价或暂定金额的，</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时要按采购人工程量清单给出的暂定价或暂定金额计入</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报价中，否则作</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无效处理。</w:t>
      </w:r>
    </w:p>
    <w:p w14:paraId="75FE72B8">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本项目</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采用多次报价方式，作</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报价时采购人将书面告知各供应商，供应商的</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报价文件必须按工程量清单报价文件的要求及格式编制</w:t>
      </w:r>
      <w:r>
        <w:rPr>
          <w:rFonts w:hint="eastAsia" w:ascii="宋体" w:hAnsi="宋体" w:cs="宋体"/>
          <w:b/>
          <w:bCs/>
          <w:color w:val="auto"/>
          <w:szCs w:val="21"/>
          <w:highlight w:val="none"/>
          <w:lang w:val="en-US" w:eastAsia="zh-CN"/>
        </w:rPr>
        <w:t>并加盖供应商电子印章及相关编制人员（如有要求）签字或盖章（此处所指“签字或盖章”为手写签字或盖章后扫描上传）</w:t>
      </w:r>
      <w:r>
        <w:rPr>
          <w:rFonts w:hint="eastAsia" w:ascii="宋体" w:hAnsi="宋体" w:eastAsia="宋体" w:cs="宋体"/>
          <w:b/>
          <w:bCs/>
          <w:color w:val="auto"/>
          <w:szCs w:val="21"/>
          <w:highlight w:val="none"/>
        </w:rPr>
        <w:t>，不得以总价下浮的方式做</w:t>
      </w:r>
      <w:r>
        <w:rPr>
          <w:rFonts w:hint="eastAsia" w:ascii="宋体" w:hAnsi="宋体" w:eastAsia="宋体" w:cs="宋体"/>
          <w:b/>
          <w:bCs/>
          <w:color w:val="auto"/>
          <w:szCs w:val="21"/>
          <w:highlight w:val="none"/>
          <w:lang w:eastAsia="zh-CN"/>
        </w:rPr>
        <w:t>最后</w:t>
      </w:r>
      <w:r>
        <w:rPr>
          <w:rFonts w:hint="eastAsia" w:ascii="宋体" w:hAnsi="宋体" w:eastAsia="宋体" w:cs="宋体"/>
          <w:b/>
          <w:bCs/>
          <w:color w:val="auto"/>
          <w:szCs w:val="21"/>
          <w:highlight w:val="none"/>
        </w:rPr>
        <w:t>报价，否则，作无效</w:t>
      </w:r>
      <w:r>
        <w:rPr>
          <w:rFonts w:hint="eastAsia" w:ascii="宋体" w:hAnsi="宋体" w:cs="宋体"/>
          <w:b/>
          <w:bCs/>
          <w:color w:val="auto"/>
          <w:szCs w:val="21"/>
          <w:highlight w:val="none"/>
          <w:lang w:val="en-US" w:eastAsia="zh-CN"/>
        </w:rPr>
        <w:t>磋商</w:t>
      </w:r>
      <w:r>
        <w:rPr>
          <w:rFonts w:hint="eastAsia" w:ascii="宋体" w:hAnsi="宋体" w:eastAsia="宋体" w:cs="宋体"/>
          <w:b/>
          <w:bCs/>
          <w:color w:val="auto"/>
          <w:szCs w:val="21"/>
          <w:highlight w:val="none"/>
        </w:rPr>
        <w:t>处理，供应商须提前做好相关准备并按时递交</w:t>
      </w:r>
      <w:r>
        <w:rPr>
          <w:rFonts w:hint="eastAsia" w:ascii="宋体" w:hAnsi="宋体" w:eastAsia="宋体" w:cs="宋体"/>
          <w:b/>
          <w:bCs/>
          <w:color w:val="auto"/>
          <w:szCs w:val="21"/>
          <w:highlight w:val="none"/>
          <w:lang w:eastAsia="zh-CN"/>
        </w:rPr>
        <w:t>最后</w:t>
      </w:r>
      <w:r>
        <w:rPr>
          <w:rFonts w:hint="eastAsia" w:ascii="宋体" w:hAnsi="宋体" w:eastAsia="宋体" w:cs="宋体"/>
          <w:b/>
          <w:bCs/>
          <w:color w:val="auto"/>
          <w:szCs w:val="21"/>
          <w:highlight w:val="none"/>
        </w:rPr>
        <w:t>报价文件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以附件的方式上传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最后</w:t>
      </w:r>
      <w:r>
        <w:rPr>
          <w:rFonts w:hint="eastAsia" w:ascii="宋体" w:hAnsi="宋体" w:eastAsia="宋体" w:cs="宋体"/>
          <w:b/>
          <w:bCs/>
          <w:color w:val="auto"/>
          <w:szCs w:val="21"/>
          <w:highlight w:val="none"/>
        </w:rPr>
        <w:t>报价高于采购预算控制价的响应文件将被拒绝。</w:t>
      </w:r>
    </w:p>
    <w:p w14:paraId="12A1CAC0">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11</w:t>
      </w:r>
      <w:r>
        <w:rPr>
          <w:rFonts w:hint="eastAsia" w:ascii="宋体" w:hAnsi="宋体" w:eastAsia="宋体" w:cs="宋体"/>
          <w:color w:val="auto"/>
          <w:szCs w:val="21"/>
          <w:highlight w:val="none"/>
        </w:rPr>
        <w:t>.2工程计价说明详见第三章</w:t>
      </w:r>
      <w:r>
        <w:rPr>
          <w:rFonts w:hint="eastAsia" w:ascii="宋体" w:hAnsi="宋体" w:eastAsia="宋体" w:cs="宋体"/>
          <w:color w:val="auto"/>
          <w:highlight w:val="none"/>
        </w:rPr>
        <w:t>项目需求和说明中的</w:t>
      </w:r>
      <w:r>
        <w:rPr>
          <w:rFonts w:hint="eastAsia" w:ascii="宋体" w:hAnsi="宋体" w:eastAsia="宋体" w:cs="宋体"/>
          <w:color w:val="auto"/>
          <w:szCs w:val="21"/>
          <w:highlight w:val="none"/>
        </w:rPr>
        <w:t>“工程量清单”。</w:t>
      </w:r>
    </w:p>
    <w:p w14:paraId="79261116">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11</w:t>
      </w:r>
      <w:r>
        <w:rPr>
          <w:rFonts w:hint="eastAsia" w:ascii="宋体" w:hAnsi="宋体" w:eastAsia="宋体" w:cs="宋体"/>
          <w:color w:val="auto"/>
          <w:highlight w:val="none"/>
        </w:rPr>
        <w:t>.2.1</w:t>
      </w:r>
      <w:r>
        <w:rPr>
          <w:rFonts w:hint="eastAsia" w:ascii="宋体" w:hAnsi="宋体" w:eastAsia="宋体" w:cs="宋体"/>
          <w:color w:val="auto"/>
          <w:szCs w:val="21"/>
          <w:highlight w:val="none"/>
        </w:rPr>
        <w:t>采购人不提供建筑废渣的倾倒地点，建筑废渣的运距由供应商按所能承受能力自行考虑，建筑废渣的运费以综合单价形式包干。结算时不对运距进行费用签证。</w:t>
      </w:r>
    </w:p>
    <w:p w14:paraId="3466E9DF">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color w:val="auto"/>
          <w:spacing w:val="2"/>
          <w:highlight w:val="none"/>
        </w:rPr>
      </w:pPr>
      <w:r>
        <w:rPr>
          <w:rFonts w:hint="eastAsia" w:ascii="宋体" w:hAnsi="宋体" w:cs="宋体"/>
          <w:color w:val="auto"/>
          <w:spacing w:val="2"/>
          <w:highlight w:val="none"/>
          <w:lang w:val="en-US" w:eastAsia="zh-CN"/>
        </w:rPr>
        <w:t>11</w:t>
      </w:r>
      <w:r>
        <w:rPr>
          <w:rFonts w:hint="eastAsia" w:ascii="宋体" w:hAnsi="宋体" w:eastAsia="宋体" w:cs="宋体"/>
          <w:color w:val="auto"/>
          <w:spacing w:val="2"/>
          <w:highlight w:val="none"/>
        </w:rPr>
        <w:t>.2.2</w:t>
      </w:r>
      <w:r>
        <w:rPr>
          <w:rFonts w:hint="eastAsia" w:ascii="宋体" w:hAnsi="宋体" w:eastAsia="宋体" w:cs="宋体"/>
          <w:color w:val="auto"/>
          <w:szCs w:val="21"/>
          <w:highlight w:val="none"/>
        </w:rPr>
        <w:t>本工程施工期间的水电费由</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承担。</w:t>
      </w:r>
    </w:p>
    <w:p w14:paraId="2A63C6E9">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11</w:t>
      </w:r>
      <w:r>
        <w:rPr>
          <w:rFonts w:hint="eastAsia" w:ascii="宋体" w:hAnsi="宋体" w:eastAsia="宋体" w:cs="宋体"/>
          <w:color w:val="auto"/>
          <w:highlight w:val="none"/>
        </w:rPr>
        <w:t xml:space="preserve">.3 </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货币</w:t>
      </w:r>
    </w:p>
    <w:p w14:paraId="1F2F0A7E">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响应文件报价中的单价和合价全部采用人民币表示。</w:t>
      </w:r>
    </w:p>
    <w:p w14:paraId="0F07DE0B">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bookmarkStart w:id="62" w:name="_Toc424307481"/>
      <w:bookmarkStart w:id="63" w:name="_Toc424307748"/>
      <w:r>
        <w:rPr>
          <w:rFonts w:hint="eastAsia" w:ascii="宋体" w:hAnsi="宋体" w:eastAsia="宋体" w:cs="宋体"/>
          <w:b/>
          <w:bCs/>
          <w:color w:val="auto"/>
          <w:spacing w:val="2"/>
          <w:highlight w:val="none"/>
        </w:rPr>
        <w:t>五、响应文件的编制</w:t>
      </w:r>
      <w:bookmarkEnd w:id="62"/>
      <w:bookmarkEnd w:id="63"/>
    </w:p>
    <w:p w14:paraId="5C608D2F">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12</w:t>
      </w:r>
      <w:r>
        <w:rPr>
          <w:rFonts w:hint="eastAsia" w:ascii="宋体" w:hAnsi="宋体" w:eastAsia="宋体" w:cs="宋体"/>
          <w:b/>
          <w:bCs/>
          <w:color w:val="auto"/>
          <w:spacing w:val="2"/>
          <w:highlight w:val="none"/>
        </w:rPr>
        <w:t>.响应文件的语言</w:t>
      </w:r>
    </w:p>
    <w:p w14:paraId="5EC71F41">
      <w:pPr>
        <w:keepNext w:val="0"/>
        <w:keepLines w:val="0"/>
        <w:pageBreakBefore w:val="0"/>
        <w:widowControl w:val="0"/>
        <w:kinsoku/>
        <w:wordWrap/>
        <w:overflowPunct/>
        <w:topLinePunct w:val="0"/>
        <w:autoSpaceDE/>
        <w:autoSpaceDN/>
        <w:bidi w:val="0"/>
        <w:adjustRightInd/>
        <w:snapToGrid/>
        <w:spacing w:line="440" w:lineRule="exact"/>
        <w:ind w:firstLine="428" w:firstLineChars="200"/>
        <w:textAlignment w:val="auto"/>
        <w:rPr>
          <w:rFonts w:hint="eastAsia" w:ascii="宋体" w:hAnsi="宋体" w:eastAsia="宋体" w:cs="宋体"/>
          <w:color w:val="auto"/>
          <w:spacing w:val="2"/>
          <w:highlight w:val="none"/>
        </w:rPr>
      </w:pPr>
      <w:r>
        <w:rPr>
          <w:rFonts w:hint="eastAsia" w:ascii="宋体" w:hAnsi="宋体" w:cs="宋体"/>
          <w:color w:val="auto"/>
          <w:spacing w:val="2"/>
          <w:highlight w:val="none"/>
          <w:lang w:val="en-US" w:eastAsia="zh-CN"/>
        </w:rPr>
        <w:t>12</w:t>
      </w:r>
      <w:r>
        <w:rPr>
          <w:rFonts w:hint="eastAsia" w:ascii="宋体" w:hAnsi="宋体" w:eastAsia="宋体" w:cs="宋体"/>
          <w:color w:val="auto"/>
          <w:spacing w:val="2"/>
          <w:highlight w:val="none"/>
        </w:rPr>
        <w:t>.1“</w:t>
      </w:r>
      <w:r>
        <w:rPr>
          <w:rFonts w:hint="eastAsia" w:ascii="宋体" w:hAnsi="宋体" w:eastAsia="宋体" w:cs="宋体"/>
          <w:color w:val="auto"/>
          <w:szCs w:val="21"/>
          <w:highlight w:val="none"/>
        </w:rPr>
        <w:t>响应文件”是指：</w:t>
      </w:r>
      <w:r>
        <w:rPr>
          <w:rFonts w:hint="eastAsia" w:ascii="宋体" w:hAnsi="宋体" w:cs="宋体"/>
          <w:color w:val="auto"/>
          <w:spacing w:val="-6"/>
          <w:szCs w:val="21"/>
          <w:highlight w:val="none"/>
        </w:rPr>
        <w:t>供应商根据本磋商文件要求，编制包含资格证明、报价</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lang w:val="en-US" w:eastAsia="zh-CN"/>
        </w:rPr>
        <w:t>商务</w:t>
      </w:r>
      <w:r>
        <w:rPr>
          <w:rFonts w:hint="eastAsia" w:ascii="宋体" w:hAnsi="宋体" w:cs="宋体"/>
          <w:color w:val="auto"/>
          <w:spacing w:val="-6"/>
          <w:szCs w:val="21"/>
          <w:highlight w:val="none"/>
        </w:rPr>
        <w:t>技术等所有内容的文件。</w:t>
      </w:r>
    </w:p>
    <w:p w14:paraId="4AF7C282">
      <w:pPr>
        <w:keepNext w:val="0"/>
        <w:keepLines w:val="0"/>
        <w:pageBreakBefore w:val="0"/>
        <w:kinsoku/>
        <w:wordWrap/>
        <w:overflowPunct/>
        <w:topLinePunct w:val="0"/>
        <w:autoSpaceDE/>
        <w:autoSpaceDN/>
        <w:bidi w:val="0"/>
        <w:spacing w:line="440" w:lineRule="exact"/>
        <w:ind w:firstLine="428" w:firstLineChars="200"/>
        <w:textAlignment w:val="auto"/>
        <w:rPr>
          <w:rFonts w:hint="eastAsia" w:ascii="宋体" w:hAnsi="宋体" w:eastAsia="宋体" w:cs="宋体"/>
          <w:color w:val="auto"/>
          <w:szCs w:val="21"/>
          <w:highlight w:val="none"/>
        </w:rPr>
      </w:pPr>
      <w:r>
        <w:rPr>
          <w:rFonts w:hint="eastAsia" w:ascii="宋体" w:hAnsi="宋体" w:cs="宋体"/>
          <w:color w:val="auto"/>
          <w:spacing w:val="2"/>
          <w:highlight w:val="none"/>
          <w:lang w:val="en-US" w:eastAsia="zh-CN"/>
        </w:rPr>
        <w:t>12</w:t>
      </w:r>
      <w:r>
        <w:rPr>
          <w:rFonts w:hint="eastAsia" w:ascii="宋体" w:hAnsi="宋体" w:eastAsia="宋体" w:cs="宋体"/>
          <w:color w:val="auto"/>
          <w:spacing w:val="2"/>
          <w:highlight w:val="none"/>
        </w:rPr>
        <w:t>.2</w:t>
      </w:r>
      <w:r>
        <w:rPr>
          <w:rFonts w:hint="eastAsia" w:ascii="宋体" w:hAnsi="宋体" w:eastAsia="宋体" w:cs="宋体"/>
          <w:color w:val="auto"/>
          <w:spacing w:val="-2"/>
          <w:highlight w:val="none"/>
        </w:rPr>
        <w:t>响应文件及供应商与采购人之间往来的与</w:t>
      </w:r>
      <w:r>
        <w:rPr>
          <w:rFonts w:hint="eastAsia" w:ascii="宋体" w:hAnsi="宋体" w:eastAsia="宋体" w:cs="宋体"/>
          <w:color w:val="auto"/>
          <w:spacing w:val="-2"/>
          <w:highlight w:val="none"/>
          <w:lang w:eastAsia="zh-CN"/>
        </w:rPr>
        <w:t>磋商</w:t>
      </w:r>
      <w:r>
        <w:rPr>
          <w:rFonts w:hint="eastAsia" w:ascii="宋体" w:hAnsi="宋体" w:eastAsia="宋体" w:cs="宋体"/>
          <w:color w:val="auto"/>
          <w:spacing w:val="-2"/>
          <w:highlight w:val="none"/>
        </w:rPr>
        <w:t>有关的通知、函件和文件均应使用</w:t>
      </w:r>
      <w:r>
        <w:rPr>
          <w:rFonts w:hint="eastAsia" w:ascii="宋体" w:hAnsi="宋体" w:eastAsia="宋体" w:cs="宋体"/>
          <w:bCs/>
          <w:color w:val="auto"/>
          <w:spacing w:val="-2"/>
          <w:highlight w:val="none"/>
        </w:rPr>
        <w:t>中</w:t>
      </w:r>
      <w:r>
        <w:rPr>
          <w:rFonts w:hint="eastAsia" w:ascii="宋体" w:hAnsi="宋体" w:eastAsia="宋体" w:cs="宋体"/>
          <w:color w:val="auto"/>
          <w:spacing w:val="-2"/>
          <w:highlight w:val="none"/>
        </w:rPr>
        <w:t>文</w:t>
      </w:r>
      <w:r>
        <w:rPr>
          <w:rFonts w:hint="eastAsia" w:ascii="宋体" w:hAnsi="宋体" w:eastAsia="宋体" w:cs="宋体"/>
          <w:color w:val="auto"/>
          <w:szCs w:val="21"/>
          <w:highlight w:val="none"/>
        </w:rPr>
        <w:t>。</w:t>
      </w:r>
    </w:p>
    <w:p w14:paraId="1B6BFD16">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1</w:t>
      </w:r>
      <w:r>
        <w:rPr>
          <w:rFonts w:hint="eastAsia" w:ascii="宋体" w:hAnsi="宋体" w:cs="宋体"/>
          <w:b/>
          <w:bCs/>
          <w:color w:val="auto"/>
          <w:spacing w:val="2"/>
          <w:highlight w:val="none"/>
          <w:lang w:val="en-US" w:eastAsia="zh-CN"/>
        </w:rPr>
        <w:t>3</w:t>
      </w:r>
      <w:r>
        <w:rPr>
          <w:rFonts w:hint="eastAsia" w:ascii="宋体" w:hAnsi="宋体" w:cs="宋体"/>
          <w:b/>
          <w:bCs/>
          <w:color w:val="auto"/>
          <w:spacing w:val="2"/>
          <w:highlight w:val="none"/>
          <w:lang w:eastAsia="zh-CN"/>
        </w:rPr>
        <w:t>竞标有效期</w:t>
      </w:r>
    </w:p>
    <w:p w14:paraId="5D482FD0">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w:t>
      </w:r>
      <w:r>
        <w:rPr>
          <w:rFonts w:hint="eastAsia" w:ascii="宋体" w:hAnsi="宋体" w:cs="宋体"/>
          <w:color w:val="auto"/>
          <w:spacing w:val="2"/>
          <w:highlight w:val="none"/>
          <w:lang w:val="en-US" w:eastAsia="zh-CN"/>
        </w:rPr>
        <w:t>3</w:t>
      </w:r>
      <w:r>
        <w:rPr>
          <w:rFonts w:hint="eastAsia" w:ascii="宋体" w:hAnsi="宋体" w:eastAsia="宋体" w:cs="宋体"/>
          <w:color w:val="auto"/>
          <w:spacing w:val="2"/>
          <w:highlight w:val="none"/>
        </w:rPr>
        <w:t xml:space="preserve">.1 </w:t>
      </w:r>
      <w:bookmarkStart w:id="64" w:name="OLE_LINK18"/>
      <w:r>
        <w:rPr>
          <w:rFonts w:hint="eastAsia" w:ascii="宋体" w:hAnsi="宋体" w:cs="宋体"/>
          <w:color w:val="auto"/>
          <w:spacing w:val="2"/>
          <w:highlight w:val="none"/>
          <w:lang w:eastAsia="zh-CN"/>
        </w:rPr>
        <w:t>竞标有效期</w:t>
      </w:r>
      <w:bookmarkEnd w:id="64"/>
      <w:r>
        <w:rPr>
          <w:rFonts w:hint="eastAsia" w:ascii="宋体" w:hAnsi="宋体" w:eastAsia="宋体" w:cs="宋体"/>
          <w:color w:val="auto"/>
          <w:spacing w:val="2"/>
          <w:highlight w:val="none"/>
        </w:rPr>
        <w:t>：自首次响应文件提交截止时间起至政府采购合同签订之日止。</w:t>
      </w:r>
    </w:p>
    <w:p w14:paraId="49632AE4">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w:t>
      </w:r>
      <w:r>
        <w:rPr>
          <w:rFonts w:hint="eastAsia" w:ascii="宋体" w:hAnsi="宋体" w:cs="宋体"/>
          <w:color w:val="auto"/>
          <w:spacing w:val="2"/>
          <w:highlight w:val="none"/>
          <w:lang w:val="en-US" w:eastAsia="zh-CN"/>
        </w:rPr>
        <w:t>3</w:t>
      </w:r>
      <w:r>
        <w:rPr>
          <w:rFonts w:hint="eastAsia" w:ascii="宋体" w:hAnsi="宋体" w:eastAsia="宋体" w:cs="宋体"/>
          <w:color w:val="auto"/>
          <w:spacing w:val="2"/>
          <w:highlight w:val="none"/>
        </w:rPr>
        <w:t>.2在原定</w:t>
      </w:r>
      <w:r>
        <w:rPr>
          <w:rFonts w:hint="eastAsia" w:ascii="宋体" w:hAnsi="宋体" w:cs="宋体"/>
          <w:color w:val="auto"/>
          <w:spacing w:val="2"/>
          <w:highlight w:val="none"/>
          <w:lang w:eastAsia="zh-CN"/>
        </w:rPr>
        <w:t>竞标有效期</w:t>
      </w:r>
      <w:r>
        <w:rPr>
          <w:rFonts w:hint="eastAsia" w:ascii="宋体" w:hAnsi="宋体" w:eastAsia="宋体" w:cs="宋体"/>
          <w:color w:val="auto"/>
          <w:spacing w:val="2"/>
          <w:highlight w:val="none"/>
        </w:rPr>
        <w:t>满之前，如果出现特殊情况，采购人可以书面形式向供应商提出延长</w:t>
      </w:r>
      <w:r>
        <w:rPr>
          <w:rFonts w:hint="eastAsia" w:ascii="宋体" w:hAnsi="宋体" w:cs="宋体"/>
          <w:color w:val="auto"/>
          <w:spacing w:val="2"/>
          <w:highlight w:val="none"/>
          <w:lang w:eastAsia="zh-CN"/>
        </w:rPr>
        <w:t>竞标有效期</w:t>
      </w:r>
      <w:r>
        <w:rPr>
          <w:rFonts w:hint="eastAsia" w:ascii="宋体" w:hAnsi="宋体" w:eastAsia="宋体" w:cs="宋体"/>
          <w:color w:val="auto"/>
          <w:spacing w:val="2"/>
          <w:highlight w:val="none"/>
        </w:rPr>
        <w:t>的要求。供应商须以书面形式予以答复。同意延长</w:t>
      </w:r>
      <w:r>
        <w:rPr>
          <w:rFonts w:hint="eastAsia" w:ascii="宋体" w:hAnsi="宋体" w:cs="宋体"/>
          <w:color w:val="auto"/>
          <w:spacing w:val="2"/>
          <w:highlight w:val="none"/>
          <w:lang w:eastAsia="zh-CN"/>
        </w:rPr>
        <w:t>竞标有效期</w:t>
      </w:r>
      <w:r>
        <w:rPr>
          <w:rFonts w:hint="eastAsia" w:ascii="宋体" w:hAnsi="宋体" w:eastAsia="宋体" w:cs="宋体"/>
          <w:color w:val="auto"/>
          <w:spacing w:val="2"/>
          <w:highlight w:val="none"/>
        </w:rPr>
        <w:t>的供应商不允许修改其响应文件，在延长期内本须知的规定仍然适用。</w:t>
      </w:r>
    </w:p>
    <w:p w14:paraId="3AA0DB3F">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1</w:t>
      </w:r>
      <w:r>
        <w:rPr>
          <w:rFonts w:hint="eastAsia" w:ascii="宋体" w:hAnsi="宋体" w:cs="宋体"/>
          <w:b/>
          <w:bCs/>
          <w:color w:val="auto"/>
          <w:spacing w:val="2"/>
          <w:highlight w:val="none"/>
          <w:lang w:val="en-US" w:eastAsia="zh-CN"/>
        </w:rPr>
        <w:t>4</w:t>
      </w:r>
      <w:r>
        <w:rPr>
          <w:rFonts w:hint="eastAsia" w:ascii="宋体" w:hAnsi="宋体" w:eastAsia="宋体" w:cs="宋体"/>
          <w:b/>
          <w:bCs/>
          <w:color w:val="auto"/>
          <w:spacing w:val="2"/>
          <w:highlight w:val="none"/>
        </w:rPr>
        <w:t>.</w:t>
      </w:r>
      <w:r>
        <w:rPr>
          <w:rFonts w:hint="eastAsia" w:ascii="宋体" w:hAnsi="宋体" w:eastAsia="宋体" w:cs="宋体"/>
          <w:b/>
          <w:color w:val="auto"/>
          <w:highlight w:val="none"/>
          <w:lang w:eastAsia="zh-CN"/>
        </w:rPr>
        <w:t>磋商</w:t>
      </w:r>
      <w:r>
        <w:rPr>
          <w:rFonts w:hint="eastAsia" w:ascii="宋体" w:hAnsi="宋体" w:eastAsia="宋体" w:cs="宋体"/>
          <w:b/>
          <w:color w:val="auto"/>
          <w:highlight w:val="none"/>
        </w:rPr>
        <w:t>保证金</w:t>
      </w:r>
    </w:p>
    <w:p w14:paraId="4AE07F6A">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本项目不收取磋商保证金</w:t>
      </w:r>
      <w:r>
        <w:rPr>
          <w:rFonts w:hint="eastAsia" w:ascii="宋体" w:hAnsi="宋体" w:eastAsia="宋体" w:cs="宋体"/>
          <w:color w:val="auto"/>
          <w:sz w:val="21"/>
          <w:szCs w:val="21"/>
          <w:highlight w:val="none"/>
        </w:rPr>
        <w:t>。</w:t>
      </w:r>
    </w:p>
    <w:p w14:paraId="77ABFC62">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1</w:t>
      </w:r>
      <w:r>
        <w:rPr>
          <w:rFonts w:hint="eastAsia" w:ascii="宋体" w:hAnsi="宋体" w:cs="宋体"/>
          <w:b/>
          <w:bCs/>
          <w:color w:val="auto"/>
          <w:spacing w:val="2"/>
          <w:highlight w:val="none"/>
          <w:lang w:val="en-US" w:eastAsia="zh-CN"/>
        </w:rPr>
        <w:t>5</w:t>
      </w:r>
      <w:r>
        <w:rPr>
          <w:rFonts w:hint="eastAsia" w:ascii="宋体" w:hAnsi="宋体" w:eastAsia="宋体" w:cs="宋体"/>
          <w:b/>
          <w:bCs/>
          <w:color w:val="auto"/>
          <w:spacing w:val="2"/>
          <w:highlight w:val="none"/>
        </w:rPr>
        <w:t>.踏勘现场和</w:t>
      </w:r>
      <w:r>
        <w:rPr>
          <w:rFonts w:hint="eastAsia" w:ascii="宋体" w:hAnsi="宋体" w:eastAsia="宋体" w:cs="宋体"/>
          <w:b/>
          <w:bCs/>
          <w:color w:val="auto"/>
          <w:spacing w:val="2"/>
          <w:highlight w:val="none"/>
          <w:lang w:eastAsia="zh-CN"/>
        </w:rPr>
        <w:t>磋商</w:t>
      </w:r>
      <w:r>
        <w:rPr>
          <w:rFonts w:hint="eastAsia" w:ascii="宋体" w:hAnsi="宋体" w:eastAsia="宋体" w:cs="宋体"/>
          <w:b/>
          <w:bCs/>
          <w:color w:val="auto"/>
          <w:spacing w:val="2"/>
          <w:highlight w:val="none"/>
        </w:rPr>
        <w:t>答疑</w:t>
      </w:r>
    </w:p>
    <w:p w14:paraId="3DC88362">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b w:val="0"/>
          <w:bCs w:val="0"/>
          <w:color w:val="auto"/>
          <w:spacing w:val="2"/>
          <w:highlight w:val="none"/>
        </w:rPr>
      </w:pPr>
      <w:r>
        <w:rPr>
          <w:rFonts w:hint="eastAsia" w:ascii="宋体" w:hAnsi="宋体" w:eastAsia="宋体" w:cs="宋体"/>
          <w:b w:val="0"/>
          <w:bCs w:val="0"/>
          <w:color w:val="auto"/>
          <w:spacing w:val="2"/>
          <w:highlight w:val="none"/>
        </w:rPr>
        <w:t>1</w:t>
      </w:r>
      <w:r>
        <w:rPr>
          <w:rFonts w:hint="eastAsia" w:ascii="宋体" w:hAnsi="宋体" w:cs="宋体"/>
          <w:b w:val="0"/>
          <w:bCs w:val="0"/>
          <w:color w:val="auto"/>
          <w:spacing w:val="2"/>
          <w:highlight w:val="none"/>
          <w:lang w:val="en-US" w:eastAsia="zh-CN"/>
        </w:rPr>
        <w:t>5</w:t>
      </w:r>
      <w:r>
        <w:rPr>
          <w:rFonts w:hint="eastAsia" w:ascii="宋体" w:hAnsi="宋体" w:eastAsia="宋体" w:cs="宋体"/>
          <w:b w:val="0"/>
          <w:bCs w:val="0"/>
          <w:color w:val="auto"/>
          <w:spacing w:val="2"/>
          <w:highlight w:val="none"/>
        </w:rPr>
        <w:t>.1 采购人向供应商提供的有关施工现场的资料和数据，是采购人现有的能使供应商利用的资料。采购人对供应商由此而作出的推论、理解和结论概不负责。</w:t>
      </w:r>
    </w:p>
    <w:p w14:paraId="08F03D26">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b w:val="0"/>
          <w:bCs w:val="0"/>
          <w:color w:val="auto"/>
          <w:spacing w:val="2"/>
          <w:highlight w:val="none"/>
        </w:rPr>
      </w:pPr>
      <w:r>
        <w:rPr>
          <w:rFonts w:hint="eastAsia" w:ascii="宋体" w:hAnsi="宋体" w:eastAsia="宋体" w:cs="宋体"/>
          <w:b w:val="0"/>
          <w:bCs w:val="0"/>
          <w:color w:val="auto"/>
          <w:spacing w:val="2"/>
          <w:highlight w:val="none"/>
        </w:rPr>
        <w:t>1</w:t>
      </w:r>
      <w:r>
        <w:rPr>
          <w:rFonts w:hint="eastAsia" w:ascii="宋体" w:hAnsi="宋体" w:cs="宋体"/>
          <w:b w:val="0"/>
          <w:bCs w:val="0"/>
          <w:color w:val="auto"/>
          <w:spacing w:val="2"/>
          <w:highlight w:val="none"/>
          <w:lang w:val="en-US" w:eastAsia="zh-CN"/>
        </w:rPr>
        <w:t>5</w:t>
      </w:r>
      <w:r>
        <w:rPr>
          <w:rFonts w:hint="eastAsia" w:ascii="宋体" w:hAnsi="宋体" w:eastAsia="宋体" w:cs="宋体"/>
          <w:b w:val="0"/>
          <w:bCs w:val="0"/>
          <w:color w:val="auto"/>
          <w:spacing w:val="2"/>
          <w:highlight w:val="none"/>
        </w:rPr>
        <w:t>.2 供应商提出的与</w:t>
      </w:r>
      <w:r>
        <w:rPr>
          <w:rFonts w:hint="eastAsia" w:ascii="宋体" w:hAnsi="宋体" w:eastAsia="宋体" w:cs="宋体"/>
          <w:b w:val="0"/>
          <w:bCs w:val="0"/>
          <w:color w:val="auto"/>
          <w:spacing w:val="2"/>
          <w:highlight w:val="none"/>
          <w:lang w:eastAsia="zh-CN"/>
        </w:rPr>
        <w:t>磋商</w:t>
      </w:r>
      <w:r>
        <w:rPr>
          <w:rFonts w:hint="eastAsia" w:ascii="宋体" w:hAnsi="宋体" w:eastAsia="宋体" w:cs="宋体"/>
          <w:b w:val="0"/>
          <w:bCs w:val="0"/>
          <w:color w:val="auto"/>
          <w:spacing w:val="2"/>
          <w:highlight w:val="none"/>
        </w:rPr>
        <w:t>有关的任何问题须在收到竞争性</w:t>
      </w:r>
      <w:r>
        <w:rPr>
          <w:rFonts w:hint="eastAsia" w:ascii="宋体" w:hAnsi="宋体" w:eastAsia="宋体" w:cs="宋体"/>
          <w:b w:val="0"/>
          <w:bCs w:val="0"/>
          <w:color w:val="auto"/>
          <w:spacing w:val="2"/>
          <w:highlight w:val="none"/>
          <w:lang w:eastAsia="zh-CN"/>
        </w:rPr>
        <w:t>磋商</w:t>
      </w:r>
      <w:r>
        <w:rPr>
          <w:rFonts w:hint="eastAsia" w:ascii="宋体" w:hAnsi="宋体" w:eastAsia="宋体" w:cs="宋体"/>
          <w:b w:val="0"/>
          <w:bCs w:val="0"/>
          <w:color w:val="auto"/>
          <w:spacing w:val="2"/>
          <w:highlight w:val="none"/>
        </w:rPr>
        <w:t>文件和工程量清单及相关资料后2天内，以书面形式送达采购代理机构，采购代理机构将通过“补遗文件”的形式予以答复。</w:t>
      </w:r>
    </w:p>
    <w:p w14:paraId="5A242038">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b w:val="0"/>
          <w:bCs w:val="0"/>
          <w:color w:val="auto"/>
          <w:spacing w:val="2"/>
          <w:highlight w:val="none"/>
        </w:rPr>
      </w:pPr>
      <w:r>
        <w:rPr>
          <w:rFonts w:hint="eastAsia" w:ascii="宋体" w:hAnsi="宋体" w:eastAsia="宋体" w:cs="宋体"/>
          <w:b w:val="0"/>
          <w:bCs w:val="0"/>
          <w:color w:val="auto"/>
          <w:spacing w:val="2"/>
          <w:highlight w:val="none"/>
        </w:rPr>
        <w:t>1</w:t>
      </w:r>
      <w:r>
        <w:rPr>
          <w:rFonts w:hint="eastAsia" w:ascii="宋体" w:hAnsi="宋体" w:cs="宋体"/>
          <w:b w:val="0"/>
          <w:bCs w:val="0"/>
          <w:color w:val="auto"/>
          <w:spacing w:val="2"/>
          <w:highlight w:val="none"/>
          <w:lang w:val="en-US" w:eastAsia="zh-CN"/>
        </w:rPr>
        <w:t>5</w:t>
      </w:r>
      <w:r>
        <w:rPr>
          <w:rFonts w:hint="eastAsia" w:ascii="宋体" w:hAnsi="宋体" w:eastAsia="宋体" w:cs="宋体"/>
          <w:b w:val="0"/>
          <w:bCs w:val="0"/>
          <w:color w:val="auto"/>
          <w:spacing w:val="2"/>
          <w:highlight w:val="none"/>
        </w:rPr>
        <w:t>.3 采购补遗文件包括所有问题和答复，将迅速提供给所有获得竞争性</w:t>
      </w:r>
      <w:r>
        <w:rPr>
          <w:rFonts w:hint="eastAsia" w:ascii="宋体" w:hAnsi="宋体" w:eastAsia="宋体" w:cs="宋体"/>
          <w:b w:val="0"/>
          <w:bCs w:val="0"/>
          <w:color w:val="auto"/>
          <w:spacing w:val="2"/>
          <w:highlight w:val="none"/>
          <w:lang w:eastAsia="zh-CN"/>
        </w:rPr>
        <w:t>磋商</w:t>
      </w:r>
      <w:r>
        <w:rPr>
          <w:rFonts w:hint="eastAsia" w:ascii="宋体" w:hAnsi="宋体" w:eastAsia="宋体" w:cs="宋体"/>
          <w:b w:val="0"/>
          <w:bCs w:val="0"/>
          <w:color w:val="auto"/>
          <w:spacing w:val="2"/>
          <w:highlight w:val="none"/>
        </w:rPr>
        <w:t>文件的供应商。供应商须在前附表所列的时间和地点领取采购补遗文件。</w:t>
      </w:r>
    </w:p>
    <w:p w14:paraId="7D7D2A2C">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1</w:t>
      </w:r>
      <w:r>
        <w:rPr>
          <w:rFonts w:hint="eastAsia" w:ascii="宋体" w:hAnsi="宋体" w:cs="宋体"/>
          <w:b/>
          <w:bCs/>
          <w:color w:val="auto"/>
          <w:spacing w:val="2"/>
          <w:highlight w:val="none"/>
          <w:lang w:val="en-US" w:eastAsia="zh-CN"/>
        </w:rPr>
        <w:t>6</w:t>
      </w:r>
      <w:r>
        <w:rPr>
          <w:rFonts w:hint="eastAsia" w:ascii="宋体" w:hAnsi="宋体" w:eastAsia="宋体" w:cs="宋体"/>
          <w:b/>
          <w:bCs/>
          <w:color w:val="auto"/>
          <w:spacing w:val="2"/>
          <w:highlight w:val="none"/>
        </w:rPr>
        <w:t>.</w:t>
      </w:r>
      <w:r>
        <w:rPr>
          <w:rFonts w:hint="eastAsia" w:ascii="宋体" w:hAnsi="宋体" w:eastAsia="宋体" w:cs="宋体"/>
          <w:b/>
          <w:bCs/>
          <w:color w:val="auto"/>
          <w:spacing w:val="2"/>
          <w:highlight w:val="none"/>
          <w:lang w:val="en-US" w:eastAsia="zh-CN"/>
        </w:rPr>
        <w:t>电子</w:t>
      </w:r>
      <w:r>
        <w:rPr>
          <w:rFonts w:hint="eastAsia" w:ascii="宋体" w:hAnsi="宋体" w:eastAsia="宋体" w:cs="宋体"/>
          <w:b/>
          <w:bCs/>
          <w:color w:val="auto"/>
          <w:spacing w:val="2"/>
          <w:highlight w:val="none"/>
        </w:rPr>
        <w:t>响应文件编制的要求</w:t>
      </w:r>
    </w:p>
    <w:p w14:paraId="62C5E021">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686249E">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.2本磋商只接受电子版响应文件，要求见本章“</w:t>
      </w:r>
      <w:r>
        <w:rPr>
          <w:rFonts w:hint="eastAsia" w:ascii="宋体" w:hAnsi="宋体" w:eastAsia="宋体" w:cs="宋体"/>
          <w:color w:val="auto"/>
          <w:szCs w:val="21"/>
          <w:highlight w:val="none"/>
          <w:lang w:val="en-US" w:eastAsia="zh-CN"/>
        </w:rPr>
        <w:t>9.1</w:t>
      </w:r>
      <w:r>
        <w:rPr>
          <w:rFonts w:hint="eastAsia" w:ascii="宋体" w:hAnsi="宋体" w:eastAsia="宋体" w:cs="宋体"/>
          <w:color w:val="auto"/>
          <w:szCs w:val="21"/>
          <w:highlight w:val="none"/>
        </w:rPr>
        <w:t>响应文件电子版要求”。</w:t>
      </w:r>
    </w:p>
    <w:p w14:paraId="19C225B9">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bookmarkStart w:id="65" w:name="_Hlk65832699"/>
      <w:r>
        <w:rPr>
          <w:rFonts w:hint="eastAsia" w:ascii="宋体" w:hAnsi="宋体" w:eastAsia="宋体" w:cs="宋体"/>
          <w:color w:val="auto"/>
          <w:szCs w:val="21"/>
          <w:highlight w:val="none"/>
        </w:rPr>
        <w:t>3响应文件须由供应商</w:t>
      </w:r>
      <w:r>
        <w:rPr>
          <w:rFonts w:hint="eastAsia" w:ascii="宋体" w:hAnsi="宋体" w:eastAsia="宋体" w:cs="宋体"/>
          <w:color w:val="auto"/>
          <w:szCs w:val="21"/>
          <w:highlight w:val="none"/>
          <w:lang w:eastAsia="zh-CN"/>
        </w:rPr>
        <w:t>按</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进行签署、盖章</w:t>
      </w:r>
      <w:bookmarkEnd w:id="65"/>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否则其响应文件按无效响应处理</w:t>
      </w:r>
      <w:r>
        <w:rPr>
          <w:rFonts w:hint="eastAsia" w:ascii="宋体" w:hAnsi="宋体" w:eastAsia="宋体" w:cs="宋体"/>
          <w:color w:val="auto"/>
          <w:szCs w:val="21"/>
          <w:highlight w:val="none"/>
        </w:rPr>
        <w:t>。</w:t>
      </w:r>
    </w:p>
    <w:p w14:paraId="372D78EC">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.4响应文件中标注的供应商名称应与营业执照（事业单位法人证书、执业许可证、自然人身份证）及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公章一致，</w:t>
      </w:r>
      <w:r>
        <w:rPr>
          <w:rFonts w:hint="eastAsia" w:ascii="宋体" w:hAnsi="宋体" w:eastAsia="宋体" w:cs="宋体"/>
          <w:b/>
          <w:bCs/>
          <w:color w:val="auto"/>
          <w:szCs w:val="21"/>
          <w:highlight w:val="none"/>
        </w:rPr>
        <w:t>否则其响应文件按无效响应处理。</w:t>
      </w:r>
    </w:p>
    <w:p w14:paraId="074CE96B">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pacing w:val="2"/>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.5响应文件应避免涂改、行间插字或者删除</w:t>
      </w:r>
      <w:r>
        <w:rPr>
          <w:rFonts w:hint="eastAsia" w:ascii="宋体" w:hAnsi="宋体" w:eastAsia="宋体" w:cs="宋体"/>
          <w:b w:val="0"/>
          <w:bCs w:val="0"/>
          <w:color w:val="auto"/>
          <w:spacing w:val="2"/>
          <w:highlight w:val="none"/>
        </w:rPr>
        <w:t>。</w:t>
      </w:r>
    </w:p>
    <w:p w14:paraId="7B7E0A9F">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bookmarkStart w:id="66" w:name="_Toc424307482"/>
      <w:bookmarkStart w:id="67" w:name="_Toc424307749"/>
      <w:r>
        <w:rPr>
          <w:rFonts w:hint="eastAsia" w:ascii="宋体" w:hAnsi="宋体" w:eastAsia="宋体" w:cs="宋体"/>
          <w:b/>
          <w:bCs/>
          <w:color w:val="auto"/>
          <w:spacing w:val="2"/>
          <w:highlight w:val="none"/>
        </w:rPr>
        <w:t>1</w:t>
      </w:r>
      <w:r>
        <w:rPr>
          <w:rFonts w:hint="eastAsia" w:ascii="宋体" w:hAnsi="宋体" w:cs="宋体"/>
          <w:b/>
          <w:bCs/>
          <w:color w:val="auto"/>
          <w:spacing w:val="2"/>
          <w:highlight w:val="none"/>
          <w:lang w:val="en-US" w:eastAsia="zh-CN"/>
        </w:rPr>
        <w:t>7</w:t>
      </w:r>
      <w:r>
        <w:rPr>
          <w:rFonts w:hint="eastAsia" w:ascii="宋体" w:hAnsi="宋体" w:eastAsia="宋体" w:cs="宋体"/>
          <w:b/>
          <w:bCs/>
          <w:color w:val="auto"/>
          <w:spacing w:val="2"/>
          <w:highlight w:val="none"/>
        </w:rPr>
        <w:t>.响应文件的</w:t>
      </w:r>
      <w:r>
        <w:rPr>
          <w:rFonts w:hint="eastAsia" w:ascii="宋体" w:hAnsi="宋体" w:cs="宋体"/>
          <w:b/>
          <w:bCs/>
          <w:color w:val="auto"/>
          <w:spacing w:val="2"/>
          <w:highlight w:val="none"/>
          <w:lang w:val="en-US" w:eastAsia="zh-CN"/>
        </w:rPr>
        <w:t>加密</w:t>
      </w:r>
      <w:r>
        <w:rPr>
          <w:rFonts w:hint="eastAsia" w:ascii="宋体" w:hAnsi="宋体" w:eastAsia="宋体" w:cs="宋体"/>
          <w:b/>
          <w:bCs/>
          <w:color w:val="auto"/>
          <w:spacing w:val="2"/>
          <w:highlight w:val="none"/>
        </w:rPr>
        <w:t>和标记</w:t>
      </w:r>
    </w:p>
    <w:p w14:paraId="4689CB5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val="zh-CN"/>
        </w:rPr>
        <w:t>.1供应商进行电子交易应安装客户端软件—“</w:t>
      </w:r>
      <w:r>
        <w:rPr>
          <w:rFonts w:hint="eastAsia" w:ascii="宋体" w:hAnsi="宋体" w:cs="宋体"/>
          <w:color w:val="auto"/>
          <w:kern w:val="0"/>
          <w:szCs w:val="21"/>
          <w:highlight w:val="none"/>
          <w:lang w:val="zh-CN"/>
        </w:rPr>
        <w:t>广西政府采购云平台新版客户端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1B5D5061">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val="zh-CN"/>
        </w:rPr>
        <w:t>.2使用“</w:t>
      </w:r>
      <w:r>
        <w:rPr>
          <w:rFonts w:hint="eastAsia" w:ascii="宋体" w:hAnsi="宋体" w:cs="宋体"/>
          <w:color w:val="auto"/>
          <w:kern w:val="0"/>
          <w:szCs w:val="21"/>
          <w:highlight w:val="none"/>
          <w:lang w:val="zh-CN"/>
        </w:rPr>
        <w:t>广西政府采购云平台新版客户端</w:t>
      </w:r>
      <w:r>
        <w:rPr>
          <w:rFonts w:hint="eastAsia" w:ascii="宋体" w:hAnsi="宋体" w:eastAsia="宋体" w:cs="宋体"/>
          <w:color w:val="auto"/>
          <w:kern w:val="0"/>
          <w:szCs w:val="21"/>
          <w:highlight w:val="none"/>
          <w:lang w:val="zh-CN"/>
        </w:rPr>
        <w:t>”需要提前申领CA数字证书。</w:t>
      </w:r>
    </w:p>
    <w:p w14:paraId="67010E32">
      <w:pPr>
        <w:pStyle w:val="1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Ansi="宋体" w:cs="仿宋_GB2312"/>
          <w:color w:val="auto"/>
          <w:sz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.3为确保网上操作合法、有效和安全，供应商应当在响应文件提交截止时间前完成在“</w:t>
      </w:r>
      <w:r>
        <w:rPr>
          <w:rFonts w:hint="eastAsia"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”的身份认证，确保在电子交易过程中能够对相关数据电文进行加密和使用电子签名</w:t>
      </w:r>
      <w:r>
        <w:rPr>
          <w:rFonts w:hint="eastAsia" w:hAnsi="宋体" w:cs="仿宋_GB2312"/>
          <w:color w:val="auto"/>
          <w:sz w:val="21"/>
          <w:highlight w:val="none"/>
        </w:rPr>
        <w:t>。</w:t>
      </w:r>
    </w:p>
    <w:bookmarkEnd w:id="66"/>
    <w:bookmarkEnd w:id="67"/>
    <w:p w14:paraId="1C39E476">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lang w:val="en-US" w:eastAsia="zh-CN"/>
        </w:rPr>
        <w:t>1</w:t>
      </w:r>
      <w:r>
        <w:rPr>
          <w:rFonts w:hint="eastAsia" w:ascii="宋体" w:hAnsi="宋体" w:cs="宋体"/>
          <w:b/>
          <w:bCs/>
          <w:color w:val="auto"/>
          <w:spacing w:val="2"/>
          <w:highlight w:val="none"/>
          <w:lang w:val="en-US" w:eastAsia="zh-CN"/>
        </w:rPr>
        <w:t>8</w:t>
      </w:r>
      <w:r>
        <w:rPr>
          <w:rFonts w:hint="eastAsia" w:ascii="宋体" w:hAnsi="宋体" w:eastAsia="宋体" w:cs="宋体"/>
          <w:b/>
          <w:bCs/>
          <w:color w:val="auto"/>
          <w:spacing w:val="2"/>
          <w:highlight w:val="none"/>
        </w:rPr>
        <w:t>.响应文件的提交</w:t>
      </w:r>
    </w:p>
    <w:p w14:paraId="376CC86E">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.1供应商必须在“供应商须知前附表”规定的时间和地点提交响应文件。</w:t>
      </w:r>
    </w:p>
    <w:p w14:paraId="0D6CC955">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.2 在响应文件提交截止时间以后，不能补充、修改响应文件。</w:t>
      </w:r>
    </w:p>
    <w:p w14:paraId="127FC6D6">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7B6BF3CF">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.4 电子交易平台收到响应文件，将妥善保存并即时向供应商发出确认回执通知。在响应文件提交截止时间前，除供应商补充、修改或者撤回响应文件外，任何单位和个人不得解密或提取响应文件。</w:t>
      </w:r>
    </w:p>
    <w:p w14:paraId="5E74F059">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.5 采购机构不可视情况延长提交响应文件的截止时间。</w:t>
      </w:r>
    </w:p>
    <w:p w14:paraId="1F0BAD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.6备份响应文件。</w:t>
      </w:r>
      <w:r>
        <w:rPr>
          <w:rFonts w:hint="eastAsia" w:ascii="宋体" w:hAnsi="宋体" w:eastAsia="宋体" w:cs="宋体"/>
          <w:bCs/>
          <w:color w:val="auto"/>
          <w:szCs w:val="21"/>
          <w:highlight w:val="none"/>
        </w:rPr>
        <w:t>详见“供应商须知前附表”。</w:t>
      </w:r>
    </w:p>
    <w:p w14:paraId="57615536">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lang w:val="en-US" w:eastAsia="zh-CN"/>
        </w:rPr>
        <w:t>19.</w:t>
      </w:r>
      <w:r>
        <w:rPr>
          <w:rFonts w:hint="eastAsia" w:ascii="宋体" w:hAnsi="宋体" w:eastAsia="宋体" w:cs="宋体"/>
          <w:b/>
          <w:bCs/>
          <w:color w:val="auto"/>
          <w:spacing w:val="2"/>
          <w:highlight w:val="none"/>
        </w:rPr>
        <w:t xml:space="preserve"> 首次响应文件的补充、修改与撤回</w:t>
      </w:r>
    </w:p>
    <w:p w14:paraId="53371862">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cs="宋体"/>
          <w:color w:val="auto"/>
          <w:szCs w:val="21"/>
          <w:highlight w:val="none"/>
        </w:rPr>
      </w:pPr>
      <w:r>
        <w:rPr>
          <w:rFonts w:hint="eastAsia" w:cs="宋体"/>
          <w:color w:val="auto"/>
          <w:szCs w:val="21"/>
          <w:highlight w:val="none"/>
        </w:rPr>
        <w:t>详见</w:t>
      </w:r>
      <w:r>
        <w:rPr>
          <w:rFonts w:hint="eastAsia" w:cs="宋体"/>
          <w:color w:val="auto"/>
          <w:szCs w:val="21"/>
          <w:highlight w:val="none"/>
          <w:lang w:val="en-US" w:eastAsia="zh-CN"/>
        </w:rPr>
        <w:t>竞争性磋商公告</w:t>
      </w:r>
      <w:r>
        <w:rPr>
          <w:rFonts w:hint="eastAsia" w:cs="宋体"/>
          <w:color w:val="auto"/>
          <w:szCs w:val="21"/>
          <w:highlight w:val="none"/>
        </w:rPr>
        <w:t>。</w:t>
      </w:r>
    </w:p>
    <w:p w14:paraId="08759063">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2</w:t>
      </w:r>
      <w:r>
        <w:rPr>
          <w:rFonts w:hint="eastAsia" w:ascii="宋体" w:hAnsi="宋体" w:cs="宋体"/>
          <w:b/>
          <w:bCs/>
          <w:color w:val="auto"/>
          <w:spacing w:val="2"/>
          <w:highlight w:val="none"/>
          <w:lang w:val="en-US" w:eastAsia="zh-CN"/>
        </w:rPr>
        <w:t>0</w:t>
      </w:r>
      <w:r>
        <w:rPr>
          <w:rFonts w:hint="eastAsia" w:ascii="宋体" w:hAnsi="宋体" w:eastAsia="宋体" w:cs="宋体"/>
          <w:b/>
          <w:bCs/>
          <w:color w:val="auto"/>
          <w:spacing w:val="2"/>
          <w:highlight w:val="none"/>
        </w:rPr>
        <w:t>. 截止时间后的撤回</w:t>
      </w:r>
    </w:p>
    <w:p w14:paraId="39F3D3E1">
      <w:pPr>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cs="宋体"/>
          <w:b w:val="0"/>
          <w:bCs w:val="0"/>
          <w:color w:val="auto"/>
          <w:spacing w:val="2"/>
          <w:highlight w:val="none"/>
          <w:lang w:val="en-US" w:eastAsia="zh-CN"/>
        </w:rPr>
      </w:pPr>
      <w:r>
        <w:rPr>
          <w:rFonts w:hint="eastAsia" w:ascii="宋体" w:hAnsi="宋体" w:cs="宋体"/>
          <w:b w:val="0"/>
          <w:bCs w:val="0"/>
          <w:color w:val="auto"/>
          <w:spacing w:val="2"/>
          <w:highlight w:val="none"/>
          <w:lang w:val="en-US" w:eastAsia="zh-CN"/>
        </w:rPr>
        <w:t>供应商在首次响应文件提交截止时间后向采购人、采购代理机构书面申请撤回电子响应文件的，将不予退还其磋商保证金（如有）。</w:t>
      </w:r>
    </w:p>
    <w:p w14:paraId="10E0BA9D">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六</w:t>
      </w:r>
      <w:r>
        <w:rPr>
          <w:rFonts w:hint="eastAsia" w:ascii="宋体" w:hAnsi="宋体" w:eastAsia="宋体" w:cs="宋体"/>
          <w:b/>
          <w:bCs/>
          <w:color w:val="auto"/>
          <w:spacing w:val="2"/>
          <w:highlight w:val="none"/>
          <w:lang w:eastAsia="zh-CN"/>
        </w:rPr>
        <w:t>、磋商</w:t>
      </w:r>
    </w:p>
    <w:p w14:paraId="4A391310">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21</w:t>
      </w:r>
      <w:r>
        <w:rPr>
          <w:rFonts w:hint="eastAsia" w:ascii="宋体" w:hAnsi="宋体" w:eastAsia="宋体" w:cs="宋体"/>
          <w:b/>
          <w:bCs/>
          <w:color w:val="auto"/>
          <w:spacing w:val="2"/>
          <w:highlight w:val="none"/>
        </w:rPr>
        <w:t>.磋商小组成立</w:t>
      </w:r>
    </w:p>
    <w:p w14:paraId="3581AF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.1磋商小组由采购人代表和评审专家共3人</w:t>
      </w:r>
      <w:r>
        <w:rPr>
          <w:rFonts w:hint="eastAsia"/>
          <w:color w:val="auto"/>
          <w:highlight w:val="none"/>
          <w:lang w:val="en-US" w:eastAsia="zh-CN"/>
        </w:rPr>
        <w:t>及</w:t>
      </w:r>
      <w:r>
        <w:rPr>
          <w:rFonts w:hint="eastAsia" w:ascii="宋体" w:hAnsi="宋体" w:cs="宋体"/>
          <w:color w:val="auto"/>
          <w:szCs w:val="21"/>
          <w:highlight w:val="none"/>
        </w:rPr>
        <w:t>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4829C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6ACEB569">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color w:val="auto"/>
          <w:spacing w:val="2"/>
          <w:highlight w:val="none"/>
        </w:rPr>
      </w:pPr>
      <w:r>
        <w:rPr>
          <w:rFonts w:hint="eastAsia" w:ascii="宋体" w:hAnsi="宋体" w:cs="宋体"/>
          <w:b/>
          <w:bCs/>
          <w:color w:val="auto"/>
          <w:spacing w:val="2"/>
          <w:highlight w:val="none"/>
          <w:lang w:val="en-US" w:eastAsia="zh-CN"/>
        </w:rPr>
        <w:t>22</w:t>
      </w:r>
      <w:r>
        <w:rPr>
          <w:rFonts w:hint="eastAsia" w:ascii="宋体" w:hAnsi="宋体" w:eastAsia="宋体" w:cs="宋体"/>
          <w:b/>
          <w:bCs/>
          <w:color w:val="auto"/>
          <w:spacing w:val="2"/>
          <w:highlight w:val="none"/>
        </w:rPr>
        <w:t>.首次响应文件的开启</w:t>
      </w:r>
    </w:p>
    <w:p w14:paraId="448B8AE8">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.1首次响应文件由磋商小组或者采购代理机构在“供应商须知前附表”规定的时间开启。</w:t>
      </w:r>
    </w:p>
    <w:p w14:paraId="5023A8C6">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bCs/>
          <w:color w:val="auto"/>
          <w:kern w:val="0"/>
          <w:szCs w:val="21"/>
          <w:highlight w:val="none"/>
        </w:rPr>
        <w:t>响应文件解密</w:t>
      </w:r>
    </w:p>
    <w:p w14:paraId="1733F709">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color w:val="auto"/>
          <w:kern w:val="0"/>
          <w:szCs w:val="21"/>
          <w:highlight w:val="none"/>
          <w:lang w:val="en-US" w:eastAsia="zh-CN"/>
        </w:rPr>
        <w:t>广西政府采购云平台</w:t>
      </w:r>
      <w:r>
        <w:rPr>
          <w:rFonts w:hint="eastAsia" w:ascii="宋体" w:hAnsi="宋体" w:eastAsia="宋体" w:cs="宋体"/>
          <w:b/>
          <w:color w:val="auto"/>
          <w:kern w:val="0"/>
          <w:szCs w:val="21"/>
          <w:highlight w:val="none"/>
        </w:rPr>
        <w:t>”电子开标大厅签到并在规定的时间内完成对电子响应文件在线解密</w:t>
      </w:r>
      <w:r>
        <w:rPr>
          <w:rFonts w:hint="eastAsia" w:ascii="宋体" w:hAnsi="宋体" w:eastAsia="宋体" w:cs="宋体"/>
          <w:color w:val="auto"/>
          <w:kern w:val="0"/>
          <w:szCs w:val="21"/>
          <w:highlight w:val="none"/>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文件未按时解密的</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电子交易活动的中止。）</w:t>
      </w:r>
    </w:p>
    <w:p w14:paraId="3D599C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kern w:val="0"/>
          <w:szCs w:val="21"/>
          <w:highlight w:val="none"/>
        </w:rPr>
        <w:t>”电子开标大厅参加</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的，视同认可</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过程和结果，</w:t>
      </w:r>
      <w:r>
        <w:rPr>
          <w:rFonts w:hint="eastAsia" w:ascii="宋体" w:hAnsi="宋体" w:eastAsia="宋体" w:cs="宋体"/>
          <w:color w:val="auto"/>
          <w:kern w:val="0"/>
          <w:szCs w:val="21"/>
          <w:highlight w:val="none"/>
        </w:rPr>
        <w:t>由此产生的后果由供应商自行负责。 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的供应商不足3家的，不得</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14:paraId="235E7A0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23</w:t>
      </w:r>
      <w:r>
        <w:rPr>
          <w:rFonts w:hint="eastAsia" w:ascii="黑体" w:hAnsi="黑体" w:eastAsia="黑体" w:cs="宋体"/>
          <w:b/>
          <w:bCs/>
          <w:color w:val="auto"/>
          <w:sz w:val="24"/>
          <w:highlight w:val="none"/>
        </w:rPr>
        <w:t>.评审程序、评审方法和评审标准</w:t>
      </w:r>
    </w:p>
    <w:p w14:paraId="7CFFFD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.1磋商小组按照“第</w:t>
      </w:r>
      <w:r>
        <w:rPr>
          <w:rFonts w:hint="eastAsia" w:ascii="宋体" w:hAnsi="宋体" w:eastAsia="宋体" w:cs="宋体"/>
          <w:bCs/>
          <w:color w:val="auto"/>
          <w:kern w:val="0"/>
          <w:szCs w:val="21"/>
          <w:highlight w:val="none"/>
          <w:lang w:val="en-US" w:eastAsia="zh-CN"/>
        </w:rPr>
        <w:t>八</w:t>
      </w:r>
      <w:r>
        <w:rPr>
          <w:rFonts w:hint="eastAsia" w:ascii="宋体" w:hAnsi="宋体" w:eastAsia="宋体" w:cs="宋体"/>
          <w:bCs/>
          <w:color w:val="auto"/>
          <w:kern w:val="0"/>
          <w:szCs w:val="21"/>
          <w:highlight w:val="none"/>
        </w:rPr>
        <w:t>章 评</w:t>
      </w:r>
      <w:r>
        <w:rPr>
          <w:rFonts w:hint="eastAsia" w:ascii="宋体" w:hAnsi="宋体" w:eastAsia="宋体" w:cs="宋体"/>
          <w:bCs/>
          <w:color w:val="auto"/>
          <w:kern w:val="0"/>
          <w:szCs w:val="21"/>
          <w:highlight w:val="none"/>
          <w:lang w:val="en-US" w:eastAsia="zh-CN"/>
        </w:rPr>
        <w:t>定</w:t>
      </w:r>
      <w:r>
        <w:rPr>
          <w:rFonts w:hint="eastAsia" w:ascii="宋体" w:hAnsi="宋体" w:eastAsia="宋体" w:cs="宋体"/>
          <w:bCs/>
          <w:color w:val="auto"/>
          <w:kern w:val="0"/>
          <w:szCs w:val="21"/>
          <w:highlight w:val="none"/>
        </w:rPr>
        <w:t>标准”规定的方法、评审因素、标准和程序对响应文件进行评审。</w:t>
      </w:r>
    </w:p>
    <w:p w14:paraId="18EAE4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.2磋商文件内容违反国家有关强制性规定的，磋商小组应当停止评审并向采购人或者采购代理机构说明情况，并在评审报告中书面体现。</w:t>
      </w:r>
    </w:p>
    <w:p w14:paraId="47645D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磋商顺序详见“供应商须知前附表”。</w:t>
      </w:r>
    </w:p>
    <w:p w14:paraId="785EE50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电子交易活动的中止。采购过程中出现以下情形，导致电子交易平台无法正常运行，或者无法保证电子交易的公平、公正和安全时，采购机构可中止电子交易活动：</w:t>
      </w:r>
    </w:p>
    <w:p w14:paraId="1E747F2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（1）电子交易平台发生故障而无法登录访问的； </w:t>
      </w:r>
    </w:p>
    <w:p w14:paraId="116EB7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（2）电子交易平台应用或数据库出现错误，不能进行正常操作的；</w:t>
      </w:r>
    </w:p>
    <w:p w14:paraId="712649C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（3）电子交易平台发现严重安全漏洞，有潜在泄密危险的；</w:t>
      </w:r>
    </w:p>
    <w:p w14:paraId="7E9EBA2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（4）病毒发作导致不能进行正常操作的； </w:t>
      </w:r>
    </w:p>
    <w:p w14:paraId="38B2FF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）其他无法保证电子交易的公平、公正和安全的情况。</w:t>
      </w:r>
    </w:p>
    <w:p w14:paraId="55A6ED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90640E1">
      <w:pPr>
        <w:keepNext w:val="0"/>
        <w:keepLines w:val="0"/>
        <w:pageBreakBefore w:val="0"/>
        <w:numPr>
          <w:ilvl w:val="0"/>
          <w:numId w:val="0"/>
        </w:numPr>
        <w:shd w:val="clear" w:color="auto" w:fill="FFFFFF"/>
        <w:kinsoku/>
        <w:wordWrap/>
        <w:overflowPunct/>
        <w:topLinePunct w:val="0"/>
        <w:autoSpaceDE/>
        <w:autoSpaceDN/>
        <w:bidi w:val="0"/>
        <w:spacing w:line="440" w:lineRule="exact"/>
        <w:ind w:left="420" w:leftChars="0"/>
        <w:textAlignment w:val="auto"/>
        <w:rPr>
          <w:rFonts w:hint="eastAsia" w:ascii="宋体" w:hAnsi="宋体" w:cs="宋体"/>
          <w:b/>
          <w:bCs w:val="0"/>
          <w:color w:val="auto"/>
          <w:spacing w:val="2"/>
          <w:highlight w:val="none"/>
          <w:lang w:val="en-US" w:eastAsia="zh-CN"/>
        </w:rPr>
      </w:pPr>
      <w:r>
        <w:rPr>
          <w:rFonts w:hint="eastAsia" w:ascii="宋体" w:hAnsi="宋体" w:cs="宋体"/>
          <w:b/>
          <w:bCs w:val="0"/>
          <w:color w:val="auto"/>
          <w:spacing w:val="2"/>
          <w:highlight w:val="none"/>
          <w:lang w:val="en-US" w:eastAsia="zh-CN"/>
        </w:rPr>
        <w:t>七、特别说明</w:t>
      </w:r>
    </w:p>
    <w:p w14:paraId="0BB4E24E">
      <w:pPr>
        <w:keepNext w:val="0"/>
        <w:keepLines w:val="0"/>
        <w:pageBreakBefore w:val="0"/>
        <w:numPr>
          <w:ilvl w:val="0"/>
          <w:numId w:val="0"/>
        </w:numPr>
        <w:shd w:val="clear" w:color="auto" w:fill="FFFFFF"/>
        <w:kinsoku/>
        <w:wordWrap/>
        <w:overflowPunct/>
        <w:topLinePunct w:val="0"/>
        <w:autoSpaceDE/>
        <w:autoSpaceDN/>
        <w:bidi w:val="0"/>
        <w:spacing w:line="440" w:lineRule="exact"/>
        <w:textAlignment w:val="auto"/>
        <w:rPr>
          <w:rFonts w:hint="default" w:ascii="宋体" w:hAnsi="宋体" w:cs="宋体"/>
          <w:b/>
          <w:bCs w:val="0"/>
          <w:color w:val="auto"/>
          <w:spacing w:val="2"/>
          <w:highlight w:val="none"/>
          <w:lang w:val="en-US" w:eastAsia="zh-CN"/>
        </w:rPr>
      </w:pPr>
      <w:r>
        <w:rPr>
          <w:rFonts w:hint="eastAsia" w:ascii="宋体" w:hAnsi="宋体" w:cs="宋体"/>
          <w:b/>
          <w:bCs w:val="0"/>
          <w:color w:val="auto"/>
          <w:spacing w:val="2"/>
          <w:highlight w:val="none"/>
          <w:lang w:val="en-US" w:eastAsia="zh-CN"/>
        </w:rPr>
        <w:t xml:space="preserve">    24 特别说明</w:t>
      </w:r>
    </w:p>
    <w:p w14:paraId="79B97C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olor w:val="auto"/>
          <w:szCs w:val="21"/>
          <w:highlight w:val="none"/>
        </w:rPr>
        <w:t>如果本磋商文件要求供应商提供资格、信誉、荣誉、业绩与企业认证等材料的，则供应商所提供的以上材料必须为</w:t>
      </w:r>
      <w:r>
        <w:rPr>
          <w:rFonts w:hint="eastAsia" w:ascii="宋体" w:hAnsi="宋体"/>
          <w:color w:val="auto"/>
          <w:szCs w:val="21"/>
          <w:highlight w:val="none"/>
          <w:lang w:val="en-US" w:eastAsia="zh-CN"/>
        </w:rPr>
        <w:t>该</w:t>
      </w:r>
      <w:r>
        <w:rPr>
          <w:rFonts w:hint="eastAsia" w:ascii="宋体" w:hAnsi="宋体"/>
          <w:color w:val="auto"/>
          <w:szCs w:val="21"/>
          <w:highlight w:val="none"/>
        </w:rPr>
        <w:t>供应商所拥有</w:t>
      </w:r>
      <w:r>
        <w:rPr>
          <w:rFonts w:hint="eastAsia" w:ascii="宋体" w:hAnsi="宋体" w:cs="宋体"/>
          <w:color w:val="auto"/>
          <w:szCs w:val="21"/>
          <w:highlight w:val="none"/>
        </w:rPr>
        <w:t>。</w:t>
      </w:r>
    </w:p>
    <w:p w14:paraId="615676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2986B44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B75382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w:t>
      </w:r>
      <w:r>
        <w:rPr>
          <w:rFonts w:ascii="宋体" w:hAnsi="宋体" w:cs="宋体"/>
          <w:b/>
          <w:bCs/>
          <w:color w:val="auto"/>
          <w:szCs w:val="21"/>
          <w:highlight w:val="none"/>
        </w:rPr>
        <w:t>4</w:t>
      </w:r>
      <w:r>
        <w:rPr>
          <w:rFonts w:hint="eastAsia" w:ascii="宋体" w:hAnsi="宋体" w:cs="宋体"/>
          <w:b/>
          <w:bCs/>
          <w:color w:val="auto"/>
          <w:szCs w:val="21"/>
          <w:highlight w:val="none"/>
        </w:rPr>
        <w:t>在政府采购活动中，采购人员及相关人员与供应商有下列利害关系之一的，应当回避：</w:t>
      </w:r>
    </w:p>
    <w:p w14:paraId="6B4676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ECBBB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7BB4B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FCDC2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C4981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可能影响政府采购活动公平、公正进行的关系。</w:t>
      </w:r>
    </w:p>
    <w:p w14:paraId="51D9564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供应商有利害关系的，可以向采购人或者采购代理机构书面提出回避申请，并说明理由。采购人或者采购代理机构应当及时询问被申请回避人员，有利害关系的被申请回避人员应当回避。</w:t>
      </w:r>
    </w:p>
    <w:p w14:paraId="546596A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w:t>
      </w:r>
      <w:r>
        <w:rPr>
          <w:rFonts w:ascii="宋体" w:hAnsi="宋体" w:cs="宋体"/>
          <w:b/>
          <w:bCs/>
          <w:color w:val="auto"/>
          <w:szCs w:val="21"/>
          <w:highlight w:val="none"/>
        </w:rPr>
        <w:t>5</w:t>
      </w:r>
      <w:r>
        <w:rPr>
          <w:rFonts w:hint="eastAsia" w:ascii="宋体" w:hAnsi="宋体" w:cs="宋体"/>
          <w:b/>
          <w:bCs/>
          <w:color w:val="auto"/>
          <w:szCs w:val="21"/>
          <w:highlight w:val="none"/>
        </w:rPr>
        <w:t>有下列情形之一的视为供应商相互串通竞标，响应文件将被视为无效：</w:t>
      </w:r>
    </w:p>
    <w:p w14:paraId="423B98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（1）不同供应商的响应文件由同一单位或者个人编制；或者不同供应商报名的IP地址一致的；</w:t>
      </w:r>
    </w:p>
    <w:p w14:paraId="4A21FD8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365354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w:t>
      </w:r>
      <w:r>
        <w:rPr>
          <w:rFonts w:hint="eastAsia" w:ascii="宋体" w:hAnsi="宋体" w:eastAsia="宋体" w:cs="宋体"/>
          <w:color w:val="auto"/>
          <w:szCs w:val="21"/>
          <w:highlight w:val="none"/>
          <w:lang w:eastAsia="zh-CN"/>
        </w:rPr>
        <w:t>或者联系人员</w:t>
      </w:r>
      <w:r>
        <w:rPr>
          <w:rFonts w:hint="eastAsia" w:ascii="宋体" w:hAnsi="宋体" w:eastAsia="宋体" w:cs="宋体"/>
          <w:color w:val="auto"/>
          <w:szCs w:val="21"/>
          <w:highlight w:val="none"/>
        </w:rPr>
        <w:t>为同一个人；</w:t>
      </w:r>
    </w:p>
    <w:p w14:paraId="6D1B0E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2DE8E7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（5）不同供应商的电子资料相互</w:t>
      </w:r>
      <w:r>
        <w:rPr>
          <w:rFonts w:hint="eastAsia" w:ascii="宋体" w:hAnsi="宋体" w:eastAsia="宋体" w:cs="宋体"/>
          <w:color w:val="auto"/>
          <w:szCs w:val="21"/>
          <w:highlight w:val="none"/>
          <w:lang w:eastAsia="zh-CN"/>
        </w:rPr>
        <w:t>混淆</w:t>
      </w:r>
      <w:r>
        <w:rPr>
          <w:rFonts w:hint="eastAsia" w:ascii="宋体" w:hAnsi="宋体" w:eastAsia="宋体" w:cs="宋体"/>
          <w:color w:val="auto"/>
          <w:szCs w:val="21"/>
          <w:highlight w:val="none"/>
        </w:rPr>
        <w:t>；</w:t>
      </w:r>
    </w:p>
    <w:p w14:paraId="0A779C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w:t>
      </w:r>
      <w:r>
        <w:rPr>
          <w:rFonts w:hint="eastAsia" w:ascii="宋体" w:hAnsi="宋体" w:cs="宋体"/>
          <w:color w:val="auto"/>
          <w:szCs w:val="21"/>
          <w:highlight w:val="none"/>
          <w:lang w:eastAsia="zh-CN"/>
        </w:rPr>
        <w:t>磋商保证金</w:t>
      </w:r>
      <w:r>
        <w:rPr>
          <w:rFonts w:hint="eastAsia" w:ascii="宋体" w:hAnsi="宋体" w:eastAsia="宋体" w:cs="宋体"/>
          <w:color w:val="auto"/>
          <w:szCs w:val="21"/>
          <w:highlight w:val="none"/>
        </w:rPr>
        <w:t>从同一单位或者个人账户转出。</w:t>
      </w:r>
    </w:p>
    <w:p w14:paraId="2DFD1D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）供应商之间协商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报价等响应文件的实质性内容；</w:t>
      </w:r>
    </w:p>
    <w:p w14:paraId="4203F3D1">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8</w:t>
      </w:r>
      <w:r>
        <w:rPr>
          <w:rFonts w:hint="eastAsia" w:ascii="宋体" w:hAnsi="宋体" w:eastAsia="宋体" w:cs="宋体"/>
          <w:color w:val="auto"/>
          <w:highlight w:val="none"/>
        </w:rPr>
        <w:t>）供应商之间约定成交人；</w:t>
      </w:r>
    </w:p>
    <w:p w14:paraId="075EDD17">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9</w:t>
      </w:r>
      <w:r>
        <w:rPr>
          <w:rFonts w:hint="eastAsia" w:ascii="宋体" w:hAnsi="宋体" w:eastAsia="宋体" w:cs="宋体"/>
          <w:color w:val="auto"/>
          <w:highlight w:val="none"/>
        </w:rPr>
        <w:t>）供应商之间约定部分供应商放弃</w:t>
      </w:r>
      <w:r>
        <w:rPr>
          <w:rFonts w:hint="eastAsia" w:ascii="宋体" w:hAnsi="宋体" w:eastAsia="宋体" w:cs="宋体"/>
          <w:color w:val="auto"/>
          <w:szCs w:val="21"/>
          <w:highlight w:val="none"/>
        </w:rPr>
        <w:t>竞标</w:t>
      </w:r>
      <w:r>
        <w:rPr>
          <w:rFonts w:hint="eastAsia" w:ascii="宋体" w:hAnsi="宋体" w:eastAsia="宋体" w:cs="宋体"/>
          <w:color w:val="auto"/>
          <w:highlight w:val="none"/>
        </w:rPr>
        <w:t>或者成交；</w:t>
      </w:r>
    </w:p>
    <w:p w14:paraId="59610FA8">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10</w:t>
      </w:r>
      <w:r>
        <w:rPr>
          <w:rFonts w:hint="eastAsia" w:ascii="宋体" w:hAnsi="宋体" w:eastAsia="宋体" w:cs="宋体"/>
          <w:color w:val="auto"/>
          <w:highlight w:val="none"/>
        </w:rPr>
        <w:t>）属于同一集团、协会、商会等组织成员的供应商按照该组织要求协同</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w:t>
      </w:r>
    </w:p>
    <w:p w14:paraId="5BB07817">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11</w:t>
      </w:r>
      <w:r>
        <w:rPr>
          <w:rFonts w:hint="eastAsia" w:ascii="宋体" w:hAnsi="宋体" w:eastAsia="宋体" w:cs="宋体"/>
          <w:color w:val="auto"/>
          <w:highlight w:val="none"/>
        </w:rPr>
        <w:t>）供应商之间为谋取成交或者排斥特定供应商而采取的其他联合行动；</w:t>
      </w:r>
    </w:p>
    <w:p w14:paraId="7FCB02EE">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12</w:t>
      </w:r>
      <w:r>
        <w:rPr>
          <w:rFonts w:hint="eastAsia" w:ascii="宋体" w:hAnsi="宋体" w:eastAsia="宋体" w:cs="宋体"/>
          <w:color w:val="auto"/>
          <w:highlight w:val="none"/>
        </w:rPr>
        <w:t>）不同供应商委托同一个人或注册在同一家企业的注册人员或同一家企业为其</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咨询、报价、商务技术咨询（工程本身要求采用专有技术的除外）等服务；</w:t>
      </w:r>
    </w:p>
    <w:p w14:paraId="69D83276">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13</w:t>
      </w:r>
      <w:r>
        <w:rPr>
          <w:rFonts w:hint="eastAsia" w:ascii="宋体" w:hAnsi="宋体" w:eastAsia="宋体" w:cs="宋体"/>
          <w:color w:val="auto"/>
          <w:highlight w:val="none"/>
        </w:rPr>
        <w:t>）不同供应商的响应文件载明的项目管理成员为同一人；</w:t>
      </w:r>
    </w:p>
    <w:p w14:paraId="17DFA4FF">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14</w:t>
      </w:r>
      <w:r>
        <w:rPr>
          <w:rFonts w:hint="eastAsia" w:ascii="宋体" w:hAnsi="宋体" w:eastAsia="宋体" w:cs="宋体"/>
          <w:color w:val="auto"/>
          <w:highlight w:val="none"/>
        </w:rPr>
        <w:t>）不同供应商的技术文件内容异常一致或者实质性相同的，或者</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报价呈规律性差异；</w:t>
      </w:r>
    </w:p>
    <w:p w14:paraId="3C712415">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15</w:t>
      </w:r>
      <w:r>
        <w:rPr>
          <w:rFonts w:hint="eastAsia" w:ascii="宋体" w:hAnsi="宋体" w:eastAsia="宋体" w:cs="宋体"/>
          <w:color w:val="auto"/>
          <w:highlight w:val="none"/>
        </w:rPr>
        <w:t>）不同供应商的法定代表人、委托代理人、项目</w:t>
      </w:r>
      <w:r>
        <w:rPr>
          <w:rFonts w:hint="eastAsia" w:ascii="宋体" w:hAnsi="宋体" w:eastAsia="宋体" w:cs="宋体"/>
          <w:color w:val="auto"/>
          <w:highlight w:val="none"/>
          <w:lang w:eastAsia="zh-CN"/>
        </w:rPr>
        <w:t>经理</w:t>
      </w:r>
      <w:r>
        <w:rPr>
          <w:rFonts w:hint="eastAsia" w:ascii="宋体" w:hAnsi="宋体" w:eastAsia="宋体" w:cs="宋体"/>
          <w:color w:val="auto"/>
          <w:highlight w:val="none"/>
        </w:rPr>
        <w:t>等人员有在同一个单位缴纳社会保险；</w:t>
      </w:r>
    </w:p>
    <w:p w14:paraId="5BBC972E">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6</w:t>
      </w:r>
      <w:r>
        <w:rPr>
          <w:rFonts w:hint="eastAsia" w:ascii="宋体" w:hAnsi="宋体" w:eastAsia="宋体" w:cs="宋体"/>
          <w:color w:val="auto"/>
          <w:highlight w:val="none"/>
        </w:rPr>
        <w:t>）供应商之间相互约定给予未成交的供应商费用补偿；</w:t>
      </w:r>
    </w:p>
    <w:p w14:paraId="455601F6">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7</w:t>
      </w:r>
      <w:r>
        <w:rPr>
          <w:rFonts w:hint="eastAsia" w:ascii="宋体" w:hAnsi="宋体" w:eastAsia="宋体" w:cs="宋体"/>
          <w:color w:val="auto"/>
          <w:highlight w:val="none"/>
        </w:rPr>
        <w:t>）不同供应商编制的响应文件存在两处以上错误一致。</w:t>
      </w:r>
    </w:p>
    <w:p w14:paraId="2EFF6C45">
      <w:pPr>
        <w:pStyle w:val="12"/>
        <w:keepNext w:val="0"/>
        <w:keepLines w:val="0"/>
        <w:pageBreakBefore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bCs w:val="0"/>
          <w:color w:val="auto"/>
          <w:highlight w:val="none"/>
        </w:rPr>
      </w:pPr>
      <w:r>
        <w:rPr>
          <w:rFonts w:hint="eastAsia" w:hAnsi="宋体" w:cs="宋体"/>
          <w:b/>
          <w:bCs w:val="0"/>
          <w:color w:val="auto"/>
          <w:highlight w:val="none"/>
          <w:lang w:val="en-US" w:eastAsia="zh-CN"/>
        </w:rPr>
        <w:t>24.6</w:t>
      </w:r>
      <w:r>
        <w:rPr>
          <w:rFonts w:hint="eastAsia" w:ascii="宋体" w:hAnsi="宋体" w:eastAsia="宋体" w:cs="宋体"/>
          <w:b/>
          <w:bCs w:val="0"/>
          <w:color w:val="auto"/>
          <w:highlight w:val="none"/>
        </w:rPr>
        <w:t>供应商不得存在下列情形之一，否则响应文件将被视为无效。</w:t>
      </w:r>
    </w:p>
    <w:p w14:paraId="05990F54">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lang w:val="en-US" w:eastAsia="zh-CN"/>
        </w:rPr>
        <w:t>1</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与采购人存</w:t>
      </w:r>
      <w:r>
        <w:rPr>
          <w:rFonts w:hint="eastAsia" w:ascii="宋体" w:hAnsi="宋体" w:eastAsia="宋体" w:cs="宋体"/>
          <w:color w:val="auto"/>
          <w:highlight w:val="none"/>
        </w:rPr>
        <w:t>在利害关系可能影响</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公正性的法人、其他组织；</w:t>
      </w:r>
    </w:p>
    <w:p w14:paraId="3F6B8F9E">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为本项目前期准备提供设计或咨询服务的，但设计施工总承包的除外；</w:t>
      </w:r>
    </w:p>
    <w:p w14:paraId="11599861">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为本项目的监理人；</w:t>
      </w:r>
    </w:p>
    <w:p w14:paraId="310ABB92">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为本项目的代建人；</w:t>
      </w:r>
    </w:p>
    <w:p w14:paraId="14B9E7AB">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为本项目提供招标代理服务的；</w:t>
      </w:r>
    </w:p>
    <w:p w14:paraId="1477A182">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与本项目的监理人或代建人或</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代理机构同为一个法定代表人的；</w:t>
      </w:r>
    </w:p>
    <w:p w14:paraId="4996809D">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与本项目的监理人或代建人或</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代理机构相互控股或参股的；</w:t>
      </w:r>
    </w:p>
    <w:p w14:paraId="35DEA49B">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与本项目的监理人或代建人或</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代理机构相互任职或工作的；</w:t>
      </w:r>
    </w:p>
    <w:p w14:paraId="1712FDC0">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被责令停业的；</w:t>
      </w:r>
    </w:p>
    <w:p w14:paraId="7FE54E28">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吊销或暂扣营业执照、安全生产许可证期间；</w:t>
      </w:r>
    </w:p>
    <w:p w14:paraId="157CA7B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在本行政区域被暂停或取消投标资格的；</w:t>
      </w:r>
    </w:p>
    <w:p w14:paraId="18367AA9">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财产被接管或基本账户被冻结的；</w:t>
      </w:r>
    </w:p>
    <w:p w14:paraId="6B1B36B9">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有骗取中标（成交）或严重违约或工程质量安全问题，在本行政区域正处在停业整顿或暂停投标期间的。</w:t>
      </w:r>
    </w:p>
    <w:p w14:paraId="3BC0DE81">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rPr>
        <w:t>注：代建人是指政府通过招标方式对公益</w:t>
      </w:r>
      <w:r>
        <w:rPr>
          <w:rFonts w:hint="eastAsia" w:ascii="宋体" w:hAnsi="宋体" w:cs="宋体"/>
          <w:color w:val="auto"/>
          <w:highlight w:val="none"/>
          <w:lang w:val="en-US" w:eastAsia="zh-CN"/>
        </w:rPr>
        <w:t>性</w:t>
      </w:r>
      <w:r>
        <w:rPr>
          <w:rFonts w:hint="eastAsia" w:ascii="宋体" w:hAnsi="宋体" w:eastAsia="宋体" w:cs="宋体"/>
          <w:color w:val="auto"/>
          <w:highlight w:val="none"/>
        </w:rPr>
        <w:t>、非经营性政府投资且经发改委批复同意实施代建的项目选择的社会专业化的项目管理企业，代建人须经过政府采购平台招标中标，并在建设行政主管部门备案，其代建内容包含代为项目</w:t>
      </w:r>
      <w:r>
        <w:rPr>
          <w:rFonts w:hint="eastAsia" w:ascii="宋体" w:hAnsi="宋体" w:cs="宋体"/>
          <w:color w:val="auto"/>
          <w:highlight w:val="none"/>
          <w:lang w:eastAsia="zh-CN"/>
        </w:rPr>
        <w:t>发包人</w:t>
      </w:r>
      <w:r>
        <w:rPr>
          <w:rFonts w:hint="eastAsia" w:ascii="宋体" w:hAnsi="宋体" w:eastAsia="宋体" w:cs="宋体"/>
          <w:color w:val="auto"/>
          <w:highlight w:val="none"/>
        </w:rPr>
        <w:t>履行项目施工招标、投资管理、建设实施及竣工验收后移交给使用单位等工作。PPP项目的社会资本方及工程总承包项目的总承包方作为代建人的不在此范畴。</w:t>
      </w:r>
    </w:p>
    <w:p w14:paraId="4974EB0F">
      <w:pPr>
        <w:keepNext w:val="0"/>
        <w:keepLines w:val="0"/>
        <w:pageBreakBefore w:val="0"/>
        <w:shd w:val="clear" w:color="auto" w:fill="FFFFFF"/>
        <w:kinsoku/>
        <w:wordWrap/>
        <w:overflowPunct/>
        <w:topLinePunct w:val="0"/>
        <w:autoSpaceDE/>
        <w:autoSpaceDN/>
        <w:bidi w:val="0"/>
        <w:spacing w:line="440" w:lineRule="exact"/>
        <w:ind w:firstLine="430" w:firstLineChars="200"/>
        <w:textAlignment w:val="auto"/>
        <w:rPr>
          <w:rFonts w:hint="eastAsia" w:ascii="宋体" w:hAnsi="宋体" w:eastAsia="宋体" w:cs="宋体"/>
          <w:b/>
          <w:bCs w:val="0"/>
          <w:color w:val="auto"/>
          <w:spacing w:val="2"/>
          <w:highlight w:val="none"/>
        </w:rPr>
      </w:pPr>
      <w:r>
        <w:rPr>
          <w:rFonts w:hint="eastAsia" w:ascii="宋体" w:hAnsi="宋体" w:cs="宋体"/>
          <w:b/>
          <w:bCs w:val="0"/>
          <w:color w:val="auto"/>
          <w:spacing w:val="2"/>
          <w:highlight w:val="none"/>
          <w:lang w:val="en-US" w:eastAsia="zh-CN"/>
        </w:rPr>
        <w:t>24.7终止</w:t>
      </w:r>
      <w:r>
        <w:rPr>
          <w:rFonts w:hint="eastAsia" w:ascii="宋体" w:hAnsi="宋体" w:eastAsia="宋体" w:cs="宋体"/>
          <w:b/>
          <w:bCs w:val="0"/>
          <w:color w:val="auto"/>
          <w:spacing w:val="2"/>
          <w:highlight w:val="none"/>
        </w:rPr>
        <w:t>条款</w:t>
      </w:r>
    </w:p>
    <w:p w14:paraId="31742F9E">
      <w:pPr>
        <w:pStyle w:val="12"/>
        <w:keepNext w:val="0"/>
        <w:keepLines w:val="0"/>
        <w:pageBreakBefore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eastAsia="zh-CN"/>
        </w:rPr>
        <w:t>磋商</w:t>
      </w:r>
      <w:r>
        <w:rPr>
          <w:rFonts w:hint="eastAsia" w:ascii="宋体" w:hAnsi="宋体" w:eastAsia="宋体" w:cs="宋体"/>
          <w:b/>
          <w:bCs w:val="0"/>
          <w:color w:val="auto"/>
          <w:highlight w:val="none"/>
        </w:rPr>
        <w:t>采购项目出现下列情形之一的，</w:t>
      </w:r>
      <w:r>
        <w:rPr>
          <w:rFonts w:hint="eastAsia" w:ascii="宋体" w:hAnsi="宋体" w:eastAsia="宋体" w:cs="宋体"/>
          <w:b/>
          <w:bCs w:val="0"/>
          <w:color w:val="auto"/>
          <w:highlight w:val="none"/>
          <w:lang w:eastAsia="zh-CN"/>
        </w:rPr>
        <w:t>磋商</w:t>
      </w:r>
      <w:r>
        <w:rPr>
          <w:rFonts w:hint="eastAsia" w:ascii="宋体" w:hAnsi="宋体" w:eastAsia="宋体" w:cs="宋体"/>
          <w:b/>
          <w:bCs w:val="0"/>
          <w:color w:val="auto"/>
          <w:highlight w:val="none"/>
        </w:rPr>
        <w:t>予以废止：</w:t>
      </w:r>
    </w:p>
    <w:p w14:paraId="3C302575">
      <w:pPr>
        <w:keepNext w:val="0"/>
        <w:keepLines w:val="0"/>
        <w:pageBreakBefore w:val="0"/>
        <w:shd w:val="clear" w:color="auto" w:fill="FFFFFF"/>
        <w:kinsoku/>
        <w:wordWrap/>
        <w:overflowPunct/>
        <w:topLinePunct w:val="0"/>
        <w:autoSpaceDE/>
        <w:autoSpaceDN/>
        <w:bidi w:val="0"/>
        <w:adjustRightInd w:val="0"/>
        <w:snapToGrid w:val="0"/>
        <w:spacing w:line="440" w:lineRule="exact"/>
        <w:ind w:firstLine="428" w:firstLineChars="200"/>
        <w:jc w:val="left"/>
        <w:textAlignment w:val="auto"/>
        <w:rPr>
          <w:rFonts w:hint="eastAsia" w:ascii="宋体" w:hAnsi="宋体" w:eastAsia="宋体" w:cs="宋体"/>
          <w:b w:val="0"/>
          <w:bCs/>
          <w:color w:val="auto"/>
          <w:highlight w:val="none"/>
        </w:rPr>
      </w:pPr>
      <w:r>
        <w:rPr>
          <w:rFonts w:hint="eastAsia" w:ascii="宋体" w:hAnsi="宋体" w:eastAsia="宋体" w:cs="宋体"/>
          <w:b w:val="0"/>
          <w:bCs/>
          <w:color w:val="auto"/>
          <w:spacing w:val="2"/>
          <w:highlight w:val="none"/>
        </w:rPr>
        <w:t>（1）</w:t>
      </w:r>
      <w:r>
        <w:rPr>
          <w:rFonts w:hint="eastAsia" w:ascii="宋体" w:hAnsi="宋体" w:eastAsia="宋体" w:cs="宋体"/>
          <w:b w:val="0"/>
          <w:bCs/>
          <w:color w:val="auto"/>
          <w:highlight w:val="none"/>
        </w:rPr>
        <w:t>出现影响采购公正的违法、违规行为的；</w:t>
      </w:r>
    </w:p>
    <w:p w14:paraId="5763AEAC">
      <w:pPr>
        <w:pStyle w:val="12"/>
        <w:keepNext w:val="0"/>
        <w:keepLines w:val="0"/>
        <w:pageBreakBefore w:val="0"/>
        <w:shd w:val="clear" w:color="auto" w:fill="FFFFFF"/>
        <w:kinsoku/>
        <w:wordWrap/>
        <w:overflowPunct/>
        <w:topLinePunct w:val="0"/>
        <w:autoSpaceDE/>
        <w:autoSpaceDN/>
        <w:bidi w:val="0"/>
        <w:adjustRightInd w:val="0"/>
        <w:snapToGrid w:val="0"/>
        <w:spacing w:line="440" w:lineRule="exact"/>
        <w:ind w:firstLine="428"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spacing w:val="2"/>
          <w:highlight w:val="none"/>
        </w:rPr>
        <w:t>（2）</w:t>
      </w:r>
      <w:r>
        <w:rPr>
          <w:rFonts w:hint="eastAsia" w:ascii="宋体" w:hAnsi="宋体" w:eastAsia="宋体" w:cs="宋体"/>
          <w:b w:val="0"/>
          <w:bCs/>
          <w:color w:val="auto"/>
          <w:highlight w:val="none"/>
        </w:rPr>
        <w:t>供应商的</w:t>
      </w:r>
      <w:r>
        <w:rPr>
          <w:rFonts w:hint="eastAsia" w:ascii="宋体" w:hAnsi="宋体" w:eastAsia="宋体" w:cs="宋体"/>
          <w:b w:val="0"/>
          <w:bCs/>
          <w:color w:val="auto"/>
          <w:highlight w:val="none"/>
          <w:lang w:eastAsia="zh-CN"/>
        </w:rPr>
        <w:t>磋商</w:t>
      </w:r>
      <w:r>
        <w:rPr>
          <w:rFonts w:hint="eastAsia" w:ascii="宋体" w:hAnsi="宋体" w:eastAsia="宋体" w:cs="宋体"/>
          <w:b w:val="0"/>
          <w:bCs/>
          <w:color w:val="auto"/>
          <w:highlight w:val="none"/>
        </w:rPr>
        <w:t>报价均超过了采购预算，采购人不能支付的；</w:t>
      </w:r>
    </w:p>
    <w:p w14:paraId="3DE35F6B">
      <w:pPr>
        <w:pStyle w:val="12"/>
        <w:keepNext w:val="0"/>
        <w:keepLines w:val="0"/>
        <w:pageBreakBefore w:val="0"/>
        <w:shd w:val="clear" w:color="auto" w:fill="FFFFFF"/>
        <w:kinsoku/>
        <w:wordWrap/>
        <w:overflowPunct/>
        <w:topLinePunct w:val="0"/>
        <w:autoSpaceDE/>
        <w:autoSpaceDN/>
        <w:bidi w:val="0"/>
        <w:spacing w:line="440" w:lineRule="exact"/>
        <w:ind w:firstLine="428"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spacing w:val="2"/>
          <w:highlight w:val="none"/>
        </w:rPr>
        <w:t>（3）</w:t>
      </w:r>
      <w:r>
        <w:rPr>
          <w:rFonts w:hint="eastAsia" w:ascii="宋体" w:hAnsi="宋体" w:eastAsia="宋体" w:cs="宋体"/>
          <w:b w:val="0"/>
          <w:bCs/>
          <w:color w:val="auto"/>
          <w:highlight w:val="none"/>
        </w:rPr>
        <w:t>因重大变故，采购任务取消的。</w:t>
      </w:r>
    </w:p>
    <w:p w14:paraId="490728BF">
      <w:pPr>
        <w:pStyle w:val="11"/>
        <w:keepNext w:val="0"/>
        <w:keepLines w:val="0"/>
        <w:pageBreakBefore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lang w:eastAsia="zh-CN"/>
        </w:rPr>
        <w:t>、确定成交供应商及结果公告</w:t>
      </w:r>
    </w:p>
    <w:p w14:paraId="233859C4">
      <w:pPr>
        <w:rPr>
          <w:rFonts w:hint="default"/>
          <w:color w:val="auto"/>
          <w:highlight w:val="none"/>
          <w:lang w:val="en-US"/>
        </w:rPr>
      </w:pPr>
      <w:r>
        <w:rPr>
          <w:rFonts w:hint="eastAsia" w:ascii="宋体" w:hAnsi="宋体" w:cs="宋体"/>
          <w:b/>
          <w:color w:val="auto"/>
          <w:sz w:val="21"/>
          <w:szCs w:val="21"/>
          <w:highlight w:val="none"/>
          <w:lang w:val="en-US" w:eastAsia="zh-CN"/>
        </w:rPr>
        <w:t xml:space="preserve">    25 </w:t>
      </w:r>
      <w:r>
        <w:rPr>
          <w:rFonts w:hint="eastAsia" w:ascii="宋体" w:hAnsi="宋体" w:eastAsia="宋体" w:cs="宋体"/>
          <w:b/>
          <w:color w:val="auto"/>
          <w:sz w:val="21"/>
          <w:szCs w:val="21"/>
          <w:highlight w:val="none"/>
          <w:lang w:eastAsia="zh-CN"/>
        </w:rPr>
        <w:t>确定成交供应商及结果公告</w:t>
      </w:r>
    </w:p>
    <w:p w14:paraId="34B19B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7BD518C">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.2</w:t>
      </w:r>
      <w:r>
        <w:rPr>
          <w:rFonts w:hint="eastAsia" w:ascii="宋体" w:hAnsi="宋体" w:eastAsia="宋体" w:cs="宋体"/>
          <w:color w:val="auto"/>
          <w:szCs w:val="21"/>
          <w:highlight w:val="none"/>
        </w:rPr>
        <w:t>成交通知及成交结果公告。采购代理机构应当在成交供应商确定后2个工作日内，在省级以上财政部门指定的媒体上公告成交结果，同时向成交供应商发出成交通知书。</w:t>
      </w:r>
    </w:p>
    <w:p w14:paraId="1A1ADA13">
      <w:pPr>
        <w:keepNext w:val="0"/>
        <w:keepLines w:val="0"/>
        <w:pageBreakBefore w:val="0"/>
        <w:shd w:val="clear" w:color="auto" w:fill="FFFFFF"/>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重大税收违法失信主体名单</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文件一并保存。成交供应商享受《政府采购促进中小企业发展管理办法》（财库〔2020〕46号）规定的中小企业扶持政策的，采购人、采购代理机构应当随成交结果公开成交供应商的《中小企业声明函》。</w:t>
      </w:r>
    </w:p>
    <w:p w14:paraId="191C8504">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1000C6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color w:val="auto"/>
          <w:szCs w:val="21"/>
          <w:highlight w:val="none"/>
        </w:rPr>
        <w:t>。</w:t>
      </w:r>
    </w:p>
    <w:p w14:paraId="20541B8A">
      <w:pPr>
        <w:pStyle w:val="11"/>
        <w:keepNext w:val="0"/>
        <w:keepLines w:val="0"/>
        <w:pageBreakBefore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履约保证金及</w:t>
      </w:r>
      <w:r>
        <w:rPr>
          <w:rFonts w:hint="eastAsia" w:ascii="宋体" w:hAnsi="宋体" w:eastAsia="宋体" w:cs="宋体"/>
          <w:b/>
          <w:color w:val="auto"/>
          <w:sz w:val="21"/>
          <w:szCs w:val="21"/>
          <w:highlight w:val="none"/>
        </w:rPr>
        <w:t>合同</w:t>
      </w:r>
    </w:p>
    <w:p w14:paraId="75802C01">
      <w:pPr>
        <w:keepNext w:val="0"/>
        <w:keepLines w:val="0"/>
        <w:pageBreakBefore w:val="0"/>
        <w:shd w:val="clear" w:color="auto" w:fill="FFFFFF"/>
        <w:kinsoku/>
        <w:wordWrap/>
        <w:overflowPunct/>
        <w:topLinePunct w:val="0"/>
        <w:autoSpaceDE/>
        <w:autoSpaceDN/>
        <w:bidi w:val="0"/>
        <w:spacing w:line="440" w:lineRule="exact"/>
        <w:ind w:firstLine="422" w:firstLineChars="200"/>
        <w:textAlignment w:val="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w:t>
      </w:r>
      <w:r>
        <w:rPr>
          <w:rFonts w:hint="eastAsia" w:ascii="宋体" w:hAnsi="宋体" w:cs="宋体"/>
          <w:b/>
          <w:color w:val="auto"/>
          <w:szCs w:val="21"/>
          <w:highlight w:val="none"/>
          <w:lang w:val="en-US" w:eastAsia="zh-CN"/>
        </w:rPr>
        <w:t>6.</w:t>
      </w:r>
      <w:r>
        <w:rPr>
          <w:rFonts w:hint="eastAsia" w:ascii="宋体" w:hAnsi="宋体" w:eastAsia="宋体" w:cs="宋体"/>
          <w:b/>
          <w:color w:val="auto"/>
          <w:spacing w:val="4"/>
          <w:szCs w:val="21"/>
          <w:highlight w:val="none"/>
        </w:rPr>
        <w:t>履约保证金</w:t>
      </w:r>
    </w:p>
    <w:p w14:paraId="62FDD8DA">
      <w:pPr>
        <w:keepNext w:val="0"/>
        <w:keepLines w:val="0"/>
        <w:pageBreakBefore w:val="0"/>
        <w:shd w:val="clear" w:color="auto" w:fill="FFFFFF"/>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本项目不收取履约保证金</w:t>
      </w:r>
      <w:r>
        <w:rPr>
          <w:rFonts w:hint="eastAsia" w:ascii="宋体" w:hAnsi="宋体" w:eastAsia="宋体" w:cs="宋体"/>
          <w:color w:val="auto"/>
          <w:szCs w:val="21"/>
          <w:highlight w:val="none"/>
        </w:rPr>
        <w:t>。</w:t>
      </w:r>
    </w:p>
    <w:p w14:paraId="35ED21CF">
      <w:pPr>
        <w:keepNext w:val="0"/>
        <w:keepLines w:val="0"/>
        <w:pageBreakBefore w:val="0"/>
        <w:shd w:val="clear" w:color="auto" w:fill="FFFFFF"/>
        <w:kinsoku/>
        <w:wordWrap/>
        <w:overflowPunct/>
        <w:topLinePunct w:val="0"/>
        <w:autoSpaceDE/>
        <w:autoSpaceDN/>
        <w:bidi w:val="0"/>
        <w:adjustRightInd w:val="0"/>
        <w:snapToGrid w:val="0"/>
        <w:spacing w:line="440" w:lineRule="exact"/>
        <w:ind w:left="105" w:leftChars="50"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27.合同签订</w:t>
      </w:r>
    </w:p>
    <w:p w14:paraId="71D51A50">
      <w:pPr>
        <w:pStyle w:val="45"/>
        <w:keepNext w:val="0"/>
        <w:keepLines w:val="0"/>
        <w:pageBreakBefore w:val="0"/>
        <w:kinsoku/>
        <w:wordWrap/>
        <w:overflowPunct/>
        <w:topLinePunct w:val="0"/>
        <w:autoSpaceDE/>
        <w:autoSpaceDN/>
        <w:bidi w:val="0"/>
        <w:snapToGrid w:val="0"/>
        <w:spacing w:before="0" w:line="44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.1采购人与成交供应商应当在成交通知书规定的时间内，按照磋商文件确定的合同文本以及采购标的、服务技术、采购金额、采购数量、技术和服务要求</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u w:val="none" w:color="auto"/>
          <w:lang w:eastAsia="zh-CN"/>
        </w:rPr>
        <w:t>施工图纸、工程量清单及相关说明</w:t>
      </w:r>
      <w:r>
        <w:rPr>
          <w:rFonts w:hint="eastAsia" w:ascii="宋体" w:hAnsi="宋体" w:eastAsia="宋体" w:cs="宋体"/>
          <w:color w:val="auto"/>
          <w:sz w:val="21"/>
          <w:szCs w:val="21"/>
          <w:highlight w:val="none"/>
        </w:rPr>
        <w:t>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6550C22">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.2采购人不得向成交供应商提出超出磋商文件以外的任何要求作为签订合同的条件，不得与成交供应商订立背离磋商文件确定的合同文本以及采购标的、服务技术、采购金额、采购数量、技术和服务要求</w:t>
      </w:r>
      <w:r>
        <w:rPr>
          <w:rFonts w:hint="eastAsia" w:ascii="宋体" w:hAnsi="宋体" w:eastAsia="宋体" w:cs="宋体"/>
          <w:color w:val="auto"/>
          <w:szCs w:val="21"/>
          <w:highlight w:val="none"/>
          <w:lang w:eastAsia="zh-CN"/>
        </w:rPr>
        <w:t>、</w:t>
      </w:r>
      <w:r>
        <w:rPr>
          <w:rFonts w:hint="eastAsia" w:ascii="宋体" w:hAnsi="宋体" w:cs="宋体"/>
          <w:color w:val="auto"/>
          <w:sz w:val="21"/>
          <w:szCs w:val="21"/>
          <w:highlight w:val="none"/>
          <w:u w:val="none" w:color="auto"/>
          <w:lang w:eastAsia="zh-CN"/>
        </w:rPr>
        <w:t>施工图纸、工程量清单及相关说明</w:t>
      </w:r>
      <w:r>
        <w:rPr>
          <w:rFonts w:hint="eastAsia" w:ascii="宋体" w:hAnsi="宋体" w:eastAsia="宋体" w:cs="宋体"/>
          <w:color w:val="auto"/>
          <w:szCs w:val="21"/>
          <w:highlight w:val="none"/>
        </w:rPr>
        <w:t>等实质性内容的协议。</w:t>
      </w:r>
    </w:p>
    <w:p w14:paraId="6274EB5D">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2E9EDFC3">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63DA0148">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采购合同由采购人与成交供应商根据磋商文件、响应文件等内容签订，成交供应商应当在签订合同时向采购人出示相关证明材料，具体内容详见 “供应商须知前附表”，经采购人核验合格后方可签订合同</w:t>
      </w:r>
      <w:r>
        <w:rPr>
          <w:rFonts w:hint="eastAsia" w:ascii="宋体" w:hAnsi="宋体" w:eastAsia="宋体" w:cs="宋体"/>
          <w:color w:val="auto"/>
          <w:szCs w:val="21"/>
          <w:highlight w:val="none"/>
          <w:lang w:eastAsia="zh-CN"/>
        </w:rPr>
        <w:t>。</w:t>
      </w:r>
    </w:p>
    <w:p w14:paraId="014470D7">
      <w:pPr>
        <w:keepNext w:val="0"/>
        <w:keepLines w:val="0"/>
        <w:pageBreakBefore w:val="0"/>
        <w:shd w:val="clear" w:color="auto" w:fill="FFFFFF"/>
        <w:kinsoku/>
        <w:wordWrap/>
        <w:overflowPunct/>
        <w:topLinePunct w:val="0"/>
        <w:autoSpaceDE/>
        <w:autoSpaceDN/>
        <w:bidi w:val="0"/>
        <w:adjustRightInd w:val="0"/>
        <w:snapToGrid w:val="0"/>
        <w:spacing w:line="440" w:lineRule="exact"/>
        <w:ind w:left="105" w:leftChars="50" w:firstLine="422" w:firstLineChars="20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28.政府采购合同公告</w:t>
      </w:r>
    </w:p>
    <w:p w14:paraId="794C0F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eastAsia="黑体"/>
          <w:color w:val="auto"/>
          <w:highlight w:val="none"/>
          <w:lang w:val="en-US" w:eastAsia="zh-CN"/>
        </w:rPr>
      </w:pPr>
      <w:r>
        <w:rPr>
          <w:rFonts w:hint="eastAsia" w:ascii="宋体" w:hAnsi="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p>
    <w:p w14:paraId="60528FB8">
      <w:pPr>
        <w:pStyle w:val="11"/>
        <w:keepNext w:val="0"/>
        <w:keepLines w:val="0"/>
        <w:pageBreakBefore w:val="0"/>
        <w:numPr>
          <w:ilvl w:val="0"/>
          <w:numId w:val="3"/>
        </w:numPr>
        <w:shd w:val="clear" w:color="auto" w:fill="FFFFFF"/>
        <w:kinsoku/>
        <w:wordWrap/>
        <w:overflowPunct/>
        <w:topLinePunct w:val="0"/>
        <w:autoSpaceDE/>
        <w:autoSpaceDN/>
        <w:bidi w:val="0"/>
        <w:adjustRightInd w:val="0"/>
        <w:snapToGrid w:val="0"/>
        <w:spacing w:line="440" w:lineRule="exact"/>
        <w:ind w:left="420" w:leftChars="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询问、质疑和投诉</w:t>
      </w:r>
    </w:p>
    <w:p w14:paraId="43EEFBF4">
      <w:pPr>
        <w:numPr>
          <w:ilvl w:val="0"/>
          <w:numId w:val="0"/>
        </w:numPr>
        <w:rPr>
          <w:rFonts w:hint="eastAsia"/>
          <w:color w:val="auto"/>
          <w:highlight w:val="none"/>
          <w:lang w:val="en-US" w:eastAsia="zh-CN"/>
        </w:rPr>
      </w:pPr>
      <w:r>
        <w:rPr>
          <w:rFonts w:hint="eastAsia"/>
          <w:color w:val="auto"/>
          <w:highlight w:val="none"/>
          <w:lang w:val="en-US" w:eastAsia="zh-CN"/>
        </w:rPr>
        <w:t xml:space="preserve">   </w:t>
      </w:r>
      <w:r>
        <w:rPr>
          <w:rFonts w:hint="eastAsia" w:ascii="宋体" w:hAnsi="宋体" w:cs="宋体"/>
          <w:b/>
          <w:bCs/>
          <w:color w:val="auto"/>
          <w:szCs w:val="21"/>
          <w:highlight w:val="none"/>
          <w:lang w:val="en-US" w:eastAsia="zh-CN"/>
        </w:rPr>
        <w:t xml:space="preserve"> 29 询问、质疑和投诉</w:t>
      </w:r>
    </w:p>
    <w:p w14:paraId="519D313F">
      <w:pPr>
        <w:numPr>
          <w:ilvl w:val="0"/>
          <w:numId w:val="0"/>
        </w:numPr>
        <w:rPr>
          <w:rFonts w:hint="eastAsia" w:ascii="宋体" w:hAnsi="宋体" w:eastAsia="宋体" w:cs="宋体"/>
          <w:color w:val="auto"/>
          <w:highlight w:val="none"/>
        </w:rPr>
      </w:pPr>
      <w:r>
        <w:rPr>
          <w:rFonts w:hint="eastAsia"/>
          <w:color w:val="auto"/>
          <w:highlight w:val="none"/>
          <w:lang w:val="en-US" w:eastAsia="zh-CN"/>
        </w:rPr>
        <w:t xml:space="preserve">    </w:t>
      </w:r>
      <w:r>
        <w:rPr>
          <w:rFonts w:hint="eastAsia" w:ascii="宋体" w:hAnsi="宋体" w:cs="宋体"/>
          <w:color w:val="auto"/>
          <w:highlight w:val="none"/>
          <w:lang w:val="en-US" w:eastAsia="zh-CN"/>
        </w:rPr>
        <w:t>29</w:t>
      </w:r>
      <w:r>
        <w:rPr>
          <w:rFonts w:hint="eastAsia" w:ascii="宋体" w:hAnsi="宋体" w:eastAsia="宋体" w:cs="宋体"/>
          <w:color w:val="auto"/>
          <w:highlight w:val="none"/>
        </w:rPr>
        <w:t>.1供应商对政府采购活动事项有疑问的，可以向采购人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采购代理机构提出询问，采购人或者采购代理机构应当在3个工作日内对供应商依法提出的询问作出答复。</w:t>
      </w:r>
    </w:p>
    <w:p w14:paraId="59EB7860">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
          <w:color w:val="auto"/>
          <w:szCs w:val="21"/>
          <w:highlight w:val="none"/>
        </w:rPr>
      </w:pPr>
      <w:r>
        <w:rPr>
          <w:rFonts w:hint="eastAsia" w:ascii="宋体" w:hAnsi="宋体" w:cs="宋体"/>
          <w:color w:val="auto"/>
          <w:highlight w:val="none"/>
          <w:lang w:val="en-US" w:eastAsia="zh-CN"/>
        </w:rPr>
        <w:t>29</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534A459D">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406E827">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1B55E0EB">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198DEB0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29</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0F9902A">
      <w:pPr>
        <w:keepNext w:val="0"/>
        <w:keepLines w:val="0"/>
        <w:pageBreakBefore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cs="宋体"/>
          <w:b/>
          <w:bCs/>
          <w:color w:val="auto"/>
          <w:highlight w:val="none"/>
          <w:lang w:val="en-US" w:eastAsia="zh-CN"/>
        </w:rPr>
        <w:t>29</w:t>
      </w:r>
      <w:r>
        <w:rPr>
          <w:rFonts w:hint="eastAsia" w:ascii="宋体" w:hAnsi="宋体" w:eastAsia="宋体" w:cs="宋体"/>
          <w:b/>
          <w:bCs/>
          <w:color w:val="auto"/>
          <w:highlight w:val="none"/>
        </w:rPr>
        <w:t>.4 供应商提出质疑应当提交质疑函和必要的证明材料，针对同一采购程序环节的质疑必须在法定质疑期内一次性提出。质疑函应当包括下列内容（质疑函格式后附）：</w:t>
      </w:r>
    </w:p>
    <w:p w14:paraId="416DE5D2">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37E6E69C">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05A83869">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C83AA11">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2ECFE86">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F6CF1DA">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0333D1F7">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009CE6EB">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29</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18820A79">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D2DECFC">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12B2E31">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97E9A9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cs="宋体"/>
          <w:b/>
          <w:bCs/>
          <w:color w:val="auto"/>
          <w:highlight w:val="none"/>
          <w:lang w:val="en-US" w:eastAsia="zh-CN"/>
        </w:rPr>
        <w:t>29</w:t>
      </w:r>
      <w:r>
        <w:rPr>
          <w:rFonts w:hint="eastAsia" w:ascii="宋体" w:hAnsi="宋体" w:eastAsia="宋体" w:cs="宋体"/>
          <w:b/>
          <w:bCs/>
          <w:color w:val="auto"/>
          <w:highlight w:val="none"/>
        </w:rPr>
        <w:t>.6投诉的权利。质疑供应商对采购人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采购代理机构的答复不满意，或者采购人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color w:val="auto"/>
          <w:highlight w:val="none"/>
        </w:rPr>
        <w:t>。</w:t>
      </w:r>
    </w:p>
    <w:p w14:paraId="25884949">
      <w:pPr>
        <w:pStyle w:val="11"/>
        <w:keepNext w:val="0"/>
        <w:keepLines w:val="0"/>
        <w:pageBreakBefore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适用法律</w:t>
      </w:r>
    </w:p>
    <w:p w14:paraId="21ED1AF7">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highlight w:val="none"/>
        </w:rPr>
      </w:pP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w:t>
      </w:r>
      <w:r>
        <w:rPr>
          <w:rFonts w:hint="eastAsia" w:ascii="宋体" w:hAnsi="宋体" w:eastAsia="宋体" w:cs="宋体"/>
          <w:b/>
          <w:color w:val="auto"/>
          <w:highlight w:val="none"/>
        </w:rPr>
        <w:t>采购当事人的一切活动均适用于《中华人民共和国政府采购法》、《中华人民共和国政府采购法实施条例》、财政部《政府采购非招标采购方式管理办法》</w:t>
      </w:r>
      <w:r>
        <w:rPr>
          <w:rFonts w:hint="eastAsia" w:ascii="宋体" w:hAnsi="宋体" w:cs="宋体"/>
          <w:b/>
          <w:color w:val="auto"/>
          <w:highlight w:val="none"/>
          <w:lang w:eastAsia="zh-CN"/>
        </w:rPr>
        <w:t>、《政府采购竞争性磋商采购方式管理暂行办法》</w:t>
      </w:r>
      <w:r>
        <w:rPr>
          <w:rFonts w:hint="eastAsia" w:ascii="宋体" w:hAnsi="宋体" w:eastAsia="宋体" w:cs="宋体"/>
          <w:b/>
          <w:color w:val="auto"/>
          <w:highlight w:val="none"/>
        </w:rPr>
        <w:t>及相关规定。最终</w:t>
      </w:r>
      <w:r>
        <w:rPr>
          <w:rFonts w:hint="eastAsia" w:ascii="宋体" w:hAnsi="宋体" w:eastAsia="宋体" w:cs="宋体"/>
          <w:b/>
          <w:color w:val="auto"/>
          <w:highlight w:val="none"/>
          <w:lang w:eastAsia="zh-CN"/>
        </w:rPr>
        <w:t>磋商</w:t>
      </w:r>
      <w:r>
        <w:rPr>
          <w:rFonts w:hint="eastAsia" w:ascii="宋体" w:hAnsi="宋体" w:eastAsia="宋体" w:cs="宋体"/>
          <w:b/>
          <w:color w:val="auto"/>
          <w:highlight w:val="none"/>
        </w:rPr>
        <w:t>结束后，</w:t>
      </w:r>
      <w:r>
        <w:rPr>
          <w:rFonts w:hint="eastAsia" w:ascii="宋体" w:hAnsi="宋体" w:eastAsia="宋体" w:cs="宋体"/>
          <w:b/>
          <w:color w:val="auto"/>
          <w:highlight w:val="none"/>
          <w:lang w:eastAsia="zh-CN"/>
        </w:rPr>
        <w:t>磋商</w:t>
      </w:r>
      <w:r>
        <w:rPr>
          <w:rFonts w:hint="eastAsia" w:ascii="宋体" w:hAnsi="宋体" w:eastAsia="宋体" w:cs="宋体"/>
          <w:b/>
          <w:color w:val="auto"/>
          <w:highlight w:val="none"/>
        </w:rPr>
        <w:t>小组不得再与供应商进行任何形式的商谈。</w:t>
      </w:r>
    </w:p>
    <w:p w14:paraId="0F1F769F">
      <w:pPr>
        <w:pStyle w:val="11"/>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、其他事项</w:t>
      </w:r>
    </w:p>
    <w:p w14:paraId="375909C2">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 xml:space="preserve">.1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w:t>
      </w:r>
      <w:r>
        <w:rPr>
          <w:rFonts w:hint="eastAsia" w:ascii="宋体" w:hAnsi="宋体" w:eastAsia="宋体" w:cs="宋体"/>
          <w:color w:val="auto"/>
          <w:szCs w:val="21"/>
          <w:highlight w:val="none"/>
          <w:lang w:eastAsia="zh-CN"/>
        </w:rPr>
        <w:t>费</w:t>
      </w:r>
      <w:r>
        <w:rPr>
          <w:rFonts w:hint="eastAsia" w:ascii="宋体" w:hAnsi="宋体" w:eastAsia="宋体" w:cs="宋体"/>
          <w:color w:val="auto"/>
          <w:szCs w:val="21"/>
          <w:highlight w:val="none"/>
        </w:rPr>
        <w:t>收费标准及缴费账户详见“供应商须知前附表”，供应商为联合体的，可以由联合体中的一方或者多方共同缴纳采购代理服务费。</w:t>
      </w:r>
    </w:p>
    <w:p w14:paraId="20D55042">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代理服务费收费计算标准</w:t>
      </w:r>
      <w:r>
        <w:rPr>
          <w:rFonts w:hint="eastAsia" w:ascii="宋体" w:hAnsi="宋体" w:eastAsia="宋体" w:cs="宋体"/>
          <w:color w:val="auto"/>
          <w:szCs w:val="21"/>
          <w:highlight w:val="none"/>
          <w:lang w:eastAsia="zh-CN"/>
        </w:rPr>
        <w:t>：</w:t>
      </w:r>
    </w:p>
    <w:p w14:paraId="6EEC60CD">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lang w:val="en-US" w:eastAsia="zh-CN"/>
        </w:rPr>
      </w:pPr>
    </w:p>
    <w:tbl>
      <w:tblPr>
        <w:tblStyle w:val="22"/>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FDD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472" w:type="dxa"/>
            <w:tcBorders>
              <w:tl2br w:val="single" w:color="auto" w:sz="4" w:space="0"/>
            </w:tcBorders>
            <w:vAlign w:val="top"/>
          </w:tcPr>
          <w:p w14:paraId="51D01A13">
            <w:pPr>
              <w:keepNext w:val="0"/>
              <w:keepLines w:val="0"/>
              <w:pageBreakBefore w:val="0"/>
              <w:widowControl w:val="0"/>
              <w:kinsoku/>
              <w:wordWrap/>
              <w:overflowPunct/>
              <w:topLinePunct w:val="0"/>
              <w:autoSpaceDE/>
              <w:autoSpaceDN/>
              <w:bidi w:val="0"/>
              <w:spacing w:line="440" w:lineRule="exact"/>
              <w:ind w:firstLine="2730" w:firstLineChars="1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费率</w:t>
            </w:r>
          </w:p>
          <w:p w14:paraId="52C4D60E">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vAlign w:val="center"/>
          </w:tcPr>
          <w:p w14:paraId="27BB3F8E">
            <w:pPr>
              <w:keepNext w:val="0"/>
              <w:keepLines w:val="0"/>
              <w:pageBreakBefore w:val="0"/>
              <w:widowControl w:val="0"/>
              <w:kinsoku/>
              <w:wordWrap/>
              <w:overflowPunct/>
              <w:topLinePunct w:val="0"/>
              <w:autoSpaceDE/>
              <w:autoSpaceDN/>
              <w:bidi w:val="0"/>
              <w:spacing w:line="44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vAlign w:val="center"/>
          </w:tcPr>
          <w:p w14:paraId="56C38009">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vAlign w:val="center"/>
          </w:tcPr>
          <w:p w14:paraId="1DF066D4">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53AD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3602FF9E">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vAlign w:val="top"/>
          </w:tcPr>
          <w:p w14:paraId="6BEC40D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1.5%                </w:t>
            </w:r>
          </w:p>
        </w:tc>
        <w:tc>
          <w:tcPr>
            <w:tcW w:w="1532" w:type="dxa"/>
            <w:vAlign w:val="top"/>
          </w:tcPr>
          <w:p w14:paraId="4EC059B9">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vAlign w:val="top"/>
          </w:tcPr>
          <w:p w14:paraId="721B8959">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482A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2E4D5061">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vAlign w:val="top"/>
          </w:tcPr>
          <w:p w14:paraId="09DA921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vAlign w:val="top"/>
          </w:tcPr>
          <w:p w14:paraId="5EB54F5E">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vAlign w:val="top"/>
          </w:tcPr>
          <w:p w14:paraId="1C6E4700">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4E00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094F0682">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vAlign w:val="top"/>
          </w:tcPr>
          <w:p w14:paraId="27B7A9A9">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0.8%                </w:t>
            </w:r>
          </w:p>
        </w:tc>
        <w:tc>
          <w:tcPr>
            <w:tcW w:w="1532" w:type="dxa"/>
            <w:vAlign w:val="top"/>
          </w:tcPr>
          <w:p w14:paraId="3A248D9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vAlign w:val="top"/>
          </w:tcPr>
          <w:p w14:paraId="7903C8A8">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37A6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3DF6467B">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vAlign w:val="top"/>
          </w:tcPr>
          <w:p w14:paraId="4F8DA0CE">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vAlign w:val="top"/>
          </w:tcPr>
          <w:p w14:paraId="24F3FE64">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vAlign w:val="top"/>
          </w:tcPr>
          <w:p w14:paraId="26F47D63">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78D6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002F21B0">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vAlign w:val="top"/>
          </w:tcPr>
          <w:p w14:paraId="1407A14D">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vAlign w:val="top"/>
          </w:tcPr>
          <w:p w14:paraId="5BB5C318">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vAlign w:val="top"/>
          </w:tcPr>
          <w:p w14:paraId="42A783F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05FE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72047F51">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vAlign w:val="top"/>
          </w:tcPr>
          <w:p w14:paraId="2B8D5AE9">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vAlign w:val="top"/>
          </w:tcPr>
          <w:p w14:paraId="53C1BA86">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46" w:type="dxa"/>
            <w:vAlign w:val="top"/>
          </w:tcPr>
          <w:p w14:paraId="1004EC91">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14:paraId="23B9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421BE046">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vAlign w:val="top"/>
          </w:tcPr>
          <w:p w14:paraId="51B4D845">
            <w:pPr>
              <w:keepNext w:val="0"/>
              <w:keepLines w:val="0"/>
              <w:pageBreakBefore w:val="0"/>
              <w:widowControl w:val="0"/>
              <w:kinsoku/>
              <w:wordWrap/>
              <w:overflowPunct/>
              <w:topLinePunct w:val="0"/>
              <w:autoSpaceDE/>
              <w:autoSpaceDN/>
              <w:bidi w:val="0"/>
              <w:spacing w:line="44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vAlign w:val="top"/>
          </w:tcPr>
          <w:p w14:paraId="4EB90FD1">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46" w:type="dxa"/>
            <w:vAlign w:val="top"/>
          </w:tcPr>
          <w:p w14:paraId="420A744A">
            <w:pPr>
              <w:keepNext w:val="0"/>
              <w:keepLines w:val="0"/>
              <w:pageBreakBefore w:val="0"/>
              <w:widowControl w:val="0"/>
              <w:kinsoku/>
              <w:wordWrap/>
              <w:overflowPunct/>
              <w:topLinePunct w:val="0"/>
              <w:autoSpaceDE/>
              <w:autoSpaceDN/>
              <w:bidi w:val="0"/>
              <w:spacing w:line="44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36AA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395ADA7A">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vAlign w:val="top"/>
          </w:tcPr>
          <w:p w14:paraId="35163A83">
            <w:pPr>
              <w:keepNext w:val="0"/>
              <w:keepLines w:val="0"/>
              <w:pageBreakBefore w:val="0"/>
              <w:widowControl w:val="0"/>
              <w:kinsoku/>
              <w:wordWrap/>
              <w:overflowPunct/>
              <w:topLinePunct w:val="0"/>
              <w:autoSpaceDE/>
              <w:autoSpaceDN/>
              <w:bidi w:val="0"/>
              <w:spacing w:line="44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vAlign w:val="top"/>
          </w:tcPr>
          <w:p w14:paraId="4C092DF0">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vAlign w:val="top"/>
          </w:tcPr>
          <w:p w14:paraId="3873EE8B">
            <w:pPr>
              <w:keepNext w:val="0"/>
              <w:keepLines w:val="0"/>
              <w:pageBreakBefore w:val="0"/>
              <w:widowControl w:val="0"/>
              <w:kinsoku/>
              <w:wordWrap/>
              <w:overflowPunct/>
              <w:topLinePunct w:val="0"/>
              <w:autoSpaceDE/>
              <w:autoSpaceDN/>
              <w:bidi w:val="0"/>
              <w:spacing w:line="44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37D4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0DBDC3CD">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vAlign w:val="top"/>
          </w:tcPr>
          <w:p w14:paraId="51FE5BDA">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32" w:type="dxa"/>
            <w:vAlign w:val="top"/>
          </w:tcPr>
          <w:p w14:paraId="57FBBD04">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vAlign w:val="top"/>
          </w:tcPr>
          <w:p w14:paraId="42F2C6DE">
            <w:pPr>
              <w:keepNext w:val="0"/>
              <w:keepLines w:val="0"/>
              <w:pageBreakBefore w:val="0"/>
              <w:widowControl w:val="0"/>
              <w:kinsoku/>
              <w:wordWrap/>
              <w:overflowPunct/>
              <w:topLinePunct w:val="0"/>
              <w:autoSpaceDE/>
              <w:autoSpaceDN/>
              <w:bidi w:val="0"/>
              <w:spacing w:line="44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1152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74741843">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vAlign w:val="top"/>
          </w:tcPr>
          <w:p w14:paraId="20499FBE">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32" w:type="dxa"/>
            <w:vAlign w:val="top"/>
          </w:tcPr>
          <w:p w14:paraId="4F50FC7C">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vAlign w:val="top"/>
          </w:tcPr>
          <w:p w14:paraId="2A8AEE8B">
            <w:pPr>
              <w:keepNext w:val="0"/>
              <w:keepLines w:val="0"/>
              <w:pageBreakBefore w:val="0"/>
              <w:widowControl w:val="0"/>
              <w:kinsoku/>
              <w:wordWrap/>
              <w:overflowPunct/>
              <w:topLinePunct w:val="0"/>
              <w:autoSpaceDE/>
              <w:autoSpaceDN/>
              <w:bidi w:val="0"/>
              <w:spacing w:line="44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B135C4B">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注： </w:t>
      </w:r>
    </w:p>
    <w:p w14:paraId="1CB3F446">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69F2281F">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2F59787D">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例如：某</w:t>
      </w:r>
      <w:r>
        <w:rPr>
          <w:rFonts w:hint="eastAsia" w:ascii="宋体" w:hAnsi="宋体" w:eastAsia="宋体" w:cs="宋体"/>
          <w:color w:val="auto"/>
          <w:highlight w:val="none"/>
          <w:lang w:eastAsia="zh-CN"/>
        </w:rPr>
        <w:t>工程</w:t>
      </w:r>
      <w:r>
        <w:rPr>
          <w:rFonts w:hint="eastAsia" w:ascii="宋体" w:hAnsi="宋体" w:eastAsia="宋体" w:cs="宋体"/>
          <w:color w:val="auto"/>
          <w:highlight w:val="none"/>
        </w:rPr>
        <w:t>采购代理业务成交金额或者暂定价为</w:t>
      </w:r>
      <w:r>
        <w:rPr>
          <w:rFonts w:hint="eastAsia" w:ascii="宋体" w:hAnsi="宋体" w:cs="宋体"/>
          <w:color w:val="auto"/>
          <w:highlight w:val="none"/>
          <w:lang w:val="en-US" w:eastAsia="zh-CN"/>
        </w:rPr>
        <w:t>80</w:t>
      </w:r>
      <w:r>
        <w:rPr>
          <w:rFonts w:hint="eastAsia" w:ascii="宋体" w:hAnsi="宋体" w:eastAsia="宋体" w:cs="宋体"/>
          <w:color w:val="auto"/>
          <w:highlight w:val="none"/>
        </w:rPr>
        <w:t>万元，计算采购代理收费额如下：</w:t>
      </w:r>
    </w:p>
    <w:p w14:paraId="2C01766A">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80</w:t>
      </w:r>
      <w:r>
        <w:rPr>
          <w:rFonts w:hint="eastAsia" w:ascii="宋体" w:hAnsi="宋体" w:eastAsia="宋体" w:cs="宋体"/>
          <w:color w:val="auto"/>
          <w:highlight w:val="none"/>
        </w:rPr>
        <w:t>万元 ×</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cs="宋体"/>
          <w:color w:val="auto"/>
          <w:highlight w:val="none"/>
          <w:lang w:val="en-US" w:eastAsia="zh-CN"/>
        </w:rPr>
        <w:t>0.8</w:t>
      </w:r>
      <w:r>
        <w:rPr>
          <w:rFonts w:hint="eastAsia" w:ascii="宋体" w:hAnsi="宋体" w:eastAsia="宋体" w:cs="宋体"/>
          <w:color w:val="auto"/>
          <w:highlight w:val="none"/>
        </w:rPr>
        <w:t>万元</w:t>
      </w:r>
    </w:p>
    <w:p w14:paraId="7A0CEC66">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合计收费＝</w:t>
      </w:r>
      <w:r>
        <w:rPr>
          <w:rFonts w:hint="eastAsia" w:ascii="宋体" w:hAnsi="宋体" w:cs="宋体"/>
          <w:color w:val="auto"/>
          <w:highlight w:val="none"/>
          <w:lang w:val="en-US" w:eastAsia="zh-CN"/>
        </w:rPr>
        <w:t>0.8</w:t>
      </w:r>
      <w:r>
        <w:rPr>
          <w:rFonts w:hint="eastAsia" w:ascii="宋体" w:hAnsi="宋体" w:eastAsia="宋体" w:cs="宋体"/>
          <w:color w:val="auto"/>
          <w:highlight w:val="none"/>
        </w:rPr>
        <w:t>（万元）</w:t>
      </w:r>
    </w:p>
    <w:p w14:paraId="3B23B909">
      <w:pPr>
        <w:pStyle w:val="11"/>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十三、</w:t>
      </w:r>
      <w:r>
        <w:rPr>
          <w:rFonts w:hint="eastAsia" w:ascii="宋体" w:hAnsi="宋体" w:eastAsia="宋体" w:cs="宋体"/>
          <w:b/>
          <w:color w:val="auto"/>
          <w:sz w:val="21"/>
          <w:szCs w:val="21"/>
          <w:highlight w:val="none"/>
        </w:rPr>
        <w:t>需要补充的</w:t>
      </w:r>
      <w:r>
        <w:rPr>
          <w:rFonts w:hint="eastAsia" w:ascii="宋体" w:hAnsi="宋体" w:eastAsia="宋体" w:cs="宋体"/>
          <w:b/>
          <w:color w:val="auto"/>
          <w:sz w:val="21"/>
          <w:szCs w:val="21"/>
          <w:highlight w:val="none"/>
          <w:lang w:eastAsia="zh-CN"/>
        </w:rPr>
        <w:t>其他</w:t>
      </w:r>
      <w:r>
        <w:rPr>
          <w:rFonts w:hint="eastAsia" w:ascii="宋体" w:hAnsi="宋体" w:eastAsia="宋体" w:cs="宋体"/>
          <w:b/>
          <w:color w:val="auto"/>
          <w:sz w:val="21"/>
          <w:szCs w:val="21"/>
          <w:highlight w:val="none"/>
        </w:rPr>
        <w:t>内容</w:t>
      </w:r>
    </w:p>
    <w:p w14:paraId="69FF6429">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2</w:t>
      </w:r>
      <w:r>
        <w:rPr>
          <w:rFonts w:hint="eastAsia" w:ascii="宋体" w:hAnsi="宋体" w:eastAsia="宋体" w:cs="宋体"/>
          <w:color w:val="auto"/>
          <w:highlight w:val="none"/>
        </w:rPr>
        <w:t>.1本磋商文件解释规则详见“供应商须知前附表”。</w:t>
      </w:r>
    </w:p>
    <w:p w14:paraId="36EF0EA3">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2</w:t>
      </w:r>
      <w:r>
        <w:rPr>
          <w:rFonts w:hint="eastAsia" w:ascii="宋体" w:hAnsi="宋体" w:eastAsia="宋体" w:cs="宋体"/>
          <w:color w:val="auto"/>
          <w:highlight w:val="none"/>
        </w:rPr>
        <w:t xml:space="preserve">.2 </w:t>
      </w:r>
      <w:bookmarkStart w:id="68" w:name="OLE_LINK57"/>
      <w:r>
        <w:rPr>
          <w:rFonts w:hint="eastAsia" w:ascii="宋体" w:hAnsi="宋体" w:eastAsia="宋体" w:cs="宋体"/>
          <w:color w:val="auto"/>
          <w:highlight w:val="none"/>
        </w:rPr>
        <w:t>其他事项详见“供应商须知前附表</w:t>
      </w:r>
      <w:bookmarkEnd w:id="68"/>
      <w:r>
        <w:rPr>
          <w:rFonts w:hint="eastAsia" w:ascii="宋体" w:hAnsi="宋体" w:eastAsia="宋体" w:cs="宋体"/>
          <w:color w:val="auto"/>
          <w:highlight w:val="none"/>
        </w:rPr>
        <w:t>”。</w:t>
      </w:r>
    </w:p>
    <w:p w14:paraId="0610C063">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2</w:t>
      </w:r>
      <w:r>
        <w:rPr>
          <w:rFonts w:hint="eastAsia" w:ascii="宋体" w:hAnsi="宋体" w:eastAsia="宋体" w:cs="宋体"/>
          <w:color w:val="auto"/>
          <w:highlight w:val="none"/>
        </w:rPr>
        <w:t>.3本文件所称小微企业，是</w:t>
      </w:r>
      <w:bookmarkStart w:id="69" w:name="OLE_LINK55"/>
      <w:r>
        <w:rPr>
          <w:rFonts w:hint="eastAsia" w:ascii="宋体" w:hAnsi="宋体" w:eastAsia="宋体" w:cs="宋体"/>
          <w:color w:val="auto"/>
          <w:highlight w:val="none"/>
        </w:rPr>
        <w:t>指在中华人民共和国境内依法设立，依据国务院批准的小微企业划分标准确定的小型企业和微型企业，但与大企业的负责人为同一人，或者与大企业存在直接控股、管理关系的除外。符合小微企业划分标准的个体工商户，在政府采购活动中视同小微企业</w:t>
      </w:r>
      <w:bookmarkEnd w:id="69"/>
      <w:r>
        <w:rPr>
          <w:rFonts w:hint="eastAsia" w:ascii="宋体" w:hAnsi="宋体" w:eastAsia="宋体" w:cs="宋体"/>
          <w:color w:val="auto"/>
          <w:highlight w:val="none"/>
        </w:rPr>
        <w:t>。在政府采购活动中，工程由小微企业承建，即工程施工单位为</w:t>
      </w:r>
      <w:r>
        <w:rPr>
          <w:rFonts w:hint="eastAsia" w:ascii="宋体" w:hAnsi="宋体" w:cs="宋体"/>
          <w:color w:val="auto"/>
          <w:highlight w:val="none"/>
          <w:lang w:val="en-US" w:eastAsia="zh-CN"/>
        </w:rPr>
        <w:t>小</w:t>
      </w:r>
      <w:r>
        <w:rPr>
          <w:rFonts w:hint="eastAsia" w:ascii="宋体" w:hAnsi="宋体" w:eastAsia="宋体" w:cs="宋体"/>
          <w:color w:val="auto"/>
          <w:highlight w:val="none"/>
        </w:rPr>
        <w:t>微企业，不对其中涉及的货物的制造商和服务的承接商作出要求，享受本文件规定的小微企业扶持政策。</w:t>
      </w:r>
    </w:p>
    <w:p w14:paraId="41A8B9EB">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w:t>
      </w:r>
      <w:r>
        <w:rPr>
          <w:rFonts w:hint="eastAsia" w:ascii="宋体" w:hAnsi="宋体" w:cs="宋体"/>
          <w:color w:val="auto"/>
          <w:highlight w:val="none"/>
          <w:lang w:val="en-US" w:eastAsia="zh-CN"/>
        </w:rPr>
        <w:t>小微</w:t>
      </w:r>
      <w:r>
        <w:rPr>
          <w:rFonts w:hint="eastAsia" w:ascii="宋体" w:hAnsi="宋体" w:eastAsia="宋体" w:cs="宋体"/>
          <w:color w:val="auto"/>
          <w:highlight w:val="none"/>
        </w:rPr>
        <w:t>企业的，联合体视同</w:t>
      </w:r>
      <w:r>
        <w:rPr>
          <w:rFonts w:hint="eastAsia" w:ascii="宋体" w:hAnsi="宋体" w:cs="宋体"/>
          <w:color w:val="auto"/>
          <w:highlight w:val="none"/>
          <w:lang w:val="en-US" w:eastAsia="zh-CN"/>
        </w:rPr>
        <w:t>小微</w:t>
      </w:r>
      <w:r>
        <w:rPr>
          <w:rFonts w:hint="eastAsia" w:ascii="宋体" w:hAnsi="宋体" w:eastAsia="宋体" w:cs="宋体"/>
          <w:color w:val="auto"/>
          <w:highlight w:val="none"/>
        </w:rPr>
        <w:t>企业。</w:t>
      </w:r>
    </w:p>
    <w:p w14:paraId="39FED584">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w:t>
      </w:r>
      <w:r>
        <w:rPr>
          <w:rFonts w:hint="eastAsia" w:ascii="宋体" w:hAnsi="宋体" w:cs="宋体"/>
          <w:color w:val="auto"/>
          <w:highlight w:val="none"/>
          <w:lang w:val="en-US" w:eastAsia="zh-CN"/>
        </w:rPr>
        <w:t>中、</w:t>
      </w:r>
      <w:r>
        <w:rPr>
          <w:rFonts w:hint="eastAsia" w:ascii="宋体" w:hAnsi="宋体" w:eastAsia="宋体" w:cs="宋体"/>
          <w:color w:val="auto"/>
          <w:highlight w:val="none"/>
        </w:rPr>
        <w:t>大型企业。</w:t>
      </w:r>
    </w:p>
    <w:p w14:paraId="57243ECF">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.广西线上“政采贷”政策告知函</w:t>
      </w:r>
    </w:p>
    <w:p w14:paraId="64A31823">
      <w:pPr>
        <w:spacing w:line="580" w:lineRule="exact"/>
        <w:ind w:firstLine="883" w:firstLineChars="200"/>
        <w:jc w:val="center"/>
        <w:rPr>
          <w:rFonts w:hint="eastAsia" w:ascii="宋体" w:hAnsi="宋体" w:cs="宋体"/>
          <w:b/>
          <w:bCs/>
          <w:color w:val="auto"/>
          <w:sz w:val="44"/>
          <w:szCs w:val="44"/>
          <w:highlight w:val="none"/>
        </w:rPr>
      </w:pPr>
    </w:p>
    <w:p w14:paraId="69826727">
      <w:pPr>
        <w:spacing w:line="580" w:lineRule="exact"/>
        <w:ind w:firstLine="883" w:firstLineChars="200"/>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广西线上“政采贷”政策告知函</w:t>
      </w:r>
    </w:p>
    <w:p w14:paraId="673B5089">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40F4024E">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欢迎贵公司参与广西政府采购活动！</w:t>
      </w:r>
    </w:p>
    <w:p w14:paraId="0AE967E3">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87FCB55">
      <w:pPr>
        <w:pStyle w:val="31"/>
        <w:keepNext w:val="0"/>
        <w:keepLines w:val="0"/>
        <w:pageBreakBefore w:val="0"/>
        <w:kinsoku/>
        <w:wordWrap/>
        <w:overflowPunct/>
        <w:topLinePunct w:val="0"/>
        <w:autoSpaceDE/>
        <w:autoSpaceDN/>
        <w:bidi w:val="0"/>
        <w:spacing w:line="426" w:lineRule="exact"/>
        <w:ind w:firstLine="460" w:firstLineChars="200"/>
        <w:textAlignment w:val="auto"/>
        <w:rPr>
          <w:rFonts w:hint="eastAsia"/>
          <w:color w:val="auto"/>
          <w:highlight w:val="none"/>
        </w:rPr>
      </w:pPr>
      <w:r>
        <w:rPr>
          <w:rFonts w:hint="eastAsia" w:ascii="宋体" w:hAnsi="宋体" w:eastAsia="宋体" w:cs="宋体"/>
          <w:color w:val="auto"/>
          <w:sz w:val="21"/>
          <w:szCs w:val="21"/>
          <w:highlight w:val="none"/>
        </w:rPr>
        <w:t>相关金融产品和银行业金融机构联系方式，可在中征应收账款融资服务平台查询（网址：</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"https://www.crcrfsp.com/" </w:instrText>
      </w:r>
      <w:r>
        <w:rPr>
          <w:rFonts w:hint="eastAsia" w:ascii="宋体" w:hAnsi="宋体" w:eastAsia="宋体" w:cs="宋体"/>
          <w:color w:val="auto"/>
          <w:sz w:val="21"/>
          <w:szCs w:val="21"/>
          <w:highlight w:val="none"/>
        </w:rPr>
        <w:fldChar w:fldCharType="separate"/>
      </w:r>
      <w:r>
        <w:rPr>
          <w:rStyle w:val="26"/>
          <w:rFonts w:hint="eastAsia" w:ascii="宋体" w:hAnsi="宋体" w:eastAsia="宋体" w:cs="宋体"/>
          <w:color w:val="auto"/>
          <w:sz w:val="21"/>
          <w:szCs w:val="21"/>
          <w:highlight w:val="none"/>
        </w:rPr>
        <w:t>https://www.crcrfsp.com/</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，客服电话：400-009-0001）。</w:t>
      </w:r>
      <w:r>
        <w:rPr>
          <w:rFonts w:hAnsi="宋体"/>
          <w:b/>
          <w:color w:val="auto"/>
          <w:highlight w:val="none"/>
        </w:rPr>
        <w:br w:type="page"/>
      </w:r>
    </w:p>
    <w:p w14:paraId="769588A4">
      <w:pPr>
        <w:numPr>
          <w:ilvl w:val="0"/>
          <w:numId w:val="4"/>
        </w:numPr>
        <w:shd w:val="clear" w:color="auto" w:fill="FFFFFF"/>
        <w:spacing w:line="600" w:lineRule="exact"/>
        <w:ind w:firstLine="723" w:firstLineChars="200"/>
        <w:jc w:val="center"/>
        <w:outlineLvl w:val="0"/>
        <w:rPr>
          <w:rFonts w:hint="eastAsia" w:ascii="宋体" w:hAnsi="宋体" w:eastAsia="宋体" w:cs="宋体"/>
          <w:b/>
          <w:bCs/>
          <w:color w:val="auto"/>
          <w:sz w:val="36"/>
          <w:szCs w:val="36"/>
          <w:highlight w:val="none"/>
        </w:rPr>
      </w:pPr>
      <w:bookmarkStart w:id="70" w:name="_Toc12510"/>
      <w:bookmarkStart w:id="71" w:name="OLE_LINK31"/>
      <w:r>
        <w:rPr>
          <w:rFonts w:hint="eastAsia" w:ascii="宋体" w:hAnsi="宋体" w:eastAsia="宋体" w:cs="宋体"/>
          <w:b/>
          <w:bCs/>
          <w:color w:val="auto"/>
          <w:sz w:val="36"/>
          <w:szCs w:val="36"/>
          <w:highlight w:val="none"/>
        </w:rPr>
        <w:t>项目需求和说明</w:t>
      </w:r>
      <w:bookmarkEnd w:id="70"/>
    </w:p>
    <w:bookmarkEnd w:id="71"/>
    <w:tbl>
      <w:tblPr>
        <w:tblStyle w:val="2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6670"/>
      </w:tblGrid>
      <w:tr w14:paraId="1F19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vAlign w:val="center"/>
          </w:tcPr>
          <w:p w14:paraId="27851EBB">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bookmarkStart w:id="72" w:name="_Toc424307753"/>
            <w:r>
              <w:rPr>
                <w:rFonts w:hint="eastAsia" w:ascii="宋体" w:hAnsi="宋体" w:eastAsia="宋体" w:cs="宋体"/>
                <w:color w:val="auto"/>
                <w:szCs w:val="21"/>
                <w:highlight w:val="none"/>
              </w:rPr>
              <w:t>工程名称</w:t>
            </w:r>
          </w:p>
        </w:tc>
        <w:tc>
          <w:tcPr>
            <w:tcW w:w="6670" w:type="dxa"/>
            <w:vAlign w:val="center"/>
          </w:tcPr>
          <w:p w14:paraId="4DDCB1DE">
            <w:pPr>
              <w:keepNext w:val="0"/>
              <w:keepLines w:val="0"/>
              <w:pageBreakBefore w:val="0"/>
              <w:widowControl w:val="0"/>
              <w:shd w:val="clear" w:color="auto" w:fill="FFFFFF"/>
              <w:kinsoku/>
              <w:wordWrap/>
              <w:overflowPunct/>
              <w:topLinePunct w:val="0"/>
              <w:autoSpaceDE/>
              <w:autoSpaceDN/>
              <w:bidi w:val="0"/>
              <w:adjustRightInd/>
              <w:snapToGrid/>
              <w:spacing w:line="390" w:lineRule="exact"/>
              <w:textAlignment w:val="auto"/>
              <w:rPr>
                <w:rFonts w:hint="eastAsia" w:ascii="宋体" w:hAnsi="宋体" w:eastAsia="宋体" w:cs="宋体"/>
                <w:bCs/>
                <w:color w:val="auto"/>
                <w:szCs w:val="21"/>
                <w:highlight w:val="none"/>
              </w:rPr>
            </w:pPr>
            <w:r>
              <w:rPr>
                <w:rFonts w:hint="eastAsia" w:ascii="宋体" w:hAnsi="宋体" w:cs="宋体"/>
                <w:color w:val="auto"/>
                <w:highlight w:val="none"/>
                <w:lang w:eastAsia="zh-CN"/>
              </w:rPr>
              <w:t>企沙人民法庭修缮改造工程</w:t>
            </w:r>
          </w:p>
        </w:tc>
      </w:tr>
      <w:tr w14:paraId="6155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vAlign w:val="center"/>
          </w:tcPr>
          <w:p w14:paraId="41EC3260">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6670" w:type="dxa"/>
            <w:vAlign w:val="center"/>
          </w:tcPr>
          <w:p w14:paraId="14897907">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left"/>
              <w:textAlignment w:val="auto"/>
              <w:rPr>
                <w:rFonts w:hint="default" w:ascii="宋体" w:hAnsi="宋体" w:eastAsia="宋体" w:cs="宋体"/>
                <w:color w:val="auto"/>
                <w:szCs w:val="21"/>
                <w:highlight w:val="none"/>
                <w:lang w:val="en-US"/>
              </w:rPr>
            </w:pPr>
            <w:r>
              <w:rPr>
                <w:rFonts w:hint="eastAsia" w:ascii="宋体" w:hAnsi="宋体" w:cs="宋体"/>
                <w:color w:val="auto"/>
                <w:highlight w:val="none"/>
                <w:lang w:val="en-US" w:eastAsia="zh-CN"/>
              </w:rPr>
              <w:t>防城港市港口区人民法院企沙人民法庭</w:t>
            </w:r>
          </w:p>
        </w:tc>
      </w:tr>
      <w:tr w14:paraId="523B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402" w:type="dxa"/>
            <w:vAlign w:val="center"/>
          </w:tcPr>
          <w:p w14:paraId="26094FAD">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建设内容</w:t>
            </w:r>
          </w:p>
        </w:tc>
        <w:tc>
          <w:tcPr>
            <w:tcW w:w="6670" w:type="dxa"/>
            <w:vAlign w:val="center"/>
          </w:tcPr>
          <w:p w14:paraId="5BFD7AE0">
            <w:pPr>
              <w:keepNext w:val="0"/>
              <w:keepLines w:val="0"/>
              <w:pageBreakBefore w:val="0"/>
              <w:widowControl w:val="0"/>
              <w:kinsoku/>
              <w:wordWrap/>
              <w:overflowPunct/>
              <w:topLinePunct w:val="0"/>
              <w:autoSpaceDE/>
              <w:autoSpaceDN/>
              <w:bidi w:val="0"/>
              <w:adjustRightInd/>
              <w:snapToGrid/>
              <w:spacing w:line="350" w:lineRule="exact"/>
              <w:ind w:firstLine="420" w:firstLineChars="200"/>
              <w:jc w:val="left"/>
              <w:textAlignment w:val="auto"/>
              <w:rPr>
                <w:rFonts w:hint="default" w:ascii="宋体" w:hAnsi="宋体" w:eastAsia="宋体" w:cs="宋体"/>
                <w:color w:val="auto"/>
                <w:szCs w:val="21"/>
                <w:highlight w:val="none"/>
                <w:lang w:val="en-US"/>
              </w:rPr>
            </w:pPr>
            <w:r>
              <w:rPr>
                <w:rFonts w:hint="eastAsia" w:ascii="宋体" w:hAnsi="宋体" w:cs="宋体"/>
                <w:color w:val="auto"/>
                <w:sz w:val="21"/>
                <w:szCs w:val="21"/>
                <w:highlight w:val="none"/>
                <w:u w:val="none"/>
                <w:lang w:val="en-US" w:eastAsia="zh-CN"/>
              </w:rPr>
              <w:t>主要对外立面、一层室内装修、各层卫生间、楼顶防水、会议室及一层安检室建设等进行提升改造工作</w:t>
            </w:r>
            <w:r>
              <w:rPr>
                <w:rFonts w:hint="eastAsia" w:ascii="宋体" w:hAnsi="宋体" w:eastAsia="宋体" w:cs="宋体"/>
                <w:color w:val="auto"/>
                <w:sz w:val="21"/>
                <w:szCs w:val="21"/>
                <w:highlight w:val="none"/>
                <w:u w:val="none"/>
                <w:lang w:val="en-US" w:eastAsia="zh-CN"/>
              </w:rPr>
              <w:t>。详见施工图纸、工程量清单及相关说明。</w:t>
            </w:r>
          </w:p>
        </w:tc>
      </w:tr>
      <w:tr w14:paraId="15B4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vAlign w:val="center"/>
          </w:tcPr>
          <w:p w14:paraId="38896466">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工程预算（</w:t>
            </w:r>
            <w:r>
              <w:rPr>
                <w:rFonts w:hint="eastAsia" w:ascii="宋体" w:hAnsi="宋体" w:cs="宋体"/>
                <w:color w:val="auto"/>
                <w:szCs w:val="21"/>
                <w:highlight w:val="none"/>
                <w:lang w:val="en-US" w:eastAsia="zh-CN"/>
              </w:rPr>
              <w:t>招标控制价</w:t>
            </w:r>
            <w:r>
              <w:rPr>
                <w:rFonts w:hint="eastAsia" w:ascii="宋体" w:hAnsi="宋体" w:eastAsia="宋体" w:cs="宋体"/>
                <w:color w:val="auto"/>
                <w:szCs w:val="21"/>
                <w:highlight w:val="none"/>
              </w:rPr>
              <w:t>）</w:t>
            </w:r>
          </w:p>
        </w:tc>
        <w:tc>
          <w:tcPr>
            <w:tcW w:w="6670" w:type="dxa"/>
            <w:vAlign w:val="center"/>
          </w:tcPr>
          <w:p w14:paraId="30992A2B">
            <w:pPr>
              <w:keepNext w:val="0"/>
              <w:keepLines w:val="0"/>
              <w:pageBreakBefore w:val="0"/>
              <w:widowControl w:val="0"/>
              <w:shd w:val="clear" w:color="auto" w:fill="FFFFFF"/>
              <w:kinsoku/>
              <w:wordWrap/>
              <w:overflowPunct/>
              <w:topLinePunct w:val="0"/>
              <w:autoSpaceDE/>
              <w:autoSpaceDN/>
              <w:bidi w:val="0"/>
              <w:adjustRightInd/>
              <w:snapToGrid/>
              <w:spacing w:line="390" w:lineRule="exact"/>
              <w:ind w:left="210" w:leftChars="100" w:firstLine="211"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经</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人确认，本项目招标控制价</w:t>
            </w:r>
            <w:r>
              <w:rPr>
                <w:rFonts w:hint="eastAsia" w:ascii="宋体" w:hAnsi="宋体" w:eastAsia="宋体" w:cs="宋体"/>
                <w:b/>
                <w:bCs/>
                <w:color w:val="auto"/>
                <w:sz w:val="21"/>
                <w:szCs w:val="21"/>
                <w:highlight w:val="none"/>
                <w:lang w:val="en-US" w:eastAsia="zh-CN"/>
              </w:rPr>
              <w:t>为</w:t>
            </w:r>
            <w:r>
              <w:rPr>
                <w:rFonts w:hint="eastAsia" w:ascii="宋体" w:hAnsi="宋体" w:eastAsia="宋体" w:cs="宋体"/>
                <w:b/>
                <w:bCs/>
                <w:color w:val="auto"/>
                <w:sz w:val="21"/>
                <w:szCs w:val="21"/>
                <w:highlight w:val="none"/>
                <w:u w:val="single"/>
                <w:lang w:val="en-US" w:eastAsia="zh-CN"/>
              </w:rPr>
              <w:t>人民币</w:t>
            </w:r>
            <w:r>
              <w:rPr>
                <w:rFonts w:hint="eastAsia" w:ascii="宋体" w:hAnsi="宋体" w:cs="宋体"/>
                <w:b/>
                <w:bCs/>
                <w:color w:val="auto"/>
                <w:sz w:val="21"/>
                <w:szCs w:val="21"/>
                <w:highlight w:val="none"/>
                <w:u w:val="single"/>
                <w:lang w:val="en-US" w:eastAsia="zh-CN"/>
              </w:rPr>
              <w:t>捌拾玖万捌仟陆佰陆拾玖元伍角贰分</w:t>
            </w:r>
            <w:r>
              <w:rPr>
                <w:rFonts w:hint="eastAsia" w:ascii="宋体" w:hAnsi="宋体" w:eastAsia="宋体" w:cs="宋体"/>
                <w:b/>
                <w:bCs/>
                <w:color w:val="auto"/>
                <w:sz w:val="21"/>
                <w:szCs w:val="21"/>
                <w:highlight w:val="none"/>
                <w:u w:val="single"/>
                <w:lang w:val="en-US" w:eastAsia="zh-CN"/>
              </w:rPr>
              <w:t>（¥</w:t>
            </w:r>
            <w:r>
              <w:rPr>
                <w:rFonts w:hint="eastAsia" w:ascii="宋体" w:hAnsi="宋体" w:cs="宋体"/>
                <w:b/>
                <w:bCs/>
                <w:color w:val="auto"/>
                <w:sz w:val="21"/>
                <w:szCs w:val="21"/>
                <w:highlight w:val="none"/>
                <w:u w:val="single"/>
                <w:lang w:val="en-US" w:eastAsia="zh-CN"/>
              </w:rPr>
              <w:t>898669.52</w:t>
            </w:r>
            <w:r>
              <w:rPr>
                <w:rFonts w:hint="eastAsia" w:ascii="宋体" w:hAnsi="宋体" w:eastAsia="宋体" w:cs="宋体"/>
                <w:b/>
                <w:bCs/>
                <w:color w:val="auto"/>
                <w:sz w:val="21"/>
                <w:szCs w:val="21"/>
                <w:highlight w:val="none"/>
                <w:u w:val="single"/>
                <w:lang w:val="en-US" w:eastAsia="zh-CN"/>
              </w:rPr>
              <w:t>元）</w:t>
            </w:r>
            <w:r>
              <w:rPr>
                <w:rFonts w:hint="eastAsia" w:ascii="宋体" w:hAnsi="宋体" w:cs="宋体"/>
                <w:b/>
                <w:bCs/>
                <w:color w:val="auto"/>
                <w:sz w:val="21"/>
                <w:szCs w:val="21"/>
                <w:highlight w:val="none"/>
                <w:u w:val="none"/>
                <w:lang w:val="en-US" w:eastAsia="zh-CN"/>
              </w:rPr>
              <w:t>，</w:t>
            </w:r>
            <w:r>
              <w:rPr>
                <w:rFonts w:hint="eastAsia" w:ascii="宋体" w:hAnsi="宋体" w:eastAsia="宋体" w:cs="宋体"/>
                <w:b/>
                <w:bCs/>
                <w:color w:val="auto"/>
                <w:sz w:val="21"/>
                <w:szCs w:val="21"/>
                <w:highlight w:val="none"/>
                <w:lang w:eastAsia="zh-CN"/>
              </w:rPr>
              <w:t>供应商的磋商报价不能超出此控制价，否则磋商无效。</w:t>
            </w:r>
          </w:p>
        </w:tc>
      </w:tr>
      <w:tr w14:paraId="22DB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vAlign w:val="center"/>
          </w:tcPr>
          <w:p w14:paraId="31227D74">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6670" w:type="dxa"/>
            <w:vAlign w:val="center"/>
          </w:tcPr>
          <w:p w14:paraId="79BA2D73">
            <w:pPr>
              <w:keepNext w:val="0"/>
              <w:keepLines w:val="0"/>
              <w:pageBreakBefore w:val="0"/>
              <w:widowControl w:val="0"/>
              <w:shd w:val="clear" w:color="auto" w:fill="FFFFFF"/>
              <w:kinsoku/>
              <w:wordWrap/>
              <w:overflowPunct/>
              <w:topLinePunct w:val="0"/>
              <w:autoSpaceDE/>
              <w:autoSpaceDN/>
              <w:bidi w:val="0"/>
              <w:adjustRightInd/>
              <w:snapToGrid/>
              <w:spacing w:line="390" w:lineRule="exac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符合现行国家及相关行业质量验收合格标准。</w:t>
            </w:r>
          </w:p>
        </w:tc>
      </w:tr>
      <w:tr w14:paraId="4B91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402" w:type="dxa"/>
            <w:vAlign w:val="center"/>
          </w:tcPr>
          <w:p w14:paraId="247D8E26">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范围</w:t>
            </w:r>
          </w:p>
        </w:tc>
        <w:tc>
          <w:tcPr>
            <w:tcW w:w="6670" w:type="dxa"/>
            <w:vAlign w:val="center"/>
          </w:tcPr>
          <w:p w14:paraId="1083536A">
            <w:pPr>
              <w:keepNext w:val="0"/>
              <w:keepLines w:val="0"/>
              <w:pageBreakBefore w:val="0"/>
              <w:widowControl w:val="0"/>
              <w:shd w:val="clear" w:color="auto" w:fill="FFFFFF"/>
              <w:kinsoku/>
              <w:wordWrap/>
              <w:overflowPunct/>
              <w:topLinePunct w:val="0"/>
              <w:autoSpaceDE/>
              <w:autoSpaceDN/>
              <w:bidi w:val="0"/>
              <w:adjustRightInd/>
              <w:snapToGrid/>
              <w:spacing w:line="390" w:lineRule="exact"/>
              <w:textAlignment w:val="auto"/>
              <w:rPr>
                <w:rFonts w:hint="eastAsia" w:ascii="宋体" w:hAnsi="宋体" w:eastAsia="宋体" w:cs="宋体"/>
                <w:color w:val="auto"/>
                <w:sz w:val="21"/>
                <w:szCs w:val="21"/>
                <w:highlight w:val="none"/>
                <w:u w:val="none" w:color="auto"/>
                <w:lang w:eastAsia="zh-CN"/>
              </w:rPr>
            </w:pPr>
            <w:r>
              <w:rPr>
                <w:rFonts w:hint="eastAsia" w:ascii="宋体" w:hAnsi="宋体" w:cs="宋体"/>
                <w:color w:val="auto"/>
                <w:sz w:val="21"/>
                <w:szCs w:val="21"/>
                <w:highlight w:val="none"/>
                <w:u w:val="none"/>
                <w:lang w:val="en-US" w:eastAsia="zh-CN"/>
              </w:rPr>
              <w:t>主要对外立面、一层室内装修、各层卫生间、楼顶防水、会议室及一层安检室建设进行提升改造工作</w:t>
            </w:r>
            <w:r>
              <w:rPr>
                <w:rFonts w:hint="eastAsia" w:ascii="宋体" w:hAnsi="宋体" w:eastAsia="宋体" w:cs="宋体"/>
                <w:color w:val="auto"/>
                <w:sz w:val="21"/>
                <w:szCs w:val="21"/>
                <w:highlight w:val="none"/>
                <w:u w:val="none"/>
                <w:lang w:val="en-US" w:eastAsia="zh-CN"/>
              </w:rPr>
              <w:t>。详见施工图纸、工程量清单及相关说明。</w:t>
            </w:r>
          </w:p>
        </w:tc>
      </w:tr>
      <w:tr w14:paraId="05DF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vAlign w:val="center"/>
          </w:tcPr>
          <w:p w14:paraId="588D62A3">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工期要求</w:t>
            </w:r>
          </w:p>
        </w:tc>
        <w:tc>
          <w:tcPr>
            <w:tcW w:w="6670" w:type="dxa"/>
            <w:vAlign w:val="center"/>
          </w:tcPr>
          <w:p w14:paraId="7982DB6B">
            <w:pPr>
              <w:keepNext w:val="0"/>
              <w:keepLines w:val="0"/>
              <w:pageBreakBefore w:val="0"/>
              <w:widowControl w:val="0"/>
              <w:shd w:val="clear" w:color="auto" w:fill="FFFFFF"/>
              <w:kinsoku/>
              <w:wordWrap/>
              <w:overflowPunct/>
              <w:topLinePunct w:val="0"/>
              <w:autoSpaceDE/>
              <w:autoSpaceDN/>
              <w:bidi w:val="0"/>
              <w:adjustRightInd/>
              <w:snapToGrid/>
              <w:spacing w:line="390" w:lineRule="exact"/>
              <w:textAlignment w:val="auto"/>
              <w:rPr>
                <w:rFonts w:hint="eastAsia" w:ascii="宋体" w:hAnsi="宋体" w:eastAsia="宋体" w:cs="宋体"/>
                <w:color w:val="auto"/>
                <w:szCs w:val="21"/>
                <w:highlight w:val="none"/>
                <w:u w:val="single"/>
              </w:rPr>
            </w:pPr>
            <w:r>
              <w:rPr>
                <w:rFonts w:hint="eastAsia" w:ascii="宋体" w:hAnsi="宋体" w:cs="宋体"/>
                <w:b/>
                <w:bCs/>
                <w:color w:val="auto"/>
                <w:highlight w:val="none"/>
                <w:u w:val="single"/>
                <w:lang w:val="en-US" w:eastAsia="zh-CN"/>
              </w:rPr>
              <w:t>92</w:t>
            </w:r>
            <w:r>
              <w:rPr>
                <w:rFonts w:hint="eastAsia" w:ascii="宋体" w:hAnsi="宋体" w:eastAsia="宋体" w:cs="宋体"/>
                <w:b/>
                <w:bCs/>
                <w:color w:val="auto"/>
                <w:highlight w:val="none"/>
                <w:lang w:val="en-US" w:eastAsia="zh-CN"/>
              </w:rPr>
              <w:t>日历天</w:t>
            </w:r>
          </w:p>
        </w:tc>
      </w:tr>
      <w:tr w14:paraId="3239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vAlign w:val="center"/>
          </w:tcPr>
          <w:p w14:paraId="2FF504A3">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人员要求</w:t>
            </w:r>
          </w:p>
        </w:tc>
        <w:tc>
          <w:tcPr>
            <w:tcW w:w="6670" w:type="dxa"/>
            <w:vAlign w:val="center"/>
          </w:tcPr>
          <w:p w14:paraId="2710C7DB">
            <w:pPr>
              <w:spacing w:after="0" w:line="440" w:lineRule="exact"/>
              <w:rPr>
                <w:rFonts w:hint="eastAsia" w:ascii="宋体" w:hAnsi="宋体" w:cs="宋体"/>
                <w:b/>
                <w:bCs/>
                <w:color w:val="auto"/>
                <w:highlight w:val="none"/>
                <w:u w:val="single"/>
                <w:lang w:val="en-US" w:eastAsia="zh-CN"/>
              </w:rPr>
            </w:pPr>
            <w:r>
              <w:rPr>
                <w:rFonts w:hint="eastAsia" w:ascii="宋体" w:hAnsi="宋体" w:eastAsia="宋体" w:cs="宋体"/>
                <w:color w:val="auto"/>
                <w:szCs w:val="21"/>
                <w:highlight w:val="none"/>
              </w:rPr>
              <w:t>本</w:t>
            </w:r>
            <w:r>
              <w:rPr>
                <w:rFonts w:hint="eastAsia" w:ascii="宋体" w:hAnsi="宋体" w:eastAsia="宋体" w:cs="宋体"/>
                <w:color w:val="auto"/>
                <w:highlight w:val="none"/>
              </w:rPr>
              <w:t>工程主要技术管理人员配备要求为：项目经理1人、技术负责人1人、施工员至少1人、专职安全员至少1人，质量员至少1人，各岗位均要求持证上岗（其中施工员、质量员、材料员应具有有效的相应施工现场专业人员职业培训合格证书，专职安全生产管理人员需有有效建筑施工企业三类人员C证。），施工过程中未经采购人同意不允许随意更换施工管理机构人员，如需更换需提前7个工作日以书面形式告知采购人。响应文件提供职业培训合格证书、C类证书复印件或扫描件。</w:t>
            </w:r>
          </w:p>
        </w:tc>
      </w:tr>
      <w:tr w14:paraId="53D0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vAlign w:val="center"/>
          </w:tcPr>
          <w:p w14:paraId="0B867BBC">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cs="宋体"/>
                <w:color w:val="auto"/>
                <w:highlight w:val="none"/>
              </w:rPr>
              <w:t>采购标的对应的中小企业划分标准所属行业名称</w:t>
            </w:r>
          </w:p>
        </w:tc>
        <w:tc>
          <w:tcPr>
            <w:tcW w:w="6670" w:type="dxa"/>
            <w:vAlign w:val="center"/>
          </w:tcPr>
          <w:p w14:paraId="773B2BF2">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建筑业</w:t>
            </w:r>
          </w:p>
        </w:tc>
      </w:tr>
      <w:tr w14:paraId="666F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vAlign w:val="center"/>
          </w:tcPr>
          <w:p w14:paraId="7C0786F9">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付款方式及其他要求</w:t>
            </w:r>
          </w:p>
        </w:tc>
        <w:tc>
          <w:tcPr>
            <w:tcW w:w="6670" w:type="dxa"/>
            <w:vAlign w:val="center"/>
          </w:tcPr>
          <w:p w14:paraId="743B3D1B">
            <w:pPr>
              <w:keepNext w:val="0"/>
              <w:keepLines w:val="0"/>
              <w:pageBreakBefore w:val="0"/>
              <w:widowControl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合同总价（扣除暂列金额）的30%作为预付款</w:t>
            </w:r>
            <w:r>
              <w:rPr>
                <w:rFonts w:hint="eastAsia" w:ascii="宋体" w:hAnsi="宋体" w:eastAsia="宋体" w:cs="宋体"/>
                <w:color w:val="auto"/>
                <w:szCs w:val="21"/>
                <w:highlight w:val="none"/>
                <w:lang w:val="en-US" w:eastAsia="zh-CN"/>
              </w:rPr>
              <w:t>；</w:t>
            </w:r>
          </w:p>
          <w:p w14:paraId="2514022E">
            <w:pPr>
              <w:keepNext w:val="0"/>
              <w:keepLines w:val="0"/>
              <w:pageBreakBefore w:val="0"/>
              <w:widowControl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2.完成总工程量50％支付至合同总价的50%；</w:t>
            </w:r>
          </w:p>
          <w:p w14:paraId="0B1DD7CB">
            <w:pPr>
              <w:keepNext w:val="0"/>
              <w:keepLines w:val="0"/>
              <w:pageBreakBefore w:val="0"/>
              <w:widowControl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3.工程竣工完成支付至合同总价的80%，</w:t>
            </w:r>
          </w:p>
          <w:p w14:paraId="1C599CA4">
            <w:pPr>
              <w:keepNext w:val="0"/>
              <w:keepLines w:val="0"/>
              <w:pageBreakBefore w:val="0"/>
              <w:widowControl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4.工程结算评审后支付至合同总价的97％，合同总价的3%作为质量保证金，质保金在验收完工后</w:t>
            </w:r>
            <w:r>
              <w:rPr>
                <w:rFonts w:hint="eastAsia" w:ascii="宋体" w:hAnsi="宋体" w:cs="宋体"/>
                <w:color w:val="auto"/>
                <w:szCs w:val="21"/>
                <w:highlight w:val="none"/>
                <w:lang w:val="en-US" w:eastAsia="zh-CN"/>
              </w:rPr>
              <w:t>两</w:t>
            </w:r>
            <w:r>
              <w:rPr>
                <w:rFonts w:hint="eastAsia" w:ascii="宋体" w:hAnsi="宋体" w:eastAsia="宋体" w:cs="宋体"/>
                <w:color w:val="auto"/>
                <w:szCs w:val="21"/>
                <w:highlight w:val="none"/>
                <w:lang w:val="en-US" w:eastAsia="zh-CN"/>
              </w:rPr>
              <w:t>年内付清。合同外工程款经结算评审后一并支付。</w:t>
            </w:r>
          </w:p>
          <w:p w14:paraId="0640625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符合付款条件，承包人提供材料给发包人，发包人审核符合付款条件的，发包人15日内向财政部门提交请款材料，财政拨款后15个工作日内支付给承包人。</w:t>
            </w:r>
          </w:p>
        </w:tc>
      </w:tr>
      <w:tr w14:paraId="3038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vAlign w:val="center"/>
          </w:tcPr>
          <w:p w14:paraId="687CEAB3">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保修要求</w:t>
            </w:r>
          </w:p>
        </w:tc>
        <w:tc>
          <w:tcPr>
            <w:tcW w:w="6670" w:type="dxa"/>
            <w:vAlign w:val="center"/>
          </w:tcPr>
          <w:p w14:paraId="37E915B8">
            <w:pPr>
              <w:keepNext w:val="0"/>
              <w:keepLines w:val="0"/>
              <w:pageBreakBefore w:val="0"/>
              <w:widowControl w:val="0"/>
              <w:shd w:val="clear" w:color="auto" w:fill="FFFFFF"/>
              <w:kinsoku/>
              <w:wordWrap/>
              <w:overflowPunct/>
              <w:topLinePunct w:val="0"/>
              <w:autoSpaceDE/>
              <w:autoSpaceDN/>
              <w:bidi w:val="0"/>
              <w:adjustRightInd/>
              <w:snapToGrid/>
              <w:spacing w:line="39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按照有关法律规定和合同约定，承担工程质量保修责任</w:t>
            </w:r>
            <w:r>
              <w:rPr>
                <w:rFonts w:hint="eastAsia" w:ascii="宋体" w:hAnsi="宋体" w:eastAsia="宋体" w:cs="宋体"/>
                <w:color w:val="auto"/>
                <w:szCs w:val="21"/>
                <w:highlight w:val="none"/>
                <w:lang w:eastAsia="zh-CN"/>
              </w:rPr>
              <w:t>。</w:t>
            </w:r>
          </w:p>
        </w:tc>
      </w:tr>
      <w:tr w14:paraId="5C0A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vAlign w:val="center"/>
          </w:tcPr>
          <w:p w14:paraId="6B1F2E4E">
            <w:pPr>
              <w:keepNext w:val="0"/>
              <w:keepLines w:val="0"/>
              <w:pageBreakBefore w:val="0"/>
              <w:widowControl w:val="0"/>
              <w:shd w:val="clear" w:color="auto" w:fill="FFFFFF"/>
              <w:kinsoku/>
              <w:wordWrap/>
              <w:overflowPunct/>
              <w:topLinePunct w:val="0"/>
              <w:autoSpaceDE/>
              <w:autoSpaceDN/>
              <w:bidi w:val="0"/>
              <w:adjustRightInd/>
              <w:snapToGrid/>
              <w:spacing w:line="39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工程量清单</w:t>
            </w:r>
          </w:p>
        </w:tc>
        <w:tc>
          <w:tcPr>
            <w:tcW w:w="6670" w:type="dxa"/>
            <w:vAlign w:val="center"/>
          </w:tcPr>
          <w:p w14:paraId="18FA5171">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（另册）</w:t>
            </w:r>
          </w:p>
        </w:tc>
      </w:tr>
      <w:tr w14:paraId="798D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vAlign w:val="center"/>
          </w:tcPr>
          <w:p w14:paraId="4CE9CC5B">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预算控制价计算参考依据</w:t>
            </w:r>
          </w:p>
        </w:tc>
        <w:tc>
          <w:tcPr>
            <w:tcW w:w="6670" w:type="dxa"/>
            <w:vAlign w:val="center"/>
          </w:tcPr>
          <w:p w14:paraId="32885651">
            <w:pPr>
              <w:keepNext w:val="0"/>
              <w:keepLines w:val="0"/>
              <w:pageBreakBefore w:val="0"/>
              <w:widowControl w:val="0"/>
              <w:shd w:val="clear" w:color="auto" w:fill="FFFFFF"/>
              <w:kinsoku/>
              <w:wordWrap/>
              <w:overflowPunct/>
              <w:topLinePunct w:val="0"/>
              <w:autoSpaceDE/>
              <w:autoSpaceDN/>
              <w:bidi w:val="0"/>
              <w:adjustRightInd/>
              <w:snapToGrid/>
              <w:spacing w:line="39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详见控制价文件</w:t>
            </w:r>
          </w:p>
        </w:tc>
      </w:tr>
      <w:tr w14:paraId="5F77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vAlign w:val="center"/>
          </w:tcPr>
          <w:p w14:paraId="396C3E98">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技术规范</w:t>
            </w:r>
          </w:p>
        </w:tc>
        <w:tc>
          <w:tcPr>
            <w:tcW w:w="6670" w:type="dxa"/>
            <w:vAlign w:val="center"/>
          </w:tcPr>
          <w:p w14:paraId="5C09A335">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工程量清单</w:t>
            </w:r>
            <w:r>
              <w:rPr>
                <w:rFonts w:hint="eastAsia" w:ascii="宋体" w:hAnsi="宋体" w:eastAsia="宋体" w:cs="宋体"/>
                <w:color w:val="auto"/>
                <w:szCs w:val="21"/>
                <w:highlight w:val="none"/>
              </w:rPr>
              <w:t>的要求进行施工，同时也要严格执行国家现行行业验收标准、专业相关的现行标准和技术规范。</w:t>
            </w:r>
          </w:p>
        </w:tc>
      </w:tr>
      <w:tr w14:paraId="302D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402" w:type="dxa"/>
            <w:vAlign w:val="center"/>
          </w:tcPr>
          <w:p w14:paraId="51950C5C">
            <w:pPr>
              <w:keepNext w:val="0"/>
              <w:keepLines w:val="0"/>
              <w:pageBreakBefore w:val="0"/>
              <w:widowControl w:val="0"/>
              <w:shd w:val="clear" w:color="auto" w:fill="FFFFFF"/>
              <w:kinsoku/>
              <w:wordWrap/>
              <w:overflowPunct/>
              <w:topLinePunct w:val="0"/>
              <w:autoSpaceDE/>
              <w:autoSpaceDN/>
              <w:bidi w:val="0"/>
              <w:adjustRightInd/>
              <w:snapToGrid/>
              <w:spacing w:line="390" w:lineRule="exact"/>
              <w:jc w:val="center"/>
              <w:textAlignment w:val="auto"/>
              <w:rPr>
                <w:rFonts w:hint="eastAsia" w:ascii="宋体" w:hAnsi="宋体" w:eastAsia="宋体" w:cs="宋体"/>
                <w:color w:val="auto"/>
                <w:szCs w:val="21"/>
                <w:highlight w:val="none"/>
              </w:rPr>
            </w:pPr>
            <w:r>
              <w:rPr>
                <w:rFonts w:hint="eastAsia" w:cs="黑体"/>
                <w:color w:val="auto"/>
                <w:highlight w:val="none"/>
              </w:rPr>
              <w:t>技术标准和要求</w:t>
            </w:r>
          </w:p>
        </w:tc>
        <w:tc>
          <w:tcPr>
            <w:tcW w:w="6670" w:type="dxa"/>
            <w:vAlign w:val="center"/>
          </w:tcPr>
          <w:p w14:paraId="3495CF83">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必须自行为其</w:t>
            </w:r>
            <w:r>
              <w:rPr>
                <w:rFonts w:hint="eastAsia" w:ascii="宋体" w:hAnsi="宋体" w:eastAsia="宋体" w:cs="宋体"/>
                <w:color w:val="auto"/>
                <w:szCs w:val="21"/>
                <w:highlight w:val="none"/>
                <w:lang w:val="en-US" w:eastAsia="zh-CN"/>
              </w:rPr>
              <w:t>竞</w:t>
            </w:r>
            <w:r>
              <w:rPr>
                <w:rFonts w:hint="eastAsia" w:ascii="宋体" w:hAnsi="宋体" w:eastAsia="宋体" w:cs="宋体"/>
                <w:color w:val="auto"/>
                <w:szCs w:val="21"/>
                <w:highlight w:val="none"/>
              </w:rPr>
              <w:t>标产品侵权其他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或专利人的专利成果承担相应法律责任；同时，具有产品专利的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应在其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文件中提供与其自有产品专利相关的有效证明材料，否则，不能就其产品的专利在本项目</w:t>
            </w:r>
            <w:r>
              <w:rPr>
                <w:rFonts w:hint="eastAsia" w:ascii="宋体" w:hAnsi="宋体" w:eastAsia="宋体" w:cs="宋体"/>
                <w:color w:val="auto"/>
                <w:szCs w:val="21"/>
                <w:highlight w:val="none"/>
                <w:lang w:val="en-US" w:eastAsia="zh-CN"/>
              </w:rPr>
              <w:t>竞</w:t>
            </w:r>
            <w:r>
              <w:rPr>
                <w:rFonts w:hint="eastAsia" w:ascii="宋体" w:hAnsi="宋体" w:eastAsia="宋体" w:cs="宋体"/>
                <w:color w:val="auto"/>
                <w:szCs w:val="21"/>
                <w:highlight w:val="none"/>
              </w:rPr>
              <w:t>标过程中被侵权问题提出异议</w:t>
            </w:r>
            <w:r>
              <w:rPr>
                <w:rFonts w:hint="eastAsia" w:ascii="宋体" w:hAnsi="宋体" w:eastAsia="宋体" w:cs="宋体"/>
                <w:color w:val="auto"/>
                <w:szCs w:val="21"/>
                <w:highlight w:val="none"/>
                <w:lang w:eastAsia="zh-CN"/>
              </w:rPr>
              <w:t>；</w:t>
            </w:r>
          </w:p>
          <w:p w14:paraId="07FE583F">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投入本项目</w:t>
            </w:r>
            <w:r>
              <w:rPr>
                <w:rFonts w:hint="eastAsia" w:ascii="宋体" w:hAnsi="宋体" w:eastAsia="宋体" w:cs="宋体"/>
                <w:color w:val="auto"/>
                <w:szCs w:val="21"/>
                <w:highlight w:val="none"/>
                <w:lang w:val="en-US" w:eastAsia="zh-CN"/>
              </w:rPr>
              <w:t>与工程有关的</w:t>
            </w:r>
            <w:r>
              <w:rPr>
                <w:rFonts w:hint="eastAsia" w:ascii="宋体" w:hAnsi="宋体" w:eastAsia="宋体" w:cs="宋体"/>
                <w:color w:val="auto"/>
                <w:szCs w:val="21"/>
                <w:highlight w:val="none"/>
              </w:rPr>
              <w:t>设备</w:t>
            </w:r>
            <w:r>
              <w:rPr>
                <w:rFonts w:hint="eastAsia" w:ascii="宋体" w:hAnsi="宋体" w:eastAsia="宋体" w:cs="宋体"/>
                <w:color w:val="auto"/>
                <w:szCs w:val="21"/>
                <w:highlight w:val="none"/>
                <w:lang w:val="en-US" w:eastAsia="zh-CN"/>
              </w:rPr>
              <w:t>及服务</w:t>
            </w:r>
            <w:r>
              <w:rPr>
                <w:rFonts w:hint="eastAsia" w:ascii="宋体" w:hAnsi="宋体" w:eastAsia="宋体" w:cs="宋体"/>
                <w:color w:val="auto"/>
                <w:szCs w:val="21"/>
                <w:highlight w:val="none"/>
              </w:rPr>
              <w:t>需符合设计文件、国家标准，且具有质量证明文件，选材要遵循环保性、耐用性、安装或使用的便捷性，应选用</w:t>
            </w:r>
            <w:bookmarkStart w:id="73" w:name="OLE_LINK22"/>
            <w:r>
              <w:rPr>
                <w:rFonts w:hint="eastAsia" w:ascii="宋体" w:hAnsi="宋体" w:eastAsia="宋体" w:cs="宋体"/>
                <w:color w:val="auto"/>
                <w:szCs w:val="21"/>
                <w:highlight w:val="none"/>
              </w:rPr>
              <w:t>整体性价比强</w:t>
            </w:r>
            <w:bookmarkEnd w:id="73"/>
            <w:r>
              <w:rPr>
                <w:rFonts w:hint="eastAsia" w:ascii="宋体" w:hAnsi="宋体" w:eastAsia="宋体" w:cs="宋体"/>
                <w:color w:val="auto"/>
                <w:szCs w:val="21"/>
                <w:highlight w:val="none"/>
              </w:rPr>
              <w:t>的材料</w:t>
            </w:r>
            <w:r>
              <w:rPr>
                <w:rFonts w:hint="eastAsia" w:ascii="宋体" w:hAnsi="宋体" w:eastAsia="宋体" w:cs="宋体"/>
                <w:color w:val="auto"/>
                <w:szCs w:val="21"/>
                <w:highlight w:val="none"/>
                <w:lang w:eastAsia="zh-CN"/>
              </w:rPr>
              <w:t>；</w:t>
            </w:r>
          </w:p>
          <w:p w14:paraId="6D1FE7BF">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w:t>
            </w:r>
            <w:r>
              <w:rPr>
                <w:rFonts w:hint="default"/>
                <w:b/>
                <w:bCs/>
                <w:color w:val="auto"/>
                <w:highlight w:val="none"/>
                <w:lang w:val="en-US" w:eastAsia="zh-CN"/>
              </w:rPr>
              <w:t>为防止供应商出现严重不平衡报价，本工程对所有工程量清单实行最高限价，即供应商响应文件中相应项目的单价不能超出经采购人或采购代理机构公布的招标控制价的相应项目单价。</w:t>
            </w:r>
            <w:r>
              <w:rPr>
                <w:rFonts w:hint="eastAsia" w:ascii="宋体" w:hAnsi="宋体" w:eastAsia="宋体" w:cs="宋体"/>
                <w:b/>
                <w:bCs/>
                <w:color w:val="auto"/>
                <w:szCs w:val="21"/>
                <w:highlight w:val="none"/>
                <w:lang w:val="en-US" w:eastAsia="zh-CN"/>
              </w:rPr>
              <w:t>供应商必须就所竞标项目的全部内容作完整唯一报价，漏项报价的或有选择的或有条件的报价，或总价报价或单价报价超出本项目采购文件规定的对应最高限价的，其磋商将视为无效。</w:t>
            </w:r>
          </w:p>
          <w:p w14:paraId="641F62BC">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4.安全生产责任保险费按分部分项工程费及措施项目费（含单价及总价措施项目费）为计算基数乘以0.2%计入暂估价，工程结算时，由发承包双方根据工程实际情况确认的安全生产责任保险费计入工程造价.</w:t>
            </w:r>
          </w:p>
          <w:p w14:paraId="4A709CFE">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5.投标人在编制投标报价文件时，安全生产责任保险应按招标工程量清单中给出的安全生产责任保险暂估价的具体金额填写，不得调整，否则响应文件作无效响应处理。</w:t>
            </w:r>
          </w:p>
        </w:tc>
      </w:tr>
    </w:tbl>
    <w:p w14:paraId="14A13054">
      <w:pPr>
        <w:pStyle w:val="3"/>
        <w:pageBreakBefore w:val="0"/>
        <w:widowControl w:val="0"/>
        <w:kinsoku/>
        <w:wordWrap/>
        <w:overflowPunct/>
        <w:topLinePunct w:val="0"/>
        <w:autoSpaceDE/>
        <w:autoSpaceDN/>
        <w:bidi w:val="0"/>
        <w:adjustRightInd/>
        <w:snapToGrid/>
        <w:spacing w:before="0" w:after="0" w:line="240" w:lineRule="auto"/>
        <w:ind w:firstLine="0" w:firstLineChars="0"/>
        <w:jc w:val="both"/>
        <w:textAlignment w:val="auto"/>
        <w:rPr>
          <w:rFonts w:hint="eastAsia" w:ascii="宋体" w:hAnsi="宋体" w:cs="宋体"/>
          <w:b w:val="0"/>
          <w:color w:val="auto"/>
          <w:sz w:val="32"/>
          <w:szCs w:val="32"/>
          <w:highlight w:val="none"/>
          <w:lang w:val="en-US" w:eastAsia="zh-CN"/>
        </w:rPr>
      </w:pPr>
    </w:p>
    <w:p w14:paraId="26AD7D87">
      <w:pPr>
        <w:rPr>
          <w:rFonts w:hint="eastAsia"/>
          <w:color w:val="auto"/>
          <w:highlight w:val="none"/>
          <w:lang w:val="en-US" w:eastAsia="zh-CN"/>
        </w:rPr>
      </w:pPr>
    </w:p>
    <w:p w14:paraId="55222696">
      <w:pPr>
        <w:rPr>
          <w:rFonts w:hint="eastAsia"/>
          <w:color w:val="auto"/>
          <w:highlight w:val="none"/>
          <w:lang w:val="en-US" w:eastAsia="zh-CN"/>
        </w:rPr>
      </w:pPr>
    </w:p>
    <w:p w14:paraId="04AB5334">
      <w:pPr>
        <w:rPr>
          <w:rFonts w:hint="eastAsia"/>
          <w:color w:val="auto"/>
          <w:highlight w:val="none"/>
          <w:lang w:val="en-US" w:eastAsia="zh-CN"/>
        </w:rPr>
      </w:pPr>
    </w:p>
    <w:p w14:paraId="0AA68BFE">
      <w:pPr>
        <w:rPr>
          <w:rFonts w:hint="eastAsia"/>
          <w:color w:val="auto"/>
          <w:highlight w:val="none"/>
          <w:lang w:val="en-US" w:eastAsia="zh-CN"/>
        </w:rPr>
      </w:pPr>
    </w:p>
    <w:p w14:paraId="5826381C">
      <w:pPr>
        <w:rPr>
          <w:rFonts w:hint="eastAsia"/>
          <w:color w:val="auto"/>
          <w:highlight w:val="none"/>
          <w:lang w:val="en-US" w:eastAsia="zh-CN"/>
        </w:rPr>
      </w:pPr>
    </w:p>
    <w:p w14:paraId="0C777546">
      <w:pPr>
        <w:rPr>
          <w:rFonts w:hint="eastAsia"/>
          <w:color w:val="auto"/>
          <w:highlight w:val="none"/>
          <w:lang w:val="en-US" w:eastAsia="zh-CN"/>
        </w:rPr>
      </w:pPr>
    </w:p>
    <w:p w14:paraId="33FCE04A">
      <w:pPr>
        <w:rPr>
          <w:rFonts w:hint="eastAsia"/>
          <w:color w:val="auto"/>
          <w:highlight w:val="none"/>
          <w:lang w:val="en-US" w:eastAsia="zh-CN"/>
        </w:rPr>
      </w:pPr>
    </w:p>
    <w:p w14:paraId="209874BB">
      <w:pPr>
        <w:rPr>
          <w:rFonts w:hint="eastAsia"/>
          <w:color w:val="auto"/>
          <w:highlight w:val="none"/>
          <w:lang w:val="en-US" w:eastAsia="zh-CN"/>
        </w:rPr>
      </w:pPr>
    </w:p>
    <w:p w14:paraId="3A9D0B10">
      <w:pPr>
        <w:rPr>
          <w:rFonts w:hint="eastAsia"/>
          <w:color w:val="auto"/>
          <w:highlight w:val="none"/>
          <w:lang w:val="en-US" w:eastAsia="zh-CN"/>
        </w:rPr>
      </w:pPr>
    </w:p>
    <w:p w14:paraId="0571213F">
      <w:pPr>
        <w:rPr>
          <w:rFonts w:hint="eastAsia"/>
          <w:color w:val="auto"/>
          <w:highlight w:val="none"/>
          <w:lang w:val="en-US" w:eastAsia="zh-CN"/>
        </w:rPr>
      </w:pPr>
    </w:p>
    <w:p w14:paraId="51C18CAD">
      <w:pPr>
        <w:rPr>
          <w:rFonts w:hint="eastAsia"/>
          <w:color w:val="auto"/>
          <w:highlight w:val="none"/>
          <w:lang w:val="en-US" w:eastAsia="zh-CN"/>
        </w:rPr>
      </w:pPr>
    </w:p>
    <w:bookmarkEnd w:id="72"/>
    <w:p w14:paraId="48CF5389">
      <w:pPr>
        <w:rPr>
          <w:rFonts w:hint="eastAsia"/>
          <w:color w:val="auto"/>
          <w:highlight w:val="none"/>
          <w:lang w:val="en-US" w:eastAsia="zh-CN"/>
        </w:rPr>
      </w:pPr>
    </w:p>
    <w:p w14:paraId="550E689D">
      <w:pPr>
        <w:pageBreakBefore w:val="0"/>
        <w:widowControl w:val="0"/>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color w:val="auto"/>
          <w:sz w:val="32"/>
          <w:szCs w:val="32"/>
          <w:highlight w:val="none"/>
        </w:rPr>
      </w:pPr>
      <w:bookmarkStart w:id="74" w:name="_Toc16101"/>
      <w:r>
        <w:rPr>
          <w:rFonts w:hint="eastAsia" w:ascii="宋体" w:hAnsi="宋体" w:eastAsia="宋体" w:cs="宋体"/>
          <w:b/>
          <w:color w:val="auto"/>
          <w:sz w:val="32"/>
          <w:szCs w:val="32"/>
          <w:highlight w:val="none"/>
        </w:rPr>
        <w:br w:type="page"/>
      </w:r>
    </w:p>
    <w:p w14:paraId="6AD854EE">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第四章  合同条款及格式</w:t>
      </w:r>
      <w:bookmarkEnd w:id="74"/>
    </w:p>
    <w:p w14:paraId="4A51C56D">
      <w:pPr>
        <w:rPr>
          <w:rFonts w:hint="eastAsia" w:ascii="宋体" w:hAnsi="宋体"/>
          <w:b/>
          <w:color w:val="auto"/>
          <w:sz w:val="30"/>
          <w:szCs w:val="30"/>
          <w:highlight w:val="none"/>
        </w:rPr>
      </w:pPr>
    </w:p>
    <w:p w14:paraId="0B98B3BD">
      <w:pPr>
        <w:ind w:firstLine="600" w:firstLineChars="200"/>
        <w:rPr>
          <w:rFonts w:ascii="宋体" w:hAnsi="宋体"/>
          <w:b/>
          <w:color w:val="auto"/>
          <w:sz w:val="30"/>
          <w:szCs w:val="30"/>
          <w:highlight w:val="none"/>
        </w:rPr>
      </w:pP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 xml:space="preserve">   </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 xml:space="preserve">   </w:t>
      </w: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工程施工合同</w:t>
      </w:r>
    </w:p>
    <w:p w14:paraId="26657DEC">
      <w:pPr>
        <w:rPr>
          <w:rFonts w:ascii="宋体" w:hAnsi="宋体"/>
          <w:color w:val="auto"/>
          <w:sz w:val="30"/>
          <w:szCs w:val="30"/>
          <w:highlight w:val="none"/>
        </w:rPr>
      </w:pPr>
    </w:p>
    <w:p w14:paraId="08DCECF8">
      <w:pPr>
        <w:rPr>
          <w:rFonts w:ascii="宋体" w:hAnsi="宋体"/>
          <w:color w:val="auto"/>
          <w:sz w:val="30"/>
          <w:szCs w:val="30"/>
          <w:highlight w:val="none"/>
        </w:rPr>
      </w:pPr>
    </w:p>
    <w:p w14:paraId="3BF5EF63">
      <w:pPr>
        <w:ind w:firstLine="602" w:firstLineChars="200"/>
        <w:jc w:val="center"/>
        <w:rPr>
          <w:rFonts w:ascii="宋体" w:hAnsi="宋体"/>
          <w:b/>
          <w:color w:val="auto"/>
          <w:sz w:val="30"/>
          <w:szCs w:val="30"/>
          <w:highlight w:val="none"/>
        </w:rPr>
      </w:pPr>
      <w:r>
        <w:rPr>
          <w:rFonts w:hint="eastAsia" w:ascii="宋体" w:hAnsi="宋体"/>
          <w:b/>
          <w:color w:val="auto"/>
          <w:sz w:val="30"/>
          <w:szCs w:val="30"/>
          <w:highlight w:val="none"/>
        </w:rPr>
        <w:t>（项目编号：</w:t>
      </w: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 xml:space="preserve"> ）</w:t>
      </w:r>
    </w:p>
    <w:p w14:paraId="210752D9">
      <w:pPr>
        <w:rPr>
          <w:rFonts w:hint="eastAsia" w:ascii="宋体" w:hAnsi="宋体"/>
          <w:color w:val="auto"/>
          <w:sz w:val="30"/>
          <w:szCs w:val="30"/>
          <w:highlight w:val="none"/>
        </w:rPr>
      </w:pPr>
    </w:p>
    <w:p w14:paraId="73569E4B">
      <w:pPr>
        <w:rPr>
          <w:rFonts w:hint="eastAsia" w:ascii="宋体" w:hAnsi="宋体"/>
          <w:color w:val="auto"/>
          <w:sz w:val="30"/>
          <w:szCs w:val="30"/>
          <w:highlight w:val="none"/>
        </w:rPr>
      </w:pPr>
    </w:p>
    <w:p w14:paraId="599B470B">
      <w:pPr>
        <w:rPr>
          <w:rFonts w:hint="eastAsia" w:ascii="宋体" w:hAnsi="宋体"/>
          <w:color w:val="auto"/>
          <w:sz w:val="30"/>
          <w:szCs w:val="30"/>
          <w:highlight w:val="none"/>
        </w:rPr>
      </w:pPr>
    </w:p>
    <w:p w14:paraId="73FD47B3">
      <w:pPr>
        <w:rPr>
          <w:rFonts w:hint="eastAsia" w:ascii="宋体" w:hAnsi="宋体"/>
          <w:color w:val="auto"/>
          <w:sz w:val="30"/>
          <w:szCs w:val="30"/>
          <w:highlight w:val="none"/>
        </w:rPr>
      </w:pPr>
    </w:p>
    <w:p w14:paraId="2971B9B7">
      <w:pPr>
        <w:rPr>
          <w:rFonts w:ascii="宋体" w:hAnsi="宋体"/>
          <w:color w:val="auto"/>
          <w:sz w:val="30"/>
          <w:szCs w:val="30"/>
          <w:highlight w:val="none"/>
        </w:rPr>
      </w:pPr>
    </w:p>
    <w:p w14:paraId="4ED6C25D">
      <w:pPr>
        <w:rPr>
          <w:rFonts w:ascii="宋体" w:hAnsi="宋体"/>
          <w:color w:val="auto"/>
          <w:sz w:val="30"/>
          <w:szCs w:val="30"/>
          <w:highlight w:val="none"/>
        </w:rPr>
      </w:pPr>
    </w:p>
    <w:p w14:paraId="48D15656">
      <w:pPr>
        <w:ind w:firstLine="600" w:firstLineChars="200"/>
        <w:rPr>
          <w:rFonts w:ascii="宋体" w:hAnsi="宋体"/>
          <w:color w:val="auto"/>
          <w:sz w:val="30"/>
          <w:szCs w:val="30"/>
          <w:highlight w:val="none"/>
          <w:u w:val="single"/>
        </w:rPr>
      </w:pP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发 包 人：</w:t>
      </w:r>
      <w:r>
        <w:rPr>
          <w:rFonts w:hint="eastAsia" w:ascii="宋体" w:hAnsi="宋体"/>
          <w:color w:val="auto"/>
          <w:sz w:val="30"/>
          <w:szCs w:val="30"/>
          <w:highlight w:val="none"/>
          <w:u w:val="single"/>
        </w:rPr>
        <w:t xml:space="preserve">                               </w:t>
      </w:r>
    </w:p>
    <w:p w14:paraId="353E23F9">
      <w:pPr>
        <w:rPr>
          <w:rFonts w:ascii="宋体" w:hAnsi="宋体"/>
          <w:color w:val="auto"/>
          <w:sz w:val="30"/>
          <w:szCs w:val="30"/>
          <w:highlight w:val="none"/>
        </w:rPr>
      </w:pPr>
    </w:p>
    <w:p w14:paraId="34D17D27">
      <w:pPr>
        <w:ind w:firstLine="600" w:firstLineChars="200"/>
        <w:rPr>
          <w:rFonts w:ascii="宋体" w:hAnsi="宋体"/>
          <w:color w:val="auto"/>
          <w:sz w:val="30"/>
          <w:szCs w:val="30"/>
          <w:highlight w:val="none"/>
          <w:u w:val="single"/>
        </w:rPr>
      </w:pP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承 包 人：</w:t>
      </w:r>
      <w:r>
        <w:rPr>
          <w:rFonts w:hint="eastAsia" w:ascii="宋体" w:hAnsi="宋体"/>
          <w:color w:val="auto"/>
          <w:sz w:val="30"/>
          <w:szCs w:val="30"/>
          <w:highlight w:val="none"/>
          <w:u w:val="single"/>
        </w:rPr>
        <w:t xml:space="preserve">                               </w:t>
      </w:r>
    </w:p>
    <w:p w14:paraId="5791A18E">
      <w:pPr>
        <w:jc w:val="center"/>
        <w:rPr>
          <w:rFonts w:ascii="宋体" w:hAnsi="宋体"/>
          <w:color w:val="auto"/>
          <w:sz w:val="30"/>
          <w:szCs w:val="30"/>
          <w:highlight w:val="none"/>
        </w:rPr>
      </w:pPr>
    </w:p>
    <w:p w14:paraId="668FA90C">
      <w:pPr>
        <w:pStyle w:val="3"/>
        <w:ind w:firstLine="883" w:firstLineChars="200"/>
        <w:jc w:val="center"/>
        <w:rPr>
          <w:color w:val="auto"/>
          <w:highlight w:val="none"/>
        </w:rPr>
      </w:pPr>
      <w:r>
        <w:rPr>
          <w:color w:val="auto"/>
          <w:highlight w:val="none"/>
        </w:rPr>
        <w:br w:type="page"/>
      </w:r>
      <w:bookmarkStart w:id="75" w:name="OLE_LINK26"/>
      <w:r>
        <w:rPr>
          <w:rFonts w:hint="eastAsia" w:cs="黑体"/>
          <w:color w:val="auto"/>
          <w:highlight w:val="none"/>
        </w:rPr>
        <w:t>第一部分</w:t>
      </w:r>
      <w:r>
        <w:rPr>
          <w:color w:val="auto"/>
          <w:highlight w:val="none"/>
        </w:rPr>
        <w:t xml:space="preserve"> </w:t>
      </w:r>
      <w:r>
        <w:rPr>
          <w:rFonts w:hint="eastAsia" w:cs="黑体"/>
          <w:color w:val="auto"/>
          <w:highlight w:val="none"/>
        </w:rPr>
        <w:t>合同协议书</w:t>
      </w:r>
      <w:bookmarkEnd w:id="75"/>
    </w:p>
    <w:p w14:paraId="5A1118C1">
      <w:pPr>
        <w:pStyle w:val="71"/>
        <w:spacing w:line="240" w:lineRule="auto"/>
        <w:ind w:firstLine="440" w:firstLineChars="200"/>
        <w:rPr>
          <w:rFonts w:hint="eastAsia" w:eastAsia="宋体"/>
          <w:color w:val="auto"/>
          <w:sz w:val="22"/>
          <w:highlight w:val="none"/>
          <w:u w:val="single"/>
          <w:lang w:eastAsia="zh-CN"/>
        </w:rPr>
      </w:pPr>
      <w:bookmarkStart w:id="76" w:name="EBf5d8882b67eb450294403d6d9eac2034"/>
      <w:r>
        <w:rPr>
          <w:rFonts w:hAnsi="宋体"/>
          <w:color w:val="auto"/>
          <w:sz w:val="22"/>
          <w:highlight w:val="none"/>
        </w:rPr>
        <w:t>发包人（全称）：</w:t>
      </w:r>
      <w:r>
        <w:rPr>
          <w:rFonts w:hint="eastAsia" w:hAnsi="宋体"/>
          <w:color w:val="auto"/>
          <w:sz w:val="22"/>
          <w:highlight w:val="none"/>
          <w:u w:val="single"/>
          <w:lang w:val="en-US" w:eastAsia="zh-CN"/>
        </w:rPr>
        <w:t xml:space="preserve">                        </w:t>
      </w:r>
    </w:p>
    <w:p w14:paraId="12F388C3">
      <w:pPr>
        <w:pStyle w:val="71"/>
        <w:spacing w:line="240" w:lineRule="auto"/>
        <w:ind w:firstLine="440" w:firstLineChars="200"/>
        <w:rPr>
          <w:rFonts w:hint="eastAsia" w:eastAsia="宋体"/>
          <w:color w:val="auto"/>
          <w:sz w:val="22"/>
          <w:highlight w:val="none"/>
          <w:u w:val="single"/>
          <w:lang w:eastAsia="zh-CN"/>
        </w:rPr>
      </w:pPr>
      <w:r>
        <w:rPr>
          <w:rFonts w:hAnsi="宋体"/>
          <w:color w:val="auto"/>
          <w:sz w:val="22"/>
          <w:highlight w:val="none"/>
        </w:rPr>
        <w:t>承包人（全称）：</w:t>
      </w:r>
      <w:r>
        <w:rPr>
          <w:rFonts w:hint="eastAsia" w:hAnsi="宋体"/>
          <w:color w:val="auto"/>
          <w:sz w:val="22"/>
          <w:highlight w:val="none"/>
          <w:u w:val="single"/>
          <w:lang w:val="en-US" w:eastAsia="zh-CN"/>
        </w:rPr>
        <w:t xml:space="preserve">                        </w:t>
      </w:r>
    </w:p>
    <w:p w14:paraId="33E82993">
      <w:pPr>
        <w:pStyle w:val="71"/>
        <w:spacing w:line="240" w:lineRule="auto"/>
        <w:ind w:firstLine="440" w:firstLineChars="200"/>
        <w:rPr>
          <w:rFonts w:hAnsi="宋体"/>
          <w:color w:val="auto"/>
          <w:sz w:val="22"/>
          <w:highlight w:val="none"/>
        </w:rPr>
      </w:pPr>
      <w:r>
        <w:rPr>
          <w:rFonts w:hAnsi="宋体"/>
          <w:color w:val="auto"/>
          <w:sz w:val="22"/>
          <w:highlight w:val="none"/>
        </w:rPr>
        <w:t>根据《中华人民共和国</w:t>
      </w:r>
      <w:r>
        <w:rPr>
          <w:rFonts w:hint="eastAsia" w:hAnsi="宋体"/>
          <w:color w:val="auto"/>
          <w:sz w:val="22"/>
          <w:highlight w:val="none"/>
        </w:rPr>
        <w:t>民法典</w:t>
      </w:r>
      <w:r>
        <w:rPr>
          <w:rFonts w:hint="eastAsia" w:hAnsi="宋体"/>
          <w:color w:val="auto"/>
          <w:sz w:val="22"/>
          <w:highlight w:val="none"/>
          <w:lang w:eastAsia="zh-CN"/>
        </w:rPr>
        <w:t>》《</w:t>
      </w:r>
      <w:r>
        <w:rPr>
          <w:rFonts w:hAnsi="宋体"/>
          <w:color w:val="auto"/>
          <w:sz w:val="22"/>
          <w:highlight w:val="none"/>
        </w:rPr>
        <w:t>中华人民共和国建筑法》及有关法律规定，遵循平等、自愿、公平和诚实信用的原则，双方就</w:t>
      </w:r>
      <w:r>
        <w:rPr>
          <w:rFonts w:hint="eastAsia"/>
          <w:color w:val="auto"/>
          <w:sz w:val="22"/>
          <w:highlight w:val="none"/>
          <w:u w:val="single"/>
          <w:lang w:val="en-US" w:eastAsia="zh-CN"/>
        </w:rPr>
        <w:t xml:space="preserve"> </w:t>
      </w:r>
      <w:r>
        <w:rPr>
          <w:rFonts w:hint="eastAsia" w:hAnsi="宋体"/>
          <w:color w:val="auto"/>
          <w:sz w:val="22"/>
          <w:highlight w:val="none"/>
          <w:u w:val="single"/>
          <w:lang w:val="en-US" w:eastAsia="zh-CN"/>
        </w:rPr>
        <w:t xml:space="preserve">                    </w:t>
      </w:r>
      <w:r>
        <w:rPr>
          <w:rFonts w:hint="eastAsia"/>
          <w:color w:val="auto"/>
          <w:sz w:val="22"/>
          <w:highlight w:val="none"/>
          <w:u w:val="single"/>
          <w:lang w:val="en-US" w:eastAsia="zh-CN"/>
        </w:rPr>
        <w:t xml:space="preserve"> </w:t>
      </w:r>
      <w:r>
        <w:rPr>
          <w:rFonts w:hAnsi="宋体"/>
          <w:color w:val="auto"/>
          <w:sz w:val="22"/>
          <w:highlight w:val="none"/>
        </w:rPr>
        <w:t>工程施工及有关事项协商一致，共同达成如下协议：</w:t>
      </w:r>
      <w:bookmarkStart w:id="77" w:name="_Toc351203481"/>
    </w:p>
    <w:p w14:paraId="48C30A9B">
      <w:pPr>
        <w:pStyle w:val="71"/>
        <w:spacing w:line="240" w:lineRule="auto"/>
        <w:ind w:firstLine="442" w:firstLineChars="200"/>
        <w:rPr>
          <w:b/>
          <w:bCs/>
          <w:color w:val="auto"/>
          <w:sz w:val="22"/>
          <w:highlight w:val="none"/>
        </w:rPr>
      </w:pPr>
      <w:r>
        <w:rPr>
          <w:rFonts w:hAnsi="宋体"/>
          <w:b/>
          <w:bCs/>
          <w:color w:val="auto"/>
          <w:sz w:val="22"/>
          <w:highlight w:val="none"/>
        </w:rPr>
        <w:t>一、工程概况</w:t>
      </w:r>
      <w:bookmarkEnd w:id="77"/>
    </w:p>
    <w:p w14:paraId="20080873">
      <w:pPr>
        <w:pStyle w:val="71"/>
        <w:spacing w:line="240" w:lineRule="auto"/>
        <w:ind w:firstLine="440" w:firstLineChars="200"/>
        <w:rPr>
          <w:color w:val="auto"/>
          <w:sz w:val="22"/>
          <w:highlight w:val="none"/>
          <w:u w:val="single"/>
        </w:rPr>
      </w:pPr>
      <w:r>
        <w:rPr>
          <w:bCs/>
          <w:color w:val="auto"/>
          <w:sz w:val="22"/>
          <w:highlight w:val="none"/>
        </w:rPr>
        <w:t>1.</w:t>
      </w:r>
      <w:r>
        <w:rPr>
          <w:rFonts w:hint="eastAsia"/>
          <w:bCs/>
          <w:color w:val="auto"/>
          <w:sz w:val="22"/>
          <w:highlight w:val="none"/>
        </w:rPr>
        <w:t xml:space="preserve"> </w:t>
      </w:r>
      <w:r>
        <w:rPr>
          <w:rFonts w:hAnsi="宋体"/>
          <w:bCs/>
          <w:color w:val="auto"/>
          <w:sz w:val="22"/>
          <w:highlight w:val="none"/>
        </w:rPr>
        <w:t>工程名称</w:t>
      </w:r>
      <w:r>
        <w:rPr>
          <w:rFonts w:hAnsi="宋体"/>
          <w:color w:val="auto"/>
          <w:sz w:val="22"/>
          <w:highlight w:val="none"/>
        </w:rPr>
        <w:t>：</w:t>
      </w:r>
      <w:r>
        <w:rPr>
          <w:rFonts w:hint="eastAsia" w:hAnsi="宋体"/>
          <w:color w:val="auto"/>
          <w:sz w:val="22"/>
          <w:highlight w:val="none"/>
          <w:u w:val="single"/>
          <w:lang w:val="en-US" w:eastAsia="zh-CN"/>
        </w:rPr>
        <w:t xml:space="preserve">                       </w:t>
      </w:r>
      <w:r>
        <w:rPr>
          <w:rFonts w:hint="eastAsia"/>
          <w:color w:val="auto"/>
          <w:sz w:val="22"/>
          <w:highlight w:val="none"/>
          <w:u w:val="single"/>
          <w:lang w:val="en-US" w:eastAsia="zh-CN"/>
        </w:rPr>
        <w:t xml:space="preserve"> </w:t>
      </w:r>
      <w:r>
        <w:rPr>
          <w:rFonts w:hAnsi="宋体"/>
          <w:color w:val="auto"/>
          <w:sz w:val="22"/>
          <w:highlight w:val="none"/>
        </w:rPr>
        <w:t>。</w:t>
      </w:r>
    </w:p>
    <w:p w14:paraId="61B96E8E">
      <w:pPr>
        <w:pStyle w:val="71"/>
        <w:spacing w:line="240" w:lineRule="auto"/>
        <w:ind w:firstLine="440" w:firstLineChars="200"/>
        <w:rPr>
          <w:bCs/>
          <w:color w:val="auto"/>
          <w:sz w:val="22"/>
          <w:highlight w:val="none"/>
        </w:rPr>
      </w:pPr>
      <w:r>
        <w:rPr>
          <w:bCs/>
          <w:color w:val="auto"/>
          <w:sz w:val="22"/>
          <w:highlight w:val="none"/>
        </w:rPr>
        <w:t>2.</w:t>
      </w:r>
      <w:r>
        <w:rPr>
          <w:rFonts w:hint="eastAsia"/>
          <w:bCs/>
          <w:color w:val="auto"/>
          <w:sz w:val="22"/>
          <w:highlight w:val="none"/>
        </w:rPr>
        <w:t xml:space="preserve"> </w:t>
      </w:r>
      <w:r>
        <w:rPr>
          <w:rFonts w:hAnsi="宋体"/>
          <w:bCs/>
          <w:color w:val="auto"/>
          <w:sz w:val="22"/>
          <w:highlight w:val="none"/>
        </w:rPr>
        <w:t>工程地点：</w:t>
      </w:r>
      <w:r>
        <w:rPr>
          <w:rFonts w:hint="eastAsia" w:hAnsi="宋体"/>
          <w:color w:val="auto"/>
          <w:sz w:val="22"/>
          <w:highlight w:val="none"/>
          <w:u w:val="single"/>
          <w:lang w:val="en-US" w:eastAsia="zh-CN"/>
        </w:rPr>
        <w:t xml:space="preserve">                        </w:t>
      </w:r>
      <w:r>
        <w:rPr>
          <w:rFonts w:hAnsi="宋体"/>
          <w:color w:val="auto"/>
          <w:sz w:val="22"/>
          <w:highlight w:val="none"/>
        </w:rPr>
        <w:t>。</w:t>
      </w:r>
    </w:p>
    <w:p w14:paraId="3B44CCAA">
      <w:pPr>
        <w:pStyle w:val="71"/>
        <w:spacing w:line="240" w:lineRule="auto"/>
        <w:ind w:firstLine="440" w:firstLineChars="200"/>
        <w:rPr>
          <w:bCs/>
          <w:color w:val="auto"/>
          <w:sz w:val="22"/>
          <w:highlight w:val="none"/>
        </w:rPr>
      </w:pPr>
      <w:r>
        <w:rPr>
          <w:rFonts w:hint="eastAsia"/>
          <w:bCs/>
          <w:color w:val="auto"/>
          <w:sz w:val="22"/>
          <w:highlight w:val="none"/>
        </w:rPr>
        <w:t>3</w:t>
      </w:r>
      <w:r>
        <w:rPr>
          <w:bCs/>
          <w:color w:val="auto"/>
          <w:sz w:val="22"/>
          <w:highlight w:val="none"/>
        </w:rPr>
        <w:t>.</w:t>
      </w:r>
      <w:r>
        <w:rPr>
          <w:rFonts w:hint="eastAsia"/>
          <w:bCs/>
          <w:color w:val="auto"/>
          <w:sz w:val="22"/>
          <w:highlight w:val="none"/>
        </w:rPr>
        <w:t xml:space="preserve"> </w:t>
      </w:r>
      <w:r>
        <w:rPr>
          <w:rFonts w:hAnsi="宋体"/>
          <w:bCs/>
          <w:color w:val="auto"/>
          <w:sz w:val="22"/>
          <w:highlight w:val="none"/>
        </w:rPr>
        <w:t>资金来源：</w:t>
      </w:r>
      <w:r>
        <w:rPr>
          <w:rFonts w:hint="eastAsia" w:hAnsi="宋体"/>
          <w:color w:val="auto"/>
          <w:sz w:val="22"/>
          <w:highlight w:val="none"/>
          <w:u w:val="single"/>
          <w:lang w:val="en-US" w:eastAsia="zh-CN"/>
        </w:rPr>
        <w:t xml:space="preserve"> 财政资金 </w:t>
      </w:r>
      <w:r>
        <w:rPr>
          <w:rFonts w:hAnsi="宋体"/>
          <w:bCs/>
          <w:color w:val="auto"/>
          <w:sz w:val="22"/>
          <w:highlight w:val="none"/>
        </w:rPr>
        <w:t>。</w:t>
      </w:r>
    </w:p>
    <w:p w14:paraId="4D0C127F">
      <w:pPr>
        <w:pStyle w:val="71"/>
        <w:spacing w:line="240" w:lineRule="auto"/>
        <w:ind w:firstLine="440" w:firstLineChars="200"/>
        <w:rPr>
          <w:bCs/>
          <w:color w:val="auto"/>
          <w:sz w:val="22"/>
          <w:highlight w:val="none"/>
        </w:rPr>
      </w:pPr>
      <w:r>
        <w:rPr>
          <w:bCs/>
          <w:color w:val="auto"/>
          <w:sz w:val="22"/>
          <w:highlight w:val="none"/>
        </w:rPr>
        <w:t>5.</w:t>
      </w:r>
      <w:r>
        <w:rPr>
          <w:rFonts w:hint="eastAsia"/>
          <w:bCs/>
          <w:color w:val="auto"/>
          <w:sz w:val="22"/>
          <w:highlight w:val="none"/>
        </w:rPr>
        <w:t xml:space="preserve"> </w:t>
      </w:r>
      <w:r>
        <w:rPr>
          <w:rFonts w:hAnsi="宋体"/>
          <w:bCs/>
          <w:color w:val="auto"/>
          <w:sz w:val="22"/>
          <w:highlight w:val="none"/>
        </w:rPr>
        <w:t>工程内容：</w:t>
      </w:r>
      <w:r>
        <w:rPr>
          <w:rFonts w:hint="eastAsia" w:hAnsi="宋体"/>
          <w:color w:val="auto"/>
          <w:sz w:val="22"/>
          <w:highlight w:val="none"/>
          <w:u w:val="single"/>
          <w:lang w:val="en-US" w:eastAsia="zh-CN"/>
        </w:rPr>
        <w:t xml:space="preserve">                                                               ，</w:t>
      </w:r>
      <w:r>
        <w:rPr>
          <w:rFonts w:hint="eastAsia" w:ascii="宋体" w:hAnsi="宋体" w:cs="宋体"/>
          <w:color w:val="auto"/>
          <w:szCs w:val="21"/>
          <w:highlight w:val="none"/>
          <w:u w:val="single"/>
          <w:lang w:eastAsia="zh-CN"/>
        </w:rPr>
        <w:t>详见施工</w:t>
      </w:r>
      <w:r>
        <w:rPr>
          <w:rFonts w:hint="eastAsia" w:ascii="宋体" w:hAnsi="宋体" w:cs="宋体"/>
          <w:color w:val="auto"/>
          <w:szCs w:val="21"/>
          <w:highlight w:val="none"/>
          <w:u w:val="single"/>
        </w:rPr>
        <w:t>图纸及工程量清单</w:t>
      </w:r>
      <w:r>
        <w:rPr>
          <w:rFonts w:hAnsi="宋体"/>
          <w:bCs/>
          <w:color w:val="auto"/>
          <w:sz w:val="22"/>
          <w:highlight w:val="none"/>
        </w:rPr>
        <w:t>。</w:t>
      </w:r>
    </w:p>
    <w:p w14:paraId="54102EA3">
      <w:pPr>
        <w:pStyle w:val="71"/>
        <w:spacing w:line="240" w:lineRule="auto"/>
        <w:ind w:firstLine="440" w:firstLineChars="200"/>
        <w:rPr>
          <w:bCs/>
          <w:color w:val="auto"/>
          <w:sz w:val="22"/>
          <w:highlight w:val="none"/>
        </w:rPr>
      </w:pPr>
      <w:r>
        <w:rPr>
          <w:rFonts w:hAnsi="宋体"/>
          <w:color w:val="auto"/>
          <w:sz w:val="22"/>
          <w:highlight w:val="none"/>
        </w:rPr>
        <w:t>群体工程应附《承包人承揽工程项目一览表》（附件</w:t>
      </w:r>
      <w:r>
        <w:rPr>
          <w:color w:val="auto"/>
          <w:sz w:val="22"/>
          <w:highlight w:val="none"/>
        </w:rPr>
        <w:t>1</w:t>
      </w:r>
      <w:r>
        <w:rPr>
          <w:rFonts w:hAnsi="宋体"/>
          <w:color w:val="auto"/>
          <w:sz w:val="22"/>
          <w:highlight w:val="none"/>
        </w:rPr>
        <w:t>）。</w:t>
      </w:r>
    </w:p>
    <w:p w14:paraId="6C628B48">
      <w:pPr>
        <w:pStyle w:val="71"/>
        <w:spacing w:line="240" w:lineRule="auto"/>
        <w:ind w:firstLine="440" w:firstLineChars="200"/>
        <w:rPr>
          <w:rFonts w:hAnsi="宋体"/>
          <w:color w:val="auto"/>
          <w:sz w:val="22"/>
          <w:highlight w:val="none"/>
        </w:rPr>
      </w:pPr>
      <w:r>
        <w:rPr>
          <w:bCs/>
          <w:color w:val="auto"/>
          <w:sz w:val="22"/>
          <w:highlight w:val="none"/>
        </w:rPr>
        <w:t>6.</w:t>
      </w:r>
      <w:r>
        <w:rPr>
          <w:rFonts w:hint="eastAsia"/>
          <w:bCs/>
          <w:color w:val="auto"/>
          <w:sz w:val="22"/>
          <w:highlight w:val="none"/>
        </w:rPr>
        <w:t xml:space="preserve"> </w:t>
      </w:r>
      <w:r>
        <w:rPr>
          <w:rFonts w:hAnsi="宋体"/>
          <w:bCs/>
          <w:color w:val="auto"/>
          <w:sz w:val="22"/>
          <w:highlight w:val="none"/>
        </w:rPr>
        <w:t>工程承包范围：</w:t>
      </w:r>
      <w:r>
        <w:rPr>
          <w:rFonts w:hint="eastAsia" w:hAnsi="宋体"/>
          <w:bCs/>
          <w:color w:val="auto"/>
          <w:sz w:val="22"/>
          <w:highlight w:val="none"/>
          <w:u w:val="single"/>
          <w:lang w:val="en-US" w:eastAsia="zh-CN"/>
        </w:rPr>
        <w:t xml:space="preserve">                                        ，</w:t>
      </w:r>
      <w:r>
        <w:rPr>
          <w:rFonts w:hint="eastAsia" w:ascii="宋体" w:hAnsi="宋体" w:cs="宋体"/>
          <w:color w:val="auto"/>
          <w:szCs w:val="21"/>
          <w:highlight w:val="none"/>
          <w:u w:val="single"/>
          <w:lang w:eastAsia="zh-CN"/>
        </w:rPr>
        <w:t>详见施工</w:t>
      </w:r>
      <w:r>
        <w:rPr>
          <w:rFonts w:hint="eastAsia" w:ascii="宋体" w:hAnsi="宋体" w:cs="宋体"/>
          <w:color w:val="auto"/>
          <w:szCs w:val="21"/>
          <w:highlight w:val="none"/>
          <w:u w:val="single"/>
        </w:rPr>
        <w:t>图纸及工程量清单</w:t>
      </w:r>
      <w:r>
        <w:rPr>
          <w:rFonts w:hAnsi="宋体"/>
          <w:color w:val="auto"/>
          <w:sz w:val="22"/>
          <w:highlight w:val="none"/>
        </w:rPr>
        <w:t>。</w:t>
      </w:r>
    </w:p>
    <w:p w14:paraId="1E2B564E">
      <w:pPr>
        <w:pStyle w:val="71"/>
        <w:spacing w:line="240" w:lineRule="auto"/>
        <w:ind w:firstLine="442" w:firstLineChars="200"/>
        <w:rPr>
          <w:b/>
          <w:bCs/>
          <w:color w:val="auto"/>
          <w:sz w:val="22"/>
          <w:highlight w:val="none"/>
        </w:rPr>
      </w:pPr>
      <w:bookmarkStart w:id="78" w:name="_Toc351203482"/>
      <w:r>
        <w:rPr>
          <w:rFonts w:hAnsi="宋体"/>
          <w:b/>
          <w:bCs/>
          <w:color w:val="auto"/>
          <w:sz w:val="22"/>
          <w:highlight w:val="none"/>
        </w:rPr>
        <w:t>二、合同工期</w:t>
      </w:r>
      <w:bookmarkEnd w:id="78"/>
    </w:p>
    <w:p w14:paraId="717BAFA1">
      <w:pPr>
        <w:pStyle w:val="71"/>
        <w:spacing w:line="240" w:lineRule="auto"/>
        <w:ind w:firstLine="440" w:firstLineChars="200"/>
        <w:rPr>
          <w:rFonts w:hint="eastAsia" w:eastAsia="宋体"/>
          <w:color w:val="auto"/>
          <w:sz w:val="22"/>
          <w:highlight w:val="none"/>
          <w:lang w:eastAsia="zh-CN"/>
        </w:rPr>
      </w:pPr>
      <w:r>
        <w:rPr>
          <w:rFonts w:hAnsi="宋体"/>
          <w:color w:val="auto"/>
          <w:sz w:val="22"/>
          <w:highlight w:val="none"/>
        </w:rPr>
        <w:t>计划开工日期：</w:t>
      </w:r>
      <w:r>
        <w:rPr>
          <w:rFonts w:hint="eastAsia" w:hAnsi="宋体"/>
          <w:color w:val="auto"/>
          <w:sz w:val="22"/>
          <w:highlight w:val="none"/>
          <w:u w:val="single"/>
          <w:lang w:val="en-US" w:eastAsia="zh-CN"/>
        </w:rPr>
        <w:t xml:space="preserve">     </w:t>
      </w:r>
      <w:r>
        <w:rPr>
          <w:rFonts w:hAnsi="宋体"/>
          <w:color w:val="auto"/>
          <w:sz w:val="22"/>
          <w:highlight w:val="none"/>
        </w:rPr>
        <w:t>年</w:t>
      </w:r>
      <w:r>
        <w:rPr>
          <w:rFonts w:hint="eastAsia" w:hAnsi="宋体"/>
          <w:color w:val="auto"/>
          <w:sz w:val="22"/>
          <w:highlight w:val="none"/>
          <w:u w:val="single"/>
          <w:lang w:val="en-US" w:eastAsia="zh-CN"/>
        </w:rPr>
        <w:t xml:space="preserve">      </w:t>
      </w:r>
      <w:r>
        <w:rPr>
          <w:rFonts w:hAnsi="宋体"/>
          <w:color w:val="auto"/>
          <w:sz w:val="22"/>
          <w:highlight w:val="none"/>
        </w:rPr>
        <w:t>月</w:t>
      </w:r>
      <w:r>
        <w:rPr>
          <w:rFonts w:hAnsi="宋体"/>
          <w:color w:val="auto"/>
          <w:sz w:val="22"/>
          <w:highlight w:val="none"/>
          <w:u w:val="single"/>
        </w:rPr>
        <w:t></w:t>
      </w:r>
      <w:r>
        <w:rPr>
          <w:rFonts w:hint="eastAsia" w:hAnsi="宋体"/>
          <w:color w:val="auto"/>
          <w:sz w:val="22"/>
          <w:highlight w:val="none"/>
          <w:u w:val="single"/>
          <w:lang w:val="en-US" w:eastAsia="zh-CN"/>
        </w:rPr>
        <w:t xml:space="preserve">   </w:t>
      </w:r>
      <w:r>
        <w:rPr>
          <w:rFonts w:hAnsi="宋体"/>
          <w:color w:val="auto"/>
          <w:sz w:val="22"/>
          <w:highlight w:val="none"/>
          <w:u w:val="single"/>
        </w:rPr>
        <w:t></w:t>
      </w:r>
      <w:r>
        <w:rPr>
          <w:rFonts w:hAnsi="宋体"/>
          <w:color w:val="auto"/>
          <w:sz w:val="22"/>
          <w:highlight w:val="none"/>
        </w:rPr>
        <w:t>日。</w:t>
      </w:r>
      <w:r>
        <w:rPr>
          <w:rFonts w:hint="eastAsia" w:hAnsi="宋体"/>
          <w:color w:val="auto"/>
          <w:sz w:val="22"/>
          <w:highlight w:val="none"/>
          <w:lang w:eastAsia="zh-CN"/>
        </w:rPr>
        <w:t>（</w:t>
      </w:r>
      <w:r>
        <w:rPr>
          <w:rFonts w:hint="eastAsia" w:hAnsi="宋体"/>
          <w:color w:val="auto"/>
          <w:sz w:val="22"/>
          <w:highlight w:val="none"/>
          <w:lang w:val="en-US" w:eastAsia="zh-CN"/>
        </w:rPr>
        <w:t>最终以开工令为准</w:t>
      </w:r>
      <w:r>
        <w:rPr>
          <w:rFonts w:hint="eastAsia" w:hAnsi="宋体"/>
          <w:color w:val="auto"/>
          <w:sz w:val="22"/>
          <w:highlight w:val="none"/>
          <w:lang w:eastAsia="zh-CN"/>
        </w:rPr>
        <w:t>）</w:t>
      </w:r>
    </w:p>
    <w:p w14:paraId="2FFDD0A2">
      <w:pPr>
        <w:pStyle w:val="71"/>
        <w:spacing w:line="240" w:lineRule="auto"/>
        <w:ind w:firstLine="440" w:firstLineChars="200"/>
        <w:rPr>
          <w:color w:val="auto"/>
          <w:sz w:val="22"/>
          <w:highlight w:val="none"/>
        </w:rPr>
      </w:pPr>
      <w:r>
        <w:rPr>
          <w:rFonts w:hAnsi="宋体"/>
          <w:color w:val="auto"/>
          <w:sz w:val="22"/>
          <w:highlight w:val="none"/>
        </w:rPr>
        <w:t>计划竣工日期：</w:t>
      </w:r>
      <w:r>
        <w:rPr>
          <w:rFonts w:hint="eastAsia" w:hAnsi="宋体"/>
          <w:color w:val="auto"/>
          <w:sz w:val="22"/>
          <w:highlight w:val="none"/>
          <w:u w:val="single"/>
          <w:lang w:val="en-US" w:eastAsia="zh-CN"/>
        </w:rPr>
        <w:t xml:space="preserve">     </w:t>
      </w:r>
      <w:r>
        <w:rPr>
          <w:rFonts w:hAnsi="宋体"/>
          <w:color w:val="auto"/>
          <w:sz w:val="22"/>
          <w:highlight w:val="none"/>
        </w:rPr>
        <w:t>年</w:t>
      </w:r>
      <w:r>
        <w:rPr>
          <w:rFonts w:hint="eastAsia" w:hAnsi="宋体"/>
          <w:color w:val="auto"/>
          <w:sz w:val="22"/>
          <w:highlight w:val="none"/>
          <w:u w:val="single"/>
          <w:lang w:val="en-US" w:eastAsia="zh-CN"/>
        </w:rPr>
        <w:t xml:space="preserve">      </w:t>
      </w:r>
      <w:r>
        <w:rPr>
          <w:rFonts w:hAnsi="宋体"/>
          <w:color w:val="auto"/>
          <w:sz w:val="22"/>
          <w:highlight w:val="none"/>
        </w:rPr>
        <w:t>月</w:t>
      </w:r>
      <w:r>
        <w:rPr>
          <w:rFonts w:hAnsi="宋体"/>
          <w:color w:val="auto"/>
          <w:sz w:val="22"/>
          <w:highlight w:val="none"/>
          <w:u w:val="single"/>
        </w:rPr>
        <w:t></w:t>
      </w:r>
      <w:r>
        <w:rPr>
          <w:rFonts w:hint="eastAsia" w:hAnsi="宋体"/>
          <w:color w:val="auto"/>
          <w:sz w:val="22"/>
          <w:highlight w:val="none"/>
          <w:u w:val="single"/>
          <w:lang w:val="en-US" w:eastAsia="zh-CN"/>
        </w:rPr>
        <w:t xml:space="preserve">   </w:t>
      </w:r>
      <w:r>
        <w:rPr>
          <w:rFonts w:hAnsi="宋体"/>
          <w:color w:val="auto"/>
          <w:sz w:val="22"/>
          <w:highlight w:val="none"/>
          <w:u w:val="single"/>
        </w:rPr>
        <w:t></w:t>
      </w:r>
      <w:r>
        <w:rPr>
          <w:rFonts w:hAnsi="宋体"/>
          <w:color w:val="auto"/>
          <w:sz w:val="22"/>
          <w:highlight w:val="none"/>
        </w:rPr>
        <w:t>日。</w:t>
      </w:r>
    </w:p>
    <w:p w14:paraId="756C786C">
      <w:pPr>
        <w:pStyle w:val="71"/>
        <w:spacing w:line="240" w:lineRule="auto"/>
        <w:ind w:firstLine="440" w:firstLineChars="200"/>
        <w:rPr>
          <w:rFonts w:hAnsi="宋体"/>
          <w:color w:val="auto"/>
          <w:sz w:val="22"/>
          <w:highlight w:val="none"/>
        </w:rPr>
      </w:pPr>
      <w:r>
        <w:rPr>
          <w:rFonts w:hAnsi="宋体"/>
          <w:color w:val="auto"/>
          <w:sz w:val="22"/>
          <w:highlight w:val="none"/>
        </w:rPr>
        <w:t>工期总日历天数：</w:t>
      </w:r>
      <w:r>
        <w:rPr>
          <w:rFonts w:hint="eastAsia" w:hAnsi="宋体"/>
          <w:color w:val="auto"/>
          <w:sz w:val="22"/>
          <w:highlight w:val="none"/>
          <w:u w:val="single"/>
          <w:lang w:val="en-US" w:eastAsia="zh-CN"/>
        </w:rPr>
        <w:t xml:space="preserve">    </w:t>
      </w:r>
      <w:r>
        <w:rPr>
          <w:rFonts w:hAnsi="宋体"/>
          <w:color w:val="auto"/>
          <w:sz w:val="22"/>
          <w:highlight w:val="none"/>
        </w:rPr>
        <w:t>天。工期总日历天数与根据前述计划开竣工日期计算的工期天数不一致的，以工期总日历天数为准。</w:t>
      </w:r>
    </w:p>
    <w:p w14:paraId="4C6C6AFD">
      <w:pPr>
        <w:pStyle w:val="71"/>
        <w:spacing w:line="240" w:lineRule="auto"/>
        <w:ind w:firstLine="442" w:firstLineChars="200"/>
        <w:rPr>
          <w:b/>
          <w:bCs/>
          <w:color w:val="auto"/>
          <w:sz w:val="22"/>
          <w:highlight w:val="none"/>
        </w:rPr>
      </w:pPr>
      <w:bookmarkStart w:id="79" w:name="_Toc351203483"/>
      <w:r>
        <w:rPr>
          <w:rFonts w:hAnsi="宋体"/>
          <w:b/>
          <w:bCs/>
          <w:color w:val="auto"/>
          <w:sz w:val="22"/>
          <w:highlight w:val="none"/>
        </w:rPr>
        <w:t>三、质量标准</w:t>
      </w:r>
      <w:bookmarkEnd w:id="79"/>
    </w:p>
    <w:p w14:paraId="4D27582C">
      <w:pPr>
        <w:pStyle w:val="71"/>
        <w:spacing w:line="240" w:lineRule="auto"/>
        <w:ind w:firstLine="440" w:firstLineChars="200"/>
        <w:rPr>
          <w:rFonts w:hAnsi="宋体"/>
          <w:color w:val="auto"/>
          <w:sz w:val="22"/>
          <w:highlight w:val="none"/>
        </w:rPr>
      </w:pPr>
      <w:r>
        <w:rPr>
          <w:rFonts w:hAnsi="宋体"/>
          <w:color w:val="auto"/>
          <w:sz w:val="22"/>
          <w:highlight w:val="none"/>
        </w:rPr>
        <w:t>工程质量</w:t>
      </w:r>
      <w:r>
        <w:rPr>
          <w:rFonts w:hAnsi="宋体"/>
          <w:color w:val="auto"/>
          <w:sz w:val="22"/>
          <w:highlight w:val="none"/>
          <w:u w:val="single"/>
        </w:rPr>
        <w:t></w:t>
      </w:r>
      <w:r>
        <w:rPr>
          <w:rFonts w:hint="eastAsia" w:hAnsi="宋体"/>
          <w:color w:val="auto"/>
          <w:sz w:val="22"/>
          <w:highlight w:val="none"/>
          <w:u w:val="single"/>
        </w:rPr>
        <w:t>合格</w:t>
      </w:r>
      <w:r>
        <w:rPr>
          <w:rFonts w:hAnsi="宋体"/>
          <w:color w:val="auto"/>
          <w:sz w:val="22"/>
          <w:highlight w:val="none"/>
          <w:u w:val="single"/>
        </w:rPr>
        <w:t></w:t>
      </w:r>
      <w:r>
        <w:rPr>
          <w:rFonts w:hAnsi="宋体"/>
          <w:color w:val="auto"/>
          <w:sz w:val="22"/>
          <w:highlight w:val="none"/>
        </w:rPr>
        <w:t>标准。</w:t>
      </w:r>
    </w:p>
    <w:p w14:paraId="13A6192E">
      <w:pPr>
        <w:pStyle w:val="71"/>
        <w:spacing w:line="240" w:lineRule="auto"/>
        <w:ind w:firstLine="442" w:firstLineChars="200"/>
        <w:rPr>
          <w:rFonts w:hAnsi="宋体"/>
          <w:b/>
          <w:bCs/>
          <w:color w:val="auto"/>
          <w:sz w:val="22"/>
          <w:highlight w:val="none"/>
        </w:rPr>
      </w:pPr>
      <w:bookmarkStart w:id="80" w:name="_Toc351203484"/>
      <w:r>
        <w:rPr>
          <w:rFonts w:hAnsi="宋体"/>
          <w:b/>
          <w:bCs/>
          <w:color w:val="auto"/>
          <w:sz w:val="22"/>
          <w:highlight w:val="none"/>
        </w:rPr>
        <w:t>四、签约合同价与合同价格形式</w:t>
      </w:r>
      <w:bookmarkEnd w:id="80"/>
    </w:p>
    <w:p w14:paraId="5B9FC04E">
      <w:pPr>
        <w:pStyle w:val="72"/>
        <w:spacing w:line="360" w:lineRule="auto"/>
        <w:ind w:firstLine="459"/>
        <w:rPr>
          <w:rStyle w:val="76"/>
          <w:rFonts w:hAnsi="Calibri" w:eastAsia="宋体"/>
          <w:color w:val="auto"/>
          <w:highlight w:val="none"/>
        </w:rPr>
      </w:pPr>
      <w:bookmarkStart w:id="81" w:name="_Toc351203485"/>
      <w:r>
        <w:rPr>
          <w:rStyle w:val="76"/>
          <w:rFonts w:eastAsia="宋体"/>
          <w:color w:val="auto"/>
          <w:highlight w:val="none"/>
        </w:rPr>
        <w:t xml:space="preserve">1. </w:t>
      </w:r>
      <w:r>
        <w:rPr>
          <w:rStyle w:val="76"/>
          <w:rFonts w:hint="eastAsia" w:ascii="宋体" w:hAnsi="宋体" w:eastAsia="宋体"/>
          <w:color w:val="auto"/>
          <w:highlight w:val="none"/>
        </w:rPr>
        <w:t>签约合同价为：</w:t>
      </w:r>
    </w:p>
    <w:p w14:paraId="21725117">
      <w:pPr>
        <w:pStyle w:val="72"/>
        <w:spacing w:line="360" w:lineRule="auto"/>
        <w:ind w:firstLine="525" w:firstLineChars="250"/>
        <w:rPr>
          <w:rStyle w:val="76"/>
          <w:rFonts w:hAnsi="宋体" w:eastAsia="宋体"/>
          <w:color w:val="auto"/>
          <w:highlight w:val="none"/>
        </w:rPr>
      </w:pPr>
      <w:r>
        <w:rPr>
          <w:rStyle w:val="76"/>
          <w:rFonts w:hint="eastAsia" w:ascii="宋体" w:hAnsi="宋体" w:eastAsia="宋体"/>
          <w:color w:val="auto"/>
          <w:highlight w:val="none"/>
        </w:rPr>
        <w:t>人民币（大写）</w:t>
      </w:r>
      <w:r>
        <w:rPr>
          <w:rStyle w:val="76"/>
          <w:rFonts w:eastAsia="宋体"/>
          <w:color w:val="auto"/>
          <w:highlight w:val="none"/>
          <w:u w:val="single"/>
        </w:rPr>
        <w:t xml:space="preserve">                 </w:t>
      </w:r>
      <w:r>
        <w:rPr>
          <w:rStyle w:val="76"/>
          <w:rFonts w:hint="eastAsia" w:ascii="宋体" w:hAnsi="宋体" w:eastAsia="宋体"/>
          <w:color w:val="auto"/>
          <w:highlight w:val="none"/>
        </w:rPr>
        <w:t>（</w:t>
      </w:r>
      <w:r>
        <w:rPr>
          <w:rStyle w:val="76"/>
          <w:rFonts w:eastAsia="宋体"/>
          <w:color w:val="auto"/>
          <w:highlight w:val="none"/>
        </w:rPr>
        <w:t>¥</w:t>
      </w:r>
      <w:r>
        <w:rPr>
          <w:rStyle w:val="76"/>
          <w:rFonts w:eastAsia="宋体"/>
          <w:color w:val="auto"/>
          <w:highlight w:val="none"/>
          <w:u w:val="single"/>
        </w:rPr>
        <w:t xml:space="preserve">            </w:t>
      </w:r>
      <w:r>
        <w:rPr>
          <w:rStyle w:val="76"/>
          <w:rFonts w:hint="eastAsia" w:ascii="宋体" w:hAnsi="宋体" w:eastAsia="宋体"/>
          <w:color w:val="auto"/>
          <w:highlight w:val="none"/>
        </w:rPr>
        <w:t>元）；</w:t>
      </w:r>
    </w:p>
    <w:p w14:paraId="01E4DCE9">
      <w:pPr>
        <w:pStyle w:val="72"/>
        <w:spacing w:line="360" w:lineRule="auto"/>
        <w:ind w:firstLine="525" w:firstLineChars="250"/>
        <w:rPr>
          <w:rStyle w:val="76"/>
          <w:rFonts w:hAnsi="宋体" w:eastAsia="宋体"/>
          <w:color w:val="auto"/>
          <w:highlight w:val="none"/>
        </w:rPr>
      </w:pPr>
      <w:r>
        <w:rPr>
          <w:rStyle w:val="76"/>
          <w:rFonts w:hint="eastAsia" w:ascii="宋体" w:hAnsi="宋体" w:eastAsia="宋体"/>
          <w:color w:val="auto"/>
          <w:highlight w:val="none"/>
        </w:rPr>
        <w:t>其中：</w:t>
      </w:r>
    </w:p>
    <w:p w14:paraId="4FB802C4">
      <w:pPr>
        <w:pStyle w:val="72"/>
        <w:spacing w:line="360" w:lineRule="auto"/>
        <w:ind w:firstLine="420" w:firstLineChars="200"/>
        <w:rPr>
          <w:rStyle w:val="76"/>
          <w:rFonts w:hAnsi="Calibri" w:eastAsia="宋体"/>
          <w:color w:val="auto"/>
          <w:highlight w:val="none"/>
        </w:rPr>
      </w:pPr>
      <w:r>
        <w:rPr>
          <w:rStyle w:val="76"/>
          <w:rFonts w:hint="eastAsia" w:ascii="宋体" w:hAnsi="宋体" w:eastAsia="宋体"/>
          <w:color w:val="auto"/>
          <w:highlight w:val="none"/>
        </w:rPr>
        <w:t>（</w:t>
      </w:r>
      <w:r>
        <w:rPr>
          <w:rStyle w:val="76"/>
          <w:rFonts w:hAnsi="宋体" w:eastAsia="宋体"/>
          <w:color w:val="auto"/>
          <w:highlight w:val="none"/>
        </w:rPr>
        <w:t>1</w:t>
      </w:r>
      <w:r>
        <w:rPr>
          <w:rStyle w:val="76"/>
          <w:rFonts w:hint="eastAsia" w:ascii="宋体" w:hAnsi="宋体" w:eastAsia="宋体"/>
          <w:color w:val="auto"/>
          <w:highlight w:val="none"/>
        </w:rPr>
        <w:t>）安全文明施工费：</w:t>
      </w:r>
    </w:p>
    <w:p w14:paraId="6F645CD9">
      <w:pPr>
        <w:pStyle w:val="72"/>
        <w:spacing w:line="360" w:lineRule="auto"/>
        <w:ind w:left="420" w:leftChars="200" w:firstLine="525" w:firstLineChars="250"/>
        <w:rPr>
          <w:rStyle w:val="76"/>
          <w:rFonts w:hAnsi="宋体" w:eastAsia="宋体"/>
          <w:color w:val="auto"/>
          <w:highlight w:val="none"/>
        </w:rPr>
      </w:pPr>
      <w:r>
        <w:rPr>
          <w:rStyle w:val="76"/>
          <w:rFonts w:hint="eastAsia" w:ascii="宋体" w:hAnsi="宋体" w:eastAsia="宋体"/>
          <w:color w:val="auto"/>
          <w:highlight w:val="none"/>
        </w:rPr>
        <w:t>人民币（大写）</w:t>
      </w:r>
      <w:r>
        <w:rPr>
          <w:rStyle w:val="76"/>
          <w:rFonts w:eastAsia="宋体"/>
          <w:color w:val="auto"/>
          <w:highlight w:val="none"/>
          <w:u w:val="single"/>
        </w:rPr>
        <w:t xml:space="preserve">              </w:t>
      </w:r>
      <w:r>
        <w:rPr>
          <w:rStyle w:val="76"/>
          <w:rFonts w:eastAsia="宋体"/>
          <w:color w:val="auto"/>
          <w:highlight w:val="none"/>
        </w:rPr>
        <w:t xml:space="preserve"> </w:t>
      </w:r>
      <w:r>
        <w:rPr>
          <w:rStyle w:val="76"/>
          <w:rFonts w:hint="eastAsia" w:ascii="宋体" w:hAnsi="宋体" w:eastAsia="宋体"/>
          <w:color w:val="auto"/>
          <w:highlight w:val="none"/>
        </w:rPr>
        <w:t>（</w:t>
      </w:r>
      <w:r>
        <w:rPr>
          <w:rStyle w:val="76"/>
          <w:rFonts w:eastAsia="宋体"/>
          <w:color w:val="auto"/>
          <w:highlight w:val="none"/>
        </w:rPr>
        <w:t>¥</w:t>
      </w:r>
      <w:r>
        <w:rPr>
          <w:rStyle w:val="76"/>
          <w:rFonts w:eastAsia="宋体"/>
          <w:color w:val="auto"/>
          <w:highlight w:val="none"/>
          <w:u w:val="single"/>
        </w:rPr>
        <w:t xml:space="preserve">          </w:t>
      </w:r>
      <w:r>
        <w:rPr>
          <w:rStyle w:val="76"/>
          <w:rFonts w:hint="eastAsia" w:ascii="宋体" w:hAnsi="宋体" w:eastAsia="宋体"/>
          <w:color w:val="auto"/>
          <w:highlight w:val="none"/>
        </w:rPr>
        <w:t>元）；</w:t>
      </w:r>
    </w:p>
    <w:p w14:paraId="0F9C5F9F">
      <w:pPr>
        <w:pStyle w:val="72"/>
        <w:spacing w:line="360" w:lineRule="auto"/>
        <w:ind w:firstLine="420" w:firstLineChars="200"/>
        <w:rPr>
          <w:rStyle w:val="76"/>
          <w:rFonts w:eastAsia="宋体"/>
          <w:color w:val="auto"/>
          <w:highlight w:val="none"/>
        </w:rPr>
      </w:pPr>
      <w:r>
        <w:rPr>
          <w:rStyle w:val="76"/>
          <w:rFonts w:hint="eastAsia" w:ascii="宋体" w:hAnsi="宋体" w:eastAsia="宋体"/>
          <w:color w:val="auto"/>
          <w:highlight w:val="none"/>
        </w:rPr>
        <w:t>（</w:t>
      </w:r>
      <w:r>
        <w:rPr>
          <w:rStyle w:val="76"/>
          <w:rFonts w:hint="eastAsia" w:eastAsia="宋体"/>
          <w:color w:val="auto"/>
          <w:highlight w:val="none"/>
          <w:lang w:val="en-US" w:eastAsia="zh-CN"/>
        </w:rPr>
        <w:t>2</w:t>
      </w:r>
      <w:r>
        <w:rPr>
          <w:rStyle w:val="76"/>
          <w:rFonts w:hint="eastAsia" w:ascii="宋体" w:hAnsi="宋体" w:eastAsia="宋体"/>
          <w:color w:val="auto"/>
          <w:highlight w:val="none"/>
        </w:rPr>
        <w:t>）专业工程暂估价金额：</w:t>
      </w:r>
    </w:p>
    <w:p w14:paraId="704963C0">
      <w:pPr>
        <w:pStyle w:val="72"/>
        <w:spacing w:line="360" w:lineRule="auto"/>
        <w:ind w:firstLine="945" w:firstLineChars="450"/>
        <w:rPr>
          <w:rStyle w:val="76"/>
          <w:rFonts w:eastAsia="宋体"/>
          <w:color w:val="auto"/>
          <w:highlight w:val="none"/>
        </w:rPr>
      </w:pPr>
      <w:r>
        <w:rPr>
          <w:rStyle w:val="76"/>
          <w:rFonts w:hint="eastAsia" w:ascii="宋体" w:hAnsi="宋体" w:eastAsia="宋体"/>
          <w:color w:val="auto"/>
          <w:highlight w:val="none"/>
        </w:rPr>
        <w:t>人民币（大写）</w:t>
      </w:r>
      <w:r>
        <w:rPr>
          <w:rStyle w:val="76"/>
          <w:rFonts w:eastAsia="宋体"/>
          <w:color w:val="auto"/>
          <w:highlight w:val="none"/>
          <w:u w:val="single"/>
        </w:rPr>
        <w:t xml:space="preserve">              </w:t>
      </w:r>
      <w:r>
        <w:rPr>
          <w:rStyle w:val="76"/>
          <w:rFonts w:eastAsia="宋体"/>
          <w:color w:val="auto"/>
          <w:highlight w:val="none"/>
        </w:rPr>
        <w:t xml:space="preserve"> </w:t>
      </w:r>
      <w:r>
        <w:rPr>
          <w:rStyle w:val="76"/>
          <w:rFonts w:hint="eastAsia" w:ascii="宋体" w:hAnsi="宋体" w:eastAsia="宋体"/>
          <w:color w:val="auto"/>
          <w:highlight w:val="none"/>
        </w:rPr>
        <w:t>（</w:t>
      </w:r>
      <w:r>
        <w:rPr>
          <w:rStyle w:val="76"/>
          <w:rFonts w:eastAsia="宋体"/>
          <w:color w:val="auto"/>
          <w:highlight w:val="none"/>
        </w:rPr>
        <w:t>¥</w:t>
      </w:r>
      <w:r>
        <w:rPr>
          <w:rStyle w:val="76"/>
          <w:rFonts w:eastAsia="宋体"/>
          <w:color w:val="auto"/>
          <w:highlight w:val="none"/>
          <w:u w:val="single"/>
        </w:rPr>
        <w:t xml:space="preserve">          </w:t>
      </w:r>
      <w:r>
        <w:rPr>
          <w:rStyle w:val="76"/>
          <w:rFonts w:hint="eastAsia" w:ascii="宋体" w:hAnsi="宋体" w:eastAsia="宋体"/>
          <w:color w:val="auto"/>
          <w:highlight w:val="none"/>
        </w:rPr>
        <w:t>元）；</w:t>
      </w:r>
    </w:p>
    <w:p w14:paraId="63D7F530">
      <w:pPr>
        <w:pStyle w:val="72"/>
        <w:spacing w:line="360" w:lineRule="auto"/>
        <w:ind w:firstLine="420" w:firstLineChars="200"/>
        <w:rPr>
          <w:rStyle w:val="76"/>
          <w:rFonts w:eastAsia="宋体"/>
          <w:color w:val="auto"/>
          <w:highlight w:val="none"/>
        </w:rPr>
      </w:pPr>
      <w:r>
        <w:rPr>
          <w:rStyle w:val="76"/>
          <w:rFonts w:hint="eastAsia" w:ascii="宋体" w:hAnsi="宋体" w:eastAsia="宋体"/>
          <w:color w:val="auto"/>
          <w:highlight w:val="none"/>
        </w:rPr>
        <w:t>（</w:t>
      </w:r>
      <w:r>
        <w:rPr>
          <w:rStyle w:val="76"/>
          <w:rFonts w:hint="eastAsia" w:eastAsia="宋体"/>
          <w:color w:val="auto"/>
          <w:highlight w:val="none"/>
          <w:lang w:val="en-US" w:eastAsia="zh-CN"/>
        </w:rPr>
        <w:t>3</w:t>
      </w:r>
      <w:r>
        <w:rPr>
          <w:rStyle w:val="76"/>
          <w:rFonts w:hint="eastAsia" w:ascii="宋体" w:hAnsi="宋体" w:eastAsia="宋体"/>
          <w:color w:val="auto"/>
          <w:highlight w:val="none"/>
        </w:rPr>
        <w:t>）暂列金额：</w:t>
      </w:r>
    </w:p>
    <w:p w14:paraId="2C655961">
      <w:pPr>
        <w:pStyle w:val="72"/>
        <w:spacing w:line="360" w:lineRule="auto"/>
        <w:ind w:firstLine="945" w:firstLineChars="450"/>
        <w:rPr>
          <w:rStyle w:val="76"/>
          <w:rFonts w:hAnsi="宋体" w:eastAsia="宋体"/>
          <w:color w:val="auto"/>
          <w:highlight w:val="none"/>
        </w:rPr>
      </w:pPr>
      <w:r>
        <w:rPr>
          <w:rStyle w:val="76"/>
          <w:rFonts w:hint="eastAsia" w:ascii="宋体" w:hAnsi="宋体" w:eastAsia="宋体"/>
          <w:color w:val="auto"/>
          <w:highlight w:val="none"/>
        </w:rPr>
        <w:t>人民币（大写）</w:t>
      </w:r>
      <w:r>
        <w:rPr>
          <w:rStyle w:val="76"/>
          <w:rFonts w:eastAsia="宋体"/>
          <w:color w:val="auto"/>
          <w:highlight w:val="none"/>
          <w:u w:val="single"/>
        </w:rPr>
        <w:t xml:space="preserve">              </w:t>
      </w:r>
      <w:r>
        <w:rPr>
          <w:rStyle w:val="76"/>
          <w:rFonts w:eastAsia="宋体"/>
          <w:color w:val="auto"/>
          <w:highlight w:val="none"/>
        </w:rPr>
        <w:t xml:space="preserve"> </w:t>
      </w:r>
      <w:r>
        <w:rPr>
          <w:rStyle w:val="76"/>
          <w:rFonts w:hint="eastAsia" w:ascii="宋体" w:hAnsi="宋体" w:eastAsia="宋体"/>
          <w:color w:val="auto"/>
          <w:highlight w:val="none"/>
        </w:rPr>
        <w:t>（</w:t>
      </w:r>
      <w:r>
        <w:rPr>
          <w:rStyle w:val="76"/>
          <w:rFonts w:eastAsia="宋体"/>
          <w:color w:val="auto"/>
          <w:highlight w:val="none"/>
        </w:rPr>
        <w:t>¥</w:t>
      </w:r>
      <w:r>
        <w:rPr>
          <w:rStyle w:val="76"/>
          <w:rFonts w:eastAsia="宋体"/>
          <w:color w:val="auto"/>
          <w:highlight w:val="none"/>
          <w:u w:val="single"/>
        </w:rPr>
        <w:t xml:space="preserve">          </w:t>
      </w:r>
      <w:r>
        <w:rPr>
          <w:rStyle w:val="76"/>
          <w:rFonts w:hint="eastAsia" w:ascii="宋体" w:hAnsi="宋体" w:eastAsia="宋体"/>
          <w:color w:val="auto"/>
          <w:highlight w:val="none"/>
        </w:rPr>
        <w:t>元）。</w:t>
      </w:r>
    </w:p>
    <w:p w14:paraId="5C07E795">
      <w:pPr>
        <w:pStyle w:val="72"/>
        <w:spacing w:line="360" w:lineRule="auto"/>
        <w:ind w:firstLine="420" w:firstLineChars="200"/>
        <w:rPr>
          <w:rStyle w:val="76"/>
          <w:rFonts w:hAnsi="宋体" w:eastAsia="宋体"/>
          <w:color w:val="auto"/>
          <w:highlight w:val="none"/>
        </w:rPr>
      </w:pPr>
      <w:r>
        <w:rPr>
          <w:rStyle w:val="76"/>
          <w:rFonts w:eastAsia="宋体"/>
          <w:color w:val="auto"/>
          <w:highlight w:val="none"/>
        </w:rPr>
        <w:t xml:space="preserve">2. </w:t>
      </w:r>
      <w:r>
        <w:rPr>
          <w:rStyle w:val="76"/>
          <w:rFonts w:hint="eastAsia" w:ascii="宋体" w:hAnsi="宋体" w:eastAsia="宋体"/>
          <w:color w:val="auto"/>
          <w:highlight w:val="none"/>
        </w:rPr>
        <w:t>合同价格形式：</w:t>
      </w:r>
      <w:r>
        <w:rPr>
          <w:rStyle w:val="76"/>
          <w:rFonts w:eastAsia="宋体"/>
          <w:color w:val="auto"/>
          <w:highlight w:val="none"/>
          <w:u w:val="single"/>
        </w:rPr>
        <w:t xml:space="preserve">  </w:t>
      </w:r>
      <w:r>
        <w:rPr>
          <w:rStyle w:val="24"/>
          <w:rFonts w:hint="eastAsia" w:ascii="宋体" w:hAnsi="宋体" w:cs="宋体"/>
          <w:color w:val="auto"/>
          <w:highlight w:val="none"/>
          <w:u w:val="single"/>
        </w:rPr>
        <w:t>固定综合单价</w:t>
      </w:r>
      <w:r>
        <w:rPr>
          <w:rStyle w:val="76"/>
          <w:rFonts w:eastAsia="宋体"/>
          <w:color w:val="auto"/>
          <w:highlight w:val="none"/>
          <w:u w:val="single"/>
        </w:rPr>
        <w:t xml:space="preserve">  </w:t>
      </w:r>
      <w:r>
        <w:rPr>
          <w:rStyle w:val="76"/>
          <w:rFonts w:hint="eastAsia" w:ascii="宋体" w:hAnsi="宋体" w:eastAsia="宋体"/>
          <w:color w:val="auto"/>
          <w:highlight w:val="none"/>
        </w:rPr>
        <w:t>。</w:t>
      </w:r>
    </w:p>
    <w:p w14:paraId="5885C3F9">
      <w:pPr>
        <w:pStyle w:val="71"/>
        <w:spacing w:line="240" w:lineRule="auto"/>
        <w:ind w:firstLine="442" w:firstLineChars="200"/>
        <w:rPr>
          <w:b/>
          <w:bCs/>
          <w:color w:val="auto"/>
          <w:sz w:val="22"/>
          <w:highlight w:val="none"/>
        </w:rPr>
      </w:pPr>
      <w:r>
        <w:rPr>
          <w:rFonts w:hAnsi="宋体"/>
          <w:b/>
          <w:bCs/>
          <w:color w:val="auto"/>
          <w:sz w:val="22"/>
          <w:highlight w:val="none"/>
        </w:rPr>
        <w:t>五、</w:t>
      </w:r>
      <w:bookmarkEnd w:id="81"/>
      <w:r>
        <w:rPr>
          <w:rFonts w:hAnsi="宋体"/>
          <w:b/>
          <w:bCs/>
          <w:color w:val="auto"/>
          <w:sz w:val="22"/>
          <w:highlight w:val="none"/>
        </w:rPr>
        <w:t>项目经理</w:t>
      </w:r>
    </w:p>
    <w:p w14:paraId="526480D2">
      <w:pPr>
        <w:pStyle w:val="71"/>
        <w:spacing w:line="240" w:lineRule="auto"/>
        <w:ind w:firstLine="440" w:firstLineChars="200"/>
        <w:rPr>
          <w:rFonts w:hAnsi="宋体"/>
          <w:color w:val="auto"/>
          <w:sz w:val="22"/>
          <w:highlight w:val="none"/>
        </w:rPr>
      </w:pPr>
      <w:r>
        <w:rPr>
          <w:rFonts w:hAnsi="宋体"/>
          <w:color w:val="auto"/>
          <w:sz w:val="22"/>
          <w:highlight w:val="none"/>
        </w:rPr>
        <w:t>承包人项目经理：</w:t>
      </w:r>
      <w:r>
        <w:rPr>
          <w:rFonts w:hint="eastAsia" w:hAnsi="宋体"/>
          <w:color w:val="auto"/>
          <w:sz w:val="22"/>
          <w:highlight w:val="none"/>
          <w:u w:val="single"/>
          <w:lang w:val="en-US" w:eastAsia="zh-CN"/>
        </w:rPr>
        <w:t xml:space="preserve">       </w:t>
      </w:r>
      <w:r>
        <w:rPr>
          <w:rFonts w:hAnsi="宋体"/>
          <w:color w:val="auto"/>
          <w:sz w:val="22"/>
          <w:highlight w:val="none"/>
        </w:rPr>
        <w:t>。</w:t>
      </w:r>
    </w:p>
    <w:p w14:paraId="1E4F553A">
      <w:pPr>
        <w:pStyle w:val="71"/>
        <w:spacing w:line="240" w:lineRule="auto"/>
        <w:ind w:firstLine="442" w:firstLineChars="200"/>
        <w:rPr>
          <w:b/>
          <w:bCs/>
          <w:color w:val="auto"/>
          <w:sz w:val="22"/>
          <w:highlight w:val="none"/>
        </w:rPr>
      </w:pPr>
      <w:bookmarkStart w:id="82" w:name="_Toc351203486"/>
      <w:r>
        <w:rPr>
          <w:rFonts w:hAnsi="宋体"/>
          <w:b/>
          <w:bCs/>
          <w:color w:val="auto"/>
          <w:sz w:val="22"/>
          <w:highlight w:val="none"/>
        </w:rPr>
        <w:t>六、合同文件构成</w:t>
      </w:r>
      <w:bookmarkEnd w:id="82"/>
    </w:p>
    <w:p w14:paraId="5B781C61">
      <w:pPr>
        <w:pStyle w:val="71"/>
        <w:spacing w:line="240" w:lineRule="auto"/>
        <w:ind w:firstLine="440" w:firstLineChars="200"/>
        <w:rPr>
          <w:bCs/>
          <w:color w:val="auto"/>
          <w:sz w:val="22"/>
          <w:highlight w:val="none"/>
        </w:rPr>
      </w:pPr>
      <w:r>
        <w:rPr>
          <w:rFonts w:hint="eastAsia" w:hAnsi="宋体"/>
          <w:bCs/>
          <w:color w:val="auto"/>
          <w:sz w:val="22"/>
          <w:highlight w:val="none"/>
          <w:lang w:eastAsia="zh-CN"/>
        </w:rPr>
        <w:t>本合同</w:t>
      </w:r>
      <w:r>
        <w:rPr>
          <w:rFonts w:hAnsi="宋体"/>
          <w:bCs/>
          <w:color w:val="auto"/>
          <w:sz w:val="22"/>
          <w:highlight w:val="none"/>
        </w:rPr>
        <w:t>书与下列文件一起构成合同文件：</w:t>
      </w:r>
    </w:p>
    <w:p w14:paraId="75544EEC">
      <w:pPr>
        <w:pStyle w:val="71"/>
        <w:autoSpaceDE w:val="0"/>
        <w:autoSpaceDN w:val="0"/>
        <w:adjustRightInd w:val="0"/>
        <w:spacing w:line="240" w:lineRule="auto"/>
        <w:ind w:firstLine="440" w:firstLineChars="200"/>
        <w:jc w:val="left"/>
        <w:rPr>
          <w:color w:val="auto"/>
          <w:sz w:val="22"/>
          <w:highlight w:val="none"/>
        </w:rPr>
      </w:pPr>
      <w:r>
        <w:rPr>
          <w:rFonts w:hAnsi="宋体"/>
          <w:color w:val="auto"/>
          <w:sz w:val="22"/>
          <w:highlight w:val="none"/>
        </w:rPr>
        <w:t>（</w:t>
      </w:r>
      <w:r>
        <w:rPr>
          <w:color w:val="auto"/>
          <w:sz w:val="22"/>
          <w:highlight w:val="none"/>
        </w:rPr>
        <w:t>1</w:t>
      </w:r>
      <w:r>
        <w:rPr>
          <w:rFonts w:hAnsi="宋体"/>
          <w:color w:val="auto"/>
          <w:sz w:val="22"/>
          <w:highlight w:val="none"/>
        </w:rPr>
        <w:t>）</w:t>
      </w:r>
      <w:r>
        <w:rPr>
          <w:rFonts w:hint="eastAsia" w:hAnsi="宋体"/>
          <w:color w:val="auto"/>
          <w:sz w:val="22"/>
          <w:highlight w:val="none"/>
        </w:rPr>
        <w:t>成交</w:t>
      </w:r>
      <w:r>
        <w:rPr>
          <w:rFonts w:hint="eastAsia" w:hAnsi="宋体"/>
          <w:color w:val="auto"/>
          <w:sz w:val="22"/>
          <w:highlight w:val="none"/>
          <w:lang w:eastAsia="zh-CN"/>
        </w:rPr>
        <w:t>通知</w:t>
      </w:r>
      <w:r>
        <w:rPr>
          <w:rFonts w:hAnsi="宋体"/>
          <w:color w:val="auto"/>
          <w:sz w:val="22"/>
          <w:highlight w:val="none"/>
        </w:rPr>
        <w:t>书；</w:t>
      </w:r>
    </w:p>
    <w:p w14:paraId="118DC090">
      <w:pPr>
        <w:pStyle w:val="71"/>
        <w:autoSpaceDE w:val="0"/>
        <w:autoSpaceDN w:val="0"/>
        <w:adjustRightInd w:val="0"/>
        <w:spacing w:line="240" w:lineRule="auto"/>
        <w:ind w:firstLine="440" w:firstLineChars="200"/>
        <w:jc w:val="left"/>
        <w:rPr>
          <w:color w:val="auto"/>
          <w:sz w:val="22"/>
          <w:highlight w:val="none"/>
        </w:rPr>
      </w:pPr>
      <w:r>
        <w:rPr>
          <w:rFonts w:hAnsi="宋体"/>
          <w:color w:val="auto"/>
          <w:sz w:val="22"/>
          <w:highlight w:val="none"/>
        </w:rPr>
        <w:t>（</w:t>
      </w:r>
      <w:r>
        <w:rPr>
          <w:color w:val="auto"/>
          <w:sz w:val="22"/>
          <w:highlight w:val="none"/>
        </w:rPr>
        <w:t>2</w:t>
      </w:r>
      <w:r>
        <w:rPr>
          <w:rFonts w:hAnsi="宋体"/>
          <w:color w:val="auto"/>
          <w:sz w:val="22"/>
          <w:highlight w:val="none"/>
        </w:rPr>
        <w:t>）</w:t>
      </w:r>
      <w:r>
        <w:rPr>
          <w:rFonts w:hint="eastAsia" w:hAnsi="宋体"/>
          <w:color w:val="auto"/>
          <w:sz w:val="22"/>
          <w:highlight w:val="none"/>
        </w:rPr>
        <w:t>磋商</w:t>
      </w:r>
      <w:r>
        <w:rPr>
          <w:rFonts w:hAnsi="宋体"/>
          <w:color w:val="auto"/>
          <w:sz w:val="22"/>
          <w:highlight w:val="none"/>
        </w:rPr>
        <w:t>函及其附录；</w:t>
      </w:r>
      <w:r>
        <w:rPr>
          <w:color w:val="auto"/>
          <w:sz w:val="22"/>
          <w:highlight w:val="none"/>
        </w:rPr>
        <w:t xml:space="preserve"> </w:t>
      </w:r>
    </w:p>
    <w:p w14:paraId="686CBA0B">
      <w:pPr>
        <w:pStyle w:val="71"/>
        <w:autoSpaceDE w:val="0"/>
        <w:autoSpaceDN w:val="0"/>
        <w:adjustRightInd w:val="0"/>
        <w:spacing w:line="240" w:lineRule="auto"/>
        <w:ind w:firstLine="440" w:firstLineChars="200"/>
        <w:jc w:val="left"/>
        <w:rPr>
          <w:color w:val="auto"/>
          <w:sz w:val="22"/>
          <w:highlight w:val="none"/>
        </w:rPr>
      </w:pPr>
      <w:r>
        <w:rPr>
          <w:rFonts w:hAnsi="宋体"/>
          <w:color w:val="auto"/>
          <w:sz w:val="22"/>
          <w:highlight w:val="none"/>
        </w:rPr>
        <w:t>（</w:t>
      </w:r>
      <w:r>
        <w:rPr>
          <w:color w:val="auto"/>
          <w:sz w:val="22"/>
          <w:highlight w:val="none"/>
        </w:rPr>
        <w:t>3</w:t>
      </w:r>
      <w:r>
        <w:rPr>
          <w:rFonts w:hAnsi="宋体"/>
          <w:color w:val="auto"/>
          <w:sz w:val="22"/>
          <w:highlight w:val="none"/>
        </w:rPr>
        <w:t>）专用合同条款及其附件；</w:t>
      </w:r>
    </w:p>
    <w:p w14:paraId="66B4D733">
      <w:pPr>
        <w:pStyle w:val="71"/>
        <w:autoSpaceDE w:val="0"/>
        <w:autoSpaceDN w:val="0"/>
        <w:adjustRightInd w:val="0"/>
        <w:spacing w:line="240" w:lineRule="auto"/>
        <w:ind w:firstLine="440" w:firstLineChars="200"/>
        <w:jc w:val="left"/>
        <w:rPr>
          <w:color w:val="auto"/>
          <w:sz w:val="22"/>
          <w:highlight w:val="none"/>
        </w:rPr>
      </w:pPr>
      <w:r>
        <w:rPr>
          <w:rFonts w:hAnsi="宋体"/>
          <w:color w:val="auto"/>
          <w:sz w:val="22"/>
          <w:highlight w:val="none"/>
        </w:rPr>
        <w:t>（</w:t>
      </w:r>
      <w:r>
        <w:rPr>
          <w:color w:val="auto"/>
          <w:sz w:val="22"/>
          <w:highlight w:val="none"/>
        </w:rPr>
        <w:t>4</w:t>
      </w:r>
      <w:r>
        <w:rPr>
          <w:rFonts w:hAnsi="宋体"/>
          <w:color w:val="auto"/>
          <w:sz w:val="22"/>
          <w:highlight w:val="none"/>
        </w:rPr>
        <w:t>）通用合同条款；</w:t>
      </w:r>
    </w:p>
    <w:p w14:paraId="5D353B0A">
      <w:pPr>
        <w:pStyle w:val="71"/>
        <w:autoSpaceDE w:val="0"/>
        <w:autoSpaceDN w:val="0"/>
        <w:adjustRightInd w:val="0"/>
        <w:spacing w:line="240" w:lineRule="auto"/>
        <w:ind w:firstLine="440" w:firstLineChars="200"/>
        <w:jc w:val="left"/>
        <w:rPr>
          <w:color w:val="auto"/>
          <w:sz w:val="22"/>
          <w:highlight w:val="none"/>
        </w:rPr>
      </w:pPr>
      <w:r>
        <w:rPr>
          <w:rFonts w:hAnsi="宋体"/>
          <w:color w:val="auto"/>
          <w:sz w:val="22"/>
          <w:highlight w:val="none"/>
        </w:rPr>
        <w:t>（</w:t>
      </w:r>
      <w:r>
        <w:rPr>
          <w:color w:val="auto"/>
          <w:sz w:val="22"/>
          <w:highlight w:val="none"/>
        </w:rPr>
        <w:t>5</w:t>
      </w:r>
      <w:r>
        <w:rPr>
          <w:rFonts w:hAnsi="宋体"/>
          <w:color w:val="auto"/>
          <w:sz w:val="22"/>
          <w:highlight w:val="none"/>
        </w:rPr>
        <w:t>）技术标准和要求；</w:t>
      </w:r>
    </w:p>
    <w:p w14:paraId="7E3FD7F7">
      <w:pPr>
        <w:pStyle w:val="71"/>
        <w:autoSpaceDE w:val="0"/>
        <w:autoSpaceDN w:val="0"/>
        <w:adjustRightInd w:val="0"/>
        <w:spacing w:line="240" w:lineRule="auto"/>
        <w:ind w:firstLine="440" w:firstLineChars="200"/>
        <w:jc w:val="left"/>
        <w:rPr>
          <w:color w:val="auto"/>
          <w:sz w:val="22"/>
          <w:highlight w:val="none"/>
        </w:rPr>
      </w:pPr>
      <w:r>
        <w:rPr>
          <w:rFonts w:hAnsi="宋体"/>
          <w:color w:val="auto"/>
          <w:sz w:val="22"/>
          <w:highlight w:val="none"/>
        </w:rPr>
        <w:t>（</w:t>
      </w:r>
      <w:r>
        <w:rPr>
          <w:color w:val="auto"/>
          <w:sz w:val="22"/>
          <w:highlight w:val="none"/>
        </w:rPr>
        <w:t>6</w:t>
      </w:r>
      <w:r>
        <w:rPr>
          <w:rFonts w:hAnsi="宋体"/>
          <w:color w:val="auto"/>
          <w:sz w:val="22"/>
          <w:highlight w:val="none"/>
        </w:rPr>
        <w:t>）已标价工程量清单或预算书；</w:t>
      </w:r>
      <w:r>
        <w:rPr>
          <w:color w:val="auto"/>
          <w:sz w:val="22"/>
          <w:highlight w:val="none"/>
        </w:rPr>
        <w:t xml:space="preserve"> </w:t>
      </w:r>
    </w:p>
    <w:p w14:paraId="1206A3D5">
      <w:pPr>
        <w:pStyle w:val="71"/>
        <w:autoSpaceDE w:val="0"/>
        <w:autoSpaceDN w:val="0"/>
        <w:adjustRightInd w:val="0"/>
        <w:spacing w:line="240" w:lineRule="auto"/>
        <w:ind w:firstLine="440" w:firstLineChars="200"/>
        <w:jc w:val="left"/>
        <w:rPr>
          <w:color w:val="auto"/>
          <w:sz w:val="22"/>
          <w:highlight w:val="none"/>
        </w:rPr>
      </w:pPr>
      <w:r>
        <w:rPr>
          <w:rFonts w:hAnsi="宋体"/>
          <w:color w:val="auto"/>
          <w:sz w:val="22"/>
          <w:highlight w:val="none"/>
        </w:rPr>
        <w:t>（</w:t>
      </w:r>
      <w:r>
        <w:rPr>
          <w:color w:val="auto"/>
          <w:sz w:val="22"/>
          <w:highlight w:val="none"/>
        </w:rPr>
        <w:t>7</w:t>
      </w:r>
      <w:r>
        <w:rPr>
          <w:rFonts w:hAnsi="宋体"/>
          <w:color w:val="auto"/>
          <w:sz w:val="22"/>
          <w:highlight w:val="none"/>
        </w:rPr>
        <w:t>）图纸；</w:t>
      </w:r>
    </w:p>
    <w:p w14:paraId="67A65F0C">
      <w:pPr>
        <w:pStyle w:val="71"/>
        <w:autoSpaceDE w:val="0"/>
        <w:autoSpaceDN w:val="0"/>
        <w:adjustRightInd w:val="0"/>
        <w:spacing w:line="240" w:lineRule="auto"/>
        <w:ind w:firstLine="440" w:firstLineChars="200"/>
        <w:jc w:val="left"/>
        <w:rPr>
          <w:color w:val="auto"/>
          <w:sz w:val="22"/>
          <w:highlight w:val="none"/>
        </w:rPr>
      </w:pPr>
      <w:r>
        <w:rPr>
          <w:rFonts w:hAnsi="宋体"/>
          <w:color w:val="auto"/>
          <w:sz w:val="22"/>
          <w:highlight w:val="none"/>
        </w:rPr>
        <w:t>（</w:t>
      </w:r>
      <w:r>
        <w:rPr>
          <w:color w:val="auto"/>
          <w:sz w:val="22"/>
          <w:highlight w:val="none"/>
        </w:rPr>
        <w:t>8</w:t>
      </w:r>
      <w:r>
        <w:rPr>
          <w:rFonts w:hAnsi="宋体"/>
          <w:color w:val="auto"/>
          <w:sz w:val="22"/>
          <w:highlight w:val="none"/>
        </w:rPr>
        <w:t>）其他合同文件。</w:t>
      </w:r>
    </w:p>
    <w:p w14:paraId="57630C60">
      <w:pPr>
        <w:pStyle w:val="71"/>
        <w:autoSpaceDE w:val="0"/>
        <w:autoSpaceDN w:val="0"/>
        <w:adjustRightInd w:val="0"/>
        <w:spacing w:line="240" w:lineRule="auto"/>
        <w:ind w:firstLine="440" w:firstLineChars="200"/>
        <w:jc w:val="left"/>
        <w:rPr>
          <w:color w:val="auto"/>
          <w:sz w:val="22"/>
          <w:highlight w:val="none"/>
        </w:rPr>
      </w:pPr>
      <w:r>
        <w:rPr>
          <w:rFonts w:hAnsi="宋体"/>
          <w:color w:val="auto"/>
          <w:sz w:val="22"/>
          <w:highlight w:val="none"/>
        </w:rPr>
        <w:t>在合同订立及履行过程中形成的与合同有关的文件均构成合同文件组成部分。</w:t>
      </w:r>
    </w:p>
    <w:p w14:paraId="4A639284">
      <w:pPr>
        <w:pStyle w:val="71"/>
        <w:autoSpaceDE w:val="0"/>
        <w:autoSpaceDN w:val="0"/>
        <w:adjustRightInd w:val="0"/>
        <w:spacing w:line="240" w:lineRule="auto"/>
        <w:ind w:firstLine="440" w:firstLineChars="200"/>
        <w:jc w:val="left"/>
        <w:rPr>
          <w:rFonts w:hAnsi="宋体"/>
          <w:color w:val="auto"/>
          <w:sz w:val="22"/>
          <w:highlight w:val="none"/>
        </w:rPr>
      </w:pPr>
      <w:r>
        <w:rPr>
          <w:rFonts w:hAnsi="宋体"/>
          <w:color w:val="auto"/>
          <w:sz w:val="22"/>
          <w:highlight w:val="none"/>
        </w:rPr>
        <w:t>上述各项合同文件包括合同当事人就该项合同文件所作出的补充和修改，属于同一类内容的文件，应以最新签署的为准。专用合同条款及其附件须经合同当事人签字或盖章。</w:t>
      </w:r>
    </w:p>
    <w:p w14:paraId="6808F2B0">
      <w:pPr>
        <w:pStyle w:val="71"/>
        <w:autoSpaceDE w:val="0"/>
        <w:autoSpaceDN w:val="0"/>
        <w:adjustRightInd w:val="0"/>
        <w:spacing w:line="240" w:lineRule="auto"/>
        <w:ind w:firstLine="442" w:firstLineChars="200"/>
        <w:jc w:val="left"/>
        <w:rPr>
          <w:b/>
          <w:bCs/>
          <w:color w:val="auto"/>
          <w:sz w:val="22"/>
          <w:highlight w:val="none"/>
        </w:rPr>
      </w:pPr>
      <w:bookmarkStart w:id="83" w:name="_Toc351203487"/>
      <w:r>
        <w:rPr>
          <w:rFonts w:hAnsi="宋体"/>
          <w:b/>
          <w:bCs/>
          <w:color w:val="auto"/>
          <w:sz w:val="22"/>
          <w:highlight w:val="none"/>
        </w:rPr>
        <w:t>七、承诺</w:t>
      </w:r>
      <w:bookmarkEnd w:id="83"/>
    </w:p>
    <w:p w14:paraId="4E97FCF1">
      <w:pPr>
        <w:pStyle w:val="71"/>
        <w:spacing w:line="240" w:lineRule="auto"/>
        <w:ind w:firstLine="440" w:firstLineChars="200"/>
        <w:rPr>
          <w:bCs/>
          <w:color w:val="auto"/>
          <w:sz w:val="22"/>
          <w:highlight w:val="none"/>
        </w:rPr>
      </w:pPr>
      <w:r>
        <w:rPr>
          <w:bCs/>
          <w:color w:val="auto"/>
          <w:sz w:val="22"/>
          <w:highlight w:val="none"/>
        </w:rPr>
        <w:t>1.</w:t>
      </w:r>
      <w:r>
        <w:rPr>
          <w:rFonts w:hint="eastAsia"/>
          <w:bCs/>
          <w:color w:val="auto"/>
          <w:sz w:val="22"/>
          <w:highlight w:val="none"/>
        </w:rPr>
        <w:t xml:space="preserve"> </w:t>
      </w:r>
      <w:r>
        <w:rPr>
          <w:rFonts w:hAnsi="宋体"/>
          <w:bCs/>
          <w:color w:val="auto"/>
          <w:sz w:val="22"/>
          <w:highlight w:val="none"/>
        </w:rPr>
        <w:t>发包人承诺按照法律规定履行项目审批手续、筹集工程建设资金并按照合同约定的期限和方式支付合同价款。</w:t>
      </w:r>
    </w:p>
    <w:p w14:paraId="3DCD3291">
      <w:pPr>
        <w:pStyle w:val="71"/>
        <w:spacing w:line="240" w:lineRule="auto"/>
        <w:ind w:firstLine="440" w:firstLineChars="200"/>
        <w:rPr>
          <w:bCs/>
          <w:color w:val="auto"/>
          <w:sz w:val="22"/>
          <w:highlight w:val="none"/>
        </w:rPr>
      </w:pPr>
      <w:r>
        <w:rPr>
          <w:bCs/>
          <w:color w:val="auto"/>
          <w:sz w:val="22"/>
          <w:highlight w:val="none"/>
        </w:rPr>
        <w:t>2.</w:t>
      </w:r>
      <w:r>
        <w:rPr>
          <w:rFonts w:hint="eastAsia"/>
          <w:bCs/>
          <w:color w:val="auto"/>
          <w:sz w:val="22"/>
          <w:highlight w:val="none"/>
        </w:rPr>
        <w:t xml:space="preserve"> </w:t>
      </w:r>
      <w:r>
        <w:rPr>
          <w:rFonts w:hAnsi="宋体"/>
          <w:bCs/>
          <w:color w:val="auto"/>
          <w:sz w:val="22"/>
          <w:highlight w:val="none"/>
        </w:rPr>
        <w:t>承包人承诺按照法律规定及合同约定组织完成工程施工，确保工程质量和安全，不进行转包及违法分包，并在缺陷责任期及保修期内承担相应的工程维修责任。</w:t>
      </w:r>
    </w:p>
    <w:p w14:paraId="37D5983D">
      <w:pPr>
        <w:pStyle w:val="71"/>
        <w:spacing w:line="240" w:lineRule="auto"/>
        <w:ind w:firstLine="440" w:firstLineChars="200"/>
        <w:rPr>
          <w:rFonts w:hAnsi="宋体"/>
          <w:bCs/>
          <w:color w:val="auto"/>
          <w:sz w:val="22"/>
          <w:highlight w:val="none"/>
        </w:rPr>
      </w:pPr>
      <w:r>
        <w:rPr>
          <w:bCs/>
          <w:color w:val="auto"/>
          <w:sz w:val="22"/>
          <w:highlight w:val="none"/>
        </w:rPr>
        <w:t>3.</w:t>
      </w:r>
      <w:r>
        <w:rPr>
          <w:rFonts w:hint="eastAsia"/>
          <w:bCs/>
          <w:color w:val="auto"/>
          <w:sz w:val="22"/>
          <w:highlight w:val="none"/>
        </w:rPr>
        <w:t xml:space="preserve"> </w:t>
      </w:r>
      <w:r>
        <w:rPr>
          <w:rFonts w:hAnsi="宋体"/>
          <w:bCs/>
          <w:color w:val="auto"/>
          <w:sz w:val="22"/>
          <w:highlight w:val="none"/>
        </w:rPr>
        <w:t>发包人和承包人通过招投标形式签订合同的，双方理解并承诺不再就同一工程另行签订与合同实质性内容相背离的协议。</w:t>
      </w:r>
      <w:bookmarkStart w:id="84" w:name="_Toc351203488"/>
    </w:p>
    <w:p w14:paraId="2F2BFA71">
      <w:pPr>
        <w:pStyle w:val="71"/>
        <w:spacing w:line="240" w:lineRule="auto"/>
        <w:ind w:firstLine="442" w:firstLineChars="200"/>
        <w:rPr>
          <w:b/>
          <w:bCs/>
          <w:color w:val="auto"/>
          <w:sz w:val="22"/>
          <w:highlight w:val="none"/>
        </w:rPr>
      </w:pPr>
      <w:r>
        <w:rPr>
          <w:rFonts w:hAnsi="宋体"/>
          <w:b/>
          <w:bCs/>
          <w:color w:val="auto"/>
          <w:sz w:val="22"/>
          <w:highlight w:val="none"/>
        </w:rPr>
        <w:t>八、词语含义</w:t>
      </w:r>
      <w:bookmarkEnd w:id="84"/>
    </w:p>
    <w:p w14:paraId="42C23F77">
      <w:pPr>
        <w:pStyle w:val="71"/>
        <w:spacing w:line="240" w:lineRule="auto"/>
        <w:ind w:firstLine="440" w:firstLineChars="200"/>
        <w:rPr>
          <w:rFonts w:hAnsi="宋体"/>
          <w:bCs/>
          <w:color w:val="auto"/>
          <w:sz w:val="22"/>
          <w:highlight w:val="none"/>
        </w:rPr>
      </w:pPr>
      <w:r>
        <w:rPr>
          <w:rFonts w:hint="eastAsia" w:hAnsi="宋体"/>
          <w:bCs/>
          <w:color w:val="auto"/>
          <w:sz w:val="22"/>
          <w:highlight w:val="none"/>
          <w:lang w:eastAsia="zh-CN"/>
        </w:rPr>
        <w:t>本合同</w:t>
      </w:r>
      <w:r>
        <w:rPr>
          <w:rFonts w:hAnsi="宋体"/>
          <w:bCs/>
          <w:color w:val="auto"/>
          <w:sz w:val="22"/>
          <w:highlight w:val="none"/>
        </w:rPr>
        <w:t>书中词语含义与第二部分通用合同条款中赋予的含义相同。</w:t>
      </w:r>
    </w:p>
    <w:p w14:paraId="7F91ABF4">
      <w:pPr>
        <w:pStyle w:val="71"/>
        <w:spacing w:line="240" w:lineRule="auto"/>
        <w:ind w:firstLine="442" w:firstLineChars="200"/>
        <w:rPr>
          <w:b/>
          <w:bCs/>
          <w:color w:val="auto"/>
          <w:sz w:val="22"/>
          <w:highlight w:val="none"/>
        </w:rPr>
      </w:pPr>
      <w:bookmarkStart w:id="85" w:name="_Toc351203489"/>
      <w:r>
        <w:rPr>
          <w:rFonts w:hAnsi="宋体"/>
          <w:b/>
          <w:bCs/>
          <w:color w:val="auto"/>
          <w:sz w:val="22"/>
          <w:highlight w:val="none"/>
        </w:rPr>
        <w:t>九、签订时间</w:t>
      </w:r>
      <w:bookmarkEnd w:id="85"/>
    </w:p>
    <w:p w14:paraId="5C434D3B">
      <w:pPr>
        <w:pStyle w:val="71"/>
        <w:spacing w:line="240" w:lineRule="auto"/>
        <w:ind w:firstLine="440" w:firstLineChars="200"/>
        <w:rPr>
          <w:rFonts w:hAnsi="宋体"/>
          <w:bCs/>
          <w:color w:val="auto"/>
          <w:sz w:val="22"/>
          <w:highlight w:val="none"/>
        </w:rPr>
      </w:pPr>
      <w:r>
        <w:rPr>
          <w:rFonts w:hAnsi="宋体"/>
          <w:bCs/>
          <w:color w:val="auto"/>
          <w:sz w:val="22"/>
          <w:highlight w:val="none"/>
        </w:rPr>
        <w:t>本合同于</w:t>
      </w:r>
      <w:r>
        <w:rPr>
          <w:rFonts w:hint="eastAsia"/>
          <w:bCs/>
          <w:color w:val="auto"/>
          <w:sz w:val="22"/>
          <w:highlight w:val="none"/>
          <w:u w:val="single"/>
          <w:lang w:val="en-US" w:eastAsia="zh-CN"/>
        </w:rPr>
        <w:t xml:space="preserve">      </w:t>
      </w:r>
      <w:r>
        <w:rPr>
          <w:rFonts w:hAnsi="宋体"/>
          <w:bCs/>
          <w:color w:val="auto"/>
          <w:sz w:val="22"/>
          <w:highlight w:val="none"/>
        </w:rPr>
        <w:t>年</w:t>
      </w:r>
      <w:r>
        <w:rPr>
          <w:bCs/>
          <w:color w:val="auto"/>
          <w:sz w:val="22"/>
          <w:highlight w:val="none"/>
          <w:u w:val="single"/>
        </w:rPr>
        <w:t xml:space="preserve"> </w:t>
      </w:r>
      <w:r>
        <w:rPr>
          <w:rFonts w:hint="eastAsia"/>
          <w:bCs/>
          <w:color w:val="auto"/>
          <w:sz w:val="22"/>
          <w:highlight w:val="none"/>
          <w:u w:val="single"/>
          <w:lang w:val="en-US" w:eastAsia="zh-CN"/>
        </w:rPr>
        <w:t xml:space="preserve">    </w:t>
      </w:r>
      <w:r>
        <w:rPr>
          <w:bCs/>
          <w:color w:val="auto"/>
          <w:sz w:val="22"/>
          <w:highlight w:val="none"/>
          <w:u w:val="single"/>
        </w:rPr>
        <w:t xml:space="preserve"> </w:t>
      </w:r>
      <w:r>
        <w:rPr>
          <w:rFonts w:hAnsi="宋体"/>
          <w:bCs/>
          <w:color w:val="auto"/>
          <w:sz w:val="22"/>
          <w:highlight w:val="none"/>
        </w:rPr>
        <w:t>月</w:t>
      </w:r>
      <w:r>
        <w:rPr>
          <w:rFonts w:hint="eastAsia"/>
          <w:bCs/>
          <w:color w:val="auto"/>
          <w:sz w:val="22"/>
          <w:highlight w:val="none"/>
          <w:u w:val="single"/>
          <w:lang w:val="en-US" w:eastAsia="zh-CN"/>
        </w:rPr>
        <w:t xml:space="preserve">      </w:t>
      </w:r>
      <w:r>
        <w:rPr>
          <w:rFonts w:hAnsi="宋体"/>
          <w:bCs/>
          <w:color w:val="auto"/>
          <w:sz w:val="22"/>
          <w:highlight w:val="none"/>
        </w:rPr>
        <w:t>日签订。</w:t>
      </w:r>
    </w:p>
    <w:p w14:paraId="5A4A97C4">
      <w:pPr>
        <w:pStyle w:val="71"/>
        <w:spacing w:line="240" w:lineRule="auto"/>
        <w:ind w:firstLine="442" w:firstLineChars="200"/>
        <w:rPr>
          <w:b/>
          <w:bCs/>
          <w:color w:val="auto"/>
          <w:sz w:val="22"/>
          <w:highlight w:val="none"/>
        </w:rPr>
      </w:pPr>
      <w:bookmarkStart w:id="86" w:name="_Toc351203490"/>
      <w:r>
        <w:rPr>
          <w:rFonts w:hAnsi="宋体"/>
          <w:b/>
          <w:bCs/>
          <w:color w:val="auto"/>
          <w:sz w:val="22"/>
          <w:highlight w:val="none"/>
        </w:rPr>
        <w:t>十、签订地点</w:t>
      </w:r>
      <w:bookmarkEnd w:id="86"/>
    </w:p>
    <w:p w14:paraId="4E9084B9">
      <w:pPr>
        <w:pStyle w:val="71"/>
        <w:spacing w:line="240" w:lineRule="auto"/>
        <w:ind w:firstLine="440" w:firstLineChars="200"/>
        <w:rPr>
          <w:rFonts w:hAnsi="宋体"/>
          <w:bCs/>
          <w:color w:val="auto"/>
          <w:sz w:val="22"/>
          <w:highlight w:val="none"/>
          <w:u w:val="none"/>
        </w:rPr>
      </w:pPr>
      <w:r>
        <w:rPr>
          <w:rFonts w:hAnsi="宋体"/>
          <w:bCs/>
          <w:color w:val="auto"/>
          <w:sz w:val="22"/>
          <w:highlight w:val="none"/>
          <w:u w:val="none"/>
        </w:rPr>
        <w:t>本合同在</w:t>
      </w:r>
      <w:r>
        <w:rPr>
          <w:rFonts w:hint="eastAsia" w:ascii="Times New Roman" w:hAnsi="Times New Roman" w:eastAsia="宋体" w:cs="Times New Roman"/>
          <w:bCs/>
          <w:color w:val="auto"/>
          <w:sz w:val="22"/>
          <w:highlight w:val="none"/>
          <w:u w:val="single"/>
          <w:lang w:val="en-US" w:eastAsia="zh-CN"/>
        </w:rPr>
        <w:t xml:space="preserve"> 港口区 </w:t>
      </w:r>
      <w:r>
        <w:rPr>
          <w:rFonts w:hAnsi="宋体"/>
          <w:bCs/>
          <w:color w:val="auto"/>
          <w:sz w:val="22"/>
          <w:highlight w:val="none"/>
          <w:u w:val="none"/>
        </w:rPr>
        <w:t>签订。</w:t>
      </w:r>
    </w:p>
    <w:p w14:paraId="2E623A74">
      <w:pPr>
        <w:pStyle w:val="71"/>
        <w:spacing w:line="240" w:lineRule="auto"/>
        <w:ind w:firstLine="442" w:firstLineChars="200"/>
        <w:rPr>
          <w:b/>
          <w:bCs/>
          <w:color w:val="auto"/>
          <w:sz w:val="22"/>
          <w:highlight w:val="none"/>
        </w:rPr>
      </w:pPr>
      <w:bookmarkStart w:id="87" w:name="_Toc351203491"/>
      <w:r>
        <w:rPr>
          <w:rFonts w:hAnsi="宋体"/>
          <w:b/>
          <w:bCs/>
          <w:color w:val="auto"/>
          <w:sz w:val="22"/>
          <w:highlight w:val="none"/>
        </w:rPr>
        <w:t>十一、补充协议</w:t>
      </w:r>
      <w:bookmarkEnd w:id="87"/>
    </w:p>
    <w:p w14:paraId="5F8E8C68">
      <w:pPr>
        <w:pStyle w:val="71"/>
        <w:spacing w:line="240" w:lineRule="auto"/>
        <w:ind w:firstLine="440" w:firstLineChars="200"/>
        <w:rPr>
          <w:rFonts w:hAnsi="宋体"/>
          <w:bCs/>
          <w:color w:val="auto"/>
          <w:sz w:val="22"/>
          <w:highlight w:val="none"/>
        </w:rPr>
      </w:pPr>
      <w:r>
        <w:rPr>
          <w:rFonts w:hAnsi="宋体"/>
          <w:bCs/>
          <w:color w:val="auto"/>
          <w:sz w:val="22"/>
          <w:highlight w:val="none"/>
        </w:rPr>
        <w:t>合同未尽事宜，合同当事人另行签订补充协议，补充协议是合同的组成部分。</w:t>
      </w:r>
    </w:p>
    <w:p w14:paraId="1B83846B">
      <w:pPr>
        <w:pStyle w:val="71"/>
        <w:spacing w:line="240" w:lineRule="auto"/>
        <w:ind w:firstLine="442" w:firstLineChars="200"/>
        <w:rPr>
          <w:b/>
          <w:bCs/>
          <w:color w:val="auto"/>
          <w:sz w:val="22"/>
          <w:highlight w:val="none"/>
        </w:rPr>
      </w:pPr>
      <w:bookmarkStart w:id="88" w:name="_Toc351203492"/>
      <w:r>
        <w:rPr>
          <w:rFonts w:hAnsi="宋体"/>
          <w:b/>
          <w:bCs/>
          <w:color w:val="auto"/>
          <w:sz w:val="22"/>
          <w:highlight w:val="none"/>
        </w:rPr>
        <w:t>十二、合同生效</w:t>
      </w:r>
      <w:bookmarkEnd w:id="88"/>
    </w:p>
    <w:p w14:paraId="45CBE195">
      <w:pPr>
        <w:pStyle w:val="71"/>
        <w:spacing w:line="240" w:lineRule="auto"/>
        <w:ind w:firstLine="440" w:firstLineChars="200"/>
        <w:rPr>
          <w:rFonts w:hAnsi="宋体"/>
          <w:bCs/>
          <w:color w:val="auto"/>
          <w:sz w:val="22"/>
          <w:highlight w:val="none"/>
        </w:rPr>
      </w:pPr>
      <w:r>
        <w:rPr>
          <w:rFonts w:hAnsi="宋体"/>
          <w:bCs/>
          <w:color w:val="auto"/>
          <w:sz w:val="22"/>
          <w:highlight w:val="none"/>
        </w:rPr>
        <w:t>本合同自</w:t>
      </w:r>
      <w:r>
        <w:rPr>
          <w:bCs/>
          <w:color w:val="auto"/>
          <w:sz w:val="22"/>
          <w:highlight w:val="none"/>
          <w:u w:val="single"/>
        </w:rPr>
        <w:t xml:space="preserve"> </w:t>
      </w:r>
      <w:r>
        <w:rPr>
          <w:rFonts w:hint="eastAsia"/>
          <w:bCs/>
          <w:color w:val="auto"/>
          <w:sz w:val="22"/>
          <w:highlight w:val="none"/>
          <w:u w:val="single"/>
          <w:lang w:eastAsia="zh-CN"/>
        </w:rPr>
        <w:t>双方法定代表人签字或签章并加盖单位公章或合同专用章后</w:t>
      </w:r>
      <w:r>
        <w:rPr>
          <w:bCs/>
          <w:color w:val="auto"/>
          <w:sz w:val="22"/>
          <w:highlight w:val="none"/>
          <w:u w:val="single"/>
        </w:rPr>
        <w:t xml:space="preserve"> </w:t>
      </w:r>
      <w:r>
        <w:rPr>
          <w:rFonts w:hAnsi="宋体"/>
          <w:bCs/>
          <w:color w:val="auto"/>
          <w:sz w:val="22"/>
          <w:highlight w:val="none"/>
        </w:rPr>
        <w:t>生效。</w:t>
      </w:r>
    </w:p>
    <w:p w14:paraId="1FB77929">
      <w:pPr>
        <w:pStyle w:val="71"/>
        <w:spacing w:line="240" w:lineRule="auto"/>
        <w:ind w:firstLine="442" w:firstLineChars="200"/>
        <w:rPr>
          <w:b/>
          <w:bCs/>
          <w:color w:val="auto"/>
          <w:sz w:val="22"/>
          <w:highlight w:val="none"/>
        </w:rPr>
      </w:pPr>
      <w:bookmarkStart w:id="89" w:name="_Toc351203493"/>
      <w:r>
        <w:rPr>
          <w:rFonts w:hAnsi="宋体"/>
          <w:b/>
          <w:bCs/>
          <w:color w:val="auto"/>
          <w:sz w:val="22"/>
          <w:highlight w:val="none"/>
        </w:rPr>
        <w:t>十三、合同份数</w:t>
      </w:r>
      <w:bookmarkEnd w:id="89"/>
    </w:p>
    <w:p w14:paraId="6ED43253">
      <w:pPr>
        <w:pStyle w:val="71"/>
        <w:spacing w:line="240" w:lineRule="auto"/>
        <w:ind w:firstLine="440" w:firstLineChars="200"/>
        <w:rPr>
          <w:bCs/>
          <w:color w:val="auto"/>
          <w:sz w:val="22"/>
          <w:highlight w:val="none"/>
        </w:rPr>
      </w:pPr>
      <w:r>
        <w:rPr>
          <w:rFonts w:hAnsi="宋体"/>
          <w:bCs/>
          <w:color w:val="auto"/>
          <w:sz w:val="22"/>
          <w:highlight w:val="none"/>
        </w:rPr>
        <w:t>本合同一式</w:t>
      </w:r>
      <w:r>
        <w:rPr>
          <w:bCs/>
          <w:color w:val="auto"/>
          <w:sz w:val="22"/>
          <w:highlight w:val="none"/>
          <w:u w:val="single"/>
        </w:rPr>
        <w:t xml:space="preserve"> </w:t>
      </w:r>
      <w:r>
        <w:rPr>
          <w:rFonts w:hint="eastAsia"/>
          <w:bCs/>
          <w:color w:val="auto"/>
          <w:sz w:val="22"/>
          <w:highlight w:val="none"/>
          <w:u w:val="single"/>
          <w:lang w:val="en-US" w:eastAsia="zh-CN"/>
        </w:rPr>
        <w:t>陆</w:t>
      </w:r>
      <w:r>
        <w:rPr>
          <w:bCs/>
          <w:color w:val="auto"/>
          <w:sz w:val="22"/>
          <w:highlight w:val="none"/>
          <w:u w:val="single"/>
        </w:rPr>
        <w:t xml:space="preserve"> </w:t>
      </w:r>
      <w:r>
        <w:rPr>
          <w:rFonts w:hAnsi="宋体"/>
          <w:bCs/>
          <w:color w:val="auto"/>
          <w:sz w:val="22"/>
          <w:highlight w:val="none"/>
        </w:rPr>
        <w:t>份，均具有同等法律效力，发包人执</w:t>
      </w:r>
      <w:r>
        <w:rPr>
          <w:bCs/>
          <w:color w:val="auto"/>
          <w:sz w:val="22"/>
          <w:highlight w:val="none"/>
          <w:u w:val="single"/>
        </w:rPr>
        <w:t xml:space="preserve">  </w:t>
      </w:r>
      <w:r>
        <w:rPr>
          <w:rFonts w:hint="eastAsia"/>
          <w:bCs/>
          <w:color w:val="auto"/>
          <w:sz w:val="22"/>
          <w:highlight w:val="none"/>
          <w:u w:val="single"/>
          <w:lang w:val="en-US" w:eastAsia="zh-CN"/>
        </w:rPr>
        <w:t>肆</w:t>
      </w:r>
      <w:r>
        <w:rPr>
          <w:bCs/>
          <w:color w:val="auto"/>
          <w:sz w:val="22"/>
          <w:highlight w:val="none"/>
          <w:u w:val="single"/>
        </w:rPr>
        <w:t xml:space="preserve">  </w:t>
      </w:r>
      <w:r>
        <w:rPr>
          <w:rFonts w:hAnsi="宋体"/>
          <w:bCs/>
          <w:color w:val="auto"/>
          <w:sz w:val="22"/>
          <w:highlight w:val="none"/>
        </w:rPr>
        <w:t>份，承包人执</w:t>
      </w:r>
      <w:r>
        <w:rPr>
          <w:bCs/>
          <w:color w:val="auto"/>
          <w:sz w:val="22"/>
          <w:highlight w:val="none"/>
          <w:u w:val="single"/>
        </w:rPr>
        <w:t xml:space="preserve">  </w:t>
      </w:r>
      <w:r>
        <w:rPr>
          <w:rFonts w:hint="eastAsia"/>
          <w:bCs/>
          <w:color w:val="auto"/>
          <w:sz w:val="22"/>
          <w:highlight w:val="none"/>
          <w:u w:val="single"/>
          <w:lang w:val="en-US" w:eastAsia="zh-CN"/>
        </w:rPr>
        <w:t>贰</w:t>
      </w:r>
      <w:r>
        <w:rPr>
          <w:bCs/>
          <w:color w:val="auto"/>
          <w:sz w:val="22"/>
          <w:highlight w:val="none"/>
          <w:u w:val="single"/>
        </w:rPr>
        <w:t xml:space="preserve">  </w:t>
      </w:r>
      <w:r>
        <w:rPr>
          <w:rFonts w:hAnsi="宋体"/>
          <w:bCs/>
          <w:color w:val="auto"/>
          <w:sz w:val="22"/>
          <w:highlight w:val="none"/>
        </w:rPr>
        <w:t>份。</w:t>
      </w:r>
    </w:p>
    <w:p w14:paraId="6CC7C59F">
      <w:pPr>
        <w:pStyle w:val="71"/>
        <w:spacing w:line="240" w:lineRule="auto"/>
        <w:rPr>
          <w:bCs/>
          <w:color w:val="auto"/>
          <w:sz w:val="22"/>
          <w:highlight w:val="none"/>
        </w:rPr>
      </w:pPr>
    </w:p>
    <w:p w14:paraId="47167F16">
      <w:pPr>
        <w:pStyle w:val="71"/>
        <w:spacing w:line="240" w:lineRule="auto"/>
        <w:ind w:firstLine="442" w:firstLineChars="200"/>
        <w:rPr>
          <w:rFonts w:hint="default"/>
          <w:b/>
          <w:bCs/>
          <w:color w:val="auto"/>
          <w:sz w:val="22"/>
          <w:highlight w:val="none"/>
          <w:lang w:val="en-US"/>
        </w:rPr>
      </w:pPr>
      <w:r>
        <w:rPr>
          <w:rFonts w:hAnsi="宋体"/>
          <w:b/>
          <w:bCs/>
          <w:color w:val="auto"/>
          <w:sz w:val="22"/>
          <w:highlight w:val="none"/>
        </w:rPr>
        <w:t>发包人：</w:t>
      </w:r>
      <w:r>
        <w:rPr>
          <w:rFonts w:hint="eastAsia" w:hAnsi="宋体"/>
          <w:b/>
          <w:bCs/>
          <w:color w:val="auto"/>
          <w:sz w:val="22"/>
          <w:highlight w:val="none"/>
          <w:u w:val="single"/>
          <w:lang w:eastAsia="zh-CN"/>
        </w:rPr>
        <w:t>防城港市港口区人民法院</w:t>
      </w:r>
      <w:r>
        <w:rPr>
          <w:rFonts w:hint="eastAsia" w:hAnsi="宋体"/>
          <w:b/>
          <w:bCs/>
          <w:color w:val="auto"/>
          <w:sz w:val="22"/>
          <w:highlight w:val="none"/>
          <w:u w:val="single"/>
        </w:rPr>
        <w:t xml:space="preserve"> </w:t>
      </w:r>
      <w:r>
        <w:rPr>
          <w:b/>
          <w:bCs/>
          <w:color w:val="auto"/>
          <w:sz w:val="22"/>
          <w:highlight w:val="none"/>
        </w:rPr>
        <w:t xml:space="preserve">    </w:t>
      </w:r>
      <w:r>
        <w:rPr>
          <w:rFonts w:hint="eastAsia"/>
          <w:b/>
          <w:bCs/>
          <w:color w:val="auto"/>
          <w:sz w:val="22"/>
          <w:highlight w:val="none"/>
          <w:lang w:val="en-US" w:eastAsia="zh-CN"/>
        </w:rPr>
        <w:t xml:space="preserve">     </w:t>
      </w:r>
      <w:r>
        <w:rPr>
          <w:b/>
          <w:bCs/>
          <w:color w:val="auto"/>
          <w:sz w:val="22"/>
          <w:highlight w:val="none"/>
        </w:rPr>
        <w:t xml:space="preserve">  </w:t>
      </w:r>
      <w:r>
        <w:rPr>
          <w:rFonts w:hint="eastAsia"/>
          <w:b/>
          <w:bCs/>
          <w:color w:val="auto"/>
          <w:sz w:val="22"/>
          <w:highlight w:val="none"/>
          <w:lang w:val="en-US" w:eastAsia="zh-CN"/>
        </w:rPr>
        <w:t xml:space="preserve">      </w:t>
      </w:r>
      <w:r>
        <w:rPr>
          <w:rFonts w:hAnsi="宋体"/>
          <w:b/>
          <w:bCs/>
          <w:color w:val="auto"/>
          <w:sz w:val="22"/>
          <w:highlight w:val="none"/>
        </w:rPr>
        <w:t>承包人：</w:t>
      </w:r>
      <w:r>
        <w:rPr>
          <w:rFonts w:hint="eastAsia" w:hAnsi="宋体"/>
          <w:b/>
          <w:bCs/>
          <w:color w:val="auto"/>
          <w:sz w:val="22"/>
          <w:highlight w:val="none"/>
          <w:lang w:val="en-US" w:eastAsia="zh-CN"/>
        </w:rPr>
        <w:t xml:space="preserve"> </w:t>
      </w:r>
    </w:p>
    <w:p w14:paraId="379D2CCE">
      <w:pPr>
        <w:pStyle w:val="71"/>
        <w:spacing w:line="240" w:lineRule="auto"/>
        <w:ind w:firstLine="442" w:firstLineChars="200"/>
        <w:rPr>
          <w:b/>
          <w:bCs/>
          <w:color w:val="auto"/>
          <w:sz w:val="22"/>
          <w:highlight w:val="none"/>
          <w:u w:val="single"/>
        </w:rPr>
      </w:pPr>
      <w:r>
        <w:rPr>
          <w:rFonts w:hint="eastAsia"/>
          <w:b/>
          <w:bCs/>
          <w:color w:val="auto"/>
          <w:sz w:val="22"/>
          <w:highlight w:val="none"/>
        </w:rPr>
        <w:t>（</w:t>
      </w:r>
      <w:r>
        <w:rPr>
          <w:rFonts w:hint="eastAsia"/>
          <w:b/>
          <w:bCs/>
          <w:color w:val="auto"/>
          <w:sz w:val="22"/>
          <w:highlight w:val="none"/>
          <w:lang w:eastAsia="zh-CN"/>
        </w:rPr>
        <w:t>公章或合同专用章</w:t>
      </w:r>
      <w:r>
        <w:rPr>
          <w:rFonts w:hint="eastAsia"/>
          <w:b/>
          <w:bCs/>
          <w:color w:val="auto"/>
          <w:sz w:val="22"/>
          <w:highlight w:val="none"/>
        </w:rPr>
        <w:t>）</w:t>
      </w:r>
      <w:r>
        <w:rPr>
          <w:b/>
          <w:bCs/>
          <w:color w:val="auto"/>
          <w:sz w:val="22"/>
          <w:highlight w:val="none"/>
        </w:rPr>
        <w:t xml:space="preserve"> </w:t>
      </w:r>
      <w:r>
        <w:rPr>
          <w:rFonts w:hint="eastAsia"/>
          <w:b/>
          <w:bCs/>
          <w:color w:val="auto"/>
          <w:sz w:val="22"/>
          <w:highlight w:val="none"/>
          <w:lang w:val="en-US" w:eastAsia="zh-CN"/>
        </w:rPr>
        <w:t xml:space="preserve">                            </w:t>
      </w:r>
      <w:r>
        <w:rPr>
          <w:rFonts w:hint="eastAsia"/>
          <w:b/>
          <w:bCs/>
          <w:color w:val="auto"/>
          <w:sz w:val="22"/>
          <w:highlight w:val="none"/>
        </w:rPr>
        <w:t>（</w:t>
      </w:r>
      <w:r>
        <w:rPr>
          <w:rFonts w:hint="eastAsia"/>
          <w:b/>
          <w:bCs/>
          <w:color w:val="auto"/>
          <w:sz w:val="22"/>
          <w:highlight w:val="none"/>
          <w:lang w:eastAsia="zh-CN"/>
        </w:rPr>
        <w:t>公章或合同专用章</w:t>
      </w:r>
      <w:r>
        <w:rPr>
          <w:rFonts w:hint="eastAsia"/>
          <w:b/>
          <w:bCs/>
          <w:color w:val="auto"/>
          <w:sz w:val="22"/>
          <w:highlight w:val="none"/>
        </w:rPr>
        <w:t>）</w:t>
      </w:r>
    </w:p>
    <w:p w14:paraId="7E101665">
      <w:pPr>
        <w:pStyle w:val="71"/>
        <w:spacing w:line="240" w:lineRule="auto"/>
        <w:ind w:firstLine="442" w:firstLineChars="200"/>
        <w:rPr>
          <w:b/>
          <w:bCs/>
          <w:color w:val="auto"/>
          <w:sz w:val="22"/>
          <w:highlight w:val="none"/>
          <w:u w:val="none"/>
        </w:rPr>
      </w:pPr>
      <w:r>
        <w:rPr>
          <w:rFonts w:hAnsi="宋体"/>
          <w:b/>
          <w:bCs/>
          <w:color w:val="auto"/>
          <w:sz w:val="22"/>
          <w:highlight w:val="none"/>
        </w:rPr>
        <w:t>法定代表人</w:t>
      </w:r>
      <w:r>
        <w:rPr>
          <w:rFonts w:hAnsi="宋体"/>
          <w:b/>
          <w:bCs/>
          <w:color w:val="auto"/>
          <w:sz w:val="22"/>
          <w:highlight w:val="none"/>
          <w:u w:val="none"/>
        </w:rPr>
        <w:t>（</w:t>
      </w:r>
      <w:r>
        <w:rPr>
          <w:rFonts w:hint="eastAsia"/>
          <w:b/>
          <w:bCs/>
          <w:color w:val="auto"/>
          <w:sz w:val="22"/>
          <w:highlight w:val="none"/>
          <w:u w:val="none"/>
          <w:lang w:eastAsia="zh-CN"/>
        </w:rPr>
        <w:t>签字或签章</w:t>
      </w:r>
      <w:r>
        <w:rPr>
          <w:rFonts w:hAnsi="宋体"/>
          <w:b/>
          <w:bCs/>
          <w:color w:val="auto"/>
          <w:sz w:val="22"/>
          <w:highlight w:val="none"/>
          <w:u w:val="none"/>
        </w:rPr>
        <w:t>）</w:t>
      </w:r>
      <w:r>
        <w:rPr>
          <w:rFonts w:hAnsi="宋体"/>
          <w:b/>
          <w:bCs/>
          <w:color w:val="auto"/>
          <w:sz w:val="22"/>
          <w:highlight w:val="none"/>
        </w:rPr>
        <w:t>：</w:t>
      </w:r>
      <w:r>
        <w:rPr>
          <w:b/>
          <w:bCs/>
          <w:color w:val="auto"/>
          <w:sz w:val="22"/>
          <w:highlight w:val="none"/>
        </w:rPr>
        <w:t xml:space="preserve">                    </w:t>
      </w:r>
      <w:r>
        <w:rPr>
          <w:rFonts w:hAnsi="宋体"/>
          <w:b/>
          <w:bCs/>
          <w:color w:val="auto"/>
          <w:sz w:val="22"/>
          <w:highlight w:val="none"/>
        </w:rPr>
        <w:t>法定代表人</w:t>
      </w:r>
      <w:r>
        <w:rPr>
          <w:rFonts w:hAnsi="宋体"/>
          <w:b/>
          <w:bCs/>
          <w:color w:val="auto"/>
          <w:sz w:val="22"/>
          <w:highlight w:val="none"/>
          <w:u w:val="none"/>
        </w:rPr>
        <w:t>（</w:t>
      </w:r>
      <w:r>
        <w:rPr>
          <w:rFonts w:hint="eastAsia"/>
          <w:b/>
          <w:bCs/>
          <w:color w:val="auto"/>
          <w:sz w:val="22"/>
          <w:highlight w:val="none"/>
          <w:u w:val="none"/>
          <w:lang w:eastAsia="zh-CN"/>
        </w:rPr>
        <w:t>签字或签章</w:t>
      </w:r>
      <w:r>
        <w:rPr>
          <w:rFonts w:hAnsi="宋体"/>
          <w:b/>
          <w:bCs/>
          <w:color w:val="auto"/>
          <w:sz w:val="22"/>
          <w:highlight w:val="none"/>
          <w:u w:val="none"/>
        </w:rPr>
        <w:t>）</w:t>
      </w:r>
      <w:r>
        <w:rPr>
          <w:rFonts w:hAnsi="宋体"/>
          <w:b/>
          <w:bCs/>
          <w:color w:val="auto"/>
          <w:sz w:val="22"/>
          <w:highlight w:val="none"/>
        </w:rPr>
        <w:t>：</w:t>
      </w:r>
    </w:p>
    <w:p w14:paraId="24DF1752">
      <w:pPr>
        <w:pStyle w:val="71"/>
        <w:spacing w:line="240" w:lineRule="auto"/>
        <w:rPr>
          <w:color w:val="auto"/>
          <w:sz w:val="22"/>
          <w:highlight w:val="none"/>
          <w:u w:val="none"/>
        </w:rPr>
      </w:pPr>
    </w:p>
    <w:p w14:paraId="7AA70370">
      <w:pPr>
        <w:pStyle w:val="71"/>
        <w:spacing w:line="240" w:lineRule="auto"/>
        <w:rPr>
          <w:color w:val="auto"/>
          <w:sz w:val="22"/>
          <w:highlight w:val="none"/>
          <w:u w:val="none"/>
        </w:rPr>
      </w:pPr>
    </w:p>
    <w:p w14:paraId="4FB2EE05">
      <w:pPr>
        <w:tabs>
          <w:tab w:val="left" w:pos="4410"/>
        </w:tabs>
        <w:spacing w:line="400" w:lineRule="exact"/>
        <w:ind w:firstLine="420" w:firstLineChars="200"/>
        <w:rPr>
          <w:rFonts w:ascii="宋体" w:hAnsi="宋体"/>
          <w:color w:val="auto"/>
          <w:szCs w:val="21"/>
          <w:highlight w:val="none"/>
        </w:rPr>
      </w:pPr>
      <w:r>
        <w:rPr>
          <w:rFonts w:ascii="宋体" w:hAnsi="宋体"/>
          <w:color w:val="auto"/>
          <w:szCs w:val="21"/>
          <w:highlight w:val="none"/>
        </w:rPr>
        <w:t>组织机构代码：</w:t>
      </w:r>
      <w:r>
        <w:rPr>
          <w:rFonts w:ascii="宋体" w:hAnsi="宋体"/>
          <w:color w:val="auto"/>
          <w:szCs w:val="21"/>
          <w:highlight w:val="none"/>
          <w:u w:val="single"/>
        </w:rPr>
        <w:t xml:space="preserve">       </w:t>
      </w:r>
      <w:r>
        <w:rPr>
          <w:rFonts w:ascii="宋体" w:hAnsi="宋体"/>
          <w:color w:val="auto"/>
          <w:szCs w:val="21"/>
          <w:highlight w:val="none"/>
        </w:rPr>
        <w:t xml:space="preserve">                  组织机构代码：</w:t>
      </w:r>
      <w:r>
        <w:rPr>
          <w:rFonts w:hint="eastAsia" w:ascii="宋体" w:hAnsi="宋体"/>
          <w:color w:val="auto"/>
          <w:szCs w:val="21"/>
          <w:highlight w:val="none"/>
          <w:u w:val="single"/>
          <w:lang w:val="en-US" w:eastAsia="zh-CN"/>
        </w:rPr>
        <w:t xml:space="preserve">                        </w:t>
      </w:r>
      <w:r>
        <w:rPr>
          <w:rFonts w:ascii="宋体" w:hAnsi="宋体"/>
          <w:color w:val="auto"/>
          <w:szCs w:val="21"/>
          <w:highlight w:val="none"/>
        </w:rPr>
        <w:t xml:space="preserve"> </w:t>
      </w:r>
    </w:p>
    <w:p w14:paraId="3BA1A61D">
      <w:pPr>
        <w:spacing w:line="400" w:lineRule="exact"/>
        <w:ind w:firstLine="420" w:firstLineChars="200"/>
        <w:rPr>
          <w:rFonts w:hint="default" w:ascii="宋体" w:hAnsi="宋体" w:eastAsia="宋体"/>
          <w:color w:val="auto"/>
          <w:szCs w:val="21"/>
          <w:highlight w:val="none"/>
          <w:lang w:val="en-US" w:eastAsia="zh-CN"/>
        </w:rPr>
      </w:pPr>
      <w:r>
        <w:rPr>
          <w:rFonts w:ascii="宋体" w:hAnsi="宋体"/>
          <w:color w:val="auto"/>
          <w:szCs w:val="21"/>
          <w:highlight w:val="none"/>
        </w:rPr>
        <w:t>地  址：</w:t>
      </w:r>
      <w:r>
        <w:rPr>
          <w:rFonts w:ascii="宋体" w:hAnsi="宋体"/>
          <w:color w:val="auto"/>
          <w:szCs w:val="21"/>
          <w:highlight w:val="none"/>
          <w:u w:val="single"/>
        </w:rPr>
        <w:t xml:space="preserve">     </w:t>
      </w:r>
      <w:r>
        <w:rPr>
          <w:rFonts w:ascii="宋体" w:hAnsi="宋体"/>
          <w:color w:val="auto"/>
          <w:szCs w:val="21"/>
          <w:highlight w:val="none"/>
        </w:rPr>
        <w:t xml:space="preserve">                  地  址：</w:t>
      </w:r>
      <w:r>
        <w:rPr>
          <w:rFonts w:hint="eastAsia" w:ascii="宋体" w:hAnsi="宋体"/>
          <w:color w:val="auto"/>
          <w:szCs w:val="21"/>
          <w:highlight w:val="none"/>
          <w:u w:val="single"/>
          <w:lang w:val="en-US" w:eastAsia="zh-CN"/>
        </w:rPr>
        <w:t xml:space="preserve">    （公司地址，必填）        </w:t>
      </w:r>
    </w:p>
    <w:p w14:paraId="230E11D9">
      <w:pPr>
        <w:spacing w:line="400" w:lineRule="exact"/>
        <w:ind w:firstLine="420" w:firstLineChars="200"/>
        <w:rPr>
          <w:rFonts w:ascii="宋体" w:hAnsi="宋体"/>
          <w:color w:val="auto"/>
          <w:szCs w:val="21"/>
          <w:highlight w:val="none"/>
        </w:rPr>
      </w:pPr>
      <w:r>
        <w:rPr>
          <w:rFonts w:ascii="宋体" w:hAnsi="宋体"/>
          <w:color w:val="auto"/>
          <w:szCs w:val="21"/>
          <w:highlight w:val="none"/>
        </w:rPr>
        <w:t>邮政编码：</w:t>
      </w:r>
      <w:r>
        <w:rPr>
          <w:rFonts w:ascii="宋体" w:hAnsi="宋体"/>
          <w:color w:val="auto"/>
          <w:szCs w:val="21"/>
          <w:highlight w:val="none"/>
          <w:u w:val="single"/>
        </w:rPr>
        <w:t xml:space="preserve">      </w:t>
      </w:r>
      <w:r>
        <w:rPr>
          <w:rFonts w:ascii="宋体" w:hAnsi="宋体"/>
          <w:color w:val="auto"/>
          <w:szCs w:val="21"/>
          <w:highlight w:val="none"/>
        </w:rPr>
        <w:t xml:space="preserve">                 邮政编码：</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09E80328">
      <w:pPr>
        <w:spacing w:line="400" w:lineRule="exact"/>
        <w:ind w:firstLine="420" w:firstLineChars="200"/>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      </w:t>
      </w:r>
      <w:r>
        <w:rPr>
          <w:rFonts w:ascii="宋体" w:hAnsi="宋体"/>
          <w:color w:val="auto"/>
          <w:szCs w:val="21"/>
          <w:highlight w:val="none"/>
        </w:rPr>
        <w:t xml:space="preserve">                  法定代表人：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4E46033A">
      <w:pPr>
        <w:spacing w:line="400" w:lineRule="exact"/>
        <w:ind w:firstLine="420" w:firstLineChars="200"/>
        <w:rPr>
          <w:rFonts w:ascii="宋体" w:hAnsi="宋体"/>
          <w:color w:val="auto"/>
          <w:szCs w:val="21"/>
          <w:highlight w:val="none"/>
        </w:rPr>
      </w:pPr>
      <w:r>
        <w:rPr>
          <w:rFonts w:ascii="宋体" w:hAnsi="宋体"/>
          <w:color w:val="auto"/>
          <w:szCs w:val="21"/>
          <w:highlight w:val="none"/>
        </w:rPr>
        <w:t>电  话：</w:t>
      </w:r>
      <w:r>
        <w:rPr>
          <w:rFonts w:ascii="宋体" w:hAnsi="宋体"/>
          <w:color w:val="auto"/>
          <w:szCs w:val="21"/>
          <w:highlight w:val="none"/>
          <w:u w:val="single"/>
        </w:rPr>
        <w:t xml:space="preserve">   </w:t>
      </w:r>
      <w:r>
        <w:rPr>
          <w:rFonts w:ascii="宋体" w:hAnsi="宋体"/>
          <w:color w:val="auto"/>
          <w:szCs w:val="21"/>
          <w:highlight w:val="none"/>
        </w:rPr>
        <w:t xml:space="preserve">                  电  话：</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（固定电话，必填）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56DCE3C3">
      <w:pPr>
        <w:spacing w:line="400" w:lineRule="exact"/>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ascii="宋体" w:hAnsi="宋体"/>
          <w:color w:val="auto"/>
          <w:szCs w:val="21"/>
          <w:highlight w:val="none"/>
        </w:rPr>
        <w:t xml:space="preserve">                  电子信箱</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（公司邮箱，必填）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76791D23">
      <w:pPr>
        <w:spacing w:line="400" w:lineRule="exact"/>
        <w:ind w:firstLine="420" w:firstLineChars="200"/>
        <w:rPr>
          <w:rFonts w:hint="default" w:ascii="宋体" w:hAnsi="宋体"/>
          <w:color w:val="auto"/>
          <w:szCs w:val="21"/>
          <w:highlight w:val="none"/>
          <w:lang w:val="en-US"/>
        </w:rPr>
      </w:pPr>
      <w:r>
        <w:rPr>
          <w:rFonts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开户银行：</w:t>
      </w:r>
      <w:r>
        <w:rPr>
          <w:rFonts w:hint="eastAsia" w:ascii="宋体" w:hAnsi="宋体"/>
          <w:color w:val="auto"/>
          <w:szCs w:val="21"/>
          <w:highlight w:val="none"/>
          <w:u w:val="single"/>
          <w:lang w:val="en-US" w:eastAsia="zh-CN"/>
        </w:rPr>
        <w:t xml:space="preserve">                            </w:t>
      </w:r>
    </w:p>
    <w:p w14:paraId="5A9E5142">
      <w:pPr>
        <w:spacing w:line="400" w:lineRule="exact"/>
        <w:ind w:firstLine="420" w:firstLineChars="200"/>
        <w:rPr>
          <w:rFonts w:hint="eastAsia"/>
          <w:color w:val="auto"/>
          <w:sz w:val="20"/>
          <w:highlight w:val="none"/>
        </w:rPr>
      </w:pPr>
      <w:r>
        <w:rPr>
          <w:rFonts w:ascii="宋体" w:hAnsi="宋体"/>
          <w:color w:val="auto"/>
          <w:szCs w:val="21"/>
          <w:highlight w:val="none"/>
        </w:rPr>
        <w:t>账  号：</w:t>
      </w:r>
      <w:r>
        <w:rPr>
          <w:rFonts w:ascii="宋体" w:hAnsi="宋体"/>
          <w:color w:val="auto"/>
          <w:szCs w:val="21"/>
          <w:highlight w:val="none"/>
          <w:u w:val="single"/>
        </w:rPr>
        <w:t xml:space="preserve">       </w:t>
      </w:r>
      <w:r>
        <w:rPr>
          <w:rFonts w:ascii="宋体" w:hAnsi="宋体"/>
          <w:color w:val="auto"/>
          <w:szCs w:val="21"/>
          <w:highlight w:val="none"/>
        </w:rPr>
        <w:t xml:space="preserve">                  账  号：</w:t>
      </w:r>
      <w:r>
        <w:rPr>
          <w:rFonts w:hint="eastAsia" w:ascii="宋体" w:hAnsi="宋体"/>
          <w:color w:val="auto"/>
          <w:szCs w:val="21"/>
          <w:highlight w:val="none"/>
          <w:u w:val="single"/>
          <w:lang w:val="en-US" w:eastAsia="zh-CN"/>
        </w:rPr>
        <w:t xml:space="preserve">                              </w:t>
      </w:r>
      <w:r>
        <w:rPr>
          <w:rFonts w:hint="eastAsia"/>
          <w:color w:val="auto"/>
          <w:sz w:val="20"/>
          <w:highlight w:val="none"/>
        </w:rPr>
        <w:t xml:space="preserve"> </w:t>
      </w:r>
      <w:bookmarkEnd w:id="76"/>
    </w:p>
    <w:p w14:paraId="5AE4C0E2">
      <w:pPr>
        <w:widowControl/>
        <w:spacing w:line="240" w:lineRule="auto"/>
        <w:jc w:val="left"/>
        <w:rPr>
          <w:color w:val="auto"/>
          <w:highlight w:val="none"/>
          <w:u w:val="single"/>
        </w:rPr>
      </w:pPr>
    </w:p>
    <w:p w14:paraId="51D11F1D">
      <w:pPr>
        <w:widowControl/>
        <w:spacing w:line="240" w:lineRule="auto"/>
        <w:jc w:val="left"/>
        <w:rPr>
          <w:color w:val="auto"/>
          <w:highlight w:val="none"/>
          <w:u w:val="single"/>
        </w:rPr>
      </w:pPr>
    </w:p>
    <w:p w14:paraId="713258FB">
      <w:pPr>
        <w:pStyle w:val="3"/>
        <w:keepNext w:val="0"/>
        <w:ind w:firstLine="602" w:firstLineChars="200"/>
        <w:jc w:val="center"/>
        <w:rPr>
          <w:rFonts w:hint="eastAsia" w:hAnsi="宋体" w:cs="黑体"/>
          <w:color w:val="auto"/>
          <w:sz w:val="30"/>
          <w:szCs w:val="30"/>
          <w:highlight w:val="none"/>
        </w:rPr>
      </w:pPr>
      <w:bookmarkStart w:id="90" w:name="_Toc407135192"/>
      <w:bookmarkStart w:id="91" w:name="_Toc9850520"/>
      <w:bookmarkStart w:id="92" w:name="_Toc256000100"/>
      <w:bookmarkStart w:id="93" w:name="_Toc389065256"/>
      <w:bookmarkStart w:id="94" w:name="_Toc351203632"/>
      <w:bookmarkStart w:id="95" w:name="_Toc373478338"/>
      <w:bookmarkStart w:id="96" w:name="_Toc373227691"/>
      <w:r>
        <w:rPr>
          <w:rFonts w:hint="eastAsia" w:hAnsi="宋体" w:cs="黑体"/>
          <w:color w:val="auto"/>
          <w:sz w:val="30"/>
          <w:szCs w:val="30"/>
          <w:highlight w:val="none"/>
        </w:rPr>
        <w:t>第二部分 通用合同条款</w:t>
      </w:r>
      <w:bookmarkEnd w:id="90"/>
      <w:bookmarkEnd w:id="91"/>
      <w:bookmarkEnd w:id="92"/>
      <w:bookmarkEnd w:id="93"/>
    </w:p>
    <w:p w14:paraId="34AE60E3">
      <w:pPr>
        <w:spacing w:line="360" w:lineRule="auto"/>
        <w:ind w:firstLine="420" w:firstLineChars="200"/>
        <w:rPr>
          <w:rFonts w:hAnsi="宋体"/>
          <w:color w:val="auto"/>
          <w:kern w:val="0"/>
          <w:highlight w:val="none"/>
        </w:rPr>
      </w:pPr>
    </w:p>
    <w:p w14:paraId="155532DE">
      <w:pPr>
        <w:spacing w:line="360" w:lineRule="auto"/>
        <w:ind w:firstLine="422" w:firstLineChars="200"/>
        <w:rPr>
          <w:rFonts w:hAnsi="宋体"/>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6284C035">
      <w:pPr>
        <w:spacing w:line="360" w:lineRule="auto"/>
        <w:ind w:firstLine="420" w:firstLineChars="200"/>
        <w:rPr>
          <w:rFonts w:hAnsi="宋体"/>
          <w:color w:val="auto"/>
          <w:kern w:val="0"/>
          <w:highlight w:val="none"/>
        </w:rPr>
      </w:pPr>
    </w:p>
    <w:p w14:paraId="5B08ABEB">
      <w:pPr>
        <w:spacing w:line="360" w:lineRule="auto"/>
        <w:ind w:firstLine="422" w:firstLineChars="200"/>
        <w:rPr>
          <w:rFonts w:hAnsi="宋体"/>
          <w:b/>
          <w:bCs/>
          <w:color w:val="auto"/>
          <w:kern w:val="0"/>
          <w:highlight w:val="none"/>
        </w:rPr>
      </w:pPr>
    </w:p>
    <w:p w14:paraId="7FE568BC">
      <w:pPr>
        <w:pStyle w:val="3"/>
        <w:keepNext w:val="0"/>
        <w:ind w:firstLine="602" w:firstLineChars="200"/>
        <w:jc w:val="center"/>
        <w:rPr>
          <w:rFonts w:hAnsi="宋体"/>
          <w:color w:val="auto"/>
          <w:sz w:val="30"/>
          <w:szCs w:val="30"/>
          <w:highlight w:val="none"/>
        </w:rPr>
      </w:pPr>
      <w:bookmarkStart w:id="97" w:name="_Toc389065257"/>
      <w:bookmarkStart w:id="98" w:name="_Toc407135193"/>
      <w:bookmarkStart w:id="99" w:name="_Toc9850521"/>
      <w:bookmarkStart w:id="100" w:name="_Toc256000101"/>
      <w:r>
        <w:rPr>
          <w:rFonts w:hint="eastAsia" w:hAnsi="宋体" w:cs="黑体"/>
          <w:color w:val="auto"/>
          <w:sz w:val="30"/>
          <w:szCs w:val="30"/>
          <w:highlight w:val="none"/>
        </w:rPr>
        <w:t>第三部分</w:t>
      </w:r>
      <w:r>
        <w:rPr>
          <w:color w:val="auto"/>
          <w:sz w:val="30"/>
          <w:szCs w:val="30"/>
          <w:highlight w:val="none"/>
        </w:rPr>
        <w:t xml:space="preserve"> </w:t>
      </w:r>
      <w:r>
        <w:rPr>
          <w:rFonts w:hint="eastAsia" w:hAnsi="宋体" w:cs="黑体"/>
          <w:color w:val="auto"/>
          <w:sz w:val="30"/>
          <w:szCs w:val="30"/>
          <w:highlight w:val="none"/>
        </w:rPr>
        <w:t>专用合同条款</w:t>
      </w:r>
      <w:bookmarkEnd w:id="94"/>
      <w:bookmarkEnd w:id="95"/>
      <w:bookmarkEnd w:id="96"/>
      <w:bookmarkEnd w:id="97"/>
      <w:bookmarkEnd w:id="98"/>
      <w:bookmarkEnd w:id="99"/>
      <w:bookmarkEnd w:id="100"/>
    </w:p>
    <w:p w14:paraId="3C83ACBF">
      <w:pPr>
        <w:spacing w:line="360" w:lineRule="auto"/>
        <w:ind w:firstLine="422" w:firstLineChars="200"/>
        <w:jc w:val="center"/>
        <w:rPr>
          <w:rFonts w:hAnsi="宋体"/>
          <w:b/>
          <w:bCs/>
          <w:color w:val="auto"/>
          <w:kern w:val="0"/>
          <w:highlight w:val="none"/>
        </w:rPr>
      </w:pPr>
      <w:r>
        <w:rPr>
          <w:rFonts w:hint="eastAsia" w:hAnsi="宋体" w:cs="宋体"/>
          <w:b/>
          <w:bCs/>
          <w:color w:val="auto"/>
          <w:kern w:val="0"/>
          <w:highlight w:val="none"/>
        </w:rPr>
        <w:t>（注：专用合同条款每一条均应填写完整）</w:t>
      </w:r>
    </w:p>
    <w:p w14:paraId="0DBCE914">
      <w:pPr>
        <w:pStyle w:val="73"/>
        <w:spacing w:before="0" w:after="0" w:line="360" w:lineRule="exact"/>
        <w:ind w:firstLine="442" w:firstLineChars="200"/>
        <w:rPr>
          <w:rFonts w:hint="eastAsia" w:ascii="宋体" w:hAnsi="宋体" w:cs="宋体"/>
          <w:color w:val="auto"/>
          <w:sz w:val="22"/>
          <w:szCs w:val="22"/>
          <w:highlight w:val="none"/>
        </w:rPr>
      </w:pPr>
      <w:bookmarkStart w:id="101" w:name="_Toc373227692"/>
      <w:bookmarkStart w:id="102" w:name="_Toc373478339"/>
      <w:bookmarkStart w:id="103" w:name="_Toc351203633"/>
      <w:bookmarkStart w:id="104" w:name="_Toc12975882"/>
      <w:bookmarkStart w:id="105" w:name="_Toc389065258"/>
      <w:bookmarkStart w:id="106" w:name="_Toc533432717"/>
      <w:bookmarkStart w:id="107" w:name="_Toc395382494"/>
      <w:bookmarkStart w:id="108" w:name="_Toc351203652"/>
      <w:r>
        <w:rPr>
          <w:rFonts w:hint="eastAsia" w:ascii="宋体" w:hAnsi="宋体" w:cs="宋体"/>
          <w:color w:val="auto"/>
          <w:sz w:val="22"/>
          <w:szCs w:val="22"/>
          <w:highlight w:val="none"/>
        </w:rPr>
        <w:t>1</w:t>
      </w:r>
      <w:bookmarkStart w:id="109" w:name="_Toc296944495"/>
      <w:bookmarkStart w:id="110" w:name="_Toc296347155"/>
      <w:bookmarkStart w:id="111" w:name="_Toc296891196"/>
      <w:bookmarkStart w:id="112" w:name="_Toc296503156"/>
      <w:bookmarkStart w:id="113" w:name="_Toc296890984"/>
      <w:bookmarkStart w:id="114" w:name="_Toc297120456"/>
      <w:bookmarkStart w:id="115" w:name="_Toc297048342"/>
      <w:bookmarkStart w:id="116" w:name="_Toc292559361"/>
      <w:bookmarkStart w:id="117" w:name="_Toc296346657"/>
      <w:bookmarkStart w:id="118" w:name="_Toc292559866"/>
      <w:r>
        <w:rPr>
          <w:rFonts w:hint="eastAsia" w:ascii="宋体" w:hAnsi="宋体" w:cs="宋体"/>
          <w:color w:val="auto"/>
          <w:sz w:val="22"/>
          <w:szCs w:val="22"/>
          <w:highlight w:val="none"/>
        </w:rPr>
        <w:t>. 一般约定</w:t>
      </w:r>
      <w:bookmarkEnd w:id="101"/>
      <w:bookmarkEnd w:id="102"/>
      <w:bookmarkEnd w:id="103"/>
      <w:bookmarkEnd w:id="104"/>
      <w:bookmarkEnd w:id="105"/>
      <w:bookmarkEnd w:id="106"/>
      <w:bookmarkEnd w:id="107"/>
    </w:p>
    <w:bookmarkEnd w:id="109"/>
    <w:bookmarkEnd w:id="110"/>
    <w:bookmarkEnd w:id="111"/>
    <w:bookmarkEnd w:id="112"/>
    <w:bookmarkEnd w:id="113"/>
    <w:bookmarkEnd w:id="114"/>
    <w:bookmarkEnd w:id="115"/>
    <w:bookmarkEnd w:id="116"/>
    <w:bookmarkEnd w:id="117"/>
    <w:bookmarkEnd w:id="118"/>
    <w:p w14:paraId="7B6B4FD1">
      <w:pPr>
        <w:pStyle w:val="39"/>
        <w:spacing w:line="360" w:lineRule="exact"/>
        <w:ind w:firstLine="442" w:firstLineChars="200"/>
        <w:rPr>
          <w:rFonts w:hint="eastAsia" w:ascii="宋体" w:hAnsi="宋体" w:cs="宋体"/>
          <w:color w:val="auto"/>
          <w:sz w:val="22"/>
          <w:szCs w:val="22"/>
          <w:highlight w:val="none"/>
        </w:rPr>
      </w:pPr>
      <w:bookmarkStart w:id="119" w:name="_Toc373478340"/>
      <w:bookmarkStart w:id="120" w:name="_Toc533432718"/>
      <w:bookmarkStart w:id="121" w:name="_Toc395382495"/>
      <w:bookmarkStart w:id="122" w:name="_Toc373227693"/>
      <w:bookmarkStart w:id="123" w:name="_Toc389065259"/>
      <w:bookmarkStart w:id="124" w:name="_Toc12975883"/>
      <w:r>
        <w:rPr>
          <w:rFonts w:hint="eastAsia" w:ascii="宋体" w:hAnsi="宋体" w:cs="宋体"/>
          <w:color w:val="auto"/>
          <w:sz w:val="22"/>
          <w:szCs w:val="22"/>
          <w:highlight w:val="none"/>
        </w:rPr>
        <w:t>1.1 词语定义</w:t>
      </w:r>
      <w:bookmarkEnd w:id="119"/>
      <w:bookmarkEnd w:id="120"/>
      <w:bookmarkEnd w:id="121"/>
      <w:bookmarkEnd w:id="122"/>
      <w:bookmarkEnd w:id="123"/>
      <w:bookmarkEnd w:id="124"/>
    </w:p>
    <w:p w14:paraId="1D97FA1D">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1.1.1 合同</w:t>
      </w:r>
    </w:p>
    <w:p w14:paraId="62B763AE">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1.1.1.10 其他合同文件包括：</w:t>
      </w:r>
      <w:r>
        <w:rPr>
          <w:rFonts w:hint="eastAsia" w:ascii="宋体" w:hAnsi="宋体" w:cs="宋体"/>
          <w:color w:val="auto"/>
          <w:kern w:val="0"/>
          <w:sz w:val="22"/>
          <w:highlight w:val="none"/>
          <w:u w:val="single"/>
        </w:rPr>
        <w:t>响应文件及其附件，磋商文件（含补充通知和答疑），农民工工资保证金缴纳证明；履行合同过程中双方法定代表人</w:t>
      </w:r>
      <w:r>
        <w:rPr>
          <w:rStyle w:val="69"/>
          <w:rFonts w:hint="eastAsia" w:ascii="宋体" w:hAnsi="宋体" w:eastAsia="宋体"/>
          <w:color w:val="auto"/>
          <w:highlight w:val="none"/>
          <w:u w:val="single"/>
        </w:rPr>
        <w:t>或委托代理人书面确认</w:t>
      </w:r>
      <w:r>
        <w:rPr>
          <w:rFonts w:hint="eastAsia" w:ascii="宋体" w:hAnsi="宋体" w:cs="宋体"/>
          <w:color w:val="auto"/>
          <w:kern w:val="0"/>
          <w:sz w:val="22"/>
          <w:highlight w:val="none"/>
          <w:u w:val="single"/>
        </w:rPr>
        <w:t>的对合同内容有实质性影响的补充协议</w:t>
      </w:r>
      <w:r>
        <w:rPr>
          <w:rFonts w:hint="eastAsia" w:ascii="宋体" w:hAnsi="宋体" w:cs="宋体"/>
          <w:color w:val="auto"/>
          <w:kern w:val="0"/>
          <w:sz w:val="22"/>
          <w:highlight w:val="none"/>
          <w:u w:val="single"/>
          <w:lang w:eastAsia="zh-CN"/>
        </w:rPr>
        <w:t>、</w:t>
      </w:r>
      <w:r>
        <w:rPr>
          <w:rStyle w:val="69"/>
          <w:rFonts w:hint="eastAsia" w:ascii="宋体" w:hAnsi="宋体" w:eastAsia="宋体"/>
          <w:color w:val="auto"/>
          <w:highlight w:val="none"/>
          <w:u w:val="single"/>
        </w:rPr>
        <w:t>会议纪要、签证、设计变更等资料</w:t>
      </w:r>
      <w:r>
        <w:rPr>
          <w:rFonts w:hint="eastAsia" w:ascii="宋体" w:hAnsi="宋体" w:cs="宋体"/>
          <w:color w:val="auto"/>
          <w:kern w:val="0"/>
          <w:sz w:val="22"/>
          <w:highlight w:val="none"/>
          <w:u w:val="single"/>
        </w:rPr>
        <w:t>。发包人及监理人作出的口头承诺均不属于合同的组成部分</w:t>
      </w:r>
      <w:r>
        <w:rPr>
          <w:rFonts w:hint="eastAsia" w:ascii="宋体" w:hAnsi="宋体" w:cs="宋体"/>
          <w:color w:val="auto"/>
          <w:sz w:val="22"/>
          <w:highlight w:val="none"/>
          <w:u w:val="none"/>
        </w:rPr>
        <w:t>。</w:t>
      </w:r>
    </w:p>
    <w:p w14:paraId="58A98133">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 合同当事人及其他相关方</w:t>
      </w:r>
    </w:p>
    <w:p w14:paraId="251A9512">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1.1.2.4 监理人：</w:t>
      </w:r>
    </w:p>
    <w:p w14:paraId="335D0EAE">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名    称：</w:t>
      </w:r>
      <w:r>
        <w:rPr>
          <w:rFonts w:hint="eastAsia" w:ascii="宋体" w:hAnsi="宋体" w:cs="宋体"/>
          <w:color w:val="auto"/>
          <w:sz w:val="22"/>
          <w:highlight w:val="none"/>
          <w:u w:val="single"/>
        </w:rPr>
        <w:t xml:space="preserve">待定              </w:t>
      </w:r>
      <w:r>
        <w:rPr>
          <w:rFonts w:hint="eastAsia" w:ascii="宋体" w:hAnsi="宋体" w:cs="宋体"/>
          <w:color w:val="auto"/>
          <w:sz w:val="22"/>
          <w:highlight w:val="none"/>
        </w:rPr>
        <w:t>；</w:t>
      </w:r>
    </w:p>
    <w:p w14:paraId="59CA6DAA">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资质类别和等级：</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03F0816E">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联系电话：</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3A67854A">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电子信箱：</w:t>
      </w:r>
      <w:r>
        <w:rPr>
          <w:rFonts w:hint="eastAsia" w:ascii="宋体" w:hAnsi="宋体" w:cs="宋体"/>
          <w:color w:val="auto"/>
          <w:sz w:val="22"/>
          <w:highlight w:val="none"/>
          <w:u w:val="single"/>
        </w:rPr>
        <w:t>                </w:t>
      </w:r>
      <w:r>
        <w:rPr>
          <w:rFonts w:hint="eastAsia" w:ascii="宋体" w:hAnsi="宋体" w:cs="宋体"/>
          <w:color w:val="auto"/>
          <w:sz w:val="22"/>
          <w:highlight w:val="none"/>
        </w:rPr>
        <w:t>；</w:t>
      </w:r>
    </w:p>
    <w:p w14:paraId="5C867FDB">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通信地址：</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312537E2">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1.1.2.5 设计人：</w:t>
      </w:r>
    </w:p>
    <w:p w14:paraId="1902A2AE">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名    称：</w:t>
      </w:r>
      <w:r>
        <w:rPr>
          <w:rFonts w:hint="eastAsia" w:ascii="宋体" w:hAnsi="宋体" w:cs="宋体"/>
          <w:color w:val="auto"/>
          <w:sz w:val="22"/>
          <w:highlight w:val="none"/>
          <w:u w:val="single"/>
        </w:rPr>
        <w:t xml:space="preserve">                 </w:t>
      </w:r>
      <w:r>
        <w:rPr>
          <w:rFonts w:hint="eastAsia" w:ascii="宋体" w:hAnsi="宋体" w:cs="宋体"/>
          <w:color w:val="auto"/>
          <w:sz w:val="22"/>
          <w:highlight w:val="none"/>
        </w:rPr>
        <w:t>；</w:t>
      </w:r>
    </w:p>
    <w:p w14:paraId="07BD782E">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资质类别和等级：</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624535E2">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联系电话：</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7DCAC511">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电子信箱：</w:t>
      </w:r>
      <w:r>
        <w:rPr>
          <w:rFonts w:hint="eastAsia" w:ascii="宋体" w:hAnsi="宋体" w:cs="宋体"/>
          <w:color w:val="auto"/>
          <w:sz w:val="22"/>
          <w:highlight w:val="none"/>
          <w:u w:val="single"/>
        </w:rPr>
        <w:t xml:space="preserve">                    </w:t>
      </w:r>
      <w:r>
        <w:rPr>
          <w:rFonts w:hint="eastAsia" w:ascii="宋体" w:hAnsi="宋体" w:cs="宋体"/>
          <w:color w:val="auto"/>
          <w:sz w:val="22"/>
          <w:highlight w:val="none"/>
        </w:rPr>
        <w:t>；</w:t>
      </w:r>
    </w:p>
    <w:p w14:paraId="30C842C4">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通信地址：</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362F74A6">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1.1.3 工程和设备</w:t>
      </w:r>
    </w:p>
    <w:p w14:paraId="7E732CD2">
      <w:pPr>
        <w:pStyle w:val="63"/>
        <w:spacing w:line="360" w:lineRule="auto"/>
        <w:ind w:firstLine="440" w:firstLineChars="200"/>
        <w:outlineLvl w:val="0"/>
        <w:rPr>
          <w:rFonts w:hint="eastAsia" w:ascii="宋体" w:hAnsi="宋体" w:cs="宋体"/>
          <w:color w:val="auto"/>
          <w:sz w:val="22"/>
          <w:highlight w:val="none"/>
        </w:rPr>
      </w:pPr>
      <w:r>
        <w:rPr>
          <w:rFonts w:hint="eastAsia" w:ascii="宋体" w:hAnsi="宋体" w:cs="宋体"/>
          <w:color w:val="auto"/>
          <w:sz w:val="22"/>
          <w:highlight w:val="none"/>
        </w:rPr>
        <w:t xml:space="preserve">1.1.3.7 </w:t>
      </w:r>
      <w:r>
        <w:rPr>
          <w:rStyle w:val="69"/>
          <w:rFonts w:hint="eastAsia" w:ascii="宋体" w:hAnsi="宋体" w:eastAsia="宋体"/>
          <w:color w:val="auto"/>
          <w:highlight w:val="none"/>
        </w:rPr>
        <w:t>作为施工现场组成部分的其他场所包括：</w:t>
      </w:r>
      <w:r>
        <w:rPr>
          <w:rStyle w:val="69"/>
          <w:rFonts w:hint="eastAsia" w:ascii="宋体" w:hAnsi="宋体" w:eastAsia="宋体"/>
          <w:color w:val="auto"/>
          <w:highlight w:val="none"/>
          <w:u w:val="single"/>
        </w:rPr>
        <w:t>运料通道、材料堆放、材料加工、施工作业以及承包人办公生活所使用的场所</w:t>
      </w:r>
      <w:r>
        <w:rPr>
          <w:rStyle w:val="69"/>
          <w:rFonts w:ascii="Calibri" w:hAnsi="宋体" w:eastAsia="宋体"/>
          <w:color w:val="auto"/>
          <w:highlight w:val="none"/>
          <w:u w:val="single"/>
        </w:rPr>
        <w:t xml:space="preserve"> </w:t>
      </w:r>
      <w:r>
        <w:rPr>
          <w:rStyle w:val="69"/>
          <w:rFonts w:hint="eastAsia" w:ascii="宋体" w:hAnsi="宋体" w:eastAsia="宋体"/>
          <w:color w:val="auto"/>
          <w:highlight w:val="none"/>
        </w:rPr>
        <w:t>。</w:t>
      </w:r>
    </w:p>
    <w:p w14:paraId="56764A79">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1.1.3.9 永久占地包括：</w:t>
      </w:r>
      <w:r>
        <w:rPr>
          <w:rFonts w:hint="eastAsia" w:ascii="宋体" w:hAnsi="宋体" w:cs="宋体"/>
          <w:color w:val="auto"/>
          <w:sz w:val="22"/>
          <w:highlight w:val="none"/>
          <w:u w:val="single"/>
        </w:rPr>
        <w:t xml:space="preserve">  依据选址图、设计图纸或其他文件规定的范围 </w:t>
      </w:r>
      <w:r>
        <w:rPr>
          <w:rFonts w:hint="eastAsia" w:ascii="宋体" w:hAnsi="宋体" w:cs="宋体"/>
          <w:color w:val="auto"/>
          <w:kern w:val="0"/>
          <w:sz w:val="22"/>
          <w:highlight w:val="none"/>
        </w:rPr>
        <w:t>。</w:t>
      </w:r>
    </w:p>
    <w:p w14:paraId="6BDB6BE1">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kern w:val="0"/>
          <w:sz w:val="22"/>
          <w:szCs w:val="22"/>
          <w:highlight w:val="none"/>
        </w:rPr>
        <w:t>1.1.3.10 临时占地包括：</w:t>
      </w:r>
      <w:r>
        <w:rPr>
          <w:rStyle w:val="24"/>
          <w:rFonts w:hint="eastAsia" w:ascii="宋体" w:hAnsi="宋体" w:eastAsia="宋体" w:cs="宋体"/>
          <w:color w:val="auto"/>
          <w:kern w:val="0"/>
          <w:sz w:val="22"/>
          <w:highlight w:val="none"/>
          <w:u w:val="single"/>
          <w:lang w:bidi="ar"/>
        </w:rPr>
        <w:t>经发包人允许的为实施本工程所需临时占用的土地。如因发包人场地局限无法满足为实施本工程所需临时占用的土地时，承包人应自行解决，由此产生的费用由承包人自行承担</w:t>
      </w:r>
      <w:r>
        <w:rPr>
          <w:rStyle w:val="24"/>
          <w:rFonts w:hint="eastAsia" w:ascii="宋体" w:hAnsi="宋体" w:eastAsia="宋体" w:cs="宋体"/>
          <w:color w:val="auto"/>
          <w:szCs w:val="21"/>
          <w:highlight w:val="none"/>
        </w:rPr>
        <w:t>。</w:t>
      </w:r>
    </w:p>
    <w:p w14:paraId="63E53364">
      <w:pPr>
        <w:pStyle w:val="39"/>
        <w:spacing w:line="360" w:lineRule="exact"/>
        <w:ind w:firstLine="442" w:firstLineChars="200"/>
        <w:rPr>
          <w:rFonts w:hint="eastAsia" w:ascii="宋体" w:hAnsi="宋体" w:cs="宋体"/>
          <w:color w:val="auto"/>
          <w:sz w:val="22"/>
          <w:szCs w:val="22"/>
          <w:highlight w:val="none"/>
        </w:rPr>
      </w:pPr>
      <w:bookmarkStart w:id="125" w:name="_Toc373478341"/>
      <w:bookmarkStart w:id="126" w:name="_Toc373227694"/>
      <w:bookmarkStart w:id="127" w:name="_Toc389065260"/>
      <w:bookmarkStart w:id="128" w:name="_Toc395382496"/>
      <w:bookmarkStart w:id="129" w:name="_Toc12975884"/>
      <w:bookmarkStart w:id="130" w:name="_Toc533432719"/>
      <w:r>
        <w:rPr>
          <w:rFonts w:hint="eastAsia" w:ascii="宋体" w:hAnsi="宋体" w:cs="宋体"/>
          <w:color w:val="auto"/>
          <w:sz w:val="22"/>
          <w:szCs w:val="22"/>
          <w:highlight w:val="none"/>
        </w:rPr>
        <w:t>1.3 法律</w:t>
      </w:r>
      <w:bookmarkEnd w:id="125"/>
      <w:bookmarkEnd w:id="126"/>
      <w:bookmarkEnd w:id="127"/>
      <w:bookmarkEnd w:id="128"/>
      <w:bookmarkEnd w:id="129"/>
      <w:bookmarkEnd w:id="130"/>
    </w:p>
    <w:p w14:paraId="21B767B8">
      <w:pPr>
        <w:pStyle w:val="40"/>
        <w:autoSpaceDE w:val="0"/>
        <w:autoSpaceDN w:val="0"/>
        <w:adjustRightInd w:val="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适用于合同的其他规范性文件：</w:t>
      </w:r>
      <w:r>
        <w:rPr>
          <w:rStyle w:val="24"/>
          <w:rFonts w:hint="eastAsia" w:ascii="宋体" w:hAnsi="宋体" w:eastAsia="宋体" w:cs="宋体"/>
          <w:color w:val="auto"/>
          <w:szCs w:val="21"/>
          <w:highlight w:val="none"/>
        </w:rPr>
        <w:t xml:space="preserve"> </w:t>
      </w:r>
      <w:r>
        <w:rPr>
          <w:rStyle w:val="24"/>
          <w:rFonts w:hint="eastAsia" w:ascii="宋体" w:hAnsi="宋体" w:eastAsia="宋体" w:cs="宋体"/>
          <w:color w:val="auto"/>
          <w:szCs w:val="21"/>
          <w:highlight w:val="none"/>
          <w:u w:val="single"/>
        </w:rPr>
        <w:t>《中华人民共和国民法典》、《中华人民共和国建筑法》、《中华人民共和国安全生产法》、《建设工程质量管理条例》、《建设工程安全管理条例》以及合同签订时现行的国家法律和行政法规、工程所在地政府的有关法规和规章及规范性文件</w:t>
      </w:r>
      <w:r>
        <w:rPr>
          <w:rFonts w:hint="eastAsia" w:ascii="宋体" w:hAnsi="宋体" w:cs="宋体"/>
          <w:color w:val="auto"/>
          <w:sz w:val="22"/>
          <w:highlight w:val="none"/>
        </w:rPr>
        <w:t>。</w:t>
      </w:r>
    </w:p>
    <w:p w14:paraId="3E77BCA4">
      <w:pPr>
        <w:pStyle w:val="39"/>
        <w:spacing w:line="360" w:lineRule="exact"/>
        <w:ind w:firstLine="442" w:firstLineChars="200"/>
        <w:rPr>
          <w:rFonts w:hint="eastAsia" w:ascii="宋体" w:hAnsi="宋体" w:cs="宋体"/>
          <w:color w:val="auto"/>
          <w:sz w:val="22"/>
          <w:szCs w:val="22"/>
          <w:highlight w:val="none"/>
        </w:rPr>
      </w:pPr>
      <w:bookmarkStart w:id="131" w:name="_Toc12975885"/>
      <w:bookmarkStart w:id="132" w:name="_Toc373478342"/>
      <w:bookmarkStart w:id="133" w:name="_Toc373227695"/>
      <w:bookmarkStart w:id="134" w:name="_Toc389065261"/>
      <w:bookmarkStart w:id="135" w:name="_Toc395382497"/>
      <w:bookmarkStart w:id="136" w:name="_Toc533432720"/>
      <w:r>
        <w:rPr>
          <w:rFonts w:hint="eastAsia" w:ascii="宋体" w:hAnsi="宋体" w:cs="宋体"/>
          <w:color w:val="auto"/>
          <w:sz w:val="22"/>
          <w:szCs w:val="22"/>
          <w:highlight w:val="none"/>
        </w:rPr>
        <w:t>1.4 标准和规范</w:t>
      </w:r>
      <w:bookmarkEnd w:id="131"/>
      <w:bookmarkEnd w:id="132"/>
      <w:bookmarkEnd w:id="133"/>
      <w:bookmarkEnd w:id="134"/>
      <w:bookmarkEnd w:id="135"/>
      <w:bookmarkEnd w:id="136"/>
    </w:p>
    <w:p w14:paraId="47D5D787">
      <w:pPr>
        <w:pStyle w:val="40"/>
        <w:spacing w:line="360" w:lineRule="exact"/>
        <w:ind w:firstLine="440" w:firstLineChars="200"/>
        <w:rPr>
          <w:rFonts w:hint="eastAsia" w:ascii="宋体" w:hAnsi="宋体" w:cs="宋体"/>
          <w:color w:val="auto"/>
          <w:sz w:val="22"/>
          <w:highlight w:val="none"/>
          <w:u w:val="none"/>
        </w:rPr>
      </w:pPr>
      <w:r>
        <w:rPr>
          <w:rFonts w:hint="eastAsia" w:ascii="宋体" w:hAnsi="宋体" w:cs="宋体"/>
          <w:color w:val="auto"/>
          <w:sz w:val="22"/>
          <w:highlight w:val="none"/>
        </w:rPr>
        <w:t>1.4.1 适用于工程的标准规范包括：</w:t>
      </w:r>
      <w:r>
        <w:rPr>
          <w:rFonts w:hint="eastAsia" w:ascii="宋体" w:hAnsi="宋体" w:cs="宋体"/>
          <w:color w:val="auto"/>
          <w:sz w:val="22"/>
          <w:highlight w:val="none"/>
          <w:u w:val="single"/>
        </w:rPr>
        <w:t></w:t>
      </w:r>
      <w:r>
        <w:rPr>
          <w:rStyle w:val="24"/>
          <w:rFonts w:hint="eastAsia" w:ascii="宋体" w:hAnsi="宋体" w:eastAsia="宋体" w:cs="宋体"/>
          <w:color w:val="auto"/>
          <w:szCs w:val="21"/>
          <w:highlight w:val="none"/>
          <w:u w:val="single"/>
        </w:rPr>
        <w:t>现行的国家标准、规范，行业标准、规范，地方性标准、规范</w:t>
      </w:r>
      <w:r>
        <w:rPr>
          <w:rStyle w:val="24"/>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 w:val="22"/>
          <w:highlight w:val="none"/>
          <w:u w:val="none"/>
        </w:rPr>
        <w:t>。</w:t>
      </w:r>
    </w:p>
    <w:p w14:paraId="215EFA2B">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1.4.2 发包人提供国外标准、规范的名称：</w:t>
      </w:r>
      <w:r>
        <w:rPr>
          <w:rFonts w:hint="eastAsia" w:ascii="宋体" w:hAnsi="宋体" w:cs="宋体"/>
          <w:color w:val="auto"/>
          <w:sz w:val="22"/>
          <w:highlight w:val="none"/>
          <w:u w:val="single"/>
        </w:rPr>
        <w:t>无</w:t>
      </w:r>
      <w:r>
        <w:rPr>
          <w:rFonts w:hint="eastAsia" w:ascii="宋体" w:hAnsi="宋体" w:cs="宋体"/>
          <w:color w:val="auto"/>
          <w:sz w:val="22"/>
          <w:highlight w:val="none"/>
        </w:rPr>
        <w:t>；</w:t>
      </w:r>
    </w:p>
    <w:p w14:paraId="7B769454">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rPr>
        <w:t>发包人提供国外标准、规范的份数：</w:t>
      </w:r>
      <w:r>
        <w:rPr>
          <w:rFonts w:hint="eastAsia" w:ascii="宋体" w:hAnsi="宋体" w:cs="宋体"/>
          <w:color w:val="auto"/>
          <w:kern w:val="0"/>
          <w:sz w:val="22"/>
          <w:highlight w:val="none"/>
          <w:u w:val="single"/>
        </w:rPr>
        <w:t xml:space="preserve">无 </w:t>
      </w:r>
      <w:r>
        <w:rPr>
          <w:rFonts w:hint="eastAsia" w:ascii="宋体" w:hAnsi="宋体" w:cs="宋体"/>
          <w:color w:val="auto"/>
          <w:kern w:val="0"/>
          <w:sz w:val="22"/>
          <w:highlight w:val="none"/>
        </w:rPr>
        <w:t>。</w:t>
      </w:r>
    </w:p>
    <w:p w14:paraId="72324F60">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1.4.3 发包人对工程的技术标准和功能要求的特殊要求：</w:t>
      </w:r>
      <w:r>
        <w:rPr>
          <w:rFonts w:hint="eastAsia" w:ascii="宋体" w:hAnsi="宋体" w:cs="宋体"/>
          <w:color w:val="auto"/>
          <w:sz w:val="22"/>
          <w:highlight w:val="none"/>
          <w:u w:val="single"/>
          <w:lang w:val="en-US" w:eastAsia="zh-CN"/>
        </w:rPr>
        <w:t xml:space="preserve"> </w:t>
      </w:r>
      <w:r>
        <w:rPr>
          <w:rStyle w:val="24"/>
          <w:rFonts w:hint="eastAsia" w:ascii="宋体" w:hAnsi="宋体" w:eastAsia="宋体" w:cs="宋体"/>
          <w:color w:val="auto"/>
          <w:sz w:val="22"/>
          <w:highlight w:val="none"/>
          <w:u w:val="single"/>
        </w:rPr>
        <w:t>根据实际施工期间国家现行有效的有关建设项目管理、施工、验收及保修等规范和标准，以及项目主管部门批准的文件</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397F7193">
      <w:pPr>
        <w:pStyle w:val="39"/>
        <w:spacing w:line="360" w:lineRule="exact"/>
        <w:ind w:firstLine="442" w:firstLineChars="200"/>
        <w:rPr>
          <w:rFonts w:hint="eastAsia" w:ascii="宋体" w:hAnsi="宋体" w:cs="宋体"/>
          <w:color w:val="auto"/>
          <w:sz w:val="22"/>
          <w:szCs w:val="22"/>
          <w:highlight w:val="none"/>
        </w:rPr>
      </w:pPr>
      <w:bookmarkStart w:id="137" w:name="_Toc533432721"/>
      <w:bookmarkStart w:id="138" w:name="_Toc12975886"/>
      <w:bookmarkStart w:id="139" w:name="_Toc373478343"/>
      <w:bookmarkStart w:id="140" w:name="_Toc389065262"/>
      <w:bookmarkStart w:id="141" w:name="_Toc373227696"/>
      <w:bookmarkStart w:id="142" w:name="_Toc395382498"/>
      <w:r>
        <w:rPr>
          <w:rFonts w:hint="eastAsia" w:ascii="宋体" w:hAnsi="宋体" w:cs="宋体"/>
          <w:color w:val="auto"/>
          <w:sz w:val="22"/>
          <w:szCs w:val="22"/>
          <w:highlight w:val="none"/>
        </w:rPr>
        <w:t>1.5 合同文件的优先顺序</w:t>
      </w:r>
      <w:bookmarkEnd w:id="137"/>
      <w:bookmarkEnd w:id="138"/>
      <w:bookmarkEnd w:id="139"/>
      <w:bookmarkEnd w:id="140"/>
      <w:bookmarkEnd w:id="141"/>
      <w:bookmarkEnd w:id="142"/>
    </w:p>
    <w:p w14:paraId="0AD1E5DE">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合同文件组成及优先顺序为：</w:t>
      </w:r>
    </w:p>
    <w:p w14:paraId="784185AA">
      <w:pPr>
        <w:pStyle w:val="63"/>
        <w:spacing w:line="360" w:lineRule="auto"/>
        <w:ind w:firstLine="420" w:firstLineChars="200"/>
        <w:rPr>
          <w:rStyle w:val="24"/>
          <w:rFonts w:hint="eastAsia" w:ascii="宋体" w:hAnsi="宋体" w:eastAsia="宋体" w:cs="宋体"/>
          <w:color w:val="auto"/>
          <w:szCs w:val="21"/>
          <w:highlight w:val="none"/>
        </w:rPr>
      </w:pPr>
      <w:bookmarkStart w:id="143" w:name="_Toc533432722"/>
      <w:bookmarkStart w:id="144" w:name="_Toc373478344"/>
      <w:bookmarkStart w:id="145" w:name="_Toc389065263"/>
      <w:bookmarkStart w:id="146" w:name="_Toc12975887"/>
      <w:bookmarkStart w:id="147" w:name="_Toc395382499"/>
      <w:bookmarkStart w:id="148" w:name="_Toc373227697"/>
      <w:r>
        <w:rPr>
          <w:rStyle w:val="24"/>
          <w:rFonts w:hint="eastAsia" w:ascii="宋体" w:hAnsi="宋体" w:eastAsia="宋体" w:cs="宋体"/>
          <w:color w:val="auto"/>
          <w:szCs w:val="21"/>
          <w:highlight w:val="none"/>
        </w:rPr>
        <w:t>(1) 合同协议书及补充协议；</w:t>
      </w:r>
    </w:p>
    <w:p w14:paraId="5B84C551">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(2) 中标通知书；</w:t>
      </w:r>
    </w:p>
    <w:p w14:paraId="520EE909">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(3) 投标函及投标函附录；</w:t>
      </w:r>
    </w:p>
    <w:p w14:paraId="7C3D792A">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(4) 专用合同条款及其附件；</w:t>
      </w:r>
    </w:p>
    <w:p w14:paraId="63B3C180">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(5) 通用合同条款；</w:t>
      </w:r>
    </w:p>
    <w:p w14:paraId="280BA615">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(6) 招标文件及附件(含答疑、补遗)；</w:t>
      </w:r>
    </w:p>
    <w:p w14:paraId="70E37AD1">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(7) 图纸、技术标准和要求；</w:t>
      </w:r>
    </w:p>
    <w:p w14:paraId="2B4B162A">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(8) 已标价工程量清单；</w:t>
      </w:r>
    </w:p>
    <w:p w14:paraId="41A15284">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(9) 其他合同文件：</w:t>
      </w:r>
    </w:p>
    <w:p w14:paraId="42EFCDEB">
      <w:pPr>
        <w:pStyle w:val="63"/>
        <w:spacing w:line="360" w:lineRule="auto"/>
        <w:ind w:firstLine="420" w:firstLineChars="200"/>
        <w:rPr>
          <w:rFonts w:hint="eastAsia"/>
          <w:color w:val="auto"/>
          <w:highlight w:val="none"/>
        </w:rPr>
      </w:pPr>
      <w:r>
        <w:rPr>
          <w:rStyle w:val="24"/>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4123581F">
      <w:pPr>
        <w:pStyle w:val="39"/>
        <w:spacing w:line="360" w:lineRule="exact"/>
        <w:ind w:firstLine="442"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1.6 图纸和承包人文件</w:t>
      </w:r>
      <w:bookmarkEnd w:id="143"/>
      <w:bookmarkEnd w:id="144"/>
      <w:bookmarkEnd w:id="145"/>
      <w:bookmarkEnd w:id="146"/>
      <w:bookmarkEnd w:id="147"/>
      <w:bookmarkEnd w:id="148"/>
      <w:r>
        <w:rPr>
          <w:rFonts w:hint="eastAsia" w:ascii="宋体" w:hAnsi="宋体" w:cs="宋体"/>
          <w:color w:val="auto"/>
          <w:sz w:val="22"/>
          <w:szCs w:val="22"/>
          <w:highlight w:val="none"/>
        </w:rPr>
        <w:tab/>
      </w:r>
    </w:p>
    <w:p w14:paraId="4D93065E">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1.6.1 图纸的提供</w:t>
      </w:r>
    </w:p>
    <w:p w14:paraId="714428F1">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发包人向承包人提供图纸的期限：</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合同签订后</w:t>
      </w:r>
      <w:r>
        <w:rPr>
          <w:rFonts w:hint="eastAsia" w:ascii="宋体" w:hAnsi="宋体" w:cs="宋体"/>
          <w:color w:val="auto"/>
          <w:sz w:val="22"/>
          <w:highlight w:val="none"/>
          <w:u w:val="single"/>
          <w:lang w:val="en-US" w:eastAsia="zh-CN"/>
        </w:rPr>
        <w:t>14</w:t>
      </w:r>
      <w:r>
        <w:rPr>
          <w:rFonts w:hint="eastAsia" w:ascii="宋体" w:hAnsi="宋体" w:cs="宋体"/>
          <w:color w:val="auto"/>
          <w:sz w:val="22"/>
          <w:highlight w:val="none"/>
          <w:u w:val="single"/>
        </w:rPr>
        <w:t>天内</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7B49638B">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发包人向承包人提供图纸的数量：</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一套，承包人需要增加图纸套数的，发包人应代为复制，复制费用由承包人承担</w:t>
      </w:r>
      <w:r>
        <w:rPr>
          <w:rFonts w:hint="eastAsia" w:ascii="宋体" w:hAnsi="宋体" w:cs="宋体"/>
          <w:color w:val="auto"/>
          <w:sz w:val="22"/>
          <w:highlight w:val="none"/>
        </w:rPr>
        <w:t>；</w:t>
      </w:r>
    </w:p>
    <w:p w14:paraId="5DE065D5">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发包人向承包人提供图纸的内容：</w:t>
      </w:r>
      <w:r>
        <w:rPr>
          <w:rFonts w:hint="eastAsia" w:ascii="宋体" w:hAnsi="宋体" w:cs="宋体"/>
          <w:color w:val="auto"/>
          <w:sz w:val="22"/>
          <w:highlight w:val="none"/>
          <w:u w:val="single"/>
          <w:lang w:val="en-US" w:eastAsia="zh-CN"/>
        </w:rPr>
        <w:t xml:space="preserve"> </w:t>
      </w:r>
      <w:r>
        <w:rPr>
          <w:rStyle w:val="24"/>
          <w:rFonts w:hint="eastAsia" w:ascii="宋体" w:hAnsi="宋体" w:eastAsia="宋体" w:cs="宋体"/>
          <w:color w:val="auto"/>
          <w:szCs w:val="21"/>
          <w:highlight w:val="none"/>
          <w:u w:val="single"/>
        </w:rPr>
        <w:t>本合同发包内容中的全部图纸</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632F68D8">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1.6.4 承包人文件</w:t>
      </w:r>
    </w:p>
    <w:p w14:paraId="1F1EF961">
      <w:pPr>
        <w:pStyle w:val="60"/>
        <w:spacing w:line="360" w:lineRule="exact"/>
        <w:ind w:firstLine="440" w:firstLineChars="200"/>
        <w:rPr>
          <w:rFonts w:hint="eastAsia" w:ascii="宋体" w:hAnsi="宋体" w:eastAsia="宋体" w:cs="宋体"/>
          <w:color w:val="auto"/>
          <w:sz w:val="22"/>
          <w:szCs w:val="22"/>
          <w:highlight w:val="none"/>
          <w:u w:val="single"/>
          <w:lang w:eastAsia="zh-CN"/>
        </w:rPr>
      </w:pPr>
      <w:r>
        <w:rPr>
          <w:rFonts w:hint="eastAsia" w:ascii="宋体" w:hAnsi="宋体" w:cs="宋体"/>
          <w:color w:val="auto"/>
          <w:sz w:val="22"/>
          <w:szCs w:val="22"/>
          <w:highlight w:val="none"/>
        </w:rPr>
        <w:t>需要由承包人提供的文件，包括：</w:t>
      </w:r>
      <w:r>
        <w:rPr>
          <w:rFonts w:hint="eastAsia" w:ascii="宋体" w:hAnsi="宋体" w:cs="宋体"/>
          <w:color w:val="auto"/>
          <w:sz w:val="22"/>
          <w:szCs w:val="22"/>
          <w:highlight w:val="none"/>
          <w:u w:val="single"/>
        </w:rPr>
        <w:t>（1）合同生效后15天内</w:t>
      </w:r>
      <w:r>
        <w:rPr>
          <w:rFonts w:hint="eastAsia" w:ascii="宋体" w:hAnsi="宋体" w:cs="宋体"/>
          <w:color w:val="auto"/>
          <w:sz w:val="22"/>
          <w:szCs w:val="22"/>
          <w:highlight w:val="none"/>
          <w:u w:val="single"/>
          <w:lang w:val="en-US" w:eastAsia="zh-CN"/>
        </w:rPr>
        <w:t>根据项目需要</w:t>
      </w:r>
      <w:r>
        <w:rPr>
          <w:rFonts w:hint="eastAsia" w:ascii="宋体" w:hAnsi="宋体" w:cs="宋体"/>
          <w:color w:val="auto"/>
          <w:sz w:val="22"/>
          <w:szCs w:val="22"/>
          <w:highlight w:val="none"/>
          <w:u w:val="single"/>
        </w:rPr>
        <w:t>提供报建、报监及办理施工许可证等所需要的所有资料；</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2</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合同生效后7天内</w:t>
      </w:r>
      <w:r>
        <w:rPr>
          <w:rStyle w:val="24"/>
          <w:rFonts w:ascii="宋体" w:hAnsi="宋体" w:eastAsia="宋体" w:cs="宋体"/>
          <w:color w:val="auto"/>
          <w:highlight w:val="none"/>
          <w:u w:val="single"/>
        </w:rPr>
        <w:t>提供由监理审核后完善的施工组织设计和施工安全专项方案，施工进度计划及发包人或监理在施工过程中所要求提供的文件</w:t>
      </w:r>
      <w:r>
        <w:rPr>
          <w:rStyle w:val="24"/>
          <w:rFonts w:hint="eastAsia" w:ascii="宋体" w:hAnsi="宋体" w:eastAsia="宋体" w:cs="宋体"/>
          <w:color w:val="auto"/>
          <w:highlight w:val="none"/>
          <w:u w:val="single"/>
          <w:lang w:eastAsia="zh-CN"/>
        </w:rPr>
        <w:t>。</w:t>
      </w:r>
      <w:r>
        <w:rPr>
          <w:rStyle w:val="24"/>
          <w:rFonts w:ascii="宋体" w:hAnsi="宋体" w:eastAsia="宋体" w:cs="宋体"/>
          <w:color w:val="auto"/>
          <w:highlight w:val="none"/>
          <w:u w:val="single"/>
        </w:rPr>
        <w:t>其他需要由承包人提供的文件由双方另行确定</w:t>
      </w:r>
      <w:r>
        <w:rPr>
          <w:rStyle w:val="24"/>
          <w:rFonts w:hint="eastAsia" w:ascii="宋体" w:hAnsi="宋体" w:eastAsia="宋体" w:cs="宋体"/>
          <w:color w:val="auto"/>
          <w:highlight w:val="none"/>
          <w:u w:val="single"/>
          <w:lang w:eastAsia="zh-CN"/>
        </w:rPr>
        <w:t>。</w:t>
      </w:r>
    </w:p>
    <w:p w14:paraId="1E438EE4">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承包人提供的文件的期限为：</w:t>
      </w:r>
      <w:r>
        <w:rPr>
          <w:rFonts w:hint="eastAsia" w:ascii="宋体" w:hAnsi="宋体" w:cs="宋体"/>
          <w:color w:val="auto"/>
          <w:sz w:val="22"/>
          <w:highlight w:val="none"/>
          <w:u w:val="single"/>
          <w:lang w:val="en-US" w:eastAsia="zh-CN"/>
        </w:rPr>
        <w:t xml:space="preserve"> </w:t>
      </w:r>
      <w:r>
        <w:rPr>
          <w:rStyle w:val="24"/>
          <w:rFonts w:ascii="宋体" w:hAnsi="宋体" w:eastAsia="宋体" w:cs="宋体"/>
          <w:color w:val="auto"/>
          <w:highlight w:val="none"/>
          <w:u w:val="single"/>
        </w:rPr>
        <w:t xml:space="preserve">合同签订之日起 </w:t>
      </w:r>
      <w:r>
        <w:rPr>
          <w:rStyle w:val="24"/>
          <w:rFonts w:hint="eastAsia" w:ascii="Calibri" w:hAnsi="Calibri" w:eastAsia="宋体" w:cs="Calibri"/>
          <w:color w:val="auto"/>
          <w:highlight w:val="none"/>
          <w:u w:val="single"/>
        </w:rPr>
        <w:t>15</w:t>
      </w:r>
      <w:r>
        <w:rPr>
          <w:rStyle w:val="24"/>
          <w:rFonts w:ascii="Calibri" w:hAnsi="Calibri" w:eastAsia="Calibri" w:cs="Calibri"/>
          <w:color w:val="auto"/>
          <w:highlight w:val="none"/>
          <w:u w:val="single"/>
        </w:rPr>
        <w:t xml:space="preserve"> </w:t>
      </w:r>
      <w:r>
        <w:rPr>
          <w:rStyle w:val="24"/>
          <w:rFonts w:ascii="宋体" w:hAnsi="宋体" w:eastAsia="宋体" w:cs="宋体"/>
          <w:color w:val="auto"/>
          <w:highlight w:val="none"/>
          <w:u w:val="single"/>
        </w:rPr>
        <w:t>天内</w:t>
      </w:r>
      <w:r>
        <w:rPr>
          <w:rStyle w:val="24"/>
          <w:rFonts w:hint="eastAsia" w:ascii="宋体" w:hAnsi="宋体" w:eastAsia="宋体" w:cs="宋体"/>
          <w:color w:val="auto"/>
          <w:highlight w:val="none"/>
          <w:u w:val="single"/>
        </w:rPr>
        <w:t xml:space="preserve"> </w:t>
      </w:r>
      <w:r>
        <w:rPr>
          <w:rFonts w:hint="eastAsia" w:ascii="宋体" w:hAnsi="宋体" w:cs="宋体"/>
          <w:color w:val="auto"/>
          <w:sz w:val="22"/>
          <w:highlight w:val="none"/>
        </w:rPr>
        <w:t>；</w:t>
      </w:r>
    </w:p>
    <w:p w14:paraId="66AEB8C0">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承包人提供的文件的数量为：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按实提供</w:t>
      </w:r>
      <w:r>
        <w:rPr>
          <w:rFonts w:hint="eastAsia" w:ascii="宋体" w:hAnsi="宋体" w:cs="宋体"/>
          <w:color w:val="auto"/>
          <w:sz w:val="22"/>
          <w:highlight w:val="none"/>
        </w:rPr>
        <w:t>；</w:t>
      </w:r>
    </w:p>
    <w:p w14:paraId="2104E3F8">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承包人提供的文件的形式为：</w:t>
      </w:r>
      <w:r>
        <w:rPr>
          <w:rFonts w:hint="eastAsia" w:ascii="宋体" w:hAnsi="宋体" w:cs="宋体"/>
          <w:color w:val="auto"/>
          <w:sz w:val="22"/>
          <w:highlight w:val="none"/>
          <w:u w:val="single"/>
          <w:lang w:val="en-US" w:eastAsia="zh-CN"/>
        </w:rPr>
        <w:t xml:space="preserve"> </w:t>
      </w:r>
      <w:r>
        <w:rPr>
          <w:rStyle w:val="24"/>
          <w:rFonts w:hint="eastAsia" w:ascii="宋体" w:hAnsi="宋体" w:eastAsia="宋体" w:cs="宋体"/>
          <w:color w:val="auto"/>
          <w:szCs w:val="21"/>
          <w:highlight w:val="none"/>
          <w:u w:val="single"/>
        </w:rPr>
        <w:t>以经承包人法定代表人或项目经理签字并加盖单位公章纸质文件形式提交和电子版提交</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lang w:val="en-US" w:eastAsia="zh-CN"/>
        </w:rPr>
        <w:t>含电子扫描版</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rPr>
        <w:t xml:space="preserve">及电子文档 </w:t>
      </w:r>
      <w:r>
        <w:rPr>
          <w:rFonts w:hint="eastAsia" w:ascii="宋体" w:hAnsi="宋体" w:cs="宋体"/>
          <w:color w:val="auto"/>
          <w:sz w:val="22"/>
          <w:highlight w:val="none"/>
        </w:rPr>
        <w:t>；</w:t>
      </w:r>
    </w:p>
    <w:p w14:paraId="0740E281">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发包人审批承包人文件的期限：</w:t>
      </w:r>
      <w:r>
        <w:rPr>
          <w:rFonts w:hint="eastAsia" w:ascii="宋体" w:hAnsi="宋体" w:cs="宋体"/>
          <w:color w:val="auto"/>
          <w:sz w:val="22"/>
          <w:highlight w:val="none"/>
          <w:u w:val="single"/>
          <w:lang w:val="en-US" w:eastAsia="zh-CN"/>
        </w:rPr>
        <w:t xml:space="preserve"> </w:t>
      </w:r>
      <w:r>
        <w:rPr>
          <w:rStyle w:val="24"/>
          <w:rFonts w:hint="eastAsia" w:ascii="宋体" w:hAnsi="宋体" w:eastAsia="宋体" w:cs="宋体"/>
          <w:color w:val="auto"/>
          <w:szCs w:val="21"/>
          <w:highlight w:val="none"/>
          <w:u w:val="single"/>
        </w:rPr>
        <w:t>收到文件之日起10个工作日内批复</w:t>
      </w:r>
      <w:r>
        <w:rPr>
          <w:rFonts w:hint="eastAsia" w:ascii="宋体" w:hAnsi="宋体" w:cs="宋体"/>
          <w:color w:val="auto"/>
          <w:sz w:val="22"/>
          <w:highlight w:val="none"/>
          <w:u w:val="single"/>
        </w:rPr>
        <w:t></w:t>
      </w:r>
      <w:r>
        <w:rPr>
          <w:rFonts w:hint="eastAsia" w:ascii="宋体" w:hAnsi="宋体" w:cs="宋体"/>
          <w:color w:val="auto"/>
          <w:sz w:val="22"/>
          <w:highlight w:val="none"/>
        </w:rPr>
        <w:t>。</w:t>
      </w:r>
    </w:p>
    <w:p w14:paraId="1749CCC4">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1.6.5 现场图纸准备</w:t>
      </w:r>
    </w:p>
    <w:p w14:paraId="365BA67F">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关于现场图纸准备的约定：</w:t>
      </w:r>
      <w:r>
        <w:rPr>
          <w:rFonts w:hint="eastAsia" w:ascii="宋体" w:hAnsi="宋体" w:cs="宋体"/>
          <w:color w:val="auto"/>
          <w:sz w:val="22"/>
          <w:highlight w:val="none"/>
          <w:u w:val="single"/>
        </w:rPr>
        <w:t>承包人在施工现场保留一份完整的设计文件，供发包人及有关人员进行工程检查时使用</w:t>
      </w:r>
      <w:r>
        <w:rPr>
          <w:rFonts w:hint="eastAsia" w:ascii="宋体" w:hAnsi="宋体" w:cs="宋体"/>
          <w:color w:val="auto"/>
          <w:sz w:val="22"/>
          <w:highlight w:val="none"/>
          <w:u w:val="single"/>
          <w:lang w:eastAsia="zh-CN"/>
        </w:rPr>
        <w:t>，</w:t>
      </w:r>
      <w:r>
        <w:rPr>
          <w:rStyle w:val="24"/>
          <w:rFonts w:hint="eastAsia" w:ascii="宋体" w:hAnsi="宋体" w:eastAsia="宋体" w:cs="宋体"/>
          <w:color w:val="auto"/>
          <w:szCs w:val="21"/>
          <w:highlight w:val="none"/>
          <w:u w:val="single"/>
        </w:rPr>
        <w:t xml:space="preserve">未经发包人同意不许将图纸泄露和转让给第三方 </w:t>
      </w:r>
      <w:r>
        <w:rPr>
          <w:rFonts w:hint="eastAsia" w:ascii="宋体" w:hAnsi="宋体" w:cs="宋体"/>
          <w:color w:val="auto"/>
          <w:sz w:val="22"/>
          <w:highlight w:val="none"/>
        </w:rPr>
        <w:t>。</w:t>
      </w:r>
    </w:p>
    <w:p w14:paraId="22E5884C">
      <w:pPr>
        <w:pStyle w:val="39"/>
        <w:spacing w:line="360" w:lineRule="exact"/>
        <w:ind w:firstLine="442" w:firstLineChars="200"/>
        <w:rPr>
          <w:rFonts w:hint="eastAsia" w:ascii="宋体" w:hAnsi="宋体" w:cs="宋体"/>
          <w:color w:val="auto"/>
          <w:sz w:val="22"/>
          <w:szCs w:val="22"/>
          <w:highlight w:val="none"/>
        </w:rPr>
      </w:pPr>
      <w:bookmarkStart w:id="149" w:name="_Toc533432723"/>
      <w:bookmarkStart w:id="150" w:name="_Toc12975888"/>
      <w:bookmarkStart w:id="151" w:name="_Toc373227698"/>
      <w:bookmarkStart w:id="152" w:name="_Toc395382500"/>
      <w:bookmarkStart w:id="153" w:name="_Toc373478345"/>
      <w:bookmarkStart w:id="154" w:name="_Toc389065264"/>
      <w:r>
        <w:rPr>
          <w:rFonts w:hint="eastAsia" w:ascii="宋体" w:hAnsi="宋体" w:cs="宋体"/>
          <w:color w:val="auto"/>
          <w:sz w:val="22"/>
          <w:szCs w:val="22"/>
          <w:highlight w:val="none"/>
        </w:rPr>
        <w:t>1.7 联络</w:t>
      </w:r>
      <w:bookmarkEnd w:id="149"/>
      <w:bookmarkEnd w:id="150"/>
      <w:bookmarkEnd w:id="151"/>
      <w:bookmarkEnd w:id="152"/>
      <w:bookmarkEnd w:id="153"/>
      <w:bookmarkEnd w:id="154"/>
    </w:p>
    <w:p w14:paraId="2C8DC6C9">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1.7.1发包人和承包人应当在</w:t>
      </w:r>
      <w:r>
        <w:rPr>
          <w:rFonts w:hint="eastAsia" w:ascii="宋体" w:hAnsi="宋体" w:cs="宋体"/>
          <w:color w:val="auto"/>
          <w:sz w:val="22"/>
          <w:highlight w:val="none"/>
          <w:u w:val="single"/>
        </w:rPr>
        <w:t xml:space="preserve"> 5 </w:t>
      </w:r>
      <w:r>
        <w:rPr>
          <w:rFonts w:hint="eastAsia" w:ascii="宋体" w:hAnsi="宋体" w:cs="宋体"/>
          <w:color w:val="auto"/>
          <w:kern w:val="0"/>
          <w:sz w:val="22"/>
          <w:highlight w:val="none"/>
        </w:rPr>
        <w:t>天内将与合同有关的通知、批准、证明、证书、指示、指令、要求、请求、同意、意见、确定和决定等书面函件送达对方当事人。</w:t>
      </w:r>
    </w:p>
    <w:p w14:paraId="2D0AE843">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1.7.2 发包人接收文件的地点：</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发包人办公室</w:t>
      </w:r>
      <w:r>
        <w:rPr>
          <w:rFonts w:hint="eastAsia" w:ascii="宋体" w:hAnsi="宋体" w:cs="宋体"/>
          <w:color w:val="auto"/>
          <w:sz w:val="22"/>
          <w:highlight w:val="none"/>
          <w:u w:val="single"/>
          <w:lang w:val="en-US" w:eastAsia="zh-CN"/>
        </w:rPr>
        <w:t xml:space="preserve"> </w:t>
      </w:r>
      <w:r>
        <w:rPr>
          <w:rFonts w:hint="eastAsia" w:ascii="宋体" w:hAnsi="宋体" w:cs="宋体"/>
          <w:color w:val="auto"/>
          <w:kern w:val="0"/>
          <w:sz w:val="22"/>
          <w:highlight w:val="none"/>
        </w:rPr>
        <w:t>；</w:t>
      </w:r>
    </w:p>
    <w:p w14:paraId="18CDF762">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发包人指定的接收人为：</w:t>
      </w:r>
      <w:r>
        <w:rPr>
          <w:rFonts w:hint="eastAsia" w:ascii="宋体" w:hAnsi="宋体" w:cs="宋体"/>
          <w:color w:val="auto"/>
          <w:sz w:val="22"/>
          <w:highlight w:val="none"/>
          <w:u w:val="single"/>
        </w:rPr>
        <w:t xml:space="preserve"> 发包人现场代表 </w:t>
      </w:r>
      <w:r>
        <w:rPr>
          <w:rFonts w:hint="eastAsia" w:ascii="宋体" w:hAnsi="宋体" w:cs="宋体"/>
          <w:color w:val="auto"/>
          <w:kern w:val="0"/>
          <w:sz w:val="22"/>
          <w:highlight w:val="none"/>
        </w:rPr>
        <w:t>。</w:t>
      </w:r>
    </w:p>
    <w:p w14:paraId="55B647BA">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承包人接收文件的地点：</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项目所在地承包人项目部</w:t>
      </w:r>
      <w:r>
        <w:rPr>
          <w:rFonts w:hint="eastAsia" w:ascii="宋体" w:hAnsi="宋体" w:cs="宋体"/>
          <w:color w:val="auto"/>
          <w:sz w:val="22"/>
          <w:highlight w:val="none"/>
          <w:u w:val="single"/>
          <w:lang w:val="en-US" w:eastAsia="zh-CN"/>
        </w:rPr>
        <w:t xml:space="preserve"> </w:t>
      </w:r>
      <w:r>
        <w:rPr>
          <w:rFonts w:hint="eastAsia" w:ascii="宋体" w:hAnsi="宋体" w:cs="宋体"/>
          <w:color w:val="auto"/>
          <w:kern w:val="0"/>
          <w:sz w:val="22"/>
          <w:highlight w:val="none"/>
        </w:rPr>
        <w:t>；</w:t>
      </w:r>
    </w:p>
    <w:p w14:paraId="627BE15E">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承包人指定的接收人为：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承包人项目经理</w:t>
      </w:r>
      <w:r>
        <w:rPr>
          <w:rFonts w:hint="eastAsia" w:ascii="宋体" w:hAnsi="宋体" w:cs="宋体"/>
          <w:color w:val="auto"/>
          <w:sz w:val="22"/>
          <w:highlight w:val="none"/>
          <w:u w:val="single"/>
          <w:lang w:val="en-US" w:eastAsia="zh-CN"/>
        </w:rPr>
        <w:t xml:space="preserve"> </w:t>
      </w:r>
      <w:r>
        <w:rPr>
          <w:rFonts w:hint="eastAsia" w:ascii="宋体" w:hAnsi="宋体" w:cs="宋体"/>
          <w:color w:val="auto"/>
          <w:kern w:val="0"/>
          <w:sz w:val="22"/>
          <w:highlight w:val="none"/>
        </w:rPr>
        <w:t>。</w:t>
      </w:r>
    </w:p>
    <w:p w14:paraId="58B40589">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监理人接收文件的地点：</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项目所在地监理人办公室</w:t>
      </w:r>
      <w:r>
        <w:rPr>
          <w:rFonts w:hint="eastAsia" w:ascii="宋体" w:hAnsi="宋体" w:cs="宋体"/>
          <w:color w:val="auto"/>
          <w:sz w:val="22"/>
          <w:highlight w:val="none"/>
          <w:u w:val="single"/>
          <w:lang w:val="en-US" w:eastAsia="zh-CN"/>
        </w:rPr>
        <w:t xml:space="preserve"> </w:t>
      </w:r>
      <w:r>
        <w:rPr>
          <w:rFonts w:hint="eastAsia" w:ascii="宋体" w:hAnsi="宋体" w:cs="宋体"/>
          <w:color w:val="auto"/>
          <w:kern w:val="0"/>
          <w:sz w:val="22"/>
          <w:highlight w:val="none"/>
        </w:rPr>
        <w:t>；</w:t>
      </w:r>
    </w:p>
    <w:p w14:paraId="6AA26FC6">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监理人指定的接收人为：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总监理工程师</w:t>
      </w:r>
      <w:r>
        <w:rPr>
          <w:rFonts w:hint="eastAsia" w:ascii="宋体" w:hAnsi="宋体" w:cs="宋体"/>
          <w:color w:val="auto"/>
          <w:sz w:val="22"/>
          <w:highlight w:val="none"/>
          <w:u w:val="single"/>
          <w:lang w:val="en-US" w:eastAsia="zh-CN"/>
        </w:rPr>
        <w:t xml:space="preserve"> </w:t>
      </w:r>
      <w:r>
        <w:rPr>
          <w:rFonts w:hint="eastAsia" w:ascii="宋体" w:hAnsi="宋体" w:cs="宋体"/>
          <w:color w:val="auto"/>
          <w:kern w:val="0"/>
          <w:sz w:val="22"/>
          <w:highlight w:val="none"/>
        </w:rPr>
        <w:t>。</w:t>
      </w:r>
    </w:p>
    <w:p w14:paraId="51A08565">
      <w:pPr>
        <w:pStyle w:val="6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与合同有关的工程联系单、变更申请、变更建议、通知、批准、证明、证书、指示、要求、请求、同意、意见、确定和决定等，均应采用书面形式</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同时提供电子扫描版</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w:t>
      </w:r>
    </w:p>
    <w:p w14:paraId="08DA5ECA">
      <w:pPr>
        <w:pStyle w:val="6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发包人的工程管理部的印章（公章名称</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适用于：（1）通知、批准、证明、指示、要求、请求、同意、意见和确定等管理文件是有效的。（2）工程技术资料，包括所有与工程有关的技术资料。</w:t>
      </w:r>
    </w:p>
    <w:p w14:paraId="38CE5D46">
      <w:pPr>
        <w:pStyle w:val="6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发包人的工程管理部的印章（公章名称</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不适用于：不适用于任何修改合同、减轻（或增加）双方合同权利和义务的文件，如以上所述文件涉及到修改合同、减轻（或增加）双方合同权利和义务时，该工作无效。涉及到修改合同、减轻（或增加）双方合同权利和义务时，必须加盖发包人的</w:t>
      </w:r>
      <w:r>
        <w:rPr>
          <w:rFonts w:hint="eastAsia" w:ascii="宋体" w:hAnsi="宋体" w:cs="宋体"/>
          <w:color w:val="auto"/>
          <w:sz w:val="22"/>
          <w:szCs w:val="22"/>
          <w:highlight w:val="none"/>
          <w:u w:val="single"/>
          <w:lang w:eastAsia="zh-CN"/>
        </w:rPr>
        <w:t>单位</w:t>
      </w:r>
      <w:r>
        <w:rPr>
          <w:rFonts w:hint="eastAsia" w:ascii="宋体" w:hAnsi="宋体" w:cs="宋体"/>
          <w:color w:val="auto"/>
          <w:sz w:val="22"/>
          <w:szCs w:val="22"/>
          <w:highlight w:val="none"/>
          <w:u w:val="single"/>
        </w:rPr>
        <w:t>公章</w:t>
      </w:r>
      <w:r>
        <w:rPr>
          <w:rFonts w:hint="eastAsia" w:ascii="宋体" w:hAnsi="宋体" w:cs="宋体"/>
          <w:color w:val="auto"/>
          <w:sz w:val="22"/>
          <w:szCs w:val="22"/>
          <w:highlight w:val="none"/>
          <w:u w:val="none"/>
        </w:rPr>
        <w:t>。</w:t>
      </w:r>
    </w:p>
    <w:p w14:paraId="05ABCC27">
      <w:pPr>
        <w:pStyle w:val="74"/>
        <w:spacing w:line="360" w:lineRule="exact"/>
        <w:ind w:firstLine="442" w:firstLineChars="200"/>
        <w:rPr>
          <w:rFonts w:hint="eastAsia" w:ascii="宋体" w:hAnsi="宋体" w:eastAsia="宋体" w:cs="宋体"/>
          <w:color w:val="auto"/>
          <w:sz w:val="22"/>
          <w:szCs w:val="22"/>
          <w:highlight w:val="none"/>
        </w:rPr>
      </w:pPr>
      <w:bookmarkStart w:id="155" w:name="_Toc529202535"/>
      <w:bookmarkStart w:id="156" w:name="_Toc54862501"/>
      <w:bookmarkStart w:id="157" w:name="_Toc513041281"/>
      <w:r>
        <w:rPr>
          <w:rFonts w:hint="eastAsia" w:ascii="宋体" w:hAnsi="宋体" w:eastAsia="宋体" w:cs="宋体"/>
          <w:color w:val="auto"/>
          <w:sz w:val="22"/>
          <w:szCs w:val="22"/>
          <w:highlight w:val="none"/>
        </w:rPr>
        <w:t>1.8严禁贿赂</w:t>
      </w:r>
      <w:bookmarkEnd w:id="155"/>
      <w:bookmarkEnd w:id="156"/>
      <w:bookmarkEnd w:id="157"/>
    </w:p>
    <w:p w14:paraId="25E13F47">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如果承包人或承包人的工作人员（不论承包人是否知晓）以贿赂或变相贿赂的方式，谋取不当利益或损害发包人权益的。承包人发生前述的违约情况时，发包人将根据相关法律规定及合同约定追究承包人的法律责任，承包人因此等行为获得的额外费用必须退还发包人，造成的工程损害、发包人的经济损失的，承包人应负一切责任，并予赔偿。情节严重者，发包人并有权解除本合同。同时向发包人支付违约金每次50万元</w:t>
      </w:r>
      <w:r>
        <w:rPr>
          <w:rFonts w:hint="eastAsia" w:ascii="宋体" w:hAnsi="宋体" w:cs="宋体"/>
          <w:color w:val="auto"/>
          <w:sz w:val="22"/>
          <w:szCs w:val="22"/>
          <w:highlight w:val="none"/>
          <w:u w:val="none"/>
        </w:rPr>
        <w:t>。</w:t>
      </w:r>
    </w:p>
    <w:p w14:paraId="7A60A5AC">
      <w:pPr>
        <w:pStyle w:val="39"/>
        <w:spacing w:line="360" w:lineRule="exact"/>
        <w:ind w:firstLine="442" w:firstLineChars="200"/>
        <w:rPr>
          <w:rFonts w:hint="eastAsia" w:ascii="宋体" w:hAnsi="宋体" w:cs="宋体"/>
          <w:color w:val="auto"/>
          <w:sz w:val="22"/>
          <w:szCs w:val="22"/>
          <w:highlight w:val="none"/>
        </w:rPr>
      </w:pPr>
      <w:bookmarkStart w:id="158" w:name="_Toc373227699"/>
      <w:bookmarkStart w:id="159" w:name="_Toc373478346"/>
      <w:bookmarkStart w:id="160" w:name="_Toc12975889"/>
      <w:bookmarkStart w:id="161" w:name="_Toc395382501"/>
      <w:bookmarkStart w:id="162" w:name="_Toc389065265"/>
      <w:bookmarkStart w:id="163" w:name="_Toc533432724"/>
      <w:r>
        <w:rPr>
          <w:rFonts w:hint="eastAsia" w:ascii="宋体" w:hAnsi="宋体" w:cs="宋体"/>
          <w:color w:val="auto"/>
          <w:sz w:val="22"/>
          <w:szCs w:val="22"/>
          <w:highlight w:val="none"/>
        </w:rPr>
        <w:t>1.10 交通运输</w:t>
      </w:r>
      <w:bookmarkEnd w:id="158"/>
      <w:bookmarkEnd w:id="159"/>
      <w:bookmarkEnd w:id="160"/>
      <w:bookmarkEnd w:id="161"/>
      <w:bookmarkEnd w:id="162"/>
      <w:bookmarkEnd w:id="163"/>
    </w:p>
    <w:p w14:paraId="28F25FA0">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w:t>
      </w:r>
      <w:bookmarkStart w:id="164" w:name="_Toc304295521"/>
      <w:bookmarkStart w:id="165" w:name="_Toc318581155"/>
      <w:bookmarkStart w:id="166" w:name="_Toc303539100"/>
      <w:bookmarkStart w:id="167" w:name="_Toc312677986"/>
      <w:bookmarkStart w:id="168" w:name="_Toc300934943"/>
      <w:r>
        <w:rPr>
          <w:rFonts w:hint="eastAsia" w:ascii="宋体" w:hAnsi="宋体" w:cs="宋体"/>
          <w:color w:val="auto"/>
          <w:sz w:val="22"/>
          <w:highlight w:val="none"/>
        </w:rPr>
        <w:t>.10.1 出入现场的权利</w:t>
      </w:r>
    </w:p>
    <w:p w14:paraId="64C68563">
      <w:pPr>
        <w:pStyle w:val="40"/>
        <w:spacing w:line="36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关于出入现场的权利的约定：</w:t>
      </w:r>
      <w:r>
        <w:rPr>
          <w:rFonts w:hint="eastAsia" w:ascii="宋体" w:hAnsi="宋体" w:cs="宋体"/>
          <w:color w:val="auto"/>
          <w:sz w:val="22"/>
          <w:highlight w:val="none"/>
          <w:u w:val="single"/>
        </w:rPr>
        <w:t>由承包人按发包人要求负责取得出入施工现场所需的批准手续和全部权利，以及取得因施工所需修建道路、桥梁以及其他基础设施的权利，相关权利取得的手续费用和建设费用由承包人承担</w:t>
      </w:r>
      <w:r>
        <w:rPr>
          <w:rFonts w:hint="eastAsia" w:ascii="宋体" w:hAnsi="宋体" w:cs="宋体"/>
          <w:color w:val="auto"/>
          <w:sz w:val="22"/>
          <w:highlight w:val="none"/>
        </w:rPr>
        <w:t>。</w:t>
      </w:r>
    </w:p>
    <w:bookmarkEnd w:id="164"/>
    <w:bookmarkEnd w:id="165"/>
    <w:bookmarkEnd w:id="166"/>
    <w:bookmarkEnd w:id="167"/>
    <w:bookmarkEnd w:id="168"/>
    <w:p w14:paraId="69F54E02">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w:t>
      </w:r>
      <w:bookmarkStart w:id="169" w:name="_Toc312677987"/>
      <w:bookmarkStart w:id="170" w:name="_Toc304295522"/>
      <w:bookmarkStart w:id="171" w:name="_Toc303539101"/>
      <w:bookmarkStart w:id="172" w:name="_Toc300934944"/>
      <w:bookmarkStart w:id="173" w:name="_Toc318581156"/>
      <w:r>
        <w:rPr>
          <w:rFonts w:hint="eastAsia" w:ascii="宋体" w:hAnsi="宋体" w:cs="宋体"/>
          <w:color w:val="auto"/>
          <w:sz w:val="22"/>
          <w:highlight w:val="none"/>
        </w:rPr>
        <w:t>.10.3 场内交通</w:t>
      </w:r>
    </w:p>
    <w:p w14:paraId="0539474E">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关于场外交通和场内交通的边界的约定：</w:t>
      </w:r>
      <w:r>
        <w:rPr>
          <w:rFonts w:hint="eastAsia" w:ascii="宋体" w:hAnsi="宋体" w:cs="宋体"/>
          <w:color w:val="auto"/>
          <w:sz w:val="22"/>
          <w:highlight w:val="none"/>
          <w:u w:val="single"/>
          <w:lang w:val="en-US" w:eastAsia="zh-CN"/>
        </w:rPr>
        <w:t xml:space="preserve"> </w:t>
      </w:r>
      <w:r>
        <w:rPr>
          <w:rStyle w:val="24"/>
          <w:rFonts w:hint="eastAsia" w:ascii="宋体" w:hAnsi="宋体" w:eastAsia="宋体" w:cs="宋体"/>
          <w:bCs/>
          <w:color w:val="auto"/>
          <w:kern w:val="0"/>
          <w:szCs w:val="21"/>
          <w:highlight w:val="none"/>
          <w:u w:val="single"/>
        </w:rPr>
        <w:t>以工程用地红线界定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01002BE4">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关于发包人向承包人免费提供满足工程施工需要的场内道路和交通设施的约定：</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发包人不提供任何满足工程施工需要的场内、场外道路和交通设施，由承包人根据实际需要自行解决</w:t>
      </w:r>
      <w:r>
        <w:rPr>
          <w:rFonts w:hint="eastAsia" w:ascii="宋体" w:hAnsi="宋体" w:cs="宋体"/>
          <w:color w:val="auto"/>
          <w:sz w:val="22"/>
          <w:highlight w:val="none"/>
        </w:rPr>
        <w:t>。</w:t>
      </w:r>
      <w:bookmarkEnd w:id="169"/>
      <w:bookmarkEnd w:id="170"/>
      <w:bookmarkEnd w:id="171"/>
      <w:bookmarkEnd w:id="172"/>
      <w:bookmarkEnd w:id="173"/>
      <w:bookmarkStart w:id="174" w:name="_Toc318581157"/>
    </w:p>
    <w:p w14:paraId="3841BADF">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1.10.4 超大件和超重件的运输</w:t>
      </w:r>
    </w:p>
    <w:p w14:paraId="6E213B14">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运输超大件或超重件所需的道路和桥梁临时加固改造费用和其他有关费用由</w:t>
      </w:r>
      <w:r>
        <w:rPr>
          <w:rFonts w:hint="eastAsia" w:ascii="宋体" w:hAnsi="宋体" w:cs="宋体"/>
          <w:color w:val="auto"/>
          <w:sz w:val="22"/>
          <w:highlight w:val="none"/>
          <w:u w:val="single"/>
        </w:rPr>
        <w:t xml:space="preserve"> 承包人</w:t>
      </w:r>
      <w:r>
        <w:rPr>
          <w:rFonts w:hint="eastAsia" w:ascii="宋体" w:hAnsi="宋体" w:cs="宋体"/>
          <w:color w:val="auto"/>
          <w:sz w:val="22"/>
          <w:highlight w:val="none"/>
        </w:rPr>
        <w:t>承担。</w:t>
      </w:r>
    </w:p>
    <w:bookmarkEnd w:id="174"/>
    <w:p w14:paraId="678EF6E8">
      <w:pPr>
        <w:pStyle w:val="39"/>
        <w:spacing w:line="360" w:lineRule="exact"/>
        <w:ind w:firstLine="442" w:firstLineChars="200"/>
        <w:rPr>
          <w:rFonts w:hint="eastAsia" w:ascii="宋体" w:hAnsi="宋体" w:cs="宋体"/>
          <w:color w:val="auto"/>
          <w:sz w:val="22"/>
          <w:szCs w:val="22"/>
          <w:highlight w:val="none"/>
        </w:rPr>
      </w:pPr>
      <w:bookmarkStart w:id="175" w:name="_Toc12975890"/>
      <w:bookmarkStart w:id="176" w:name="_Toc395382502"/>
      <w:bookmarkStart w:id="177" w:name="_Toc533432725"/>
      <w:bookmarkStart w:id="178" w:name="_Toc373478347"/>
      <w:bookmarkStart w:id="179" w:name="_Toc373227700"/>
      <w:bookmarkStart w:id="180" w:name="_Toc389065266"/>
      <w:r>
        <w:rPr>
          <w:rFonts w:hint="eastAsia" w:ascii="宋体" w:hAnsi="宋体" w:cs="宋体"/>
          <w:color w:val="auto"/>
          <w:sz w:val="22"/>
          <w:szCs w:val="22"/>
          <w:highlight w:val="none"/>
        </w:rPr>
        <w:t>1.11 知识产权</w:t>
      </w:r>
      <w:bookmarkEnd w:id="175"/>
      <w:bookmarkEnd w:id="176"/>
      <w:bookmarkEnd w:id="177"/>
      <w:bookmarkEnd w:id="178"/>
      <w:bookmarkEnd w:id="179"/>
      <w:bookmarkEnd w:id="180"/>
    </w:p>
    <w:p w14:paraId="500FD3BB">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2"/>
          <w:highlight w:val="none"/>
          <w:u w:val="single"/>
          <w:lang w:val="en-US" w:eastAsia="zh-CN"/>
        </w:rPr>
        <w:t xml:space="preserve"> </w:t>
      </w:r>
      <w:r>
        <w:rPr>
          <w:rFonts w:hint="eastAsia" w:ascii="宋体" w:hAnsi="宋体" w:cs="宋体"/>
          <w:b/>
          <w:bCs/>
          <w:color w:val="auto"/>
          <w:sz w:val="22"/>
          <w:highlight w:val="none"/>
          <w:u w:val="single"/>
        </w:rPr>
        <w:t>归属发包人所有，承包人不得向其他人转借、出售或泄露与本项目有关的上述文件资料情况</w:t>
      </w:r>
      <w:r>
        <w:rPr>
          <w:rFonts w:hint="eastAsia" w:ascii="宋体" w:hAnsi="宋体" w:cs="宋体"/>
          <w:b/>
          <w:bCs/>
          <w:color w:val="auto"/>
          <w:sz w:val="22"/>
          <w:highlight w:val="none"/>
          <w:u w:val="single"/>
          <w:lang w:val="en-US" w:eastAsia="zh-CN"/>
        </w:rPr>
        <w:t xml:space="preserve"> </w:t>
      </w:r>
      <w:r>
        <w:rPr>
          <w:rFonts w:hint="eastAsia" w:ascii="宋体" w:hAnsi="宋体" w:cs="宋体"/>
          <w:color w:val="auto"/>
          <w:sz w:val="22"/>
          <w:highlight w:val="none"/>
        </w:rPr>
        <w:t>。</w:t>
      </w:r>
    </w:p>
    <w:p w14:paraId="334A6292">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关于发包人提供的上述文件的使用限制的要求：</w:t>
      </w:r>
      <w:r>
        <w:rPr>
          <w:rFonts w:hint="eastAsia" w:ascii="宋体" w:hAnsi="宋体" w:cs="宋体"/>
          <w:color w:val="auto"/>
          <w:sz w:val="22"/>
          <w:highlight w:val="none"/>
          <w:u w:val="single"/>
          <w:lang w:val="en-US" w:eastAsia="zh-CN"/>
        </w:rPr>
        <w:t xml:space="preserve"> </w:t>
      </w:r>
      <w:r>
        <w:rPr>
          <w:rFonts w:hint="eastAsia" w:ascii="宋体" w:hAnsi="宋体" w:cs="宋体"/>
          <w:b/>
          <w:bCs/>
          <w:color w:val="auto"/>
          <w:sz w:val="22"/>
          <w:highlight w:val="none"/>
          <w:u w:val="single"/>
        </w:rPr>
        <w:t>仅使用于本项目的建设</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215FF540">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1.11.2 关于承包人为实施工程所编制文件的著作权的归属：</w:t>
      </w:r>
      <w:r>
        <w:rPr>
          <w:rFonts w:hint="eastAsia" w:ascii="宋体" w:hAnsi="宋体" w:cs="宋体"/>
          <w:b/>
          <w:bCs/>
          <w:color w:val="auto"/>
          <w:sz w:val="22"/>
          <w:highlight w:val="none"/>
          <w:u w:val="single"/>
        </w:rPr>
        <w:t>发包人</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32A0121D">
      <w:pPr>
        <w:pStyle w:val="40"/>
        <w:spacing w:line="36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关于承包人提供的上述文件的使用限制的要求：</w:t>
      </w:r>
      <w:r>
        <w:rPr>
          <w:rFonts w:hint="eastAsia" w:ascii="宋体" w:hAnsi="宋体" w:cs="宋体"/>
          <w:color w:val="auto"/>
          <w:sz w:val="22"/>
          <w:highlight w:val="none"/>
          <w:u w:val="single"/>
          <w:lang w:val="en-US" w:eastAsia="zh-CN"/>
        </w:rPr>
        <w:t xml:space="preserve"> </w:t>
      </w:r>
      <w:r>
        <w:rPr>
          <w:rFonts w:hint="eastAsia" w:ascii="宋体" w:hAnsi="宋体" w:cs="宋体"/>
          <w:b/>
          <w:bCs/>
          <w:color w:val="auto"/>
          <w:sz w:val="22"/>
          <w:highlight w:val="none"/>
          <w:u w:val="single"/>
        </w:rPr>
        <w:t>仅限本项目使用</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4E2EEB8B">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sz w:val="22"/>
          <w:highlight w:val="none"/>
        </w:rPr>
        <w:t>1.11.4 承包人在施工过程中所采用的专利、专有技术、技术秘密的使用费的承担方式：</w:t>
      </w:r>
      <w:r>
        <w:rPr>
          <w:rFonts w:hint="eastAsia" w:ascii="宋体" w:hAnsi="宋体" w:cs="宋体"/>
          <w:b/>
          <w:bCs/>
          <w:color w:val="auto"/>
          <w:sz w:val="22"/>
          <w:highlight w:val="none"/>
          <w:u w:val="single"/>
        </w:rPr>
        <w:t>由承包人承担</w:t>
      </w:r>
      <w:r>
        <w:rPr>
          <w:rFonts w:hint="eastAsia" w:ascii="宋体" w:hAnsi="宋体" w:cs="宋体"/>
          <w:b/>
          <w:bCs/>
          <w:color w:val="auto"/>
          <w:sz w:val="22"/>
          <w:highlight w:val="none"/>
          <w:u w:val="single"/>
          <w:lang w:eastAsia="zh-CN"/>
        </w:rPr>
        <w:t>，</w:t>
      </w:r>
      <w:r>
        <w:rPr>
          <w:rStyle w:val="24"/>
          <w:rFonts w:hint="eastAsia" w:ascii="宋体" w:hAnsi="宋体" w:eastAsia="宋体" w:cs="宋体"/>
          <w:b/>
          <w:bCs/>
          <w:color w:val="auto"/>
          <w:szCs w:val="21"/>
          <w:highlight w:val="none"/>
          <w:u w:val="single"/>
        </w:rPr>
        <w:t>已包含在签约合同价中，发包人不再另行支付</w:t>
      </w:r>
      <w:r>
        <w:rPr>
          <w:rFonts w:hint="eastAsia" w:ascii="宋体" w:hAnsi="宋体" w:cs="宋体"/>
          <w:color w:val="auto"/>
          <w:sz w:val="22"/>
          <w:highlight w:val="none"/>
          <w:u w:val="single"/>
        </w:rPr>
        <w:t xml:space="preserve"> </w:t>
      </w:r>
      <w:r>
        <w:rPr>
          <w:rFonts w:hint="eastAsia" w:ascii="宋体" w:hAnsi="宋体" w:cs="宋体"/>
          <w:color w:val="auto"/>
          <w:kern w:val="0"/>
          <w:sz w:val="22"/>
          <w:highlight w:val="none"/>
        </w:rPr>
        <w:t>。</w:t>
      </w:r>
    </w:p>
    <w:p w14:paraId="0F701F82">
      <w:pPr>
        <w:pStyle w:val="74"/>
        <w:spacing w:line="360" w:lineRule="exact"/>
        <w:ind w:firstLine="442" w:firstLineChars="200"/>
        <w:rPr>
          <w:rFonts w:hint="eastAsia" w:ascii="宋体" w:hAnsi="宋体" w:eastAsia="宋体" w:cs="宋体"/>
          <w:color w:val="auto"/>
          <w:sz w:val="22"/>
          <w:szCs w:val="22"/>
          <w:highlight w:val="none"/>
        </w:rPr>
      </w:pPr>
      <w:bookmarkStart w:id="181" w:name="_Toc529202538"/>
      <w:bookmarkStart w:id="182" w:name="_Toc54862504"/>
      <w:bookmarkStart w:id="183" w:name="_Toc513041284"/>
      <w:r>
        <w:rPr>
          <w:rFonts w:hint="eastAsia" w:ascii="宋体" w:hAnsi="宋体" w:eastAsia="宋体" w:cs="宋体"/>
          <w:color w:val="auto"/>
          <w:sz w:val="22"/>
          <w:szCs w:val="22"/>
          <w:highlight w:val="none"/>
        </w:rPr>
        <w:t>1.12保密</w:t>
      </w:r>
      <w:bookmarkEnd w:id="181"/>
      <w:bookmarkEnd w:id="182"/>
      <w:bookmarkEnd w:id="183"/>
    </w:p>
    <w:p w14:paraId="4DABAE10">
      <w:pPr>
        <w:pStyle w:val="60"/>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sz w:val="22"/>
          <w:szCs w:val="22"/>
          <w:highlight w:val="none"/>
          <w:u w:val="single"/>
        </w:rPr>
        <w:t>除法律规定外，未经发包人同意，承包人不得将发包人提供的图纸、文件以及声明需要保密的资料信息等商业秘密泄露给第三方。</w:t>
      </w:r>
    </w:p>
    <w:p w14:paraId="20C9E60F">
      <w:pPr>
        <w:pStyle w:val="39"/>
        <w:spacing w:line="360" w:lineRule="exact"/>
        <w:ind w:firstLine="442" w:firstLineChars="200"/>
        <w:rPr>
          <w:rFonts w:hint="eastAsia" w:ascii="宋体" w:hAnsi="宋体" w:cs="宋体"/>
          <w:color w:val="auto"/>
          <w:sz w:val="22"/>
          <w:szCs w:val="22"/>
          <w:highlight w:val="none"/>
        </w:rPr>
      </w:pPr>
      <w:bookmarkStart w:id="184" w:name="_Toc373227701"/>
      <w:bookmarkStart w:id="185" w:name="_Toc395382503"/>
      <w:bookmarkStart w:id="186" w:name="_Toc373478348"/>
      <w:bookmarkStart w:id="187" w:name="_Toc12975891"/>
      <w:bookmarkStart w:id="188" w:name="_Toc533432726"/>
      <w:bookmarkStart w:id="189" w:name="_Toc389065267"/>
      <w:r>
        <w:rPr>
          <w:rFonts w:hint="eastAsia" w:ascii="宋体" w:hAnsi="宋体" w:cs="宋体"/>
          <w:color w:val="auto"/>
          <w:sz w:val="22"/>
          <w:szCs w:val="22"/>
          <w:highlight w:val="none"/>
        </w:rPr>
        <w:t>1.13工程量清单错误的修正</w:t>
      </w:r>
      <w:bookmarkEnd w:id="184"/>
      <w:bookmarkEnd w:id="185"/>
      <w:bookmarkEnd w:id="186"/>
      <w:bookmarkEnd w:id="187"/>
      <w:bookmarkEnd w:id="188"/>
      <w:bookmarkEnd w:id="189"/>
    </w:p>
    <w:p w14:paraId="7AA15866">
      <w:pPr>
        <w:pStyle w:val="60"/>
        <w:spacing w:line="360" w:lineRule="exact"/>
        <w:ind w:firstLine="440" w:firstLineChars="200"/>
        <w:rPr>
          <w:rFonts w:hint="eastAsia" w:ascii="宋体" w:hAnsi="宋体" w:eastAsia="宋体" w:cs="宋体"/>
          <w:color w:val="auto"/>
          <w:sz w:val="22"/>
          <w:szCs w:val="22"/>
          <w:highlight w:val="none"/>
          <w:u w:val="single"/>
          <w:lang w:eastAsia="zh-CN"/>
        </w:rPr>
      </w:pPr>
      <w:r>
        <w:rPr>
          <w:rFonts w:hint="eastAsia" w:ascii="宋体" w:hAnsi="宋体" w:cs="宋体"/>
          <w:color w:val="auto"/>
          <w:sz w:val="22"/>
          <w:szCs w:val="22"/>
          <w:highlight w:val="none"/>
        </w:rPr>
        <w:t>出现工程量清单工程量偏差时，是否调整合同价格：</w:t>
      </w:r>
      <w:r>
        <w:rPr>
          <w:rFonts w:hint="eastAsia" w:ascii="宋体" w:hAnsi="宋体" w:cs="宋体"/>
          <w:color w:val="auto"/>
          <w:sz w:val="22"/>
          <w:szCs w:val="22"/>
          <w:highlight w:val="none"/>
          <w:u w:val="single"/>
        </w:rPr>
        <w:t>合同履行期间，由于磋商工程量清单错误、缺项、漏项，（1）新增部分项工程清单项目的，按照以下规定确定单价，并调整合同价格：1）合同中已有适用的综合单价，按合同中已有的综合单价确定；2）合同中有类似的综合单价，参照类似的综合单价确定；3）合同中没有适用或类似的综合单价，依据“专用合同条款10.4.1变更估价原则”执行。（2）由于磋商工程量清单项目多列或重复列项的，按照承包人磋商综合单价确定单价，并调整合同价格</w:t>
      </w:r>
      <w:r>
        <w:rPr>
          <w:rFonts w:hint="eastAsia" w:ascii="宋体" w:hAnsi="宋体" w:cs="宋体"/>
          <w:color w:val="auto"/>
          <w:sz w:val="22"/>
          <w:szCs w:val="22"/>
          <w:highlight w:val="none"/>
          <w:u w:val="single"/>
          <w:lang w:eastAsia="zh-CN"/>
        </w:rPr>
        <w:t>。</w:t>
      </w:r>
    </w:p>
    <w:p w14:paraId="2ED55959">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除以上情况之外出现工程量清单错误的，不调整合同价格。</w:t>
      </w:r>
      <w:r>
        <w:rPr>
          <w:rFonts w:hint="eastAsia" w:ascii="宋体" w:hAnsi="宋体" w:cs="宋体"/>
          <w:color w:val="auto"/>
          <w:sz w:val="22"/>
          <w:szCs w:val="22"/>
          <w:highlight w:val="none"/>
          <w:u w:val="single"/>
        </w:rPr>
        <w:t>发包人提供的措施费用清单仅供承包人参考，承包人可根据自身实际情况对措施项目进行增减，磋商工程量清单中的所有措施项目出现错误、缺项、漏项情况时，不属于调整价格范围。磋商图纸中的所有项目的措施费均包含在本合同价格中，承包人不得以措施项目漏项为由提出任何补偿及图纸修改</w:t>
      </w:r>
      <w:r>
        <w:rPr>
          <w:rFonts w:hint="eastAsia" w:ascii="宋体" w:hAnsi="宋体" w:cs="宋体"/>
          <w:color w:val="auto"/>
          <w:sz w:val="22"/>
          <w:szCs w:val="22"/>
          <w:highlight w:val="none"/>
        </w:rPr>
        <w:t>。</w:t>
      </w:r>
    </w:p>
    <w:p w14:paraId="0DCC4D9D">
      <w:pPr>
        <w:pStyle w:val="60"/>
        <w:spacing w:line="360" w:lineRule="exact"/>
        <w:ind w:firstLine="440" w:firstLineChars="200"/>
        <w:rPr>
          <w:rFonts w:hint="eastAsia" w:ascii="宋体" w:hAnsi="宋体" w:cs="宋体"/>
          <w:b/>
          <w:color w:val="auto"/>
          <w:sz w:val="22"/>
          <w:szCs w:val="22"/>
          <w:highlight w:val="none"/>
        </w:rPr>
      </w:pPr>
      <w:r>
        <w:rPr>
          <w:rFonts w:hint="eastAsia" w:ascii="宋体" w:hAnsi="宋体" w:cs="宋体"/>
          <w:color w:val="auto"/>
          <w:sz w:val="22"/>
          <w:szCs w:val="22"/>
          <w:highlight w:val="none"/>
        </w:rPr>
        <w:t>允许调整合同价格的工程量偏差范围及其调整办法：</w:t>
      </w:r>
      <w:r>
        <w:rPr>
          <w:rFonts w:hint="eastAsia" w:ascii="宋体" w:hAnsi="宋体" w:cs="宋体"/>
          <w:color w:val="auto"/>
          <w:sz w:val="22"/>
          <w:szCs w:val="22"/>
          <w:highlight w:val="none"/>
          <w:u w:val="single"/>
        </w:rPr>
        <w:t>无。</w:t>
      </w:r>
    </w:p>
    <w:p w14:paraId="2A9B0429">
      <w:pPr>
        <w:pStyle w:val="60"/>
        <w:spacing w:line="360" w:lineRule="exact"/>
        <w:ind w:firstLine="440" w:firstLineChars="200"/>
        <w:rPr>
          <w:rFonts w:hint="eastAsia" w:ascii="宋体" w:hAnsi="宋体" w:eastAsia="宋体" w:cs="宋体"/>
          <w:color w:val="auto"/>
          <w:sz w:val="22"/>
          <w:szCs w:val="22"/>
          <w:highlight w:val="none"/>
          <w:u w:val="single"/>
          <w:lang w:eastAsia="zh-CN"/>
        </w:rPr>
      </w:pPr>
      <w:r>
        <w:rPr>
          <w:rFonts w:hint="eastAsia" w:ascii="宋体" w:hAnsi="宋体" w:cs="宋体"/>
          <w:color w:val="auto"/>
          <w:sz w:val="22"/>
          <w:szCs w:val="22"/>
          <w:highlight w:val="none"/>
          <w:u w:val="single"/>
        </w:rPr>
        <w:t>承包人承诺，磋商合同总价中包含了本项目全部已</w:t>
      </w:r>
      <w:r>
        <w:rPr>
          <w:rFonts w:hint="eastAsia" w:ascii="宋体" w:hAnsi="宋体" w:cs="宋体"/>
          <w:color w:val="auto"/>
          <w:sz w:val="22"/>
          <w:szCs w:val="22"/>
          <w:highlight w:val="none"/>
          <w:u w:val="single"/>
          <w:lang w:val="en-US" w:eastAsia="zh-CN"/>
        </w:rPr>
        <w:t>预</w:t>
      </w:r>
      <w:r>
        <w:rPr>
          <w:rFonts w:hint="eastAsia" w:ascii="宋体" w:hAnsi="宋体" w:cs="宋体"/>
          <w:color w:val="auto"/>
          <w:sz w:val="22"/>
          <w:szCs w:val="22"/>
          <w:highlight w:val="none"/>
          <w:u w:val="single"/>
        </w:rPr>
        <w:t>料的和（或）未预料到的单价措施和总价措施费用，包括但不限于如下项目：临时设施、施工用电、柴油发电、围堰、基坑支护、作业平台、大型机械进出场</w:t>
      </w:r>
      <w:r>
        <w:rPr>
          <w:rFonts w:hint="eastAsia" w:ascii="宋体" w:hAnsi="宋体" w:cs="宋体"/>
          <w:color w:val="auto"/>
          <w:sz w:val="22"/>
          <w:szCs w:val="22"/>
          <w:highlight w:val="none"/>
          <w:u w:val="single"/>
          <w:lang w:val="en-US" w:eastAsia="zh-CN"/>
        </w:rPr>
        <w:t>及</w:t>
      </w:r>
      <w:r>
        <w:rPr>
          <w:rFonts w:hint="eastAsia" w:ascii="宋体" w:hAnsi="宋体" w:cs="宋体"/>
          <w:color w:val="auto"/>
          <w:sz w:val="22"/>
          <w:szCs w:val="22"/>
          <w:highlight w:val="none"/>
          <w:u w:val="single"/>
        </w:rPr>
        <w:t>安拆、便道及便桥、施工降排水、安全文明施工及其他措施项目，未按期竣工（其中包括承包人原因和征地拆迁等承包人原因引起的工期顺延）增加的全部费用。</w:t>
      </w:r>
    </w:p>
    <w:p w14:paraId="38C86DA8">
      <w:pPr>
        <w:pStyle w:val="73"/>
        <w:spacing w:before="0" w:after="0" w:line="360" w:lineRule="exact"/>
        <w:ind w:firstLine="442" w:firstLineChars="200"/>
        <w:rPr>
          <w:rFonts w:hint="eastAsia" w:ascii="宋体" w:hAnsi="宋体" w:cs="宋体"/>
          <w:color w:val="auto"/>
          <w:sz w:val="22"/>
          <w:szCs w:val="22"/>
          <w:highlight w:val="none"/>
        </w:rPr>
      </w:pPr>
      <w:bookmarkStart w:id="190" w:name="_Toc533432727"/>
      <w:bookmarkStart w:id="191" w:name="_Toc373478349"/>
      <w:bookmarkStart w:id="192" w:name="_Toc351203634"/>
      <w:bookmarkStart w:id="193" w:name="_Toc395382504"/>
      <w:bookmarkStart w:id="194" w:name="_Toc389065268"/>
      <w:bookmarkStart w:id="195" w:name="_Toc12975892"/>
      <w:bookmarkStart w:id="196" w:name="_Toc373227702"/>
      <w:r>
        <w:rPr>
          <w:rFonts w:hint="eastAsia" w:ascii="宋体" w:hAnsi="宋体" w:cs="宋体"/>
          <w:color w:val="auto"/>
          <w:sz w:val="22"/>
          <w:szCs w:val="22"/>
          <w:highlight w:val="none"/>
        </w:rPr>
        <w:t>2</w:t>
      </w:r>
      <w:bookmarkStart w:id="197" w:name="_Toc296890985"/>
      <w:bookmarkStart w:id="198" w:name="_Toc296944496"/>
      <w:bookmarkStart w:id="199" w:name="_Toc297120457"/>
      <w:bookmarkStart w:id="200" w:name="_Toc297048343"/>
      <w:bookmarkStart w:id="201" w:name="_Toc296346658"/>
      <w:bookmarkStart w:id="202" w:name="_Toc292559362"/>
      <w:bookmarkStart w:id="203" w:name="_Toc296347156"/>
      <w:bookmarkStart w:id="204" w:name="_Toc296891197"/>
      <w:bookmarkStart w:id="205" w:name="_Toc292559867"/>
      <w:bookmarkStart w:id="206" w:name="_Toc296503157"/>
      <w:r>
        <w:rPr>
          <w:rFonts w:hint="eastAsia" w:ascii="宋体" w:hAnsi="宋体" w:cs="宋体"/>
          <w:color w:val="auto"/>
          <w:sz w:val="22"/>
          <w:szCs w:val="22"/>
          <w:highlight w:val="none"/>
        </w:rPr>
        <w:t>. 发包人</w:t>
      </w:r>
      <w:bookmarkEnd w:id="190"/>
      <w:bookmarkEnd w:id="191"/>
      <w:bookmarkEnd w:id="192"/>
      <w:bookmarkEnd w:id="193"/>
      <w:bookmarkEnd w:id="194"/>
      <w:bookmarkEnd w:id="195"/>
      <w:bookmarkEnd w:id="196"/>
    </w:p>
    <w:bookmarkEnd w:id="197"/>
    <w:bookmarkEnd w:id="198"/>
    <w:bookmarkEnd w:id="199"/>
    <w:bookmarkEnd w:id="200"/>
    <w:bookmarkEnd w:id="201"/>
    <w:bookmarkEnd w:id="202"/>
    <w:bookmarkEnd w:id="203"/>
    <w:bookmarkEnd w:id="204"/>
    <w:bookmarkEnd w:id="205"/>
    <w:bookmarkEnd w:id="206"/>
    <w:p w14:paraId="57E4AAE7">
      <w:pPr>
        <w:pStyle w:val="39"/>
        <w:spacing w:line="360" w:lineRule="exact"/>
        <w:ind w:firstLine="442" w:firstLineChars="200"/>
        <w:rPr>
          <w:rFonts w:hint="eastAsia" w:ascii="宋体" w:hAnsi="宋体" w:cs="宋体"/>
          <w:color w:val="auto"/>
          <w:sz w:val="22"/>
          <w:szCs w:val="22"/>
          <w:highlight w:val="none"/>
        </w:rPr>
      </w:pPr>
      <w:bookmarkStart w:id="207" w:name="_Toc395382505"/>
      <w:bookmarkStart w:id="208" w:name="_Toc533432728"/>
      <w:bookmarkStart w:id="209" w:name="_Toc373478350"/>
      <w:bookmarkStart w:id="210" w:name="_Toc373227703"/>
      <w:bookmarkStart w:id="211" w:name="_Toc389065269"/>
      <w:bookmarkStart w:id="212" w:name="_Toc12975893"/>
      <w:r>
        <w:rPr>
          <w:rFonts w:hint="eastAsia" w:ascii="宋体" w:hAnsi="宋体" w:cs="宋体"/>
          <w:color w:val="auto"/>
          <w:sz w:val="22"/>
          <w:szCs w:val="22"/>
          <w:highlight w:val="none"/>
        </w:rPr>
        <w:t>2.2 发包人代表</w:t>
      </w:r>
      <w:bookmarkEnd w:id="207"/>
      <w:bookmarkEnd w:id="208"/>
      <w:bookmarkEnd w:id="209"/>
      <w:bookmarkEnd w:id="210"/>
      <w:bookmarkEnd w:id="211"/>
      <w:bookmarkEnd w:id="212"/>
    </w:p>
    <w:p w14:paraId="5DF9D8B1">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发包人代表：</w:t>
      </w:r>
    </w:p>
    <w:p w14:paraId="1404F683">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姓    名：</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0C5FDCF5">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身份证号：</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424590AB">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职    务：</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19B21335">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联系电话：</w:t>
      </w:r>
      <w:r>
        <w:rPr>
          <w:rFonts w:hint="eastAsia" w:ascii="宋体" w:hAnsi="宋体" w:cs="宋体"/>
          <w:color w:val="auto"/>
          <w:sz w:val="22"/>
          <w:highlight w:val="none"/>
          <w:u w:val="single"/>
        </w:rPr>
        <w:t>     </w:t>
      </w:r>
      <w:r>
        <w:rPr>
          <w:rFonts w:hint="eastAsia" w:ascii="宋体" w:hAnsi="宋体" w:cs="宋体"/>
          <w:color w:val="auto"/>
          <w:sz w:val="22"/>
          <w:highlight w:val="none"/>
        </w:rPr>
        <w:t>；</w:t>
      </w:r>
    </w:p>
    <w:p w14:paraId="27178E1D">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电子信箱：</w:t>
      </w:r>
      <w:r>
        <w:rPr>
          <w:rFonts w:hint="eastAsia" w:ascii="宋体" w:hAnsi="宋体" w:cs="宋体"/>
          <w:color w:val="auto"/>
          <w:sz w:val="22"/>
          <w:highlight w:val="none"/>
          <w:u w:val="single"/>
        </w:rPr>
        <w:t>     </w:t>
      </w:r>
      <w:r>
        <w:rPr>
          <w:rFonts w:hint="eastAsia" w:ascii="宋体" w:hAnsi="宋体" w:cs="宋体"/>
          <w:color w:val="auto"/>
          <w:sz w:val="22"/>
          <w:highlight w:val="none"/>
        </w:rPr>
        <w:t>；</w:t>
      </w:r>
    </w:p>
    <w:p w14:paraId="6B89DE87">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通信地址：</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7408B437">
      <w:pPr>
        <w:pStyle w:val="40"/>
        <w:spacing w:line="36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发包人对发包人代表的授权范围如下：</w:t>
      </w:r>
      <w:r>
        <w:rPr>
          <w:rFonts w:hint="eastAsia" w:ascii="宋体" w:hAnsi="宋体" w:cs="宋体"/>
          <w:color w:val="auto"/>
          <w:sz w:val="22"/>
          <w:highlight w:val="none"/>
          <w:u w:val="single"/>
        </w:rPr>
        <w:t></w:t>
      </w:r>
      <w:r>
        <w:rPr>
          <w:rStyle w:val="24"/>
          <w:rFonts w:hint="eastAsia" w:ascii="宋体" w:hAnsi="宋体" w:eastAsia="宋体" w:cs="宋体"/>
          <w:color w:val="auto"/>
          <w:szCs w:val="21"/>
          <w:highlight w:val="none"/>
          <w:u w:val="single"/>
        </w:rPr>
        <w:t>督促指导监理工程师行使职权，协调施工现场各方面的关系，协调解决工程质量、进度和安全文明施工中存在的问题，协调解决有关设计和技术问题，办理、签认现场经济技术签证(需加盖发包人公章方发生法律效力)</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22F1B841">
      <w:pPr>
        <w:pStyle w:val="39"/>
        <w:spacing w:line="360" w:lineRule="exact"/>
        <w:ind w:firstLine="442" w:firstLineChars="200"/>
        <w:rPr>
          <w:rFonts w:hint="eastAsia" w:ascii="宋体" w:hAnsi="宋体" w:cs="宋体"/>
          <w:color w:val="auto"/>
          <w:sz w:val="22"/>
          <w:szCs w:val="22"/>
          <w:highlight w:val="none"/>
        </w:rPr>
      </w:pPr>
      <w:bookmarkStart w:id="213" w:name="_Toc533432729"/>
      <w:bookmarkStart w:id="214" w:name="_Toc389065270"/>
      <w:bookmarkStart w:id="215" w:name="_Toc373227704"/>
      <w:bookmarkStart w:id="216" w:name="_Toc395382506"/>
      <w:bookmarkStart w:id="217" w:name="_Toc12975894"/>
      <w:bookmarkStart w:id="218" w:name="_Toc373478351"/>
      <w:r>
        <w:rPr>
          <w:rFonts w:hint="eastAsia" w:ascii="宋体" w:hAnsi="宋体" w:cs="宋体"/>
          <w:color w:val="auto"/>
          <w:sz w:val="22"/>
          <w:szCs w:val="22"/>
          <w:highlight w:val="none"/>
        </w:rPr>
        <w:t>2.4 施工现场、施工条件和基础资料的提供</w:t>
      </w:r>
      <w:bookmarkEnd w:id="213"/>
      <w:bookmarkEnd w:id="214"/>
      <w:bookmarkEnd w:id="215"/>
      <w:bookmarkEnd w:id="216"/>
      <w:bookmarkEnd w:id="217"/>
      <w:bookmarkEnd w:id="218"/>
    </w:p>
    <w:p w14:paraId="6EA609AF">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2.4.1  提供施工现场</w:t>
      </w:r>
    </w:p>
    <w:p w14:paraId="6E628A3B">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关于发包人移交施工现场的期限要求：</w:t>
      </w:r>
      <w:r>
        <w:rPr>
          <w:rStyle w:val="24"/>
          <w:rFonts w:hint="eastAsia" w:ascii="宋体" w:hAnsi="宋体" w:eastAsia="宋体" w:cs="宋体"/>
          <w:color w:val="auto"/>
          <w:szCs w:val="21"/>
          <w:highlight w:val="none"/>
          <w:u w:val="single"/>
        </w:rPr>
        <w:t xml:space="preserve"> 施工场地应当在发包人发出的开工通知中载明的开工日期前三天具备施工条件并移交给承包人 </w:t>
      </w:r>
      <w:r>
        <w:rPr>
          <w:rStyle w:val="24"/>
          <w:rFonts w:hint="eastAsia" w:ascii="宋体" w:hAnsi="宋体" w:eastAsia="宋体" w:cs="宋体"/>
          <w:color w:val="auto"/>
          <w:szCs w:val="21"/>
          <w:highlight w:val="none"/>
        </w:rPr>
        <w:t>。</w:t>
      </w:r>
    </w:p>
    <w:p w14:paraId="7059750F">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2.4.2  提供施工条件</w:t>
      </w:r>
    </w:p>
    <w:p w14:paraId="51C43E73">
      <w:pPr>
        <w:pStyle w:val="63"/>
        <w:spacing w:line="360" w:lineRule="auto"/>
        <w:ind w:firstLine="420" w:firstLineChars="200"/>
        <w:rPr>
          <w:rFonts w:hint="eastAsia" w:ascii="宋体" w:hAnsi="宋体" w:cs="宋体"/>
          <w:color w:val="auto"/>
          <w:sz w:val="22"/>
          <w:szCs w:val="22"/>
          <w:highlight w:val="none"/>
          <w:u w:val="single"/>
        </w:rPr>
      </w:pPr>
      <w:r>
        <w:rPr>
          <w:rStyle w:val="24"/>
          <w:rFonts w:hint="eastAsia" w:ascii="宋体" w:hAnsi="宋体" w:eastAsia="宋体" w:cs="宋体"/>
          <w:color w:val="auto"/>
          <w:szCs w:val="21"/>
          <w:highlight w:val="none"/>
        </w:rPr>
        <w:t>关于发包人应负责提供施工所需要的条件，包括：</w:t>
      </w:r>
      <w:r>
        <w:rPr>
          <w:rStyle w:val="24"/>
          <w:rFonts w:hint="eastAsia" w:ascii="宋体" w:hAnsi="宋体" w:eastAsia="宋体" w:cs="宋体"/>
          <w:color w:val="auto"/>
          <w:szCs w:val="21"/>
          <w:highlight w:val="none"/>
          <w:u w:val="single"/>
        </w:rPr>
        <w:t xml:space="preserve"> 施工用水、用电由供水供电部门负责接至项目场地接入点，接入点至施工现场段由承包人根据施工需要自行考虑，施工期间产生的水、电费由承包人承担，水费价格按供水部门价格，电费价格按供电部门价格，由承包人自行缴纳，在投标报价中自行考虑。若供电、供水部门的原因造成停电、停水，承包人必须自行解决施工用电、用水，费用自理 </w:t>
      </w:r>
      <w:r>
        <w:rPr>
          <w:rStyle w:val="24"/>
          <w:rFonts w:hint="eastAsia" w:ascii="宋体" w:hAnsi="宋体" w:eastAsia="宋体" w:cs="宋体"/>
          <w:color w:val="auto"/>
          <w:szCs w:val="21"/>
          <w:highlight w:val="none"/>
        </w:rPr>
        <w:t>。</w:t>
      </w:r>
    </w:p>
    <w:p w14:paraId="3C28D2E0">
      <w:pPr>
        <w:pStyle w:val="39"/>
        <w:spacing w:line="360" w:lineRule="exact"/>
        <w:ind w:firstLine="442" w:firstLineChars="200"/>
        <w:rPr>
          <w:rFonts w:hint="eastAsia" w:ascii="宋体" w:hAnsi="宋体" w:cs="宋体"/>
          <w:color w:val="auto"/>
          <w:sz w:val="22"/>
          <w:szCs w:val="22"/>
          <w:highlight w:val="none"/>
        </w:rPr>
      </w:pPr>
      <w:bookmarkStart w:id="219" w:name="_Toc373478352"/>
      <w:bookmarkStart w:id="220" w:name="_Toc373227705"/>
      <w:bookmarkStart w:id="221" w:name="_Toc533432730"/>
      <w:bookmarkStart w:id="222" w:name="_Toc389065271"/>
      <w:bookmarkStart w:id="223" w:name="_Toc395382507"/>
      <w:bookmarkStart w:id="224" w:name="_Toc12975895"/>
      <w:r>
        <w:rPr>
          <w:rFonts w:hint="eastAsia" w:ascii="宋体" w:hAnsi="宋体" w:cs="宋体"/>
          <w:color w:val="auto"/>
          <w:sz w:val="22"/>
          <w:szCs w:val="22"/>
          <w:highlight w:val="none"/>
        </w:rPr>
        <w:t>2.5 资金来源证明及支付担保</w:t>
      </w:r>
      <w:bookmarkEnd w:id="219"/>
      <w:bookmarkEnd w:id="220"/>
      <w:bookmarkEnd w:id="221"/>
      <w:bookmarkEnd w:id="222"/>
      <w:bookmarkEnd w:id="223"/>
      <w:bookmarkEnd w:id="224"/>
    </w:p>
    <w:p w14:paraId="2B52D58D">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发包人提供资金来源证明的期限要求：</w:t>
      </w:r>
      <w:r>
        <w:rPr>
          <w:rFonts w:hint="eastAsia" w:ascii="宋体" w:hAnsi="宋体" w:cs="宋体"/>
          <w:color w:val="auto"/>
          <w:sz w:val="22"/>
          <w:highlight w:val="none"/>
          <w:u w:val="single"/>
        </w:rPr>
        <w:t xml:space="preserve">不提供  </w:t>
      </w:r>
      <w:r>
        <w:rPr>
          <w:rFonts w:hint="eastAsia" w:ascii="宋体" w:hAnsi="宋体" w:cs="宋体"/>
          <w:color w:val="auto"/>
          <w:sz w:val="22"/>
          <w:highlight w:val="none"/>
        </w:rPr>
        <w:t>。</w:t>
      </w:r>
    </w:p>
    <w:p w14:paraId="0153683B">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发包人是否提供支付担保：</w:t>
      </w:r>
      <w:r>
        <w:rPr>
          <w:rFonts w:hint="eastAsia" w:ascii="宋体" w:hAnsi="宋体" w:cs="宋体"/>
          <w:color w:val="auto"/>
          <w:sz w:val="22"/>
          <w:highlight w:val="none"/>
          <w:u w:val="single"/>
        </w:rPr>
        <w:t xml:space="preserve">不提供  </w:t>
      </w:r>
      <w:r>
        <w:rPr>
          <w:rFonts w:hint="eastAsia" w:ascii="宋体" w:hAnsi="宋体" w:cs="宋体"/>
          <w:color w:val="auto"/>
          <w:sz w:val="22"/>
          <w:highlight w:val="none"/>
        </w:rPr>
        <w:t>。</w:t>
      </w:r>
    </w:p>
    <w:p w14:paraId="45F0DDE0">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发包人提供支付担保的形式：</w:t>
      </w:r>
      <w:r>
        <w:rPr>
          <w:rFonts w:hint="eastAsia" w:ascii="宋体" w:hAnsi="宋体" w:cs="宋体"/>
          <w:color w:val="auto"/>
          <w:sz w:val="22"/>
          <w:highlight w:val="none"/>
          <w:u w:val="single"/>
        </w:rPr>
        <w:t>无</w:t>
      </w:r>
      <w:r>
        <w:rPr>
          <w:rFonts w:hint="eastAsia" w:ascii="宋体" w:hAnsi="宋体" w:cs="宋体"/>
          <w:color w:val="auto"/>
          <w:sz w:val="22"/>
          <w:highlight w:val="none"/>
        </w:rPr>
        <w:t>。</w:t>
      </w:r>
    </w:p>
    <w:p w14:paraId="11EC089E">
      <w:pPr>
        <w:pStyle w:val="40"/>
        <w:spacing w:line="360" w:lineRule="exact"/>
        <w:ind w:firstLine="440" w:firstLineChars="200"/>
        <w:rPr>
          <w:rFonts w:hint="eastAsia" w:ascii="宋体" w:hAnsi="宋体" w:cs="宋体"/>
          <w:color w:val="auto"/>
          <w:sz w:val="22"/>
          <w:highlight w:val="none"/>
          <w:u w:val="single"/>
        </w:rPr>
      </w:pPr>
    </w:p>
    <w:p w14:paraId="4303325C">
      <w:pPr>
        <w:pStyle w:val="73"/>
        <w:spacing w:before="0" w:after="0" w:line="360" w:lineRule="exact"/>
        <w:ind w:firstLine="442" w:firstLineChars="200"/>
        <w:rPr>
          <w:rFonts w:hint="eastAsia" w:ascii="宋体" w:hAnsi="宋体" w:cs="宋体"/>
          <w:color w:val="auto"/>
          <w:sz w:val="22"/>
          <w:szCs w:val="22"/>
          <w:highlight w:val="none"/>
        </w:rPr>
      </w:pPr>
      <w:bookmarkStart w:id="225" w:name="_Toc12975896"/>
      <w:bookmarkStart w:id="226" w:name="_Toc351203635"/>
      <w:bookmarkStart w:id="227" w:name="_Toc395382508"/>
      <w:bookmarkStart w:id="228" w:name="_Toc389065272"/>
      <w:bookmarkStart w:id="229" w:name="_Toc373227706"/>
      <w:bookmarkStart w:id="230" w:name="_Toc373478353"/>
      <w:bookmarkStart w:id="231" w:name="_Toc533432731"/>
      <w:r>
        <w:rPr>
          <w:rFonts w:hint="eastAsia" w:ascii="宋体" w:hAnsi="宋体" w:cs="宋体"/>
          <w:color w:val="auto"/>
          <w:sz w:val="22"/>
          <w:szCs w:val="22"/>
          <w:highlight w:val="none"/>
        </w:rPr>
        <w:t>3</w:t>
      </w:r>
      <w:bookmarkStart w:id="232" w:name="_Toc292559363"/>
      <w:bookmarkStart w:id="233" w:name="_Toc292559868"/>
      <w:bookmarkStart w:id="234" w:name="_Toc296944497"/>
      <w:bookmarkStart w:id="235" w:name="_Toc297048344"/>
      <w:bookmarkStart w:id="236" w:name="_Toc296890986"/>
      <w:bookmarkStart w:id="237" w:name="_Toc296891198"/>
      <w:bookmarkStart w:id="238" w:name="_Toc296347157"/>
      <w:bookmarkStart w:id="239" w:name="_Toc297120458"/>
      <w:bookmarkStart w:id="240" w:name="_Toc296503158"/>
      <w:bookmarkStart w:id="241" w:name="_Toc296346659"/>
      <w:r>
        <w:rPr>
          <w:rFonts w:hint="eastAsia" w:ascii="宋体" w:hAnsi="宋体" w:cs="宋体"/>
          <w:color w:val="auto"/>
          <w:sz w:val="22"/>
          <w:szCs w:val="22"/>
          <w:highlight w:val="none"/>
        </w:rPr>
        <w:t>. 承包人</w:t>
      </w:r>
      <w:bookmarkEnd w:id="225"/>
      <w:bookmarkEnd w:id="226"/>
      <w:bookmarkEnd w:id="227"/>
      <w:bookmarkEnd w:id="228"/>
      <w:bookmarkEnd w:id="229"/>
      <w:bookmarkEnd w:id="230"/>
      <w:bookmarkEnd w:id="231"/>
    </w:p>
    <w:bookmarkEnd w:id="232"/>
    <w:bookmarkEnd w:id="233"/>
    <w:bookmarkEnd w:id="234"/>
    <w:bookmarkEnd w:id="235"/>
    <w:bookmarkEnd w:id="236"/>
    <w:bookmarkEnd w:id="237"/>
    <w:bookmarkEnd w:id="238"/>
    <w:bookmarkEnd w:id="239"/>
    <w:bookmarkEnd w:id="240"/>
    <w:bookmarkEnd w:id="241"/>
    <w:p w14:paraId="7A2FC2FB">
      <w:pPr>
        <w:pStyle w:val="39"/>
        <w:spacing w:line="360" w:lineRule="exact"/>
        <w:ind w:firstLine="442" w:firstLineChars="200"/>
        <w:rPr>
          <w:rFonts w:hint="eastAsia" w:ascii="宋体" w:hAnsi="宋体" w:cs="宋体"/>
          <w:color w:val="auto"/>
          <w:sz w:val="22"/>
          <w:szCs w:val="22"/>
          <w:highlight w:val="none"/>
        </w:rPr>
      </w:pPr>
      <w:bookmarkStart w:id="242" w:name="_Toc373227707"/>
      <w:bookmarkStart w:id="243" w:name="_Toc395382509"/>
      <w:bookmarkStart w:id="244" w:name="_Toc373478354"/>
      <w:bookmarkStart w:id="245" w:name="_Toc389065273"/>
      <w:bookmarkStart w:id="246" w:name="_Toc12975897"/>
      <w:bookmarkStart w:id="247" w:name="_Toc533432732"/>
      <w:r>
        <w:rPr>
          <w:rFonts w:hint="eastAsia" w:ascii="宋体" w:hAnsi="宋体" w:cs="宋体"/>
          <w:color w:val="auto"/>
          <w:sz w:val="22"/>
          <w:szCs w:val="22"/>
          <w:highlight w:val="none"/>
        </w:rPr>
        <w:t>3.1 承包人的一般义务</w:t>
      </w:r>
      <w:bookmarkEnd w:id="242"/>
      <w:bookmarkEnd w:id="243"/>
      <w:bookmarkEnd w:id="244"/>
      <w:bookmarkEnd w:id="245"/>
      <w:bookmarkEnd w:id="246"/>
      <w:bookmarkEnd w:id="247"/>
    </w:p>
    <w:p w14:paraId="6F2C0471">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kern w:val="0"/>
          <w:sz w:val="22"/>
          <w:highlight w:val="none"/>
        </w:rPr>
        <w:t>（9）</w:t>
      </w:r>
      <w:r>
        <w:rPr>
          <w:rFonts w:hint="eastAsia" w:ascii="宋体" w:hAnsi="宋体" w:cs="宋体"/>
          <w:color w:val="auto"/>
          <w:sz w:val="22"/>
          <w:highlight w:val="none"/>
        </w:rPr>
        <w:t>承包人提交的竣工资料的内容：</w:t>
      </w:r>
      <w:r>
        <w:rPr>
          <w:rFonts w:hint="eastAsia" w:ascii="宋体" w:hAnsi="宋体" w:cs="宋体"/>
          <w:color w:val="auto"/>
          <w:sz w:val="22"/>
          <w:highlight w:val="none"/>
          <w:u w:val="single"/>
        </w:rPr>
        <w:t>工程施工技术资料、工程质量资料、工程检验评定资料、竣工图，项目所在地建设主管部门规定的其他应交资料</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1BA9F9D7">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承包人需要提交的竣工资料套数：</w:t>
      </w:r>
      <w:r>
        <w:rPr>
          <w:rFonts w:hint="eastAsia" w:ascii="宋体" w:hAnsi="宋体" w:cs="宋体"/>
          <w:color w:val="auto"/>
          <w:sz w:val="22"/>
          <w:highlight w:val="none"/>
          <w:u w:val="single"/>
          <w:lang w:val="en-US" w:eastAsia="zh-CN"/>
        </w:rPr>
        <w:t xml:space="preserve"> </w:t>
      </w:r>
      <w:r>
        <w:rPr>
          <w:rStyle w:val="24"/>
          <w:rFonts w:hint="eastAsia" w:ascii="宋体" w:hAnsi="宋体" w:eastAsia="宋体" w:cs="宋体"/>
          <w:color w:val="auto"/>
          <w:szCs w:val="21"/>
          <w:highlight w:val="none"/>
          <w:u w:val="single"/>
        </w:rPr>
        <w:t>一式陆份</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42289497">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承包人提交的竣工资料的费用承担：</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由承包人承担</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29943822">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承包人提交的竣工资料移交时间：</w:t>
      </w:r>
      <w:r>
        <w:rPr>
          <w:rFonts w:hint="eastAsia" w:ascii="宋体" w:hAnsi="宋体" w:cs="宋体"/>
          <w:color w:val="auto"/>
          <w:sz w:val="22"/>
          <w:highlight w:val="none"/>
          <w:u w:val="single"/>
        </w:rPr>
        <w:t xml:space="preserve">竣工验收合格之日起30天内 </w:t>
      </w:r>
      <w:r>
        <w:rPr>
          <w:rFonts w:hint="eastAsia" w:ascii="宋体" w:hAnsi="宋体" w:cs="宋体"/>
          <w:color w:val="auto"/>
          <w:sz w:val="22"/>
          <w:highlight w:val="none"/>
        </w:rPr>
        <w:t>。</w:t>
      </w:r>
    </w:p>
    <w:p w14:paraId="36E66821">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承包人提交的竣工资料形式要求：</w:t>
      </w:r>
      <w:r>
        <w:rPr>
          <w:rStyle w:val="24"/>
          <w:rFonts w:hint="eastAsia" w:ascii="宋体" w:hAnsi="宋体" w:eastAsia="宋体" w:cs="宋体"/>
          <w:color w:val="auto"/>
          <w:szCs w:val="21"/>
          <w:highlight w:val="none"/>
          <w:u w:val="single"/>
        </w:rPr>
        <w:t>完整的经相关部门签字确认并加盖单位公章后的竣工材料纸质版及电子版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3D236C42">
      <w:pPr>
        <w:pStyle w:val="60"/>
        <w:numPr>
          <w:ilvl w:val="0"/>
          <w:numId w:val="5"/>
        </w:numPr>
        <w:spacing w:line="360" w:lineRule="exact"/>
        <w:ind w:firstLine="440" w:firstLineChars="200"/>
        <w:rPr>
          <w:rFonts w:hint="eastAsia" w:ascii="宋体" w:hAnsi="宋体" w:eastAsia="宋体" w:cs="宋体"/>
          <w:color w:val="auto"/>
          <w:kern w:val="0"/>
          <w:sz w:val="22"/>
          <w:szCs w:val="22"/>
          <w:highlight w:val="none"/>
          <w:u w:val="single"/>
        </w:rPr>
      </w:pPr>
      <w:r>
        <w:rPr>
          <w:rFonts w:hint="eastAsia" w:ascii="宋体" w:hAnsi="宋体" w:cs="宋体"/>
          <w:color w:val="auto"/>
          <w:kern w:val="0"/>
          <w:sz w:val="22"/>
          <w:szCs w:val="22"/>
          <w:highlight w:val="none"/>
        </w:rPr>
        <w:t>承包人应履行的其他义务：</w:t>
      </w:r>
      <w:r>
        <w:rPr>
          <w:rFonts w:hint="eastAsia" w:ascii="宋体" w:hAnsi="宋体" w:cs="宋体"/>
          <w:color w:val="auto"/>
          <w:kern w:val="0"/>
          <w:sz w:val="22"/>
          <w:szCs w:val="22"/>
          <w:highlight w:val="none"/>
          <w:u w:val="single"/>
        </w:rPr>
        <w:t>1）协调处理施工场地内及场地周围地下管线和邻近市政公用物、构筑物（含文物保护市政公用）、古树名木的保护工作；若发生上述情况所产生的费用，由承包人承担（包含于合同总价中）。2）充分考虑工地现场的周围环境、交通道路、现场条件、施工图纸、施工组织设计、施工技术措施、安全文明施工措施等因素，应积极做好综合组织和协调，负责解决施工扰民和民扰问题。3）承包人负责补遗工作，即对于任何属于本工程的工作范围，但未以文字形式明确约定属于承包人的工作，且未在合同中以文字形式明确约定为属于发包人自行完成的工作范围，此类工作应由承包人作为本工程的责任和义务自行完成。4）对于施工过程中有需发包人配合完成的工作，承包人应提前足够时间通知发包人。5) 施工区内临时设施、水电管线安装和保养，施工现场内地下管线和临近市政公用物、构筑物及临街交通要道、人行道的保护，费用由承包人负担。因承包人防护不力而发生事故，相关责任和费用由承包人承担。承包人施工完毕后，对所破坏的公共设施、劳动成果及道路应修复原貌，若承包人无能力或未在规定的时间内修复，由发包人代为修复，费用由承包人承担，由工程款中相应核减。6) 承包人须在现场踏勘的基础上充分考虑场内临时道路的施工维护，并在合同总价中包含。</w:t>
      </w:r>
      <w:r>
        <w:rPr>
          <w:rStyle w:val="24"/>
          <w:rFonts w:hint="eastAsia" w:ascii="宋体" w:hAnsi="宋体" w:eastAsia="宋体" w:cs="宋体"/>
          <w:color w:val="auto"/>
          <w:szCs w:val="21"/>
          <w:highlight w:val="none"/>
          <w:lang w:val="en-US" w:eastAsia="zh-CN"/>
        </w:rPr>
        <w:t>7</w:t>
      </w:r>
      <w:r>
        <w:rPr>
          <w:rFonts w:hint="eastAsia" w:ascii="宋体" w:hAnsi="宋体" w:eastAsia="宋体" w:cs="宋体"/>
          <w:color w:val="auto"/>
          <w:kern w:val="0"/>
          <w:sz w:val="22"/>
          <w:szCs w:val="22"/>
          <w:highlight w:val="none"/>
          <w:u w:val="single"/>
        </w:rPr>
        <w:t>)承包人在实施合同工程所使用公共道路、水源、公共设施等必须保障发包人及其他人的财产、利益和权利免受损害，造成损害的负责维修或赔偿。8)承包人的施工管理区及施工场地应设有临时的污水处理设施和施工排水设施，生活、施工垃圾等处置应妥当，施工材料如涂料、化学品等应妥善存放，并设有防雨、防风等措施，并承担一切费用。9)移交证书签发后，承包人须自移交证书签发之日起10日内从签发了移交证书的工地上将所有有关的承包人的设备、多余材料、垃圾及各种临时工程清除、移走，并使这一部分工程及工地保持清洁，通过发包人的验收。逾期未处理的，视同承包人遗弃，发包人有权自行处理，清理费用由承包人承担，发包人有权在结算款支付前自行扣除相应的清理费用。</w:t>
      </w:r>
      <w:r>
        <w:rPr>
          <w:rFonts w:hint="eastAsia" w:ascii="宋体" w:hAnsi="宋体" w:eastAsia="宋体" w:cs="宋体"/>
          <w:color w:val="auto"/>
          <w:kern w:val="0"/>
          <w:sz w:val="22"/>
          <w:szCs w:val="22"/>
          <w:highlight w:val="none"/>
          <w:u w:val="single"/>
          <w:lang w:val="en-US" w:eastAsia="zh-CN"/>
        </w:rPr>
        <w:t>1</w:t>
      </w:r>
      <w:r>
        <w:rPr>
          <w:rFonts w:hint="eastAsia" w:ascii="宋体" w:hAnsi="宋体" w:eastAsia="宋体" w:cs="宋体"/>
          <w:color w:val="auto"/>
          <w:kern w:val="0"/>
          <w:sz w:val="22"/>
          <w:szCs w:val="22"/>
          <w:highlight w:val="none"/>
          <w:u w:val="single"/>
        </w:rPr>
        <w:t>0)承包人应全权自费负责其劳务及职员的雇佣、工资的支付、房屋、膳食及运输的安排。承包人在任何时候应采取一切合理的预防措施，承包人有责任对其有义务管理的人员加强管理和教育，发生打架斗殴、赌博等违法犯罪行为，造成人身伤害事件及经济损失的，责任由承包人全部负责，由此引发的工期延误不予补偿。</w:t>
      </w:r>
      <w:r>
        <w:rPr>
          <w:rFonts w:hint="eastAsia" w:ascii="宋体" w:hAnsi="宋体" w:eastAsia="宋体" w:cs="宋体"/>
          <w:color w:val="auto"/>
          <w:kern w:val="0"/>
          <w:sz w:val="22"/>
          <w:szCs w:val="22"/>
          <w:highlight w:val="none"/>
          <w:u w:val="single"/>
          <w:lang w:val="en-US" w:eastAsia="zh-CN"/>
        </w:rPr>
        <w:t>1</w:t>
      </w:r>
      <w:r>
        <w:rPr>
          <w:rFonts w:hint="eastAsia" w:ascii="宋体" w:hAnsi="宋体" w:eastAsia="宋体" w:cs="宋体"/>
          <w:color w:val="auto"/>
          <w:kern w:val="0"/>
          <w:sz w:val="22"/>
          <w:szCs w:val="22"/>
          <w:highlight w:val="none"/>
          <w:u w:val="single"/>
        </w:rPr>
        <w:t>1)承包人应按安全施工管理有关规定，配备安全管理机构，配备合格的安全管理人员，负责处理全体工作人员和劳务人员的安全保护和防止事故等问题，如因承包人原因造成人员伤亡、财产损失</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安全事故</w:t>
      </w:r>
      <w:r>
        <w:rPr>
          <w:rFonts w:hint="eastAsia" w:ascii="宋体" w:hAnsi="宋体" w:eastAsia="宋体" w:cs="宋体"/>
          <w:color w:val="auto"/>
          <w:kern w:val="0"/>
          <w:sz w:val="22"/>
          <w:szCs w:val="22"/>
          <w:highlight w:val="none"/>
          <w:u w:val="single"/>
        </w:rPr>
        <w:t>等一切事故，由承包人负全责并承担费用。</w:t>
      </w:r>
      <w:r>
        <w:rPr>
          <w:rFonts w:hint="eastAsia" w:ascii="宋体" w:hAnsi="宋体" w:eastAsia="宋体" w:cs="宋体"/>
          <w:color w:val="auto"/>
          <w:kern w:val="0"/>
          <w:sz w:val="22"/>
          <w:szCs w:val="22"/>
          <w:highlight w:val="none"/>
          <w:u w:val="single"/>
          <w:lang w:val="en-US" w:eastAsia="zh-CN"/>
        </w:rPr>
        <w:t>1</w:t>
      </w:r>
      <w:r>
        <w:rPr>
          <w:rFonts w:hint="eastAsia" w:ascii="宋体" w:hAnsi="宋体" w:eastAsia="宋体" w:cs="宋体"/>
          <w:color w:val="auto"/>
          <w:kern w:val="0"/>
          <w:sz w:val="22"/>
          <w:szCs w:val="22"/>
          <w:highlight w:val="none"/>
          <w:u w:val="single"/>
        </w:rPr>
        <w:t>2)承包人在施工期间应协调好与邻近相关单位(含居民、农民)的关系、应避免发生矛盾与冲突，否则，由此造成的一切后果由承包人承担。</w:t>
      </w:r>
      <w:r>
        <w:rPr>
          <w:rFonts w:hint="eastAsia" w:ascii="宋体" w:hAnsi="宋体" w:eastAsia="宋体" w:cs="宋体"/>
          <w:color w:val="auto"/>
          <w:kern w:val="0"/>
          <w:sz w:val="22"/>
          <w:szCs w:val="22"/>
          <w:highlight w:val="none"/>
          <w:u w:val="single"/>
          <w:lang w:val="en-US" w:eastAsia="zh-CN"/>
        </w:rPr>
        <w:t>1</w:t>
      </w:r>
      <w:r>
        <w:rPr>
          <w:rFonts w:hint="eastAsia" w:ascii="宋体" w:hAnsi="宋体" w:eastAsia="宋体" w:cs="宋体"/>
          <w:color w:val="auto"/>
          <w:kern w:val="0"/>
          <w:sz w:val="22"/>
          <w:szCs w:val="22"/>
          <w:highlight w:val="none"/>
          <w:u w:val="single"/>
        </w:rPr>
        <w:t>3)承包人按照《中华人民共和国工会法》、《国务院关于进一步做好为农民工服务工作的意见》(国发〔2014〕40号)、《中华全国总工会关于深入贯彻落实&lt;国务院关于进一步做好为农民工服务工作的意见&gt;的实施意见》(总工发〔2015〕14号)有关要求执行。</w:t>
      </w:r>
      <w:r>
        <w:rPr>
          <w:rFonts w:hint="eastAsia" w:ascii="宋体" w:hAnsi="宋体" w:eastAsia="宋体" w:cs="宋体"/>
          <w:color w:val="auto"/>
          <w:kern w:val="0"/>
          <w:sz w:val="22"/>
          <w:szCs w:val="22"/>
          <w:highlight w:val="none"/>
          <w:u w:val="single"/>
          <w:lang w:val="en-US" w:eastAsia="zh-CN"/>
        </w:rPr>
        <w:t>1</w:t>
      </w:r>
      <w:r>
        <w:rPr>
          <w:rFonts w:hint="eastAsia" w:ascii="宋体" w:hAnsi="宋体" w:eastAsia="宋体" w:cs="宋体"/>
          <w:color w:val="auto"/>
          <w:kern w:val="0"/>
          <w:sz w:val="22"/>
          <w:szCs w:val="22"/>
          <w:highlight w:val="none"/>
          <w:u w:val="single"/>
        </w:rPr>
        <w:t>4)承担施工安全保卫工作及非夜间施工照明的责任和要求：在实施和完成本合同过程中，承包人须：①时刻关注和采取必要的安全措施保障现场所有工作人员的安全，保证工程施工安全，现场施工要保持有条不紊，避免上述人员的安全受到威胁；②为了保护本合同工程免遭损坏或为了现场附近过往群众的安全与方便，在必要的时候、地方或监理工程师要求或有关部门要求时，承包人应负责提供照明、警卫、护栏、警示标志等安全防护措施，并承担责任，费用已包含在投标报价的安全防护、文明施工措施费中。</w:t>
      </w:r>
      <w:r>
        <w:rPr>
          <w:rFonts w:hint="eastAsia" w:ascii="宋体" w:hAnsi="宋体" w:eastAsia="宋体" w:cs="宋体"/>
          <w:color w:val="auto"/>
          <w:kern w:val="0"/>
          <w:sz w:val="22"/>
          <w:szCs w:val="22"/>
          <w:highlight w:val="none"/>
          <w:u w:val="single"/>
          <w:lang w:val="en-US" w:eastAsia="zh-CN"/>
        </w:rPr>
        <w:t>15</w:t>
      </w:r>
      <w:r>
        <w:rPr>
          <w:rFonts w:hint="eastAsia" w:ascii="宋体" w:hAnsi="宋体" w:eastAsia="宋体" w:cs="宋体"/>
          <w:color w:val="auto"/>
          <w:kern w:val="0"/>
          <w:sz w:val="22"/>
          <w:szCs w:val="22"/>
          <w:highlight w:val="none"/>
          <w:u w:val="single"/>
        </w:rPr>
        <w:t>) 档案管理要求：</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①承包人应设置负责施工档案管理的负责人。</w:t>
      </w:r>
    </w:p>
    <w:p w14:paraId="2B8AC37F">
      <w:pPr>
        <w:pStyle w:val="60"/>
        <w:spacing w:line="36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②承包人应确保本单位施工档案的形成与施工进度同步，发包人在支付进度款时</w:t>
      </w:r>
      <w:r>
        <w:rPr>
          <w:rFonts w:hint="eastAsia" w:ascii="宋体" w:hAnsi="宋体" w:cs="宋体"/>
          <w:color w:val="auto"/>
          <w:kern w:val="0"/>
          <w:sz w:val="22"/>
          <w:szCs w:val="22"/>
          <w:highlight w:val="none"/>
          <w:u w:val="single"/>
          <w:lang w:val="en-US" w:eastAsia="zh-CN"/>
        </w:rPr>
        <w:t>同时提供施工档案（电子扫描版）</w:t>
      </w:r>
      <w:r>
        <w:rPr>
          <w:rFonts w:hint="eastAsia" w:ascii="宋体" w:hAnsi="宋体" w:cs="宋体"/>
          <w:color w:val="auto"/>
          <w:kern w:val="0"/>
          <w:sz w:val="22"/>
          <w:szCs w:val="22"/>
          <w:highlight w:val="none"/>
          <w:u w:val="single"/>
        </w:rPr>
        <w:t>，如发现档案形成未与施工进度同步，可延迟支付相应进度款，直至同步为止。</w:t>
      </w:r>
    </w:p>
    <w:p w14:paraId="39D6E6B0">
      <w:pPr>
        <w:pStyle w:val="60"/>
        <w:spacing w:line="36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③承包人应在发包人组织的竣工验收后30日内，将本单位施工过程中形成的所有施工档案</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含电子扫描版</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，经监理单位审核确认后，移交给发包人，否则发包人拒绝向其颁发工程接收证书。</w:t>
      </w:r>
    </w:p>
    <w:p w14:paraId="267E53F2">
      <w:pPr>
        <w:pStyle w:val="60"/>
        <w:spacing w:line="36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④承包人在发包人组织的工程竣工投产验收（初验）前，将经监理单位审核确认的施工档案</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含电子扫描版</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移交给发包人，是发包人完全支付除质量保证金外剩余款项的必要条件之一，否则，发包人有权扣除一定比例款项。</w:t>
      </w:r>
    </w:p>
    <w:p w14:paraId="4C873F53">
      <w:pPr>
        <w:pStyle w:val="60"/>
        <w:spacing w:line="36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 xml:space="preserve">⑤移交给发包人的施工档案应符合以下要求： </w:t>
      </w:r>
    </w:p>
    <w:p w14:paraId="361EFEE7">
      <w:pPr>
        <w:pStyle w:val="60"/>
        <w:spacing w:line="36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移交范围：承包人在合同约定的工程施工过程中形成的所有档案，包括但不限于发包人《科技文件归档范围与整理细则》附件3所列相应的清单及所有资料的电子版；</w:t>
      </w:r>
    </w:p>
    <w:p w14:paraId="28BE273C">
      <w:pPr>
        <w:pStyle w:val="60"/>
        <w:spacing w:line="36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移交档案质量要求：移交的档案应是原件而非复印件，每份档案齐全、无漏页与破损等情况，签字与盖章手续完备，档案清晰，档案载体能长久保存。</w:t>
      </w:r>
    </w:p>
    <w:p w14:paraId="5D4D8F3C">
      <w:pPr>
        <w:pStyle w:val="6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0164BADD">
      <w:pPr>
        <w:pStyle w:val="6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工资支付表应如实记录支付单位、支付时间、支付对象、支付数额、支付对象的身份证号</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工种、联系电话</w:t>
      </w:r>
      <w:r>
        <w:rPr>
          <w:rFonts w:hint="eastAsia" w:ascii="宋体" w:hAnsi="宋体" w:cs="宋体"/>
          <w:color w:val="auto"/>
          <w:sz w:val="22"/>
          <w:szCs w:val="22"/>
          <w:highlight w:val="none"/>
          <w:u w:val="single"/>
        </w:rPr>
        <w:t>和签字等信息。民工花名册和工资支付表应报监理人</w:t>
      </w:r>
      <w:r>
        <w:rPr>
          <w:rFonts w:hint="eastAsia" w:ascii="宋体" w:hAnsi="宋体" w:cs="宋体"/>
          <w:color w:val="auto"/>
          <w:sz w:val="22"/>
          <w:szCs w:val="22"/>
          <w:highlight w:val="none"/>
          <w:u w:val="single"/>
          <w:lang w:val="en-US" w:eastAsia="zh-CN"/>
        </w:rPr>
        <w:t>签字、</w:t>
      </w:r>
      <w:r>
        <w:rPr>
          <w:rFonts w:hint="eastAsia" w:ascii="宋体" w:hAnsi="宋体" w:cs="宋体"/>
          <w:color w:val="auto"/>
          <w:sz w:val="22"/>
          <w:szCs w:val="22"/>
          <w:highlight w:val="none"/>
          <w:u w:val="single"/>
        </w:rPr>
        <w:t>备查</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在申请工程款时同时提交一份给发包方</w:t>
      </w:r>
      <w:r>
        <w:rPr>
          <w:rFonts w:hint="eastAsia" w:ascii="宋体" w:hAnsi="宋体" w:cs="宋体"/>
          <w:color w:val="auto"/>
          <w:sz w:val="22"/>
          <w:szCs w:val="22"/>
          <w:highlight w:val="none"/>
          <w:u w:val="single"/>
        </w:rPr>
        <w:t>。</w:t>
      </w:r>
    </w:p>
    <w:p w14:paraId="4C5D66FE">
      <w:pPr>
        <w:pStyle w:val="6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承包人需根据国家相关法律法规要求提供正式的二次设计施工图及相关计算书，包括但不限于：设计说明、立面图、平面图、大样图、节点图及计算书等。此项费用已包含在合同总价中，承包人不得再要求发包人承担。</w:t>
      </w:r>
    </w:p>
    <w:p w14:paraId="2CEEEF22">
      <w:pPr>
        <w:pStyle w:val="6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财政局和审计局在处理本项目的造价文件时，可能由于核减率超过相应范围，尽管造成超出部分评审费名义上理应由发包人承担，但由于此部分费用是承包人主张追加合同价款造成的，因此此部分费用双方约定由承包人承担。</w:t>
      </w:r>
    </w:p>
    <w:p w14:paraId="2F8063A9">
      <w:pPr>
        <w:pStyle w:val="6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sz w:val="22"/>
          <w:szCs w:val="22"/>
          <w:highlight w:val="none"/>
          <w:u w:val="single"/>
        </w:rPr>
        <w:t>发包人不提供取土和弃土场，承包人自行解决，并且需符合相关规定要求。</w:t>
      </w:r>
    </w:p>
    <w:p w14:paraId="280DE69F">
      <w:pPr>
        <w:pStyle w:val="39"/>
        <w:spacing w:line="360" w:lineRule="exact"/>
        <w:ind w:firstLine="442" w:firstLineChars="200"/>
        <w:rPr>
          <w:rFonts w:hint="eastAsia" w:ascii="宋体" w:hAnsi="宋体" w:cs="宋体"/>
          <w:color w:val="auto"/>
          <w:sz w:val="22"/>
          <w:szCs w:val="22"/>
          <w:highlight w:val="none"/>
        </w:rPr>
      </w:pPr>
      <w:bookmarkStart w:id="248" w:name="_Toc533432733"/>
      <w:bookmarkStart w:id="249" w:name="_Toc389065274"/>
      <w:bookmarkStart w:id="250" w:name="_Toc395382510"/>
      <w:bookmarkStart w:id="251" w:name="_Toc373478355"/>
      <w:bookmarkStart w:id="252" w:name="_Toc12975898"/>
      <w:bookmarkStart w:id="253" w:name="_Toc373227708"/>
      <w:r>
        <w:rPr>
          <w:rFonts w:hint="eastAsia" w:ascii="宋体" w:hAnsi="宋体" w:cs="宋体"/>
          <w:color w:val="auto"/>
          <w:sz w:val="22"/>
          <w:szCs w:val="22"/>
          <w:highlight w:val="none"/>
        </w:rPr>
        <w:t>3.2 项目经理</w:t>
      </w:r>
      <w:bookmarkEnd w:id="248"/>
      <w:bookmarkEnd w:id="249"/>
      <w:bookmarkEnd w:id="250"/>
      <w:bookmarkEnd w:id="251"/>
      <w:bookmarkEnd w:id="252"/>
      <w:bookmarkEnd w:id="253"/>
    </w:p>
    <w:p w14:paraId="5CB4BB8B">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rPr>
        <w:t xml:space="preserve">3.2.1 </w:t>
      </w:r>
      <w:r>
        <w:rPr>
          <w:rFonts w:hint="eastAsia" w:ascii="宋体" w:hAnsi="宋体" w:cs="宋体"/>
          <w:color w:val="auto"/>
          <w:sz w:val="22"/>
          <w:highlight w:val="none"/>
        </w:rPr>
        <w:t>项目经理：</w:t>
      </w:r>
    </w:p>
    <w:p w14:paraId="66D0A898">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姓    名：</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2970EBAA">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身份证号：</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47D60876">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建造师执业资格等级：</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7BCBC028">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建造师注册证书号：</w:t>
      </w:r>
      <w:r>
        <w:rPr>
          <w:rFonts w:hint="eastAsia" w:ascii="宋体" w:hAnsi="宋体" w:cs="宋体"/>
          <w:color w:val="auto"/>
          <w:sz w:val="22"/>
          <w:highlight w:val="none"/>
          <w:u w:val="single"/>
        </w:rPr>
        <w:t> </w:t>
      </w:r>
      <w:r>
        <w:rPr>
          <w:rFonts w:hint="eastAsia" w:ascii="宋体" w:hAnsi="宋体" w:cs="宋体"/>
          <w:color w:val="auto"/>
          <w:sz w:val="22"/>
          <w:highlight w:val="none"/>
        </w:rPr>
        <w:t>；</w:t>
      </w:r>
    </w:p>
    <w:p w14:paraId="5B6FEAE0">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建造师执业印章号：</w:t>
      </w:r>
      <w:r>
        <w:rPr>
          <w:rFonts w:hint="eastAsia" w:ascii="宋体" w:hAnsi="宋体" w:cs="宋体"/>
          <w:color w:val="auto"/>
          <w:sz w:val="22"/>
          <w:highlight w:val="none"/>
          <w:u w:val="single"/>
        </w:rPr>
        <w:t> </w:t>
      </w:r>
      <w:r>
        <w:rPr>
          <w:rFonts w:hint="eastAsia" w:ascii="宋体" w:hAnsi="宋体" w:cs="宋体"/>
          <w:color w:val="auto"/>
          <w:sz w:val="22"/>
          <w:highlight w:val="none"/>
        </w:rPr>
        <w:t>；</w:t>
      </w:r>
    </w:p>
    <w:p w14:paraId="716C9902">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安全生产考核合格证书号：</w:t>
      </w:r>
      <w:r>
        <w:rPr>
          <w:rFonts w:hint="eastAsia" w:ascii="宋体" w:hAnsi="宋体" w:cs="宋体"/>
          <w:color w:val="auto"/>
          <w:sz w:val="22"/>
          <w:highlight w:val="none"/>
          <w:u w:val="single"/>
        </w:rPr>
        <w:t> </w:t>
      </w:r>
      <w:r>
        <w:rPr>
          <w:rFonts w:hint="eastAsia" w:ascii="宋体" w:hAnsi="宋体" w:cs="宋体"/>
          <w:color w:val="auto"/>
          <w:sz w:val="22"/>
          <w:highlight w:val="none"/>
        </w:rPr>
        <w:t>；</w:t>
      </w:r>
    </w:p>
    <w:p w14:paraId="3FE4EB7D">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广西建筑市场诚信卡卡号：</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699B6F92">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联系电话：</w:t>
      </w:r>
      <w:r>
        <w:rPr>
          <w:rFonts w:hint="eastAsia" w:ascii="宋体" w:hAnsi="宋体" w:cs="宋体"/>
          <w:color w:val="auto"/>
          <w:sz w:val="22"/>
          <w:highlight w:val="none"/>
          <w:u w:val="single"/>
        </w:rPr>
        <w:t>         </w:t>
      </w:r>
      <w:r>
        <w:rPr>
          <w:rFonts w:hint="eastAsia" w:ascii="宋体" w:hAnsi="宋体" w:cs="宋体"/>
          <w:color w:val="auto"/>
          <w:sz w:val="22"/>
          <w:highlight w:val="none"/>
        </w:rPr>
        <w:t>；</w:t>
      </w:r>
    </w:p>
    <w:p w14:paraId="3C1F9C92">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电子信箱：</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35421B93">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通信地址：</w:t>
      </w:r>
      <w:r>
        <w:rPr>
          <w:rFonts w:hint="eastAsia" w:ascii="宋体" w:hAnsi="宋体" w:cs="宋体"/>
          <w:color w:val="auto"/>
          <w:sz w:val="22"/>
          <w:highlight w:val="none"/>
          <w:u w:val="single"/>
        </w:rPr>
        <w:t>         </w:t>
      </w:r>
      <w:r>
        <w:rPr>
          <w:rFonts w:hint="eastAsia" w:ascii="宋体" w:hAnsi="宋体" w:cs="宋体"/>
          <w:color w:val="auto"/>
          <w:sz w:val="22"/>
          <w:highlight w:val="none"/>
        </w:rPr>
        <w:t>；</w:t>
      </w:r>
    </w:p>
    <w:p w14:paraId="4B78F300">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 xml:space="preserve">承包人对项目经理的授权范围如下：  </w:t>
      </w:r>
      <w:r>
        <w:rPr>
          <w:rFonts w:hint="eastAsia" w:ascii="宋体" w:hAnsi="宋体" w:cs="宋体"/>
          <w:color w:val="auto"/>
          <w:sz w:val="22"/>
          <w:highlight w:val="none"/>
          <w:u w:val="single"/>
        </w:rPr>
        <w:t>代表承包人全面履行合同，但仅限于工程的现场施工管理，但未经过承包人签</w:t>
      </w:r>
      <w:r>
        <w:rPr>
          <w:rFonts w:hint="eastAsia" w:ascii="宋体" w:hAnsi="宋体" w:cs="宋体"/>
          <w:color w:val="auto"/>
          <w:sz w:val="22"/>
          <w:highlight w:val="none"/>
          <w:u w:val="single"/>
          <w:lang w:val="en-US" w:eastAsia="zh-CN"/>
        </w:rPr>
        <w:t>字</w:t>
      </w:r>
      <w:r>
        <w:rPr>
          <w:rFonts w:hint="eastAsia" w:ascii="宋体" w:hAnsi="宋体" w:cs="宋体"/>
          <w:color w:val="auto"/>
          <w:sz w:val="22"/>
          <w:highlight w:val="none"/>
          <w:u w:val="single"/>
        </w:rPr>
        <w:t>、盖章同意，不得以承包人名义向外采购材料设备、租用建筑周转材料、雇佣劳动力、签订分包合同等从事一切为承包人设立义务或责任的行为</w:t>
      </w:r>
      <w:r>
        <w:rPr>
          <w:rFonts w:hint="eastAsia" w:ascii="宋体" w:hAnsi="宋体" w:cs="宋体"/>
          <w:color w:val="auto"/>
          <w:sz w:val="22"/>
          <w:highlight w:val="none"/>
        </w:rPr>
        <w:t>。</w:t>
      </w:r>
    </w:p>
    <w:p w14:paraId="65BB5835">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关于项目经理每月在施工现场的时间要求：</w:t>
      </w:r>
      <w:r>
        <w:rPr>
          <w:rFonts w:hint="eastAsia" w:ascii="宋体" w:hAnsi="宋体" w:cs="宋体"/>
          <w:color w:val="auto"/>
          <w:sz w:val="22"/>
          <w:highlight w:val="none"/>
          <w:u w:val="single"/>
        </w:rPr>
        <w:t>21天以上，如磋商文件承诺时间超过21天的，按磋商文件执行</w:t>
      </w:r>
      <w:r>
        <w:rPr>
          <w:rFonts w:hint="eastAsia" w:ascii="宋体" w:hAnsi="宋体" w:cs="宋体"/>
          <w:color w:val="auto"/>
          <w:sz w:val="22"/>
          <w:highlight w:val="none"/>
        </w:rPr>
        <w:t>。</w:t>
      </w:r>
    </w:p>
    <w:p w14:paraId="773DBEF9">
      <w:pPr>
        <w:pStyle w:val="40"/>
        <w:spacing w:line="360" w:lineRule="exact"/>
        <w:ind w:firstLine="440" w:firstLineChars="200"/>
        <w:rPr>
          <w:rFonts w:hint="eastAsia" w:ascii="宋体" w:hAnsi="宋体" w:cs="宋体"/>
          <w:color w:val="auto"/>
          <w:sz w:val="22"/>
          <w:highlight w:val="none"/>
          <w:u w:val="single"/>
        </w:rPr>
      </w:pPr>
      <w:r>
        <w:rPr>
          <w:rFonts w:hint="eastAsia" w:ascii="宋体" w:hAnsi="宋体" w:cs="宋体"/>
          <w:color w:val="auto"/>
          <w:kern w:val="0"/>
          <w:sz w:val="22"/>
          <w:highlight w:val="none"/>
        </w:rPr>
        <w:t>承包人未提交劳动合同，以及没有为项目经理缴纳社会保险证明的违约责任：</w:t>
      </w:r>
      <w:r>
        <w:rPr>
          <w:rFonts w:hint="eastAsia" w:ascii="宋体" w:hAnsi="宋体" w:cs="宋体"/>
          <w:color w:val="auto"/>
          <w:sz w:val="22"/>
          <w:highlight w:val="none"/>
          <w:u w:val="single"/>
        </w:rPr>
        <w:t>处以3万元罚款，责令限期提交劳动合同并补缴社会保险</w:t>
      </w:r>
      <w:r>
        <w:rPr>
          <w:rFonts w:hint="eastAsia" w:ascii="宋体" w:hAnsi="宋体" w:cs="宋体"/>
          <w:color w:val="auto"/>
          <w:sz w:val="22"/>
          <w:highlight w:val="none"/>
        </w:rPr>
        <w:t>。</w:t>
      </w:r>
    </w:p>
    <w:p w14:paraId="17E65D26">
      <w:pPr>
        <w:pStyle w:val="40"/>
        <w:spacing w:line="360" w:lineRule="exact"/>
        <w:ind w:firstLine="440" w:firstLineChars="200"/>
        <w:rPr>
          <w:rFonts w:hint="eastAsia" w:ascii="宋体" w:hAnsi="宋体" w:cs="宋体"/>
          <w:color w:val="auto"/>
          <w:sz w:val="22"/>
          <w:highlight w:val="none"/>
          <w:u w:val="single"/>
        </w:rPr>
      </w:pPr>
      <w:r>
        <w:rPr>
          <w:rFonts w:hint="eastAsia" w:ascii="宋体" w:hAnsi="宋体" w:cs="宋体"/>
          <w:color w:val="auto"/>
          <w:kern w:val="0"/>
          <w:sz w:val="22"/>
          <w:highlight w:val="none"/>
        </w:rPr>
        <w:t>项目经理未经批准，擅自离开施工现场的违约责任：</w:t>
      </w:r>
      <w:r>
        <w:rPr>
          <w:rFonts w:hint="eastAsia" w:ascii="宋体" w:hAnsi="宋体" w:cs="宋体"/>
          <w:color w:val="auto"/>
          <w:sz w:val="22"/>
          <w:highlight w:val="none"/>
          <w:u w:val="single"/>
        </w:rPr>
        <w:t>未经发包人同意或正当理由，项目经理每月在岗带班时间少于每月在施工现场的时间要求的，少在岗带班一天，发包人有权处违约金</w:t>
      </w:r>
      <w:r>
        <w:rPr>
          <w:rFonts w:hint="eastAsia" w:ascii="宋体" w:hAnsi="宋体" w:cs="宋体"/>
          <w:color w:val="auto"/>
          <w:sz w:val="22"/>
          <w:highlight w:val="none"/>
          <w:u w:val="single"/>
          <w:lang w:val="en-US" w:eastAsia="zh-CN"/>
        </w:rPr>
        <w:t>2</w:t>
      </w:r>
      <w:r>
        <w:rPr>
          <w:rFonts w:hint="eastAsia" w:ascii="宋体" w:hAnsi="宋体" w:cs="宋体"/>
          <w:color w:val="auto"/>
          <w:sz w:val="22"/>
          <w:highlight w:val="none"/>
          <w:u w:val="single"/>
        </w:rPr>
        <w:t>000元/日（人民币）</w:t>
      </w:r>
      <w:r>
        <w:rPr>
          <w:rFonts w:hint="eastAsia" w:ascii="宋体" w:hAnsi="宋体" w:cs="宋体"/>
          <w:color w:val="auto"/>
          <w:sz w:val="22"/>
          <w:highlight w:val="none"/>
        </w:rPr>
        <w:t>。</w:t>
      </w:r>
    </w:p>
    <w:p w14:paraId="4F010642">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3.2.3 承包人擅自更换项目经理的违约责任：</w:t>
      </w:r>
      <w:r>
        <w:rPr>
          <w:rFonts w:hint="eastAsia" w:ascii="宋体" w:hAnsi="宋体" w:cs="宋体"/>
          <w:color w:val="auto"/>
          <w:sz w:val="22"/>
          <w:highlight w:val="none"/>
          <w:u w:val="single"/>
        </w:rPr>
        <w:t>承包人项目经理必须与承包人磋商时所承诺的人员一致，并在 本工程开工前到任。在监理人向承包人颁发经发包人签认的竣工验收证书前，项目经理不得同时兼任其他任何项目的项目经理</w:t>
      </w:r>
      <w:r>
        <w:rPr>
          <w:rFonts w:hint="eastAsia" w:ascii="宋体" w:hAnsi="宋体" w:cs="宋体"/>
          <w:color w:val="auto"/>
          <w:kern w:val="0"/>
          <w:sz w:val="22"/>
          <w:highlight w:val="none"/>
          <w:u w:val="single"/>
        </w:rPr>
        <w:t>（符合桂建管</w:t>
      </w:r>
      <w:r>
        <w:rPr>
          <w:rFonts w:hint="eastAsia" w:ascii="宋体" w:hAnsi="宋体" w:cs="宋体"/>
          <w:color w:val="auto"/>
          <w:sz w:val="22"/>
          <w:highlight w:val="none"/>
          <w:u w:val="single"/>
        </w:rPr>
        <w:t>﹝2013﹞</w:t>
      </w:r>
      <w:r>
        <w:rPr>
          <w:rFonts w:hint="eastAsia" w:ascii="宋体" w:hAnsi="宋体" w:cs="宋体"/>
          <w:color w:val="auto"/>
          <w:kern w:val="0"/>
          <w:sz w:val="22"/>
          <w:highlight w:val="none"/>
          <w:u w:val="single"/>
        </w:rPr>
        <w:t>17号和</w:t>
      </w:r>
      <w:r>
        <w:rPr>
          <w:rFonts w:hint="eastAsia" w:ascii="宋体" w:hAnsi="宋体" w:cs="宋体"/>
          <w:color w:val="auto"/>
          <w:sz w:val="22"/>
          <w:highlight w:val="none"/>
          <w:u w:val="single"/>
        </w:rPr>
        <w:t>桂建管﹝2014﹞25号</w:t>
      </w:r>
      <w:r>
        <w:rPr>
          <w:rFonts w:hint="eastAsia" w:ascii="宋体" w:hAnsi="宋体" w:cs="宋体"/>
          <w:color w:val="auto"/>
          <w:kern w:val="0"/>
          <w:sz w:val="22"/>
          <w:highlight w:val="none"/>
          <w:u w:val="single"/>
        </w:rPr>
        <w:t>文除外）</w:t>
      </w:r>
      <w:r>
        <w:rPr>
          <w:rFonts w:hint="eastAsia" w:ascii="宋体" w:hAnsi="宋体" w:cs="宋体"/>
          <w:color w:val="auto"/>
          <w:sz w:val="22"/>
          <w:highlight w:val="none"/>
          <w:u w:val="single"/>
        </w:rPr>
        <w:t>。未经发包人书面同意，承包人擅自更换项目经理的视为违约，违约金处20000元/人•次（人民币）</w:t>
      </w:r>
      <w:r>
        <w:rPr>
          <w:rFonts w:hint="eastAsia" w:ascii="宋体" w:hAnsi="宋体" w:cs="宋体"/>
          <w:color w:val="auto"/>
          <w:sz w:val="22"/>
          <w:highlight w:val="none"/>
        </w:rPr>
        <w:t>。</w:t>
      </w:r>
    </w:p>
    <w:p w14:paraId="4F0A30A7">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3.2.4 承包人无正当理由拒绝更换项目经理的违约责任：</w:t>
      </w:r>
      <w:r>
        <w:rPr>
          <w:rFonts w:hint="eastAsia" w:ascii="宋体" w:hAnsi="宋体" w:cs="宋体"/>
          <w:color w:val="auto"/>
          <w:sz w:val="22"/>
          <w:highlight w:val="none"/>
          <w:u w:val="single"/>
        </w:rPr>
        <w:t>因承包人项目经理不称职（项目管理机构人员不称职的定义包括但不限于：本项目出现偷工减料现象的、出现人员死亡事故的、重复出现相同质量事故或出现问题不积极整改的、被相关部门要求停工整改的、进度比原计划滞后</w:t>
      </w:r>
      <w:r>
        <w:rPr>
          <w:rFonts w:hint="eastAsia" w:ascii="宋体" w:hAnsi="宋体" w:cs="宋体"/>
          <w:color w:val="auto"/>
          <w:sz w:val="22"/>
          <w:highlight w:val="none"/>
          <w:u w:val="single"/>
          <w:lang w:val="en-US" w:eastAsia="zh-CN"/>
        </w:rPr>
        <w:t>3</w:t>
      </w:r>
      <w:r>
        <w:rPr>
          <w:rFonts w:hint="eastAsia" w:ascii="宋体" w:hAnsi="宋体" w:cs="宋体"/>
          <w:color w:val="auto"/>
          <w:sz w:val="22"/>
          <w:highlight w:val="none"/>
          <w:u w:val="single"/>
        </w:rPr>
        <w:t>0天以上的、拒绝执行监理人或发包人指令的、违反合同约定及相关规定擅自离开施工现场累计超过</w:t>
      </w:r>
      <w:r>
        <w:rPr>
          <w:rFonts w:hint="eastAsia" w:ascii="宋体" w:hAnsi="宋体" w:cs="宋体"/>
          <w:color w:val="auto"/>
          <w:sz w:val="22"/>
          <w:highlight w:val="none"/>
          <w:u w:val="single"/>
          <w:lang w:val="en-US" w:eastAsia="zh-CN"/>
        </w:rPr>
        <w:t>3</w:t>
      </w:r>
      <w:r>
        <w:rPr>
          <w:rFonts w:hint="eastAsia" w:ascii="宋体" w:hAnsi="宋体" w:cs="宋体"/>
          <w:color w:val="auto"/>
          <w:sz w:val="22"/>
          <w:highlight w:val="none"/>
          <w:u w:val="single"/>
        </w:rPr>
        <w:t>0天的、现场安全文明施工未达到规定要求的、出现打架斗殴的、违反相关法律法规的其他情形），发包人要求调换而未及时调换的，视为承包人违约，必须向发包人交纳处罚金20000元/人•次（人民币）</w:t>
      </w:r>
      <w:r>
        <w:rPr>
          <w:rFonts w:hint="eastAsia" w:ascii="宋体" w:hAnsi="宋体" w:cs="宋体"/>
          <w:color w:val="auto"/>
          <w:sz w:val="22"/>
          <w:highlight w:val="none"/>
        </w:rPr>
        <w:t>。</w:t>
      </w:r>
    </w:p>
    <w:p w14:paraId="6671BB8E">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3.2.5 项目管理机构的主要人员（含项目经理、项目总工、质量员、安全员）必须是磋商文件中确认的人员，施工之后不能更换，确需更换人员的，须向发包人提出申请，并提供相关证明材料，经发包人同意后方可换人。尽管合同有其他约定，但新换项目经理及其余人员获得执业证书的时间、等级、学历、工作业绩等全部优于原项目经理。</w:t>
      </w:r>
    </w:p>
    <w:p w14:paraId="08198436">
      <w:pPr>
        <w:pStyle w:val="39"/>
        <w:spacing w:line="360" w:lineRule="exact"/>
        <w:ind w:firstLine="442" w:firstLineChars="200"/>
        <w:rPr>
          <w:rFonts w:hint="eastAsia" w:ascii="宋体" w:hAnsi="宋体" w:cs="宋体"/>
          <w:color w:val="auto"/>
          <w:sz w:val="22"/>
          <w:szCs w:val="22"/>
          <w:highlight w:val="none"/>
        </w:rPr>
      </w:pPr>
      <w:bookmarkStart w:id="254" w:name="_Toc533432734"/>
      <w:bookmarkStart w:id="255" w:name="_Toc373478356"/>
      <w:bookmarkStart w:id="256" w:name="_Toc389065275"/>
      <w:bookmarkStart w:id="257" w:name="_Toc373227709"/>
      <w:bookmarkStart w:id="258" w:name="_Toc395382511"/>
      <w:bookmarkStart w:id="259" w:name="_Toc12975899"/>
      <w:r>
        <w:rPr>
          <w:rFonts w:hint="eastAsia" w:ascii="宋体" w:hAnsi="宋体" w:cs="宋体"/>
          <w:color w:val="auto"/>
          <w:sz w:val="22"/>
          <w:szCs w:val="22"/>
          <w:highlight w:val="none"/>
        </w:rPr>
        <w:t>3.3 承包人人员</w:t>
      </w:r>
      <w:bookmarkEnd w:id="254"/>
      <w:bookmarkEnd w:id="255"/>
      <w:bookmarkEnd w:id="256"/>
      <w:bookmarkEnd w:id="257"/>
      <w:bookmarkEnd w:id="258"/>
      <w:bookmarkEnd w:id="259"/>
    </w:p>
    <w:p w14:paraId="1A58E057">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3.3.1 承包人提交项目管理机构及施工现场管理人员安排报告（格式见合同附件</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）的期限：</w:t>
      </w:r>
    </w:p>
    <w:p w14:paraId="359B12B1">
      <w:pPr>
        <w:pStyle w:val="40"/>
        <w:spacing w:line="36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u w:val="single"/>
        </w:rPr>
        <w:t>开工时间前7</w:t>
      </w:r>
      <w:r>
        <w:rPr>
          <w:rFonts w:hint="eastAsia" w:ascii="宋体" w:hAnsi="宋体" w:cs="宋体"/>
          <w:color w:val="auto"/>
          <w:sz w:val="22"/>
          <w:highlight w:val="none"/>
          <w:u w:val="single"/>
          <w:lang w:eastAsia="zh-CN"/>
        </w:rPr>
        <w:t>天</w:t>
      </w:r>
      <w:r>
        <w:rPr>
          <w:rFonts w:hint="eastAsia" w:ascii="宋体" w:hAnsi="宋体" w:cs="宋体"/>
          <w:color w:val="auto"/>
          <w:sz w:val="22"/>
          <w:highlight w:val="none"/>
          <w:u w:val="single"/>
        </w:rPr>
        <w:t>。项目管理机构的主要人员必须是磋商文件中确认的人员，施工之后不能更换，确需更换人员的，更换后的人员相关资质及业绩、职称等要求不得低于磋商文件最低要求，且须向发包人提出申请，并提供相关证明材料，经发包人</w:t>
      </w:r>
      <w:r>
        <w:rPr>
          <w:rFonts w:hint="eastAsia" w:ascii="宋体" w:hAnsi="宋体" w:cs="宋体"/>
          <w:color w:val="auto"/>
          <w:sz w:val="22"/>
          <w:highlight w:val="none"/>
          <w:u w:val="single"/>
          <w:lang w:val="en-US" w:eastAsia="zh-CN"/>
        </w:rPr>
        <w:t>签字</w:t>
      </w:r>
      <w:r>
        <w:rPr>
          <w:rFonts w:hint="eastAsia" w:ascii="宋体" w:hAnsi="宋体" w:cs="宋体"/>
          <w:color w:val="auto"/>
          <w:sz w:val="22"/>
          <w:highlight w:val="none"/>
          <w:u w:val="single"/>
        </w:rPr>
        <w:t>同意后方可换人。</w:t>
      </w:r>
    </w:p>
    <w:p w14:paraId="1174651F">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u w:val="single"/>
        </w:rPr>
        <w:t>关于项目管理机构及施工现场管理人员每月在施工现场的时间要求：21天以上，如磋商文件承诺时间超过21天的，按磋商文件执行</w:t>
      </w:r>
      <w:r>
        <w:rPr>
          <w:rFonts w:hint="eastAsia" w:ascii="宋体" w:hAnsi="宋体" w:cs="宋体"/>
          <w:color w:val="auto"/>
          <w:sz w:val="22"/>
          <w:highlight w:val="none"/>
        </w:rPr>
        <w:t>。</w:t>
      </w:r>
    </w:p>
    <w:p w14:paraId="41C70CF7">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3.3.3 承包人无正当理由拒绝撤换主要施工管理人员的违约责任：</w:t>
      </w:r>
      <w:r>
        <w:rPr>
          <w:rFonts w:hint="eastAsia" w:ascii="宋体" w:hAnsi="宋体" w:cs="宋体"/>
          <w:color w:val="auto"/>
          <w:sz w:val="22"/>
          <w:highlight w:val="none"/>
          <w:u w:val="single"/>
        </w:rPr>
        <w:t>因承包人主要施工管理人员不称职，发包人要求调换而无正当理由拒绝撤换或未及时调换的，视为承包人违约，必须向发包人交纳处罚金，处罚标准：技术负责人20000元/人•次（人民币）；专业工程师10000元/人•次（人民币）</w:t>
      </w:r>
      <w:r>
        <w:rPr>
          <w:rFonts w:hint="eastAsia" w:ascii="宋体" w:hAnsi="宋体" w:cs="宋体"/>
          <w:color w:val="auto"/>
          <w:sz w:val="22"/>
          <w:highlight w:val="none"/>
        </w:rPr>
        <w:t>。</w:t>
      </w:r>
    </w:p>
    <w:p w14:paraId="68A98351">
      <w:pPr>
        <w:pStyle w:val="40"/>
        <w:spacing w:line="36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3.3.4 承包人主要施工管理人员离开施工现场的批准要求：</w:t>
      </w:r>
      <w:r>
        <w:rPr>
          <w:rFonts w:hint="eastAsia" w:ascii="宋体" w:hAnsi="宋体" w:cs="宋体"/>
          <w:color w:val="auto"/>
          <w:sz w:val="22"/>
          <w:highlight w:val="none"/>
          <w:u w:val="single"/>
        </w:rPr>
        <w:t>由总监理工程师</w:t>
      </w:r>
      <w:r>
        <w:rPr>
          <w:rFonts w:hint="eastAsia" w:ascii="宋体" w:hAnsi="宋体" w:cs="宋体"/>
          <w:color w:val="auto"/>
          <w:sz w:val="22"/>
          <w:highlight w:val="none"/>
          <w:u w:val="single"/>
          <w:lang w:val="en-US" w:eastAsia="zh-CN"/>
        </w:rPr>
        <w:t>签字</w:t>
      </w:r>
      <w:r>
        <w:rPr>
          <w:rFonts w:hint="eastAsia" w:ascii="宋体" w:hAnsi="宋体" w:cs="宋体"/>
          <w:color w:val="auto"/>
          <w:sz w:val="22"/>
          <w:highlight w:val="none"/>
          <w:u w:val="single"/>
        </w:rPr>
        <w:t>批准，</w:t>
      </w:r>
      <w:r>
        <w:rPr>
          <w:rFonts w:hint="eastAsia" w:ascii="宋体" w:hAnsi="宋体" w:cs="宋体"/>
          <w:color w:val="auto"/>
          <w:sz w:val="22"/>
          <w:highlight w:val="none"/>
          <w:u w:val="single"/>
          <w:lang w:val="en-US" w:eastAsia="zh-CN"/>
        </w:rPr>
        <w:t>报</w:t>
      </w:r>
      <w:r>
        <w:rPr>
          <w:rFonts w:hint="eastAsia" w:ascii="宋体" w:hAnsi="宋体" w:cs="宋体"/>
          <w:color w:val="auto"/>
          <w:sz w:val="22"/>
          <w:highlight w:val="none"/>
          <w:u w:val="single"/>
        </w:rPr>
        <w:t>发包人</w:t>
      </w:r>
      <w:r>
        <w:rPr>
          <w:rFonts w:hint="eastAsia" w:ascii="宋体" w:hAnsi="宋体" w:cs="宋体"/>
          <w:color w:val="auto"/>
          <w:sz w:val="22"/>
          <w:highlight w:val="none"/>
          <w:u w:val="single"/>
          <w:lang w:val="en-US" w:eastAsia="zh-CN"/>
        </w:rPr>
        <w:t>确认同意</w:t>
      </w:r>
      <w:r>
        <w:rPr>
          <w:rFonts w:hint="eastAsia" w:ascii="宋体" w:hAnsi="宋体" w:cs="宋体"/>
          <w:color w:val="auto"/>
          <w:sz w:val="22"/>
          <w:highlight w:val="none"/>
          <w:u w:val="single"/>
        </w:rPr>
        <w:t xml:space="preserve">后方可离开 </w:t>
      </w:r>
      <w:r>
        <w:rPr>
          <w:rFonts w:hint="eastAsia" w:ascii="宋体" w:hAnsi="宋体" w:cs="宋体"/>
          <w:color w:val="auto"/>
          <w:sz w:val="22"/>
          <w:highlight w:val="none"/>
        </w:rPr>
        <w:t>。</w:t>
      </w:r>
    </w:p>
    <w:p w14:paraId="1DB2FCC6">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3.3.5 承包人擅自更换主要施工管理人员的违约责任：</w:t>
      </w:r>
      <w:r>
        <w:rPr>
          <w:rFonts w:hint="eastAsia" w:ascii="宋体" w:hAnsi="宋体" w:cs="宋体"/>
          <w:color w:val="auto"/>
          <w:sz w:val="22"/>
          <w:highlight w:val="none"/>
          <w:u w:val="single"/>
        </w:rPr>
        <w:t>项目技术负责人、专职安全员及其承诺的</w:t>
      </w:r>
      <w:r>
        <w:rPr>
          <w:rFonts w:hint="eastAsia" w:ascii="宋体" w:hAnsi="宋体" w:cs="宋体"/>
          <w:color w:val="auto"/>
          <w:sz w:val="22"/>
          <w:highlight w:val="none"/>
          <w:u w:val="single"/>
          <w:lang w:eastAsia="zh-CN"/>
        </w:rPr>
        <w:t>其他</w:t>
      </w:r>
      <w:r>
        <w:rPr>
          <w:rFonts w:hint="eastAsia" w:ascii="宋体" w:hAnsi="宋体" w:cs="宋体"/>
          <w:color w:val="auto"/>
          <w:sz w:val="22"/>
          <w:highlight w:val="none"/>
          <w:u w:val="single"/>
        </w:rPr>
        <w:t>在场管理人员未经发包人书面同意不准擅自更换，擅自更换项目技术负责人处</w:t>
      </w:r>
      <w:r>
        <w:rPr>
          <w:rFonts w:hint="eastAsia" w:ascii="宋体" w:hAnsi="宋体" w:cs="宋体"/>
          <w:color w:val="auto"/>
          <w:sz w:val="22"/>
          <w:highlight w:val="none"/>
          <w:u w:val="single"/>
          <w:lang w:val="en-US" w:eastAsia="zh-CN"/>
        </w:rPr>
        <w:t>2</w:t>
      </w:r>
      <w:r>
        <w:rPr>
          <w:rFonts w:hint="eastAsia" w:ascii="宋体" w:hAnsi="宋体" w:cs="宋体"/>
          <w:color w:val="auto"/>
          <w:sz w:val="22"/>
          <w:highlight w:val="none"/>
          <w:u w:val="single"/>
        </w:rPr>
        <w:t>0000元/人•次（人民币）违约金；擅自更换专职安全员处20000元/人•次（人民币）违约金；擅自更换</w:t>
      </w:r>
      <w:r>
        <w:rPr>
          <w:rFonts w:hint="eastAsia" w:ascii="宋体" w:hAnsi="宋体" w:cs="宋体"/>
          <w:color w:val="auto"/>
          <w:sz w:val="22"/>
          <w:highlight w:val="none"/>
          <w:u w:val="single"/>
          <w:lang w:eastAsia="zh-CN"/>
        </w:rPr>
        <w:t>其他</w:t>
      </w:r>
      <w:r>
        <w:rPr>
          <w:rFonts w:hint="eastAsia" w:ascii="宋体" w:hAnsi="宋体" w:cs="宋体"/>
          <w:color w:val="auto"/>
          <w:sz w:val="22"/>
          <w:highlight w:val="none"/>
          <w:u w:val="single"/>
        </w:rPr>
        <w:t>在场管理人员处10000元/人•次（人民币）违约金</w:t>
      </w:r>
      <w:r>
        <w:rPr>
          <w:rFonts w:hint="eastAsia" w:ascii="宋体" w:hAnsi="宋体" w:cs="宋体"/>
          <w:color w:val="auto"/>
          <w:sz w:val="22"/>
          <w:highlight w:val="none"/>
        </w:rPr>
        <w:t>。</w:t>
      </w:r>
    </w:p>
    <w:p w14:paraId="7A572856">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承包人主要施工管理人员擅自离开施工现场的违约责任：</w:t>
      </w:r>
      <w:r>
        <w:rPr>
          <w:rFonts w:hint="eastAsia" w:ascii="宋体" w:hAnsi="宋体" w:cs="宋体"/>
          <w:color w:val="auto"/>
          <w:sz w:val="22"/>
          <w:highlight w:val="none"/>
          <w:u w:val="single"/>
        </w:rPr>
        <w:t>未经发包人同意，项目技术负责人擅自离岗的，视为承包人违约，发包人有权处违约金5000元/人•次（人民币）；未经发包人同意，专职安全员擅自离岗的，视为承包人违约，发包人有权处违约金3000元/人•次（人民币）；</w:t>
      </w:r>
      <w:r>
        <w:rPr>
          <w:rFonts w:hint="eastAsia" w:ascii="宋体" w:hAnsi="宋体" w:cs="宋体"/>
          <w:color w:val="auto"/>
          <w:sz w:val="22"/>
          <w:highlight w:val="none"/>
          <w:u w:val="single"/>
          <w:lang w:eastAsia="zh-CN"/>
        </w:rPr>
        <w:t>其他</w:t>
      </w:r>
      <w:r>
        <w:rPr>
          <w:rFonts w:hint="eastAsia" w:ascii="宋体" w:hAnsi="宋体" w:cs="宋体"/>
          <w:color w:val="auto"/>
          <w:sz w:val="22"/>
          <w:highlight w:val="none"/>
          <w:u w:val="single"/>
        </w:rPr>
        <w:t>在场管理人员擅自离岗的，视为承包人违约，发包人有权处违约金3000元/人•次（人民币）</w:t>
      </w:r>
      <w:r>
        <w:rPr>
          <w:rFonts w:hint="eastAsia" w:ascii="宋体" w:hAnsi="宋体" w:cs="宋体"/>
          <w:color w:val="auto"/>
          <w:sz w:val="22"/>
          <w:highlight w:val="none"/>
        </w:rPr>
        <w:t>。</w:t>
      </w:r>
    </w:p>
    <w:p w14:paraId="68F5F15B">
      <w:pPr>
        <w:pStyle w:val="39"/>
        <w:spacing w:line="360" w:lineRule="exact"/>
        <w:ind w:firstLine="442" w:firstLineChars="200"/>
        <w:rPr>
          <w:rFonts w:hint="eastAsia" w:ascii="宋体" w:hAnsi="宋体" w:cs="宋体"/>
          <w:color w:val="auto"/>
          <w:sz w:val="22"/>
          <w:szCs w:val="22"/>
          <w:highlight w:val="none"/>
        </w:rPr>
      </w:pPr>
      <w:bookmarkStart w:id="260" w:name="_Toc389065276"/>
      <w:bookmarkStart w:id="261" w:name="_Toc533432735"/>
      <w:bookmarkStart w:id="262" w:name="_Toc373478357"/>
      <w:bookmarkStart w:id="263" w:name="_Toc373227710"/>
      <w:bookmarkStart w:id="264" w:name="_Toc395382512"/>
      <w:bookmarkStart w:id="265" w:name="_Toc12975900"/>
      <w:r>
        <w:rPr>
          <w:rFonts w:hint="eastAsia" w:ascii="宋体" w:hAnsi="宋体" w:cs="宋体"/>
          <w:color w:val="auto"/>
          <w:sz w:val="22"/>
          <w:szCs w:val="22"/>
          <w:highlight w:val="none"/>
        </w:rPr>
        <w:t>3</w:t>
      </w:r>
      <w:bookmarkStart w:id="266" w:name="_Toc297216151"/>
      <w:bookmarkStart w:id="267" w:name="_Toc292559869"/>
      <w:bookmarkStart w:id="268" w:name="_Toc296944498"/>
      <w:bookmarkStart w:id="269" w:name="_Toc296346660"/>
      <w:bookmarkStart w:id="270" w:name="_Toc296503159"/>
      <w:bookmarkStart w:id="271" w:name="_Toc300934945"/>
      <w:bookmarkStart w:id="272" w:name="_Toc297123492"/>
      <w:bookmarkStart w:id="273" w:name="_Toc312677988"/>
      <w:bookmarkStart w:id="274" w:name="_Toc303539102"/>
      <w:bookmarkStart w:id="275" w:name="_Toc304295523"/>
      <w:bookmarkStart w:id="276" w:name="_Toc297048345"/>
      <w:bookmarkStart w:id="277" w:name="_Toc292559364"/>
      <w:bookmarkStart w:id="278" w:name="_Toc296347158"/>
      <w:bookmarkStart w:id="279" w:name="_Toc296891199"/>
      <w:bookmarkStart w:id="280" w:name="_Toc297120459"/>
      <w:bookmarkStart w:id="281" w:name="_Toc296890987"/>
      <w:r>
        <w:rPr>
          <w:rFonts w:hint="eastAsia" w:ascii="宋体" w:hAnsi="宋体" w:cs="宋体"/>
          <w:color w:val="auto"/>
          <w:sz w:val="22"/>
          <w:szCs w:val="22"/>
          <w:highlight w:val="none"/>
        </w:rPr>
        <w:t>.5 分包</w:t>
      </w:r>
      <w:bookmarkEnd w:id="260"/>
      <w:bookmarkEnd w:id="261"/>
      <w:bookmarkEnd w:id="262"/>
      <w:bookmarkEnd w:id="263"/>
      <w:bookmarkEnd w:id="264"/>
      <w:bookmarkEnd w:id="265"/>
    </w:p>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14:paraId="55AFD7FB">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w:t>
      </w:r>
      <w:bookmarkStart w:id="282" w:name="_Toc296890988"/>
      <w:bookmarkStart w:id="283" w:name="_Toc297048346"/>
      <w:bookmarkStart w:id="284" w:name="_Toc304295524"/>
      <w:bookmarkStart w:id="285" w:name="_Toc296944499"/>
      <w:bookmarkStart w:id="286" w:name="_Toc296503160"/>
      <w:bookmarkStart w:id="287" w:name="_Toc297216152"/>
      <w:bookmarkStart w:id="288" w:name="_Toc296346661"/>
      <w:bookmarkStart w:id="289" w:name="_Toc297123493"/>
      <w:bookmarkStart w:id="290" w:name="_Toc300934946"/>
      <w:bookmarkStart w:id="291" w:name="_Toc292559870"/>
      <w:bookmarkStart w:id="292" w:name="_Toc296347159"/>
      <w:bookmarkStart w:id="293" w:name="_Toc312677989"/>
      <w:bookmarkStart w:id="294" w:name="_Toc292559365"/>
      <w:bookmarkStart w:id="295" w:name="_Toc297120460"/>
      <w:bookmarkStart w:id="296" w:name="_Toc318581158"/>
      <w:bookmarkStart w:id="297" w:name="_Toc303539103"/>
      <w:bookmarkStart w:id="298" w:name="_Toc296891200"/>
      <w:r>
        <w:rPr>
          <w:rFonts w:hint="eastAsia" w:ascii="宋体" w:hAnsi="宋体" w:cs="宋体"/>
          <w:color w:val="auto"/>
          <w:sz w:val="22"/>
          <w:highlight w:val="none"/>
        </w:rPr>
        <w:t>.5.1 分包的一般约定</w:t>
      </w:r>
    </w:p>
    <w:p w14:paraId="296472AA">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禁止分包的工程包括：</w:t>
      </w:r>
      <w:r>
        <w:rPr>
          <w:rFonts w:hint="eastAsia" w:ascii="宋体" w:hAnsi="宋体" w:cs="宋体"/>
          <w:color w:val="auto"/>
          <w:sz w:val="22"/>
          <w:highlight w:val="none"/>
          <w:u w:val="single"/>
        </w:rPr>
        <w:t xml:space="preserve">本项目未经发包人批准禁止分包 </w:t>
      </w:r>
      <w:r>
        <w:rPr>
          <w:rFonts w:hint="eastAsia" w:ascii="宋体" w:hAnsi="宋体" w:cs="宋体"/>
          <w:color w:val="auto"/>
          <w:sz w:val="22"/>
          <w:highlight w:val="none"/>
        </w:rPr>
        <w:t>。</w:t>
      </w:r>
    </w:p>
    <w:p w14:paraId="6EC78670">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主体结构、关键性工作的范围：</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0B49B2A5">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3</w:t>
      </w:r>
      <w:bookmarkStart w:id="299" w:name="_Toc312677990"/>
      <w:bookmarkStart w:id="300" w:name="_Toc318581159"/>
      <w:r>
        <w:rPr>
          <w:rFonts w:hint="eastAsia" w:ascii="宋体" w:hAnsi="宋体" w:cs="宋体"/>
          <w:color w:val="auto"/>
          <w:sz w:val="22"/>
          <w:highlight w:val="none"/>
        </w:rPr>
        <w:t>.5.2 分包的确定</w:t>
      </w:r>
    </w:p>
    <w:p w14:paraId="086135D5">
      <w:pPr>
        <w:pStyle w:val="40"/>
        <w:spacing w:line="36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允许分包的专业工程包括：</w:t>
      </w:r>
      <w:r>
        <w:rPr>
          <w:rFonts w:hint="eastAsia" w:ascii="宋体" w:hAnsi="宋体" w:cs="宋体"/>
          <w:color w:val="auto"/>
          <w:sz w:val="22"/>
          <w:highlight w:val="none"/>
          <w:u w:val="single"/>
        </w:rPr>
        <w:t xml:space="preserve">无  </w:t>
      </w:r>
      <w:r>
        <w:rPr>
          <w:rFonts w:hint="eastAsia" w:ascii="宋体" w:hAnsi="宋体" w:cs="宋体"/>
          <w:color w:val="auto"/>
          <w:sz w:val="22"/>
          <w:highlight w:val="none"/>
        </w:rPr>
        <w:t>。</w:t>
      </w:r>
    </w:p>
    <w:p w14:paraId="5A698485">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其他关于分包的约定：</w:t>
      </w:r>
    </w:p>
    <w:p w14:paraId="255A79C1">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如本项目允许合法分包的，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w:t>
      </w:r>
    </w:p>
    <w:p w14:paraId="1D06AB42">
      <w:pPr>
        <w:pStyle w:val="40"/>
        <w:spacing w:line="36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（2）在相关分包合同签订并报送有关建设行政主管部门备案后7天内，承包人应当将一份副本提交给监理人，承包人应保障分包工作不得再次分包。</w:t>
      </w:r>
    </w:p>
    <w:p w14:paraId="73D5B1A1">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2"/>
          <w:highlight w:val="none"/>
          <w:lang w:eastAsia="zh-CN"/>
        </w:rPr>
        <w:t>（</w:t>
      </w:r>
      <w:r>
        <w:rPr>
          <w:rFonts w:hint="eastAsia" w:ascii="宋体" w:hAnsi="宋体" w:cs="宋体"/>
          <w:color w:val="auto"/>
          <w:sz w:val="22"/>
          <w:highlight w:val="none"/>
        </w:rPr>
        <w:t>或</w:t>
      </w:r>
      <w:r>
        <w:rPr>
          <w:rFonts w:hint="eastAsia" w:ascii="宋体" w:hAnsi="宋体" w:cs="宋体"/>
          <w:color w:val="auto"/>
          <w:sz w:val="22"/>
          <w:highlight w:val="none"/>
          <w:lang w:eastAsia="zh-CN"/>
        </w:rPr>
        <w:t>）</w:t>
      </w:r>
      <w:r>
        <w:rPr>
          <w:rFonts w:hint="eastAsia" w:ascii="宋体" w:hAnsi="宋体" w:cs="宋体"/>
          <w:color w:val="auto"/>
          <w:sz w:val="22"/>
          <w:highlight w:val="none"/>
        </w:rPr>
        <w:t>延误的工期由发包人承担。</w:t>
      </w:r>
    </w:p>
    <w:p w14:paraId="169DCA10">
      <w:pPr>
        <w:pStyle w:val="56"/>
        <w:spacing w:line="36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（4）承包人有以下情况之一者，发包人有权解除合同：</w:t>
      </w:r>
    </w:p>
    <w:p w14:paraId="2C7EFB84">
      <w:pPr>
        <w:pStyle w:val="56"/>
        <w:spacing w:line="36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①个人承包工程，包括本人单位及外单位人员承包，发包人不承认其个人拥有任何资质等级及营业许可资格。</w:t>
      </w:r>
    </w:p>
    <w:p w14:paraId="5692D715">
      <w:pPr>
        <w:pStyle w:val="56"/>
        <w:spacing w:line="36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②几个人联合承包工程，就地组织暗分包队伍，不具备完成本工程的技术、机械能力，被发包人判定为没有能力履行的承包人。</w:t>
      </w:r>
    </w:p>
    <w:p w14:paraId="1D0B9EA9">
      <w:pPr>
        <w:pStyle w:val="56"/>
        <w:spacing w:line="36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③就地转包全部的工程，以谋取高额转让费、管理费的承包人。</w:t>
      </w:r>
    </w:p>
    <w:p w14:paraId="6B7129AB">
      <w:pPr>
        <w:pStyle w:val="40"/>
        <w:spacing w:line="360" w:lineRule="exact"/>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④承包人有部分分包现象（其中包括冒充承包人下属单位的挂勾单位，凭口头协议参与施工的分包人及其他暗分包个体户），一经发现核实，发包人将采取驱逐该暗分包人措施。</w:t>
      </w:r>
    </w:p>
    <w:p w14:paraId="6303B406">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3.5.4 分包合同价款</w:t>
      </w:r>
    </w:p>
    <w:bookmarkEnd w:id="299"/>
    <w:bookmarkEnd w:id="300"/>
    <w:p w14:paraId="0040B454">
      <w:pPr>
        <w:pStyle w:val="40"/>
        <w:spacing w:line="360" w:lineRule="exact"/>
        <w:ind w:firstLine="440" w:firstLineChars="200"/>
        <w:rPr>
          <w:rFonts w:hint="eastAsia" w:ascii="宋体" w:hAnsi="宋体" w:cs="宋体"/>
          <w:color w:val="auto"/>
          <w:sz w:val="22"/>
          <w:highlight w:val="none"/>
        </w:rPr>
      </w:pPr>
      <w:bookmarkStart w:id="301" w:name="_Toc373227711"/>
      <w:bookmarkStart w:id="302" w:name="_Toc373478358"/>
      <w:bookmarkStart w:id="303" w:name="_Toc389065277"/>
      <w:r>
        <w:rPr>
          <w:rFonts w:hint="eastAsia" w:ascii="宋体" w:hAnsi="宋体" w:cs="宋体"/>
          <w:color w:val="auto"/>
          <w:sz w:val="22"/>
          <w:highlight w:val="none"/>
        </w:rPr>
        <w:t>关于分包合同价款支付的约定：</w:t>
      </w:r>
      <w:r>
        <w:rPr>
          <w:rFonts w:hint="eastAsia" w:ascii="宋体" w:hAnsi="宋体" w:cs="宋体"/>
          <w:color w:val="auto"/>
          <w:sz w:val="22"/>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1B17CBAC">
      <w:pPr>
        <w:pStyle w:val="39"/>
        <w:spacing w:line="360" w:lineRule="exact"/>
        <w:ind w:firstLine="442" w:firstLineChars="200"/>
        <w:rPr>
          <w:rFonts w:hint="eastAsia" w:ascii="宋体" w:hAnsi="宋体" w:cs="宋体"/>
          <w:color w:val="auto"/>
          <w:sz w:val="22"/>
          <w:szCs w:val="22"/>
          <w:highlight w:val="none"/>
        </w:rPr>
      </w:pPr>
      <w:bookmarkStart w:id="304" w:name="_Toc533432736"/>
      <w:bookmarkStart w:id="305" w:name="_Toc395382513"/>
      <w:bookmarkStart w:id="306" w:name="_Toc12975901"/>
      <w:r>
        <w:rPr>
          <w:rFonts w:hint="eastAsia" w:ascii="宋体" w:hAnsi="宋体" w:cs="宋体"/>
          <w:color w:val="auto"/>
          <w:sz w:val="22"/>
          <w:szCs w:val="22"/>
          <w:highlight w:val="none"/>
        </w:rPr>
        <w:t>3.6 工程照管与成品、半成品保护</w:t>
      </w:r>
      <w:bookmarkEnd w:id="301"/>
      <w:bookmarkEnd w:id="302"/>
      <w:bookmarkEnd w:id="303"/>
      <w:bookmarkEnd w:id="304"/>
      <w:bookmarkEnd w:id="305"/>
      <w:bookmarkEnd w:id="306"/>
    </w:p>
    <w:p w14:paraId="2E5D69A5">
      <w:pPr>
        <w:pStyle w:val="40"/>
        <w:spacing w:line="360" w:lineRule="exact"/>
        <w:ind w:firstLine="440" w:firstLineChars="200"/>
        <w:rPr>
          <w:rFonts w:hint="eastAsia" w:ascii="宋体" w:hAnsi="宋体" w:cs="宋体"/>
          <w:color w:val="auto"/>
          <w:kern w:val="0"/>
          <w:sz w:val="22"/>
          <w:highlight w:val="none"/>
          <w:u w:val="single"/>
        </w:rPr>
      </w:pPr>
      <w:r>
        <w:rPr>
          <w:rFonts w:hint="eastAsia" w:ascii="宋体" w:hAnsi="宋体" w:cs="宋体"/>
          <w:color w:val="auto"/>
          <w:kern w:val="0"/>
          <w:sz w:val="22"/>
          <w:highlight w:val="none"/>
        </w:rPr>
        <w:t>承包人负责照管工程及工程相关的材料、工程设备的起始时间：</w:t>
      </w:r>
      <w:r>
        <w:rPr>
          <w:rFonts w:hint="eastAsia" w:ascii="宋体" w:hAnsi="宋体" w:cs="宋体"/>
          <w:color w:val="auto"/>
          <w:kern w:val="0"/>
          <w:sz w:val="22"/>
          <w:highlight w:val="none"/>
          <w:u w:val="single"/>
        </w:rPr>
        <w:t xml:space="preserve">设备、人员进场至验收交付使用前由承包人负责保修，无其他特殊要求的，费用由承包人承担 </w:t>
      </w:r>
      <w:r>
        <w:rPr>
          <w:rFonts w:hint="eastAsia" w:ascii="宋体" w:hAnsi="宋体" w:cs="宋体"/>
          <w:color w:val="auto"/>
          <w:kern w:val="0"/>
          <w:sz w:val="22"/>
          <w:highlight w:val="none"/>
        </w:rPr>
        <w:t>。</w:t>
      </w:r>
    </w:p>
    <w:p w14:paraId="5802C51E">
      <w:pPr>
        <w:pStyle w:val="39"/>
        <w:spacing w:line="360" w:lineRule="exact"/>
        <w:ind w:firstLine="442" w:firstLineChars="200"/>
        <w:rPr>
          <w:rFonts w:hint="eastAsia" w:ascii="宋体" w:hAnsi="宋体" w:cs="宋体"/>
          <w:color w:val="auto"/>
          <w:sz w:val="22"/>
          <w:szCs w:val="22"/>
          <w:highlight w:val="none"/>
        </w:rPr>
      </w:pPr>
      <w:bookmarkStart w:id="307" w:name="_Toc373227712"/>
      <w:bookmarkStart w:id="308" w:name="_Toc389065278"/>
      <w:bookmarkStart w:id="309" w:name="_Toc373478359"/>
      <w:bookmarkStart w:id="310" w:name="_Toc533432737"/>
      <w:bookmarkStart w:id="311" w:name="_Toc395382514"/>
      <w:bookmarkStart w:id="312" w:name="_Toc12975902"/>
      <w:r>
        <w:rPr>
          <w:rFonts w:hint="eastAsia" w:ascii="宋体" w:hAnsi="宋体" w:cs="宋体"/>
          <w:color w:val="auto"/>
          <w:sz w:val="22"/>
          <w:szCs w:val="22"/>
          <w:highlight w:val="none"/>
        </w:rPr>
        <w:t>3.7 履约</w:t>
      </w:r>
      <w:bookmarkEnd w:id="307"/>
      <w:bookmarkEnd w:id="308"/>
      <w:bookmarkEnd w:id="309"/>
      <w:r>
        <w:rPr>
          <w:rFonts w:hint="eastAsia" w:ascii="宋体" w:hAnsi="宋体" w:cs="宋体"/>
          <w:color w:val="auto"/>
          <w:sz w:val="22"/>
          <w:szCs w:val="22"/>
          <w:highlight w:val="none"/>
        </w:rPr>
        <w:t>保证金</w:t>
      </w:r>
      <w:bookmarkEnd w:id="310"/>
      <w:bookmarkEnd w:id="311"/>
      <w:bookmarkEnd w:id="312"/>
    </w:p>
    <w:p w14:paraId="359D2E61">
      <w:pPr>
        <w:pStyle w:val="73"/>
        <w:spacing w:before="0" w:after="0" w:line="360" w:lineRule="exact"/>
        <w:ind w:firstLine="440" w:firstLineChars="200"/>
        <w:rPr>
          <w:rFonts w:hint="default" w:ascii="宋体" w:hAnsi="宋体" w:eastAsia="宋体" w:cs="宋体"/>
          <w:b w:val="0"/>
          <w:bCs w:val="0"/>
          <w:color w:val="auto"/>
          <w:kern w:val="0"/>
          <w:sz w:val="22"/>
          <w:szCs w:val="22"/>
          <w:highlight w:val="none"/>
          <w:lang w:val="en-US" w:eastAsia="zh-CN" w:bidi="ar-SA"/>
        </w:rPr>
      </w:pPr>
      <w:bookmarkStart w:id="313" w:name="_Toc373478360"/>
      <w:bookmarkStart w:id="314" w:name="_Toc351203636"/>
      <w:bookmarkStart w:id="315" w:name="_Toc373227713"/>
      <w:bookmarkStart w:id="316" w:name="_Toc395382515"/>
      <w:bookmarkStart w:id="317" w:name="_Toc389065279"/>
      <w:bookmarkStart w:id="318" w:name="_Toc12975903"/>
      <w:bookmarkStart w:id="319" w:name="_Toc533432738"/>
      <w:r>
        <w:rPr>
          <w:rFonts w:hint="eastAsia" w:ascii="宋体" w:hAnsi="宋体" w:eastAsia="宋体" w:cs="宋体"/>
          <w:b w:val="0"/>
          <w:bCs w:val="0"/>
          <w:color w:val="auto"/>
          <w:kern w:val="0"/>
          <w:sz w:val="22"/>
          <w:szCs w:val="22"/>
          <w:highlight w:val="none"/>
          <w:lang w:val="en-US" w:eastAsia="zh-CN" w:bidi="ar-SA"/>
        </w:rPr>
        <w:t>本项目不收取履约保证金</w:t>
      </w:r>
    </w:p>
    <w:p w14:paraId="2FC7CC74">
      <w:pPr>
        <w:pStyle w:val="73"/>
        <w:spacing w:before="0" w:after="0" w:line="360" w:lineRule="exact"/>
        <w:ind w:firstLine="442"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w:t>
      </w:r>
      <w:bookmarkStart w:id="320" w:name="_Toc296346663"/>
      <w:bookmarkStart w:id="321" w:name="_Toc292559871"/>
      <w:bookmarkStart w:id="322" w:name="_Toc296347161"/>
      <w:bookmarkStart w:id="323" w:name="_Toc297048348"/>
      <w:bookmarkStart w:id="324" w:name="_Toc296503162"/>
      <w:bookmarkStart w:id="325" w:name="_Toc296890990"/>
      <w:bookmarkStart w:id="326" w:name="_Toc296944501"/>
      <w:bookmarkStart w:id="327" w:name="_Toc297120462"/>
      <w:bookmarkStart w:id="328" w:name="_Toc296891202"/>
      <w:bookmarkStart w:id="329" w:name="_Toc292559366"/>
      <w:bookmarkStart w:id="330" w:name="_Toc267251413"/>
      <w:r>
        <w:rPr>
          <w:rFonts w:hint="eastAsia" w:ascii="宋体" w:hAnsi="宋体" w:cs="宋体"/>
          <w:color w:val="auto"/>
          <w:sz w:val="22"/>
          <w:szCs w:val="22"/>
          <w:highlight w:val="none"/>
        </w:rPr>
        <w:t>. 监</w:t>
      </w:r>
      <w:bookmarkEnd w:id="320"/>
      <w:bookmarkEnd w:id="321"/>
      <w:bookmarkEnd w:id="322"/>
      <w:bookmarkEnd w:id="323"/>
      <w:bookmarkEnd w:id="324"/>
      <w:bookmarkEnd w:id="325"/>
      <w:bookmarkEnd w:id="326"/>
      <w:bookmarkEnd w:id="327"/>
      <w:bookmarkEnd w:id="328"/>
      <w:bookmarkEnd w:id="329"/>
      <w:bookmarkEnd w:id="330"/>
      <w:r>
        <w:rPr>
          <w:rFonts w:hint="eastAsia" w:ascii="宋体" w:hAnsi="宋体" w:cs="宋体"/>
          <w:color w:val="auto"/>
          <w:sz w:val="22"/>
          <w:szCs w:val="22"/>
          <w:highlight w:val="none"/>
        </w:rPr>
        <w:t>理人</w:t>
      </w:r>
      <w:bookmarkEnd w:id="313"/>
      <w:bookmarkEnd w:id="314"/>
      <w:bookmarkEnd w:id="315"/>
      <w:bookmarkEnd w:id="316"/>
      <w:bookmarkEnd w:id="317"/>
      <w:bookmarkEnd w:id="318"/>
      <w:bookmarkEnd w:id="319"/>
    </w:p>
    <w:p w14:paraId="205B3018">
      <w:pPr>
        <w:pStyle w:val="39"/>
        <w:spacing w:line="360" w:lineRule="exact"/>
        <w:ind w:firstLine="442" w:firstLineChars="200"/>
        <w:rPr>
          <w:rFonts w:hint="eastAsia" w:ascii="宋体" w:hAnsi="宋体" w:cs="宋体"/>
          <w:color w:val="auto"/>
          <w:sz w:val="22"/>
          <w:szCs w:val="22"/>
          <w:highlight w:val="none"/>
        </w:rPr>
      </w:pPr>
      <w:bookmarkStart w:id="331" w:name="_Toc395382516"/>
      <w:bookmarkStart w:id="332" w:name="_Toc533432739"/>
      <w:bookmarkStart w:id="333" w:name="_Toc373227714"/>
      <w:bookmarkStart w:id="334" w:name="_Toc373478361"/>
      <w:bookmarkStart w:id="335" w:name="_Toc12975904"/>
      <w:bookmarkStart w:id="336" w:name="_Toc389065280"/>
      <w:r>
        <w:rPr>
          <w:rFonts w:hint="eastAsia" w:ascii="宋体" w:hAnsi="宋体" w:cs="宋体"/>
          <w:color w:val="auto"/>
          <w:sz w:val="22"/>
          <w:szCs w:val="22"/>
          <w:highlight w:val="none"/>
        </w:rPr>
        <w:t>4.1 监理人的一般规定</w:t>
      </w:r>
      <w:bookmarkEnd w:id="331"/>
      <w:bookmarkEnd w:id="332"/>
      <w:bookmarkEnd w:id="333"/>
      <w:bookmarkEnd w:id="334"/>
      <w:bookmarkEnd w:id="335"/>
      <w:bookmarkEnd w:id="336"/>
    </w:p>
    <w:p w14:paraId="0FE488FB">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关于监理人的监理内容：</w:t>
      </w:r>
      <w:r>
        <w:rPr>
          <w:rStyle w:val="24"/>
          <w:rFonts w:hint="eastAsia" w:ascii="宋体" w:hAnsi="宋体" w:eastAsia="宋体" w:cs="宋体"/>
          <w:color w:val="auto"/>
          <w:szCs w:val="21"/>
          <w:highlight w:val="none"/>
          <w:u w:val="single"/>
        </w:rPr>
        <w:t xml:space="preserve"> 按监理合同中约定的条款执行 </w:t>
      </w:r>
      <w:r>
        <w:rPr>
          <w:rStyle w:val="24"/>
          <w:rFonts w:hint="eastAsia" w:ascii="宋体" w:hAnsi="宋体" w:eastAsia="宋体" w:cs="宋体"/>
          <w:color w:val="auto"/>
          <w:szCs w:val="21"/>
          <w:highlight w:val="none"/>
        </w:rPr>
        <w:t>。</w:t>
      </w:r>
    </w:p>
    <w:p w14:paraId="0FDB4CC0">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关于监理人的监理权限：</w:t>
      </w:r>
      <w:r>
        <w:rPr>
          <w:rStyle w:val="24"/>
          <w:rFonts w:hint="eastAsia" w:ascii="宋体" w:hAnsi="宋体" w:eastAsia="宋体" w:cs="宋体"/>
          <w:color w:val="auto"/>
          <w:szCs w:val="21"/>
          <w:highlight w:val="none"/>
          <w:u w:val="single"/>
        </w:rPr>
        <w:t xml:space="preserve"> 按监理合同中约定的条款执行 </w:t>
      </w:r>
      <w:r>
        <w:rPr>
          <w:rStyle w:val="24"/>
          <w:rFonts w:hint="eastAsia" w:ascii="宋体" w:hAnsi="宋体" w:eastAsia="宋体" w:cs="宋体"/>
          <w:color w:val="auto"/>
          <w:szCs w:val="21"/>
          <w:highlight w:val="none"/>
        </w:rPr>
        <w:t>。</w:t>
      </w:r>
    </w:p>
    <w:p w14:paraId="22BE4053">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关于监理人在施工现场的办公场所、生活场所的提供和费用承担的约定：</w:t>
      </w:r>
      <w:r>
        <w:rPr>
          <w:rStyle w:val="24"/>
          <w:rFonts w:hint="eastAsia" w:ascii="宋体" w:hAnsi="宋体" w:eastAsia="宋体" w:cs="宋体"/>
          <w:color w:val="auto"/>
          <w:szCs w:val="21"/>
          <w:highlight w:val="none"/>
          <w:u w:val="single"/>
        </w:rPr>
        <w:t xml:space="preserve"> 按监理合同中约定的条款执行 </w:t>
      </w:r>
      <w:r>
        <w:rPr>
          <w:rStyle w:val="24"/>
          <w:rFonts w:hint="eastAsia" w:ascii="宋体" w:hAnsi="宋体" w:eastAsia="宋体" w:cs="宋体"/>
          <w:color w:val="auto"/>
          <w:szCs w:val="21"/>
          <w:highlight w:val="none"/>
        </w:rPr>
        <w:t>。</w:t>
      </w:r>
    </w:p>
    <w:p w14:paraId="74D098BD">
      <w:pPr>
        <w:pStyle w:val="39"/>
        <w:spacing w:line="360" w:lineRule="exact"/>
        <w:ind w:firstLine="442" w:firstLineChars="200"/>
        <w:rPr>
          <w:rFonts w:hint="eastAsia" w:ascii="宋体" w:hAnsi="宋体" w:cs="宋体"/>
          <w:color w:val="auto"/>
          <w:sz w:val="22"/>
          <w:szCs w:val="22"/>
          <w:highlight w:val="none"/>
        </w:rPr>
      </w:pPr>
      <w:bookmarkStart w:id="337" w:name="_Toc373227715"/>
      <w:bookmarkStart w:id="338" w:name="_Toc533432740"/>
      <w:bookmarkStart w:id="339" w:name="_Toc389065281"/>
      <w:bookmarkStart w:id="340" w:name="_Toc373478362"/>
      <w:bookmarkStart w:id="341" w:name="_Toc395382517"/>
      <w:bookmarkStart w:id="342" w:name="_Toc12975905"/>
      <w:r>
        <w:rPr>
          <w:rFonts w:hint="eastAsia" w:ascii="宋体" w:hAnsi="宋体" w:cs="宋体"/>
          <w:color w:val="auto"/>
          <w:sz w:val="22"/>
          <w:szCs w:val="22"/>
          <w:highlight w:val="none"/>
        </w:rPr>
        <w:t>4.2 监理人员</w:t>
      </w:r>
      <w:bookmarkEnd w:id="337"/>
      <w:bookmarkEnd w:id="338"/>
      <w:bookmarkEnd w:id="339"/>
      <w:bookmarkEnd w:id="340"/>
      <w:bookmarkEnd w:id="341"/>
      <w:bookmarkEnd w:id="342"/>
    </w:p>
    <w:p w14:paraId="1E6FC935">
      <w:pPr>
        <w:pStyle w:val="63"/>
        <w:spacing w:line="360" w:lineRule="auto"/>
        <w:ind w:firstLine="420" w:firstLineChars="200"/>
        <w:rPr>
          <w:rStyle w:val="24"/>
          <w:rFonts w:hint="eastAsia" w:ascii="宋体" w:hAnsi="宋体" w:eastAsia="宋体" w:cs="宋体"/>
          <w:color w:val="auto"/>
          <w:szCs w:val="21"/>
          <w:highlight w:val="none"/>
        </w:rPr>
      </w:pPr>
      <w:bookmarkStart w:id="343" w:name="_Toc389065282"/>
      <w:bookmarkStart w:id="344" w:name="_Toc373478363"/>
      <w:bookmarkStart w:id="345" w:name="_Toc395382518"/>
      <w:bookmarkStart w:id="346" w:name="_Toc12975906"/>
      <w:bookmarkStart w:id="347" w:name="_Toc373227716"/>
      <w:bookmarkStart w:id="348" w:name="_Toc533432741"/>
      <w:r>
        <w:rPr>
          <w:rStyle w:val="24"/>
          <w:rFonts w:hint="eastAsia" w:ascii="宋体" w:hAnsi="宋体" w:eastAsia="宋体" w:cs="宋体"/>
          <w:color w:val="auto"/>
          <w:szCs w:val="21"/>
          <w:highlight w:val="none"/>
        </w:rPr>
        <w:t>总监理工程师：</w:t>
      </w:r>
    </w:p>
    <w:p w14:paraId="0306DD6F">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姓    名：</w:t>
      </w:r>
      <w:r>
        <w:rPr>
          <w:rStyle w:val="24"/>
          <w:rFonts w:hint="eastAsia" w:ascii="宋体" w:hAnsi="宋体" w:eastAsia="宋体" w:cs="宋体"/>
          <w:color w:val="auto"/>
          <w:szCs w:val="21"/>
          <w:highlight w:val="none"/>
          <w:u w:val="single"/>
        </w:rPr>
        <w:t xml:space="preserve">              </w:t>
      </w:r>
      <w:r>
        <w:rPr>
          <w:rStyle w:val="24"/>
          <w:rFonts w:hint="eastAsia" w:ascii="宋体" w:hAnsi="宋体" w:eastAsia="宋体" w:cs="宋体"/>
          <w:color w:val="auto"/>
          <w:szCs w:val="21"/>
          <w:highlight w:val="none"/>
        </w:rPr>
        <w:t>；</w:t>
      </w:r>
    </w:p>
    <w:p w14:paraId="29A40EB9">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职    务：</w:t>
      </w:r>
      <w:r>
        <w:rPr>
          <w:rStyle w:val="24"/>
          <w:rFonts w:hint="eastAsia" w:ascii="宋体" w:hAnsi="宋体" w:eastAsia="宋体" w:cs="宋体"/>
          <w:color w:val="auto"/>
          <w:szCs w:val="21"/>
          <w:highlight w:val="none"/>
          <w:u w:val="single"/>
        </w:rPr>
        <w:t xml:space="preserve">                      </w:t>
      </w:r>
      <w:r>
        <w:rPr>
          <w:rStyle w:val="24"/>
          <w:rFonts w:hint="eastAsia" w:ascii="宋体" w:hAnsi="宋体" w:eastAsia="宋体" w:cs="宋体"/>
          <w:color w:val="auto"/>
          <w:szCs w:val="21"/>
          <w:highlight w:val="none"/>
        </w:rPr>
        <w:t>；</w:t>
      </w:r>
    </w:p>
    <w:p w14:paraId="7D74D5BF">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监理工程师注册证书号：</w:t>
      </w:r>
      <w:r>
        <w:rPr>
          <w:rStyle w:val="24"/>
          <w:rFonts w:hint="eastAsia" w:ascii="宋体" w:hAnsi="宋体" w:eastAsia="宋体" w:cs="宋体"/>
          <w:color w:val="auto"/>
          <w:szCs w:val="21"/>
          <w:highlight w:val="none"/>
          <w:u w:val="single"/>
        </w:rPr>
        <w:t xml:space="preserve">                    </w:t>
      </w:r>
      <w:r>
        <w:rPr>
          <w:rStyle w:val="24"/>
          <w:rFonts w:hint="eastAsia" w:ascii="宋体" w:hAnsi="宋体" w:eastAsia="宋体" w:cs="宋体"/>
          <w:color w:val="auto"/>
          <w:szCs w:val="21"/>
          <w:highlight w:val="none"/>
        </w:rPr>
        <w:t>；</w:t>
      </w:r>
    </w:p>
    <w:p w14:paraId="3E65F0C2">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联系电话：</w:t>
      </w:r>
      <w:r>
        <w:rPr>
          <w:rStyle w:val="24"/>
          <w:rFonts w:hint="eastAsia" w:ascii="宋体" w:hAnsi="宋体" w:eastAsia="宋体" w:cs="宋体"/>
          <w:color w:val="auto"/>
          <w:szCs w:val="21"/>
          <w:highlight w:val="none"/>
          <w:u w:val="single"/>
        </w:rPr>
        <w:t xml:space="preserve">                    </w:t>
      </w:r>
      <w:r>
        <w:rPr>
          <w:rStyle w:val="24"/>
          <w:rFonts w:hint="eastAsia" w:ascii="宋体" w:hAnsi="宋体" w:eastAsia="宋体" w:cs="宋体"/>
          <w:color w:val="auto"/>
          <w:szCs w:val="21"/>
          <w:highlight w:val="none"/>
        </w:rPr>
        <w:t>；</w:t>
      </w:r>
    </w:p>
    <w:p w14:paraId="33AC663F">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电子信箱：</w:t>
      </w:r>
      <w:r>
        <w:rPr>
          <w:rStyle w:val="24"/>
          <w:rFonts w:hint="eastAsia" w:ascii="宋体" w:hAnsi="宋体" w:eastAsia="宋体" w:cs="宋体"/>
          <w:color w:val="auto"/>
          <w:szCs w:val="21"/>
          <w:highlight w:val="none"/>
          <w:u w:val="single"/>
        </w:rPr>
        <w:t xml:space="preserve">  </w:t>
      </w:r>
      <w:r>
        <w:rPr>
          <w:rStyle w:val="24"/>
          <w:rFonts w:hint="eastAsia" w:ascii="宋体" w:hAnsi="宋体" w:eastAsia="宋体" w:cs="宋体"/>
          <w:color w:val="auto"/>
          <w:szCs w:val="21"/>
          <w:highlight w:val="none"/>
          <w:u w:val="single"/>
        </w:rPr>
        <w:fldChar w:fldCharType="begin"/>
      </w:r>
      <w:r>
        <w:rPr>
          <w:rStyle w:val="24"/>
          <w:rFonts w:hint="eastAsia" w:ascii="宋体" w:hAnsi="宋体" w:eastAsia="宋体" w:cs="宋体"/>
          <w:color w:val="auto"/>
          <w:szCs w:val="21"/>
          <w:highlight w:val="none"/>
          <w:u w:val="single"/>
        </w:rPr>
        <w:instrText xml:space="preserve"> HYPERLINK "mailto:961262748@qq.com" </w:instrText>
      </w:r>
      <w:r>
        <w:rPr>
          <w:rStyle w:val="24"/>
          <w:rFonts w:hint="eastAsia" w:ascii="宋体" w:hAnsi="宋体" w:eastAsia="宋体" w:cs="宋体"/>
          <w:color w:val="auto"/>
          <w:szCs w:val="21"/>
          <w:highlight w:val="none"/>
          <w:u w:val="single"/>
        </w:rPr>
        <w:fldChar w:fldCharType="separate"/>
      </w:r>
      <w:r>
        <w:rPr>
          <w:rStyle w:val="24"/>
          <w:rFonts w:hint="eastAsia" w:ascii="宋体" w:hAnsi="宋体" w:eastAsia="宋体" w:cs="宋体"/>
          <w:color w:val="auto"/>
          <w:szCs w:val="21"/>
          <w:highlight w:val="none"/>
          <w:u w:val="single"/>
        </w:rPr>
        <w:fldChar w:fldCharType="end"/>
      </w:r>
      <w:r>
        <w:rPr>
          <w:rStyle w:val="24"/>
          <w:rFonts w:hint="eastAsia" w:ascii="宋体" w:hAnsi="宋体" w:eastAsia="宋体" w:cs="宋体"/>
          <w:color w:val="auto"/>
          <w:szCs w:val="21"/>
          <w:highlight w:val="none"/>
          <w:u w:val="single"/>
        </w:rPr>
        <w:t xml:space="preserve">                  </w:t>
      </w:r>
      <w:r>
        <w:rPr>
          <w:rStyle w:val="24"/>
          <w:rFonts w:hint="eastAsia" w:ascii="宋体" w:hAnsi="宋体" w:eastAsia="宋体" w:cs="宋体"/>
          <w:color w:val="auto"/>
          <w:szCs w:val="21"/>
          <w:highlight w:val="none"/>
        </w:rPr>
        <w:t>；</w:t>
      </w:r>
    </w:p>
    <w:p w14:paraId="7A873355">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通信地址：</w:t>
      </w:r>
      <w:r>
        <w:rPr>
          <w:rStyle w:val="24"/>
          <w:rFonts w:hint="eastAsia" w:ascii="宋体" w:hAnsi="宋体" w:eastAsia="宋体" w:cs="宋体"/>
          <w:color w:val="auto"/>
          <w:szCs w:val="21"/>
          <w:highlight w:val="none"/>
          <w:u w:val="single"/>
        </w:rPr>
        <w:t xml:space="preserve">                    </w:t>
      </w:r>
      <w:r>
        <w:rPr>
          <w:rStyle w:val="24"/>
          <w:rFonts w:hint="eastAsia" w:ascii="宋体" w:hAnsi="宋体" w:eastAsia="宋体" w:cs="宋体"/>
          <w:color w:val="auto"/>
          <w:szCs w:val="21"/>
          <w:highlight w:val="none"/>
        </w:rPr>
        <w:t>；</w:t>
      </w:r>
    </w:p>
    <w:p w14:paraId="1D70F90F">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关于监理人的其他约定：</w:t>
      </w:r>
      <w:r>
        <w:rPr>
          <w:rStyle w:val="24"/>
          <w:rFonts w:hint="eastAsia" w:ascii="宋体" w:hAnsi="宋体" w:eastAsia="宋体" w:cs="宋体"/>
          <w:color w:val="auto"/>
          <w:szCs w:val="21"/>
          <w:highlight w:val="none"/>
          <w:u w:val="single"/>
        </w:rPr>
        <w:t xml:space="preserve">  按监理合同执行     </w:t>
      </w:r>
      <w:r>
        <w:rPr>
          <w:rStyle w:val="24"/>
          <w:rFonts w:hint="eastAsia" w:ascii="宋体" w:hAnsi="宋体" w:eastAsia="宋体" w:cs="宋体"/>
          <w:color w:val="auto"/>
          <w:szCs w:val="21"/>
          <w:highlight w:val="none"/>
        </w:rPr>
        <w:t>。</w:t>
      </w:r>
    </w:p>
    <w:p w14:paraId="7AA784B1">
      <w:pPr>
        <w:pStyle w:val="39"/>
        <w:spacing w:line="360" w:lineRule="exact"/>
        <w:ind w:firstLine="442"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4.4 商定或确定</w:t>
      </w:r>
      <w:bookmarkEnd w:id="343"/>
      <w:bookmarkEnd w:id="344"/>
      <w:bookmarkEnd w:id="345"/>
      <w:bookmarkEnd w:id="346"/>
      <w:bookmarkEnd w:id="347"/>
      <w:bookmarkEnd w:id="348"/>
    </w:p>
    <w:p w14:paraId="19AEBFE8">
      <w:pPr>
        <w:pStyle w:val="63"/>
        <w:spacing w:line="360" w:lineRule="auto"/>
        <w:ind w:firstLine="420" w:firstLineChars="200"/>
        <w:rPr>
          <w:rStyle w:val="24"/>
          <w:rFonts w:hint="eastAsia" w:ascii="宋体" w:hAnsi="宋体" w:eastAsia="宋体" w:cs="宋体"/>
          <w:color w:val="auto"/>
          <w:szCs w:val="21"/>
          <w:highlight w:val="none"/>
        </w:rPr>
      </w:pPr>
      <w:bookmarkStart w:id="349" w:name="_Toc267251418"/>
      <w:bookmarkStart w:id="350" w:name="_Toc389065283"/>
      <w:bookmarkStart w:id="351" w:name="_Toc373227717"/>
      <w:bookmarkStart w:id="352" w:name="_Toc351203637"/>
      <w:bookmarkStart w:id="353" w:name="_Toc533432742"/>
      <w:bookmarkStart w:id="354" w:name="_Toc395382519"/>
      <w:bookmarkStart w:id="355" w:name="_Toc12975907"/>
      <w:bookmarkStart w:id="356" w:name="_Toc373478364"/>
      <w:r>
        <w:rPr>
          <w:rStyle w:val="24"/>
          <w:rFonts w:hint="eastAsia" w:ascii="宋体" w:hAnsi="宋体" w:eastAsia="宋体" w:cs="宋体"/>
          <w:color w:val="auto"/>
          <w:szCs w:val="21"/>
          <w:highlight w:val="none"/>
        </w:rPr>
        <w:t>在发包人和承包人不能通过协商达成一致意见时，发包人授权监理人对以下事项进行确定：</w:t>
      </w:r>
    </w:p>
    <w:p w14:paraId="27818D3F">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 xml:space="preserve">(1) </w:t>
      </w:r>
      <w:r>
        <w:rPr>
          <w:rStyle w:val="24"/>
          <w:rFonts w:hint="eastAsia" w:ascii="宋体" w:hAnsi="宋体" w:eastAsia="宋体" w:cs="宋体"/>
          <w:color w:val="auto"/>
          <w:szCs w:val="21"/>
          <w:highlight w:val="none"/>
          <w:u w:val="single"/>
        </w:rPr>
        <w:t xml:space="preserve">           无             </w:t>
      </w:r>
      <w:r>
        <w:rPr>
          <w:rStyle w:val="24"/>
          <w:rFonts w:hint="eastAsia" w:ascii="宋体" w:hAnsi="宋体" w:eastAsia="宋体" w:cs="宋体"/>
          <w:color w:val="auto"/>
          <w:szCs w:val="21"/>
          <w:highlight w:val="none"/>
        </w:rPr>
        <w:t>；</w:t>
      </w:r>
    </w:p>
    <w:p w14:paraId="210C421A">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 xml:space="preserve">(2) </w:t>
      </w:r>
      <w:r>
        <w:rPr>
          <w:rStyle w:val="24"/>
          <w:rFonts w:hint="eastAsia" w:ascii="宋体" w:hAnsi="宋体" w:eastAsia="宋体" w:cs="宋体"/>
          <w:color w:val="auto"/>
          <w:szCs w:val="21"/>
          <w:highlight w:val="none"/>
          <w:u w:val="single"/>
        </w:rPr>
        <w:t xml:space="preserve">           无             </w:t>
      </w:r>
      <w:r>
        <w:rPr>
          <w:rStyle w:val="24"/>
          <w:rFonts w:hint="eastAsia" w:ascii="宋体" w:hAnsi="宋体" w:eastAsia="宋体" w:cs="宋体"/>
          <w:color w:val="auto"/>
          <w:szCs w:val="21"/>
          <w:highlight w:val="none"/>
        </w:rPr>
        <w:t>；</w:t>
      </w:r>
    </w:p>
    <w:p w14:paraId="31C5E7FD">
      <w:pPr>
        <w:pStyle w:val="63"/>
        <w:spacing w:line="360" w:lineRule="auto"/>
        <w:ind w:firstLine="420" w:firstLineChars="200"/>
        <w:rPr>
          <w:rStyle w:val="24"/>
          <w:rFonts w:hint="eastAsia" w:ascii="宋体" w:hAnsi="宋体" w:eastAsia="宋体" w:cs="宋体"/>
          <w:color w:val="auto"/>
          <w:szCs w:val="21"/>
          <w:highlight w:val="none"/>
        </w:rPr>
      </w:pPr>
      <w:r>
        <w:rPr>
          <w:rStyle w:val="24"/>
          <w:rFonts w:hint="eastAsia" w:ascii="宋体" w:hAnsi="宋体" w:eastAsia="宋体" w:cs="宋体"/>
          <w:color w:val="auto"/>
          <w:szCs w:val="21"/>
          <w:highlight w:val="none"/>
        </w:rPr>
        <w:t xml:space="preserve">(3) </w:t>
      </w:r>
      <w:r>
        <w:rPr>
          <w:rStyle w:val="24"/>
          <w:rFonts w:hint="eastAsia" w:ascii="宋体" w:hAnsi="宋体" w:eastAsia="宋体" w:cs="宋体"/>
          <w:color w:val="auto"/>
          <w:szCs w:val="21"/>
          <w:highlight w:val="none"/>
          <w:u w:val="single"/>
        </w:rPr>
        <w:t xml:space="preserve">           无             </w:t>
      </w:r>
      <w:r>
        <w:rPr>
          <w:rStyle w:val="24"/>
          <w:rFonts w:hint="eastAsia" w:ascii="宋体" w:hAnsi="宋体" w:eastAsia="宋体" w:cs="宋体"/>
          <w:color w:val="auto"/>
          <w:szCs w:val="21"/>
          <w:highlight w:val="none"/>
        </w:rPr>
        <w:t>。</w:t>
      </w:r>
    </w:p>
    <w:p w14:paraId="1D10C525">
      <w:pPr>
        <w:pStyle w:val="73"/>
        <w:spacing w:before="0" w:after="0" w:line="360" w:lineRule="exact"/>
        <w:ind w:firstLine="442"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bookmarkEnd w:id="349"/>
      <w:bookmarkStart w:id="357" w:name="_Toc292559367"/>
      <w:bookmarkStart w:id="358" w:name="_Toc296347162"/>
      <w:bookmarkStart w:id="359" w:name="_Toc297048349"/>
      <w:bookmarkStart w:id="360" w:name="_Toc296891203"/>
      <w:bookmarkStart w:id="361" w:name="_Toc297120463"/>
      <w:bookmarkStart w:id="362" w:name="_Toc296890991"/>
      <w:bookmarkStart w:id="363" w:name="_Toc296503163"/>
      <w:bookmarkStart w:id="364" w:name="_Toc296346664"/>
      <w:bookmarkStart w:id="365" w:name="_Toc292559872"/>
      <w:bookmarkStart w:id="366" w:name="_Toc296944502"/>
      <w:r>
        <w:rPr>
          <w:rFonts w:hint="eastAsia" w:ascii="宋体" w:hAnsi="宋体" w:cs="宋体"/>
          <w:color w:val="auto"/>
          <w:sz w:val="22"/>
          <w:szCs w:val="22"/>
          <w:highlight w:val="none"/>
        </w:rPr>
        <w:t>. 工程质量</w:t>
      </w:r>
      <w:bookmarkEnd w:id="350"/>
      <w:bookmarkEnd w:id="351"/>
      <w:bookmarkEnd w:id="352"/>
      <w:bookmarkEnd w:id="353"/>
      <w:bookmarkEnd w:id="354"/>
      <w:bookmarkEnd w:id="355"/>
      <w:bookmarkEnd w:id="356"/>
    </w:p>
    <w:p w14:paraId="310DB706">
      <w:pPr>
        <w:pStyle w:val="39"/>
        <w:spacing w:line="360" w:lineRule="exact"/>
        <w:ind w:firstLine="442" w:firstLineChars="200"/>
        <w:rPr>
          <w:rFonts w:hint="eastAsia" w:ascii="宋体" w:hAnsi="宋体" w:cs="宋体"/>
          <w:color w:val="auto"/>
          <w:sz w:val="22"/>
          <w:szCs w:val="22"/>
          <w:highlight w:val="none"/>
        </w:rPr>
      </w:pPr>
      <w:bookmarkStart w:id="367" w:name="_Toc395382520"/>
      <w:bookmarkStart w:id="368" w:name="_Toc373478365"/>
      <w:bookmarkStart w:id="369" w:name="_Toc373227718"/>
      <w:bookmarkStart w:id="370" w:name="_Toc12975908"/>
      <w:bookmarkStart w:id="371" w:name="_Toc533432743"/>
      <w:bookmarkStart w:id="372" w:name="_Toc389065284"/>
      <w:r>
        <w:rPr>
          <w:rFonts w:hint="eastAsia" w:ascii="宋体" w:hAnsi="宋体" w:cs="宋体"/>
          <w:color w:val="auto"/>
          <w:sz w:val="22"/>
          <w:szCs w:val="22"/>
          <w:highlight w:val="none"/>
        </w:rPr>
        <w:t>5.1 质量要求</w:t>
      </w:r>
      <w:bookmarkEnd w:id="367"/>
      <w:bookmarkEnd w:id="368"/>
      <w:bookmarkEnd w:id="369"/>
      <w:bookmarkEnd w:id="370"/>
      <w:bookmarkEnd w:id="371"/>
      <w:bookmarkEnd w:id="372"/>
    </w:p>
    <w:p w14:paraId="73D9501F">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5</w:t>
      </w:r>
      <w:bookmarkStart w:id="373" w:name="_Toc304295527"/>
      <w:bookmarkStart w:id="374" w:name="_Toc318581164"/>
      <w:bookmarkStart w:id="375" w:name="_Toc312677997"/>
      <w:bookmarkStart w:id="376" w:name="_Toc300934949"/>
      <w:bookmarkStart w:id="377" w:name="_Toc303539106"/>
      <w:bookmarkStart w:id="378" w:name="_Toc297216155"/>
      <w:bookmarkStart w:id="379" w:name="_Toc297123496"/>
      <w:r>
        <w:rPr>
          <w:rFonts w:hint="eastAsia" w:ascii="宋体" w:hAnsi="宋体" w:cs="宋体"/>
          <w:color w:val="auto"/>
          <w:sz w:val="22"/>
          <w:highlight w:val="none"/>
        </w:rPr>
        <w:t>.1.1 特殊质量标准和要求：</w:t>
      </w:r>
      <w:r>
        <w:rPr>
          <w:rFonts w:hint="eastAsia" w:ascii="宋体" w:hAnsi="宋体" w:cs="宋体"/>
          <w:color w:val="auto"/>
          <w:sz w:val="22"/>
          <w:highlight w:val="none"/>
          <w:u w:val="single"/>
        </w:rPr>
        <w:t xml:space="preserve">   合格  </w:t>
      </w:r>
      <w:r>
        <w:rPr>
          <w:rFonts w:hint="eastAsia" w:ascii="宋体" w:hAnsi="宋体" w:cs="宋体"/>
          <w:color w:val="auto"/>
          <w:sz w:val="22"/>
          <w:highlight w:val="none"/>
        </w:rPr>
        <w:t>。</w:t>
      </w:r>
    </w:p>
    <w:p w14:paraId="139090D5">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关于工程奖项的约定：</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无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7BBDDFB4">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5.1.3因承包人原因造成工程质量未达到合同约定标准的，发包人有权要求承包人返工直至工程质量达到合同约定的标准为止，并由承包人承担由此增加的费用和（或）延误的工期。承包人必须在发包人规定的合理时间内完成，否则发包人有权扣罚该分项工程10%的工程款作为处罚。</w:t>
      </w:r>
    </w:p>
    <w:p w14:paraId="5EF69CA4">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5.3 隐蔽工程检查</w:t>
      </w:r>
    </w:p>
    <w:p w14:paraId="70A2FCAC">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5.3.2承包人提前通知监理人隐蔽工程检查的期限的约定：</w:t>
      </w:r>
      <w:r>
        <w:rPr>
          <w:rFonts w:hint="eastAsia" w:ascii="宋体" w:hAnsi="宋体" w:cs="宋体"/>
          <w:bCs/>
          <w:color w:val="auto"/>
          <w:sz w:val="22"/>
          <w:highlight w:val="none"/>
        </w:rPr>
        <w:t>工程隐蔽或中间验收前</w:t>
      </w:r>
      <w:r>
        <w:rPr>
          <w:rFonts w:hint="eastAsia" w:ascii="宋体" w:hAnsi="宋体" w:cs="宋体"/>
          <w:bCs/>
          <w:color w:val="auto"/>
          <w:sz w:val="22"/>
          <w:highlight w:val="none"/>
          <w:lang w:val="en-US" w:eastAsia="zh-CN"/>
        </w:rPr>
        <w:t>24</w:t>
      </w:r>
      <w:r>
        <w:rPr>
          <w:rFonts w:hint="eastAsia" w:ascii="宋体" w:hAnsi="宋体" w:cs="宋体"/>
          <w:bCs/>
          <w:color w:val="auto"/>
          <w:sz w:val="22"/>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96ADF7D">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监理人不能按时进行检查时，应提前</w:t>
      </w:r>
      <w:r>
        <w:rPr>
          <w:rFonts w:hint="eastAsia" w:ascii="宋体" w:hAnsi="宋体" w:cs="宋体"/>
          <w:color w:val="auto"/>
          <w:sz w:val="22"/>
          <w:highlight w:val="none"/>
          <w:u w:val="single"/>
        </w:rPr>
        <w:t xml:space="preserve"> 12 </w:t>
      </w:r>
      <w:r>
        <w:rPr>
          <w:rFonts w:hint="eastAsia" w:ascii="宋体" w:hAnsi="宋体" w:cs="宋体"/>
          <w:color w:val="auto"/>
          <w:sz w:val="22"/>
          <w:highlight w:val="none"/>
        </w:rPr>
        <w:t>小时提交书面延期要求。</w:t>
      </w:r>
    </w:p>
    <w:p w14:paraId="118E1C7D">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关于延期最长不得超过：</w:t>
      </w:r>
      <w:r>
        <w:rPr>
          <w:rFonts w:hint="eastAsia" w:ascii="宋体" w:hAnsi="宋体" w:cs="宋体"/>
          <w:color w:val="auto"/>
          <w:sz w:val="22"/>
          <w:highlight w:val="none"/>
          <w:u w:val="single"/>
        </w:rPr>
        <w:t xml:space="preserve">  24  </w:t>
      </w:r>
      <w:r>
        <w:rPr>
          <w:rFonts w:hint="eastAsia" w:ascii="宋体" w:hAnsi="宋体" w:cs="宋体"/>
          <w:color w:val="auto"/>
          <w:sz w:val="22"/>
          <w:highlight w:val="none"/>
        </w:rPr>
        <w:t>小时。</w:t>
      </w:r>
    </w:p>
    <w:p w14:paraId="62159A06">
      <w:pPr>
        <w:pStyle w:val="40"/>
        <w:spacing w:line="360" w:lineRule="exact"/>
        <w:ind w:firstLine="440" w:firstLineChars="200"/>
        <w:jc w:val="left"/>
        <w:rPr>
          <w:rFonts w:hint="eastAsia" w:ascii="宋体" w:hAnsi="宋体" w:cs="宋体"/>
          <w:color w:val="auto"/>
          <w:sz w:val="22"/>
          <w:highlight w:val="none"/>
        </w:rPr>
      </w:pPr>
    </w:p>
    <w:p w14:paraId="19DCD6E6">
      <w:pPr>
        <w:pStyle w:val="73"/>
        <w:spacing w:before="0" w:after="0" w:line="360" w:lineRule="exact"/>
        <w:ind w:firstLine="442" w:firstLineChars="200"/>
        <w:rPr>
          <w:rFonts w:hint="eastAsia" w:ascii="宋体" w:hAnsi="宋体" w:cs="宋体"/>
          <w:color w:val="auto"/>
          <w:sz w:val="22"/>
          <w:szCs w:val="22"/>
          <w:highlight w:val="none"/>
        </w:rPr>
      </w:pPr>
      <w:bookmarkStart w:id="380" w:name="_Toc389065285"/>
      <w:bookmarkStart w:id="381" w:name="_Toc12975909"/>
      <w:bookmarkStart w:id="382" w:name="_Toc533432744"/>
      <w:bookmarkStart w:id="383" w:name="_Toc395382521"/>
      <w:bookmarkStart w:id="384" w:name="_Toc373227719"/>
      <w:bookmarkStart w:id="385" w:name="_Toc351203638"/>
      <w:bookmarkStart w:id="386" w:name="_Toc373478366"/>
      <w:r>
        <w:rPr>
          <w:rFonts w:hint="eastAsia" w:ascii="宋体" w:hAnsi="宋体" w:cs="宋体"/>
          <w:color w:val="auto"/>
          <w:sz w:val="22"/>
          <w:szCs w:val="22"/>
          <w:highlight w:val="none"/>
        </w:rPr>
        <w:t>6. 安全文明施工与环境保护</w:t>
      </w:r>
      <w:bookmarkEnd w:id="380"/>
      <w:bookmarkEnd w:id="381"/>
      <w:bookmarkEnd w:id="382"/>
      <w:bookmarkEnd w:id="383"/>
      <w:bookmarkEnd w:id="384"/>
      <w:bookmarkEnd w:id="385"/>
      <w:bookmarkEnd w:id="386"/>
    </w:p>
    <w:p w14:paraId="5FDBCC6D">
      <w:pPr>
        <w:pStyle w:val="39"/>
        <w:spacing w:line="360" w:lineRule="exact"/>
        <w:ind w:firstLine="442" w:firstLineChars="200"/>
        <w:rPr>
          <w:rFonts w:hint="eastAsia" w:ascii="宋体" w:hAnsi="宋体" w:cs="宋体"/>
          <w:color w:val="auto"/>
          <w:sz w:val="22"/>
          <w:szCs w:val="22"/>
          <w:highlight w:val="none"/>
        </w:rPr>
      </w:pPr>
      <w:bookmarkStart w:id="387" w:name="_Toc389065286"/>
      <w:bookmarkStart w:id="388" w:name="_Toc395382522"/>
      <w:bookmarkStart w:id="389" w:name="_Toc373227720"/>
      <w:bookmarkStart w:id="390" w:name="_Toc373478367"/>
      <w:bookmarkStart w:id="391" w:name="_Toc12975910"/>
      <w:bookmarkStart w:id="392" w:name="_Toc533432745"/>
      <w:r>
        <w:rPr>
          <w:rFonts w:hint="eastAsia" w:ascii="宋体" w:hAnsi="宋体" w:cs="宋体"/>
          <w:color w:val="auto"/>
          <w:sz w:val="22"/>
          <w:szCs w:val="22"/>
          <w:highlight w:val="none"/>
        </w:rPr>
        <w:t>6.1 安全文明施工</w:t>
      </w:r>
      <w:bookmarkEnd w:id="387"/>
      <w:bookmarkEnd w:id="388"/>
      <w:bookmarkEnd w:id="389"/>
      <w:bookmarkEnd w:id="390"/>
      <w:bookmarkEnd w:id="391"/>
      <w:bookmarkEnd w:id="392"/>
    </w:p>
    <w:p w14:paraId="79696510">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6.1.1 项目安全生产的达标目标及相应事项的约定：</w:t>
      </w:r>
      <w:r>
        <w:rPr>
          <w:rFonts w:hint="eastAsia" w:ascii="宋体" w:hAnsi="宋体" w:cs="宋体"/>
          <w:color w:val="auto"/>
          <w:sz w:val="22"/>
          <w:highlight w:val="none"/>
          <w:u w:val="single"/>
        </w:rPr>
        <w:t>要求达到《建筑施工安全检查标准》（JGJ59-2011）的标准和符合《广西壮族自治区建设工程安全文明施工措施费及使用管理细则》（桂建质安</w:t>
      </w:r>
      <w:r>
        <w:rPr>
          <w:rFonts w:hint="eastAsia" w:ascii="宋体" w:hAnsi="宋体" w:cs="宋体"/>
          <w:color w:val="auto"/>
          <w:sz w:val="22"/>
          <w:highlight w:val="none"/>
          <w:u w:val="single"/>
          <w:lang w:eastAsia="zh-CN"/>
        </w:rPr>
        <w:t>〔2015〕16号</w:t>
      </w:r>
      <w:r>
        <w:rPr>
          <w:rFonts w:hint="eastAsia" w:ascii="宋体" w:hAnsi="宋体" w:cs="宋体"/>
          <w:color w:val="auto"/>
          <w:sz w:val="22"/>
          <w:highlight w:val="none"/>
          <w:u w:val="single"/>
        </w:rPr>
        <w:t xml:space="preserve">文）的要求 </w:t>
      </w:r>
      <w:r>
        <w:rPr>
          <w:rFonts w:hint="eastAsia" w:ascii="宋体" w:hAnsi="宋体" w:cs="宋体"/>
          <w:color w:val="auto"/>
          <w:sz w:val="22"/>
          <w:highlight w:val="none"/>
        </w:rPr>
        <w:t>。</w:t>
      </w:r>
    </w:p>
    <w:p w14:paraId="4DC96E0A">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关于安全文明施工奖项的约定：</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1B01ED08">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6.1.4 关于治安保卫的特别约定：</w:t>
      </w:r>
      <w:r>
        <w:rPr>
          <w:rFonts w:hint="eastAsia" w:ascii="宋体" w:hAnsi="宋体" w:cs="宋体"/>
          <w:color w:val="auto"/>
          <w:sz w:val="22"/>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504CDB0">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关于编制施工场地治安管理计划的约定：</w:t>
      </w:r>
      <w:r>
        <w:rPr>
          <w:rFonts w:hint="eastAsia" w:ascii="宋体" w:hAnsi="宋体" w:cs="宋体"/>
          <w:color w:val="auto"/>
          <w:sz w:val="22"/>
          <w:highlight w:val="none"/>
          <w:u w:val="single"/>
        </w:rPr>
        <w:t xml:space="preserve">  开工前3天提供  </w:t>
      </w:r>
      <w:r>
        <w:rPr>
          <w:rFonts w:hint="eastAsia" w:ascii="宋体" w:hAnsi="宋体" w:cs="宋体"/>
          <w:color w:val="auto"/>
          <w:sz w:val="22"/>
          <w:highlight w:val="none"/>
        </w:rPr>
        <w:t>。</w:t>
      </w:r>
    </w:p>
    <w:p w14:paraId="4E867E03">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6.1.5 文明施工</w:t>
      </w:r>
    </w:p>
    <w:p w14:paraId="6C8DAC6A">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合同当事人对文明施工的要求：</w:t>
      </w:r>
      <w:r>
        <w:rPr>
          <w:rFonts w:hint="eastAsia" w:ascii="宋体" w:hAnsi="宋体" w:cs="宋体"/>
          <w:color w:val="auto"/>
          <w:sz w:val="22"/>
          <w:highlight w:val="none"/>
          <w:u w:val="single"/>
        </w:rPr>
        <w:t>要求达到《建筑施工现场环境与卫生标准》（JGJ146-20</w:t>
      </w:r>
      <w:r>
        <w:rPr>
          <w:rFonts w:hint="eastAsia" w:ascii="宋体" w:hAnsi="宋体" w:cs="宋体"/>
          <w:color w:val="auto"/>
          <w:sz w:val="22"/>
          <w:highlight w:val="none"/>
          <w:u w:val="single"/>
          <w:lang w:val="en-US" w:eastAsia="zh-CN"/>
        </w:rPr>
        <w:t>13</w:t>
      </w:r>
      <w:r>
        <w:rPr>
          <w:rFonts w:hint="eastAsia" w:ascii="宋体" w:hAnsi="宋体" w:cs="宋体"/>
          <w:color w:val="auto"/>
          <w:sz w:val="22"/>
          <w:highlight w:val="none"/>
          <w:u w:val="single"/>
        </w:rPr>
        <w:t>）的标准和符合《广西壮族自治区建筑工程安全文明施工措施费及使用管理细则》（桂建质安</w:t>
      </w:r>
      <w:r>
        <w:rPr>
          <w:rFonts w:hint="eastAsia" w:ascii="宋体" w:hAnsi="宋体" w:cs="宋体"/>
          <w:color w:val="auto"/>
          <w:sz w:val="22"/>
          <w:highlight w:val="none"/>
          <w:u w:val="single"/>
          <w:lang w:eastAsia="zh-CN"/>
        </w:rPr>
        <w:t>〔2015〕16号</w:t>
      </w:r>
      <w:r>
        <w:rPr>
          <w:rFonts w:hint="eastAsia" w:ascii="宋体" w:hAnsi="宋体" w:cs="宋体"/>
          <w:color w:val="auto"/>
          <w:sz w:val="22"/>
          <w:highlight w:val="none"/>
          <w:u w:val="single"/>
        </w:rPr>
        <w:t xml:space="preserve">文）的要求 </w:t>
      </w:r>
      <w:r>
        <w:rPr>
          <w:rFonts w:hint="eastAsia" w:ascii="宋体" w:hAnsi="宋体" w:cs="宋体"/>
          <w:color w:val="auto"/>
          <w:sz w:val="22"/>
          <w:highlight w:val="none"/>
        </w:rPr>
        <w:t>。</w:t>
      </w:r>
    </w:p>
    <w:p w14:paraId="21EE36F1">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6.1.6 关于安全文明施工费支付比例和支付期限的约定：</w:t>
      </w:r>
    </w:p>
    <w:p w14:paraId="3AA25A97">
      <w:pPr>
        <w:pStyle w:val="40"/>
        <w:autoSpaceDE w:val="0"/>
        <w:autoSpaceDN w:val="0"/>
        <w:adjustRightInd w:val="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（1）本合同价款已包含安全文明施工费</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元。</w:t>
      </w:r>
    </w:p>
    <w:p w14:paraId="5D4BF270">
      <w:pPr>
        <w:pStyle w:val="40"/>
        <w:autoSpaceDE w:val="0"/>
        <w:autoSpaceDN w:val="0"/>
        <w:adjustRightInd w:val="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（2）使用要求：专款专用。具体按《广西壮族自治区建设工程安全文明施工措施费及管理细则》（桂建质〔2015〕16号）和</w:t>
      </w:r>
      <w:r>
        <w:rPr>
          <w:rFonts w:hint="eastAsia" w:ascii="宋体" w:hAnsi="宋体" w:cs="宋体"/>
          <w:color w:val="auto"/>
          <w:kern w:val="0"/>
          <w:sz w:val="22"/>
          <w:highlight w:val="none"/>
          <w:u w:val="single"/>
        </w:rPr>
        <w:t xml:space="preserve">   防城港  </w:t>
      </w:r>
      <w:r>
        <w:rPr>
          <w:rFonts w:hint="eastAsia" w:ascii="宋体" w:hAnsi="宋体" w:cs="宋体"/>
          <w:color w:val="auto"/>
          <w:kern w:val="0"/>
          <w:sz w:val="22"/>
          <w:highlight w:val="none"/>
        </w:rPr>
        <w:t>市相关规定执行。</w:t>
      </w:r>
    </w:p>
    <w:p w14:paraId="6BC988C1">
      <w:pPr>
        <w:pStyle w:val="60"/>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（3）支付约定：</w:t>
      </w:r>
      <w:r>
        <w:rPr>
          <w:rFonts w:hint="eastAsia" w:ascii="宋体" w:hAnsi="宋体" w:cs="宋体"/>
          <w:color w:val="auto"/>
          <w:kern w:val="0"/>
          <w:sz w:val="22"/>
          <w:szCs w:val="22"/>
          <w:highlight w:val="none"/>
          <w:u w:val="single"/>
        </w:rPr>
        <w:t>安全文明施工费与进度款同期支付。（1）但如承包人某个时期的安全文明施工费投入不足或未达到磋商文件和合同要求的，发包人可根据承包人实际投入及履行情况扣除部分费用，此部分费用被扣除后承包人无权要求发包人再支付。（2）发包人如果认为有必要，可以要求承包人提供满足发包人要求的安全投入详细清单</w:t>
      </w:r>
      <w:r>
        <w:rPr>
          <w:rFonts w:hint="eastAsia" w:ascii="宋体" w:hAnsi="宋体" w:cs="宋体"/>
          <w:color w:val="auto"/>
          <w:kern w:val="0"/>
          <w:sz w:val="22"/>
          <w:szCs w:val="22"/>
          <w:highlight w:val="none"/>
        </w:rPr>
        <w:t>。</w:t>
      </w:r>
    </w:p>
    <w:p w14:paraId="4721A083">
      <w:pPr>
        <w:pStyle w:val="60"/>
        <w:autoSpaceDE w:val="0"/>
        <w:autoSpaceDN w:val="0"/>
        <w:adjustRightInd w:val="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lang w:eastAsia="zh-CN"/>
        </w:rPr>
        <w:t>（1）</w:t>
      </w:r>
      <w:r>
        <w:rPr>
          <w:rFonts w:hint="eastAsia" w:ascii="宋体" w:hAnsi="宋体" w:cs="宋体"/>
          <w:b/>
          <w:color w:val="auto"/>
          <w:sz w:val="22"/>
          <w:szCs w:val="22"/>
          <w:highlight w:val="none"/>
        </w:rPr>
        <w:t>人员基本素质</w:t>
      </w:r>
    </w:p>
    <w:p w14:paraId="4BF092DF">
      <w:pPr>
        <w:pStyle w:val="60"/>
        <w:autoSpaceDE w:val="0"/>
        <w:autoSpaceDN w:val="0"/>
        <w:adjustRightInd w:val="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承包商应保证参与本工程人员的基本素质满足下列要求：</w:t>
      </w:r>
    </w:p>
    <w:p w14:paraId="4E733F59">
      <w:pPr>
        <w:pStyle w:val="60"/>
        <w:numPr>
          <w:ilvl w:val="0"/>
          <w:numId w:val="6"/>
        </w:numPr>
        <w:autoSpaceDE w:val="0"/>
        <w:autoSpaceDN w:val="0"/>
        <w:adjustRightInd w:val="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身体健康，无影响工作的残疾、无工作</w:t>
      </w:r>
      <w:r>
        <w:rPr>
          <w:rFonts w:hint="eastAsia" w:ascii="宋体" w:hAnsi="宋体" w:cs="宋体"/>
          <w:color w:val="auto"/>
          <w:sz w:val="22"/>
          <w:szCs w:val="22"/>
          <w:highlight w:val="none"/>
          <w:lang w:eastAsia="zh-CN"/>
        </w:rPr>
        <w:t>禁忌</w:t>
      </w:r>
      <w:r>
        <w:rPr>
          <w:rFonts w:hint="eastAsia" w:ascii="宋体" w:hAnsi="宋体" w:eastAsia="宋体" w:cs="宋体"/>
          <w:color w:val="auto"/>
          <w:sz w:val="22"/>
          <w:szCs w:val="22"/>
          <w:highlight w:val="none"/>
          <w:lang w:val="en-US" w:eastAsia="zh-CN"/>
        </w:rPr>
        <w:t>症</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rPr>
        <w:t>无传染病和其他重大疾病。</w:t>
      </w:r>
    </w:p>
    <w:p w14:paraId="5BFDCACF">
      <w:pPr>
        <w:pStyle w:val="60"/>
        <w:numPr>
          <w:ilvl w:val="0"/>
          <w:numId w:val="6"/>
        </w:numPr>
        <w:autoSpaceDE w:val="0"/>
        <w:autoSpaceDN w:val="0"/>
        <w:adjustRightInd w:val="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无刑事案件牵连。</w:t>
      </w:r>
    </w:p>
    <w:p w14:paraId="58EC9FF9">
      <w:pPr>
        <w:pStyle w:val="60"/>
        <w:numPr>
          <w:ilvl w:val="0"/>
          <w:numId w:val="6"/>
        </w:numPr>
        <w:autoSpaceDE w:val="0"/>
        <w:autoSpaceDN w:val="0"/>
        <w:adjustRightInd w:val="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无吸毒、酗酒、赌博、嫖娼等恶习。</w:t>
      </w:r>
    </w:p>
    <w:p w14:paraId="0AB30201">
      <w:pPr>
        <w:pStyle w:val="60"/>
        <w:numPr>
          <w:ilvl w:val="0"/>
          <w:numId w:val="6"/>
        </w:numPr>
        <w:autoSpaceDE w:val="0"/>
        <w:autoSpaceDN w:val="0"/>
        <w:adjustRightInd w:val="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文化程度（教育水平）或技能水平与所从事的工种相适应（说明主要工种的文化水平、技能水平要求）。</w:t>
      </w:r>
    </w:p>
    <w:p w14:paraId="6EFAA020">
      <w:pPr>
        <w:pStyle w:val="60"/>
        <w:numPr>
          <w:ilvl w:val="0"/>
          <w:numId w:val="6"/>
        </w:numPr>
        <w:autoSpaceDE w:val="0"/>
        <w:autoSpaceDN w:val="0"/>
        <w:adjustRightInd w:val="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工作经验（经历）与所从事的工种相适应（说明主要工种的工作经验/经历基本要求）</w:t>
      </w:r>
    </w:p>
    <w:p w14:paraId="69206D6B">
      <w:pPr>
        <w:pStyle w:val="60"/>
        <w:autoSpaceDE w:val="0"/>
        <w:autoSpaceDN w:val="0"/>
        <w:adjustRightInd w:val="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lang w:eastAsia="zh-CN"/>
        </w:rPr>
        <w:t>（2）</w:t>
      </w:r>
      <w:r>
        <w:rPr>
          <w:rFonts w:hint="eastAsia" w:ascii="宋体" w:hAnsi="宋体" w:cs="宋体"/>
          <w:b/>
          <w:color w:val="auto"/>
          <w:sz w:val="22"/>
          <w:szCs w:val="22"/>
          <w:highlight w:val="none"/>
        </w:rPr>
        <w:t>职业健康与卫生防疫</w:t>
      </w:r>
    </w:p>
    <w:p w14:paraId="400E4D8F">
      <w:pPr>
        <w:pStyle w:val="60"/>
        <w:autoSpaceDE w:val="0"/>
        <w:autoSpaceDN w:val="0"/>
        <w:adjustRightInd w:val="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承包商应根据发包人要求提供以下文件：</w:t>
      </w:r>
    </w:p>
    <w:p w14:paraId="2C61C7B2">
      <w:pPr>
        <w:pStyle w:val="60"/>
        <w:numPr>
          <w:ilvl w:val="0"/>
          <w:numId w:val="7"/>
        </w:numPr>
        <w:autoSpaceDE w:val="0"/>
        <w:autoSpaceDN w:val="0"/>
        <w:adjustRightInd w:val="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承包商应有职工体检制度和健康推进计划，其中应包括工时控制、休息娱乐、体育活动方面的内容。</w:t>
      </w:r>
    </w:p>
    <w:p w14:paraId="7B17654B">
      <w:pPr>
        <w:pStyle w:val="60"/>
        <w:numPr>
          <w:ilvl w:val="0"/>
          <w:numId w:val="7"/>
        </w:numPr>
        <w:autoSpaceDE w:val="0"/>
        <w:autoSpaceDN w:val="0"/>
        <w:adjustRightInd w:val="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承包商应有特殊健康检查制度，预防有</w:t>
      </w:r>
      <w:r>
        <w:rPr>
          <w:rFonts w:hint="eastAsia" w:ascii="宋体" w:hAnsi="宋体" w:cs="宋体"/>
          <w:color w:val="auto"/>
          <w:sz w:val="22"/>
          <w:szCs w:val="22"/>
          <w:highlight w:val="none"/>
          <w:lang w:eastAsia="zh-CN"/>
        </w:rPr>
        <w:t>禁忌证</w:t>
      </w:r>
      <w:r>
        <w:rPr>
          <w:rFonts w:hint="eastAsia" w:ascii="宋体" w:hAnsi="宋体" w:cs="宋体"/>
          <w:color w:val="auto"/>
          <w:sz w:val="22"/>
          <w:szCs w:val="22"/>
          <w:highlight w:val="none"/>
        </w:rPr>
        <w:t>患者从事有关职业，如恐高 症患者不得从事高处作业，患有心血管疾病的人员不得从事繁重的体力劳动，特殊工种人员的体检应符合国家的规定。</w:t>
      </w:r>
    </w:p>
    <w:p w14:paraId="6D8AB0C8">
      <w:pPr>
        <w:pStyle w:val="60"/>
        <w:numPr>
          <w:ilvl w:val="0"/>
          <w:numId w:val="7"/>
        </w:numPr>
        <w:autoSpaceDE w:val="0"/>
        <w:autoSpaceDN w:val="0"/>
        <w:adjustRightInd w:val="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建立卫生防疫措施计划，做好生活区和施工区的卫生防疫工作。有灭蚊、灭鼠和消毒的专项工作计划，有针对性地制订预防SARS、H1N1流感、禽流感、疟疾、霍乱、肠道传染病、肝炎等传染性疾病的措施，有确保饮水卫生、饮食卫生、环境卫生和预防集体食物中毒的措施。</w:t>
      </w:r>
    </w:p>
    <w:p w14:paraId="766946E2">
      <w:pPr>
        <w:pStyle w:val="60"/>
        <w:numPr>
          <w:ilvl w:val="0"/>
          <w:numId w:val="7"/>
        </w:numPr>
        <w:autoSpaceDE w:val="0"/>
        <w:autoSpaceDN w:val="0"/>
        <w:adjustRightInd w:val="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承包商应服从发包人卫生防疫部门的统一协调和管理。</w:t>
      </w:r>
    </w:p>
    <w:p w14:paraId="198D8F8D">
      <w:pPr>
        <w:pStyle w:val="60"/>
        <w:autoSpaceDE w:val="0"/>
        <w:autoSpaceDN w:val="0"/>
        <w:adjustRightInd w:val="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lang w:eastAsia="zh-CN"/>
        </w:rPr>
        <w:t>（3）</w:t>
      </w:r>
      <w:r>
        <w:rPr>
          <w:rFonts w:hint="eastAsia" w:ascii="宋体" w:hAnsi="宋体" w:cs="宋体"/>
          <w:b/>
          <w:color w:val="auto"/>
          <w:sz w:val="22"/>
          <w:szCs w:val="22"/>
          <w:highlight w:val="none"/>
        </w:rPr>
        <w:t>交通、运输安全、环境管理</w:t>
      </w:r>
    </w:p>
    <w:p w14:paraId="7F36E22D">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承包商应充分考虑本工程的特点，采取科学的施工工艺和有效的安全防护措施，确保施工期间道路的畅通及安全。</w:t>
      </w:r>
    </w:p>
    <w:p w14:paraId="3DA4BE07">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上山道路的最小曲率半径不得小于15米；最大纵向坡度不得超过12％。</w:t>
      </w:r>
    </w:p>
    <w:p w14:paraId="2D9C72F8">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双车道的路面宽度，应保证会车安全。陡长坡道的尽端弯道，不宜采用最小平曲线半径。弯道处会车视距若不能满足要求，则应分设车道。</w:t>
      </w:r>
    </w:p>
    <w:p w14:paraId="11D9DAFE">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山坡填方的弯道、坡度较大的填方地段以及高堤路基路段外侧应设置护栏、挡车墙、挡车防护土坎、安全标志牌等。</w:t>
      </w:r>
    </w:p>
    <w:p w14:paraId="0B522933">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上山道路应经常维护，保持道路畅通；上山道路的排水系统经常维护，保持其有效可用。</w:t>
      </w:r>
    </w:p>
    <w:p w14:paraId="79B4A0C6">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通向装卸地点道路的坡度大于10％时，禁止汽车倒车行驶。</w:t>
      </w:r>
    </w:p>
    <w:p w14:paraId="782CAB77">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驾驶员必须严格执行</w:t>
      </w:r>
      <w:r>
        <w:rPr>
          <w:rFonts w:hint="eastAsia" w:ascii="宋体" w:hAnsi="宋体" w:cs="宋体"/>
          <w:color w:val="auto"/>
          <w:sz w:val="22"/>
          <w:szCs w:val="22"/>
          <w:highlight w:val="none"/>
          <w:lang w:eastAsia="zh-CN"/>
        </w:rPr>
        <w:t>交通运输部</w:t>
      </w:r>
      <w:r>
        <w:rPr>
          <w:rFonts w:hint="eastAsia" w:ascii="宋体" w:hAnsi="宋体" w:cs="宋体"/>
          <w:color w:val="auto"/>
          <w:sz w:val="22"/>
          <w:szCs w:val="22"/>
          <w:highlight w:val="none"/>
        </w:rPr>
        <w:t>颁布的交通规则和技术操作规程，严禁无证、酒后、超速、超载、抢道、遗洒等违章行为。</w:t>
      </w:r>
    </w:p>
    <w:p w14:paraId="1C0905F6">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驾驶机动车辆时严禁服用国家管制的精神药品或麻醉药品。</w:t>
      </w:r>
    </w:p>
    <w:p w14:paraId="418273D7">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装车时驾驶员禁止检查、维护车辆。</w:t>
      </w:r>
    </w:p>
    <w:p w14:paraId="39D0670A">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装车时驾驶员不宜离开驾驶室，禁止将头和手臂伸出驾驶室外。</w:t>
      </w:r>
    </w:p>
    <w:p w14:paraId="13EA1C86">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严禁穿拖鞋驾驶车辆，或拖拉工作鞋驾驶车辆。</w:t>
      </w:r>
    </w:p>
    <w:p w14:paraId="68B78A8C">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卸载作业场地应经常保持平整，并保有3%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5%的反坡。</w:t>
      </w:r>
    </w:p>
    <w:p w14:paraId="01AC6D75">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卸载作业场地应有专人指挥，在同一地段不准同时进行卸载和推排作业。</w:t>
      </w:r>
    </w:p>
    <w:p w14:paraId="3FA41610">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卸载场地的倒车指挥人员，须穿反光衣、手持指挥小红旗、夜间配手持照明工具。</w:t>
      </w:r>
    </w:p>
    <w:p w14:paraId="18D80B00">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车辆外缘至平台临边应保持3米以上距离。</w:t>
      </w:r>
    </w:p>
    <w:p w14:paraId="1D169868">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承包商的车辆必须证照齐全，车容车貌良好、车辆安全附属装置完好；严禁使用报废车辆或无牌无证车辆。</w:t>
      </w:r>
    </w:p>
    <w:p w14:paraId="313DE400">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车辆超长、超宽、超高运输，必须征得发包人的许可。</w:t>
      </w:r>
    </w:p>
    <w:p w14:paraId="73392DD9">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承包商的运输车辆必须满足安全要求，刹车系统、灯光系统良好。</w:t>
      </w:r>
    </w:p>
    <w:p w14:paraId="6538E7B2">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载重土石方运输车辆的土、石不得超过车厢边沿。</w:t>
      </w:r>
    </w:p>
    <w:p w14:paraId="17481D6A">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车辆的装载必须符合车辆装载规定的要求，禁止超高、超宽、超重装载，禁止车辆在道路上的遗洒。</w:t>
      </w:r>
    </w:p>
    <w:p w14:paraId="5BBD815A">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车辆的检查、保养、维修必须有本质的安全防护措施。</w:t>
      </w:r>
    </w:p>
    <w:p w14:paraId="5B7E6BFB">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车辆在</w:t>
      </w:r>
      <w:r>
        <w:rPr>
          <w:rFonts w:hint="eastAsia" w:ascii="宋体" w:hAnsi="宋体" w:cs="宋体"/>
          <w:color w:val="auto"/>
          <w:sz w:val="22"/>
          <w:szCs w:val="22"/>
          <w:highlight w:val="none"/>
          <w:lang w:eastAsia="zh-CN"/>
        </w:rPr>
        <w:t>行驶</w:t>
      </w:r>
      <w:r>
        <w:rPr>
          <w:rFonts w:hint="eastAsia" w:ascii="宋体" w:hAnsi="宋体" w:cs="宋体"/>
          <w:color w:val="auto"/>
          <w:sz w:val="22"/>
          <w:szCs w:val="22"/>
          <w:highlight w:val="none"/>
        </w:rPr>
        <w:t>中故障，必须有警示措施，这些警示措施需符合道路交通安全的规定。</w:t>
      </w:r>
    </w:p>
    <w:p w14:paraId="4A0B2664">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土石方运输车辆的转向轮胎严禁使用翻新胎或套胎；中、后桥的轮胎使用翻新胎或套胎的，需制定发包人许可的更换标准并严格遵守。</w:t>
      </w:r>
    </w:p>
    <w:p w14:paraId="6D9A442A">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承包商必须对施工道路、运输道路进行日常的保养和维护，防止坑洼不平。</w:t>
      </w:r>
    </w:p>
    <w:p w14:paraId="13360C4D">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承包商应配备洒水车对施工道路、运输道路进行洒水除尘；当洒水除尘效果不能满足发包人的环保要求时，承包商有责任增加洒水车洒水除尘。</w:t>
      </w:r>
    </w:p>
    <w:p w14:paraId="44A9A2CD">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上山道路雨天泥泞、湿滑应停止施工。</w:t>
      </w:r>
    </w:p>
    <w:p w14:paraId="58BE2671">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车辆在运输时不能</w:t>
      </w:r>
      <w:r>
        <w:rPr>
          <w:rFonts w:hint="eastAsia" w:ascii="宋体" w:hAnsi="宋体" w:cs="宋体"/>
          <w:color w:val="auto"/>
          <w:sz w:val="22"/>
          <w:szCs w:val="22"/>
          <w:highlight w:val="none"/>
          <w:lang w:eastAsia="zh-CN"/>
        </w:rPr>
        <w:t>装得</w:t>
      </w:r>
      <w:r>
        <w:rPr>
          <w:rFonts w:hint="eastAsia" w:ascii="宋体" w:hAnsi="宋体" w:cs="宋体"/>
          <w:color w:val="auto"/>
          <w:sz w:val="22"/>
          <w:szCs w:val="22"/>
          <w:highlight w:val="none"/>
        </w:rPr>
        <w:t>太满导致沿路遗洒，对洒落的渣料应及时清理。</w:t>
      </w:r>
    </w:p>
    <w:p w14:paraId="1974F68E">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车辆在运输过程中应依限速要求行驶，严禁超速、超载。</w:t>
      </w:r>
    </w:p>
    <w:p w14:paraId="259FCD5F">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承包商应建立占用公用道路施工控制程序，实施占道施工许可证管理并得到发包人的书面批准。</w:t>
      </w:r>
    </w:p>
    <w:p w14:paraId="6C126BF0">
      <w:pPr>
        <w:pStyle w:val="60"/>
        <w:numPr>
          <w:ilvl w:val="0"/>
          <w:numId w:val="8"/>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根据属地管理的原则，对进入施工区的人员和车辆进行统一的协调和管理。</w:t>
      </w:r>
    </w:p>
    <w:p w14:paraId="6BAACFD2">
      <w:pPr>
        <w:pStyle w:val="60"/>
        <w:autoSpaceDE w:val="0"/>
        <w:autoSpaceDN w:val="0"/>
        <w:adjustRightInd w:val="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lang w:eastAsia="zh-CN"/>
        </w:rPr>
        <w:t>（4）</w:t>
      </w:r>
      <w:r>
        <w:rPr>
          <w:rFonts w:hint="eastAsia" w:ascii="宋体" w:hAnsi="宋体" w:cs="宋体"/>
          <w:color w:val="auto"/>
          <w:sz w:val="22"/>
          <w:szCs w:val="22"/>
          <w:highlight w:val="none"/>
        </w:rPr>
        <w:t xml:space="preserve"> </w:t>
      </w:r>
      <w:r>
        <w:rPr>
          <w:rFonts w:hint="eastAsia" w:ascii="宋体" w:hAnsi="宋体" w:cs="宋体"/>
          <w:b/>
          <w:color w:val="auto"/>
          <w:sz w:val="22"/>
          <w:szCs w:val="22"/>
          <w:highlight w:val="none"/>
        </w:rPr>
        <w:t>施工队劳务（劳务工）安全、环境管理</w:t>
      </w:r>
    </w:p>
    <w:p w14:paraId="1A8E3D51">
      <w:pPr>
        <w:pStyle w:val="60"/>
        <w:numPr>
          <w:ilvl w:val="0"/>
          <w:numId w:val="9"/>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承包商应向发包人提供施工队伍中分包商、劳务工的信息。这些信息应包括活动的内容、人数、与承包商合作的历史、劳务工来源等。</w:t>
      </w:r>
    </w:p>
    <w:p w14:paraId="7AC48080">
      <w:pPr>
        <w:pStyle w:val="60"/>
        <w:numPr>
          <w:ilvl w:val="0"/>
          <w:numId w:val="9"/>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承包商应对分包商、施工队、劳务提供单位的安全、环境资质实行有效控制，其安全、环境资质的审查文件应提供给发包人检查。</w:t>
      </w:r>
    </w:p>
    <w:p w14:paraId="76AC8306">
      <w:pPr>
        <w:pStyle w:val="60"/>
        <w:numPr>
          <w:ilvl w:val="0"/>
          <w:numId w:val="9"/>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承包商的安全、环境管理组织机构和岗位职责必须覆盖到分包队伍和所有人员。</w:t>
      </w:r>
    </w:p>
    <w:p w14:paraId="24C219BD">
      <w:pPr>
        <w:pStyle w:val="60"/>
        <w:numPr>
          <w:ilvl w:val="0"/>
          <w:numId w:val="9"/>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承包商必须确保以下各方面的安全、环境管理：</w:t>
      </w:r>
    </w:p>
    <w:p w14:paraId="4054079C">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不得使用童工。</w:t>
      </w:r>
    </w:p>
    <w:p w14:paraId="4945D5BA">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保障妇女的劳动保护权益。</w:t>
      </w:r>
    </w:p>
    <w:p w14:paraId="181B9A94">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施工队的劳务工工资按时足量发放，不得克扣、拖延。</w:t>
      </w:r>
    </w:p>
    <w:p w14:paraId="6C2F005B">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施工队员工和临时劳务工的工作时间合理，不得超量加班，避免疲劳过度而发生事故。</w:t>
      </w:r>
    </w:p>
    <w:p w14:paraId="23503C3F">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为劳务工免费提供满足本合同要求的劳动保护用品。</w:t>
      </w:r>
    </w:p>
    <w:p w14:paraId="52BD18D1">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为施工队劳务工提供符合三防、卫生、消防、安全要求的生活居住条件，并将居住场所和人数以书面形式报给发包人。</w:t>
      </w:r>
    </w:p>
    <w:p w14:paraId="00F422B8">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必须为劳务人员购买工伤保险或意外伤害保险、办理暂住证，并将证明文件的复印件提交给发包人备案。</w:t>
      </w:r>
    </w:p>
    <w:p w14:paraId="6326658C">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必须为劳务人员提供符合安全要求的上下班交通客车。</w:t>
      </w:r>
    </w:p>
    <w:p w14:paraId="114D5585">
      <w:pPr>
        <w:pStyle w:val="60"/>
        <w:numPr>
          <w:ilvl w:val="0"/>
          <w:numId w:val="10"/>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劳务工必须和职工一起编队分配工作并进行管理，严禁没有工作经验的劳务工单独承担独立工作。</w:t>
      </w:r>
    </w:p>
    <w:p w14:paraId="7F8C4359">
      <w:pPr>
        <w:pStyle w:val="60"/>
        <w:autoSpaceDE w:val="0"/>
        <w:autoSpaceDN w:val="0"/>
        <w:adjustRightInd w:val="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lang w:eastAsia="zh-CN"/>
        </w:rPr>
        <w:t>（5）</w:t>
      </w:r>
      <w:r>
        <w:rPr>
          <w:rFonts w:hint="eastAsia" w:ascii="宋体" w:hAnsi="宋体" w:cs="宋体"/>
          <w:b/>
          <w:color w:val="auto"/>
          <w:sz w:val="22"/>
          <w:szCs w:val="22"/>
          <w:highlight w:val="none"/>
        </w:rPr>
        <w:t>施工临建安全</w:t>
      </w:r>
    </w:p>
    <w:p w14:paraId="40B03A7C">
      <w:pPr>
        <w:pStyle w:val="60"/>
        <w:numPr>
          <w:ilvl w:val="1"/>
          <w:numId w:val="11"/>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承包商禁止擅动现场公用设施，如占据消防通道、非事故情况下动用消防水、拆除安全围栏和标志、揭开沟道、堵塞泄洪道、私接电源、擅自堆放物料等等。</w:t>
      </w:r>
    </w:p>
    <w:p w14:paraId="7B1AB90D">
      <w:pPr>
        <w:pStyle w:val="60"/>
        <w:numPr>
          <w:ilvl w:val="1"/>
          <w:numId w:val="11"/>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承包商应维持责任范围内的道路、给排水、厕所、污水处理等基础设施的安全状态。</w:t>
      </w:r>
    </w:p>
    <w:p w14:paraId="6F39F3F8">
      <w:pPr>
        <w:pStyle w:val="60"/>
        <w:numPr>
          <w:ilvl w:val="1"/>
          <w:numId w:val="11"/>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在发包人管辖区域内所建立的临建设施，如车间、仓库、加工场地、预制场地等等，必须满足发包人的规划要求，这些临建设施必须具备基本的安全性能，包括抗震、防台、防雷、消防、逃生通道、安全距离、应急照明、通风空调、卫生、安全标志、防盗等性能。对于有特殊风险的厂房，则必须配置专设安全装置。厂房内使用的特种机械，如行车、机床、充电设备等，必须符合国家强制性标准和特种设备的监察要求。存放危险化学品、压缩气体、射线探伤装置和放射源的设施，必须满足分隔存放等安全要求，禁止混放。</w:t>
      </w:r>
    </w:p>
    <w:p w14:paraId="75781BD8">
      <w:pPr>
        <w:pStyle w:val="60"/>
        <w:numPr>
          <w:ilvl w:val="1"/>
          <w:numId w:val="11"/>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长期使用（超过半年）的临时施工建筑的建设标准应不低于地方规范，建筑设计应报送消防大队进行建筑设计消防审查。禁止使用毛竹、芦席、油毛毡等可燃材料搭制临时工棚和仓库。</w:t>
      </w:r>
    </w:p>
    <w:p w14:paraId="450117D9">
      <w:pPr>
        <w:pStyle w:val="60"/>
        <w:numPr>
          <w:ilvl w:val="1"/>
          <w:numId w:val="11"/>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建立“施工区域安全管理”制度，包括指定施工区域的安全负责人或协调人，建立安全检查制度，包括防火、照明、通风、防雷、防涝、防台风、物料管理、危险品管理、用电安全管理、灭火器材管理、安全警示牌管理、清洁卫生等内容。</w:t>
      </w:r>
    </w:p>
    <w:p w14:paraId="5C6AC662">
      <w:pPr>
        <w:pStyle w:val="60"/>
        <w:numPr>
          <w:ilvl w:val="1"/>
          <w:numId w:val="11"/>
        </w:numPr>
        <w:autoSpaceDE w:val="0"/>
        <w:autoSpaceDN w:val="0"/>
        <w:adjustRightInd w:val="0"/>
        <w:spacing w:line="360" w:lineRule="exact"/>
        <w:ind w:left="0"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禁止使用或出租发包人管辖区域内的设施从事与合同无关的活动，与设施的安全生产条件不符的活动或</w:t>
      </w:r>
      <w:r>
        <w:rPr>
          <w:rFonts w:hint="eastAsia" w:ascii="宋体" w:hAnsi="宋体" w:cs="宋体"/>
          <w:color w:val="auto"/>
          <w:sz w:val="22"/>
          <w:szCs w:val="22"/>
          <w:highlight w:val="none"/>
          <w:lang w:eastAsia="zh-CN"/>
        </w:rPr>
        <w:t>改作</w:t>
      </w:r>
      <w:r>
        <w:rPr>
          <w:rFonts w:hint="eastAsia" w:ascii="宋体" w:hAnsi="宋体" w:cs="宋体"/>
          <w:color w:val="auto"/>
          <w:sz w:val="22"/>
          <w:szCs w:val="22"/>
          <w:highlight w:val="none"/>
        </w:rPr>
        <w:t>与设施的安全生产条件不符的用途。</w:t>
      </w:r>
    </w:p>
    <w:p w14:paraId="14B3E15E">
      <w:pPr>
        <w:pStyle w:val="60"/>
        <w:autoSpaceDE w:val="0"/>
        <w:autoSpaceDN w:val="0"/>
        <w:adjustRightInd w:val="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lang w:eastAsia="zh-CN"/>
        </w:rPr>
        <w:t>（6）</w:t>
      </w:r>
      <w:r>
        <w:rPr>
          <w:rFonts w:hint="eastAsia" w:ascii="宋体" w:hAnsi="宋体" w:cs="宋体"/>
          <w:b/>
          <w:color w:val="auto"/>
          <w:sz w:val="22"/>
          <w:szCs w:val="22"/>
          <w:highlight w:val="none"/>
        </w:rPr>
        <w:t xml:space="preserve"> 生活区安全、环境管理</w:t>
      </w:r>
    </w:p>
    <w:p w14:paraId="205937C5">
      <w:pPr>
        <w:pStyle w:val="60"/>
        <w:numPr>
          <w:ilvl w:val="0"/>
          <w:numId w:val="12"/>
        </w:numPr>
        <w:autoSpaceDE w:val="0"/>
        <w:autoSpaceDN w:val="0"/>
        <w:adjustRightInd w:val="0"/>
        <w:spacing w:line="360" w:lineRule="exact"/>
        <w:ind w:left="-20" w:leftChars="0" w:firstLine="44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承包商应制定生活营地管理规定（包括劳务工的生活营地）并报发包人备案。</w:t>
      </w:r>
    </w:p>
    <w:p w14:paraId="4CBC408D">
      <w:pPr>
        <w:pStyle w:val="60"/>
        <w:numPr>
          <w:ilvl w:val="0"/>
          <w:numId w:val="12"/>
        </w:numPr>
        <w:autoSpaceDE w:val="0"/>
        <w:autoSpaceDN w:val="0"/>
        <w:adjustRightInd w:val="0"/>
        <w:spacing w:line="360" w:lineRule="exact"/>
        <w:ind w:left="-20" w:leftChars="0" w:firstLine="44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开工前承包商需将所有人员的居住场所和人员数量以书面的形式提交给发包人，发包人方将进行核查，如不满足安全、环境保护要求，将建议整改，在限期内达不到要求的，发包人将不予支付临建经费。</w:t>
      </w:r>
    </w:p>
    <w:p w14:paraId="7DC53C98">
      <w:pPr>
        <w:pStyle w:val="60"/>
        <w:numPr>
          <w:ilvl w:val="0"/>
          <w:numId w:val="12"/>
        </w:numPr>
        <w:autoSpaceDE w:val="0"/>
        <w:autoSpaceDN w:val="0"/>
        <w:adjustRightInd w:val="0"/>
        <w:spacing w:line="360" w:lineRule="exact"/>
        <w:ind w:left="-20" w:leftChars="0" w:firstLine="44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施工现场不允许安排生活临建。</w:t>
      </w:r>
    </w:p>
    <w:p w14:paraId="263DBB9D">
      <w:pPr>
        <w:pStyle w:val="60"/>
        <w:numPr>
          <w:ilvl w:val="0"/>
          <w:numId w:val="12"/>
        </w:numPr>
        <w:autoSpaceDE w:val="0"/>
        <w:autoSpaceDN w:val="0"/>
        <w:adjustRightInd w:val="0"/>
        <w:spacing w:line="360" w:lineRule="exact"/>
        <w:ind w:left="-20" w:leftChars="0" w:firstLine="44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承包商的生活临建不允许是工棚、铁皮房、石棉瓦房等不符合三防要求的建筑物，严禁租赁“危房”做生活营地。</w:t>
      </w:r>
    </w:p>
    <w:p w14:paraId="7439EB88">
      <w:pPr>
        <w:pStyle w:val="60"/>
        <w:numPr>
          <w:ilvl w:val="0"/>
          <w:numId w:val="12"/>
        </w:numPr>
        <w:autoSpaceDE w:val="0"/>
        <w:autoSpaceDN w:val="0"/>
        <w:adjustRightInd w:val="0"/>
        <w:spacing w:line="360" w:lineRule="exact"/>
        <w:ind w:left="-20" w:leftChars="0" w:firstLine="44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的生活营地应满足消防、安全用电、卫生防疫、防抗台风、暴雨、雷击等方面的安全条件，并建立相应的管理制度；尤其严格消防管理，禁止封锁逃生通道，禁止使用工作场所、仓库、生活场所“三合一”的设施。</w:t>
      </w:r>
    </w:p>
    <w:p w14:paraId="41E7F890">
      <w:pPr>
        <w:pStyle w:val="60"/>
        <w:numPr>
          <w:ilvl w:val="0"/>
          <w:numId w:val="12"/>
        </w:numPr>
        <w:autoSpaceDE w:val="0"/>
        <w:autoSpaceDN w:val="0"/>
        <w:adjustRightInd w:val="0"/>
        <w:spacing w:line="360" w:lineRule="exact"/>
        <w:ind w:left="-20" w:leftChars="0" w:firstLine="44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承包商的食堂要满足卫生要求，人员要定期体检，不能有传染病；要有消毒、冷藏设施，生、熟食要分开。</w:t>
      </w:r>
    </w:p>
    <w:p w14:paraId="67AED651">
      <w:pPr>
        <w:pStyle w:val="60"/>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sz w:val="22"/>
          <w:szCs w:val="22"/>
          <w:highlight w:val="none"/>
        </w:rPr>
        <w:t>在采购食品时要注意食品安全，禁止提供变质、过期食品，防止集体食物中毒。</w:t>
      </w:r>
    </w:p>
    <w:p w14:paraId="7430A3FA">
      <w:pPr>
        <w:pStyle w:val="39"/>
        <w:spacing w:line="360" w:lineRule="exact"/>
        <w:ind w:firstLine="442" w:firstLineChars="200"/>
        <w:rPr>
          <w:rFonts w:hint="eastAsia" w:ascii="宋体" w:hAnsi="宋体" w:cs="宋体"/>
          <w:color w:val="auto"/>
          <w:sz w:val="22"/>
          <w:szCs w:val="22"/>
          <w:highlight w:val="none"/>
        </w:rPr>
      </w:pPr>
      <w:bookmarkStart w:id="393" w:name="_Toc533432746"/>
      <w:bookmarkStart w:id="394" w:name="_Toc395382523"/>
      <w:bookmarkStart w:id="395" w:name="_Toc373227721"/>
      <w:bookmarkStart w:id="396" w:name="_Toc389065287"/>
      <w:bookmarkStart w:id="397" w:name="_Toc373478368"/>
      <w:bookmarkStart w:id="398" w:name="_Toc12975911"/>
      <w:r>
        <w:rPr>
          <w:rFonts w:hint="eastAsia" w:ascii="宋体" w:hAnsi="宋体" w:cs="宋体"/>
          <w:color w:val="auto"/>
          <w:sz w:val="22"/>
          <w:szCs w:val="22"/>
          <w:highlight w:val="none"/>
        </w:rPr>
        <w:t>6.3 环境保护</w:t>
      </w:r>
      <w:bookmarkEnd w:id="393"/>
      <w:bookmarkEnd w:id="394"/>
      <w:bookmarkEnd w:id="395"/>
      <w:bookmarkEnd w:id="396"/>
      <w:bookmarkEnd w:id="397"/>
      <w:bookmarkEnd w:id="398"/>
    </w:p>
    <w:p w14:paraId="5BE10791">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因施工需要，经发包人批准，由承包人办理有关施工场地交通、环卫和施工噪音管理等手续，费用由承包人负责。</w:t>
      </w:r>
    </w:p>
    <w:p w14:paraId="2DE97397">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经过城市道路的施工车辆，必须按交警、城管、运输等部门相关规定执行。由于施工车辆造成的道路、环境等污染，其责任和费用均由承包人承担。</w:t>
      </w:r>
    </w:p>
    <w:p w14:paraId="4101C80F">
      <w:pPr>
        <w:pStyle w:val="60"/>
        <w:spacing w:line="360" w:lineRule="exact"/>
        <w:ind w:firstLine="442" w:firstLineChars="200"/>
        <w:jc w:val="left"/>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一、土地资源的保护</w:t>
      </w:r>
    </w:p>
    <w:p w14:paraId="56C04642">
      <w:pPr>
        <w:pStyle w:val="60"/>
        <w:numPr>
          <w:ilvl w:val="0"/>
          <w:numId w:val="13"/>
        </w:numPr>
        <w:spacing w:line="360" w:lineRule="exact"/>
        <w:ind w:left="0"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妥善处理废方，山坡弃土应尽量避免破坏或掩埋路基（场地）下侧的林木、农田</w:t>
      </w:r>
      <w:r>
        <w:rPr>
          <w:rFonts w:hint="eastAsia" w:ascii="宋体" w:hAnsi="宋体" w:cs="宋体"/>
          <w:color w:val="auto"/>
          <w:sz w:val="22"/>
          <w:szCs w:val="22"/>
          <w:highlight w:val="none"/>
          <w:u w:val="single"/>
          <w:lang w:eastAsia="zh-CN"/>
        </w:rPr>
        <w:t>及其他</w:t>
      </w:r>
      <w:r>
        <w:rPr>
          <w:rFonts w:hint="eastAsia" w:ascii="宋体" w:hAnsi="宋体" w:cs="宋体"/>
          <w:color w:val="auto"/>
          <w:sz w:val="22"/>
          <w:szCs w:val="22"/>
          <w:highlight w:val="none"/>
          <w:u w:val="single"/>
        </w:rPr>
        <w:t>工程设施。沿河弃土应避免壅塞河道、改变水流方向和抬高水位而淹没或冲毁农田、房屋。应重视弃土堆的复垦，有条件时，宜在弃土堆顶面绿化，或整平成为耕地。</w:t>
      </w:r>
    </w:p>
    <w:p w14:paraId="6AE8911E">
      <w:pPr>
        <w:pStyle w:val="60"/>
        <w:numPr>
          <w:ilvl w:val="0"/>
          <w:numId w:val="13"/>
        </w:numPr>
        <w:spacing w:line="360" w:lineRule="exact"/>
        <w:ind w:left="0"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取土坑应选在高地、荒地上，尽量不占耕地；当必须从耕地取土时，应将表面种植土铲除，集中成堆保存，并在工程交工前做好还地工作。对于深而宽的取土坑，可根据当地需要，用作蓄水池或鱼塘。在多年的经济作物区或重要的绿化带，不得设置取土坑。</w:t>
      </w:r>
    </w:p>
    <w:p w14:paraId="72615CEB">
      <w:pPr>
        <w:pStyle w:val="60"/>
        <w:numPr>
          <w:ilvl w:val="0"/>
          <w:numId w:val="13"/>
        </w:numPr>
        <w:spacing w:line="360" w:lineRule="exact"/>
        <w:ind w:left="0"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在河床采砂砾材料时，必须注意防止对河流状态的改变，并应符合</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中华人民共和国水法</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的规定，即：“在行洪、排涝河流和航道范围内开采砂石、砂金，必须经河道主管部门批准，按照批准的范围和作业方式开采，涉及航道的，由河道主管部门会</w:t>
      </w:r>
      <w:r>
        <w:rPr>
          <w:rFonts w:hint="eastAsia" w:ascii="宋体" w:hAnsi="宋体" w:eastAsia="宋体" w:cs="宋体"/>
          <w:color w:val="auto"/>
          <w:sz w:val="22"/>
          <w:szCs w:val="22"/>
          <w:highlight w:val="none"/>
          <w:u w:val="single"/>
        </w:rPr>
        <w:t>同</w:t>
      </w:r>
      <w:r>
        <w:rPr>
          <w:rFonts w:hint="eastAsia" w:ascii="宋体" w:hAnsi="宋体" w:eastAsia="宋体" w:cs="宋体"/>
          <w:color w:val="auto"/>
          <w:sz w:val="22"/>
          <w:szCs w:val="22"/>
          <w:highlight w:val="none"/>
          <w:u w:val="single"/>
          <w:lang w:val="en-US" w:eastAsia="zh-CN"/>
        </w:rPr>
        <w:t>航</w:t>
      </w:r>
      <w:r>
        <w:rPr>
          <w:rFonts w:hint="eastAsia" w:ascii="宋体" w:hAnsi="宋体" w:eastAsia="宋体" w:cs="宋体"/>
          <w:color w:val="auto"/>
          <w:sz w:val="22"/>
          <w:szCs w:val="22"/>
          <w:highlight w:val="none"/>
          <w:u w:val="single"/>
        </w:rPr>
        <w:t>道主管部门</w:t>
      </w:r>
      <w:r>
        <w:rPr>
          <w:rFonts w:hint="eastAsia" w:ascii="宋体" w:hAnsi="宋体" w:cs="宋体"/>
          <w:color w:val="auto"/>
          <w:sz w:val="22"/>
          <w:szCs w:val="22"/>
          <w:highlight w:val="none"/>
          <w:u w:val="single"/>
        </w:rPr>
        <w:t>批准”的规定。</w:t>
      </w:r>
    </w:p>
    <w:p w14:paraId="34FF8AD7">
      <w:pPr>
        <w:pStyle w:val="60"/>
        <w:numPr>
          <w:ilvl w:val="0"/>
          <w:numId w:val="13"/>
        </w:numPr>
        <w:spacing w:line="360" w:lineRule="exact"/>
        <w:ind w:left="0"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采石场的位置，应结合环境保护的要求选择，其中包括噪声、爆破引起的地下振动、公共安全问题等。采石场的位置，应征得当地政府及环境管理部门的同意并办理必要的手续。</w:t>
      </w:r>
    </w:p>
    <w:p w14:paraId="1A4AB225">
      <w:pPr>
        <w:pStyle w:val="60"/>
        <w:numPr>
          <w:ilvl w:val="0"/>
          <w:numId w:val="13"/>
        </w:numPr>
        <w:spacing w:line="360" w:lineRule="exact"/>
        <w:ind w:left="0"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对施工人员加强保护自然资源及野生植物的教育，在雇用合同中规定严禁偷猎和随意砍伐树木。</w:t>
      </w:r>
    </w:p>
    <w:p w14:paraId="3ABDE6EF">
      <w:pPr>
        <w:pStyle w:val="6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二、防止水土流失和废料废方处理</w:t>
      </w:r>
    </w:p>
    <w:p w14:paraId="6076AD61">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eastAsia="zh-CN"/>
        </w:rPr>
        <w:t>（1）</w:t>
      </w:r>
      <w:r>
        <w:rPr>
          <w:rFonts w:hint="eastAsia" w:ascii="宋体" w:hAnsi="宋体" w:cs="宋体"/>
          <w:color w:val="auto"/>
          <w:sz w:val="22"/>
          <w:szCs w:val="22"/>
          <w:highlight w:val="none"/>
          <w:u w:val="single"/>
        </w:rPr>
        <w:t>防水排水</w:t>
      </w:r>
    </w:p>
    <w:p w14:paraId="3AFE1522">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1）在施工期间应始终保持工地的良好的排水状态，修建必要的临时排水渠道，并与永久性排水设施相连接，且不得引起淤积和冲刷。</w:t>
      </w:r>
    </w:p>
    <w:p w14:paraId="5E027A6D">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2）因承包商未设置足够的排水设施致使土方工程遭受破坏时，其责任由承包商自负。</w:t>
      </w:r>
    </w:p>
    <w:p w14:paraId="2A962C1D">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3）雨季填筑路堤应随挖、随运、随填、随压实，依次进行；每层表面应筑成适当的横坡，使不积水。</w:t>
      </w:r>
    </w:p>
    <w:p w14:paraId="645F783D">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eastAsia="zh-CN"/>
        </w:rPr>
        <w:t>（2）</w:t>
      </w:r>
      <w:r>
        <w:rPr>
          <w:rFonts w:hint="eastAsia" w:ascii="宋体" w:hAnsi="宋体" w:cs="宋体"/>
          <w:color w:val="auto"/>
          <w:sz w:val="22"/>
          <w:szCs w:val="22"/>
          <w:highlight w:val="none"/>
          <w:u w:val="single"/>
        </w:rPr>
        <w:t>冲刷与淤积</w:t>
      </w:r>
    </w:p>
    <w:p w14:paraId="4A84B7B9">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1）承包商应采取有效预防措施，防止施工场所占用的土地或临时使用的土地受到冲刷。</w:t>
      </w:r>
    </w:p>
    <w:p w14:paraId="6EFF3AC4">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2）承包商应采取有效预防措施，防止从本工程施工中开挖的土石材料，对河流、水道、灌溉或排水系统产生淤积或堵塞。</w:t>
      </w:r>
    </w:p>
    <w:p w14:paraId="051E78E9">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3）施工中的临时排水系统，应能最大限度地减少水土流失及对水文状态的改变。</w:t>
      </w:r>
    </w:p>
    <w:p w14:paraId="0DE9C627">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4）开挖或填筑的土质路基边坡应及时采取防护措施，防止雨季到来时水流对坡面的冲刷而影响排水系统的功能，减少对附近水域的污染。</w:t>
      </w:r>
    </w:p>
    <w:p w14:paraId="3BC8C541">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5）承包商不管出于任何需要，未经发包人的事先书面同意，不得干扰河道、水道或现有灌溉或排水系统的自然流动，以免导致冲刷与淤积的发生。</w:t>
      </w:r>
    </w:p>
    <w:p w14:paraId="770B39CB">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eastAsia="zh-CN"/>
        </w:rPr>
        <w:t>（3）</w:t>
      </w:r>
      <w:r>
        <w:rPr>
          <w:rFonts w:hint="eastAsia" w:ascii="宋体" w:hAnsi="宋体" w:cs="宋体"/>
          <w:color w:val="auto"/>
          <w:sz w:val="22"/>
          <w:szCs w:val="22"/>
          <w:highlight w:val="none"/>
          <w:u w:val="single"/>
        </w:rPr>
        <w:t>废料废方的处理</w:t>
      </w:r>
    </w:p>
    <w:p w14:paraId="2B60C06C">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1）清理场地的废料和土石方工程的废方处理，不得影响排灌系统及农田水利设施，不得向江河、湖泊、水库和专门堆放地以外的</w:t>
      </w:r>
      <w:r>
        <w:rPr>
          <w:rFonts w:hint="eastAsia" w:ascii="宋体" w:hAnsi="宋体" w:cs="宋体"/>
          <w:color w:val="auto"/>
          <w:sz w:val="22"/>
          <w:szCs w:val="22"/>
          <w:highlight w:val="none"/>
          <w:u w:val="single"/>
          <w:lang w:eastAsia="zh-CN"/>
        </w:rPr>
        <w:t>地方</w:t>
      </w:r>
      <w:r>
        <w:rPr>
          <w:rFonts w:hint="eastAsia" w:ascii="宋体" w:hAnsi="宋体" w:cs="宋体"/>
          <w:color w:val="auto"/>
          <w:sz w:val="22"/>
          <w:szCs w:val="22"/>
          <w:highlight w:val="none"/>
          <w:u w:val="single"/>
        </w:rPr>
        <w:t>倾倒。应按图纸规定或发包人的指示在适当地点设置弃土场，有条件时，力求少占土地，并对弃土进行整治利用。</w:t>
      </w:r>
    </w:p>
    <w:p w14:paraId="688F4D96">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2）当设置弃土堆时，应按相关规定执行。</w:t>
      </w:r>
    </w:p>
    <w:p w14:paraId="25F74D15">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桥梁施工过程中的泥浆及废弃物等，应在工程完工时即时清除干净，以免堵塞河道和妨碍交通，禁止直接排放到原有水系。</w:t>
      </w:r>
    </w:p>
    <w:p w14:paraId="362FF0CB">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4</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挖方工程及隧道工程的大型弃方场地，应采取以下水土保持措施：</w:t>
      </w:r>
    </w:p>
    <w:p w14:paraId="7A946506">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a.废方堆放点应统筹安排，堆放点应远离河道，尽量不要压盖植被，尽可能选择荒地；</w:t>
      </w:r>
    </w:p>
    <w:p w14:paraId="4F672E4D">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b.及时对弃方进行压实，并在其表面植被覆盖。可以种植草皮、灌木或树木，达到防止水土流失、美化环境的目的；</w:t>
      </w:r>
    </w:p>
    <w:p w14:paraId="7231CEF9">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c.尽可能对弃土方整平用作耕地；</w:t>
      </w:r>
    </w:p>
    <w:p w14:paraId="72AFE153">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d.隧道度渣点应选择植被稀疏的荒地，弃渣的下部和边角宜砌筑拦渣坝或墙，以防止水土流失。</w:t>
      </w:r>
    </w:p>
    <w:p w14:paraId="7B2A9AE6">
      <w:pPr>
        <w:pStyle w:val="6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三、防止和减轻水、大气受污染</w:t>
      </w:r>
    </w:p>
    <w:p w14:paraId="05BF4543">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eastAsia="zh-CN"/>
        </w:rPr>
        <w:t>（1）</w:t>
      </w:r>
      <w:r>
        <w:rPr>
          <w:rFonts w:hint="eastAsia" w:ascii="宋体" w:hAnsi="宋体" w:cs="宋体"/>
          <w:color w:val="auto"/>
          <w:sz w:val="22"/>
          <w:szCs w:val="22"/>
          <w:highlight w:val="none"/>
          <w:u w:val="single"/>
        </w:rPr>
        <w:t>保护水质</w:t>
      </w:r>
    </w:p>
    <w:p w14:paraId="1CCA7845">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1）施工废水、生活污水不得直接排入农田、耕地、灌溉渠和水库。严禁排入饮用水源。</w:t>
      </w:r>
    </w:p>
    <w:p w14:paraId="1BCF61D0">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2）工程施工区域、砂石料场，在施工期间和完工以后，应妥善处理以减少对河道、溪流的侵蚀，防止沉渣进入河道或溪流。</w:t>
      </w:r>
    </w:p>
    <w:p w14:paraId="63BBA3DA">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3）冲洗集料或含有沉积物的操作用水，应采取过滤、沉淀池处理或</w:t>
      </w:r>
      <w:r>
        <w:rPr>
          <w:rFonts w:hint="eastAsia" w:ascii="宋体" w:hAnsi="宋体" w:cs="宋体"/>
          <w:color w:val="auto"/>
          <w:sz w:val="22"/>
          <w:szCs w:val="22"/>
          <w:highlight w:val="none"/>
          <w:u w:val="single"/>
          <w:lang w:eastAsia="zh-CN"/>
        </w:rPr>
        <w:t>其他</w:t>
      </w:r>
      <w:r>
        <w:rPr>
          <w:rFonts w:hint="eastAsia" w:ascii="宋体" w:hAnsi="宋体" w:cs="宋体"/>
          <w:color w:val="auto"/>
          <w:sz w:val="22"/>
          <w:szCs w:val="22"/>
          <w:highlight w:val="none"/>
          <w:u w:val="single"/>
        </w:rPr>
        <w:t>措施，做到达标排放。</w:t>
      </w:r>
    </w:p>
    <w:p w14:paraId="672C579F">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4）施工期间，施工物料如水泥、油料、化学品等应堆放管理严格，防止在雨季或暴雨将物料随雨水径流排入地表及附近水域造成污染。</w:t>
      </w:r>
    </w:p>
    <w:p w14:paraId="05A61FE0">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5）施工机械应防止严重漏油，禁止机械在</w:t>
      </w:r>
      <w:r>
        <w:rPr>
          <w:rFonts w:hint="eastAsia" w:ascii="宋体" w:hAnsi="宋体" w:cs="宋体"/>
          <w:color w:val="auto"/>
          <w:sz w:val="22"/>
          <w:szCs w:val="22"/>
          <w:highlight w:val="none"/>
          <w:u w:val="single"/>
          <w:lang w:eastAsia="zh-CN"/>
        </w:rPr>
        <w:t>运转</w:t>
      </w:r>
      <w:r>
        <w:rPr>
          <w:rFonts w:hint="eastAsia" w:ascii="宋体" w:hAnsi="宋体" w:cs="宋体"/>
          <w:color w:val="auto"/>
          <w:sz w:val="22"/>
          <w:szCs w:val="22"/>
          <w:highlight w:val="none"/>
          <w:u w:val="single"/>
        </w:rPr>
        <w:t>中产生的油污水未经处理就直接排放，或维修施工机械时油污水直接排放。</w:t>
      </w:r>
    </w:p>
    <w:p w14:paraId="4397EDC7">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eastAsia="zh-CN"/>
        </w:rPr>
        <w:t>（2）</w:t>
      </w:r>
      <w:r>
        <w:rPr>
          <w:rFonts w:hint="eastAsia" w:ascii="宋体" w:hAnsi="宋体" w:cs="宋体"/>
          <w:color w:val="auto"/>
          <w:sz w:val="22"/>
          <w:szCs w:val="22"/>
          <w:highlight w:val="none"/>
          <w:u w:val="single"/>
        </w:rPr>
        <w:t>控制扬尘</w:t>
      </w:r>
    </w:p>
    <w:p w14:paraId="22E8097C">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1）为了减少施工作业产生的灰尘，在施工区域内应随时进行洒水或其他抑尘措施，使不出现明显的降尘。</w:t>
      </w:r>
    </w:p>
    <w:p w14:paraId="52A79B22">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2）易于引起粉尘的细料或松散料应予遮盖或适当洒水润湿。运输时应用帆布、盖套及类似遮盖物覆盖。</w:t>
      </w:r>
    </w:p>
    <w:p w14:paraId="5FA49547">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3）运转时有粉尘发生的施工场地，如水泥混凝土拌和机站</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场</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、大型轧石机场等投料器均应有防尘设备，在这些场所作业的工作人员，应配备必要的劳保防护用品。</w:t>
      </w:r>
    </w:p>
    <w:p w14:paraId="0BA79EF1">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4）如果承包商预防措施不力，并已对邻近的河流、湖泊、池塘、农田或卫生环境造成了危害，则由此而引起的一切损失及后果，应有承包商负责。</w:t>
      </w:r>
    </w:p>
    <w:p w14:paraId="61DA6529">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eastAsia="zh-CN"/>
        </w:rPr>
        <w:t>（3）</w:t>
      </w:r>
      <w:r>
        <w:rPr>
          <w:rFonts w:hint="eastAsia" w:ascii="宋体" w:hAnsi="宋体" w:cs="宋体"/>
          <w:color w:val="auto"/>
          <w:sz w:val="22"/>
          <w:szCs w:val="22"/>
          <w:highlight w:val="none"/>
          <w:u w:val="single"/>
        </w:rPr>
        <w:t>减少噪声、废气污染</w:t>
      </w:r>
    </w:p>
    <w:p w14:paraId="53980D8F">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1）各种临时设施和场地，如堆料场、加工厂、轧石厂等距居民区不宜小于300 mm，而且应设于居民区主要风向的下风处。</w:t>
      </w:r>
    </w:p>
    <w:p w14:paraId="2C43A3D8">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2）使用机械设备的工艺操作，要尽量减少噪声、废气等污染；建筑施工场地的噪声应符合《建筑施工场界噪声限值》</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GB 12523-1990</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的规定，并应遵守当地有关部门对夜间施工的规定。</w:t>
      </w:r>
    </w:p>
    <w:p w14:paraId="770E17A5">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3</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如果承包商预防措施不力，并已对邻近区域的环境卫生造成了危害，则由此而引起的一切损失及后果，应有承包商负责。</w:t>
      </w:r>
    </w:p>
    <w:p w14:paraId="04F2E2B6">
      <w:pPr>
        <w:pStyle w:val="6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四、保护绿色植被</w:t>
      </w:r>
    </w:p>
    <w:p w14:paraId="795D892A">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eastAsia="zh-CN"/>
        </w:rPr>
        <w:t>（1）</w:t>
      </w:r>
      <w:r>
        <w:rPr>
          <w:rFonts w:hint="eastAsia" w:ascii="宋体" w:hAnsi="宋体" w:cs="宋体"/>
          <w:color w:val="auto"/>
          <w:sz w:val="22"/>
          <w:szCs w:val="22"/>
          <w:highlight w:val="none"/>
          <w:u w:val="single"/>
        </w:rPr>
        <w:t>承包商应尽量保护公路用地范围之外的现有绿色植被。若因修建临时工程破坏了现有的绿色植被，应负责在拆除临时工程时予以恢复。</w:t>
      </w:r>
    </w:p>
    <w:p w14:paraId="3557BC16">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eastAsia="zh-CN"/>
        </w:rPr>
        <w:t>（2）</w:t>
      </w:r>
      <w:r>
        <w:rPr>
          <w:rFonts w:hint="eastAsia" w:ascii="宋体" w:hAnsi="宋体" w:cs="宋体"/>
          <w:color w:val="auto"/>
          <w:sz w:val="22"/>
          <w:szCs w:val="22"/>
          <w:highlight w:val="none"/>
          <w:u w:val="single"/>
        </w:rPr>
        <w:t>要保护道路两旁的古树、名木和法定保护的树种，即使处在用地范围内，有可能时也要尽量设法保护。</w:t>
      </w:r>
    </w:p>
    <w:p w14:paraId="5BBBE64A">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eastAsia="zh-CN"/>
        </w:rPr>
        <w:t>（3）</w:t>
      </w:r>
      <w:r>
        <w:rPr>
          <w:rFonts w:hint="eastAsia" w:ascii="宋体" w:hAnsi="宋体" w:cs="宋体"/>
          <w:color w:val="auto"/>
          <w:sz w:val="22"/>
          <w:szCs w:val="22"/>
          <w:highlight w:val="none"/>
          <w:u w:val="single"/>
        </w:rPr>
        <w:t>施工期间工程破坏植被的面积应严格控制，除了不可避免的工程占地、砍伐以外，不应再发生</w:t>
      </w:r>
      <w:r>
        <w:rPr>
          <w:rFonts w:hint="eastAsia" w:ascii="宋体" w:hAnsi="宋体" w:cs="宋体"/>
          <w:color w:val="auto"/>
          <w:sz w:val="22"/>
          <w:szCs w:val="22"/>
          <w:highlight w:val="none"/>
          <w:u w:val="single"/>
          <w:lang w:eastAsia="zh-CN"/>
        </w:rPr>
        <w:t>其他形式的</w:t>
      </w:r>
      <w:r>
        <w:rPr>
          <w:rFonts w:hint="eastAsia" w:ascii="宋体" w:hAnsi="宋体" w:cs="宋体"/>
          <w:color w:val="auto"/>
          <w:sz w:val="22"/>
          <w:szCs w:val="22"/>
          <w:highlight w:val="none"/>
          <w:u w:val="single"/>
        </w:rPr>
        <w:t>人为破坏。</w:t>
      </w:r>
    </w:p>
    <w:p w14:paraId="658C85D7">
      <w:pPr>
        <w:pStyle w:val="40"/>
        <w:spacing w:line="360" w:lineRule="exact"/>
        <w:ind w:firstLine="440" w:firstLineChars="200"/>
        <w:jc w:val="left"/>
        <w:rPr>
          <w:rFonts w:hint="eastAsia" w:ascii="宋体" w:hAnsi="宋体" w:cs="宋体"/>
          <w:color w:val="auto"/>
          <w:sz w:val="22"/>
          <w:highlight w:val="none"/>
          <w:u w:val="single"/>
        </w:rPr>
      </w:pPr>
    </w:p>
    <w:bookmarkEnd w:id="373"/>
    <w:bookmarkEnd w:id="374"/>
    <w:bookmarkEnd w:id="375"/>
    <w:bookmarkEnd w:id="376"/>
    <w:bookmarkEnd w:id="377"/>
    <w:bookmarkEnd w:id="378"/>
    <w:bookmarkEnd w:id="379"/>
    <w:p w14:paraId="222F98D8">
      <w:pPr>
        <w:pStyle w:val="73"/>
        <w:spacing w:before="0" w:after="0" w:line="360" w:lineRule="exact"/>
        <w:ind w:firstLine="442" w:firstLineChars="200"/>
        <w:rPr>
          <w:rFonts w:hint="eastAsia" w:ascii="宋体" w:hAnsi="宋体" w:cs="宋体"/>
          <w:color w:val="auto"/>
          <w:sz w:val="22"/>
          <w:szCs w:val="22"/>
          <w:highlight w:val="none"/>
        </w:rPr>
      </w:pPr>
      <w:bookmarkStart w:id="399" w:name="_Toc373478369"/>
      <w:bookmarkStart w:id="400" w:name="_Toc373227722"/>
      <w:bookmarkStart w:id="401" w:name="_Toc533432747"/>
      <w:bookmarkStart w:id="402" w:name="_Toc351203639"/>
      <w:bookmarkStart w:id="403" w:name="_Toc395382524"/>
      <w:bookmarkStart w:id="404" w:name="_Toc12975912"/>
      <w:bookmarkStart w:id="405" w:name="_Toc389065288"/>
      <w:r>
        <w:rPr>
          <w:rFonts w:hint="eastAsia" w:ascii="宋体" w:hAnsi="宋体" w:cs="宋体"/>
          <w:color w:val="auto"/>
          <w:sz w:val="22"/>
          <w:szCs w:val="22"/>
          <w:highlight w:val="none"/>
        </w:rPr>
        <w:t>7. 工期和进度</w:t>
      </w:r>
      <w:bookmarkEnd w:id="399"/>
      <w:bookmarkEnd w:id="400"/>
      <w:bookmarkEnd w:id="401"/>
      <w:bookmarkEnd w:id="402"/>
      <w:bookmarkEnd w:id="403"/>
      <w:bookmarkEnd w:id="404"/>
      <w:bookmarkEnd w:id="405"/>
    </w:p>
    <w:p w14:paraId="7920D42C">
      <w:pPr>
        <w:pStyle w:val="39"/>
        <w:spacing w:line="360" w:lineRule="exact"/>
        <w:ind w:firstLine="442" w:firstLineChars="200"/>
        <w:rPr>
          <w:rFonts w:hint="eastAsia" w:ascii="宋体" w:hAnsi="宋体" w:cs="宋体"/>
          <w:color w:val="auto"/>
          <w:sz w:val="22"/>
          <w:szCs w:val="22"/>
          <w:highlight w:val="none"/>
        </w:rPr>
      </w:pPr>
      <w:bookmarkStart w:id="406" w:name="_Toc373227723"/>
      <w:bookmarkStart w:id="407" w:name="_Toc395382525"/>
      <w:bookmarkStart w:id="408" w:name="_Toc12975913"/>
      <w:bookmarkStart w:id="409" w:name="_Toc533432748"/>
      <w:bookmarkStart w:id="410" w:name="_Toc373478370"/>
      <w:bookmarkStart w:id="411" w:name="_Toc389065289"/>
      <w:r>
        <w:rPr>
          <w:rFonts w:hint="eastAsia" w:ascii="宋体" w:hAnsi="宋体" w:cs="宋体"/>
          <w:color w:val="auto"/>
          <w:sz w:val="22"/>
          <w:szCs w:val="22"/>
          <w:highlight w:val="none"/>
        </w:rPr>
        <w:t>7.1 施工组织设计</w:t>
      </w:r>
      <w:bookmarkEnd w:id="406"/>
      <w:bookmarkEnd w:id="407"/>
      <w:bookmarkEnd w:id="408"/>
      <w:bookmarkEnd w:id="409"/>
      <w:bookmarkEnd w:id="410"/>
      <w:bookmarkEnd w:id="411"/>
    </w:p>
    <w:p w14:paraId="58992F08">
      <w:pPr>
        <w:pStyle w:val="6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7.1.1 合</w:t>
      </w:r>
      <w:r>
        <w:rPr>
          <w:rFonts w:hint="eastAsia" w:ascii="宋体" w:hAnsi="宋体" w:cs="宋体"/>
          <w:color w:val="auto"/>
          <w:kern w:val="0"/>
          <w:sz w:val="22"/>
          <w:szCs w:val="22"/>
          <w:highlight w:val="none"/>
        </w:rPr>
        <w:t>同当事人约定的施工组织设计应包括的其他内容：</w:t>
      </w:r>
      <w:r>
        <w:rPr>
          <w:rFonts w:hint="eastAsia" w:ascii="宋体" w:hAnsi="宋体" w:cs="宋体"/>
          <w:color w:val="auto"/>
          <w:sz w:val="22"/>
          <w:szCs w:val="22"/>
          <w:highlight w:val="none"/>
          <w:u w:val="single"/>
        </w:rPr>
        <w:t xml:space="preserve">  按磋商文件约定，磋商文件无约定的按通用合同条款或双方另行约定 。</w:t>
      </w:r>
      <w:r>
        <w:rPr>
          <w:rFonts w:hint="eastAsia" w:ascii="宋体" w:hAnsi="宋体" w:cs="宋体"/>
          <w:b/>
          <w:bCs/>
          <w:color w:val="auto"/>
          <w:sz w:val="22"/>
          <w:szCs w:val="22"/>
          <w:highlight w:val="none"/>
          <w:u w:val="single"/>
        </w:rPr>
        <w:t>如实际施工时发现承包人提供的施工组织设计方案存在缺陷，发包人可要求其对方案进行完善、修改，承包人必须无条件执行，直到发包人、监理人批准通过，承包人不能以施工组织设计方案调整为由要求调整合同单价子目单价或总价子目合价，也不能以此为由提出任何变更或索赔。发包人、监理人认为有必要，承包人除完善施工组织设计以外，还需编制临时工程或永久性工程的专项方案。但发包人及监理人的任何同意并不减轻或免除承包人的任何责任</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4F7BD142">
      <w:pPr>
        <w:pStyle w:val="40"/>
        <w:autoSpaceDE w:val="0"/>
        <w:autoSpaceDN w:val="0"/>
        <w:adjustRightInd w:val="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sz w:val="22"/>
          <w:highlight w:val="none"/>
        </w:rPr>
        <w:t xml:space="preserve">7.1.2 </w:t>
      </w:r>
      <w:r>
        <w:rPr>
          <w:rFonts w:hint="eastAsia" w:ascii="宋体" w:hAnsi="宋体" w:cs="宋体"/>
          <w:color w:val="auto"/>
          <w:kern w:val="0"/>
          <w:sz w:val="22"/>
          <w:highlight w:val="none"/>
        </w:rPr>
        <w:t>施工组织设计的提交和修改</w:t>
      </w:r>
    </w:p>
    <w:p w14:paraId="37D251F4">
      <w:pPr>
        <w:pStyle w:val="40"/>
        <w:autoSpaceDE w:val="0"/>
        <w:autoSpaceDN w:val="0"/>
        <w:adjustRightInd w:val="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承包人提交详细施工组织设计的期限的约定：</w:t>
      </w:r>
      <w:r>
        <w:rPr>
          <w:rFonts w:hint="eastAsia" w:ascii="宋体" w:hAnsi="宋体" w:cs="宋体"/>
          <w:color w:val="auto"/>
          <w:sz w:val="22"/>
          <w:highlight w:val="none"/>
          <w:u w:val="single"/>
        </w:rPr>
        <w:t>开工前7天</w:t>
      </w:r>
      <w:r>
        <w:rPr>
          <w:rFonts w:hint="eastAsia" w:ascii="宋体" w:hAnsi="宋体" w:cs="宋体"/>
          <w:color w:val="auto"/>
          <w:sz w:val="22"/>
          <w:highlight w:val="none"/>
        </w:rPr>
        <w:t>。</w:t>
      </w:r>
    </w:p>
    <w:p w14:paraId="4DAFEC4D">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发包人和监理人在收到详细的施工组织设计后确认或提出修改意见的期限：</w:t>
      </w:r>
      <w:r>
        <w:rPr>
          <w:rFonts w:hint="eastAsia" w:ascii="宋体" w:hAnsi="宋体" w:cs="宋体"/>
          <w:color w:val="auto"/>
          <w:sz w:val="22"/>
          <w:highlight w:val="none"/>
          <w:u w:val="single"/>
        </w:rPr>
        <w:t>收到后5天内</w:t>
      </w:r>
      <w:r>
        <w:rPr>
          <w:rFonts w:hint="eastAsia" w:ascii="宋体" w:hAnsi="宋体" w:cs="宋体"/>
          <w:color w:val="auto"/>
          <w:sz w:val="22"/>
          <w:highlight w:val="none"/>
        </w:rPr>
        <w:t>。</w:t>
      </w:r>
    </w:p>
    <w:p w14:paraId="39500920">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承包人应在合同生效后14天内（但至迟不得晚于开工日期前7天），承包人应编制详细的施工进度计划、施工组织设计和施工方案说明以及详细的分阶段或分项进度计划报送监理人和发包人审查批准，该施工进度计划须涵盖整个工程施工各阶段的详细施工计划安排（包括主要材料采购及人员进场计划）。该详细施工进度计划应采用P3E/C或Project2000以上版本软件编制。监理人和发包人的批准或回复意见，不解除承包人的任何责任。其中，施工组织设计不应对磋商文件的施工组织设计做实质性改变，只能是对其进一步细化。同时，在施工过程中，承包人应按发包人的要求提交发包人认为有必要进一步细化的方案和操作规程的文件。施工组织设计应当说明相应的施工方案、流程、人员组织、技术、设备力量、技术措施、质量保证措施、进度控制措施、安全生产的技术组织措施，经发包人审核批准后执行。施工组织设计中应有明确的施工组织机构图，应建立以其项目经理为核心的进度控制体系，并明确落实包括项目经理、技术负责人、各专业工程师、质检员、安全员在内的各具体负责人员。组织机构中必须设置进度控制部门并配置具有相应资历的人员；并且项目经理、质检员、安全员必须是专职人员，不得兼职。</w:t>
      </w:r>
    </w:p>
    <w:p w14:paraId="25789E38">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（2）承包人提供的劳力和施工机械应不低于磋商文件或经批准的施工组织设计中承诺的标准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以实现工程进度的需要。承包人应按发包人代表要求的格式和时间填写劳力和施工机械报表并呈送，该报表详细说明承包人及其分包人在各个时期雇用在现场的各类劳力数量、管理</w:t>
      </w:r>
      <w:r>
        <w:rPr>
          <w:rFonts w:hint="eastAsia" w:ascii="宋体" w:hAnsi="宋体" w:cs="宋体"/>
          <w:color w:val="auto"/>
          <w:sz w:val="22"/>
          <w:szCs w:val="22"/>
          <w:highlight w:val="none"/>
          <w:lang w:val="en-US" w:eastAsia="zh-CN"/>
        </w:rPr>
        <w:t>人员</w:t>
      </w:r>
      <w:r>
        <w:rPr>
          <w:rFonts w:hint="eastAsia" w:ascii="宋体" w:hAnsi="宋体" w:cs="宋体"/>
          <w:color w:val="auto"/>
          <w:sz w:val="22"/>
          <w:szCs w:val="22"/>
          <w:highlight w:val="none"/>
        </w:rPr>
        <w:t>姓名、以及施工机械，包括但不限于名称及识别号码，这些号码应在施工机械的明显位置上，并指示出它是自备的还是租用的。对于承包人投入本工程的施工机械，在发包人要求时，承包人应向发包人提供该施工机械的所有权或使用权归属于承包人的证明。对于承包人投入本工程的</w:t>
      </w:r>
      <w:r>
        <w:rPr>
          <w:rFonts w:hint="eastAsia" w:ascii="宋体" w:hAnsi="宋体" w:cs="宋体"/>
          <w:color w:val="auto"/>
          <w:sz w:val="22"/>
          <w:szCs w:val="22"/>
          <w:highlight w:val="none"/>
          <w:lang w:val="en-US" w:eastAsia="zh-CN"/>
        </w:rPr>
        <w:t>劳动力</w:t>
      </w:r>
      <w:r>
        <w:rPr>
          <w:rFonts w:hint="eastAsia" w:ascii="宋体" w:hAnsi="宋体" w:cs="宋体"/>
          <w:color w:val="auto"/>
          <w:sz w:val="22"/>
          <w:szCs w:val="22"/>
          <w:highlight w:val="none"/>
        </w:rPr>
        <w:t>，在发包人要求时，承包人应向发包人提供雇佣证明，其中：承包人自有雇员：应提供劳动合同（或聘用合同）或该人员在承包人单位半年以上社保缴费证明；劳务分包人的雇员：应提供劳务分包合同；劳务分包人的雇员的人身意外伤害保险投保证明。承包人未按要求提供前述机械和人员的真实有效的证明文件的，视为承包人未足额投入劳力和施工机械，发包人有权参照本合同中承包人未能按约定足额投入劳力和施工机械的条款处理。</w:t>
      </w:r>
    </w:p>
    <w:p w14:paraId="4CE572BD">
      <w:pPr>
        <w:pStyle w:val="39"/>
        <w:spacing w:line="360" w:lineRule="exact"/>
        <w:ind w:firstLine="442" w:firstLineChars="200"/>
        <w:rPr>
          <w:rFonts w:hint="eastAsia" w:ascii="宋体" w:hAnsi="宋体" w:cs="宋体"/>
          <w:color w:val="auto"/>
          <w:sz w:val="22"/>
          <w:szCs w:val="22"/>
          <w:highlight w:val="none"/>
        </w:rPr>
      </w:pPr>
      <w:bookmarkStart w:id="412" w:name="_Toc373478371"/>
      <w:bookmarkStart w:id="413" w:name="_Toc395382526"/>
      <w:bookmarkStart w:id="414" w:name="_Toc389065290"/>
      <w:bookmarkStart w:id="415" w:name="_Toc12975914"/>
      <w:bookmarkStart w:id="416" w:name="_Toc533432749"/>
      <w:bookmarkStart w:id="417" w:name="_Toc373227724"/>
      <w:r>
        <w:rPr>
          <w:rFonts w:hint="eastAsia" w:ascii="宋体" w:hAnsi="宋体" w:cs="宋体"/>
          <w:color w:val="auto"/>
          <w:sz w:val="22"/>
          <w:szCs w:val="22"/>
          <w:highlight w:val="none"/>
        </w:rPr>
        <w:t>7</w:t>
      </w:r>
      <w:bookmarkStart w:id="418" w:name="_Toc312677479"/>
      <w:bookmarkStart w:id="419" w:name="_Toc297123514"/>
      <w:bookmarkStart w:id="420" w:name="_Toc300934966"/>
      <w:bookmarkStart w:id="421" w:name="_Toc303539123"/>
      <w:bookmarkStart w:id="422" w:name="_Toc297216173"/>
      <w:bookmarkStart w:id="423" w:name="_Toc304295541"/>
      <w:bookmarkStart w:id="424" w:name="_Toc312678005"/>
      <w:r>
        <w:rPr>
          <w:rFonts w:hint="eastAsia" w:ascii="宋体" w:hAnsi="宋体" w:cs="宋体"/>
          <w:color w:val="auto"/>
          <w:sz w:val="22"/>
          <w:szCs w:val="22"/>
          <w:highlight w:val="none"/>
        </w:rPr>
        <w:t>.2 施工进度计划</w:t>
      </w:r>
      <w:bookmarkEnd w:id="412"/>
      <w:bookmarkEnd w:id="413"/>
      <w:bookmarkEnd w:id="414"/>
      <w:bookmarkEnd w:id="415"/>
      <w:bookmarkEnd w:id="416"/>
      <w:bookmarkEnd w:id="417"/>
    </w:p>
    <w:p w14:paraId="7EB0DEDB">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7.2.2 施工进度计划的修订</w:t>
      </w:r>
    </w:p>
    <w:p w14:paraId="08D72442">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发包人和监理人在收到修订的施工进度计划后确认或提出修改意见的期限：</w:t>
      </w:r>
      <w:r>
        <w:rPr>
          <w:rFonts w:hint="eastAsia" w:ascii="宋体" w:hAnsi="宋体" w:cs="宋体"/>
          <w:color w:val="auto"/>
          <w:sz w:val="22"/>
          <w:highlight w:val="none"/>
          <w:u w:val="single"/>
        </w:rPr>
        <w:t>收到后5天内</w:t>
      </w:r>
      <w:r>
        <w:rPr>
          <w:rFonts w:hint="eastAsia" w:ascii="宋体" w:hAnsi="宋体" w:cs="宋体"/>
          <w:color w:val="auto"/>
          <w:sz w:val="22"/>
          <w:highlight w:val="none"/>
        </w:rPr>
        <w:t>。</w:t>
      </w:r>
    </w:p>
    <w:p w14:paraId="5A3483F2">
      <w:pPr>
        <w:pStyle w:val="39"/>
        <w:spacing w:line="360" w:lineRule="exact"/>
        <w:ind w:firstLine="442" w:firstLineChars="200"/>
        <w:rPr>
          <w:rFonts w:hint="eastAsia" w:ascii="宋体" w:hAnsi="宋体" w:cs="宋体"/>
          <w:color w:val="auto"/>
          <w:sz w:val="22"/>
          <w:szCs w:val="22"/>
          <w:highlight w:val="none"/>
        </w:rPr>
      </w:pPr>
      <w:bookmarkStart w:id="425" w:name="_Toc389065291"/>
      <w:bookmarkStart w:id="426" w:name="_Toc395382527"/>
      <w:bookmarkStart w:id="427" w:name="_Toc12975915"/>
      <w:bookmarkStart w:id="428" w:name="_Toc373478372"/>
      <w:bookmarkStart w:id="429" w:name="_Toc533432750"/>
      <w:bookmarkStart w:id="430" w:name="_Toc373227725"/>
      <w:r>
        <w:rPr>
          <w:rFonts w:hint="eastAsia" w:ascii="宋体" w:hAnsi="宋体" w:cs="宋体"/>
          <w:color w:val="auto"/>
          <w:sz w:val="22"/>
          <w:szCs w:val="22"/>
          <w:highlight w:val="none"/>
        </w:rPr>
        <w:t>7.3 开工</w:t>
      </w:r>
      <w:bookmarkEnd w:id="425"/>
      <w:bookmarkEnd w:id="426"/>
      <w:bookmarkEnd w:id="427"/>
      <w:bookmarkEnd w:id="428"/>
      <w:bookmarkEnd w:id="429"/>
      <w:bookmarkEnd w:id="430"/>
    </w:p>
    <w:p w14:paraId="1C3938B6">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7.3.1 开工准备</w:t>
      </w:r>
    </w:p>
    <w:p w14:paraId="1E6AB0CA">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关于承包人提交</w:t>
      </w:r>
      <w:r>
        <w:rPr>
          <w:rFonts w:hint="eastAsia" w:ascii="宋体" w:hAnsi="宋体" w:cs="宋体"/>
          <w:color w:val="auto"/>
          <w:kern w:val="0"/>
          <w:sz w:val="22"/>
          <w:highlight w:val="none"/>
        </w:rPr>
        <w:t>工程开工报审表的期限：</w:t>
      </w:r>
      <w:r>
        <w:rPr>
          <w:rFonts w:hint="eastAsia" w:ascii="宋体" w:hAnsi="宋体" w:cs="宋体"/>
          <w:color w:val="auto"/>
          <w:sz w:val="22"/>
          <w:highlight w:val="none"/>
          <w:u w:val="single"/>
        </w:rPr>
        <w:t>开工前7天</w:t>
      </w:r>
      <w:r>
        <w:rPr>
          <w:rFonts w:hint="eastAsia" w:ascii="宋体" w:hAnsi="宋体" w:cs="宋体"/>
          <w:color w:val="auto"/>
          <w:sz w:val="22"/>
          <w:highlight w:val="none"/>
        </w:rPr>
        <w:t>。</w:t>
      </w:r>
    </w:p>
    <w:p w14:paraId="6FEEADC9">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关于发包人应完成的其他开工准备工作及期限：</w:t>
      </w:r>
      <w:r>
        <w:rPr>
          <w:rFonts w:hint="eastAsia" w:ascii="宋体" w:hAnsi="宋体" w:cs="宋体"/>
          <w:color w:val="auto"/>
          <w:sz w:val="22"/>
          <w:highlight w:val="none"/>
          <w:u w:val="single"/>
        </w:rPr>
        <w:t>开工前7天</w:t>
      </w:r>
      <w:r>
        <w:rPr>
          <w:rFonts w:hint="eastAsia" w:ascii="宋体" w:hAnsi="宋体" w:cs="宋体"/>
          <w:color w:val="auto"/>
          <w:sz w:val="22"/>
          <w:highlight w:val="none"/>
        </w:rPr>
        <w:t>。</w:t>
      </w:r>
    </w:p>
    <w:p w14:paraId="1258D283">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关于承包人应完成的其他开工准备工作及期限：</w:t>
      </w:r>
      <w:r>
        <w:rPr>
          <w:rFonts w:hint="eastAsia" w:ascii="宋体" w:hAnsi="宋体" w:cs="宋体"/>
          <w:color w:val="auto"/>
          <w:sz w:val="22"/>
          <w:highlight w:val="none"/>
          <w:u w:val="single"/>
        </w:rPr>
        <w:t>开工前3天</w:t>
      </w:r>
      <w:r>
        <w:rPr>
          <w:rFonts w:hint="eastAsia" w:ascii="宋体" w:hAnsi="宋体" w:cs="宋体"/>
          <w:color w:val="auto"/>
          <w:sz w:val="22"/>
          <w:highlight w:val="none"/>
        </w:rPr>
        <w:t>。</w:t>
      </w:r>
    </w:p>
    <w:p w14:paraId="7DEA6F1C">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7.3.2 开工通知</w:t>
      </w:r>
    </w:p>
    <w:p w14:paraId="376216FC">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因发包人原因造成监理人未能在计划开工日期之日起</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6</w:t>
      </w:r>
      <w:r>
        <w:rPr>
          <w:rFonts w:hint="eastAsia" w:ascii="宋体" w:hAnsi="宋体" w:cs="宋体"/>
          <w:color w:val="auto"/>
          <w:sz w:val="22"/>
          <w:highlight w:val="none"/>
          <w:u w:val="single"/>
        </w:rPr>
        <w:t xml:space="preserve">0 </w:t>
      </w:r>
      <w:r>
        <w:rPr>
          <w:rFonts w:hint="eastAsia" w:ascii="宋体" w:hAnsi="宋体" w:cs="宋体"/>
          <w:color w:val="auto"/>
          <w:sz w:val="22"/>
          <w:highlight w:val="none"/>
        </w:rPr>
        <w:t>天内发出开工通知的，承包人有权提出价格调整要求，或者解除合同。</w:t>
      </w:r>
    </w:p>
    <w:bookmarkEnd w:id="418"/>
    <w:bookmarkEnd w:id="419"/>
    <w:bookmarkEnd w:id="420"/>
    <w:bookmarkEnd w:id="421"/>
    <w:bookmarkEnd w:id="422"/>
    <w:bookmarkEnd w:id="423"/>
    <w:bookmarkEnd w:id="424"/>
    <w:p w14:paraId="7FA3C14E">
      <w:pPr>
        <w:pStyle w:val="39"/>
        <w:spacing w:line="360" w:lineRule="exact"/>
        <w:ind w:firstLine="442" w:firstLineChars="200"/>
        <w:rPr>
          <w:rFonts w:hint="eastAsia" w:ascii="宋体" w:hAnsi="宋体" w:cs="宋体"/>
          <w:color w:val="auto"/>
          <w:sz w:val="22"/>
          <w:szCs w:val="22"/>
          <w:highlight w:val="none"/>
        </w:rPr>
      </w:pPr>
      <w:bookmarkStart w:id="431" w:name="_Toc395382528"/>
      <w:bookmarkStart w:id="432" w:name="_Toc389065292"/>
      <w:bookmarkStart w:id="433" w:name="_Toc12975916"/>
      <w:bookmarkStart w:id="434" w:name="_Toc373227726"/>
      <w:bookmarkStart w:id="435" w:name="_Toc373478373"/>
      <w:bookmarkStart w:id="436" w:name="_Toc533432751"/>
      <w:r>
        <w:rPr>
          <w:rFonts w:hint="eastAsia" w:ascii="宋体" w:hAnsi="宋体" w:cs="宋体"/>
          <w:color w:val="auto"/>
          <w:sz w:val="22"/>
          <w:szCs w:val="22"/>
          <w:highlight w:val="none"/>
        </w:rPr>
        <w:t>7.4 测量放线</w:t>
      </w:r>
      <w:bookmarkEnd w:id="431"/>
      <w:bookmarkEnd w:id="432"/>
      <w:bookmarkEnd w:id="433"/>
      <w:bookmarkEnd w:id="434"/>
      <w:bookmarkEnd w:id="435"/>
      <w:bookmarkEnd w:id="436"/>
    </w:p>
    <w:p w14:paraId="6ECC3CED">
      <w:pPr>
        <w:pStyle w:val="4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highlight w:val="none"/>
        </w:rPr>
        <w:t>7.4.1发包人通过监理人向承包人提供测量基准点、基准线和水准点及其书面资料的期限：</w:t>
      </w:r>
      <w:r>
        <w:rPr>
          <w:rFonts w:hint="eastAsia" w:ascii="宋体" w:hAnsi="宋体" w:cs="宋体"/>
          <w:color w:val="auto"/>
          <w:sz w:val="22"/>
          <w:szCs w:val="22"/>
          <w:highlight w:val="none"/>
          <w:u w:val="single"/>
        </w:rPr>
        <w:t>计划开工日期之日起7天内提供测量基准点和水准点，测量基准点和水准点距离本项目最近红线距离小于2km。如承包人需发包人增加测量基准点和水准点时，每增加一个点需向发包人支付1万元</w:t>
      </w:r>
      <w:r>
        <w:rPr>
          <w:rFonts w:hint="eastAsia" w:ascii="宋体" w:hAnsi="宋体" w:cs="宋体"/>
          <w:color w:val="auto"/>
          <w:sz w:val="22"/>
          <w:szCs w:val="22"/>
          <w:highlight w:val="none"/>
        </w:rPr>
        <w:t>。</w:t>
      </w:r>
    </w:p>
    <w:p w14:paraId="3AFB65D7">
      <w:pPr>
        <w:pStyle w:val="39"/>
        <w:spacing w:line="360" w:lineRule="exact"/>
        <w:ind w:firstLine="442" w:firstLineChars="200"/>
        <w:rPr>
          <w:rFonts w:hint="eastAsia" w:ascii="宋体" w:hAnsi="宋体" w:cs="宋体"/>
          <w:color w:val="auto"/>
          <w:sz w:val="22"/>
          <w:szCs w:val="22"/>
          <w:highlight w:val="none"/>
        </w:rPr>
      </w:pPr>
      <w:bookmarkStart w:id="437" w:name="_Toc373478374"/>
      <w:bookmarkStart w:id="438" w:name="_Toc533432752"/>
      <w:bookmarkStart w:id="439" w:name="_Toc389065293"/>
      <w:bookmarkStart w:id="440" w:name="_Toc373227727"/>
      <w:bookmarkStart w:id="441" w:name="_Toc12975917"/>
      <w:bookmarkStart w:id="442" w:name="_Toc395382529"/>
      <w:r>
        <w:rPr>
          <w:rFonts w:hint="eastAsia" w:ascii="宋体" w:hAnsi="宋体" w:cs="宋体"/>
          <w:color w:val="auto"/>
          <w:sz w:val="22"/>
          <w:szCs w:val="22"/>
          <w:highlight w:val="none"/>
        </w:rPr>
        <w:t>7</w:t>
      </w:r>
      <w:bookmarkStart w:id="443" w:name="_Toc312677484"/>
      <w:bookmarkStart w:id="444" w:name="_Toc312678010"/>
      <w:bookmarkStart w:id="445" w:name="_Toc297123516"/>
      <w:bookmarkStart w:id="446" w:name="_Toc303539125"/>
      <w:bookmarkStart w:id="447" w:name="_Toc297216175"/>
      <w:bookmarkStart w:id="448" w:name="_Toc300934968"/>
      <w:bookmarkStart w:id="449" w:name="_Toc304295546"/>
      <w:r>
        <w:rPr>
          <w:rFonts w:hint="eastAsia" w:ascii="宋体" w:hAnsi="宋体" w:cs="宋体"/>
          <w:color w:val="auto"/>
          <w:sz w:val="22"/>
          <w:szCs w:val="22"/>
          <w:highlight w:val="none"/>
        </w:rPr>
        <w:t>.5 工期延误</w:t>
      </w:r>
      <w:bookmarkEnd w:id="437"/>
      <w:bookmarkEnd w:id="438"/>
      <w:bookmarkEnd w:id="439"/>
      <w:bookmarkEnd w:id="440"/>
      <w:bookmarkEnd w:id="441"/>
      <w:bookmarkEnd w:id="442"/>
    </w:p>
    <w:bookmarkEnd w:id="443"/>
    <w:bookmarkEnd w:id="444"/>
    <w:bookmarkEnd w:id="445"/>
    <w:bookmarkEnd w:id="446"/>
    <w:bookmarkEnd w:id="447"/>
    <w:bookmarkEnd w:id="448"/>
    <w:bookmarkEnd w:id="449"/>
    <w:p w14:paraId="30BDB3BE">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7.5.1 因发包人原因导致工期延误</w:t>
      </w:r>
    </w:p>
    <w:p w14:paraId="11B52450">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（7）因发包人原因导致工期延误的其他情形：</w:t>
      </w:r>
      <w:r>
        <w:rPr>
          <w:rFonts w:hint="eastAsia" w:ascii="宋体" w:hAnsi="宋体" w:cs="宋体"/>
          <w:color w:val="auto"/>
          <w:sz w:val="22"/>
          <w:highlight w:val="none"/>
          <w:u w:val="single"/>
        </w:rPr>
        <w:t>①图纸变更影响关</w:t>
      </w:r>
      <w:r>
        <w:rPr>
          <w:rFonts w:hint="eastAsia" w:ascii="宋体" w:hAnsi="宋体" w:cs="宋体"/>
          <w:color w:val="auto"/>
          <w:sz w:val="22"/>
          <w:highlight w:val="none"/>
          <w:u w:val="single"/>
          <w:lang w:val="en-US" w:eastAsia="zh-CN"/>
        </w:rPr>
        <w:t>键</w:t>
      </w:r>
      <w:r>
        <w:rPr>
          <w:rFonts w:hint="eastAsia" w:ascii="宋体" w:hAnsi="宋体" w:cs="宋体"/>
          <w:color w:val="auto"/>
          <w:sz w:val="22"/>
          <w:highlight w:val="none"/>
          <w:u w:val="single"/>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color w:val="auto"/>
          <w:sz w:val="22"/>
          <w:highlight w:val="none"/>
        </w:rPr>
        <w:t>。</w:t>
      </w:r>
    </w:p>
    <w:p w14:paraId="066AF36B">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因发包人原因导致工期延误的，发包人不承担任何费用，不支付承包人合理的利润，工期相应顺延。</w:t>
      </w:r>
    </w:p>
    <w:p w14:paraId="525695DE">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7</w:t>
      </w:r>
      <w:bookmarkStart w:id="450" w:name="_Toc312677486"/>
      <w:bookmarkStart w:id="451" w:name="_Toc318581169"/>
      <w:bookmarkStart w:id="452" w:name="_Toc312678012"/>
      <w:bookmarkStart w:id="453" w:name="_Toc304295548"/>
      <w:bookmarkStart w:id="454" w:name="_Toc303539127"/>
      <w:bookmarkStart w:id="455" w:name="_Toc300934970"/>
      <w:bookmarkStart w:id="456" w:name="_Toc297123518"/>
      <w:bookmarkStart w:id="457" w:name="_Toc297216177"/>
      <w:r>
        <w:rPr>
          <w:rFonts w:hint="eastAsia" w:ascii="宋体" w:hAnsi="宋体" w:cs="宋体"/>
          <w:color w:val="auto"/>
          <w:sz w:val="22"/>
          <w:highlight w:val="none"/>
        </w:rPr>
        <w:t>.5.2 因承包人原因导致工期延误</w:t>
      </w:r>
    </w:p>
    <w:bookmarkEnd w:id="450"/>
    <w:bookmarkEnd w:id="451"/>
    <w:bookmarkEnd w:id="452"/>
    <w:p w14:paraId="1EE4AB9E">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双方约定经监理工程师确认，工期相应顺延的情况：</w:t>
      </w:r>
      <w:r>
        <w:rPr>
          <w:rFonts w:hint="eastAsia" w:ascii="宋体" w:hAnsi="宋体" w:cs="宋体"/>
          <w:color w:val="auto"/>
          <w:sz w:val="22"/>
          <w:highlight w:val="none"/>
          <w:u w:val="single"/>
        </w:rPr>
        <w:t xml:space="preserve"> 因发包人原因或不可抗力或不利物质条件造成的工期顺延，其他因承包人原因造成的工期不得相应顺延</w:t>
      </w:r>
      <w:r>
        <w:rPr>
          <w:rFonts w:hint="eastAsia" w:ascii="宋体" w:hAnsi="宋体" w:cs="宋体"/>
          <w:color w:val="auto"/>
          <w:sz w:val="22"/>
          <w:highlight w:val="none"/>
        </w:rPr>
        <w:t>。</w:t>
      </w:r>
    </w:p>
    <w:p w14:paraId="2BDDE4E6">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因</w:t>
      </w:r>
      <w:bookmarkStart w:id="458" w:name="_Toc318581170"/>
      <w:bookmarkStart w:id="459" w:name="_Toc312678013"/>
      <w:bookmarkStart w:id="460" w:name="_Toc312677487"/>
      <w:r>
        <w:rPr>
          <w:rFonts w:hint="eastAsia" w:ascii="宋体" w:hAnsi="宋体" w:cs="宋体"/>
          <w:color w:val="auto"/>
          <w:sz w:val="22"/>
          <w:highlight w:val="none"/>
        </w:rPr>
        <w:t>承包人原因造成工期延误，逾期竣工违约金的计算方法为：</w:t>
      </w:r>
      <w:r>
        <w:rPr>
          <w:rFonts w:hint="eastAsia" w:ascii="宋体" w:hAnsi="宋体" w:cs="宋体"/>
          <w:color w:val="auto"/>
          <w:sz w:val="22"/>
          <w:highlight w:val="none"/>
          <w:u w:val="single"/>
        </w:rPr>
        <w:t>非上述原因，承包人不能按合同约定的时间竣工，承包人应承担违约责任。应向发包人支付误期赔偿费（每天赔偿金额为合同价款扣除建安劳保费、发包人材料价款、暂估专业工程、暂列金额后的万分之四），误期时间从规定竣工日期起直到全部工程或相应部分工程竣工验收各方签章日期之间的天数（扣除发包人批准顺延的工期）。发包人可从应向承包人支付的任何金额中扣除此项赔</w:t>
      </w:r>
      <w:r>
        <w:rPr>
          <w:rFonts w:hint="eastAsia" w:ascii="宋体" w:hAnsi="宋体" w:cs="宋体"/>
          <w:color w:val="auto"/>
          <w:sz w:val="22"/>
          <w:highlight w:val="none"/>
          <w:u w:val="single"/>
          <w:lang w:val="en-US" w:eastAsia="zh-CN"/>
        </w:rPr>
        <w:t>偿</w:t>
      </w:r>
      <w:r>
        <w:rPr>
          <w:rFonts w:hint="eastAsia" w:ascii="宋体" w:hAnsi="宋体" w:cs="宋体"/>
          <w:color w:val="auto"/>
          <w:sz w:val="22"/>
          <w:highlight w:val="none"/>
          <w:u w:val="single"/>
        </w:rPr>
        <w:t>费或其他方式收回此款，此赔偿款的支付并不能解除承包人应完成工程的责任或合同规定的其他责任。</w:t>
      </w:r>
    </w:p>
    <w:bookmarkEnd w:id="453"/>
    <w:bookmarkEnd w:id="454"/>
    <w:bookmarkEnd w:id="455"/>
    <w:bookmarkEnd w:id="456"/>
    <w:bookmarkEnd w:id="457"/>
    <w:bookmarkEnd w:id="458"/>
    <w:bookmarkEnd w:id="459"/>
    <w:bookmarkEnd w:id="460"/>
    <w:p w14:paraId="111B5B08">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因</w:t>
      </w:r>
      <w:bookmarkStart w:id="461" w:name="OLE_LINK5"/>
      <w:r>
        <w:rPr>
          <w:rFonts w:hint="eastAsia" w:ascii="宋体" w:hAnsi="宋体" w:cs="宋体"/>
          <w:color w:val="auto"/>
          <w:sz w:val="22"/>
          <w:highlight w:val="none"/>
        </w:rPr>
        <w:t>承包人</w:t>
      </w:r>
      <w:bookmarkEnd w:id="461"/>
      <w:r>
        <w:rPr>
          <w:rFonts w:hint="eastAsia" w:ascii="宋体" w:hAnsi="宋体" w:cs="宋体"/>
          <w:color w:val="auto"/>
          <w:sz w:val="22"/>
          <w:highlight w:val="none"/>
        </w:rPr>
        <w:t>原因造成工期延误，逾</w:t>
      </w:r>
      <w:bookmarkStart w:id="462" w:name="_Toc318581171"/>
      <w:bookmarkStart w:id="463" w:name="_Toc312678014"/>
      <w:r>
        <w:rPr>
          <w:rFonts w:hint="eastAsia" w:ascii="宋体" w:hAnsi="宋体" w:cs="宋体"/>
          <w:color w:val="auto"/>
          <w:sz w:val="22"/>
          <w:highlight w:val="none"/>
        </w:rPr>
        <w:t>期竣工违约金的上限：</w:t>
      </w:r>
      <w:r>
        <w:rPr>
          <w:rFonts w:hint="eastAsia" w:ascii="宋体" w:hAnsi="宋体" w:cs="宋体"/>
          <w:color w:val="auto"/>
          <w:sz w:val="22"/>
          <w:highlight w:val="none"/>
          <w:u w:val="single"/>
        </w:rPr>
        <w:t xml:space="preserve">合同价扣除建安劳保费、发包人材料价款、暂估专业工程、暂列金额后的 </w:t>
      </w:r>
      <w:r>
        <w:rPr>
          <w:rFonts w:hint="eastAsia" w:ascii="宋体" w:hAnsi="宋体" w:cs="宋体"/>
          <w:color w:val="auto"/>
          <w:sz w:val="22"/>
          <w:highlight w:val="none"/>
          <w:u w:val="single"/>
          <w:lang w:val="en-US" w:eastAsia="zh-CN"/>
        </w:rPr>
        <w:t>10</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10495839">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施工过程中，因承包人的原因造成工程进度严重滞后并有可能导致延误工期的，经</w:t>
      </w:r>
      <w:r>
        <w:rPr>
          <w:rFonts w:hint="eastAsia" w:ascii="宋体" w:hAnsi="宋体" w:cs="宋体"/>
          <w:color w:val="auto"/>
          <w:sz w:val="22"/>
          <w:highlight w:val="none"/>
          <w:u w:val="single"/>
          <w:lang w:val="en-US" w:eastAsia="zh-CN"/>
        </w:rPr>
        <w:t>市人民政府</w:t>
      </w:r>
      <w:r>
        <w:rPr>
          <w:rFonts w:hint="eastAsia" w:ascii="宋体" w:hAnsi="宋体" w:cs="宋体"/>
          <w:color w:val="auto"/>
          <w:sz w:val="22"/>
          <w:highlight w:val="none"/>
          <w:u w:val="single"/>
        </w:rPr>
        <w:t>分管领导审定后，</w:t>
      </w:r>
      <w:r>
        <w:rPr>
          <w:rFonts w:hint="eastAsia" w:ascii="宋体" w:hAnsi="宋体" w:cs="宋体"/>
          <w:color w:val="auto"/>
          <w:sz w:val="22"/>
          <w:highlight w:val="none"/>
          <w:u w:val="single"/>
          <w:lang w:eastAsia="zh-CN"/>
        </w:rPr>
        <w:t>发包人</w:t>
      </w:r>
      <w:r>
        <w:rPr>
          <w:rFonts w:hint="eastAsia" w:ascii="宋体" w:hAnsi="宋体" w:cs="宋体"/>
          <w:color w:val="auto"/>
          <w:sz w:val="22"/>
          <w:highlight w:val="none"/>
          <w:u w:val="single"/>
        </w:rPr>
        <w:t>有权分割部分工程进行发包，单价按承包人原成交价格执行，如确需上调价格，经分管领导审定，款项从总包单位的工程款扣除；造成施工中断或延误累计超过21天的，经</w:t>
      </w:r>
      <w:r>
        <w:rPr>
          <w:rFonts w:hint="eastAsia" w:ascii="宋体" w:hAnsi="宋体" w:cs="宋体"/>
          <w:color w:val="auto"/>
          <w:sz w:val="22"/>
          <w:highlight w:val="none"/>
          <w:u w:val="single"/>
          <w:lang w:val="en-US" w:eastAsia="zh-CN"/>
        </w:rPr>
        <w:t>市人民政府</w:t>
      </w:r>
      <w:r>
        <w:rPr>
          <w:rFonts w:hint="eastAsia" w:ascii="宋体" w:hAnsi="宋体" w:cs="宋体"/>
          <w:color w:val="auto"/>
          <w:sz w:val="22"/>
          <w:highlight w:val="none"/>
          <w:u w:val="single"/>
        </w:rPr>
        <w:t>分管领导审定后，</w:t>
      </w:r>
      <w:r>
        <w:rPr>
          <w:rFonts w:hint="eastAsia" w:ascii="宋体" w:hAnsi="宋体" w:cs="宋体"/>
          <w:color w:val="auto"/>
          <w:sz w:val="22"/>
          <w:highlight w:val="none"/>
          <w:u w:val="single"/>
          <w:lang w:eastAsia="zh-CN"/>
        </w:rPr>
        <w:t>发包人</w:t>
      </w:r>
      <w:r>
        <w:rPr>
          <w:rFonts w:hint="eastAsia" w:ascii="宋体" w:hAnsi="宋体" w:cs="宋体"/>
          <w:color w:val="auto"/>
          <w:sz w:val="22"/>
          <w:highlight w:val="none"/>
          <w:u w:val="single"/>
        </w:rPr>
        <w:t>有权终止合同，将未完工工程另行发包，单价按承包人原成交价格执行，已完工程经双方验收确认后，待整个工程竣工后结算。</w:t>
      </w:r>
    </w:p>
    <w:bookmarkEnd w:id="462"/>
    <w:bookmarkEnd w:id="463"/>
    <w:p w14:paraId="2A3EB6CD">
      <w:pPr>
        <w:pStyle w:val="39"/>
        <w:spacing w:line="360" w:lineRule="exact"/>
        <w:ind w:firstLine="442" w:firstLineChars="200"/>
        <w:rPr>
          <w:rFonts w:hint="eastAsia" w:ascii="宋体" w:hAnsi="宋体" w:cs="宋体"/>
          <w:color w:val="auto"/>
          <w:sz w:val="22"/>
          <w:szCs w:val="22"/>
          <w:highlight w:val="none"/>
        </w:rPr>
      </w:pPr>
      <w:bookmarkStart w:id="464" w:name="_Toc373478375"/>
      <w:bookmarkStart w:id="465" w:name="_Toc12975918"/>
      <w:bookmarkStart w:id="466" w:name="_Toc373227728"/>
      <w:bookmarkStart w:id="467" w:name="_Toc389065294"/>
      <w:bookmarkStart w:id="468" w:name="_Toc533432753"/>
      <w:bookmarkStart w:id="469" w:name="_Toc395382530"/>
      <w:r>
        <w:rPr>
          <w:rFonts w:hint="eastAsia" w:ascii="宋体" w:hAnsi="宋体" w:cs="宋体"/>
          <w:color w:val="auto"/>
          <w:sz w:val="22"/>
          <w:szCs w:val="22"/>
          <w:highlight w:val="none"/>
        </w:rPr>
        <w:t>7</w:t>
      </w:r>
      <w:bookmarkStart w:id="470" w:name="_Toc304295549"/>
      <w:bookmarkStart w:id="471" w:name="_Toc312678015"/>
      <w:bookmarkStart w:id="472" w:name="_Toc300934971"/>
      <w:bookmarkStart w:id="473" w:name="_Toc297123519"/>
      <w:bookmarkStart w:id="474" w:name="_Toc297216178"/>
      <w:bookmarkStart w:id="475" w:name="_Toc303539128"/>
      <w:r>
        <w:rPr>
          <w:rFonts w:hint="eastAsia" w:ascii="宋体" w:hAnsi="宋体" w:cs="宋体"/>
          <w:color w:val="auto"/>
          <w:sz w:val="22"/>
          <w:szCs w:val="22"/>
          <w:highlight w:val="none"/>
        </w:rPr>
        <w:t>.6 不</w:t>
      </w:r>
      <w:bookmarkEnd w:id="470"/>
      <w:bookmarkEnd w:id="471"/>
      <w:bookmarkEnd w:id="472"/>
      <w:bookmarkEnd w:id="473"/>
      <w:bookmarkEnd w:id="474"/>
      <w:bookmarkEnd w:id="475"/>
      <w:r>
        <w:rPr>
          <w:rFonts w:hint="eastAsia" w:ascii="宋体" w:hAnsi="宋体" w:cs="宋体"/>
          <w:color w:val="auto"/>
          <w:sz w:val="22"/>
          <w:szCs w:val="22"/>
          <w:highlight w:val="none"/>
        </w:rPr>
        <w:t>利物质条件</w:t>
      </w:r>
      <w:bookmarkEnd w:id="464"/>
      <w:bookmarkEnd w:id="465"/>
      <w:bookmarkEnd w:id="466"/>
      <w:bookmarkEnd w:id="467"/>
      <w:bookmarkEnd w:id="468"/>
      <w:bookmarkEnd w:id="469"/>
    </w:p>
    <w:p w14:paraId="6D5EC8E0">
      <w:pPr>
        <w:pStyle w:val="40"/>
        <w:spacing w:line="360" w:lineRule="exact"/>
        <w:ind w:firstLine="440" w:firstLineChars="200"/>
        <w:jc w:val="left"/>
        <w:rPr>
          <w:rFonts w:hint="eastAsia" w:ascii="宋体" w:hAnsi="宋体" w:cs="宋体"/>
          <w:color w:val="auto"/>
          <w:sz w:val="22"/>
          <w:highlight w:val="none"/>
          <w:u w:val="single"/>
        </w:rPr>
      </w:pPr>
      <w:bookmarkStart w:id="476" w:name="_Toc312678016"/>
      <w:bookmarkStart w:id="477" w:name="_Toc300934972"/>
      <w:bookmarkStart w:id="478" w:name="_Toc297216179"/>
      <w:bookmarkStart w:id="479" w:name="_Toc318581172"/>
      <w:bookmarkStart w:id="480" w:name="_Toc297123520"/>
      <w:bookmarkStart w:id="481" w:name="_Toc304295550"/>
      <w:bookmarkStart w:id="482" w:name="_Toc303539129"/>
      <w:r>
        <w:rPr>
          <w:rFonts w:hint="eastAsia" w:ascii="宋体" w:hAnsi="宋体" w:cs="宋体"/>
          <w:color w:val="auto"/>
          <w:sz w:val="22"/>
          <w:highlight w:val="none"/>
        </w:rPr>
        <w:t>不利物质条件的其他情形和有关约定：</w:t>
      </w:r>
      <w:r>
        <w:rPr>
          <w:rFonts w:hint="eastAsia" w:ascii="宋体" w:hAnsi="宋体" w:cs="宋体"/>
          <w:color w:val="auto"/>
          <w:sz w:val="22"/>
          <w:highlight w:val="none"/>
          <w:u w:val="single"/>
        </w:rPr>
        <w:t xml:space="preserve"> 无</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bookmarkEnd w:id="476"/>
    <w:bookmarkEnd w:id="477"/>
    <w:bookmarkEnd w:id="478"/>
    <w:bookmarkEnd w:id="479"/>
    <w:bookmarkEnd w:id="480"/>
    <w:bookmarkEnd w:id="481"/>
    <w:bookmarkEnd w:id="482"/>
    <w:p w14:paraId="4B22E9E2">
      <w:pPr>
        <w:pStyle w:val="39"/>
        <w:spacing w:line="360" w:lineRule="exact"/>
        <w:ind w:firstLine="442" w:firstLineChars="200"/>
        <w:rPr>
          <w:rFonts w:hint="eastAsia" w:ascii="宋体" w:hAnsi="宋体" w:cs="宋体"/>
          <w:color w:val="auto"/>
          <w:sz w:val="22"/>
          <w:szCs w:val="22"/>
          <w:highlight w:val="none"/>
        </w:rPr>
      </w:pPr>
      <w:bookmarkStart w:id="483" w:name="_Toc373227729"/>
      <w:bookmarkStart w:id="484" w:name="_Toc395382531"/>
      <w:bookmarkStart w:id="485" w:name="_Toc533432754"/>
      <w:bookmarkStart w:id="486" w:name="_Toc12975919"/>
      <w:bookmarkStart w:id="487" w:name="_Toc373478376"/>
      <w:bookmarkStart w:id="488" w:name="_Toc389065295"/>
      <w:r>
        <w:rPr>
          <w:rFonts w:hint="eastAsia" w:ascii="宋体" w:hAnsi="宋体" w:cs="宋体"/>
          <w:color w:val="auto"/>
          <w:sz w:val="22"/>
          <w:szCs w:val="22"/>
          <w:highlight w:val="none"/>
        </w:rPr>
        <w:t>7</w:t>
      </w:r>
      <w:bookmarkStart w:id="489" w:name="_Toc297216180"/>
      <w:bookmarkStart w:id="490" w:name="_Toc312678017"/>
      <w:bookmarkStart w:id="491" w:name="_Toc297123521"/>
      <w:bookmarkStart w:id="492" w:name="_Toc303539130"/>
      <w:bookmarkStart w:id="493" w:name="_Toc304295551"/>
      <w:bookmarkStart w:id="494" w:name="_Toc300934973"/>
      <w:r>
        <w:rPr>
          <w:rFonts w:hint="eastAsia" w:ascii="宋体" w:hAnsi="宋体" w:cs="宋体"/>
          <w:color w:val="auto"/>
          <w:sz w:val="22"/>
          <w:szCs w:val="22"/>
          <w:highlight w:val="none"/>
        </w:rPr>
        <w:t>.7 异常恶劣的气候条件</w:t>
      </w:r>
      <w:bookmarkEnd w:id="483"/>
      <w:bookmarkEnd w:id="484"/>
      <w:bookmarkEnd w:id="485"/>
      <w:bookmarkEnd w:id="486"/>
      <w:bookmarkEnd w:id="487"/>
      <w:bookmarkEnd w:id="488"/>
    </w:p>
    <w:bookmarkEnd w:id="489"/>
    <w:bookmarkEnd w:id="490"/>
    <w:bookmarkEnd w:id="491"/>
    <w:bookmarkEnd w:id="492"/>
    <w:bookmarkEnd w:id="493"/>
    <w:bookmarkEnd w:id="494"/>
    <w:p w14:paraId="6A674BB3">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发包人和承包人同意以下情形视为异常恶劣的气候条件：</w:t>
      </w:r>
    </w:p>
    <w:p w14:paraId="33034D78">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u w:val="single"/>
        </w:rPr>
        <w:t>指本工程所在地30年以上一遇的罕见气候现象</w:t>
      </w:r>
      <w:r>
        <w:rPr>
          <w:rFonts w:hint="eastAsia" w:ascii="宋体" w:hAnsi="宋体" w:cs="宋体"/>
          <w:color w:val="auto"/>
          <w:sz w:val="22"/>
          <w:highlight w:val="none"/>
        </w:rPr>
        <w:t>；</w:t>
      </w:r>
    </w:p>
    <w:p w14:paraId="2A5F3248">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 </w:t>
      </w:r>
      <w:r>
        <w:rPr>
          <w:rFonts w:hint="eastAsia" w:ascii="宋体" w:hAnsi="宋体" w:cs="宋体"/>
          <w:color w:val="auto"/>
          <w:sz w:val="22"/>
          <w:highlight w:val="none"/>
          <w:u w:val="single"/>
          <w:lang w:eastAsia="zh-CN"/>
        </w:rPr>
        <w:t>;</w:t>
      </w:r>
    </w:p>
    <w:p w14:paraId="2116256A">
      <w:pPr>
        <w:pStyle w:val="39"/>
        <w:spacing w:line="360" w:lineRule="exact"/>
        <w:ind w:firstLine="442" w:firstLineChars="200"/>
        <w:rPr>
          <w:rFonts w:hint="eastAsia" w:ascii="宋体" w:hAnsi="宋体" w:cs="宋体"/>
          <w:color w:val="auto"/>
          <w:sz w:val="22"/>
          <w:szCs w:val="22"/>
          <w:highlight w:val="none"/>
        </w:rPr>
      </w:pPr>
      <w:bookmarkStart w:id="495" w:name="_Toc533432755"/>
      <w:bookmarkStart w:id="496" w:name="_Toc373227730"/>
      <w:bookmarkStart w:id="497" w:name="_Toc12975920"/>
      <w:bookmarkStart w:id="498" w:name="_Toc395382532"/>
      <w:bookmarkStart w:id="499" w:name="_Toc389065296"/>
      <w:bookmarkStart w:id="500" w:name="_Toc373478377"/>
      <w:r>
        <w:rPr>
          <w:rFonts w:hint="eastAsia" w:ascii="宋体" w:hAnsi="宋体" w:cs="宋体"/>
          <w:color w:val="auto"/>
          <w:sz w:val="22"/>
          <w:szCs w:val="22"/>
          <w:highlight w:val="none"/>
        </w:rPr>
        <w:t>7.8 提前竣工</w:t>
      </w:r>
      <w:bookmarkEnd w:id="495"/>
      <w:bookmarkEnd w:id="496"/>
      <w:bookmarkEnd w:id="497"/>
      <w:bookmarkEnd w:id="498"/>
      <w:bookmarkEnd w:id="499"/>
      <w:bookmarkEnd w:id="500"/>
    </w:p>
    <w:p w14:paraId="5FF0A2B6">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7.8.2提前竣工（赶工）增加费的计算方法：</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7B356A46">
      <w:pPr>
        <w:pStyle w:val="73"/>
        <w:spacing w:before="0" w:after="0" w:line="360" w:lineRule="exact"/>
        <w:rPr>
          <w:rFonts w:hint="eastAsia" w:ascii="宋体" w:hAnsi="宋体" w:cs="宋体"/>
          <w:color w:val="auto"/>
          <w:sz w:val="22"/>
          <w:szCs w:val="22"/>
          <w:highlight w:val="none"/>
        </w:rPr>
      </w:pPr>
      <w:bookmarkStart w:id="501" w:name="_Toc351203640"/>
      <w:bookmarkStart w:id="502" w:name="_Toc395382533"/>
      <w:bookmarkStart w:id="503" w:name="_Toc373227731"/>
      <w:bookmarkStart w:id="504" w:name="_Toc389065297"/>
      <w:bookmarkStart w:id="505" w:name="_Toc373478378"/>
      <w:bookmarkStart w:id="506" w:name="_Toc12975921"/>
      <w:bookmarkStart w:id="507" w:name="_Toc533432756"/>
    </w:p>
    <w:p w14:paraId="601D066D">
      <w:pPr>
        <w:pStyle w:val="73"/>
        <w:spacing w:before="0" w:after="0" w:line="360" w:lineRule="exact"/>
        <w:ind w:firstLine="442"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8. 材料与设备</w:t>
      </w:r>
      <w:bookmarkEnd w:id="501"/>
      <w:bookmarkEnd w:id="502"/>
      <w:bookmarkEnd w:id="503"/>
      <w:bookmarkEnd w:id="504"/>
      <w:bookmarkEnd w:id="505"/>
      <w:bookmarkEnd w:id="506"/>
      <w:bookmarkEnd w:id="507"/>
    </w:p>
    <w:bookmarkEnd w:id="357"/>
    <w:bookmarkEnd w:id="358"/>
    <w:bookmarkEnd w:id="359"/>
    <w:bookmarkEnd w:id="360"/>
    <w:bookmarkEnd w:id="361"/>
    <w:bookmarkEnd w:id="362"/>
    <w:bookmarkEnd w:id="363"/>
    <w:bookmarkEnd w:id="364"/>
    <w:bookmarkEnd w:id="365"/>
    <w:bookmarkEnd w:id="366"/>
    <w:p w14:paraId="73DABE86">
      <w:pPr>
        <w:pStyle w:val="39"/>
        <w:spacing w:line="360" w:lineRule="exact"/>
        <w:ind w:firstLine="442" w:firstLineChars="200"/>
        <w:rPr>
          <w:rFonts w:hint="eastAsia" w:ascii="宋体" w:hAnsi="宋体" w:cs="宋体"/>
          <w:color w:val="auto"/>
          <w:sz w:val="22"/>
          <w:szCs w:val="22"/>
          <w:highlight w:val="none"/>
        </w:rPr>
      </w:pPr>
      <w:bookmarkStart w:id="508" w:name="_Toc12975922"/>
      <w:bookmarkStart w:id="509" w:name="_Toc389065298"/>
      <w:bookmarkStart w:id="510" w:name="_Toc395382534"/>
      <w:bookmarkStart w:id="511" w:name="_Toc533432757"/>
      <w:bookmarkStart w:id="512" w:name="_Toc373478379"/>
      <w:bookmarkStart w:id="513" w:name="_Toc373227732"/>
      <w:r>
        <w:rPr>
          <w:rFonts w:hint="eastAsia" w:ascii="宋体" w:hAnsi="宋体" w:cs="宋体"/>
          <w:color w:val="auto"/>
          <w:sz w:val="22"/>
          <w:szCs w:val="22"/>
          <w:highlight w:val="none"/>
        </w:rPr>
        <w:t>8.2 承包人采购材料与工程设备</w:t>
      </w:r>
      <w:bookmarkEnd w:id="508"/>
      <w:bookmarkEnd w:id="509"/>
      <w:bookmarkEnd w:id="510"/>
      <w:bookmarkEnd w:id="511"/>
      <w:bookmarkEnd w:id="512"/>
      <w:bookmarkEnd w:id="513"/>
    </w:p>
    <w:p w14:paraId="7B8E896E">
      <w:pPr>
        <w:pStyle w:val="40"/>
        <w:autoSpaceDE w:val="0"/>
        <w:autoSpaceDN w:val="0"/>
        <w:adjustRightInd w:val="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 w:val="22"/>
          <w:highlight w:val="none"/>
        </w:rPr>
        <w:t>承包人提供主要材料和工程设备一览表》</w:t>
      </w:r>
      <w:r>
        <w:rPr>
          <w:rFonts w:hint="eastAsia" w:ascii="宋体" w:hAnsi="宋体" w:cs="宋体"/>
          <w:color w:val="auto"/>
          <w:kern w:val="0"/>
          <w:sz w:val="22"/>
          <w:highlight w:val="none"/>
        </w:rPr>
        <w:t>（表-22）见已标价工程量清单。</w:t>
      </w:r>
    </w:p>
    <w:p w14:paraId="2D77F083">
      <w:pPr>
        <w:pStyle w:val="40"/>
        <w:autoSpaceDE w:val="0"/>
        <w:autoSpaceDN w:val="0"/>
        <w:adjustRightInd w:val="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sz w:val="22"/>
          <w:highlight w:val="none"/>
        </w:rPr>
        <w:t>对发包人在磋商时有“参照或相当于**品牌、级别”约定的材料或设备，承包人采购时必须按类似于或优于所约定品牌、等级进行采购，施工期间该部分材料或设备如未超过磋商约定的风险幅度的，结算时按磋商单价支付，不得调整。</w:t>
      </w:r>
    </w:p>
    <w:p w14:paraId="56923943">
      <w:pPr>
        <w:pStyle w:val="39"/>
        <w:spacing w:line="360" w:lineRule="exact"/>
        <w:ind w:firstLine="442" w:firstLineChars="200"/>
        <w:rPr>
          <w:rFonts w:hint="eastAsia" w:ascii="宋体" w:hAnsi="宋体" w:cs="宋体"/>
          <w:color w:val="auto"/>
          <w:sz w:val="22"/>
          <w:szCs w:val="22"/>
          <w:highlight w:val="none"/>
        </w:rPr>
      </w:pPr>
      <w:bookmarkStart w:id="514" w:name="_Toc395382535"/>
      <w:bookmarkStart w:id="515" w:name="_Toc373227733"/>
      <w:bookmarkStart w:id="516" w:name="_Toc12975923"/>
      <w:bookmarkStart w:id="517" w:name="_Toc389065299"/>
      <w:bookmarkStart w:id="518" w:name="_Toc373478380"/>
      <w:bookmarkStart w:id="519" w:name="_Toc533432758"/>
      <w:r>
        <w:rPr>
          <w:rFonts w:hint="eastAsia" w:ascii="宋体" w:hAnsi="宋体" w:cs="宋体"/>
          <w:color w:val="auto"/>
          <w:sz w:val="22"/>
          <w:szCs w:val="22"/>
          <w:highlight w:val="none"/>
        </w:rPr>
        <w:t>8</w:t>
      </w:r>
      <w:bookmarkStart w:id="520" w:name="_Toc312677493"/>
      <w:bookmarkStart w:id="521" w:name="_Toc296347166"/>
      <w:bookmarkStart w:id="522" w:name="_Toc296503167"/>
      <w:bookmarkStart w:id="523" w:name="_Toc304295556"/>
      <w:bookmarkStart w:id="524" w:name="_Toc296891207"/>
      <w:bookmarkStart w:id="525" w:name="_Toc296890995"/>
      <w:bookmarkStart w:id="526" w:name="_Toc300934979"/>
      <w:bookmarkStart w:id="527" w:name="_Toc296346668"/>
      <w:bookmarkStart w:id="528" w:name="_Toc297120467"/>
      <w:bookmarkStart w:id="529" w:name="_Toc297216186"/>
      <w:bookmarkStart w:id="530" w:name="_Toc292559877"/>
      <w:bookmarkStart w:id="531" w:name="_Toc297048353"/>
      <w:bookmarkStart w:id="532" w:name="_Toc292559372"/>
      <w:bookmarkStart w:id="533" w:name="_Toc280868654"/>
      <w:bookmarkStart w:id="534" w:name="_Toc312678019"/>
      <w:bookmarkStart w:id="535" w:name="_Toc303539136"/>
      <w:bookmarkStart w:id="536" w:name="_Toc297123527"/>
      <w:bookmarkStart w:id="537" w:name="_Toc296944506"/>
      <w:bookmarkStart w:id="538" w:name="_Toc280868655"/>
      <w:bookmarkStart w:id="539" w:name="_Toc280868656"/>
      <w:bookmarkStart w:id="540" w:name="_Toc267251424"/>
      <w:r>
        <w:rPr>
          <w:rFonts w:hint="eastAsia" w:ascii="宋体" w:hAnsi="宋体" w:cs="宋体"/>
          <w:color w:val="auto"/>
          <w:sz w:val="22"/>
          <w:szCs w:val="22"/>
          <w:highlight w:val="none"/>
        </w:rPr>
        <w:t>.4 材料与工程设备的保管与使用</w:t>
      </w:r>
      <w:bookmarkEnd w:id="514"/>
      <w:bookmarkEnd w:id="515"/>
      <w:bookmarkEnd w:id="516"/>
      <w:bookmarkEnd w:id="517"/>
      <w:bookmarkEnd w:id="518"/>
      <w:bookmarkEnd w:id="519"/>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747C5D17">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8</w:t>
      </w:r>
      <w:bookmarkStart w:id="541" w:name="_Toc292559878"/>
      <w:bookmarkStart w:id="542" w:name="_Toc292559373"/>
      <w:bookmarkStart w:id="543" w:name="_Toc312677494"/>
      <w:bookmarkStart w:id="544" w:name="_Toc300934980"/>
      <w:bookmarkStart w:id="545" w:name="_Toc297123528"/>
      <w:bookmarkStart w:id="546" w:name="_Toc318581173"/>
      <w:bookmarkStart w:id="547" w:name="_Toc304295557"/>
      <w:bookmarkStart w:id="548" w:name="_Toc296347167"/>
      <w:bookmarkStart w:id="549" w:name="_Toc297216187"/>
      <w:bookmarkStart w:id="550" w:name="_Toc296890996"/>
      <w:bookmarkStart w:id="551" w:name="_Toc297120468"/>
      <w:bookmarkStart w:id="552" w:name="_Toc297048354"/>
      <w:bookmarkStart w:id="553" w:name="_Toc312678020"/>
      <w:bookmarkStart w:id="554" w:name="_Toc296891208"/>
      <w:bookmarkStart w:id="555" w:name="_Toc303539137"/>
      <w:bookmarkStart w:id="556" w:name="_Toc296944507"/>
      <w:bookmarkStart w:id="557" w:name="_Toc296503168"/>
      <w:bookmarkStart w:id="558" w:name="_Toc296346669"/>
      <w:r>
        <w:rPr>
          <w:rFonts w:hint="eastAsia" w:ascii="宋体" w:hAnsi="宋体" w:cs="宋体"/>
          <w:color w:val="auto"/>
          <w:sz w:val="22"/>
          <w:highlight w:val="none"/>
        </w:rPr>
        <w:t>.4.1发包人供应的材料设备的保管费用的承担：</w:t>
      </w:r>
      <w:r>
        <w:rPr>
          <w:rFonts w:hint="eastAsia" w:ascii="宋体" w:hAnsi="宋体" w:cs="宋体"/>
          <w:color w:val="auto"/>
          <w:sz w:val="22"/>
          <w:highlight w:val="none"/>
          <w:u w:val="single"/>
        </w:rPr>
        <w:t>由承包人承担</w:t>
      </w:r>
      <w:r>
        <w:rPr>
          <w:rFonts w:hint="eastAsia" w:ascii="宋体" w:hAnsi="宋体" w:cs="宋体"/>
          <w:color w:val="auto"/>
          <w:sz w:val="22"/>
          <w:highlight w:val="none"/>
        </w:rPr>
        <w:t>。</w:t>
      </w:r>
    </w:p>
    <w:bookmarkEnd w:id="541"/>
    <w:bookmarkEnd w:id="542"/>
    <w:p w14:paraId="17B96D27">
      <w:pPr>
        <w:pStyle w:val="39"/>
        <w:spacing w:line="360" w:lineRule="exact"/>
        <w:ind w:firstLine="442" w:firstLineChars="200"/>
        <w:rPr>
          <w:rFonts w:hint="eastAsia" w:ascii="宋体" w:hAnsi="宋体" w:cs="宋体"/>
          <w:color w:val="auto"/>
          <w:sz w:val="22"/>
          <w:szCs w:val="22"/>
          <w:highlight w:val="none"/>
        </w:rPr>
      </w:pPr>
      <w:bookmarkStart w:id="559" w:name="_Toc373227734"/>
      <w:bookmarkStart w:id="560" w:name="_Toc373478381"/>
      <w:bookmarkStart w:id="561" w:name="_Toc533432759"/>
      <w:bookmarkStart w:id="562" w:name="_Toc395382536"/>
      <w:bookmarkStart w:id="563" w:name="_Toc12975924"/>
      <w:bookmarkStart w:id="564" w:name="_Toc389065300"/>
      <w:r>
        <w:rPr>
          <w:rFonts w:hint="eastAsia" w:ascii="宋体" w:hAnsi="宋体" w:cs="宋体"/>
          <w:color w:val="auto"/>
          <w:sz w:val="22"/>
          <w:szCs w:val="22"/>
          <w:highlight w:val="none"/>
        </w:rPr>
        <w:t>8.6 样品</w:t>
      </w:r>
      <w:bookmarkEnd w:id="559"/>
      <w:bookmarkEnd w:id="560"/>
      <w:bookmarkEnd w:id="561"/>
      <w:bookmarkEnd w:id="562"/>
      <w:bookmarkEnd w:id="563"/>
      <w:bookmarkEnd w:id="564"/>
    </w:p>
    <w:p w14:paraId="05A98A20">
      <w:pPr>
        <w:pStyle w:val="40"/>
        <w:autoSpaceDE w:val="0"/>
        <w:autoSpaceDN w:val="0"/>
        <w:adjustRightInd w:val="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8.6.1 样品的报送与封存</w:t>
      </w:r>
    </w:p>
    <w:p w14:paraId="1B3FB421">
      <w:pPr>
        <w:pStyle w:val="40"/>
        <w:autoSpaceDE w:val="0"/>
        <w:autoSpaceDN w:val="0"/>
        <w:adjustRightInd w:val="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需要承包人报送样品的材料或工程设备，样品的种类、名称、规格、数量要求：</w:t>
      </w:r>
      <w:r>
        <w:rPr>
          <w:rFonts w:hint="eastAsia" w:ascii="宋体" w:hAnsi="宋体" w:cs="宋体"/>
          <w:color w:val="auto"/>
          <w:sz w:val="22"/>
          <w:highlight w:val="none"/>
          <w:u w:val="single"/>
        </w:rPr>
        <w:t>主要材料涉及品种、款式、颜色等方面内容的，承包人应提交准备合格的材料样品送发包人选定。</w:t>
      </w:r>
    </w:p>
    <w:p w14:paraId="525411BE">
      <w:pPr>
        <w:pStyle w:val="39"/>
        <w:spacing w:line="360" w:lineRule="exact"/>
        <w:ind w:firstLine="442" w:firstLineChars="200"/>
        <w:rPr>
          <w:rFonts w:hint="eastAsia" w:ascii="宋体" w:hAnsi="宋体" w:cs="宋体"/>
          <w:color w:val="auto"/>
          <w:sz w:val="22"/>
          <w:szCs w:val="22"/>
          <w:highlight w:val="none"/>
        </w:rPr>
      </w:pPr>
      <w:bookmarkStart w:id="565" w:name="_Toc12975925"/>
      <w:bookmarkStart w:id="566" w:name="_Toc389065301"/>
      <w:bookmarkStart w:id="567" w:name="_Toc395382537"/>
      <w:bookmarkStart w:id="568" w:name="_Toc373478382"/>
      <w:bookmarkStart w:id="569" w:name="_Toc533432760"/>
      <w:bookmarkStart w:id="570" w:name="_Toc373227735"/>
      <w:r>
        <w:rPr>
          <w:rFonts w:hint="eastAsia" w:ascii="宋体" w:hAnsi="宋体" w:cs="宋体"/>
          <w:color w:val="auto"/>
          <w:sz w:val="22"/>
          <w:szCs w:val="22"/>
          <w:highlight w:val="none"/>
        </w:rPr>
        <w:t>8.8 施工设备和临时设施</w:t>
      </w:r>
      <w:bookmarkEnd w:id="565"/>
      <w:bookmarkEnd w:id="566"/>
      <w:bookmarkEnd w:id="567"/>
      <w:bookmarkEnd w:id="568"/>
      <w:bookmarkEnd w:id="569"/>
      <w:bookmarkEnd w:id="570"/>
    </w:p>
    <w:p w14:paraId="640CBD0D">
      <w:pPr>
        <w:pStyle w:val="40"/>
        <w:autoSpaceDE w:val="0"/>
        <w:autoSpaceDN w:val="0"/>
        <w:adjustRightInd w:val="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8.8.1 承包人提供的施工设备和临时设施</w:t>
      </w:r>
    </w:p>
    <w:p w14:paraId="54EB1C90">
      <w:pPr>
        <w:pStyle w:val="40"/>
        <w:autoSpaceDE w:val="0"/>
        <w:autoSpaceDN w:val="0"/>
        <w:adjustRightInd w:val="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w:t>
      </w:r>
    </w:p>
    <w:p w14:paraId="67FEAA5A">
      <w:pPr>
        <w:pStyle w:val="40"/>
        <w:autoSpaceDE w:val="0"/>
        <w:autoSpaceDN w:val="0"/>
        <w:adjustRightInd w:val="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关于修建临时设施费用承担的约定：</w:t>
      </w:r>
    </w:p>
    <w:p w14:paraId="69E2AC6B">
      <w:pPr>
        <w:pStyle w:val="40"/>
        <w:autoSpaceDE w:val="0"/>
        <w:autoSpaceDN w:val="0"/>
        <w:adjustRightInd w:val="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①承包人的临时用地（含项目部驻地等）租用费（含拆迁补偿）、临时用地的环保、恢复、临时用地的青苗补偿及地面附着物拆除等费用均由承包人负责，以上费用在磋商报价中综合考虑</w:t>
      </w:r>
      <w:r>
        <w:rPr>
          <w:rFonts w:hint="eastAsia" w:ascii="宋体" w:hAnsi="宋体" w:cs="宋体"/>
          <w:color w:val="auto"/>
          <w:sz w:val="22"/>
          <w:highlight w:val="none"/>
          <w:u w:val="single"/>
          <w:lang w:eastAsia="zh-CN"/>
        </w:rPr>
        <w:t>，</w:t>
      </w:r>
      <w:r>
        <w:rPr>
          <w:rFonts w:hint="eastAsia" w:ascii="宋体" w:hAnsi="宋体" w:cs="宋体"/>
          <w:color w:val="auto"/>
          <w:kern w:val="0"/>
          <w:sz w:val="22"/>
          <w:highlight w:val="none"/>
          <w:u w:val="single"/>
        </w:rPr>
        <w:t>费用总价包干，由于承包人预估费用低于实际费用，不足部分由承包人补齐。承包人不得以预估费用低于实际费用或实际情况发生变化为由向发包人提出费用补偿。</w:t>
      </w:r>
    </w:p>
    <w:p w14:paraId="58159F39">
      <w:pPr>
        <w:pStyle w:val="40"/>
        <w:autoSpaceDE w:val="0"/>
        <w:autoSpaceDN w:val="0"/>
        <w:adjustRightInd w:val="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②承包人负责合同实施期间其合同段内临时交通道路（含场内道路及场外连接公共交通道路）和交通设施的修建、维修、养护和交通管理工作，并承担一切费用，</w:t>
      </w:r>
      <w:r>
        <w:rPr>
          <w:rFonts w:hint="eastAsia" w:ascii="宋体" w:hAnsi="宋体" w:cs="宋体"/>
          <w:color w:val="auto"/>
          <w:kern w:val="0"/>
          <w:sz w:val="22"/>
          <w:highlight w:val="none"/>
          <w:u w:val="single"/>
        </w:rPr>
        <w:t>费用总价包干，由于承包人预估费用低于实际费用，不足部分由承包人补齐。承包人不得以预估费用低于实际费用或实际情况发生变化为由向发包人提出费用补偿。</w:t>
      </w:r>
    </w:p>
    <w:p w14:paraId="3508C2F3">
      <w:pPr>
        <w:pStyle w:val="40"/>
        <w:autoSpaceDE w:val="0"/>
        <w:autoSpaceDN w:val="0"/>
        <w:adjustRightInd w:val="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5BC505D">
      <w:pPr>
        <w:pStyle w:val="40"/>
        <w:autoSpaceDE w:val="0"/>
        <w:autoSpaceDN w:val="0"/>
        <w:adjustRightInd w:val="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8.8.2 发包人提供的施工设备和临时设施</w:t>
      </w:r>
    </w:p>
    <w:p w14:paraId="62158636">
      <w:pPr>
        <w:pStyle w:val="40"/>
        <w:autoSpaceDE w:val="0"/>
        <w:autoSpaceDN w:val="0"/>
        <w:adjustRightInd w:val="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发包人提供的施工设备和临时设施：</w:t>
      </w:r>
      <w:r>
        <w:rPr>
          <w:rFonts w:hint="eastAsia" w:ascii="宋体" w:hAnsi="宋体" w:cs="宋体"/>
          <w:color w:val="auto"/>
          <w:sz w:val="22"/>
          <w:highlight w:val="none"/>
          <w:u w:val="single"/>
        </w:rPr>
        <w:t xml:space="preserve">无 </w:t>
      </w:r>
      <w:r>
        <w:rPr>
          <w:rFonts w:hint="eastAsia" w:ascii="宋体" w:hAnsi="宋体" w:cs="宋体"/>
          <w:color w:val="auto"/>
          <w:sz w:val="22"/>
          <w:highlight w:val="none"/>
        </w:rPr>
        <w:t>。</w:t>
      </w:r>
    </w:p>
    <w:p w14:paraId="617E0F7D">
      <w:pPr>
        <w:pStyle w:val="40"/>
        <w:autoSpaceDE w:val="0"/>
        <w:autoSpaceDN w:val="0"/>
        <w:adjustRightInd w:val="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发包人提供的施工设备和临时设施的运行、维护、拆除、清运费用的承担人：</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14:paraId="66A527A0">
      <w:pPr>
        <w:pStyle w:val="73"/>
        <w:spacing w:before="0" w:after="0" w:line="360" w:lineRule="exact"/>
        <w:ind w:firstLine="442" w:firstLineChars="200"/>
        <w:rPr>
          <w:rFonts w:hint="eastAsia" w:ascii="宋体" w:hAnsi="宋体" w:cs="宋体"/>
          <w:color w:val="auto"/>
          <w:sz w:val="22"/>
          <w:szCs w:val="22"/>
          <w:highlight w:val="none"/>
        </w:rPr>
      </w:pPr>
      <w:bookmarkStart w:id="571" w:name="_Toc351203641"/>
      <w:bookmarkStart w:id="572" w:name="_Toc533432761"/>
      <w:bookmarkStart w:id="573" w:name="_Toc389065302"/>
      <w:bookmarkStart w:id="574" w:name="_Toc373478383"/>
      <w:bookmarkStart w:id="575" w:name="_Toc373227736"/>
      <w:bookmarkStart w:id="576" w:name="_Toc12975926"/>
      <w:bookmarkStart w:id="577" w:name="_Toc395382538"/>
      <w:r>
        <w:rPr>
          <w:rFonts w:hint="eastAsia" w:ascii="宋体" w:hAnsi="宋体" w:cs="宋体"/>
          <w:color w:val="auto"/>
          <w:sz w:val="22"/>
          <w:szCs w:val="22"/>
          <w:highlight w:val="none"/>
        </w:rPr>
        <w:t>9</w:t>
      </w:r>
      <w:bookmarkEnd w:id="538"/>
      <w:bookmarkEnd w:id="539"/>
      <w:bookmarkEnd w:id="540"/>
      <w:bookmarkStart w:id="578" w:name="_Toc300934982"/>
      <w:bookmarkStart w:id="579" w:name="_Toc312677495"/>
      <w:bookmarkStart w:id="580" w:name="_Toc297216192"/>
      <w:bookmarkStart w:id="581" w:name="_Toc303539139"/>
      <w:bookmarkStart w:id="582" w:name="_Toc312678021"/>
      <w:bookmarkStart w:id="583" w:name="_Toc297123533"/>
      <w:bookmarkStart w:id="584" w:name="_Toc304295559"/>
      <w:bookmarkStart w:id="585" w:name="_Toc267251427"/>
      <w:bookmarkStart w:id="586" w:name="_Toc292559378"/>
      <w:bookmarkStart w:id="587" w:name="_Toc297120473"/>
      <w:bookmarkStart w:id="588" w:name="_Toc267251428"/>
      <w:bookmarkStart w:id="589" w:name="_Toc297048359"/>
      <w:bookmarkStart w:id="590" w:name="_Toc296346674"/>
      <w:bookmarkStart w:id="591" w:name="_Toc292559883"/>
      <w:bookmarkStart w:id="592" w:name="_Toc296891213"/>
      <w:bookmarkStart w:id="593" w:name="_Toc296891001"/>
      <w:bookmarkStart w:id="594" w:name="_Toc296503173"/>
      <w:bookmarkStart w:id="595" w:name="_Toc296944512"/>
      <w:bookmarkStart w:id="596" w:name="_Toc296347172"/>
      <w:r>
        <w:rPr>
          <w:rFonts w:hint="eastAsia" w:ascii="宋体" w:hAnsi="宋体" w:cs="宋体"/>
          <w:color w:val="auto"/>
          <w:sz w:val="22"/>
          <w:szCs w:val="22"/>
          <w:highlight w:val="none"/>
        </w:rPr>
        <w:t>. 试验与检验</w:t>
      </w:r>
      <w:bookmarkEnd w:id="571"/>
      <w:bookmarkEnd w:id="572"/>
      <w:bookmarkEnd w:id="573"/>
      <w:bookmarkEnd w:id="574"/>
      <w:bookmarkEnd w:id="575"/>
      <w:bookmarkEnd w:id="576"/>
      <w:bookmarkEnd w:id="577"/>
    </w:p>
    <w:bookmarkEnd w:id="578"/>
    <w:bookmarkEnd w:id="579"/>
    <w:bookmarkEnd w:id="580"/>
    <w:bookmarkEnd w:id="581"/>
    <w:bookmarkEnd w:id="582"/>
    <w:bookmarkEnd w:id="583"/>
    <w:bookmarkEnd w:id="584"/>
    <w:p w14:paraId="513F26AF">
      <w:pPr>
        <w:pStyle w:val="39"/>
        <w:spacing w:line="360" w:lineRule="exact"/>
        <w:ind w:firstLine="442" w:firstLineChars="200"/>
        <w:rPr>
          <w:rFonts w:hint="eastAsia" w:ascii="宋体" w:hAnsi="宋体" w:cs="宋体"/>
          <w:color w:val="auto"/>
          <w:sz w:val="22"/>
          <w:szCs w:val="22"/>
          <w:highlight w:val="none"/>
        </w:rPr>
      </w:pPr>
      <w:bookmarkStart w:id="597" w:name="_Toc373227737"/>
      <w:bookmarkStart w:id="598" w:name="_Toc395382539"/>
      <w:bookmarkStart w:id="599" w:name="_Toc12975927"/>
      <w:bookmarkStart w:id="600" w:name="_Toc373478384"/>
      <w:bookmarkStart w:id="601" w:name="_Toc389065303"/>
      <w:bookmarkStart w:id="602" w:name="_Toc533432762"/>
      <w:r>
        <w:rPr>
          <w:rFonts w:hint="eastAsia" w:ascii="宋体" w:hAnsi="宋体" w:cs="宋体"/>
          <w:color w:val="auto"/>
          <w:sz w:val="22"/>
          <w:szCs w:val="22"/>
          <w:highlight w:val="none"/>
        </w:rPr>
        <w:t>9</w:t>
      </w:r>
      <w:bookmarkStart w:id="603" w:name="_Toc304295560"/>
      <w:bookmarkStart w:id="604" w:name="_Toc312678022"/>
      <w:bookmarkStart w:id="605" w:name="_Toc297216193"/>
      <w:bookmarkStart w:id="606" w:name="_Toc297123534"/>
      <w:bookmarkStart w:id="607" w:name="_Toc303539140"/>
      <w:bookmarkStart w:id="608" w:name="_Toc312677496"/>
      <w:bookmarkStart w:id="609" w:name="_Toc300934983"/>
      <w:r>
        <w:rPr>
          <w:rFonts w:hint="eastAsia" w:ascii="宋体" w:hAnsi="宋体" w:cs="宋体"/>
          <w:color w:val="auto"/>
          <w:sz w:val="22"/>
          <w:szCs w:val="22"/>
          <w:highlight w:val="none"/>
        </w:rPr>
        <w:t>.1 试验设备与试验人员</w:t>
      </w:r>
      <w:bookmarkEnd w:id="597"/>
      <w:bookmarkEnd w:id="598"/>
      <w:bookmarkEnd w:id="599"/>
      <w:bookmarkEnd w:id="600"/>
      <w:bookmarkEnd w:id="601"/>
      <w:bookmarkEnd w:id="602"/>
    </w:p>
    <w:bookmarkEnd w:id="603"/>
    <w:bookmarkEnd w:id="604"/>
    <w:bookmarkEnd w:id="605"/>
    <w:bookmarkEnd w:id="606"/>
    <w:bookmarkEnd w:id="607"/>
    <w:bookmarkEnd w:id="608"/>
    <w:bookmarkEnd w:id="609"/>
    <w:p w14:paraId="2A299E72">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9</w:t>
      </w:r>
      <w:bookmarkStart w:id="610" w:name="_Toc304295561"/>
      <w:bookmarkStart w:id="611" w:name="_Toc312677497"/>
      <w:bookmarkStart w:id="612" w:name="_Toc297123535"/>
      <w:bookmarkStart w:id="613" w:name="_Toc300934984"/>
      <w:bookmarkStart w:id="614" w:name="_Toc297216194"/>
      <w:bookmarkStart w:id="615" w:name="_Toc312678023"/>
      <w:bookmarkStart w:id="616" w:name="_Toc303539141"/>
      <w:bookmarkStart w:id="617" w:name="_Toc318581174"/>
      <w:r>
        <w:rPr>
          <w:rFonts w:hint="eastAsia" w:ascii="宋体" w:hAnsi="宋体" w:cs="宋体"/>
          <w:color w:val="auto"/>
          <w:sz w:val="22"/>
          <w:highlight w:val="none"/>
        </w:rPr>
        <w:t>.1.2 试验设备</w:t>
      </w:r>
    </w:p>
    <w:p w14:paraId="31905F17">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施工现场需要配置的试验场所：</w:t>
      </w:r>
      <w:bookmarkEnd w:id="610"/>
      <w:bookmarkEnd w:id="611"/>
      <w:bookmarkEnd w:id="612"/>
      <w:bookmarkEnd w:id="613"/>
      <w:bookmarkEnd w:id="614"/>
      <w:bookmarkEnd w:id="615"/>
      <w:bookmarkEnd w:id="616"/>
      <w:bookmarkStart w:id="618" w:name="_Toc297123536"/>
      <w:bookmarkStart w:id="619" w:name="_Toc304295562"/>
      <w:bookmarkStart w:id="620" w:name="_Toc312678024"/>
      <w:bookmarkStart w:id="621" w:name="_Toc303539142"/>
      <w:bookmarkStart w:id="622" w:name="_Toc297216195"/>
      <w:bookmarkStart w:id="623" w:name="_Toc312677498"/>
      <w:bookmarkStart w:id="624" w:name="_Toc300934985"/>
      <w:r>
        <w:rPr>
          <w:rFonts w:hint="eastAsia" w:ascii="宋体" w:hAnsi="宋体" w:cs="宋体"/>
          <w:color w:val="auto"/>
          <w:sz w:val="22"/>
          <w:highlight w:val="none"/>
          <w:u w:val="single"/>
        </w:rPr>
        <w:t>按有关规定执行</w:t>
      </w:r>
      <w:r>
        <w:rPr>
          <w:rFonts w:hint="eastAsia" w:ascii="宋体" w:hAnsi="宋体" w:cs="宋体"/>
          <w:color w:val="auto"/>
          <w:sz w:val="22"/>
          <w:highlight w:val="none"/>
        </w:rPr>
        <w:t>。</w:t>
      </w:r>
    </w:p>
    <w:p w14:paraId="2F3531D7">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施工现场需要配备的试验设备：</w:t>
      </w:r>
      <w:r>
        <w:rPr>
          <w:rFonts w:hint="eastAsia" w:ascii="宋体" w:hAnsi="宋体" w:cs="宋体"/>
          <w:color w:val="auto"/>
          <w:sz w:val="22"/>
          <w:highlight w:val="none"/>
          <w:u w:val="single"/>
        </w:rPr>
        <w:t>按有关规定执行</w:t>
      </w:r>
      <w:r>
        <w:rPr>
          <w:rFonts w:hint="eastAsia" w:ascii="宋体" w:hAnsi="宋体" w:cs="宋体"/>
          <w:color w:val="auto"/>
          <w:sz w:val="22"/>
          <w:highlight w:val="none"/>
        </w:rPr>
        <w:t>。</w:t>
      </w:r>
    </w:p>
    <w:p w14:paraId="126E577B">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施工现场需要具备的其他试验条件：</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无</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4F8EB9F2">
      <w:pPr>
        <w:pStyle w:val="39"/>
        <w:spacing w:line="360" w:lineRule="exact"/>
        <w:ind w:firstLine="442" w:firstLineChars="200"/>
        <w:rPr>
          <w:rFonts w:hint="eastAsia" w:ascii="宋体" w:hAnsi="宋体" w:cs="宋体"/>
          <w:color w:val="auto"/>
          <w:sz w:val="22"/>
          <w:szCs w:val="22"/>
          <w:highlight w:val="none"/>
        </w:rPr>
      </w:pPr>
      <w:bookmarkStart w:id="625" w:name="_Toc389065304"/>
      <w:bookmarkStart w:id="626" w:name="_Toc395382540"/>
      <w:bookmarkStart w:id="627" w:name="_Toc533432763"/>
      <w:bookmarkStart w:id="628" w:name="_Toc12975928"/>
      <w:bookmarkStart w:id="629" w:name="_Toc373478385"/>
      <w:bookmarkStart w:id="630" w:name="_Toc373227738"/>
      <w:r>
        <w:rPr>
          <w:rFonts w:hint="eastAsia" w:ascii="宋体" w:hAnsi="宋体" w:cs="宋体"/>
          <w:color w:val="auto"/>
          <w:sz w:val="22"/>
          <w:szCs w:val="22"/>
          <w:highlight w:val="none"/>
        </w:rPr>
        <w:t>9.4 现场工艺试验</w:t>
      </w:r>
      <w:bookmarkEnd w:id="625"/>
      <w:bookmarkEnd w:id="626"/>
      <w:bookmarkEnd w:id="627"/>
      <w:bookmarkEnd w:id="628"/>
      <w:bookmarkEnd w:id="629"/>
      <w:bookmarkEnd w:id="630"/>
      <w:r>
        <w:rPr>
          <w:rFonts w:hint="eastAsia" w:ascii="宋体" w:hAnsi="宋体" w:cs="宋体"/>
          <w:color w:val="auto"/>
          <w:sz w:val="22"/>
          <w:szCs w:val="22"/>
          <w:highlight w:val="none"/>
        </w:rPr>
        <w:t xml:space="preserve"> </w:t>
      </w:r>
    </w:p>
    <w:p w14:paraId="4DF4ADB6">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现场工艺试验的有关约定：</w:t>
      </w:r>
      <w:r>
        <w:rPr>
          <w:rFonts w:hint="eastAsia" w:ascii="宋体" w:hAnsi="宋体" w:cs="宋体"/>
          <w:color w:val="auto"/>
          <w:sz w:val="22"/>
          <w:highlight w:val="none"/>
          <w:u w:val="single"/>
        </w:rPr>
        <w:t>按有关规定执行</w:t>
      </w:r>
      <w:r>
        <w:rPr>
          <w:rFonts w:hint="eastAsia" w:ascii="宋体" w:hAnsi="宋体" w:cs="宋体"/>
          <w:color w:val="auto"/>
          <w:sz w:val="22"/>
          <w:highlight w:val="none"/>
        </w:rPr>
        <w:t>。</w:t>
      </w:r>
    </w:p>
    <w:p w14:paraId="4741E819">
      <w:pPr>
        <w:pStyle w:val="39"/>
        <w:spacing w:line="360" w:lineRule="exact"/>
        <w:ind w:firstLine="442" w:firstLineChars="200"/>
        <w:rPr>
          <w:rFonts w:hint="eastAsia" w:ascii="宋体" w:hAnsi="宋体" w:cs="宋体"/>
          <w:color w:val="auto"/>
          <w:sz w:val="22"/>
          <w:szCs w:val="22"/>
          <w:highlight w:val="none"/>
        </w:rPr>
      </w:pPr>
      <w:bookmarkStart w:id="631" w:name="_Toc395382541"/>
      <w:bookmarkStart w:id="632" w:name="_Toc12975929"/>
      <w:bookmarkStart w:id="633" w:name="_Toc533432764"/>
      <w:r>
        <w:rPr>
          <w:rFonts w:hint="eastAsia" w:ascii="宋体" w:hAnsi="宋体" w:cs="宋体"/>
          <w:color w:val="auto"/>
          <w:sz w:val="22"/>
          <w:szCs w:val="22"/>
          <w:highlight w:val="none"/>
        </w:rPr>
        <w:t>9.5 检验费用</w:t>
      </w:r>
      <w:bookmarkEnd w:id="631"/>
      <w:bookmarkEnd w:id="632"/>
      <w:bookmarkEnd w:id="633"/>
    </w:p>
    <w:p w14:paraId="3DDBC280">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根据《建设工程质量检测管理办法》（住房和城乡建设部令第57号）以及《广西壮族自治区建设工程质量检测管理规定》规定，工程质量检测业务由发包人委托有相应资质的检测机构检测。费用由发包人直接支付给检测机构，不计入合同价款内。检验试验配合费按费用定额规定计取，计入本合同价款内。</w:t>
      </w:r>
    </w:p>
    <w:bookmarkEnd w:id="617"/>
    <w:bookmarkEnd w:id="618"/>
    <w:bookmarkEnd w:id="619"/>
    <w:bookmarkEnd w:id="620"/>
    <w:bookmarkEnd w:id="621"/>
    <w:bookmarkEnd w:id="622"/>
    <w:bookmarkEnd w:id="623"/>
    <w:bookmarkEnd w:id="624"/>
    <w:p w14:paraId="3ADD6266">
      <w:pPr>
        <w:pStyle w:val="73"/>
        <w:spacing w:before="0" w:after="0" w:line="360" w:lineRule="exact"/>
        <w:ind w:firstLine="442" w:firstLineChars="200"/>
        <w:rPr>
          <w:rFonts w:hint="eastAsia" w:ascii="宋体" w:hAnsi="宋体" w:cs="宋体"/>
          <w:color w:val="auto"/>
          <w:sz w:val="22"/>
          <w:szCs w:val="22"/>
          <w:highlight w:val="none"/>
        </w:rPr>
      </w:pPr>
      <w:bookmarkStart w:id="634" w:name="_Toc533432765"/>
      <w:bookmarkStart w:id="635" w:name="_Toc351203642"/>
      <w:bookmarkStart w:id="636" w:name="_Toc395382542"/>
      <w:bookmarkStart w:id="637" w:name="_Toc373227739"/>
      <w:bookmarkStart w:id="638" w:name="_Toc12975930"/>
      <w:bookmarkStart w:id="639" w:name="_Toc389065305"/>
      <w:bookmarkStart w:id="640" w:name="_Toc373478386"/>
      <w:r>
        <w:rPr>
          <w:rFonts w:hint="eastAsia" w:ascii="宋体" w:hAnsi="宋体" w:cs="宋体"/>
          <w:color w:val="auto"/>
          <w:sz w:val="22"/>
          <w:szCs w:val="22"/>
          <w:highlight w:val="none"/>
        </w:rPr>
        <w:t>1</w:t>
      </w:r>
      <w:bookmarkEnd w:id="585"/>
      <w:bookmarkEnd w:id="586"/>
      <w:bookmarkEnd w:id="587"/>
      <w:bookmarkEnd w:id="588"/>
      <w:bookmarkEnd w:id="589"/>
      <w:bookmarkEnd w:id="590"/>
      <w:bookmarkEnd w:id="591"/>
      <w:bookmarkEnd w:id="592"/>
      <w:bookmarkEnd w:id="593"/>
      <w:bookmarkEnd w:id="594"/>
      <w:bookmarkEnd w:id="595"/>
      <w:bookmarkEnd w:id="596"/>
      <w:bookmarkStart w:id="641" w:name="_Toc297048379"/>
      <w:bookmarkStart w:id="642" w:name="_Toc296891021"/>
      <w:bookmarkStart w:id="643" w:name="_Toc297120493"/>
      <w:bookmarkStart w:id="644" w:name="_Toc296503193"/>
      <w:bookmarkStart w:id="645" w:name="_Toc297216199"/>
      <w:bookmarkStart w:id="646" w:name="_Toc296944532"/>
      <w:bookmarkStart w:id="647" w:name="_Toc297123540"/>
      <w:bookmarkStart w:id="648" w:name="_Toc303539146"/>
      <w:bookmarkStart w:id="649" w:name="_Toc300934989"/>
      <w:bookmarkStart w:id="650" w:name="_Toc296891233"/>
      <w:bookmarkStart w:id="651" w:name="_Toc292559398"/>
      <w:bookmarkStart w:id="652" w:name="_Toc296346694"/>
      <w:bookmarkStart w:id="653" w:name="_Toc292559903"/>
      <w:bookmarkStart w:id="654" w:name="_Toc304295566"/>
      <w:bookmarkStart w:id="655" w:name="_Toc296347192"/>
      <w:bookmarkStart w:id="656" w:name="_Toc312677499"/>
      <w:bookmarkStart w:id="657" w:name="_Toc312678025"/>
      <w:bookmarkStart w:id="658" w:name="_Toc267251435"/>
      <w:bookmarkStart w:id="659" w:name="_Toc267251441"/>
      <w:bookmarkStart w:id="660" w:name="_Toc267251439"/>
      <w:bookmarkStart w:id="661" w:name="_Toc267251437"/>
      <w:bookmarkStart w:id="662" w:name="_Toc267251433"/>
      <w:bookmarkStart w:id="663" w:name="_Toc267251440"/>
      <w:bookmarkStart w:id="664" w:name="_Toc267251442"/>
      <w:r>
        <w:rPr>
          <w:rFonts w:hint="eastAsia" w:ascii="宋体" w:hAnsi="宋体" w:cs="宋体"/>
          <w:color w:val="auto"/>
          <w:sz w:val="22"/>
          <w:szCs w:val="22"/>
          <w:highlight w:val="none"/>
        </w:rPr>
        <w:t>0. 变更</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bookmarkEnd w:id="656"/>
    <w:bookmarkEnd w:id="657"/>
    <w:p w14:paraId="6D2BE254">
      <w:pPr>
        <w:pStyle w:val="39"/>
        <w:spacing w:line="360" w:lineRule="exact"/>
        <w:ind w:firstLine="442" w:firstLineChars="200"/>
        <w:rPr>
          <w:rFonts w:hint="eastAsia" w:ascii="宋体" w:hAnsi="宋体" w:cs="宋体"/>
          <w:color w:val="auto"/>
          <w:sz w:val="22"/>
          <w:szCs w:val="22"/>
          <w:highlight w:val="none"/>
        </w:rPr>
      </w:pPr>
      <w:bookmarkStart w:id="665" w:name="_Toc373478387"/>
      <w:bookmarkStart w:id="666" w:name="_Toc533432766"/>
      <w:bookmarkStart w:id="667" w:name="_Toc395382543"/>
      <w:bookmarkStart w:id="668" w:name="_Toc12975931"/>
      <w:bookmarkStart w:id="669" w:name="_Toc389065306"/>
      <w:bookmarkStart w:id="670" w:name="_Toc373227740"/>
      <w:r>
        <w:rPr>
          <w:rFonts w:hint="eastAsia" w:ascii="宋体" w:hAnsi="宋体" w:cs="宋体"/>
          <w:color w:val="auto"/>
          <w:sz w:val="22"/>
          <w:szCs w:val="22"/>
          <w:highlight w:val="none"/>
        </w:rPr>
        <w:t>1</w:t>
      </w:r>
      <w:bookmarkStart w:id="671" w:name="_Toc312678026"/>
      <w:bookmarkStart w:id="672" w:name="_Toc296346695"/>
      <w:bookmarkStart w:id="673" w:name="_Toc312677500"/>
      <w:bookmarkStart w:id="674" w:name="_Toc296944533"/>
      <w:bookmarkStart w:id="675" w:name="_Toc292559904"/>
      <w:bookmarkStart w:id="676" w:name="_Toc297123541"/>
      <w:bookmarkStart w:id="677" w:name="_Toc304295567"/>
      <w:bookmarkStart w:id="678" w:name="_Toc297216200"/>
      <w:bookmarkStart w:id="679" w:name="_Toc296347193"/>
      <w:bookmarkStart w:id="680" w:name="_Toc296891234"/>
      <w:bookmarkStart w:id="681" w:name="_Toc300934990"/>
      <w:bookmarkStart w:id="682" w:name="_Toc303539147"/>
      <w:bookmarkStart w:id="683" w:name="_Toc297120494"/>
      <w:bookmarkStart w:id="684" w:name="_Toc296503194"/>
      <w:bookmarkStart w:id="685" w:name="_Toc292559399"/>
      <w:bookmarkStart w:id="686" w:name="_Toc296891022"/>
      <w:bookmarkStart w:id="687" w:name="_Toc297048380"/>
      <w:r>
        <w:rPr>
          <w:rFonts w:hint="eastAsia" w:ascii="宋体" w:hAnsi="宋体" w:cs="宋体"/>
          <w:color w:val="auto"/>
          <w:sz w:val="22"/>
          <w:szCs w:val="22"/>
          <w:highlight w:val="none"/>
        </w:rPr>
        <w:t>0.1 变更的范围</w:t>
      </w:r>
      <w:bookmarkEnd w:id="665"/>
      <w:bookmarkEnd w:id="666"/>
      <w:bookmarkEnd w:id="667"/>
      <w:bookmarkEnd w:id="668"/>
      <w:bookmarkEnd w:id="669"/>
      <w:bookmarkEnd w:id="670"/>
    </w:p>
    <w:p w14:paraId="308D04B6">
      <w:pPr>
        <w:pStyle w:val="60"/>
        <w:autoSpaceDE w:val="0"/>
        <w:autoSpaceDN w:val="0"/>
        <w:adjustRightInd w:val="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关于变更的范围的约定：</w:t>
      </w:r>
    </w:p>
    <w:p w14:paraId="6D3883A3">
      <w:pPr>
        <w:pStyle w:val="60"/>
        <w:autoSpaceDE w:val="0"/>
        <w:autoSpaceDN w:val="0"/>
        <w:adjustRightInd w:val="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增加以下内容：</w:t>
      </w:r>
    </w:p>
    <w:p w14:paraId="44791369">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发包人可以以书面的形式通知承包人暂停执行本合同或本合同范围内的任何部分，也可以以书面的形式通知承包人将要暂停的工作内容和暂停生效的日期；承包人应从这一生效日起暂停所述工作内容，但应继续执行未被暂停的其他工作。</w:t>
      </w:r>
    </w:p>
    <w:p w14:paraId="7FE5EDE7">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发包人可以以书面的形式通知承包人取消（或变更）执行本合同范围内的任何部分，也可以以书面的形式通知承包人将要取消（或变更）的工作内容和暂停生效的日期；承包人应从这一生效日起取消（或变更）所述工作内容，但应继续执行未被取消（或变更）的其他工作。</w:t>
      </w:r>
    </w:p>
    <w:p w14:paraId="6BB2DB01">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尽管合同有其他约定，尽管变更或增加部分与本合同无实质性关联，发包人根据自身需要，需要由承包人承担其相关施工，承包人不得拒绝。发包人发出的变更指令，承包人必须执行，承包人必须考虑其磋商报价的平衡性，不得以变更项目子目单价低或超出施工能力范围等为由拒绝施工，也不得以变更或者增加部分不属于本合同范围为由而拒绝执行。经发包人催告后3天仍不执行或不完全执行指令的，视承包人违约，发包人根据变更或增加部分的总费用及事情的重要性对承包人进行罚款，罚款金额1～5万元/次。</w:t>
      </w:r>
    </w:p>
    <w:p w14:paraId="2B4BD962">
      <w:pPr>
        <w:pStyle w:val="61"/>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以上变更情形经发包人、监理单位、设计单位等有关单位签字确认后，方可作为工程结算依据。</w:t>
      </w:r>
    </w:p>
    <w:p w14:paraId="4511A07C">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（4）不属于变更范围的包括但不限于以下内容：</w:t>
      </w:r>
    </w:p>
    <w:p w14:paraId="0022FBA7">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①如果工程量的增减并不是执行发包人按本条规定发出的变更指示的结果，而是由于实际工程量超过或少于工程量清单中开列的数量，则此类增减不需要任何变更指示。</w:t>
      </w:r>
    </w:p>
    <w:p w14:paraId="7676C4CB">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②工程图纸和现场条件没有发生变化，承包人在磋商阶段也未提出澄清，但在施工阶段因现场情况（包括但不限于地质条件限制、场地限制、安全要求限制等）不能完成施工或不能按期完成整个工程，需要修改图纸或施工方案（包括施工工艺、施工设备、施工方法和施工顺序等），不构成变更。因此导致费用增加或工期延长时，发包人不承担任何相关费用，相关费用及损失由承包人承担，工期亦不予顺延。</w:t>
      </w:r>
    </w:p>
    <w:p w14:paraId="0AF3FE93">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③承包人为了便于组织施工，或为了施工安全、避免干扰等原因需采取相应的技术措施而提出的局部变更设计，不构成变更。但局部变更设计须经发包人的批准，且由此而增加的费用应由承包人承担。</w:t>
      </w:r>
    </w:p>
    <w:p w14:paraId="7C847747">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④若竣工图与发包人在施工过程中确认的施工图及工程变更不一致，则发包人对竣工图的接收或确认不能证明发包人同意上述不一致之处的施工，也不构成本条约定的变更，因上述不一致而增加的费用由承包人承担。</w:t>
      </w:r>
    </w:p>
    <w:p w14:paraId="11A3924B">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⑤承包人编制的商务标取费与技术标的施工方案不能一一对应的，如工程图纸没有发生实质性变化，但按照技术标的施工方案不能完成施工或不能按期完成整个工程，需要修改施工方案（包括施工工艺、施工设备、施工方法和施工顺序等），不构成变更。因此导致费用增加或工期延长时，发包人不承担任何相关费用，相关费用及损失由承包人承担，工期亦不予顺延。</w:t>
      </w:r>
    </w:p>
    <w:p w14:paraId="2DB277F8">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⑥如工程图纸没有发生实质性变化，不管图纸和工程量清单中是否有描述，承包人在磋商阶段也未提出澄清，但为完成工程图所发生的任何措施项目均不构成变更。</w:t>
      </w:r>
    </w:p>
    <w:p w14:paraId="5268D0FA">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⑦本项目施工用水、用电由承包人自理，承包人应在磋商阶段通过实地考察水电接入点位置及用电容量，如通过自发电或其他方式取得时，均不构成变更。</w:t>
      </w:r>
    </w:p>
    <w:p w14:paraId="4E16D41E">
      <w:pPr>
        <w:pStyle w:val="39"/>
        <w:spacing w:line="360" w:lineRule="exact"/>
        <w:ind w:firstLine="442" w:firstLineChars="200"/>
        <w:rPr>
          <w:rFonts w:hint="eastAsia" w:ascii="宋体" w:hAnsi="宋体" w:cs="宋体"/>
          <w:color w:val="auto"/>
          <w:sz w:val="22"/>
          <w:szCs w:val="22"/>
          <w:highlight w:val="none"/>
        </w:rPr>
      </w:pPr>
      <w:bookmarkStart w:id="688" w:name="_Toc12975932"/>
      <w:bookmarkStart w:id="689" w:name="_Toc373227741"/>
      <w:bookmarkStart w:id="690" w:name="_Toc373478388"/>
      <w:bookmarkStart w:id="691" w:name="_Toc389065307"/>
      <w:bookmarkStart w:id="692" w:name="_Toc395382544"/>
      <w:bookmarkStart w:id="693" w:name="_Toc533432767"/>
      <w:r>
        <w:rPr>
          <w:rFonts w:hint="eastAsia" w:ascii="宋体" w:hAnsi="宋体" w:cs="宋体"/>
          <w:color w:val="auto"/>
          <w:sz w:val="22"/>
          <w:szCs w:val="22"/>
          <w:highlight w:val="none"/>
        </w:rPr>
        <w:t>10.3 变更程序</w:t>
      </w:r>
      <w:bookmarkEnd w:id="688"/>
      <w:bookmarkEnd w:id="689"/>
      <w:bookmarkEnd w:id="690"/>
      <w:bookmarkEnd w:id="691"/>
      <w:bookmarkEnd w:id="692"/>
      <w:bookmarkEnd w:id="693"/>
    </w:p>
    <w:p w14:paraId="50964AE4">
      <w:pPr>
        <w:pStyle w:val="56"/>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10.3.1 国有投资项目：</w:t>
      </w:r>
    </w:p>
    <w:p w14:paraId="683E6EAC">
      <w:pPr>
        <w:pStyle w:val="56"/>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（1）设计变更和工程签证，提前通知发包人，按政府或相关部门的规定办理。属不可抗力(自然灾害、突发事件等)造成变更的，按特事特办原则予以办理。</w:t>
      </w:r>
    </w:p>
    <w:p w14:paraId="6CE7234A">
      <w:pPr>
        <w:pStyle w:val="56"/>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施工图纸、施工合同及补充协议以外的作为结算依据的工程量签证应填写相应材料并做到内容完整、真实、准确、工整、变更之日起14天内提交，签证材料由发包人、承包人、监理等单位共同商定并签字确认方可有效。</w:t>
      </w:r>
    </w:p>
    <w:p w14:paraId="4BF9CE04">
      <w:pPr>
        <w:pStyle w:val="56"/>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外签证工程量或单价变动时，承包人应根据变更内容出具因变更工程造成造价增(减)的预算书，预算书应附有计算式及计算依据，计算依据包括(联系单、现场签证单、变更图、计算书，计算书要附上现场测量成果及原始测量数据，属于隐蔽工程的须附上彩色照片并标明边界座标和相对位置)，交由监理人审核后报至发包人，由发包人工程管理部门负责进入内审程序进行合同外工程量及造价的确认。发包人将审核的预算书返回到承包人后，承包方如有异议，须在3日内提出书面答复，否则视为认可。</w:t>
      </w:r>
    </w:p>
    <w:p w14:paraId="46EA61F1">
      <w:pPr>
        <w:pStyle w:val="56"/>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（3）当合同规定的调整合同价款的调整情况发生后，承包人未在规定时间内通知发包人，也未在规定时间内提交调整报告，发包人可根据有关资料，决定是否调整和调整的金额，并书面通知承包人。</w:t>
      </w:r>
    </w:p>
    <w:p w14:paraId="362BCB8A">
      <w:pPr>
        <w:pStyle w:val="56"/>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（4）承包人提交工程结算后，发包人不再补办承包人提出的任何变更审批手续。</w:t>
      </w:r>
    </w:p>
    <w:p w14:paraId="666F0199">
      <w:pPr>
        <w:pStyle w:val="40"/>
        <w:spacing w:line="360" w:lineRule="exact"/>
        <w:ind w:firstLine="440" w:firstLineChars="200"/>
        <w:jc w:val="left"/>
        <w:rPr>
          <w:rFonts w:hint="eastAsia" w:ascii="宋体" w:hAnsi="宋体" w:cs="宋体"/>
          <w:bCs/>
          <w:color w:val="auto"/>
          <w:sz w:val="22"/>
          <w:highlight w:val="none"/>
          <w:u w:val="single"/>
        </w:rPr>
      </w:pPr>
      <w:r>
        <w:rPr>
          <w:rFonts w:hint="eastAsia" w:ascii="宋体" w:hAnsi="宋体" w:cs="宋体"/>
          <w:bCs/>
          <w:color w:val="auto"/>
          <w:sz w:val="22"/>
          <w:highlight w:val="none"/>
        </w:rPr>
        <w:t>10.3.2 非国有投资项目：</w:t>
      </w:r>
      <w:r>
        <w:rPr>
          <w:rFonts w:hint="eastAsia" w:ascii="宋体" w:hAnsi="宋体" w:cs="宋体"/>
          <w:bCs/>
          <w:color w:val="auto"/>
          <w:sz w:val="22"/>
          <w:highlight w:val="none"/>
          <w:u w:val="single"/>
        </w:rPr>
        <w:t xml:space="preserve">  /  </w:t>
      </w:r>
      <w:r>
        <w:rPr>
          <w:rFonts w:hint="eastAsia" w:ascii="宋体" w:hAnsi="宋体" w:cs="宋体"/>
          <w:bCs/>
          <w:color w:val="auto"/>
          <w:sz w:val="22"/>
          <w:highlight w:val="none"/>
          <w:u w:val="none"/>
        </w:rPr>
        <w:t>。</w:t>
      </w:r>
    </w:p>
    <w:p w14:paraId="2C519BCE">
      <w:pPr>
        <w:pStyle w:val="60"/>
        <w:autoSpaceDE w:val="0"/>
        <w:autoSpaceDN w:val="0"/>
        <w:adjustRightInd w:val="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bCs/>
          <w:color w:val="auto"/>
          <w:sz w:val="22"/>
          <w:szCs w:val="22"/>
          <w:highlight w:val="none"/>
        </w:rPr>
        <w:t>变更的提出</w:t>
      </w:r>
    </w:p>
    <w:p w14:paraId="458D3120">
      <w:pPr>
        <w:pStyle w:val="60"/>
        <w:spacing w:line="36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1）在合同履行过程中，发包人向承包人发出指令后，如果承包人认为该指令属于变更的，承包人应当在收到指令之日起14天内，向监理人提出变更建议书。变更建议书应当阐明变更原因、依据、内容，并同时提供图纸/施工方案等相关技术资料及变更报价书。</w:t>
      </w:r>
    </w:p>
    <w:p w14:paraId="1A87C93B">
      <w:pPr>
        <w:pStyle w:val="60"/>
        <w:spacing w:line="36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2）监理人收到承包人报送的变更建议书后，认为变更不成立的可将变更建议书直接退回承包人；若监理人认为变更成立的，则应上报发包人审查，发包人认为变更不成立的，应在收到监理人报送的意见书后14天内向承包人发出书面通知；发包人认为变更是否成立不明确或需要承包人进一步提交资料的，发包人应书面通知承包人补充资料。承包人应在收到发包人通知之日起14天内提交补充资料，发包人收到承包人提交的补充资料后28天内，应当向承包人发出正式变更令或变更不成立的书面通知。</w:t>
      </w:r>
    </w:p>
    <w:p w14:paraId="0306EA91">
      <w:pPr>
        <w:pStyle w:val="60"/>
        <w:spacing w:line="36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（3）尽管合同有其他约定，但承包人未在收到指令</w:t>
      </w:r>
      <w:r>
        <w:rPr>
          <w:rFonts w:hint="eastAsia" w:ascii="宋体" w:hAnsi="宋体" w:cs="宋体"/>
          <w:color w:val="auto"/>
          <w:sz w:val="22"/>
          <w:szCs w:val="22"/>
          <w:highlight w:val="none"/>
          <w:u w:val="single"/>
        </w:rPr>
        <w:t>（包括但不限于书面指令、口头指令、会议纪要等形式）</w:t>
      </w:r>
      <w:r>
        <w:rPr>
          <w:rFonts w:hint="eastAsia" w:ascii="宋体" w:hAnsi="宋体" w:cs="宋体"/>
          <w:bCs/>
          <w:color w:val="auto"/>
          <w:sz w:val="22"/>
          <w:szCs w:val="22"/>
          <w:highlight w:val="none"/>
        </w:rPr>
        <w:t>之日起14天内向监理人提出变更建议书的，则视为该指令并不涉及费用增加或工期顺延，或承包人放弃要求补偿由于该指令而导致的费用增加和工期顺延等一切权利。</w:t>
      </w:r>
    </w:p>
    <w:p w14:paraId="527C673A">
      <w:pPr>
        <w:pStyle w:val="60"/>
        <w:spacing w:line="36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（4）承包人未在收到发包人要求补充资料的书面通知之日起14天内向发包人提交补充资料的，则视为承包人放弃要求补偿由于发包人指令而导致的费用增加和工期顺延等一切权利。</w:t>
      </w:r>
    </w:p>
    <w:p w14:paraId="58FB25C9">
      <w:pPr>
        <w:pStyle w:val="60"/>
        <w:spacing w:line="36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（5）承包人在收到发包人发出的正式变更令或变更不成立的书面通知之日起14天内，未向发包人提出书面异议的，则视为承包人对正式变更令或书面通知的认可。</w:t>
      </w:r>
    </w:p>
    <w:p w14:paraId="00825747">
      <w:pPr>
        <w:pStyle w:val="60"/>
        <w:spacing w:line="360" w:lineRule="exact"/>
        <w:ind w:firstLine="440" w:firstLineChars="200"/>
        <w:rPr>
          <w:rFonts w:hint="eastAsia" w:ascii="宋体" w:hAnsi="宋体" w:cs="宋体"/>
          <w:bCs/>
          <w:color w:val="auto"/>
          <w:sz w:val="22"/>
          <w:szCs w:val="22"/>
          <w:highlight w:val="none"/>
          <w:u w:val="single"/>
        </w:rPr>
      </w:pPr>
      <w:r>
        <w:rPr>
          <w:rFonts w:hint="eastAsia" w:ascii="宋体" w:hAnsi="宋体" w:cs="宋体"/>
          <w:bCs/>
          <w:color w:val="auto"/>
          <w:sz w:val="22"/>
          <w:szCs w:val="22"/>
          <w:highlight w:val="none"/>
        </w:rPr>
        <w:t>（6）竣工验收证书签发后，承包人无权就工程竣工证书签发前发包人的任何指令要求增加费用。</w:t>
      </w:r>
    </w:p>
    <w:p w14:paraId="32682F24">
      <w:pPr>
        <w:pStyle w:val="39"/>
        <w:spacing w:line="360" w:lineRule="exact"/>
        <w:ind w:firstLine="442" w:firstLineChars="200"/>
        <w:rPr>
          <w:rFonts w:hint="eastAsia" w:ascii="宋体" w:hAnsi="宋体" w:cs="宋体"/>
          <w:color w:val="auto"/>
          <w:sz w:val="22"/>
          <w:szCs w:val="22"/>
          <w:highlight w:val="none"/>
        </w:rPr>
      </w:pPr>
      <w:bookmarkStart w:id="694" w:name="_Toc373478389"/>
      <w:bookmarkStart w:id="695" w:name="_Toc395382545"/>
      <w:bookmarkStart w:id="696" w:name="_Toc373227742"/>
      <w:bookmarkStart w:id="697" w:name="_Toc389065308"/>
      <w:bookmarkStart w:id="698" w:name="_Toc533432768"/>
      <w:bookmarkStart w:id="699" w:name="_Toc12975933"/>
      <w:r>
        <w:rPr>
          <w:rFonts w:hint="eastAsia" w:ascii="宋体" w:hAnsi="宋体" w:cs="宋体"/>
          <w:color w:val="auto"/>
          <w:sz w:val="22"/>
          <w:szCs w:val="22"/>
          <w:highlight w:val="none"/>
        </w:rPr>
        <w:t>10.4 变更估价</w:t>
      </w:r>
      <w:bookmarkEnd w:id="694"/>
      <w:bookmarkEnd w:id="695"/>
      <w:bookmarkEnd w:id="696"/>
      <w:bookmarkEnd w:id="697"/>
      <w:bookmarkEnd w:id="698"/>
      <w:bookmarkEnd w:id="699"/>
    </w:p>
    <w:p w14:paraId="7829AFD9">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10.4.1 变更估价原则</w:t>
      </w:r>
    </w:p>
    <w:p w14:paraId="2AD22BCA">
      <w:pPr>
        <w:pStyle w:val="60"/>
        <w:spacing w:line="360" w:lineRule="exact"/>
        <w:ind w:firstLine="440" w:firstLineChars="200"/>
        <w:jc w:val="left"/>
        <w:rPr>
          <w:rFonts w:hint="eastAsia" w:ascii="宋体" w:hAnsi="宋体" w:cs="宋体"/>
          <w:bCs/>
          <w:color w:val="auto"/>
          <w:sz w:val="22"/>
          <w:szCs w:val="22"/>
          <w:highlight w:val="none"/>
          <w:u w:val="single"/>
        </w:rPr>
      </w:pPr>
      <w:r>
        <w:rPr>
          <w:rFonts w:hint="eastAsia" w:ascii="宋体" w:hAnsi="宋体" w:cs="宋体"/>
          <w:color w:val="auto"/>
          <w:sz w:val="22"/>
          <w:szCs w:val="22"/>
          <w:highlight w:val="none"/>
        </w:rPr>
        <w:t>关于变更估价的约定</w:t>
      </w:r>
      <w:r>
        <w:rPr>
          <w:rFonts w:hint="eastAsia" w:ascii="宋体" w:hAnsi="宋体" w:cs="宋体"/>
          <w:color w:val="auto"/>
          <w:sz w:val="22"/>
          <w:szCs w:val="22"/>
          <w:highlight w:val="none"/>
          <w:lang w:eastAsia="zh-CN"/>
        </w:rPr>
        <w:t>：</w:t>
      </w:r>
      <w:bookmarkStart w:id="700" w:name="_Toc251051742"/>
      <w:r>
        <w:rPr>
          <w:rFonts w:hint="eastAsia" w:ascii="宋体" w:hAnsi="宋体" w:eastAsia="宋体" w:cs="宋体"/>
          <w:color w:val="auto"/>
          <w:sz w:val="22"/>
          <w:szCs w:val="22"/>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系数(系数=中标价/招标控制价)计算，其中：材料设备价格按施工当期的《</w:t>
      </w:r>
      <w:r>
        <w:rPr>
          <w:rFonts w:hint="eastAsia" w:ascii="宋体" w:hAnsi="宋体" w:eastAsia="宋体" w:cs="宋体"/>
          <w:color w:val="auto"/>
          <w:sz w:val="22"/>
          <w:szCs w:val="22"/>
          <w:highlight w:val="none"/>
          <w:u w:val="single"/>
          <w:lang w:val="en-US" w:eastAsia="zh-CN"/>
        </w:rPr>
        <w:t>防城港市</w:t>
      </w:r>
      <w:r>
        <w:rPr>
          <w:rFonts w:hint="eastAsia" w:ascii="宋体" w:hAnsi="宋体" w:eastAsia="宋体" w:cs="宋体"/>
          <w:color w:val="auto"/>
          <w:sz w:val="22"/>
          <w:szCs w:val="22"/>
          <w:highlight w:val="none"/>
          <w:u w:val="single"/>
        </w:rPr>
        <w:t>建设工程造价信息》相应信息价，《</w:t>
      </w:r>
      <w:r>
        <w:rPr>
          <w:rFonts w:hint="eastAsia" w:ascii="宋体" w:hAnsi="宋体" w:eastAsia="宋体" w:cs="宋体"/>
          <w:color w:val="auto"/>
          <w:sz w:val="22"/>
          <w:szCs w:val="22"/>
          <w:highlight w:val="none"/>
          <w:u w:val="single"/>
          <w:lang w:val="en-US" w:eastAsia="zh-CN"/>
        </w:rPr>
        <w:t>防城港市</w:t>
      </w:r>
      <w:r>
        <w:rPr>
          <w:rFonts w:hint="eastAsia" w:ascii="宋体" w:hAnsi="宋体" w:eastAsia="宋体" w:cs="宋体"/>
          <w:color w:val="auto"/>
          <w:sz w:val="22"/>
          <w:szCs w:val="22"/>
          <w:highlight w:val="none"/>
          <w:u w:val="single"/>
        </w:rPr>
        <w:t>建设工程造价信息》没有相应信息价的，由建设单位、施工单位、监理单位或造价咨询单位根据市场行情协商确定（《</w:t>
      </w:r>
      <w:r>
        <w:rPr>
          <w:rFonts w:hint="eastAsia" w:ascii="宋体" w:hAnsi="宋体" w:eastAsia="宋体" w:cs="宋体"/>
          <w:color w:val="auto"/>
          <w:sz w:val="22"/>
          <w:szCs w:val="22"/>
          <w:highlight w:val="none"/>
          <w:u w:val="single"/>
          <w:lang w:val="en-US" w:eastAsia="zh-CN"/>
        </w:rPr>
        <w:t>防城港市</w:t>
      </w:r>
      <w:r>
        <w:rPr>
          <w:rFonts w:hint="eastAsia" w:ascii="宋体" w:hAnsi="宋体" w:eastAsia="宋体" w:cs="宋体"/>
          <w:color w:val="auto"/>
          <w:sz w:val="22"/>
          <w:szCs w:val="22"/>
          <w:highlight w:val="none"/>
          <w:u w:val="single"/>
        </w:rPr>
        <w:t>建设工程造价信息》中无相应信息价的电缆、电缆头、电缆保护管参照其进场时间对应的当期《</w:t>
      </w:r>
      <w:r>
        <w:rPr>
          <w:rFonts w:hint="eastAsia" w:ascii="宋体" w:hAnsi="宋体" w:eastAsia="宋体" w:cs="宋体"/>
          <w:color w:val="auto"/>
          <w:sz w:val="22"/>
          <w:szCs w:val="22"/>
          <w:highlight w:val="none"/>
          <w:u w:val="single"/>
          <w:lang w:val="en-US" w:eastAsia="zh-CN"/>
        </w:rPr>
        <w:t>南宁市</w:t>
      </w:r>
      <w:r>
        <w:rPr>
          <w:rFonts w:hint="eastAsia" w:ascii="宋体" w:hAnsi="宋体" w:eastAsia="宋体" w:cs="宋体"/>
          <w:color w:val="auto"/>
          <w:sz w:val="22"/>
          <w:szCs w:val="22"/>
          <w:highlight w:val="none"/>
          <w:u w:val="single"/>
        </w:rPr>
        <w:t>建设工程造价信息》</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《南方电网公司电网工程主要设备材料信息》）；无定额可套的，由建设单位、施工单位、监理单位或造价咨询单位根据市场行情协商确定包含除税金以外所有费用的税前综合价格</w:t>
      </w:r>
      <w:r>
        <w:rPr>
          <w:rFonts w:hint="eastAsia" w:ascii="宋体" w:hAnsi="宋体" w:eastAsia="宋体" w:cs="宋体"/>
          <w:color w:val="auto"/>
          <w:sz w:val="22"/>
          <w:szCs w:val="22"/>
          <w:highlight w:val="none"/>
          <w:u w:val="single"/>
          <w:lang w:eastAsia="zh-CN"/>
        </w:rPr>
        <w:t>。</w:t>
      </w:r>
      <w:r>
        <w:rPr>
          <w:rStyle w:val="24"/>
          <w:rFonts w:hint="eastAsia" w:ascii="宋体" w:hAnsi="宋体" w:eastAsia="宋体" w:cs="宋体"/>
          <w:color w:val="auto"/>
          <w:szCs w:val="21"/>
          <w:highlight w:val="none"/>
        </w:rPr>
        <w:t>以上约定同时适用于招标工程量清单缺项以及工程量清单项目特征与图纸不符时的价款确定。</w:t>
      </w:r>
    </w:p>
    <w:bookmarkEnd w:id="700"/>
    <w:p w14:paraId="2AB9CAF7">
      <w:pPr>
        <w:pStyle w:val="39"/>
        <w:spacing w:line="360" w:lineRule="exact"/>
        <w:ind w:firstLine="442" w:firstLineChars="200"/>
        <w:rPr>
          <w:rFonts w:hint="eastAsia" w:ascii="宋体" w:hAnsi="宋体" w:cs="宋体"/>
          <w:color w:val="auto"/>
          <w:sz w:val="22"/>
          <w:szCs w:val="22"/>
          <w:highlight w:val="none"/>
        </w:rPr>
      </w:pPr>
      <w:bookmarkStart w:id="701" w:name="_Toc12975934"/>
      <w:bookmarkStart w:id="702" w:name="_Toc533432769"/>
      <w:bookmarkStart w:id="703" w:name="_Toc373478390"/>
      <w:bookmarkStart w:id="704" w:name="_Toc389065309"/>
      <w:bookmarkStart w:id="705" w:name="_Toc373227743"/>
      <w:bookmarkStart w:id="706" w:name="_Toc395382546"/>
      <w:r>
        <w:rPr>
          <w:rFonts w:hint="eastAsia" w:ascii="宋体" w:hAnsi="宋体" w:cs="宋体"/>
          <w:color w:val="auto"/>
          <w:sz w:val="22"/>
          <w:szCs w:val="22"/>
          <w:highlight w:val="none"/>
        </w:rPr>
        <w:t>1</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Start w:id="707" w:name="_Toc296891237"/>
      <w:bookmarkStart w:id="708" w:name="_Toc292559907"/>
      <w:bookmarkStart w:id="709" w:name="_Toc297216203"/>
      <w:bookmarkStart w:id="710" w:name="_Toc297123544"/>
      <w:bookmarkStart w:id="711" w:name="_Toc296944536"/>
      <w:bookmarkStart w:id="712" w:name="_Toc297120497"/>
      <w:bookmarkStart w:id="713" w:name="_Toc292559402"/>
      <w:bookmarkStart w:id="714" w:name="_Toc296891025"/>
      <w:bookmarkStart w:id="715" w:name="_Toc300934993"/>
      <w:bookmarkStart w:id="716" w:name="_Toc296503197"/>
      <w:bookmarkStart w:id="717" w:name="_Toc296346698"/>
      <w:bookmarkStart w:id="718" w:name="_Toc296347196"/>
      <w:bookmarkStart w:id="719" w:name="_Toc303539150"/>
      <w:bookmarkStart w:id="720" w:name="_Toc297048383"/>
      <w:bookmarkStart w:id="721" w:name="_Toc312678029"/>
      <w:bookmarkStart w:id="722" w:name="_Toc312677503"/>
      <w:bookmarkStart w:id="723" w:name="_Toc304295570"/>
      <w:r>
        <w:rPr>
          <w:rFonts w:hint="eastAsia" w:ascii="宋体" w:hAnsi="宋体" w:cs="宋体"/>
          <w:color w:val="auto"/>
          <w:sz w:val="22"/>
          <w:szCs w:val="22"/>
          <w:highlight w:val="none"/>
        </w:rPr>
        <w:t>0.5 承</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Start w:id="724" w:name="_Toc296347202"/>
      <w:bookmarkStart w:id="725" w:name="_Toc296346704"/>
      <w:bookmarkStart w:id="726" w:name="_Toc296944542"/>
      <w:bookmarkStart w:id="727" w:name="_Toc296891243"/>
      <w:bookmarkStart w:id="728" w:name="_Toc292559408"/>
      <w:bookmarkStart w:id="729" w:name="_Toc297120503"/>
      <w:bookmarkStart w:id="730" w:name="_Toc296891031"/>
      <w:bookmarkStart w:id="731" w:name="_Toc297123545"/>
      <w:bookmarkStart w:id="732" w:name="_Toc296503203"/>
      <w:bookmarkStart w:id="733" w:name="_Toc297048389"/>
      <w:bookmarkStart w:id="734" w:name="_Toc300934994"/>
      <w:bookmarkStart w:id="735" w:name="_Toc292559913"/>
      <w:bookmarkStart w:id="736" w:name="_Toc303539151"/>
      <w:bookmarkStart w:id="737" w:name="_Toc297216204"/>
      <w:r>
        <w:rPr>
          <w:rFonts w:hint="eastAsia" w:ascii="宋体" w:hAnsi="宋体" w:cs="宋体"/>
          <w:color w:val="auto"/>
          <w:sz w:val="22"/>
          <w:szCs w:val="22"/>
          <w:highlight w:val="none"/>
        </w:rPr>
        <w:t>包人的合理化建议</w:t>
      </w:r>
      <w:bookmarkEnd w:id="701"/>
      <w:bookmarkEnd w:id="702"/>
      <w:bookmarkEnd w:id="703"/>
      <w:bookmarkEnd w:id="704"/>
      <w:bookmarkEnd w:id="705"/>
      <w:bookmarkEnd w:id="706"/>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14:paraId="1AD5A70E">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监理人审查承包人合理化建议的期限：</w:t>
      </w:r>
      <w:r>
        <w:rPr>
          <w:rStyle w:val="69"/>
          <w:rFonts w:hint="eastAsia" w:ascii="宋体" w:hAnsi="宋体" w:eastAsia="宋体"/>
          <w:bCs/>
          <w:color w:val="auto"/>
          <w:highlight w:val="none"/>
          <w:u w:val="single"/>
        </w:rPr>
        <w:t>监理人应在收到承包人提交的合理化建议后 7 天内审查完毕并报送发包人，发现其中存在技术上的缺陷，应通知承包人修改</w:t>
      </w:r>
      <w:r>
        <w:rPr>
          <w:rFonts w:hint="eastAsia" w:ascii="宋体" w:hAnsi="宋体" w:cs="宋体"/>
          <w:color w:val="auto"/>
          <w:sz w:val="22"/>
          <w:highlight w:val="none"/>
        </w:rPr>
        <w:t>。</w:t>
      </w:r>
    </w:p>
    <w:p w14:paraId="3845029D">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发包人审批承包人合理化建议的期限：</w:t>
      </w:r>
      <w:r>
        <w:rPr>
          <w:rStyle w:val="69"/>
          <w:rFonts w:hint="eastAsia" w:ascii="宋体" w:hAnsi="宋体" w:eastAsia="宋体"/>
          <w:bCs/>
          <w:color w:val="auto"/>
          <w:highlight w:val="none"/>
          <w:u w:val="single"/>
        </w:rPr>
        <w:t>发包人应在收到监理人报送的合理化建议后 7  天内审批完毕</w:t>
      </w:r>
      <w:r>
        <w:rPr>
          <w:rFonts w:hint="eastAsia" w:ascii="宋体" w:hAnsi="宋体" w:cs="宋体"/>
          <w:color w:val="auto"/>
          <w:sz w:val="22"/>
          <w:highlight w:val="none"/>
        </w:rPr>
        <w:t>。</w:t>
      </w:r>
    </w:p>
    <w:p w14:paraId="1C577301">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承</w:t>
      </w:r>
      <w:bookmarkStart w:id="738" w:name="_Toc296891244"/>
      <w:bookmarkStart w:id="739" w:name="_Toc303539152"/>
      <w:bookmarkStart w:id="740" w:name="_Toc296891032"/>
      <w:bookmarkStart w:id="741" w:name="_Toc296944543"/>
      <w:bookmarkStart w:id="742" w:name="_Toc300934995"/>
      <w:bookmarkStart w:id="743" w:name="_Toc292559914"/>
      <w:bookmarkStart w:id="744" w:name="_Toc318581175"/>
      <w:bookmarkStart w:id="745" w:name="_Toc296347203"/>
      <w:bookmarkStart w:id="746" w:name="_Toc304295571"/>
      <w:bookmarkStart w:id="747" w:name="_Toc296346705"/>
      <w:bookmarkStart w:id="748" w:name="_Toc297123546"/>
      <w:bookmarkStart w:id="749" w:name="_Toc296503204"/>
      <w:bookmarkStart w:id="750" w:name="_Toc292559409"/>
      <w:bookmarkStart w:id="751" w:name="_Toc312677504"/>
      <w:bookmarkStart w:id="752" w:name="_Toc312678030"/>
      <w:bookmarkStart w:id="753" w:name="_Toc297216205"/>
      <w:bookmarkStart w:id="754" w:name="_Toc297120504"/>
      <w:bookmarkStart w:id="755" w:name="_Toc297048390"/>
      <w:r>
        <w:rPr>
          <w:rFonts w:hint="eastAsia" w:ascii="宋体" w:hAnsi="宋体" w:cs="宋体"/>
          <w:color w:val="auto"/>
          <w:sz w:val="22"/>
          <w:highlight w:val="none"/>
        </w:rPr>
        <w:t>包人提出的合理化建议降低了合同价格或者提高了工程经济效益的奖励的方法和金额为</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无</w:t>
      </w:r>
      <w:r>
        <w:rPr>
          <w:rFonts w:hint="eastAsia" w:ascii="宋体" w:hAnsi="宋体" w:cs="宋体"/>
          <w:color w:val="auto"/>
          <w:sz w:val="22"/>
          <w:highlight w:val="none"/>
        </w:rPr>
        <w:t>。</w:t>
      </w:r>
    </w:p>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14:paraId="247EB5CA">
      <w:pPr>
        <w:pStyle w:val="39"/>
        <w:spacing w:line="360" w:lineRule="exact"/>
        <w:ind w:firstLine="442" w:firstLineChars="200"/>
        <w:rPr>
          <w:rFonts w:hint="eastAsia" w:ascii="宋体" w:hAnsi="宋体" w:cs="宋体"/>
          <w:color w:val="auto"/>
          <w:sz w:val="22"/>
          <w:szCs w:val="22"/>
          <w:highlight w:val="none"/>
        </w:rPr>
      </w:pPr>
      <w:bookmarkStart w:id="756" w:name="_Toc389065310"/>
      <w:bookmarkStart w:id="757" w:name="_Toc533432770"/>
      <w:bookmarkStart w:id="758" w:name="_Toc373478391"/>
      <w:bookmarkStart w:id="759" w:name="_Toc395382547"/>
      <w:bookmarkStart w:id="760" w:name="_Toc373227744"/>
      <w:bookmarkStart w:id="761" w:name="_Toc12975935"/>
      <w:r>
        <w:rPr>
          <w:rFonts w:hint="eastAsia" w:ascii="宋体" w:hAnsi="宋体" w:cs="宋体"/>
          <w:color w:val="auto"/>
          <w:sz w:val="22"/>
          <w:szCs w:val="22"/>
          <w:highlight w:val="none"/>
        </w:rPr>
        <w:t>1</w:t>
      </w:r>
      <w:bookmarkStart w:id="762" w:name="_Toc297216207"/>
      <w:bookmarkStart w:id="763" w:name="_Toc296944538"/>
      <w:bookmarkStart w:id="764" w:name="_Toc296347198"/>
      <w:bookmarkStart w:id="765" w:name="_Toc304295574"/>
      <w:bookmarkStart w:id="766" w:name="_Toc296503199"/>
      <w:bookmarkStart w:id="767" w:name="_Toc292559909"/>
      <w:bookmarkStart w:id="768" w:name="_Toc297123548"/>
      <w:bookmarkStart w:id="769" w:name="_Toc312678033"/>
      <w:bookmarkStart w:id="770" w:name="_Toc312677507"/>
      <w:bookmarkStart w:id="771" w:name="_Toc303539154"/>
      <w:bookmarkStart w:id="772" w:name="_Toc292559404"/>
      <w:bookmarkStart w:id="773" w:name="_Toc297048385"/>
      <w:bookmarkStart w:id="774" w:name="_Toc300934997"/>
      <w:bookmarkStart w:id="775" w:name="_Toc296891027"/>
      <w:bookmarkStart w:id="776" w:name="_Toc296891239"/>
      <w:bookmarkStart w:id="777" w:name="_Toc297120499"/>
      <w:bookmarkStart w:id="778" w:name="_Toc296346700"/>
      <w:r>
        <w:rPr>
          <w:rFonts w:hint="eastAsia" w:ascii="宋体" w:hAnsi="宋体" w:cs="宋体"/>
          <w:color w:val="auto"/>
          <w:sz w:val="22"/>
          <w:szCs w:val="22"/>
          <w:highlight w:val="none"/>
        </w:rPr>
        <w:t>0.7 暂估价</w:t>
      </w:r>
      <w:bookmarkEnd w:id="756"/>
      <w:bookmarkEnd w:id="757"/>
      <w:bookmarkEnd w:id="758"/>
      <w:bookmarkEnd w:id="759"/>
      <w:bookmarkEnd w:id="760"/>
      <w:bookmarkEnd w:id="761"/>
    </w:p>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14:paraId="239B8DFF">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kern w:val="0"/>
          <w:sz w:val="22"/>
          <w:highlight w:val="none"/>
        </w:rPr>
        <w:t>暂</w:t>
      </w:r>
      <w:bookmarkStart w:id="779" w:name="_Toc312677508"/>
      <w:bookmarkStart w:id="780" w:name="_Toc312678034"/>
      <w:bookmarkStart w:id="781" w:name="_Toc318581176"/>
      <w:r>
        <w:rPr>
          <w:rFonts w:hint="eastAsia" w:ascii="宋体" w:hAnsi="宋体" w:cs="宋体"/>
          <w:color w:val="auto"/>
          <w:kern w:val="0"/>
          <w:sz w:val="22"/>
          <w:highlight w:val="none"/>
        </w:rPr>
        <w:t>估价材料和工程设备的明细详见已标价工程量清单《</w:t>
      </w:r>
      <w:r>
        <w:rPr>
          <w:rFonts w:hint="eastAsia" w:ascii="宋体" w:hAnsi="宋体" w:cs="宋体"/>
          <w:color w:val="auto"/>
          <w:sz w:val="22"/>
          <w:highlight w:val="none"/>
        </w:rPr>
        <w:t>材料（工程设备）暂估价格及调整表》</w:t>
      </w:r>
      <w:r>
        <w:rPr>
          <w:rFonts w:hint="eastAsia" w:ascii="宋体" w:hAnsi="宋体" w:cs="宋体"/>
          <w:color w:val="auto"/>
          <w:kern w:val="0"/>
          <w:sz w:val="22"/>
          <w:highlight w:val="none"/>
        </w:rPr>
        <w:t>（表12-2）和《</w:t>
      </w:r>
      <w:r>
        <w:rPr>
          <w:rFonts w:hint="eastAsia" w:ascii="宋体" w:hAnsi="宋体" w:cs="宋体"/>
          <w:color w:val="auto"/>
          <w:sz w:val="22"/>
          <w:highlight w:val="none"/>
        </w:rPr>
        <w:t>专业工程暂估价表》（</w:t>
      </w:r>
      <w:r>
        <w:rPr>
          <w:rFonts w:hint="eastAsia" w:ascii="宋体" w:hAnsi="宋体" w:cs="宋体"/>
          <w:color w:val="auto"/>
          <w:kern w:val="0"/>
          <w:sz w:val="22"/>
          <w:highlight w:val="none"/>
        </w:rPr>
        <w:t>表12-3）。</w:t>
      </w:r>
    </w:p>
    <w:bookmarkEnd w:id="779"/>
    <w:bookmarkEnd w:id="780"/>
    <w:bookmarkEnd w:id="781"/>
    <w:p w14:paraId="56613B0C">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w:t>
      </w:r>
      <w:bookmarkStart w:id="782" w:name="_Toc312677509"/>
      <w:bookmarkStart w:id="783" w:name="_Toc318581177"/>
      <w:bookmarkStart w:id="784" w:name="_Toc312678035"/>
      <w:r>
        <w:rPr>
          <w:rFonts w:hint="eastAsia" w:ascii="宋体" w:hAnsi="宋体" w:cs="宋体"/>
          <w:color w:val="auto"/>
          <w:sz w:val="22"/>
          <w:highlight w:val="none"/>
        </w:rPr>
        <w:t>0.7.1 依法必须招标的暂估价项目</w:t>
      </w:r>
    </w:p>
    <w:bookmarkEnd w:id="782"/>
    <w:bookmarkEnd w:id="783"/>
    <w:bookmarkEnd w:id="784"/>
    <w:p w14:paraId="736B1EFA">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对于依法必须招标的暂估价项目的确认和批准采取第</w:t>
      </w:r>
      <w:r>
        <w:rPr>
          <w:rFonts w:hint="eastAsia" w:ascii="宋体" w:hAnsi="宋体" w:cs="宋体"/>
          <w:color w:val="auto"/>
          <w:sz w:val="22"/>
          <w:highlight w:val="none"/>
          <w:u w:val="single"/>
        </w:rPr>
        <w:t xml:space="preserve">  </w:t>
      </w:r>
      <w:r>
        <w:rPr>
          <w:rStyle w:val="24"/>
          <w:rFonts w:hint="eastAsia" w:ascii="宋体" w:hAnsi="宋体" w:eastAsia="宋体" w:cs="宋体"/>
          <w:color w:val="auto"/>
          <w:szCs w:val="21"/>
          <w:highlight w:val="none"/>
          <w:u w:val="singl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种方式确定。</w:t>
      </w:r>
    </w:p>
    <w:p w14:paraId="00D6A6BC">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10.7.2 不属于依法必须招标的暂估价项目</w:t>
      </w:r>
    </w:p>
    <w:p w14:paraId="77117E28">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对于不属于依法必须招标的暂估价项目的确认和批准采取第</w:t>
      </w:r>
      <w:r>
        <w:rPr>
          <w:rFonts w:hint="eastAsia" w:ascii="宋体" w:hAnsi="宋体" w:cs="宋体"/>
          <w:color w:val="auto"/>
          <w:sz w:val="22"/>
          <w:highlight w:val="none"/>
          <w:u w:val="single"/>
        </w:rPr>
        <w:t xml:space="preserve">  </w:t>
      </w:r>
      <w:r>
        <w:rPr>
          <w:rStyle w:val="24"/>
          <w:rFonts w:hint="eastAsia" w:ascii="宋体" w:hAnsi="宋体" w:eastAsia="宋体" w:cs="宋体"/>
          <w:color w:val="auto"/>
          <w:szCs w:val="21"/>
          <w:highlight w:val="none"/>
          <w:u w:val="singl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种方式确定。</w:t>
      </w:r>
    </w:p>
    <w:p w14:paraId="50C44348">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sz w:val="22"/>
          <w:highlight w:val="none"/>
        </w:rPr>
        <w:t>第3种方式：</w:t>
      </w:r>
      <w:r>
        <w:rPr>
          <w:rFonts w:hint="eastAsia" w:ascii="宋体" w:hAnsi="宋体" w:cs="宋体"/>
          <w:color w:val="auto"/>
          <w:kern w:val="0"/>
          <w:sz w:val="22"/>
          <w:highlight w:val="none"/>
        </w:rPr>
        <w:t>承包人直接实施的暂估价项目</w:t>
      </w:r>
    </w:p>
    <w:p w14:paraId="376E0326">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承包人直接实施的暂估价项目的约定：</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无</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6E16864E">
      <w:pPr>
        <w:pStyle w:val="39"/>
        <w:spacing w:line="360" w:lineRule="exact"/>
        <w:ind w:firstLine="442" w:firstLineChars="200"/>
        <w:rPr>
          <w:rFonts w:hint="eastAsia" w:ascii="宋体" w:hAnsi="宋体" w:cs="宋体"/>
          <w:color w:val="auto"/>
          <w:sz w:val="22"/>
          <w:szCs w:val="22"/>
          <w:highlight w:val="none"/>
        </w:rPr>
      </w:pPr>
      <w:bookmarkStart w:id="785" w:name="_Toc373478392"/>
      <w:bookmarkStart w:id="786" w:name="_Toc12975936"/>
      <w:bookmarkStart w:id="787" w:name="_Toc395382548"/>
      <w:bookmarkStart w:id="788" w:name="_Toc533432771"/>
      <w:bookmarkStart w:id="789" w:name="_Toc389065311"/>
      <w:bookmarkStart w:id="790" w:name="_Toc373227745"/>
      <w:r>
        <w:rPr>
          <w:rFonts w:hint="eastAsia" w:ascii="宋体" w:hAnsi="宋体" w:cs="宋体"/>
          <w:color w:val="auto"/>
          <w:sz w:val="22"/>
          <w:szCs w:val="22"/>
          <w:highlight w:val="none"/>
        </w:rPr>
        <w:t>10.8 暂列金额</w:t>
      </w:r>
      <w:bookmarkEnd w:id="785"/>
      <w:bookmarkEnd w:id="786"/>
      <w:bookmarkEnd w:id="787"/>
      <w:bookmarkEnd w:id="788"/>
      <w:bookmarkEnd w:id="789"/>
      <w:bookmarkEnd w:id="790"/>
    </w:p>
    <w:p w14:paraId="1128BC10">
      <w:pPr>
        <w:pStyle w:val="74"/>
        <w:spacing w:line="3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合同当事人关于暂列金额使用的约定：</w:t>
      </w:r>
    </w:p>
    <w:p w14:paraId="5C8E8B16">
      <w:pPr>
        <w:pStyle w:val="40"/>
        <w:autoSpaceDE w:val="0"/>
        <w:autoSpaceDN w:val="0"/>
        <w:adjustRightInd w:val="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合同当事人关于暂列金额使用的约定：</w:t>
      </w:r>
      <w:r>
        <w:rPr>
          <w:rFonts w:hint="eastAsia" w:ascii="宋体" w:hAnsi="宋体" w:cs="宋体"/>
          <w:bCs/>
          <w:color w:val="auto"/>
          <w:sz w:val="22"/>
          <w:highlight w:val="none"/>
          <w:u w:val="single"/>
        </w:rPr>
        <w:t>暂列金额是发包人为可能发生的工程变更，或用于提供不可预见的货物、材料和工程设备等因素发生的工程价款调增，以及经确认的索赔、现场签证，或用于提供相关服务或意外事件等而预留的金额，并非支付给承包人的实际费用。暂列金额只能按照发包人的指示使用。结算时，暂列金额应按实际发生的情况进行结算，剩余部分仍归发包人所有，不支付给承包人</w:t>
      </w:r>
      <w:r>
        <w:rPr>
          <w:rFonts w:hint="eastAsia" w:ascii="宋体" w:hAnsi="宋体" w:cs="宋体"/>
          <w:color w:val="auto"/>
          <w:kern w:val="0"/>
          <w:sz w:val="22"/>
          <w:highlight w:val="none"/>
        </w:rPr>
        <w:t>。</w:t>
      </w:r>
    </w:p>
    <w:p w14:paraId="5F0E046D">
      <w:pPr>
        <w:pStyle w:val="73"/>
        <w:spacing w:before="0" w:after="0" w:line="360" w:lineRule="exact"/>
        <w:ind w:firstLine="442" w:firstLineChars="200"/>
        <w:rPr>
          <w:rFonts w:hint="eastAsia" w:ascii="宋体" w:hAnsi="宋体" w:cs="宋体"/>
          <w:color w:val="auto"/>
          <w:sz w:val="22"/>
          <w:szCs w:val="22"/>
          <w:highlight w:val="none"/>
        </w:rPr>
      </w:pPr>
      <w:bookmarkStart w:id="791" w:name="_Toc12975937"/>
      <w:bookmarkStart w:id="792" w:name="_Toc389065312"/>
      <w:bookmarkStart w:id="793" w:name="_Toc351203643"/>
      <w:bookmarkStart w:id="794" w:name="_Toc373227746"/>
      <w:bookmarkStart w:id="795" w:name="_Toc533432772"/>
      <w:bookmarkStart w:id="796" w:name="_Toc395382549"/>
      <w:bookmarkStart w:id="797" w:name="_Toc373478393"/>
      <w:r>
        <w:rPr>
          <w:rFonts w:hint="eastAsia" w:ascii="宋体" w:hAnsi="宋体" w:cs="宋体"/>
          <w:color w:val="auto"/>
          <w:sz w:val="22"/>
          <w:szCs w:val="22"/>
          <w:highlight w:val="none"/>
        </w:rPr>
        <w:t>11. 价格调整</w:t>
      </w:r>
      <w:bookmarkEnd w:id="791"/>
      <w:bookmarkEnd w:id="792"/>
      <w:bookmarkEnd w:id="793"/>
      <w:bookmarkEnd w:id="794"/>
      <w:bookmarkEnd w:id="795"/>
      <w:bookmarkEnd w:id="796"/>
      <w:bookmarkEnd w:id="797"/>
    </w:p>
    <w:p w14:paraId="7D6BB8A7">
      <w:pPr>
        <w:pStyle w:val="39"/>
        <w:spacing w:line="360" w:lineRule="exact"/>
        <w:ind w:firstLine="442" w:firstLineChars="200"/>
        <w:rPr>
          <w:rFonts w:hint="eastAsia" w:ascii="宋体" w:hAnsi="宋体" w:cs="宋体"/>
          <w:color w:val="auto"/>
          <w:sz w:val="22"/>
          <w:szCs w:val="22"/>
          <w:highlight w:val="none"/>
        </w:rPr>
      </w:pPr>
      <w:bookmarkStart w:id="798" w:name="_Toc395382550"/>
      <w:bookmarkStart w:id="799" w:name="_Toc373227747"/>
      <w:bookmarkStart w:id="800" w:name="_Toc12975938"/>
      <w:bookmarkStart w:id="801" w:name="_Toc533432773"/>
      <w:bookmarkStart w:id="802" w:name="_Toc373478394"/>
      <w:bookmarkStart w:id="803" w:name="_Toc389065313"/>
      <w:bookmarkStart w:id="804" w:name="_Toc312678039"/>
      <w:bookmarkStart w:id="805" w:name="_Toc296346702"/>
      <w:bookmarkStart w:id="806" w:name="_Toc297120501"/>
      <w:bookmarkStart w:id="807" w:name="_Toc296891029"/>
      <w:bookmarkStart w:id="808" w:name="_Toc297216209"/>
      <w:bookmarkStart w:id="809" w:name="_Toc300935000"/>
      <w:bookmarkStart w:id="810" w:name="_Toc303539157"/>
      <w:bookmarkStart w:id="811" w:name="_Toc297048387"/>
      <w:bookmarkStart w:id="812" w:name="_Toc292559911"/>
      <w:bookmarkStart w:id="813" w:name="_Toc296503201"/>
      <w:bookmarkStart w:id="814" w:name="_Toc297123550"/>
      <w:bookmarkStart w:id="815" w:name="_Toc304295577"/>
      <w:bookmarkStart w:id="816" w:name="_Toc296944540"/>
      <w:bookmarkStart w:id="817" w:name="_Toc292559406"/>
      <w:bookmarkStart w:id="818" w:name="_Toc296347200"/>
      <w:bookmarkStart w:id="819" w:name="_Toc296891241"/>
      <w:r>
        <w:rPr>
          <w:rFonts w:hint="eastAsia" w:ascii="宋体" w:hAnsi="宋体" w:cs="宋体"/>
          <w:color w:val="auto"/>
          <w:sz w:val="22"/>
          <w:szCs w:val="22"/>
          <w:highlight w:val="none"/>
        </w:rPr>
        <w:t>11.1 市场价格波动引起的调整</w:t>
      </w:r>
      <w:bookmarkEnd w:id="798"/>
      <w:bookmarkEnd w:id="799"/>
      <w:bookmarkEnd w:id="800"/>
      <w:bookmarkEnd w:id="801"/>
      <w:bookmarkEnd w:id="802"/>
      <w:bookmarkEnd w:id="803"/>
    </w:p>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14:paraId="428618F1">
      <w:pPr>
        <w:pStyle w:val="75"/>
        <w:spacing w:line="360" w:lineRule="exact"/>
        <w:ind w:firstLine="416" w:firstLineChars="200"/>
        <w:rPr>
          <w:rFonts w:hint="eastAsia" w:ascii="宋体" w:hAnsi="宋体" w:cs="宋体"/>
          <w:color w:val="auto"/>
          <w:sz w:val="22"/>
          <w:highlight w:val="none"/>
        </w:rPr>
      </w:pPr>
      <w:r>
        <w:rPr>
          <w:rFonts w:hint="eastAsia" w:ascii="宋体" w:hAnsi="宋体" w:cs="宋体"/>
          <w:color w:val="auto"/>
          <w:spacing w:val="-6"/>
          <w:kern w:val="0"/>
          <w:sz w:val="22"/>
          <w:highlight w:val="none"/>
        </w:rPr>
        <w:t>采用可调价格形式的工程项目价格调整的条件是：主要材料价格上涨或下调超过5%时（价格以当期防城港市建设工程造价信息为准），可对超出5%的部分进行协商调价，5%（含5%）以内部分不做调整。</w:t>
      </w:r>
    </w:p>
    <w:p w14:paraId="3923B7BD">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kern w:val="0"/>
          <w:sz w:val="22"/>
          <w:highlight w:val="none"/>
        </w:rPr>
        <w:t>市场价格波动是否调整合同价格的约定：</w:t>
      </w:r>
      <w:r>
        <w:rPr>
          <w:rFonts w:hint="eastAsia" w:ascii="宋体" w:hAnsi="宋体" w:cs="宋体"/>
          <w:color w:val="auto"/>
          <w:sz w:val="22"/>
          <w:highlight w:val="none"/>
          <w:u w:val="single"/>
        </w:rPr>
        <w:t>调整</w:t>
      </w:r>
      <w:r>
        <w:rPr>
          <w:rFonts w:hint="eastAsia" w:ascii="宋体" w:hAnsi="宋体" w:cs="宋体"/>
          <w:color w:val="auto"/>
          <w:sz w:val="22"/>
          <w:highlight w:val="none"/>
          <w:u w:val="none"/>
        </w:rPr>
        <w:t>。</w:t>
      </w:r>
    </w:p>
    <w:p w14:paraId="54FB6094">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因市场价格波动调整合同价格，采用以下第</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2</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种方式对合同价格进行调整：</w:t>
      </w:r>
    </w:p>
    <w:p w14:paraId="386D10A4">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第1种方式：采用价格指数进行价格调整。</w:t>
      </w:r>
    </w:p>
    <w:p w14:paraId="5953D4CD">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关于各可调因子、定值和变值权重，以及基本价格指数及其来源的约定：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p>
    <w:p w14:paraId="051103C5">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第2种方式：采用造价信息进行价格调整。</w:t>
      </w:r>
    </w:p>
    <w:p w14:paraId="3EEC3882">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（1）允许调整的主要材料（设备）、基期价格、风险系数、磋商报价：详见《承包人提供主要材料和设备一览表》。</w:t>
      </w:r>
    </w:p>
    <w:p w14:paraId="18E34C58">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（2）主要材料确认价：</w:t>
      </w:r>
    </w:p>
    <w:p w14:paraId="70470BFC">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按施工期间《</w:t>
      </w:r>
      <w:r>
        <w:rPr>
          <w:rFonts w:hint="eastAsia" w:ascii="宋体" w:hAnsi="宋体" w:cs="宋体"/>
          <w:color w:val="auto"/>
          <w:sz w:val="22"/>
          <w:highlight w:val="none"/>
          <w:u w:val="single"/>
        </w:rPr>
        <w:t xml:space="preserve"> 防城港 </w:t>
      </w:r>
      <w:r>
        <w:rPr>
          <w:rFonts w:hint="eastAsia" w:ascii="宋体" w:hAnsi="宋体" w:cs="宋体"/>
          <w:color w:val="auto"/>
          <w:sz w:val="22"/>
          <w:highlight w:val="none"/>
        </w:rPr>
        <w:t>市建设工程造价信息》加权平均计算，信息价没有的按</w:t>
      </w:r>
      <w:r>
        <w:rPr>
          <w:rFonts w:hint="eastAsia" w:ascii="宋体" w:hAnsi="宋体" w:cs="宋体"/>
          <w:color w:val="auto"/>
          <w:sz w:val="22"/>
          <w:highlight w:val="none"/>
          <w:lang w:eastAsia="zh-CN"/>
        </w:rPr>
        <w:t>通用合同条款</w:t>
      </w:r>
      <w:r>
        <w:rPr>
          <w:rFonts w:hint="eastAsia" w:ascii="宋体" w:hAnsi="宋体" w:cs="宋体"/>
          <w:color w:val="auto"/>
          <w:sz w:val="22"/>
          <w:highlight w:val="none"/>
        </w:rPr>
        <w:t>规定确定。</w:t>
      </w:r>
    </w:p>
    <w:p w14:paraId="496E64F3">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（3）价差计算方法：</w:t>
      </w:r>
    </w:p>
    <w:p w14:paraId="4255CB83">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①《承包人提供主要材料和设备一览表》中载明的材料磋商报价低于基准价格的：合同履行期间材料单价涨幅以基准价格为基础超过约定的风险范围时，或材料单价跌幅以磋商报价为基础超过约定的风险范围时，其超过部分据实调整。</w:t>
      </w:r>
    </w:p>
    <w:p w14:paraId="1B09B1B9">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②承包人在《承包人提供主要材料和设备一览表》中载明的材料和设备磋商的风险范围时，材料和设备单价涨幅以磋商报价为基础超过约定的风险范围时，其超过部分据实调整。</w:t>
      </w:r>
    </w:p>
    <w:p w14:paraId="1077FDA8">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③承包人在《承包人提供主要材料和设备一览表》中载明的材料和设备单价等于基准单价的：合同履行期间材料和 设备单价涨跌幅以基准单价为基础超过约定的风险范围时，其超过部分据实调整。</w:t>
      </w:r>
    </w:p>
    <w:p w14:paraId="14CF6D12">
      <w:pPr>
        <w:pStyle w:val="40"/>
        <w:spacing w:line="360" w:lineRule="exact"/>
        <w:ind w:firstLine="442" w:firstLineChars="200"/>
        <w:jc w:val="left"/>
        <w:rPr>
          <w:rFonts w:hint="eastAsia" w:ascii="宋体" w:hAnsi="宋体" w:cs="宋体"/>
          <w:b/>
          <w:bCs/>
          <w:color w:val="auto"/>
          <w:sz w:val="22"/>
          <w:highlight w:val="none"/>
        </w:rPr>
      </w:pPr>
      <w:r>
        <w:rPr>
          <w:rFonts w:hint="eastAsia" w:ascii="宋体" w:hAnsi="宋体" w:cs="宋体"/>
          <w:b/>
          <w:bCs/>
          <w:color w:val="auto"/>
          <w:sz w:val="22"/>
          <w:highlight w:val="none"/>
        </w:rPr>
        <w:t xml:space="preserve">11.2 不平衡报价调整方式 </w:t>
      </w:r>
    </w:p>
    <w:p w14:paraId="7EDD1575">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 xml:space="preserve">    按防住建发〔2016〕31号文《防城港市政府投资项目房屋建筑和市政基础设施工程严重不平衡报价修正暂行办法》的规定进行修正。</w:t>
      </w:r>
    </w:p>
    <w:bookmarkEnd w:id="658"/>
    <w:bookmarkEnd w:id="659"/>
    <w:bookmarkEnd w:id="660"/>
    <w:bookmarkEnd w:id="661"/>
    <w:bookmarkEnd w:id="662"/>
    <w:bookmarkEnd w:id="663"/>
    <w:p w14:paraId="406CEF90">
      <w:pPr>
        <w:pStyle w:val="73"/>
        <w:spacing w:before="0" w:after="0" w:line="360" w:lineRule="exact"/>
        <w:ind w:firstLine="442" w:firstLineChars="200"/>
        <w:rPr>
          <w:rFonts w:hint="eastAsia" w:ascii="宋体" w:hAnsi="宋体" w:cs="宋体"/>
          <w:color w:val="auto"/>
          <w:sz w:val="22"/>
          <w:szCs w:val="22"/>
          <w:highlight w:val="none"/>
        </w:rPr>
      </w:pPr>
      <w:bookmarkStart w:id="820" w:name="_Toc292559915"/>
      <w:bookmarkStart w:id="821" w:name="_Toc292559410"/>
      <w:bookmarkStart w:id="822" w:name="_Toc296347204"/>
      <w:bookmarkStart w:id="823" w:name="_Toc297048391"/>
      <w:bookmarkStart w:id="824" w:name="_Toc296503205"/>
      <w:bookmarkStart w:id="825" w:name="_Toc296891245"/>
      <w:bookmarkStart w:id="826" w:name="_Toc296891033"/>
      <w:bookmarkStart w:id="827" w:name="_Toc297120505"/>
      <w:bookmarkStart w:id="828" w:name="_Toc296346706"/>
      <w:bookmarkStart w:id="829" w:name="_Toc296944544"/>
      <w:bookmarkStart w:id="830" w:name="_Toc533432774"/>
      <w:bookmarkStart w:id="831" w:name="_Toc12975939"/>
      <w:bookmarkStart w:id="832" w:name="_Toc395382551"/>
      <w:bookmarkStart w:id="833" w:name="_Toc373478395"/>
      <w:bookmarkStart w:id="834" w:name="_Toc351203644"/>
      <w:bookmarkStart w:id="835" w:name="_Toc373227748"/>
      <w:bookmarkStart w:id="836" w:name="_Toc303539159"/>
      <w:bookmarkStart w:id="837" w:name="_Toc304295579"/>
      <w:bookmarkStart w:id="838" w:name="_Toc297216211"/>
      <w:bookmarkStart w:id="839" w:name="_Toc297123552"/>
      <w:bookmarkStart w:id="840" w:name="_Toc312678040"/>
      <w:bookmarkStart w:id="841" w:name="_Toc300935002"/>
      <w:r>
        <w:rPr>
          <w:rFonts w:hint="eastAsia" w:ascii="宋体" w:hAnsi="宋体" w:cs="宋体"/>
          <w:color w:val="auto"/>
          <w:sz w:val="22"/>
          <w:szCs w:val="22"/>
          <w:highlight w:val="none"/>
        </w:rPr>
        <w:t xml:space="preserve">12. </w:t>
      </w:r>
      <w:bookmarkEnd w:id="820"/>
      <w:bookmarkEnd w:id="821"/>
      <w:bookmarkEnd w:id="822"/>
      <w:bookmarkEnd w:id="823"/>
      <w:bookmarkEnd w:id="824"/>
      <w:bookmarkEnd w:id="825"/>
      <w:bookmarkEnd w:id="826"/>
      <w:bookmarkEnd w:id="827"/>
      <w:bookmarkEnd w:id="828"/>
      <w:bookmarkEnd w:id="829"/>
      <w:r>
        <w:rPr>
          <w:rFonts w:hint="eastAsia" w:ascii="宋体" w:hAnsi="宋体" w:cs="宋体"/>
          <w:color w:val="auto"/>
          <w:sz w:val="22"/>
          <w:szCs w:val="22"/>
          <w:highlight w:val="none"/>
        </w:rPr>
        <w:t>合同价格、计量与支付</w:t>
      </w:r>
      <w:bookmarkEnd w:id="830"/>
      <w:bookmarkEnd w:id="831"/>
      <w:bookmarkEnd w:id="832"/>
      <w:bookmarkEnd w:id="833"/>
      <w:bookmarkEnd w:id="834"/>
      <w:bookmarkEnd w:id="835"/>
    </w:p>
    <w:bookmarkEnd w:id="836"/>
    <w:bookmarkEnd w:id="837"/>
    <w:bookmarkEnd w:id="838"/>
    <w:bookmarkEnd w:id="839"/>
    <w:bookmarkEnd w:id="840"/>
    <w:bookmarkEnd w:id="841"/>
    <w:p w14:paraId="7A3FB432">
      <w:pPr>
        <w:pStyle w:val="39"/>
        <w:spacing w:line="360" w:lineRule="exact"/>
        <w:ind w:firstLine="442" w:firstLineChars="200"/>
        <w:rPr>
          <w:rFonts w:hint="eastAsia" w:ascii="宋体" w:hAnsi="宋体" w:cs="宋体"/>
          <w:color w:val="auto"/>
          <w:sz w:val="22"/>
          <w:szCs w:val="22"/>
          <w:highlight w:val="none"/>
        </w:rPr>
      </w:pPr>
      <w:bookmarkStart w:id="842" w:name="_Toc267251461"/>
      <w:bookmarkStart w:id="843" w:name="_Toc292559916"/>
      <w:bookmarkStart w:id="844" w:name="_Toc292559411"/>
      <w:bookmarkStart w:id="845" w:name="_Toc296347205"/>
      <w:bookmarkStart w:id="846" w:name="_Toc297048392"/>
      <w:bookmarkStart w:id="847" w:name="_Toc296944545"/>
      <w:bookmarkStart w:id="848" w:name="_Toc296346707"/>
      <w:bookmarkStart w:id="849" w:name="_Toc296891034"/>
      <w:bookmarkStart w:id="850" w:name="_Toc296891246"/>
      <w:bookmarkStart w:id="851" w:name="_Toc296503206"/>
      <w:bookmarkStart w:id="852" w:name="_Toc297120506"/>
      <w:bookmarkStart w:id="853" w:name="_Toc373478396"/>
      <w:bookmarkStart w:id="854" w:name="_Toc373227749"/>
      <w:bookmarkStart w:id="855" w:name="_Toc533432775"/>
      <w:bookmarkStart w:id="856" w:name="_Toc12975940"/>
      <w:bookmarkStart w:id="857" w:name="_Toc389065314"/>
      <w:bookmarkStart w:id="858" w:name="_Toc395382552"/>
      <w:bookmarkStart w:id="859" w:name="_Toc312678041"/>
      <w:bookmarkStart w:id="860" w:name="_Toc297123553"/>
      <w:bookmarkStart w:id="861" w:name="_Toc304295580"/>
      <w:bookmarkStart w:id="862" w:name="_Toc297216212"/>
      <w:bookmarkStart w:id="863" w:name="_Toc303539160"/>
      <w:bookmarkStart w:id="864" w:name="_Toc300935003"/>
      <w:r>
        <w:rPr>
          <w:rFonts w:hint="eastAsia" w:ascii="宋体" w:hAnsi="宋体" w:cs="宋体"/>
          <w:color w:val="auto"/>
          <w:sz w:val="22"/>
          <w:szCs w:val="22"/>
          <w:highlight w:val="none"/>
        </w:rPr>
        <w:t>12.1 合</w:t>
      </w:r>
      <w:bookmarkEnd w:id="842"/>
      <w:bookmarkEnd w:id="843"/>
      <w:bookmarkEnd w:id="844"/>
      <w:r>
        <w:rPr>
          <w:rFonts w:hint="eastAsia" w:ascii="宋体" w:hAnsi="宋体" w:cs="宋体"/>
          <w:color w:val="auto"/>
          <w:sz w:val="22"/>
          <w:szCs w:val="22"/>
          <w:highlight w:val="none"/>
        </w:rPr>
        <w:t>同价</w:t>
      </w:r>
      <w:bookmarkEnd w:id="845"/>
      <w:bookmarkEnd w:id="846"/>
      <w:bookmarkEnd w:id="847"/>
      <w:bookmarkEnd w:id="848"/>
      <w:bookmarkEnd w:id="849"/>
      <w:bookmarkEnd w:id="850"/>
      <w:bookmarkEnd w:id="851"/>
      <w:bookmarkEnd w:id="852"/>
      <w:r>
        <w:rPr>
          <w:rFonts w:hint="eastAsia" w:ascii="宋体" w:hAnsi="宋体" w:cs="宋体"/>
          <w:color w:val="auto"/>
          <w:sz w:val="22"/>
          <w:szCs w:val="22"/>
          <w:highlight w:val="none"/>
        </w:rPr>
        <w:t>格形式</w:t>
      </w:r>
      <w:bookmarkEnd w:id="853"/>
      <w:bookmarkEnd w:id="854"/>
      <w:bookmarkEnd w:id="855"/>
      <w:bookmarkEnd w:id="856"/>
      <w:bookmarkEnd w:id="857"/>
      <w:bookmarkEnd w:id="858"/>
    </w:p>
    <w:p w14:paraId="3CC78292">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 xml:space="preserve">     本工程采用</w:t>
      </w:r>
      <w:r>
        <w:rPr>
          <w:rFonts w:hint="eastAsia" w:ascii="宋体" w:hAnsi="宋体" w:cs="宋体"/>
          <w:color w:val="auto"/>
          <w:sz w:val="22"/>
          <w:highlight w:val="none"/>
          <w:u w:val="single"/>
        </w:rPr>
        <w:t xml:space="preserve">  固定单价  </w:t>
      </w:r>
      <w:r>
        <w:rPr>
          <w:rFonts w:hint="eastAsia" w:ascii="宋体" w:hAnsi="宋体" w:cs="宋体"/>
          <w:color w:val="auto"/>
          <w:sz w:val="22"/>
          <w:highlight w:val="none"/>
        </w:rPr>
        <w:t>合同价格形式。</w:t>
      </w:r>
    </w:p>
    <w:bookmarkEnd w:id="859"/>
    <w:bookmarkEnd w:id="860"/>
    <w:bookmarkEnd w:id="861"/>
    <w:bookmarkEnd w:id="862"/>
    <w:bookmarkEnd w:id="863"/>
    <w:bookmarkEnd w:id="864"/>
    <w:p w14:paraId="33681588">
      <w:pPr>
        <w:pStyle w:val="40"/>
        <w:spacing w:line="360" w:lineRule="exact"/>
        <w:ind w:firstLine="440" w:firstLineChars="200"/>
        <w:jc w:val="left"/>
        <w:rPr>
          <w:rFonts w:hint="eastAsia" w:ascii="宋体" w:hAnsi="宋体" w:cs="宋体"/>
          <w:color w:val="auto"/>
          <w:sz w:val="22"/>
          <w:highlight w:val="none"/>
        </w:rPr>
      </w:pPr>
      <w:bookmarkStart w:id="865" w:name="_Toc389065315"/>
      <w:bookmarkStart w:id="866" w:name="_Toc304295581"/>
      <w:bookmarkStart w:id="867" w:name="_Toc373227750"/>
      <w:bookmarkStart w:id="868" w:name="_Toc312678042"/>
      <w:bookmarkStart w:id="869" w:name="_Toc303539161"/>
      <w:bookmarkStart w:id="870" w:name="_Toc297216213"/>
      <w:bookmarkStart w:id="871" w:name="_Toc300935004"/>
      <w:bookmarkStart w:id="872" w:name="_Toc297123554"/>
      <w:bookmarkStart w:id="873" w:name="_Toc373478397"/>
      <w:bookmarkStart w:id="874" w:name="_Toc296346708"/>
      <w:bookmarkStart w:id="875" w:name="_Toc296503207"/>
      <w:bookmarkStart w:id="876" w:name="_Toc296347206"/>
      <w:bookmarkStart w:id="877" w:name="_Toc292559917"/>
      <w:bookmarkStart w:id="878" w:name="_Toc297120507"/>
      <w:bookmarkStart w:id="879" w:name="_Toc296891035"/>
      <w:bookmarkStart w:id="880" w:name="_Toc297048393"/>
      <w:bookmarkStart w:id="881" w:name="_Toc292559412"/>
      <w:bookmarkStart w:id="882" w:name="_Toc296891247"/>
      <w:bookmarkStart w:id="883" w:name="_Toc296944546"/>
      <w:r>
        <w:rPr>
          <w:rFonts w:hint="eastAsia" w:ascii="宋体" w:hAnsi="宋体" w:cs="宋体"/>
          <w:color w:val="auto"/>
          <w:sz w:val="22"/>
          <w:highlight w:val="none"/>
        </w:rPr>
        <w:t>（1）单价合同。</w:t>
      </w:r>
    </w:p>
    <w:p w14:paraId="0A5C6CF9">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单价合同采用固定综合单价方式确定，工程量按实际结算。</w:t>
      </w:r>
    </w:p>
    <w:p w14:paraId="067099DA">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综合单价包含的风险范围：</w:t>
      </w:r>
      <w:r>
        <w:rPr>
          <w:rFonts w:hint="eastAsia" w:ascii="宋体" w:hAnsi="宋体" w:cs="宋体"/>
          <w:color w:val="auto"/>
          <w:sz w:val="22"/>
          <w:highlight w:val="none"/>
          <w:u w:val="single"/>
        </w:rPr>
        <w:t>除工程变更、本工程约定的市场价格波动风险和政策性（颁布单位为地级市以上（不包含地级市）单位颁布的文件才属于政策性文件）调整以外的其他风险</w:t>
      </w:r>
      <w:r>
        <w:rPr>
          <w:rFonts w:hint="eastAsia" w:ascii="宋体" w:hAnsi="宋体" w:cs="宋体"/>
          <w:color w:val="auto"/>
          <w:sz w:val="22"/>
          <w:highlight w:val="none"/>
        </w:rPr>
        <w:t>。</w:t>
      </w:r>
    </w:p>
    <w:p w14:paraId="53F85886">
      <w:pPr>
        <w:pStyle w:val="56"/>
        <w:spacing w:line="36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风险范围以外合同价格的调整方法：</w:t>
      </w:r>
    </w:p>
    <w:p w14:paraId="4BD9B36B">
      <w:pPr>
        <w:pStyle w:val="56"/>
        <w:spacing w:line="36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①工程变更：按10.4.1变更估价原则的约定调整。</w:t>
      </w:r>
    </w:p>
    <w:p w14:paraId="27888724">
      <w:pPr>
        <w:pStyle w:val="56"/>
        <w:spacing w:line="36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②政策性调整：按自治区建设行政主管部门颁布的文件执行。</w:t>
      </w:r>
    </w:p>
    <w:p w14:paraId="380860A4">
      <w:pPr>
        <w:pStyle w:val="56"/>
        <w:spacing w:line="36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③材料价格风险：按11.1的约定调整。</w:t>
      </w:r>
    </w:p>
    <w:p w14:paraId="63097699">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④其它：</w:t>
      </w:r>
      <w:r>
        <w:rPr>
          <w:rFonts w:hint="eastAsia" w:ascii="宋体" w:hAnsi="宋体" w:cs="宋体"/>
          <w:color w:val="auto"/>
          <w:sz w:val="22"/>
          <w:highlight w:val="none"/>
          <w:u w:val="single"/>
        </w:rPr>
        <w:t xml:space="preserve">  / </w:t>
      </w:r>
      <w:r>
        <w:rPr>
          <w:rFonts w:hint="eastAsia" w:ascii="宋体" w:hAnsi="宋体" w:cs="宋体"/>
          <w:color w:val="auto"/>
          <w:sz w:val="22"/>
          <w:highlight w:val="none"/>
        </w:rPr>
        <w:t>。</w:t>
      </w:r>
    </w:p>
    <w:p w14:paraId="4724049E">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（2）总价合同。</w:t>
      </w:r>
    </w:p>
    <w:p w14:paraId="7AC7D982">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总价包含的风险范围：</w:t>
      </w:r>
      <w:r>
        <w:rPr>
          <w:rFonts w:hint="eastAsia" w:ascii="宋体" w:hAnsi="宋体" w:cs="宋体"/>
          <w:color w:val="auto"/>
          <w:sz w:val="22"/>
          <w:highlight w:val="none"/>
          <w:u w:val="single"/>
        </w:rPr>
        <w:t xml:space="preserve">  / </w:t>
      </w:r>
      <w:r>
        <w:rPr>
          <w:rFonts w:hint="eastAsia" w:ascii="宋体" w:hAnsi="宋体" w:cs="宋体"/>
          <w:color w:val="auto"/>
          <w:sz w:val="22"/>
          <w:highlight w:val="none"/>
        </w:rPr>
        <w:t>。</w:t>
      </w:r>
    </w:p>
    <w:p w14:paraId="1D71C169">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风险范围以外合同价格的调整方法：</w:t>
      </w:r>
      <w:r>
        <w:rPr>
          <w:rFonts w:hint="eastAsia" w:ascii="宋体" w:hAnsi="宋体" w:cs="宋体"/>
          <w:color w:val="auto"/>
          <w:sz w:val="22"/>
          <w:highlight w:val="none"/>
          <w:u w:val="single"/>
        </w:rPr>
        <w:t xml:space="preserve">  / </w:t>
      </w:r>
      <w:r>
        <w:rPr>
          <w:rFonts w:hint="eastAsia" w:ascii="宋体" w:hAnsi="宋体" w:cs="宋体"/>
          <w:color w:val="auto"/>
          <w:sz w:val="22"/>
          <w:highlight w:val="none"/>
        </w:rPr>
        <w:t>。</w:t>
      </w:r>
    </w:p>
    <w:p w14:paraId="42D6E928">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（3）其他价格方式：</w:t>
      </w:r>
      <w:r>
        <w:rPr>
          <w:rFonts w:hint="eastAsia" w:ascii="宋体" w:hAnsi="宋体" w:cs="宋体"/>
          <w:color w:val="auto"/>
          <w:sz w:val="22"/>
          <w:highlight w:val="none"/>
          <w:u w:val="single"/>
        </w:rPr>
        <w:t xml:space="preserve">  / </w:t>
      </w:r>
      <w:r>
        <w:rPr>
          <w:rFonts w:hint="eastAsia" w:ascii="宋体" w:hAnsi="宋体" w:cs="宋体"/>
          <w:color w:val="auto"/>
          <w:sz w:val="22"/>
          <w:highlight w:val="none"/>
        </w:rPr>
        <w:t>。</w:t>
      </w:r>
    </w:p>
    <w:p w14:paraId="518272C1">
      <w:pPr>
        <w:pStyle w:val="39"/>
        <w:spacing w:line="360" w:lineRule="exact"/>
        <w:ind w:firstLine="442" w:firstLineChars="200"/>
        <w:rPr>
          <w:rFonts w:hint="eastAsia" w:ascii="宋体" w:hAnsi="宋体" w:eastAsia="黑体" w:cs="宋体"/>
          <w:color w:val="auto"/>
          <w:sz w:val="22"/>
          <w:szCs w:val="22"/>
          <w:highlight w:val="none"/>
          <w:lang w:eastAsia="zh-CN"/>
        </w:rPr>
      </w:pPr>
      <w:bookmarkStart w:id="884" w:name="_Toc533432776"/>
      <w:bookmarkStart w:id="885" w:name="_Toc395382553"/>
      <w:bookmarkStart w:id="886" w:name="_Toc12975941"/>
      <w:r>
        <w:rPr>
          <w:rFonts w:hint="eastAsia" w:ascii="宋体" w:hAnsi="宋体" w:cs="宋体"/>
          <w:color w:val="auto"/>
          <w:sz w:val="22"/>
          <w:szCs w:val="22"/>
          <w:highlight w:val="none"/>
        </w:rPr>
        <w:t>12.2 预付款</w:t>
      </w:r>
      <w:bookmarkEnd w:id="865"/>
      <w:bookmarkEnd w:id="866"/>
      <w:bookmarkEnd w:id="867"/>
      <w:bookmarkEnd w:id="868"/>
      <w:bookmarkEnd w:id="869"/>
      <w:bookmarkEnd w:id="870"/>
      <w:bookmarkEnd w:id="871"/>
      <w:bookmarkEnd w:id="872"/>
      <w:bookmarkEnd w:id="873"/>
      <w:bookmarkEnd w:id="884"/>
      <w:bookmarkEnd w:id="885"/>
      <w:bookmarkEnd w:id="886"/>
    </w:p>
    <w:p w14:paraId="2CBDB334">
      <w:pPr>
        <w:pStyle w:val="54"/>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12.2.1在以下方式中选择其一，作为双方对预付款保函的约定。</w:t>
      </w:r>
    </w:p>
    <w:p w14:paraId="60C4C7E9">
      <w:pPr>
        <w:pStyle w:val="54"/>
        <w:spacing w:line="360" w:lineRule="exact"/>
        <w:ind w:firstLine="442" w:firstLineChars="200"/>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承包人不提交预付款保函。</w:t>
      </w:r>
    </w:p>
    <w:p w14:paraId="57F7A8B9">
      <w:pPr>
        <w:pStyle w:val="54"/>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承包人提交预付款保函的格式、金额和时</w:t>
      </w:r>
      <w:r>
        <w:rPr>
          <w:rFonts w:hint="eastAsia" w:ascii="宋体" w:hAnsi="宋体" w:cs="宋体"/>
          <w:color w:val="auto"/>
          <w:sz w:val="22"/>
          <w:szCs w:val="22"/>
          <w:highlight w:val="none"/>
          <w:lang w:val="en-US" w:eastAsia="zh-CN"/>
        </w:rPr>
        <w:t>间</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拨付预付款前，预付款担保的形式银行转账、电汇或网上支付、银行保函、工程担保、工程保证保险。</w:t>
      </w:r>
    </w:p>
    <w:p w14:paraId="2072D3A4">
      <w:pPr>
        <w:pStyle w:val="54"/>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12.2.2预付款</w:t>
      </w:r>
    </w:p>
    <w:p w14:paraId="65452103">
      <w:pPr>
        <w:pStyle w:val="54"/>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12.2.3 预付款金额</w:t>
      </w:r>
    </w:p>
    <w:p w14:paraId="6EEB66C3">
      <w:pPr>
        <w:pStyle w:val="54"/>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预付款金额与支付：</w:t>
      </w:r>
      <w:r>
        <w:rPr>
          <w:rFonts w:hint="eastAsia" w:ascii="宋体" w:hAnsi="宋体" w:cs="宋体"/>
          <w:color w:val="auto"/>
          <w:sz w:val="22"/>
          <w:szCs w:val="22"/>
          <w:highlight w:val="none"/>
          <w:u w:val="single"/>
          <w:lang w:eastAsia="zh-CN"/>
        </w:rPr>
        <w:t>合同总价（扣除暂列金额）</w:t>
      </w:r>
      <w:r>
        <w:rPr>
          <w:rFonts w:hint="eastAsia" w:ascii="宋体" w:hAnsi="宋体" w:cs="宋体"/>
          <w:color w:val="auto"/>
          <w:sz w:val="22"/>
          <w:szCs w:val="22"/>
          <w:highlight w:val="none"/>
          <w:u w:val="single"/>
        </w:rPr>
        <w:t>的</w:t>
      </w:r>
      <w:bookmarkStart w:id="887" w:name="OLE_LINK63"/>
      <w:r>
        <w:rPr>
          <w:rFonts w:hint="eastAsia" w:ascii="宋体" w:hAnsi="宋体" w:cs="宋体"/>
          <w:color w:val="auto"/>
          <w:sz w:val="22"/>
          <w:szCs w:val="22"/>
          <w:highlight w:val="none"/>
          <w:u w:val="single"/>
          <w:lang w:val="en-US" w:eastAsia="zh-CN"/>
        </w:rPr>
        <w:t>3</w:t>
      </w:r>
      <w:r>
        <w:rPr>
          <w:rFonts w:hint="eastAsia" w:ascii="宋体" w:hAnsi="宋体" w:cs="宋体"/>
          <w:color w:val="auto"/>
          <w:sz w:val="22"/>
          <w:szCs w:val="22"/>
          <w:highlight w:val="none"/>
          <w:u w:val="single"/>
        </w:rPr>
        <w:t>0%</w:t>
      </w:r>
      <w:bookmarkEnd w:id="887"/>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w:t>
      </w:r>
    </w:p>
    <w:p w14:paraId="33A3804C">
      <w:pPr>
        <w:pStyle w:val="54"/>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担保的形式：</w:t>
      </w:r>
      <w:r>
        <w:rPr>
          <w:rFonts w:hint="eastAsia" w:ascii="宋体" w:hAnsi="宋体" w:cs="宋体"/>
          <w:color w:val="auto"/>
          <w:sz w:val="22"/>
          <w:szCs w:val="22"/>
          <w:highlight w:val="none"/>
          <w:u w:val="single"/>
        </w:rPr>
        <w:t>担保可以银行保函、担保、工程保证保险等方式缴纳，严禁要求只能以现金方式缴纳的行为。</w:t>
      </w:r>
    </w:p>
    <w:bookmarkEnd w:id="874"/>
    <w:bookmarkEnd w:id="875"/>
    <w:bookmarkEnd w:id="876"/>
    <w:bookmarkEnd w:id="877"/>
    <w:bookmarkEnd w:id="878"/>
    <w:bookmarkEnd w:id="879"/>
    <w:bookmarkEnd w:id="880"/>
    <w:bookmarkEnd w:id="881"/>
    <w:bookmarkEnd w:id="882"/>
    <w:bookmarkEnd w:id="883"/>
    <w:p w14:paraId="3864FAD0">
      <w:pPr>
        <w:pStyle w:val="39"/>
        <w:spacing w:line="360" w:lineRule="exact"/>
        <w:ind w:firstLine="442" w:firstLineChars="200"/>
        <w:rPr>
          <w:rFonts w:hint="eastAsia" w:ascii="宋体" w:hAnsi="宋体" w:cs="宋体"/>
          <w:color w:val="auto"/>
          <w:sz w:val="22"/>
          <w:szCs w:val="22"/>
          <w:highlight w:val="none"/>
        </w:rPr>
      </w:pPr>
      <w:bookmarkStart w:id="888" w:name="_Toc533432777"/>
      <w:bookmarkStart w:id="889" w:name="_Toc373227751"/>
      <w:bookmarkStart w:id="890" w:name="_Toc389065316"/>
      <w:bookmarkStart w:id="891" w:name="_Toc395382554"/>
      <w:bookmarkStart w:id="892" w:name="_Toc12975942"/>
      <w:bookmarkStart w:id="893" w:name="_Toc373478398"/>
      <w:r>
        <w:rPr>
          <w:rFonts w:hint="eastAsia" w:ascii="宋体" w:hAnsi="宋体" w:cs="宋体"/>
          <w:color w:val="auto"/>
          <w:sz w:val="22"/>
          <w:szCs w:val="22"/>
          <w:highlight w:val="none"/>
        </w:rPr>
        <w:t>12.3 计量</w:t>
      </w:r>
      <w:bookmarkEnd w:id="888"/>
      <w:bookmarkEnd w:id="889"/>
      <w:bookmarkEnd w:id="890"/>
      <w:bookmarkEnd w:id="891"/>
      <w:bookmarkEnd w:id="892"/>
      <w:bookmarkEnd w:id="893"/>
    </w:p>
    <w:p w14:paraId="1A803C4F">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12.3.1 计量原则</w:t>
      </w:r>
    </w:p>
    <w:p w14:paraId="15E03D76">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工程量计算规则：</w:t>
      </w:r>
      <w:r>
        <w:rPr>
          <w:rFonts w:hint="eastAsia" w:ascii="宋体" w:hAnsi="宋体" w:cs="宋体"/>
          <w:color w:val="auto"/>
          <w:sz w:val="22"/>
          <w:highlight w:val="none"/>
          <w:u w:val="single"/>
        </w:rPr>
        <w:t>工程的计量均以</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rPr>
        <w:t>GB50500-2013</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rPr>
        <w:t>《</w:t>
      </w:r>
      <w:bookmarkStart w:id="894" w:name="OLE_LINK30"/>
      <w:r>
        <w:rPr>
          <w:rFonts w:hint="eastAsia" w:ascii="宋体" w:hAnsi="宋体" w:cs="宋体"/>
          <w:color w:val="auto"/>
          <w:sz w:val="22"/>
          <w:highlight w:val="none"/>
          <w:u w:val="single"/>
        </w:rPr>
        <w:t>建设工程工程量清单计价规范</w:t>
      </w:r>
      <w:bookmarkEnd w:id="894"/>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rPr>
        <w:t xml:space="preserve">〈建设工程工程量清单计价规范〉 </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rPr>
        <w:t>GB50500-2013</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rPr>
        <w:t>广西壮族自治区实施细则》、20</w:t>
      </w:r>
      <w:r>
        <w:rPr>
          <w:rFonts w:hint="eastAsia" w:ascii="宋体" w:hAnsi="宋体" w:cs="宋体"/>
          <w:color w:val="auto"/>
          <w:sz w:val="22"/>
          <w:highlight w:val="none"/>
          <w:u w:val="single"/>
          <w:lang w:val="en-US" w:eastAsia="zh-CN"/>
        </w:rPr>
        <w:t>24</w:t>
      </w:r>
      <w:r>
        <w:rPr>
          <w:rFonts w:hint="eastAsia" w:ascii="宋体" w:hAnsi="宋体" w:cs="宋体"/>
          <w:color w:val="auto"/>
          <w:sz w:val="22"/>
          <w:highlight w:val="none"/>
          <w:u w:val="single"/>
        </w:rPr>
        <w:t>年版《广西壮族自治区建筑装饰装修工程消耗量定额》、20</w:t>
      </w:r>
      <w:r>
        <w:rPr>
          <w:rFonts w:hint="eastAsia" w:ascii="宋体" w:hAnsi="宋体" w:cs="宋体"/>
          <w:color w:val="auto"/>
          <w:sz w:val="22"/>
          <w:highlight w:val="none"/>
          <w:u w:val="single"/>
          <w:lang w:val="en-US" w:eastAsia="zh-CN"/>
        </w:rPr>
        <w:t>23</w:t>
      </w:r>
      <w:r>
        <w:rPr>
          <w:rFonts w:hint="eastAsia" w:ascii="宋体" w:hAnsi="宋体" w:cs="宋体"/>
          <w:color w:val="auto"/>
          <w:sz w:val="22"/>
          <w:highlight w:val="none"/>
          <w:u w:val="single"/>
        </w:rPr>
        <w:t>年版《广西壮族自治区安装工程消耗量定额》、2016年《广西壮族自治区建设工程费用定额》及有关配套费率、人工和机械台班费用调整规定计算的净值为准，如有不明之处，应以监理工程师或造价管理部门指定的计量方法为准，费率取中值</w:t>
      </w:r>
      <w:r>
        <w:rPr>
          <w:rFonts w:hint="eastAsia" w:ascii="宋体" w:hAnsi="宋体" w:cs="宋体"/>
          <w:color w:val="auto"/>
          <w:sz w:val="22"/>
          <w:highlight w:val="none"/>
          <w:u w:val="none"/>
        </w:rPr>
        <w:t>。</w:t>
      </w:r>
    </w:p>
    <w:p w14:paraId="126CFEF6">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12.3.3 单价合同的计量</w:t>
      </w:r>
    </w:p>
    <w:p w14:paraId="3E6E5A10">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关于单价合同计量的约定：</w:t>
      </w:r>
    </w:p>
    <w:p w14:paraId="6DFA8582">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 工程量清单所列的工程量，不能作为承包人按合同履行其责任依据，实际施工中发生的工程量增加或减少并不影响承包人履行合同的责任，工程结算以完成的实际工程量为准。</w:t>
      </w:r>
    </w:p>
    <w:p w14:paraId="73C63AD8">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54899966">
      <w:pPr>
        <w:pStyle w:val="39"/>
        <w:spacing w:line="360" w:lineRule="exact"/>
        <w:ind w:firstLine="442" w:firstLineChars="200"/>
        <w:rPr>
          <w:rFonts w:hint="eastAsia" w:ascii="宋体" w:hAnsi="宋体" w:cs="宋体"/>
          <w:color w:val="auto"/>
          <w:sz w:val="22"/>
          <w:szCs w:val="22"/>
          <w:highlight w:val="none"/>
        </w:rPr>
      </w:pPr>
      <w:bookmarkStart w:id="895" w:name="_Toc373227752"/>
      <w:bookmarkStart w:id="896" w:name="_Toc395382555"/>
      <w:bookmarkStart w:id="897" w:name="_Toc373478399"/>
      <w:bookmarkStart w:id="898" w:name="_Toc12975943"/>
      <w:bookmarkStart w:id="899" w:name="_Toc533432778"/>
      <w:bookmarkStart w:id="900" w:name="_Toc389065317"/>
      <w:r>
        <w:rPr>
          <w:rFonts w:hint="eastAsia" w:ascii="宋体" w:hAnsi="宋体" w:cs="宋体"/>
          <w:color w:val="auto"/>
          <w:sz w:val="22"/>
          <w:szCs w:val="22"/>
          <w:highlight w:val="none"/>
        </w:rPr>
        <w:t>12.4 工程款支付</w:t>
      </w:r>
      <w:bookmarkEnd w:id="895"/>
      <w:bookmarkEnd w:id="896"/>
      <w:bookmarkEnd w:id="897"/>
      <w:bookmarkEnd w:id="898"/>
      <w:bookmarkEnd w:id="899"/>
      <w:bookmarkEnd w:id="900"/>
    </w:p>
    <w:p w14:paraId="7F582837">
      <w:pPr>
        <w:pStyle w:val="4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12.4.1 合同总价（扣除暂列金额）的30%作为预付款；</w:t>
      </w:r>
    </w:p>
    <w:p w14:paraId="101F8C0B">
      <w:pPr>
        <w:pStyle w:val="4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12.4.2 完成总工程量50％支付至合同总价的50%；</w:t>
      </w:r>
    </w:p>
    <w:p w14:paraId="08C74F80">
      <w:pPr>
        <w:pStyle w:val="4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12.4.3 工程竣工完成支付至合同总价的80%，</w:t>
      </w:r>
    </w:p>
    <w:p w14:paraId="446DBCB2">
      <w:pPr>
        <w:pStyle w:val="4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12.4.4 工程结算评审后支付至合同总价的97％，合同总价的3%作为质量保证金，</w:t>
      </w:r>
      <w:r>
        <w:rPr>
          <w:rFonts w:hint="eastAsia" w:ascii="宋体" w:hAnsi="宋体" w:cs="宋体"/>
          <w:color w:val="auto"/>
          <w:sz w:val="22"/>
          <w:szCs w:val="22"/>
          <w:highlight w:val="none"/>
          <w:lang w:eastAsia="zh-CN"/>
        </w:rPr>
        <w:t>质保金在验收完工后两年内付清。</w:t>
      </w:r>
      <w:r>
        <w:rPr>
          <w:rFonts w:hint="eastAsia" w:ascii="宋体" w:hAnsi="宋体" w:cs="宋体"/>
          <w:color w:val="auto"/>
          <w:sz w:val="22"/>
          <w:szCs w:val="22"/>
          <w:highlight w:val="none"/>
        </w:rPr>
        <w:t>合同外工程款经结算评审后一并支付。</w:t>
      </w:r>
    </w:p>
    <w:p w14:paraId="7D33DC62">
      <w:pPr>
        <w:pStyle w:val="4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12.4.5 符合付款条件，承包人提供材料给发包人，发包人审核符合付款条件的，发包人15日内向财政部门提交请款材料，财政拨款后15个工作日内支付给承包人。</w:t>
      </w:r>
    </w:p>
    <w:p w14:paraId="1A416EBA">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szCs w:val="22"/>
          <w:highlight w:val="none"/>
        </w:rPr>
        <w:t>12.4.6 单价合同的总价项目支付分解表的编制与审批：总价项目不采用支付分解表的方式计算，而按《建设工程工程量清单计价规范（GB50500-2013）广西壮族自治区实施细则》的规定执行。</w:t>
      </w:r>
    </w:p>
    <w:bookmarkEnd w:id="664"/>
    <w:p w14:paraId="2C37E4B9">
      <w:pPr>
        <w:pStyle w:val="73"/>
        <w:spacing w:before="0" w:after="0" w:line="360" w:lineRule="exact"/>
        <w:ind w:firstLine="442" w:firstLineChars="200"/>
        <w:rPr>
          <w:rFonts w:hint="eastAsia" w:ascii="宋体" w:hAnsi="宋体" w:cs="宋体"/>
          <w:color w:val="auto"/>
          <w:sz w:val="22"/>
          <w:szCs w:val="22"/>
          <w:highlight w:val="none"/>
        </w:rPr>
      </w:pPr>
      <w:bookmarkStart w:id="901" w:name="_Toc395382556"/>
      <w:bookmarkStart w:id="902" w:name="_Toc373227753"/>
      <w:bookmarkStart w:id="903" w:name="_Toc389065318"/>
      <w:bookmarkStart w:id="904" w:name="_Toc533432779"/>
      <w:bookmarkStart w:id="905" w:name="_Toc12975944"/>
      <w:bookmarkStart w:id="906" w:name="_Toc373478400"/>
      <w:bookmarkStart w:id="907" w:name="_Toc351203645"/>
      <w:bookmarkStart w:id="908" w:name="_Toc292559929"/>
      <w:bookmarkStart w:id="909" w:name="_Toc292559424"/>
      <w:bookmarkStart w:id="910" w:name="_Toc297216223"/>
      <w:bookmarkStart w:id="911" w:name="_Toc304295593"/>
      <w:bookmarkStart w:id="912" w:name="_Toc297120519"/>
      <w:bookmarkStart w:id="913" w:name="_Toc312678053"/>
      <w:bookmarkStart w:id="914" w:name="_Toc296347218"/>
      <w:bookmarkStart w:id="915" w:name="_Toc296944558"/>
      <w:bookmarkStart w:id="916" w:name="_Toc296891047"/>
      <w:bookmarkStart w:id="917" w:name="_Toc297048405"/>
      <w:bookmarkStart w:id="918" w:name="_Toc296346720"/>
      <w:bookmarkStart w:id="919" w:name="_Toc303539172"/>
      <w:bookmarkStart w:id="920" w:name="_Toc300935015"/>
      <w:bookmarkStart w:id="921" w:name="_Toc297123564"/>
      <w:bookmarkStart w:id="922" w:name="_Toc296503219"/>
      <w:bookmarkStart w:id="923" w:name="_Toc296891259"/>
      <w:r>
        <w:rPr>
          <w:rFonts w:hint="eastAsia" w:ascii="宋体" w:hAnsi="宋体" w:cs="宋体"/>
          <w:color w:val="auto"/>
          <w:sz w:val="22"/>
          <w:szCs w:val="22"/>
          <w:highlight w:val="none"/>
        </w:rPr>
        <w:t>13. 验收和工程试车</w:t>
      </w:r>
      <w:bookmarkEnd w:id="901"/>
      <w:bookmarkEnd w:id="902"/>
      <w:bookmarkEnd w:id="903"/>
      <w:bookmarkEnd w:id="904"/>
      <w:bookmarkEnd w:id="905"/>
      <w:bookmarkEnd w:id="906"/>
      <w:bookmarkEnd w:id="907"/>
    </w:p>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14:paraId="4A70F2C8">
      <w:pPr>
        <w:pStyle w:val="39"/>
        <w:spacing w:line="360" w:lineRule="exact"/>
        <w:ind w:firstLine="442" w:firstLineChars="200"/>
        <w:rPr>
          <w:rFonts w:hint="eastAsia" w:ascii="宋体" w:hAnsi="宋体" w:cs="宋体"/>
          <w:color w:val="auto"/>
          <w:sz w:val="22"/>
          <w:szCs w:val="22"/>
          <w:highlight w:val="none"/>
        </w:rPr>
      </w:pPr>
      <w:bookmarkStart w:id="924" w:name="_Toc12975945"/>
      <w:bookmarkStart w:id="925" w:name="_Toc373227754"/>
      <w:bookmarkStart w:id="926" w:name="_Toc395382557"/>
      <w:bookmarkStart w:id="927" w:name="_Toc373478401"/>
      <w:bookmarkStart w:id="928" w:name="_Toc533432780"/>
      <w:bookmarkStart w:id="929" w:name="_Toc389065319"/>
      <w:r>
        <w:rPr>
          <w:rFonts w:hint="eastAsia" w:ascii="宋体" w:hAnsi="宋体" w:cs="宋体"/>
          <w:color w:val="auto"/>
          <w:sz w:val="22"/>
          <w:szCs w:val="22"/>
          <w:highlight w:val="none"/>
        </w:rPr>
        <w:t>13.1 分部分项工程验收</w:t>
      </w:r>
      <w:bookmarkEnd w:id="924"/>
      <w:bookmarkEnd w:id="925"/>
      <w:bookmarkEnd w:id="926"/>
      <w:bookmarkEnd w:id="927"/>
      <w:bookmarkEnd w:id="928"/>
      <w:bookmarkEnd w:id="929"/>
    </w:p>
    <w:p w14:paraId="2BED0145">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13.1.2监理人不能按时进行验收时，应提前</w:t>
      </w:r>
      <w:r>
        <w:rPr>
          <w:rFonts w:hint="eastAsia" w:ascii="宋体" w:hAnsi="宋体" w:cs="宋体"/>
          <w:color w:val="auto"/>
          <w:sz w:val="22"/>
          <w:highlight w:val="none"/>
          <w:u w:val="single"/>
        </w:rPr>
        <w:t xml:space="preserve">  24 </w:t>
      </w:r>
      <w:r>
        <w:rPr>
          <w:rFonts w:hint="eastAsia" w:ascii="宋体" w:hAnsi="宋体" w:cs="宋体"/>
          <w:color w:val="auto"/>
          <w:sz w:val="22"/>
          <w:highlight w:val="none"/>
        </w:rPr>
        <w:t>小时提交书面延期要求。</w:t>
      </w:r>
    </w:p>
    <w:p w14:paraId="09D4416B">
      <w:pPr>
        <w:pStyle w:val="40"/>
        <w:spacing w:line="360" w:lineRule="exact"/>
        <w:ind w:firstLine="440" w:firstLineChars="200"/>
        <w:jc w:val="left"/>
        <w:rPr>
          <w:rFonts w:hint="eastAsia" w:ascii="宋体" w:hAnsi="宋体" w:cs="宋体"/>
          <w:b/>
          <w:color w:val="auto"/>
          <w:sz w:val="22"/>
          <w:highlight w:val="none"/>
        </w:rPr>
      </w:pPr>
      <w:r>
        <w:rPr>
          <w:rFonts w:hint="eastAsia" w:ascii="宋体" w:hAnsi="宋体" w:cs="宋体"/>
          <w:color w:val="auto"/>
          <w:sz w:val="22"/>
          <w:highlight w:val="none"/>
        </w:rPr>
        <w:t>关于延期最长不得超过：</w:t>
      </w:r>
      <w:r>
        <w:rPr>
          <w:rFonts w:hint="eastAsia" w:ascii="宋体" w:hAnsi="宋体" w:cs="宋体"/>
          <w:color w:val="auto"/>
          <w:sz w:val="22"/>
          <w:highlight w:val="none"/>
          <w:u w:val="single"/>
        </w:rPr>
        <w:t xml:space="preserve"> 48 </w:t>
      </w:r>
      <w:r>
        <w:rPr>
          <w:rFonts w:hint="eastAsia" w:ascii="宋体" w:hAnsi="宋体" w:cs="宋体"/>
          <w:color w:val="auto"/>
          <w:sz w:val="22"/>
          <w:highlight w:val="none"/>
        </w:rPr>
        <w:t>小时。</w:t>
      </w:r>
    </w:p>
    <w:p w14:paraId="74D19B80">
      <w:pPr>
        <w:pStyle w:val="39"/>
        <w:spacing w:line="360" w:lineRule="exact"/>
        <w:ind w:firstLine="442" w:firstLineChars="200"/>
        <w:rPr>
          <w:rFonts w:hint="eastAsia" w:ascii="宋体" w:hAnsi="宋体" w:cs="宋体"/>
          <w:color w:val="auto"/>
          <w:sz w:val="22"/>
          <w:szCs w:val="22"/>
          <w:highlight w:val="none"/>
        </w:rPr>
      </w:pPr>
      <w:bookmarkStart w:id="930" w:name="_Toc395382558"/>
      <w:bookmarkStart w:id="931" w:name="_Toc373478402"/>
      <w:bookmarkStart w:id="932" w:name="_Toc12975946"/>
      <w:bookmarkStart w:id="933" w:name="_Toc389065320"/>
      <w:bookmarkStart w:id="934" w:name="_Toc533432781"/>
      <w:bookmarkStart w:id="935" w:name="_Toc373227755"/>
      <w:bookmarkStart w:id="936" w:name="_Toc296346724"/>
      <w:bookmarkStart w:id="937" w:name="_Toc312678056"/>
      <w:bookmarkStart w:id="938" w:name="_Toc296503223"/>
      <w:bookmarkStart w:id="939" w:name="_Toc296891263"/>
      <w:bookmarkStart w:id="940" w:name="_Toc297048409"/>
      <w:bookmarkStart w:id="941" w:name="_Toc292559428"/>
      <w:bookmarkStart w:id="942" w:name="_Toc297123565"/>
      <w:bookmarkStart w:id="943" w:name="_Toc292559933"/>
      <w:bookmarkStart w:id="944" w:name="_Toc296347222"/>
      <w:bookmarkStart w:id="945" w:name="_Toc297216224"/>
      <w:bookmarkStart w:id="946" w:name="_Toc296944562"/>
      <w:bookmarkStart w:id="947" w:name="_Toc303539173"/>
      <w:bookmarkStart w:id="948" w:name="_Toc304295596"/>
      <w:bookmarkStart w:id="949" w:name="_Toc300935016"/>
      <w:bookmarkStart w:id="950" w:name="_Toc297120523"/>
      <w:bookmarkStart w:id="951" w:name="_Toc296891051"/>
      <w:bookmarkStart w:id="952" w:name="_Toc267251475"/>
      <w:bookmarkStart w:id="953" w:name="_Toc267251473"/>
      <w:bookmarkStart w:id="954" w:name="_Toc267251470"/>
      <w:bookmarkStart w:id="955" w:name="_Toc267251476"/>
      <w:bookmarkStart w:id="956" w:name="_Toc267251471"/>
      <w:bookmarkStart w:id="957" w:name="_Toc267251472"/>
      <w:bookmarkStart w:id="958" w:name="_Toc267251474"/>
      <w:r>
        <w:rPr>
          <w:rFonts w:hint="eastAsia" w:ascii="宋体" w:hAnsi="宋体" w:cs="宋体"/>
          <w:color w:val="auto"/>
          <w:sz w:val="22"/>
          <w:szCs w:val="22"/>
          <w:highlight w:val="none"/>
        </w:rPr>
        <w:t>13.2 竣工验收</w:t>
      </w:r>
      <w:bookmarkEnd w:id="930"/>
      <w:bookmarkEnd w:id="931"/>
      <w:bookmarkEnd w:id="932"/>
      <w:bookmarkEnd w:id="933"/>
      <w:bookmarkEnd w:id="934"/>
      <w:bookmarkEnd w:id="935"/>
    </w:p>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14:paraId="07C77074">
      <w:pPr>
        <w:pStyle w:val="40"/>
        <w:spacing w:line="360" w:lineRule="exact"/>
        <w:ind w:firstLine="440" w:firstLineChars="200"/>
        <w:jc w:val="left"/>
        <w:rPr>
          <w:rFonts w:hint="eastAsia" w:ascii="宋体" w:hAnsi="宋体" w:cs="宋体"/>
          <w:color w:val="auto"/>
          <w:sz w:val="22"/>
          <w:highlight w:val="none"/>
        </w:rPr>
      </w:pPr>
      <w:bookmarkStart w:id="959" w:name="_Toc280868704"/>
      <w:bookmarkStart w:id="960" w:name="_Toc280868705"/>
      <w:bookmarkStart w:id="961" w:name="_Toc280868706"/>
      <w:bookmarkStart w:id="962" w:name="_Toc280868707"/>
      <w:bookmarkStart w:id="963" w:name="_Toc280868708"/>
      <w:bookmarkStart w:id="964" w:name="_Toc280868709"/>
      <w:r>
        <w:rPr>
          <w:rFonts w:hint="eastAsia" w:ascii="宋体" w:hAnsi="宋体" w:cs="宋体"/>
          <w:color w:val="auto"/>
          <w:sz w:val="22"/>
          <w:highlight w:val="none"/>
        </w:rPr>
        <w:t>13.2.1竣工验收条件</w:t>
      </w:r>
    </w:p>
    <w:p w14:paraId="360F745F">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（3）承包人负责整理和提交的竣工验收资料应当符合工程所在地建设行政主管部门和</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或</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城市建设档案管理机构有关施工资料的要求，具体内容包括：</w:t>
      </w:r>
      <w:r>
        <w:rPr>
          <w:rFonts w:hint="eastAsia" w:ascii="宋体" w:hAnsi="宋体" w:cs="宋体"/>
          <w:color w:val="auto"/>
          <w:sz w:val="22"/>
          <w:szCs w:val="22"/>
          <w:highlight w:val="none"/>
          <w:u w:val="single"/>
        </w:rPr>
        <w:t xml:space="preserve"> </w:t>
      </w:r>
      <w:r>
        <w:rPr>
          <w:rFonts w:hint="eastAsia" w:ascii="宋体" w:hAnsi="宋体" w:cs="宋体"/>
          <w:bCs/>
          <w:color w:val="auto"/>
          <w:sz w:val="22"/>
          <w:szCs w:val="22"/>
          <w:highlight w:val="none"/>
          <w:u w:val="single"/>
        </w:rPr>
        <w:t>（1）竣工资料（含竣工图，竣工图编制费已含在签约合同价中）移交时间：工程竣工验收合格后30天内。（2）承包人应协助发包人办理城建档案馆手续，与城建档案馆手续未办理完成，视为承包人的合同义务未履行完毕</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3C4879AE">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竣工验收资料的份数：</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4</w:t>
      </w:r>
      <w:r>
        <w:rPr>
          <w:rFonts w:hint="eastAsia" w:ascii="宋体" w:hAnsi="宋体" w:cs="宋体"/>
          <w:color w:val="auto"/>
          <w:sz w:val="22"/>
          <w:highlight w:val="none"/>
          <w:u w:val="single"/>
        </w:rPr>
        <w:t xml:space="preserve">套及满足相关要求 </w:t>
      </w:r>
      <w:r>
        <w:rPr>
          <w:rFonts w:hint="eastAsia" w:ascii="宋体" w:hAnsi="宋体" w:cs="宋体"/>
          <w:color w:val="auto"/>
          <w:sz w:val="22"/>
          <w:highlight w:val="none"/>
        </w:rPr>
        <w:t>。</w:t>
      </w:r>
    </w:p>
    <w:p w14:paraId="3A373BA2">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bCs/>
          <w:color w:val="auto"/>
          <w:sz w:val="22"/>
          <w:highlight w:val="none"/>
        </w:rPr>
        <w:t>承包人提供竣工图的约定：</w:t>
      </w:r>
      <w:r>
        <w:rPr>
          <w:rFonts w:hint="eastAsia" w:ascii="宋体" w:hAnsi="宋体" w:cs="宋体"/>
          <w:bCs/>
          <w:color w:val="auto"/>
          <w:sz w:val="22"/>
          <w:highlight w:val="none"/>
          <w:u w:val="single"/>
        </w:rPr>
        <w:t>竣工验收正式通过后5天（工程造价在500万元以下含500万元）、10天（工程造价在500万元至1000万元之间含1000万元）、15天（工程造价在1000万元以上），提供竣工图的数量分别为2套、4套、6套。</w:t>
      </w:r>
    </w:p>
    <w:p w14:paraId="3607BED9">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13.2.2竣工验收程序</w:t>
      </w:r>
    </w:p>
    <w:bookmarkEnd w:id="959"/>
    <w:p w14:paraId="6D66F007">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关于竣工验收程序的约定：</w:t>
      </w:r>
      <w:r>
        <w:rPr>
          <w:rFonts w:hint="eastAsia" w:ascii="宋体" w:hAnsi="宋体" w:cs="宋体"/>
          <w:color w:val="auto"/>
          <w:sz w:val="22"/>
          <w:highlight w:val="none"/>
          <w:u w:val="single"/>
        </w:rPr>
        <w:t>竣工验收正式通过后30天，提供竣工图的数量为6套及满足当地档案要求</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u w:val="single"/>
          <w:lang w:val="en-US" w:eastAsia="zh-CN"/>
        </w:rPr>
        <w:t>同时提供相应的电子扫描版</w:t>
      </w:r>
      <w:r>
        <w:rPr>
          <w:rFonts w:hint="eastAsia" w:ascii="宋体" w:hAnsi="宋体" w:cs="宋体"/>
          <w:color w:val="auto"/>
          <w:sz w:val="22"/>
          <w:highlight w:val="none"/>
          <w:u w:val="single"/>
          <w:lang w:eastAsia="zh-CN"/>
        </w:rPr>
        <w:t>）</w:t>
      </w:r>
      <w:r>
        <w:rPr>
          <w:rFonts w:hint="eastAsia" w:ascii="宋体" w:hAnsi="宋体" w:cs="宋体"/>
          <w:color w:val="auto"/>
          <w:sz w:val="22"/>
          <w:highlight w:val="none"/>
        </w:rPr>
        <w:t>。</w:t>
      </w:r>
    </w:p>
    <w:p w14:paraId="5295D892">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kern w:val="0"/>
          <w:sz w:val="22"/>
          <w:highlight w:val="none"/>
        </w:rPr>
        <w:t>发包人不按照本项约定组织竣工验收、颁发工程接收证书的违约金的计算方法：</w:t>
      </w:r>
      <w:r>
        <w:rPr>
          <w:rFonts w:hint="eastAsia" w:ascii="宋体" w:hAnsi="宋体" w:cs="宋体"/>
          <w:color w:val="auto"/>
          <w:sz w:val="22"/>
          <w:highlight w:val="none"/>
          <w:u w:val="single"/>
        </w:rPr>
        <w:t>无</w:t>
      </w:r>
      <w:r>
        <w:rPr>
          <w:rFonts w:hint="eastAsia" w:ascii="宋体" w:hAnsi="宋体" w:cs="宋体"/>
          <w:color w:val="auto"/>
          <w:sz w:val="22"/>
          <w:highlight w:val="none"/>
        </w:rPr>
        <w:t>。</w:t>
      </w:r>
    </w:p>
    <w:bookmarkEnd w:id="960"/>
    <w:p w14:paraId="2E7F7098">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13.2.5移交、接收全部与部分工程</w:t>
      </w:r>
    </w:p>
    <w:bookmarkEnd w:id="961"/>
    <w:p w14:paraId="012EFE78">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承包人向发包人移交工程的期限：</w:t>
      </w:r>
      <w:r>
        <w:rPr>
          <w:rFonts w:hint="eastAsia" w:ascii="宋体" w:hAnsi="宋体" w:cs="宋体"/>
          <w:color w:val="auto"/>
          <w:sz w:val="22"/>
          <w:highlight w:val="none"/>
          <w:u w:val="single"/>
        </w:rPr>
        <w:t xml:space="preserve">  按通用合同条款执行。</w:t>
      </w:r>
    </w:p>
    <w:p w14:paraId="170DBCD4">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发包人未按本合同约定接收全部或部分工程的，违约金的计算方法为：</w:t>
      </w:r>
      <w:r>
        <w:rPr>
          <w:rFonts w:hint="eastAsia" w:ascii="宋体" w:hAnsi="宋体" w:cs="宋体"/>
          <w:color w:val="auto"/>
          <w:sz w:val="22"/>
          <w:highlight w:val="none"/>
          <w:u w:val="single"/>
        </w:rPr>
        <w:t>无</w:t>
      </w:r>
      <w:r>
        <w:rPr>
          <w:rFonts w:hint="eastAsia" w:ascii="宋体" w:hAnsi="宋体" w:cs="宋体"/>
          <w:color w:val="auto"/>
          <w:sz w:val="22"/>
          <w:highlight w:val="none"/>
        </w:rPr>
        <w:t>。</w:t>
      </w:r>
    </w:p>
    <w:bookmarkEnd w:id="962"/>
    <w:p w14:paraId="75950E9E">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承包人未按时移交工程的，违约金的计算方法为：</w:t>
      </w:r>
      <w:r>
        <w:rPr>
          <w:rFonts w:hint="eastAsia" w:ascii="宋体" w:hAnsi="宋体" w:cs="宋体"/>
          <w:color w:val="auto"/>
          <w:sz w:val="22"/>
          <w:highlight w:val="none"/>
          <w:u w:val="single"/>
        </w:rPr>
        <w:t xml:space="preserve"> 按通用合同条款执行 </w:t>
      </w:r>
      <w:r>
        <w:rPr>
          <w:rFonts w:hint="eastAsia" w:ascii="宋体" w:hAnsi="宋体" w:cs="宋体"/>
          <w:color w:val="auto"/>
          <w:sz w:val="22"/>
          <w:highlight w:val="none"/>
        </w:rPr>
        <w:t>。</w:t>
      </w:r>
    </w:p>
    <w:p w14:paraId="431A58BC">
      <w:pPr>
        <w:pStyle w:val="39"/>
        <w:spacing w:line="360" w:lineRule="exact"/>
        <w:ind w:firstLine="442" w:firstLineChars="200"/>
        <w:rPr>
          <w:rFonts w:hint="eastAsia" w:ascii="宋体" w:hAnsi="宋体" w:cs="宋体"/>
          <w:color w:val="auto"/>
          <w:sz w:val="22"/>
          <w:szCs w:val="22"/>
          <w:highlight w:val="none"/>
        </w:rPr>
      </w:pPr>
      <w:bookmarkStart w:id="965" w:name="_Toc373227756"/>
      <w:bookmarkStart w:id="966" w:name="_Toc12975947"/>
      <w:bookmarkStart w:id="967" w:name="_Toc533432782"/>
      <w:bookmarkStart w:id="968" w:name="_Toc373478403"/>
      <w:bookmarkStart w:id="969" w:name="_Toc395382559"/>
      <w:bookmarkStart w:id="970" w:name="_Toc389065321"/>
      <w:r>
        <w:rPr>
          <w:rFonts w:hint="eastAsia" w:ascii="宋体" w:hAnsi="宋体" w:cs="宋体"/>
          <w:color w:val="auto"/>
          <w:sz w:val="22"/>
          <w:szCs w:val="22"/>
          <w:highlight w:val="none"/>
        </w:rPr>
        <w:t>13.3 工程试车</w:t>
      </w:r>
      <w:bookmarkEnd w:id="965"/>
      <w:bookmarkEnd w:id="966"/>
      <w:bookmarkEnd w:id="967"/>
      <w:bookmarkEnd w:id="968"/>
      <w:bookmarkEnd w:id="969"/>
      <w:bookmarkEnd w:id="970"/>
    </w:p>
    <w:bookmarkEnd w:id="963"/>
    <w:p w14:paraId="28F08D6D">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13.3.1 试车程序</w:t>
      </w:r>
    </w:p>
    <w:p w14:paraId="60B2788F">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工程试车内容：</w:t>
      </w:r>
      <w:r>
        <w:rPr>
          <w:rFonts w:hint="eastAsia" w:ascii="宋体" w:hAnsi="宋体" w:cs="宋体"/>
          <w:color w:val="auto"/>
          <w:sz w:val="22"/>
          <w:highlight w:val="none"/>
          <w:u w:val="single"/>
        </w:rPr>
        <w:t xml:space="preserve"> 无</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689E2715">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（1）单机无负荷试车费用由</w:t>
      </w:r>
      <w:r>
        <w:rPr>
          <w:rFonts w:hint="eastAsia" w:ascii="宋体" w:hAnsi="宋体" w:cs="宋体"/>
          <w:color w:val="auto"/>
          <w:sz w:val="22"/>
          <w:highlight w:val="none"/>
          <w:u w:val="single"/>
        </w:rPr>
        <w:t xml:space="preserve"> 无</w:t>
      </w:r>
      <w:r>
        <w:rPr>
          <w:rFonts w:hint="eastAsia" w:ascii="宋体" w:hAnsi="宋体" w:cs="宋体"/>
          <w:color w:val="auto"/>
          <w:sz w:val="22"/>
          <w:highlight w:val="none"/>
          <w:u w:val="single"/>
          <w:lang w:val="en-US" w:eastAsia="zh-CN"/>
        </w:rPr>
        <w:t xml:space="preserve"> </w:t>
      </w:r>
      <w:r>
        <w:rPr>
          <w:rFonts w:hint="eastAsia" w:ascii="宋体" w:hAnsi="宋体" w:cs="宋体"/>
          <w:color w:val="auto"/>
          <w:kern w:val="0"/>
          <w:sz w:val="22"/>
          <w:highlight w:val="none"/>
        </w:rPr>
        <w:t>承担；</w:t>
      </w:r>
    </w:p>
    <w:p w14:paraId="259CE343">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（2）无负荷联动试车费用由</w:t>
      </w:r>
      <w:r>
        <w:rPr>
          <w:rFonts w:hint="eastAsia" w:ascii="宋体" w:hAnsi="宋体" w:cs="宋体"/>
          <w:color w:val="auto"/>
          <w:sz w:val="22"/>
          <w:highlight w:val="none"/>
          <w:u w:val="single"/>
        </w:rPr>
        <w:t xml:space="preserve"> 无</w:t>
      </w:r>
      <w:r>
        <w:rPr>
          <w:rFonts w:hint="eastAsia" w:ascii="宋体" w:hAnsi="宋体" w:cs="宋体"/>
          <w:color w:val="auto"/>
          <w:sz w:val="22"/>
          <w:highlight w:val="none"/>
          <w:u w:val="single"/>
          <w:lang w:val="en-US" w:eastAsia="zh-CN"/>
        </w:rPr>
        <w:t xml:space="preserve"> </w:t>
      </w:r>
      <w:r>
        <w:rPr>
          <w:rFonts w:hint="eastAsia" w:ascii="宋体" w:hAnsi="宋体" w:cs="宋体"/>
          <w:color w:val="auto"/>
          <w:kern w:val="0"/>
          <w:sz w:val="22"/>
          <w:highlight w:val="none"/>
        </w:rPr>
        <w:t>承担。</w:t>
      </w:r>
    </w:p>
    <w:p w14:paraId="494C3759">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13.3.3 投料试车</w:t>
      </w:r>
    </w:p>
    <w:p w14:paraId="0677EE22">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关于投料试车相关事项的约定：</w:t>
      </w:r>
      <w:r>
        <w:rPr>
          <w:rFonts w:hint="eastAsia" w:ascii="宋体" w:hAnsi="宋体" w:cs="宋体"/>
          <w:color w:val="auto"/>
          <w:sz w:val="22"/>
          <w:highlight w:val="none"/>
          <w:u w:val="single"/>
        </w:rPr>
        <w:t xml:space="preserve"> 无</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48EC7ACA">
      <w:pPr>
        <w:pStyle w:val="39"/>
        <w:spacing w:line="360" w:lineRule="exact"/>
        <w:ind w:firstLine="442" w:firstLineChars="200"/>
        <w:rPr>
          <w:rFonts w:hint="eastAsia" w:ascii="宋体" w:hAnsi="宋体" w:cs="宋体"/>
          <w:color w:val="auto"/>
          <w:sz w:val="22"/>
          <w:szCs w:val="22"/>
          <w:highlight w:val="none"/>
        </w:rPr>
      </w:pPr>
      <w:bookmarkStart w:id="971" w:name="_Toc12975948"/>
      <w:bookmarkStart w:id="972" w:name="_Toc373227757"/>
      <w:bookmarkStart w:id="973" w:name="_Toc395382560"/>
      <w:bookmarkStart w:id="974" w:name="_Toc373478404"/>
      <w:bookmarkStart w:id="975" w:name="_Toc389065322"/>
      <w:bookmarkStart w:id="976" w:name="_Toc533432783"/>
      <w:r>
        <w:rPr>
          <w:rFonts w:hint="eastAsia" w:ascii="宋体" w:hAnsi="宋体" w:cs="宋体"/>
          <w:color w:val="auto"/>
          <w:sz w:val="22"/>
          <w:szCs w:val="22"/>
          <w:highlight w:val="none"/>
        </w:rPr>
        <w:t>13.6 竣工退场</w:t>
      </w:r>
      <w:bookmarkEnd w:id="971"/>
      <w:bookmarkEnd w:id="972"/>
      <w:bookmarkEnd w:id="973"/>
      <w:bookmarkEnd w:id="974"/>
      <w:bookmarkEnd w:id="975"/>
      <w:bookmarkEnd w:id="976"/>
    </w:p>
    <w:p w14:paraId="009E6B48">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13.6.1 竣工退场</w:t>
      </w:r>
    </w:p>
    <w:p w14:paraId="7BB53557">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承包人完成竣工退场的期限：</w:t>
      </w:r>
      <w:r>
        <w:rPr>
          <w:rFonts w:hint="eastAsia" w:ascii="宋体" w:hAnsi="宋体" w:cs="宋体"/>
          <w:color w:val="auto"/>
          <w:sz w:val="22"/>
          <w:highlight w:val="none"/>
          <w:u w:val="single"/>
        </w:rPr>
        <w:t xml:space="preserve"> 竣工验收合格后28天或收到解除合同通知后7天内</w:t>
      </w:r>
      <w:r>
        <w:rPr>
          <w:rFonts w:hint="eastAsia" w:ascii="宋体" w:hAnsi="宋体" w:cs="宋体"/>
          <w:color w:val="auto"/>
          <w:kern w:val="0"/>
          <w:sz w:val="22"/>
          <w:highlight w:val="none"/>
        </w:rPr>
        <w:t>。</w:t>
      </w:r>
    </w:p>
    <w:p w14:paraId="507B0C9B">
      <w:pPr>
        <w:pStyle w:val="73"/>
        <w:spacing w:before="0" w:after="0" w:line="360" w:lineRule="exact"/>
        <w:ind w:firstLine="442" w:firstLineChars="200"/>
        <w:rPr>
          <w:rFonts w:hint="eastAsia" w:ascii="宋体" w:hAnsi="宋体" w:cs="宋体"/>
          <w:color w:val="auto"/>
          <w:sz w:val="22"/>
          <w:szCs w:val="22"/>
          <w:highlight w:val="none"/>
        </w:rPr>
      </w:pPr>
      <w:bookmarkStart w:id="977" w:name="_Toc533432784"/>
      <w:bookmarkStart w:id="978" w:name="_Toc389065323"/>
      <w:bookmarkStart w:id="979" w:name="_Toc351203646"/>
      <w:bookmarkStart w:id="980" w:name="_Toc395382561"/>
      <w:bookmarkStart w:id="981" w:name="_Toc12975949"/>
      <w:bookmarkStart w:id="982" w:name="_Toc373227758"/>
      <w:bookmarkStart w:id="983" w:name="_Toc373478405"/>
      <w:r>
        <w:rPr>
          <w:rFonts w:hint="eastAsia" w:ascii="宋体" w:hAnsi="宋体" w:cs="宋体"/>
          <w:color w:val="auto"/>
          <w:sz w:val="22"/>
          <w:szCs w:val="22"/>
          <w:highlight w:val="none"/>
        </w:rPr>
        <w:t>14. 竣工结算</w:t>
      </w:r>
      <w:bookmarkEnd w:id="977"/>
      <w:bookmarkEnd w:id="978"/>
      <w:bookmarkEnd w:id="979"/>
      <w:bookmarkEnd w:id="980"/>
      <w:bookmarkEnd w:id="981"/>
      <w:bookmarkEnd w:id="982"/>
      <w:bookmarkEnd w:id="983"/>
    </w:p>
    <w:p w14:paraId="4BC1E749">
      <w:pPr>
        <w:pStyle w:val="39"/>
        <w:spacing w:line="360" w:lineRule="exact"/>
        <w:ind w:firstLine="442" w:firstLineChars="200"/>
        <w:rPr>
          <w:rFonts w:hint="eastAsia" w:ascii="宋体" w:hAnsi="宋体" w:cs="宋体"/>
          <w:color w:val="auto"/>
          <w:sz w:val="22"/>
          <w:szCs w:val="22"/>
          <w:highlight w:val="none"/>
        </w:rPr>
      </w:pPr>
      <w:bookmarkStart w:id="984" w:name="_Toc389065324"/>
      <w:bookmarkStart w:id="985" w:name="_Toc533432785"/>
      <w:bookmarkStart w:id="986" w:name="_Toc373227759"/>
      <w:bookmarkStart w:id="987" w:name="_Toc373478406"/>
      <w:bookmarkStart w:id="988" w:name="_Toc12975950"/>
      <w:bookmarkStart w:id="989" w:name="_Toc395382562"/>
      <w:r>
        <w:rPr>
          <w:rFonts w:hint="eastAsia" w:ascii="宋体" w:hAnsi="宋体" w:cs="宋体"/>
          <w:color w:val="auto"/>
          <w:sz w:val="22"/>
          <w:szCs w:val="22"/>
          <w:highlight w:val="none"/>
        </w:rPr>
        <w:t>14.1 竣工付款申请</w:t>
      </w:r>
      <w:bookmarkEnd w:id="984"/>
      <w:bookmarkEnd w:id="985"/>
      <w:bookmarkEnd w:id="986"/>
      <w:bookmarkEnd w:id="987"/>
      <w:bookmarkEnd w:id="988"/>
      <w:bookmarkEnd w:id="989"/>
    </w:p>
    <w:p w14:paraId="2EB2DF89">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承包人提交竣工付款申请单的期限：</w:t>
      </w:r>
      <w:r>
        <w:rPr>
          <w:rFonts w:hint="eastAsia" w:ascii="宋体" w:hAnsi="宋体" w:cs="宋体"/>
          <w:color w:val="auto"/>
          <w:sz w:val="22"/>
          <w:highlight w:val="none"/>
          <w:u w:val="single"/>
        </w:rPr>
        <w:t>按通用合同条款执行</w:t>
      </w:r>
      <w:r>
        <w:rPr>
          <w:rFonts w:hint="eastAsia" w:ascii="宋体" w:hAnsi="宋体" w:cs="宋体"/>
          <w:color w:val="auto"/>
          <w:sz w:val="22"/>
          <w:highlight w:val="none"/>
        </w:rPr>
        <w:t>。</w:t>
      </w:r>
    </w:p>
    <w:p w14:paraId="74B1F19D">
      <w:pPr>
        <w:pStyle w:val="40"/>
        <w:spacing w:line="360" w:lineRule="exact"/>
        <w:ind w:firstLine="440" w:firstLineChars="200"/>
        <w:jc w:val="left"/>
        <w:rPr>
          <w:rFonts w:hint="eastAsia" w:ascii="宋体" w:hAnsi="宋体" w:cs="宋体"/>
          <w:b/>
          <w:color w:val="auto"/>
          <w:sz w:val="22"/>
          <w:szCs w:val="22"/>
          <w:highlight w:val="none"/>
        </w:rPr>
      </w:pPr>
      <w:r>
        <w:rPr>
          <w:rFonts w:hint="eastAsia" w:ascii="宋体" w:hAnsi="宋体" w:cs="宋体"/>
          <w:color w:val="auto"/>
          <w:sz w:val="22"/>
          <w:highlight w:val="none"/>
        </w:rPr>
        <w:t>竣工付款申请单应包括的内容：</w:t>
      </w:r>
      <w:r>
        <w:rPr>
          <w:rFonts w:hint="eastAsia" w:ascii="宋体" w:hAnsi="宋体" w:cs="宋体"/>
          <w:color w:val="auto"/>
          <w:sz w:val="22"/>
          <w:highlight w:val="none"/>
          <w:u w:val="single"/>
        </w:rPr>
        <w:t xml:space="preserve">（1）竣工结算合同价格；（2）发包人已支付承包人的款项；（3）应扣留的质量保证金；（4）发包人应支付承包人的合同价款 </w:t>
      </w:r>
      <w:r>
        <w:rPr>
          <w:rFonts w:hint="eastAsia" w:ascii="宋体" w:hAnsi="宋体" w:cs="宋体"/>
          <w:color w:val="auto"/>
          <w:sz w:val="22"/>
          <w:highlight w:val="none"/>
        </w:rPr>
        <w:t>。</w:t>
      </w:r>
    </w:p>
    <w:p w14:paraId="248722D0">
      <w:pPr>
        <w:pStyle w:val="6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增加以下内容：</w:t>
      </w:r>
    </w:p>
    <w:p w14:paraId="31120563">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竣工结算申请单资料清单应包括的内容：</w:t>
      </w:r>
      <w:r>
        <w:rPr>
          <w:rFonts w:hint="eastAsia" w:ascii="宋体" w:hAnsi="宋体" w:cs="宋体"/>
          <w:color w:val="auto"/>
          <w:sz w:val="22"/>
          <w:szCs w:val="22"/>
          <w:highlight w:val="none"/>
          <w:u w:val="single"/>
        </w:rPr>
        <w:t>（1）结算申请函（2）完整施工图；（3）竣工图</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含电子版）；（4）结算书</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含软件版）；（5）设计变更情况及批件；（6）工程洽商记录；（7）现场签证单；（8）磋商文件；（9）施工合同；（10）开工报告；（11）原材料试验报告；（12）竣工验收记录及质量评定结果；（13）成交通知书；（14）隐蔽工程记录；</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15</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计量资料；（16）依据当地相关</w:t>
      </w:r>
      <w:r>
        <w:rPr>
          <w:rFonts w:hint="eastAsia" w:ascii="宋体" w:hAnsi="宋体" w:cs="宋体"/>
          <w:color w:val="auto"/>
          <w:sz w:val="22"/>
          <w:szCs w:val="22"/>
          <w:highlight w:val="none"/>
          <w:u w:val="single"/>
          <w:lang w:val="en-US" w:eastAsia="zh-CN"/>
        </w:rPr>
        <w:t>部门</w:t>
      </w:r>
      <w:r>
        <w:rPr>
          <w:rFonts w:hint="eastAsia" w:ascii="宋体" w:hAnsi="宋体" w:cs="宋体"/>
          <w:color w:val="auto"/>
          <w:sz w:val="22"/>
          <w:szCs w:val="22"/>
          <w:highlight w:val="none"/>
          <w:u w:val="single"/>
        </w:rPr>
        <w:t>要求提供的其他材料</w:t>
      </w:r>
      <w:r>
        <w:rPr>
          <w:rFonts w:hint="eastAsia" w:ascii="宋体" w:hAnsi="宋体" w:cs="宋体"/>
          <w:color w:val="auto"/>
          <w:sz w:val="22"/>
          <w:szCs w:val="22"/>
          <w:highlight w:val="none"/>
          <w:u w:val="none"/>
        </w:rPr>
        <w:t>。</w:t>
      </w:r>
    </w:p>
    <w:p w14:paraId="793D750D">
      <w:pPr>
        <w:pStyle w:val="39"/>
        <w:spacing w:line="360" w:lineRule="exact"/>
        <w:ind w:firstLine="442" w:firstLineChars="200"/>
        <w:rPr>
          <w:rFonts w:hint="eastAsia" w:ascii="宋体" w:hAnsi="宋体" w:cs="宋体"/>
          <w:color w:val="auto"/>
          <w:sz w:val="22"/>
          <w:szCs w:val="22"/>
          <w:highlight w:val="none"/>
        </w:rPr>
      </w:pPr>
      <w:bookmarkStart w:id="990" w:name="_Toc395382563"/>
      <w:bookmarkStart w:id="991" w:name="_Toc373227760"/>
      <w:bookmarkStart w:id="992" w:name="_Toc373478407"/>
      <w:bookmarkStart w:id="993" w:name="_Toc533432786"/>
      <w:bookmarkStart w:id="994" w:name="_Toc389065325"/>
      <w:bookmarkStart w:id="995" w:name="_Toc12975951"/>
      <w:r>
        <w:rPr>
          <w:rFonts w:hint="eastAsia" w:ascii="宋体" w:hAnsi="宋体" w:cs="宋体"/>
          <w:color w:val="auto"/>
          <w:sz w:val="22"/>
          <w:szCs w:val="22"/>
          <w:highlight w:val="none"/>
        </w:rPr>
        <w:t>14.2 竣工结算审核</w:t>
      </w:r>
      <w:bookmarkEnd w:id="990"/>
      <w:bookmarkEnd w:id="991"/>
      <w:bookmarkEnd w:id="992"/>
      <w:bookmarkEnd w:id="993"/>
      <w:bookmarkEnd w:id="994"/>
      <w:bookmarkEnd w:id="995"/>
    </w:p>
    <w:p w14:paraId="6BD9A839">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发包人审批竣工付款申请单的期限：</w:t>
      </w:r>
      <w:r>
        <w:rPr>
          <w:rFonts w:hint="eastAsia" w:ascii="宋体" w:hAnsi="宋体" w:cs="宋体"/>
          <w:color w:val="auto"/>
          <w:sz w:val="22"/>
          <w:highlight w:val="none"/>
          <w:u w:val="single"/>
          <w:lang w:val="en-US" w:eastAsia="zh-CN"/>
        </w:rPr>
        <w:t>双方约定</w:t>
      </w:r>
      <w:r>
        <w:rPr>
          <w:rFonts w:hint="eastAsia" w:ascii="宋体" w:hAnsi="宋体" w:cs="宋体"/>
          <w:color w:val="auto"/>
          <w:sz w:val="22"/>
          <w:highlight w:val="none"/>
          <w:u w:val="single"/>
        </w:rPr>
        <w:t>。</w:t>
      </w:r>
    </w:p>
    <w:p w14:paraId="3FDDC744">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bCs/>
          <w:color w:val="auto"/>
          <w:sz w:val="22"/>
          <w:highlight w:val="none"/>
        </w:rPr>
        <w:t>因承包人提供的结算资料不完整而需要补充或承包人不按时对账耽误时间时，审查时间应相应顺延</w:t>
      </w:r>
      <w:r>
        <w:rPr>
          <w:rFonts w:hint="eastAsia" w:ascii="宋体" w:hAnsi="宋体" w:cs="宋体"/>
          <w:color w:val="auto"/>
          <w:sz w:val="22"/>
          <w:highlight w:val="none"/>
        </w:rPr>
        <w:t>。</w:t>
      </w:r>
    </w:p>
    <w:p w14:paraId="17595FF9">
      <w:pPr>
        <w:pStyle w:val="40"/>
        <w:spacing w:line="360" w:lineRule="exact"/>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结算审核约定：</w:t>
      </w:r>
    </w:p>
    <w:p w14:paraId="678D6DFF">
      <w:pPr>
        <w:pStyle w:val="60"/>
        <w:spacing w:line="360" w:lineRule="exact"/>
        <w:ind w:firstLine="440" w:firstLineChars="200"/>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rPr>
        <w:t>1、工程竣工验收报告经发包人认可后14天内，承包人向发包人递交竣工验收合格资料及完整的结算资料和报告，双方按照协议书约定的合同价款及专用条款约定的合同价调整内容，进行工程竣工结算。2、工程结算经</w:t>
      </w:r>
      <w:r>
        <w:rPr>
          <w:rFonts w:hint="eastAsia" w:ascii="宋体" w:hAnsi="宋体" w:cs="宋体"/>
          <w:bCs/>
          <w:color w:val="auto"/>
          <w:sz w:val="22"/>
          <w:szCs w:val="22"/>
          <w:highlight w:val="none"/>
          <w:u w:val="single"/>
          <w:lang w:val="en-US" w:eastAsia="zh-CN"/>
        </w:rPr>
        <w:t>财评中心</w:t>
      </w:r>
      <w:r>
        <w:rPr>
          <w:rFonts w:hint="eastAsia" w:ascii="宋体" w:hAnsi="宋体" w:cs="宋体"/>
          <w:bCs/>
          <w:color w:val="auto"/>
          <w:sz w:val="22"/>
          <w:szCs w:val="22"/>
          <w:highlight w:val="none"/>
        </w:rPr>
        <w:t>核减（增）率在8%以上时，因核减（增）部分产生的审核费用由承包人负担。</w:t>
      </w:r>
      <w:r>
        <w:rPr>
          <w:rFonts w:hint="eastAsia" w:ascii="宋体" w:hAnsi="宋体" w:cs="宋体"/>
          <w:bCs/>
          <w:color w:val="auto"/>
          <w:sz w:val="22"/>
          <w:szCs w:val="22"/>
          <w:highlight w:val="none"/>
          <w:lang w:val="en-US" w:eastAsia="zh-CN"/>
        </w:rPr>
        <w:t>3.承包方逾期超过60天未完整提供竣工结算资料进行工程结算评审的，视为自动放弃剩余工程款结算。</w:t>
      </w:r>
    </w:p>
    <w:p w14:paraId="641F6DAB">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bCs/>
          <w:color w:val="auto"/>
          <w:sz w:val="22"/>
          <w:szCs w:val="22"/>
          <w:highlight w:val="none"/>
          <w:u w:val="single"/>
        </w:rPr>
        <w:t>政府投资工程的结算</w:t>
      </w:r>
      <w:r>
        <w:rPr>
          <w:rFonts w:hint="eastAsia" w:ascii="宋体" w:hAnsi="宋体" w:cs="宋体"/>
          <w:bCs/>
          <w:color w:val="auto"/>
          <w:sz w:val="22"/>
          <w:szCs w:val="22"/>
          <w:highlight w:val="none"/>
          <w:u w:val="single"/>
          <w:lang w:val="en-US" w:eastAsia="zh-CN"/>
        </w:rPr>
        <w:t>如</w:t>
      </w:r>
      <w:r>
        <w:rPr>
          <w:rFonts w:hint="eastAsia" w:ascii="宋体" w:hAnsi="宋体" w:cs="宋体"/>
          <w:bCs/>
          <w:color w:val="auto"/>
          <w:sz w:val="22"/>
          <w:szCs w:val="22"/>
          <w:highlight w:val="none"/>
          <w:u w:val="single"/>
        </w:rPr>
        <w:t>需</w:t>
      </w:r>
      <w:r>
        <w:rPr>
          <w:rFonts w:hint="eastAsia" w:ascii="宋体" w:hAnsi="宋体" w:cs="宋体"/>
          <w:bCs/>
          <w:color w:val="auto"/>
          <w:sz w:val="22"/>
          <w:szCs w:val="22"/>
          <w:highlight w:val="none"/>
          <w:u w:val="single"/>
          <w:lang w:val="en-US" w:eastAsia="zh-CN"/>
        </w:rPr>
        <w:t>财评中心</w:t>
      </w:r>
      <w:r>
        <w:rPr>
          <w:rFonts w:hint="eastAsia" w:ascii="宋体" w:hAnsi="宋体" w:cs="宋体"/>
          <w:bCs/>
          <w:color w:val="auto"/>
          <w:sz w:val="22"/>
          <w:szCs w:val="22"/>
          <w:highlight w:val="none"/>
          <w:u w:val="single"/>
        </w:rPr>
        <w:t>审定，最终结算金额以</w:t>
      </w:r>
      <w:r>
        <w:rPr>
          <w:rFonts w:hint="eastAsia" w:ascii="宋体" w:hAnsi="宋体" w:cs="宋体"/>
          <w:bCs/>
          <w:color w:val="auto"/>
          <w:sz w:val="22"/>
          <w:szCs w:val="22"/>
          <w:highlight w:val="none"/>
          <w:u w:val="single"/>
          <w:lang w:val="en-US" w:eastAsia="zh-CN"/>
        </w:rPr>
        <w:t>财评中心出具的评审报告</w:t>
      </w:r>
      <w:r>
        <w:rPr>
          <w:rFonts w:hint="eastAsia" w:ascii="宋体" w:hAnsi="宋体" w:cs="宋体"/>
          <w:bCs/>
          <w:color w:val="auto"/>
          <w:sz w:val="22"/>
          <w:szCs w:val="22"/>
          <w:highlight w:val="none"/>
          <w:u w:val="single"/>
        </w:rPr>
        <w:t>为准，不能以</w:t>
      </w:r>
      <w:r>
        <w:rPr>
          <w:rFonts w:hint="eastAsia" w:ascii="宋体" w:hAnsi="宋体" w:cs="宋体"/>
          <w:bCs/>
          <w:color w:val="auto"/>
          <w:sz w:val="22"/>
          <w:szCs w:val="22"/>
          <w:highlight w:val="none"/>
          <w:u w:val="single"/>
          <w:lang w:val="en-US" w:eastAsia="zh-CN"/>
        </w:rPr>
        <w:t>承包人编制的结果或发</w:t>
      </w:r>
      <w:r>
        <w:rPr>
          <w:rFonts w:hint="eastAsia" w:ascii="宋体" w:hAnsi="宋体" w:cs="宋体"/>
          <w:bCs/>
          <w:color w:val="auto"/>
          <w:sz w:val="22"/>
          <w:szCs w:val="22"/>
          <w:highlight w:val="none"/>
          <w:u w:val="single"/>
        </w:rPr>
        <w:t>包人审核的结果作为要求支付的依据。</w:t>
      </w:r>
      <w:r>
        <w:rPr>
          <w:rFonts w:hint="eastAsia" w:ascii="宋体" w:hAnsi="宋体" w:cs="宋体"/>
          <w:bCs/>
          <w:color w:val="auto"/>
          <w:sz w:val="22"/>
          <w:szCs w:val="22"/>
          <w:highlight w:val="none"/>
          <w:u w:val="single"/>
          <w:lang w:val="en-US" w:eastAsia="zh-CN"/>
        </w:rPr>
        <w:t>财评中心</w:t>
      </w:r>
      <w:r>
        <w:rPr>
          <w:rFonts w:hint="eastAsia" w:ascii="宋体" w:hAnsi="宋体" w:cs="宋体"/>
          <w:bCs/>
          <w:color w:val="auto"/>
          <w:sz w:val="22"/>
          <w:szCs w:val="22"/>
          <w:highlight w:val="none"/>
          <w:u w:val="single"/>
        </w:rPr>
        <w:t>处理相关事宜需要一定时间，发包人不承担因</w:t>
      </w:r>
      <w:r>
        <w:rPr>
          <w:rFonts w:hint="eastAsia" w:ascii="宋体" w:hAnsi="宋体" w:cs="宋体"/>
          <w:bCs/>
          <w:color w:val="auto"/>
          <w:sz w:val="22"/>
          <w:szCs w:val="22"/>
          <w:highlight w:val="none"/>
          <w:u w:val="single"/>
          <w:lang w:val="en-US" w:eastAsia="zh-CN"/>
        </w:rPr>
        <w:t>财评中心评审时间</w:t>
      </w:r>
      <w:r>
        <w:rPr>
          <w:rFonts w:hint="eastAsia" w:ascii="宋体" w:hAnsi="宋体" w:cs="宋体"/>
          <w:bCs/>
          <w:color w:val="auto"/>
          <w:sz w:val="22"/>
          <w:szCs w:val="22"/>
          <w:highlight w:val="none"/>
          <w:u w:val="single"/>
        </w:rPr>
        <w:t>引起的任何责任。</w:t>
      </w:r>
    </w:p>
    <w:p w14:paraId="7D9D6A83">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发包人完成竣工付款的期限：</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双方约定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1CAACF01">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关于竣工付款证书异议部分复核的方式和程序：</w:t>
      </w:r>
      <w:r>
        <w:rPr>
          <w:rFonts w:hint="eastAsia" w:ascii="宋体" w:hAnsi="宋体" w:cs="宋体"/>
          <w:color w:val="auto"/>
          <w:sz w:val="22"/>
          <w:highlight w:val="none"/>
          <w:u w:val="single"/>
        </w:rPr>
        <w:t xml:space="preserve">按通用合同条款执行 </w:t>
      </w:r>
      <w:r>
        <w:rPr>
          <w:rFonts w:hint="eastAsia" w:ascii="宋体" w:hAnsi="宋体" w:cs="宋体"/>
          <w:color w:val="auto"/>
          <w:sz w:val="22"/>
          <w:highlight w:val="none"/>
        </w:rPr>
        <w:t>。</w:t>
      </w:r>
    </w:p>
    <w:p w14:paraId="1FD965D0">
      <w:pPr>
        <w:pStyle w:val="39"/>
        <w:spacing w:line="360" w:lineRule="exact"/>
        <w:ind w:firstLine="442" w:firstLineChars="200"/>
        <w:rPr>
          <w:rFonts w:hint="eastAsia" w:ascii="宋体" w:hAnsi="宋体" w:cs="宋体"/>
          <w:color w:val="auto"/>
          <w:sz w:val="22"/>
          <w:szCs w:val="22"/>
          <w:highlight w:val="none"/>
        </w:rPr>
      </w:pPr>
      <w:bookmarkStart w:id="996" w:name="_Toc533432787"/>
      <w:bookmarkStart w:id="997" w:name="_Toc389065326"/>
      <w:bookmarkStart w:id="998" w:name="_Toc373227761"/>
      <w:bookmarkStart w:id="999" w:name="_Toc395382564"/>
      <w:bookmarkStart w:id="1000" w:name="_Toc373478408"/>
      <w:bookmarkStart w:id="1001" w:name="_Toc12975952"/>
      <w:r>
        <w:rPr>
          <w:rFonts w:hint="eastAsia" w:ascii="宋体" w:hAnsi="宋体" w:cs="宋体"/>
          <w:color w:val="auto"/>
          <w:sz w:val="22"/>
          <w:szCs w:val="22"/>
          <w:highlight w:val="none"/>
        </w:rPr>
        <w:t>14.4 最终结清</w:t>
      </w:r>
      <w:bookmarkEnd w:id="996"/>
      <w:bookmarkEnd w:id="997"/>
      <w:bookmarkEnd w:id="998"/>
      <w:bookmarkEnd w:id="999"/>
      <w:bookmarkEnd w:id="1000"/>
      <w:bookmarkEnd w:id="1001"/>
    </w:p>
    <w:p w14:paraId="641CA18B">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14.4.1 最终结清申请单</w:t>
      </w:r>
    </w:p>
    <w:p w14:paraId="2CD8279A">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承包人提交最终结清申请单的份数：</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四份</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rPr>
        <w:t>。</w:t>
      </w:r>
    </w:p>
    <w:p w14:paraId="56610976">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kern w:val="0"/>
          <w:sz w:val="22"/>
          <w:highlight w:val="none"/>
        </w:rPr>
        <w:t>承包人提交最终结算申请单的期限：</w:t>
      </w:r>
      <w:r>
        <w:rPr>
          <w:rFonts w:hint="eastAsia" w:ascii="宋体" w:hAnsi="宋体" w:cs="宋体"/>
          <w:color w:val="auto"/>
          <w:sz w:val="22"/>
          <w:highlight w:val="none"/>
          <w:u w:val="single"/>
        </w:rPr>
        <w:t>按通用合同条款执行</w:t>
      </w:r>
      <w:r>
        <w:rPr>
          <w:rFonts w:hint="eastAsia" w:ascii="宋体" w:hAnsi="宋体" w:cs="宋体"/>
          <w:color w:val="auto"/>
          <w:sz w:val="22"/>
          <w:highlight w:val="none"/>
        </w:rPr>
        <w:t xml:space="preserve">。 </w:t>
      </w:r>
    </w:p>
    <w:p w14:paraId="240B81C0">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14.4.2 最终结清证书和支付</w:t>
      </w:r>
    </w:p>
    <w:p w14:paraId="482AF71F">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（1）发包人完成最终结清申请单的审批并颁发最终结清证书的期限：</w:t>
      </w:r>
      <w:r>
        <w:rPr>
          <w:rFonts w:hint="eastAsia" w:ascii="宋体" w:hAnsi="宋体" w:cs="宋体"/>
          <w:color w:val="auto"/>
          <w:sz w:val="22"/>
          <w:highlight w:val="none"/>
          <w:u w:val="single"/>
        </w:rPr>
        <w:t>按通用合同条款执行</w:t>
      </w:r>
      <w:r>
        <w:rPr>
          <w:rFonts w:hint="eastAsia" w:ascii="宋体" w:hAnsi="宋体" w:cs="宋体"/>
          <w:color w:val="auto"/>
          <w:sz w:val="22"/>
          <w:highlight w:val="none"/>
        </w:rPr>
        <w:t>。</w:t>
      </w:r>
    </w:p>
    <w:p w14:paraId="52AF82BD">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（2）发包人完成支付的期限：</w:t>
      </w:r>
      <w:r>
        <w:rPr>
          <w:rFonts w:hint="eastAsia" w:ascii="宋体" w:hAnsi="宋体" w:cs="宋体"/>
          <w:color w:val="auto"/>
          <w:sz w:val="22"/>
          <w:highlight w:val="none"/>
          <w:u w:val="single"/>
        </w:rPr>
        <w:t>质量保证金的返还：工程交付使用至质量缺陷期满后无工程质量问题的，质量缺陷期满后</w:t>
      </w:r>
      <w:r>
        <w:rPr>
          <w:rFonts w:hint="eastAsia" w:ascii="宋体" w:hAnsi="宋体" w:cs="宋体"/>
          <w:color w:val="auto"/>
          <w:sz w:val="22"/>
          <w:highlight w:val="none"/>
          <w:u w:val="single"/>
          <w:lang w:val="en-US" w:eastAsia="zh-CN"/>
        </w:rPr>
        <w:t>承包方提交书面申请起</w:t>
      </w:r>
      <w:r>
        <w:rPr>
          <w:rFonts w:hint="eastAsia" w:ascii="宋体" w:hAnsi="宋体" w:cs="宋体"/>
          <w:color w:val="auto"/>
          <w:sz w:val="22"/>
          <w:highlight w:val="none"/>
          <w:u w:val="single"/>
        </w:rPr>
        <w:t>15个工作日内</w:t>
      </w:r>
      <w:r>
        <w:rPr>
          <w:rFonts w:hint="eastAsia" w:ascii="宋体" w:hAnsi="宋体" w:cs="宋体"/>
          <w:color w:val="auto"/>
          <w:sz w:val="22"/>
          <w:highlight w:val="none"/>
          <w:u w:val="single"/>
          <w:lang w:val="en-US" w:eastAsia="zh-CN"/>
        </w:rPr>
        <w:t>发包人按程序</w:t>
      </w:r>
      <w:r>
        <w:rPr>
          <w:rFonts w:hint="eastAsia" w:ascii="宋体" w:hAnsi="宋体" w:cs="宋体"/>
          <w:color w:val="auto"/>
          <w:sz w:val="22"/>
          <w:highlight w:val="none"/>
          <w:u w:val="single"/>
        </w:rPr>
        <w:t xml:space="preserve">退还 （无息） </w:t>
      </w:r>
      <w:r>
        <w:rPr>
          <w:rFonts w:hint="eastAsia" w:ascii="宋体" w:hAnsi="宋体" w:cs="宋体"/>
          <w:color w:val="auto"/>
          <w:sz w:val="22"/>
          <w:highlight w:val="none"/>
        </w:rPr>
        <w:t>。</w:t>
      </w:r>
    </w:p>
    <w:bookmarkEnd w:id="952"/>
    <w:bookmarkEnd w:id="953"/>
    <w:bookmarkEnd w:id="954"/>
    <w:bookmarkEnd w:id="955"/>
    <w:bookmarkEnd w:id="956"/>
    <w:bookmarkEnd w:id="957"/>
    <w:bookmarkEnd w:id="958"/>
    <w:bookmarkEnd w:id="964"/>
    <w:p w14:paraId="0DE36DAF">
      <w:pPr>
        <w:pStyle w:val="73"/>
        <w:spacing w:before="0" w:after="0" w:line="360" w:lineRule="exact"/>
        <w:ind w:firstLine="442" w:firstLineChars="200"/>
        <w:rPr>
          <w:rFonts w:hint="eastAsia" w:ascii="宋体" w:hAnsi="宋体" w:cs="宋体"/>
          <w:color w:val="auto"/>
          <w:sz w:val="22"/>
          <w:szCs w:val="22"/>
          <w:highlight w:val="none"/>
        </w:rPr>
      </w:pPr>
      <w:bookmarkStart w:id="1002" w:name="_Toc389065327"/>
      <w:bookmarkStart w:id="1003" w:name="_Toc395382565"/>
      <w:bookmarkStart w:id="1004" w:name="_Toc351203647"/>
      <w:bookmarkStart w:id="1005" w:name="_Toc373478409"/>
      <w:bookmarkStart w:id="1006" w:name="_Toc533432788"/>
      <w:bookmarkStart w:id="1007" w:name="_Toc373227762"/>
      <w:bookmarkStart w:id="1008" w:name="_Toc12975953"/>
      <w:bookmarkStart w:id="1009" w:name="_Toc267251483"/>
      <w:bookmarkStart w:id="1010" w:name="_Toc267251484"/>
      <w:bookmarkStart w:id="1011" w:name="_Toc267251482"/>
      <w:bookmarkStart w:id="1012" w:name="_Toc267251485"/>
      <w:bookmarkStart w:id="1013" w:name="_Toc267251486"/>
      <w:bookmarkStart w:id="1014" w:name="_Toc267251490"/>
      <w:bookmarkStart w:id="1015" w:name="_Toc267251488"/>
      <w:bookmarkStart w:id="1016" w:name="_Toc267251489"/>
      <w:bookmarkStart w:id="1017" w:name="_Toc267251493"/>
      <w:bookmarkStart w:id="1018" w:name="_Toc267251495"/>
      <w:bookmarkStart w:id="1019" w:name="_Toc267251496"/>
      <w:bookmarkStart w:id="1020" w:name="_Toc267251498"/>
      <w:bookmarkStart w:id="1021" w:name="_Toc267251503"/>
      <w:bookmarkStart w:id="1022" w:name="_Toc267251501"/>
      <w:bookmarkStart w:id="1023" w:name="_Toc267251497"/>
      <w:bookmarkStart w:id="1024" w:name="_Toc267251491"/>
      <w:bookmarkStart w:id="1025" w:name="_Toc267251494"/>
      <w:bookmarkStart w:id="1026" w:name="_Toc267251499"/>
      <w:bookmarkStart w:id="1027" w:name="_Toc267251492"/>
      <w:bookmarkStart w:id="1028" w:name="_Toc267251502"/>
      <w:bookmarkStart w:id="1029" w:name="_Toc267251506"/>
      <w:bookmarkStart w:id="1030" w:name="_Toc267251504"/>
      <w:bookmarkStart w:id="1031" w:name="_Toc267251507"/>
      <w:bookmarkStart w:id="1032" w:name="_Toc267251508"/>
      <w:bookmarkStart w:id="1033" w:name="_Toc267251513"/>
      <w:bookmarkStart w:id="1034" w:name="_Toc267251511"/>
      <w:bookmarkStart w:id="1035" w:name="_Toc267251509"/>
      <w:bookmarkStart w:id="1036" w:name="_Toc267251510"/>
      <w:bookmarkStart w:id="1037" w:name="_Toc267251514"/>
      <w:bookmarkStart w:id="1038" w:name="_Toc267251515"/>
      <w:r>
        <w:rPr>
          <w:rFonts w:hint="eastAsia" w:ascii="宋体" w:hAnsi="宋体" w:cs="宋体"/>
          <w:color w:val="auto"/>
          <w:sz w:val="22"/>
          <w:szCs w:val="22"/>
          <w:highlight w:val="none"/>
        </w:rPr>
        <w:t>15. 缺陷责任期与保修</w:t>
      </w:r>
      <w:bookmarkEnd w:id="1002"/>
      <w:bookmarkEnd w:id="1003"/>
      <w:bookmarkEnd w:id="1004"/>
      <w:bookmarkEnd w:id="1005"/>
      <w:bookmarkEnd w:id="1006"/>
      <w:bookmarkEnd w:id="1007"/>
      <w:bookmarkEnd w:id="1008"/>
    </w:p>
    <w:p w14:paraId="59AC9A77">
      <w:pPr>
        <w:pStyle w:val="39"/>
        <w:spacing w:line="360" w:lineRule="exact"/>
        <w:ind w:firstLine="442" w:firstLineChars="200"/>
        <w:rPr>
          <w:rFonts w:hint="eastAsia" w:ascii="宋体" w:hAnsi="宋体" w:cs="宋体"/>
          <w:color w:val="auto"/>
          <w:sz w:val="22"/>
          <w:szCs w:val="22"/>
          <w:highlight w:val="none"/>
        </w:rPr>
      </w:pPr>
      <w:bookmarkStart w:id="1039" w:name="_Toc533432789"/>
      <w:bookmarkStart w:id="1040" w:name="_Toc395382566"/>
      <w:bookmarkStart w:id="1041" w:name="_Toc373478410"/>
      <w:bookmarkStart w:id="1042" w:name="_Toc373227763"/>
      <w:bookmarkStart w:id="1043" w:name="_Toc389065328"/>
      <w:bookmarkStart w:id="1044" w:name="_Toc12975954"/>
      <w:r>
        <w:rPr>
          <w:rFonts w:hint="eastAsia" w:ascii="宋体" w:hAnsi="宋体" w:cs="宋体"/>
          <w:color w:val="auto"/>
          <w:sz w:val="22"/>
          <w:szCs w:val="22"/>
          <w:highlight w:val="none"/>
        </w:rPr>
        <w:t>15.2 缺陷责任期</w:t>
      </w:r>
      <w:bookmarkEnd w:id="1009"/>
      <w:bookmarkEnd w:id="1039"/>
      <w:bookmarkEnd w:id="1040"/>
      <w:bookmarkEnd w:id="1041"/>
      <w:bookmarkEnd w:id="1042"/>
      <w:bookmarkEnd w:id="1043"/>
      <w:bookmarkEnd w:id="1044"/>
    </w:p>
    <w:p w14:paraId="3AEB56B0">
      <w:pPr>
        <w:pStyle w:val="40"/>
        <w:spacing w:line="360" w:lineRule="exact"/>
        <w:ind w:firstLine="440" w:firstLineChars="200"/>
        <w:jc w:val="left"/>
        <w:rPr>
          <w:rFonts w:hint="default" w:ascii="宋体" w:hAnsi="宋体" w:eastAsia="宋体" w:cs="宋体"/>
          <w:color w:val="auto"/>
          <w:sz w:val="22"/>
          <w:highlight w:val="none"/>
          <w:u w:val="single"/>
          <w:lang w:val="en-US" w:eastAsia="zh-CN"/>
        </w:rPr>
      </w:pPr>
      <w:r>
        <w:rPr>
          <w:rFonts w:hint="eastAsia" w:ascii="宋体" w:hAnsi="宋体" w:cs="宋体"/>
          <w:color w:val="auto"/>
          <w:sz w:val="22"/>
          <w:highlight w:val="none"/>
        </w:rPr>
        <w:t>缺陷责任期的具体期限：</w:t>
      </w:r>
      <w:r>
        <w:rPr>
          <w:rFonts w:hint="eastAsia" w:ascii="宋体" w:hAnsi="宋体" w:cs="宋体"/>
          <w:color w:val="auto"/>
          <w:sz w:val="22"/>
          <w:highlight w:val="none"/>
          <w:u w:val="single"/>
        </w:rPr>
        <w:t>24个月</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质量保证相关约定详见</w:t>
      </w:r>
      <w:r>
        <w:rPr>
          <w:rFonts w:hint="eastAsia" w:ascii="宋体" w:hAnsi="宋体" w:cs="宋体"/>
          <w:color w:val="auto"/>
          <w:sz w:val="22"/>
          <w:highlight w:val="none"/>
        </w:rPr>
        <w:t>合同</w:t>
      </w:r>
      <w:r>
        <w:rPr>
          <w:rFonts w:hint="eastAsia" w:ascii="宋体" w:hAnsi="宋体" w:cs="宋体"/>
          <w:color w:val="auto"/>
          <w:sz w:val="22"/>
          <w:highlight w:val="none"/>
          <w:lang w:val="en-US" w:eastAsia="zh-CN"/>
        </w:rPr>
        <w:t>附件2。</w:t>
      </w:r>
    </w:p>
    <w:p w14:paraId="045CD7F3">
      <w:pPr>
        <w:pStyle w:val="39"/>
        <w:spacing w:line="360" w:lineRule="exact"/>
        <w:ind w:firstLine="442" w:firstLineChars="200"/>
        <w:rPr>
          <w:rFonts w:hint="eastAsia" w:ascii="宋体" w:hAnsi="宋体" w:cs="宋体"/>
          <w:color w:val="auto"/>
          <w:sz w:val="22"/>
          <w:szCs w:val="22"/>
          <w:highlight w:val="none"/>
        </w:rPr>
      </w:pPr>
      <w:bookmarkStart w:id="1045" w:name="_Toc395382567"/>
      <w:bookmarkStart w:id="1046" w:name="_Toc533432790"/>
      <w:bookmarkStart w:id="1047" w:name="_Toc12975955"/>
      <w:bookmarkStart w:id="1048" w:name="_Toc373478411"/>
      <w:bookmarkStart w:id="1049" w:name="_Toc373227764"/>
      <w:bookmarkStart w:id="1050" w:name="_Toc389065329"/>
      <w:r>
        <w:rPr>
          <w:rFonts w:hint="eastAsia" w:ascii="宋体" w:hAnsi="宋体" w:cs="宋体"/>
          <w:color w:val="auto"/>
          <w:sz w:val="22"/>
          <w:szCs w:val="22"/>
          <w:highlight w:val="none"/>
        </w:rPr>
        <w:t>15.3 质量保证金</w:t>
      </w:r>
      <w:bookmarkEnd w:id="1045"/>
      <w:bookmarkEnd w:id="1046"/>
      <w:bookmarkEnd w:id="1047"/>
      <w:bookmarkEnd w:id="1048"/>
      <w:bookmarkEnd w:id="1049"/>
      <w:bookmarkEnd w:id="1050"/>
    </w:p>
    <w:p w14:paraId="6DB94D50">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关于是否扣留质量保证金的约定：</w:t>
      </w:r>
      <w:r>
        <w:rPr>
          <w:rFonts w:hint="eastAsia" w:ascii="宋体" w:hAnsi="宋体" w:cs="宋体"/>
          <w:color w:val="auto"/>
          <w:sz w:val="22"/>
          <w:highlight w:val="none"/>
          <w:u w:val="single"/>
        </w:rPr>
        <w:t>扣留</w:t>
      </w:r>
      <w:r>
        <w:rPr>
          <w:rFonts w:hint="eastAsia" w:ascii="宋体" w:hAnsi="宋体" w:cs="宋体"/>
          <w:color w:val="auto"/>
          <w:sz w:val="22"/>
          <w:highlight w:val="none"/>
        </w:rPr>
        <w:t>。</w:t>
      </w:r>
    </w:p>
    <w:p w14:paraId="1E74E091">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15.3.1 承包人提供质量保证金的方式</w:t>
      </w:r>
    </w:p>
    <w:p w14:paraId="4FC3E8A2">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质量保证金采用以下第</w:t>
      </w:r>
      <w:r>
        <w:rPr>
          <w:rFonts w:hint="eastAsia" w:ascii="宋体" w:hAnsi="宋体" w:cs="宋体"/>
          <w:color w:val="auto"/>
          <w:sz w:val="22"/>
          <w:highlight w:val="none"/>
          <w:u w:val="single"/>
        </w:rPr>
        <w:t>（2）</w:t>
      </w:r>
      <w:r>
        <w:rPr>
          <w:rFonts w:hint="eastAsia" w:ascii="宋体" w:hAnsi="宋体" w:cs="宋体"/>
          <w:color w:val="auto"/>
          <w:sz w:val="22"/>
          <w:highlight w:val="none"/>
        </w:rPr>
        <w:t>种方式：</w:t>
      </w:r>
    </w:p>
    <w:p w14:paraId="12168239">
      <w:pPr>
        <w:pStyle w:val="40"/>
        <w:autoSpaceDE w:val="0"/>
        <w:autoSpaceDN w:val="0"/>
        <w:adjustRightInd w:val="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（1）质量保证金保函，保证金额为：</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rPr>
        <w:t>；</w:t>
      </w:r>
    </w:p>
    <w:p w14:paraId="64C4B108">
      <w:pPr>
        <w:pStyle w:val="40"/>
        <w:autoSpaceDE w:val="0"/>
        <w:autoSpaceDN w:val="0"/>
        <w:adjustRightInd w:val="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bCs/>
          <w:color w:val="auto"/>
          <w:sz w:val="22"/>
          <w:highlight w:val="none"/>
        </w:rPr>
        <w:t>发包人按工程价款结算总额的</w:t>
      </w:r>
      <w:r>
        <w:rPr>
          <w:rFonts w:hint="eastAsia" w:ascii="宋体" w:hAnsi="宋体" w:cs="宋体"/>
          <w:bCs/>
          <w:color w:val="auto"/>
          <w:sz w:val="22"/>
          <w:highlight w:val="none"/>
          <w:u w:val="single"/>
        </w:rPr>
        <w:t xml:space="preserve">  3 </w:t>
      </w:r>
      <w:r>
        <w:rPr>
          <w:rFonts w:hint="eastAsia" w:ascii="宋体" w:hAnsi="宋体" w:cs="宋体"/>
          <w:bCs/>
          <w:color w:val="auto"/>
          <w:sz w:val="22"/>
          <w:highlight w:val="none"/>
        </w:rPr>
        <w:t>%预留工程</w:t>
      </w:r>
      <w:r>
        <w:rPr>
          <w:rFonts w:hint="eastAsia" w:ascii="宋体" w:hAnsi="宋体" w:cs="宋体"/>
          <w:bCs/>
          <w:color w:val="auto"/>
          <w:sz w:val="22"/>
          <w:highlight w:val="none"/>
          <w:lang w:eastAsia="zh-CN"/>
        </w:rPr>
        <w:t>质量保证金</w:t>
      </w:r>
      <w:r>
        <w:rPr>
          <w:rFonts w:hint="eastAsia" w:ascii="宋体" w:hAnsi="宋体" w:cs="宋体"/>
          <w:bCs/>
          <w:color w:val="auto"/>
          <w:sz w:val="22"/>
          <w:highlight w:val="none"/>
        </w:rPr>
        <w:t>，待缺陷责任期满后返还</w:t>
      </w:r>
      <w:r>
        <w:rPr>
          <w:rFonts w:hint="eastAsia" w:ascii="宋体" w:hAnsi="宋体" w:cs="宋体"/>
          <w:color w:val="auto"/>
          <w:kern w:val="0"/>
          <w:sz w:val="22"/>
          <w:highlight w:val="none"/>
        </w:rPr>
        <w:t>；</w:t>
      </w:r>
    </w:p>
    <w:p w14:paraId="1844F8BC">
      <w:pPr>
        <w:pStyle w:val="40"/>
        <w:autoSpaceDE w:val="0"/>
        <w:autoSpaceDN w:val="0"/>
        <w:adjustRightInd w:val="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（3）其他方式：</w:t>
      </w:r>
      <w:r>
        <w:rPr>
          <w:rFonts w:hint="eastAsia" w:ascii="宋体" w:hAnsi="宋体" w:cs="宋体"/>
          <w:bCs/>
          <w:color w:val="auto"/>
          <w:sz w:val="22"/>
          <w:highlight w:val="none"/>
          <w:u w:val="single"/>
          <w:lang w:val="en-US" w:eastAsia="zh-CN"/>
        </w:rPr>
        <w:t xml:space="preserve"> </w:t>
      </w:r>
      <w:r>
        <w:rPr>
          <w:rFonts w:hint="eastAsia" w:ascii="宋体" w:hAnsi="宋体" w:cs="宋体"/>
          <w:bCs/>
          <w:color w:val="auto"/>
          <w:sz w:val="22"/>
          <w:highlight w:val="none"/>
          <w:u w:val="single"/>
        </w:rPr>
        <w:t xml:space="preserve"> /  </w:t>
      </w:r>
      <w:r>
        <w:rPr>
          <w:rFonts w:hint="eastAsia" w:ascii="宋体" w:hAnsi="宋体" w:cs="宋体"/>
          <w:bCs/>
          <w:color w:val="auto"/>
          <w:sz w:val="22"/>
          <w:highlight w:val="none"/>
        </w:rPr>
        <w:t>。</w:t>
      </w:r>
    </w:p>
    <w:p w14:paraId="2CF818E5">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15.3.2 质量保证金的扣留</w:t>
      </w:r>
    </w:p>
    <w:p w14:paraId="6B342F9D">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质量保证金的扣留采取以下第</w:t>
      </w:r>
      <w:r>
        <w:rPr>
          <w:rFonts w:hint="eastAsia" w:ascii="宋体" w:hAnsi="宋体" w:cs="宋体"/>
          <w:color w:val="auto"/>
          <w:sz w:val="22"/>
          <w:highlight w:val="none"/>
          <w:u w:val="single"/>
        </w:rPr>
        <w:t>（2）</w:t>
      </w:r>
      <w:r>
        <w:rPr>
          <w:rFonts w:hint="eastAsia" w:ascii="宋体" w:hAnsi="宋体" w:cs="宋体"/>
          <w:color w:val="auto"/>
          <w:sz w:val="22"/>
          <w:highlight w:val="none"/>
        </w:rPr>
        <w:t>种方式：</w:t>
      </w:r>
    </w:p>
    <w:p w14:paraId="74C4E087">
      <w:pPr>
        <w:pStyle w:val="40"/>
        <w:autoSpaceDE w:val="0"/>
        <w:autoSpaceDN w:val="0"/>
        <w:adjustRightInd w:val="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（1）在支付工程进度款时逐次扣留，在此情形下，质量保证金的计算基数不包括预付款的支付、扣回以及价格调整的金额；</w:t>
      </w:r>
    </w:p>
    <w:p w14:paraId="69DAF001">
      <w:pPr>
        <w:pStyle w:val="40"/>
        <w:autoSpaceDE w:val="0"/>
        <w:autoSpaceDN w:val="0"/>
        <w:adjustRightInd w:val="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（2）工程竣工结算时一次性扣留质量保证金；</w:t>
      </w:r>
    </w:p>
    <w:p w14:paraId="659CDE06">
      <w:pPr>
        <w:pStyle w:val="40"/>
        <w:autoSpaceDE w:val="0"/>
        <w:autoSpaceDN w:val="0"/>
        <w:adjustRightInd w:val="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（3）其他扣留方式</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w:t>
      </w:r>
    </w:p>
    <w:p w14:paraId="018924CC">
      <w:pPr>
        <w:pStyle w:val="40"/>
        <w:spacing w:line="360" w:lineRule="exact"/>
        <w:ind w:firstLine="440" w:firstLineChars="200"/>
        <w:jc w:val="left"/>
        <w:rPr>
          <w:rFonts w:hint="eastAsia" w:ascii="宋体" w:hAnsi="宋体" w:cs="宋体"/>
          <w:color w:val="auto"/>
          <w:kern w:val="0"/>
          <w:sz w:val="22"/>
          <w:highlight w:val="none"/>
          <w:u w:val="single"/>
        </w:rPr>
      </w:pPr>
      <w:r>
        <w:rPr>
          <w:rFonts w:hint="eastAsia" w:ascii="宋体" w:hAnsi="宋体" w:cs="宋体"/>
          <w:color w:val="auto"/>
          <w:sz w:val="22"/>
          <w:highlight w:val="none"/>
        </w:rPr>
        <w:t>关于质量保证金的补充约定：</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 </w:t>
      </w:r>
      <w:r>
        <w:rPr>
          <w:rFonts w:hint="eastAsia" w:ascii="宋体" w:hAnsi="宋体" w:cs="宋体"/>
          <w:color w:val="auto"/>
          <w:kern w:val="0"/>
          <w:sz w:val="22"/>
          <w:highlight w:val="none"/>
        </w:rPr>
        <w:t>。</w:t>
      </w:r>
    </w:p>
    <w:bookmarkEnd w:id="1010"/>
    <w:bookmarkEnd w:id="1011"/>
    <w:p w14:paraId="50635230">
      <w:pPr>
        <w:pStyle w:val="39"/>
        <w:spacing w:line="360" w:lineRule="exact"/>
        <w:ind w:firstLine="442" w:firstLineChars="200"/>
        <w:rPr>
          <w:rFonts w:hint="eastAsia" w:ascii="宋体" w:hAnsi="宋体" w:cs="宋体"/>
          <w:color w:val="auto"/>
          <w:sz w:val="22"/>
          <w:szCs w:val="22"/>
          <w:highlight w:val="none"/>
        </w:rPr>
      </w:pPr>
      <w:bookmarkStart w:id="1051" w:name="_Toc373227765"/>
      <w:bookmarkStart w:id="1052" w:name="_Toc373478412"/>
      <w:bookmarkStart w:id="1053" w:name="_Toc533432791"/>
      <w:bookmarkStart w:id="1054" w:name="_Toc12975956"/>
      <w:bookmarkStart w:id="1055" w:name="_Toc395382568"/>
      <w:bookmarkStart w:id="1056" w:name="_Toc389065330"/>
      <w:r>
        <w:rPr>
          <w:rFonts w:hint="eastAsia" w:ascii="宋体" w:hAnsi="宋体" w:cs="宋体"/>
          <w:color w:val="auto"/>
          <w:sz w:val="22"/>
          <w:szCs w:val="22"/>
          <w:highlight w:val="none"/>
        </w:rPr>
        <w:t>15.4 保修</w:t>
      </w:r>
      <w:bookmarkEnd w:id="1051"/>
      <w:bookmarkEnd w:id="1052"/>
      <w:bookmarkEnd w:id="1053"/>
      <w:bookmarkEnd w:id="1054"/>
      <w:bookmarkEnd w:id="1055"/>
      <w:bookmarkEnd w:id="1056"/>
    </w:p>
    <w:bookmarkEnd w:id="1012"/>
    <w:p w14:paraId="4C618151">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15.4.1 保修责任</w:t>
      </w:r>
    </w:p>
    <w:p w14:paraId="135B36F3">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sz w:val="22"/>
          <w:highlight w:val="none"/>
        </w:rPr>
        <w:t>工程保修期为：</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u w:val="single"/>
        </w:rPr>
        <w:t>见工程质量保修书</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w:t>
      </w:r>
    </w:p>
    <w:p w14:paraId="4681B3AA">
      <w:pPr>
        <w:pStyle w:val="40"/>
        <w:spacing w:line="360" w:lineRule="exact"/>
        <w:ind w:firstLine="440" w:firstLineChars="200"/>
        <w:jc w:val="left"/>
        <w:rPr>
          <w:rFonts w:hint="eastAsia" w:ascii="宋体" w:hAnsi="宋体" w:cs="宋体"/>
          <w:color w:val="auto"/>
          <w:kern w:val="0"/>
          <w:sz w:val="22"/>
          <w:highlight w:val="none"/>
          <w:u w:val="single"/>
        </w:rPr>
      </w:pPr>
      <w:r>
        <w:rPr>
          <w:rFonts w:hint="eastAsia" w:ascii="宋体" w:hAnsi="宋体" w:cs="宋体"/>
          <w:color w:val="auto"/>
          <w:sz w:val="22"/>
          <w:highlight w:val="none"/>
        </w:rPr>
        <w:t>工程质量保修书具体内容见合同附件</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w:t>
      </w:r>
    </w:p>
    <w:p w14:paraId="325DEA90">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15.4.3 修复通知</w:t>
      </w:r>
    </w:p>
    <w:p w14:paraId="2FE3B8A0">
      <w:pPr>
        <w:pStyle w:val="40"/>
        <w:spacing w:line="360" w:lineRule="exact"/>
        <w:ind w:firstLine="440" w:firstLineChars="200"/>
        <w:jc w:val="left"/>
        <w:rPr>
          <w:rFonts w:hint="eastAsia" w:ascii="宋体" w:hAnsi="宋体" w:cs="宋体"/>
          <w:color w:val="auto"/>
          <w:kern w:val="0"/>
          <w:sz w:val="22"/>
          <w:highlight w:val="none"/>
          <w:u w:val="single"/>
        </w:rPr>
      </w:pPr>
      <w:r>
        <w:rPr>
          <w:rFonts w:hint="eastAsia" w:ascii="宋体" w:hAnsi="宋体" w:cs="宋体"/>
          <w:color w:val="auto"/>
          <w:kern w:val="0"/>
          <w:sz w:val="22"/>
          <w:highlight w:val="none"/>
        </w:rPr>
        <w:t>承包人收到保修通知并到达工程现场的合理时间：</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u w:val="single"/>
        </w:rPr>
        <w:t>收到通知后</w:t>
      </w:r>
      <w:r>
        <w:rPr>
          <w:rFonts w:hint="eastAsia" w:ascii="宋体" w:hAnsi="宋体" w:cs="宋体"/>
          <w:color w:val="auto"/>
          <w:kern w:val="0"/>
          <w:sz w:val="22"/>
          <w:highlight w:val="none"/>
          <w:u w:val="single"/>
          <w:lang w:val="en-US" w:eastAsia="zh-CN"/>
        </w:rPr>
        <w:t>48</w:t>
      </w:r>
      <w:r>
        <w:rPr>
          <w:rFonts w:hint="eastAsia" w:ascii="宋体" w:hAnsi="宋体" w:cs="宋体"/>
          <w:color w:val="auto"/>
          <w:kern w:val="0"/>
          <w:sz w:val="22"/>
          <w:highlight w:val="none"/>
          <w:u w:val="single"/>
        </w:rPr>
        <w:t>小时内</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w:t>
      </w:r>
    </w:p>
    <w:bookmarkEnd w:id="1013"/>
    <w:bookmarkEnd w:id="1014"/>
    <w:bookmarkEnd w:id="1015"/>
    <w:bookmarkEnd w:id="1016"/>
    <w:p w14:paraId="33BAAE40">
      <w:pPr>
        <w:pStyle w:val="73"/>
        <w:spacing w:before="0" w:after="0" w:line="360" w:lineRule="exact"/>
        <w:rPr>
          <w:rFonts w:hint="eastAsia" w:ascii="宋体" w:hAnsi="宋体" w:cs="宋体"/>
          <w:color w:val="auto"/>
          <w:sz w:val="22"/>
          <w:szCs w:val="22"/>
          <w:highlight w:val="none"/>
        </w:rPr>
      </w:pPr>
      <w:bookmarkStart w:id="1057" w:name="_Toc12975957"/>
      <w:bookmarkStart w:id="1058" w:name="_Toc389065331"/>
      <w:bookmarkStart w:id="1059" w:name="_Toc351203648"/>
      <w:bookmarkStart w:id="1060" w:name="_Toc373227766"/>
      <w:bookmarkStart w:id="1061" w:name="_Toc373478413"/>
      <w:bookmarkStart w:id="1062" w:name="_Toc395382569"/>
      <w:bookmarkStart w:id="1063" w:name="_Toc533432792"/>
      <w:bookmarkStart w:id="1064" w:name="_Toc280868717"/>
      <w:bookmarkStart w:id="1065" w:name="_Toc280868718"/>
    </w:p>
    <w:p w14:paraId="6CBB2101">
      <w:pPr>
        <w:pStyle w:val="73"/>
        <w:spacing w:before="0" w:after="0" w:line="360" w:lineRule="exact"/>
        <w:ind w:firstLine="442"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16. 违约</w:t>
      </w:r>
      <w:bookmarkEnd w:id="1057"/>
      <w:bookmarkEnd w:id="1058"/>
      <w:bookmarkEnd w:id="1059"/>
      <w:bookmarkEnd w:id="1060"/>
      <w:bookmarkEnd w:id="1061"/>
      <w:bookmarkEnd w:id="1062"/>
      <w:bookmarkEnd w:id="1063"/>
    </w:p>
    <w:p w14:paraId="5ECC1E36">
      <w:pPr>
        <w:pStyle w:val="39"/>
        <w:spacing w:line="360" w:lineRule="exact"/>
        <w:ind w:firstLine="442" w:firstLineChars="200"/>
        <w:rPr>
          <w:rFonts w:hint="eastAsia" w:ascii="宋体" w:hAnsi="宋体" w:cs="宋体"/>
          <w:color w:val="auto"/>
          <w:sz w:val="22"/>
          <w:szCs w:val="22"/>
          <w:highlight w:val="none"/>
        </w:rPr>
      </w:pPr>
      <w:bookmarkStart w:id="1066" w:name="_Toc373227767"/>
      <w:bookmarkStart w:id="1067" w:name="_Toc395382570"/>
      <w:bookmarkStart w:id="1068" w:name="_Toc373478414"/>
      <w:bookmarkStart w:id="1069" w:name="_Toc389065332"/>
      <w:bookmarkStart w:id="1070" w:name="_Toc12975958"/>
      <w:bookmarkStart w:id="1071" w:name="_Toc533432793"/>
      <w:r>
        <w:rPr>
          <w:rFonts w:hint="eastAsia" w:ascii="宋体" w:hAnsi="宋体" w:cs="宋体"/>
          <w:color w:val="auto"/>
          <w:sz w:val="22"/>
          <w:szCs w:val="22"/>
          <w:highlight w:val="none"/>
        </w:rPr>
        <w:t>16.1 发包人违约</w:t>
      </w:r>
      <w:bookmarkEnd w:id="1066"/>
      <w:bookmarkEnd w:id="1067"/>
      <w:bookmarkEnd w:id="1068"/>
      <w:bookmarkEnd w:id="1069"/>
      <w:bookmarkEnd w:id="1070"/>
      <w:bookmarkEnd w:id="1071"/>
    </w:p>
    <w:p w14:paraId="0F8060BD">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16.1.1发包人违约的情形</w:t>
      </w:r>
    </w:p>
    <w:p w14:paraId="6B92E072">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发包人违约的其他情形：</w:t>
      </w:r>
      <w:r>
        <w:rPr>
          <w:rFonts w:hint="eastAsia" w:ascii="宋体" w:hAnsi="宋体" w:cs="宋体"/>
          <w:color w:val="auto"/>
          <w:kern w:val="0"/>
          <w:sz w:val="22"/>
          <w:highlight w:val="none"/>
          <w:u w:val="single"/>
        </w:rPr>
        <w:t xml:space="preserve">无 </w:t>
      </w:r>
      <w:r>
        <w:rPr>
          <w:rFonts w:hint="eastAsia" w:ascii="宋体" w:hAnsi="宋体" w:cs="宋体"/>
          <w:color w:val="auto"/>
          <w:kern w:val="0"/>
          <w:sz w:val="22"/>
          <w:highlight w:val="none"/>
        </w:rPr>
        <w:t>。</w:t>
      </w:r>
    </w:p>
    <w:p w14:paraId="682C98E4">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16.1.2 发包人违约的责任</w:t>
      </w:r>
    </w:p>
    <w:p w14:paraId="0109DE8A">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发包人违约责任的承担方式和计算方法：</w:t>
      </w:r>
    </w:p>
    <w:p w14:paraId="3291DDE9">
      <w:pPr>
        <w:pStyle w:val="40"/>
        <w:spacing w:line="360" w:lineRule="exact"/>
        <w:ind w:firstLine="440" w:firstLineChars="200"/>
        <w:jc w:val="left"/>
        <w:rPr>
          <w:rFonts w:hint="eastAsia" w:ascii="宋体" w:hAnsi="宋体" w:cs="宋体"/>
          <w:color w:val="auto"/>
          <w:kern w:val="0"/>
          <w:sz w:val="22"/>
          <w:highlight w:val="none"/>
          <w:u w:val="single"/>
        </w:rPr>
      </w:pPr>
      <w:r>
        <w:rPr>
          <w:rFonts w:hint="eastAsia" w:ascii="宋体" w:hAnsi="宋体" w:cs="宋体"/>
          <w:color w:val="auto"/>
          <w:kern w:val="0"/>
          <w:sz w:val="22"/>
          <w:highlight w:val="none"/>
        </w:rPr>
        <w:t>（1）因发包人原因未能在计划开工日期前7天内下达开工通知的违约责任：</w:t>
      </w:r>
      <w:r>
        <w:rPr>
          <w:rFonts w:hint="eastAsia" w:ascii="宋体" w:hAnsi="宋体" w:cs="宋体"/>
          <w:color w:val="auto"/>
          <w:kern w:val="0"/>
          <w:sz w:val="22"/>
          <w:highlight w:val="none"/>
          <w:u w:val="single"/>
        </w:rPr>
        <w:t xml:space="preserve"> 工期顺延 </w:t>
      </w:r>
      <w:r>
        <w:rPr>
          <w:rFonts w:hint="eastAsia" w:ascii="宋体" w:hAnsi="宋体" w:cs="宋体"/>
          <w:color w:val="auto"/>
          <w:kern w:val="0"/>
          <w:sz w:val="22"/>
          <w:highlight w:val="none"/>
        </w:rPr>
        <w:t>。</w:t>
      </w:r>
    </w:p>
    <w:p w14:paraId="772CF18A">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（2）因发包人原因未能按合同约定支付合同价款的违约责任：</w:t>
      </w:r>
      <w:r>
        <w:rPr>
          <w:rFonts w:hint="eastAsia" w:ascii="宋体" w:hAnsi="宋体" w:cs="宋体"/>
          <w:color w:val="auto"/>
          <w:kern w:val="0"/>
          <w:sz w:val="22"/>
          <w:highlight w:val="none"/>
          <w:u w:val="single"/>
        </w:rPr>
        <w:t>无</w:t>
      </w:r>
      <w:r>
        <w:rPr>
          <w:rFonts w:hint="eastAsia" w:ascii="宋体" w:hAnsi="宋体" w:cs="宋体"/>
          <w:color w:val="auto"/>
          <w:kern w:val="0"/>
          <w:sz w:val="22"/>
          <w:highlight w:val="none"/>
        </w:rPr>
        <w:t>。</w:t>
      </w:r>
    </w:p>
    <w:p w14:paraId="4B44B1CD">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（3）发包人违反第10.1款〔变更的范围〕第（2）项约定，自行实施被取消的工作或转由他人实施的违约责任：</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u w:val="single"/>
        </w:rPr>
        <w:t>无</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w:t>
      </w:r>
    </w:p>
    <w:p w14:paraId="22577A9E">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u w:val="single"/>
        </w:rPr>
        <w:t>工期顺延</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w:t>
      </w:r>
    </w:p>
    <w:p w14:paraId="25642800">
      <w:pPr>
        <w:pStyle w:val="40"/>
        <w:spacing w:line="360" w:lineRule="exact"/>
        <w:ind w:firstLine="440" w:firstLineChars="200"/>
        <w:jc w:val="left"/>
        <w:rPr>
          <w:rFonts w:hint="eastAsia" w:ascii="宋体" w:hAnsi="宋体" w:cs="宋体"/>
          <w:color w:val="auto"/>
          <w:kern w:val="0"/>
          <w:sz w:val="22"/>
          <w:highlight w:val="none"/>
          <w:u w:val="single"/>
        </w:rPr>
      </w:pPr>
      <w:r>
        <w:rPr>
          <w:rFonts w:hint="eastAsia" w:ascii="宋体" w:hAnsi="宋体" w:cs="宋体"/>
          <w:color w:val="auto"/>
          <w:kern w:val="0"/>
          <w:sz w:val="22"/>
          <w:highlight w:val="none"/>
        </w:rPr>
        <w:t>（5）因发包人违反合同约定造成暂停施工的违约责任：</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u w:val="single"/>
        </w:rPr>
        <w:t>工期顺延</w:t>
      </w:r>
      <w:r>
        <w:rPr>
          <w:rFonts w:hint="eastAsia" w:ascii="宋体" w:hAnsi="宋体" w:cs="宋体"/>
          <w:color w:val="auto"/>
          <w:kern w:val="0"/>
          <w:sz w:val="22"/>
          <w:highlight w:val="none"/>
          <w:u w:val="single"/>
          <w:lang w:val="en-US" w:eastAsia="zh-CN"/>
        </w:rPr>
        <w:t xml:space="preserve"> </w:t>
      </w:r>
      <w:r>
        <w:rPr>
          <w:rFonts w:hint="eastAsia" w:ascii="宋体" w:hAnsi="宋体" w:cs="宋体"/>
          <w:color w:val="auto"/>
          <w:kern w:val="0"/>
          <w:sz w:val="22"/>
          <w:highlight w:val="none"/>
        </w:rPr>
        <w:t>。</w:t>
      </w:r>
    </w:p>
    <w:p w14:paraId="3D0215D6">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（6）发包人无正当理由没有在约定期限内发出复工指示，导致承包人无法复工的违约责任：</w:t>
      </w:r>
      <w:r>
        <w:rPr>
          <w:rFonts w:hint="eastAsia" w:ascii="宋体" w:hAnsi="宋体" w:cs="宋体"/>
          <w:color w:val="auto"/>
          <w:kern w:val="0"/>
          <w:sz w:val="22"/>
          <w:highlight w:val="none"/>
          <w:u w:val="single"/>
        </w:rPr>
        <w:t xml:space="preserve"> 工期顺延</w:t>
      </w:r>
      <w:r>
        <w:rPr>
          <w:rFonts w:hint="eastAsia" w:ascii="宋体" w:hAnsi="宋体" w:cs="宋体"/>
          <w:color w:val="auto"/>
          <w:kern w:val="0"/>
          <w:sz w:val="22"/>
          <w:highlight w:val="none"/>
        </w:rPr>
        <w:t>。</w:t>
      </w:r>
    </w:p>
    <w:p w14:paraId="09997BD4">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kern w:val="0"/>
          <w:sz w:val="22"/>
          <w:highlight w:val="none"/>
        </w:rPr>
        <w:t>（7）其他：</w:t>
      </w:r>
      <w:r>
        <w:rPr>
          <w:rFonts w:hint="eastAsia" w:ascii="宋体" w:hAnsi="宋体" w:cs="宋体"/>
          <w:color w:val="auto"/>
          <w:kern w:val="0"/>
          <w:sz w:val="22"/>
          <w:highlight w:val="none"/>
          <w:u w:val="single"/>
        </w:rPr>
        <w:t xml:space="preserve">无 </w:t>
      </w:r>
      <w:r>
        <w:rPr>
          <w:rFonts w:hint="eastAsia" w:ascii="宋体" w:hAnsi="宋体" w:cs="宋体"/>
          <w:color w:val="auto"/>
          <w:kern w:val="0"/>
          <w:sz w:val="22"/>
          <w:highlight w:val="none"/>
        </w:rPr>
        <w:t>。</w:t>
      </w:r>
    </w:p>
    <w:p w14:paraId="2B2EA948">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16.1.3 因发包人违约解除合同</w:t>
      </w:r>
    </w:p>
    <w:p w14:paraId="4A1F88EB">
      <w:pPr>
        <w:pStyle w:val="39"/>
        <w:spacing w:line="360" w:lineRule="exact"/>
        <w:ind w:firstLine="440" w:firstLineChars="200"/>
        <w:rPr>
          <w:rFonts w:hint="eastAsia" w:ascii="宋体" w:hAnsi="宋体" w:cs="宋体"/>
          <w:b w:val="0"/>
          <w:bCs w:val="0"/>
          <w:color w:val="auto"/>
          <w:kern w:val="0"/>
          <w:sz w:val="22"/>
          <w:szCs w:val="22"/>
          <w:highlight w:val="none"/>
        </w:rPr>
      </w:pPr>
      <w:bookmarkStart w:id="1072" w:name="_Toc12975959"/>
      <w:bookmarkStart w:id="1073" w:name="_Toc533432794"/>
      <w:bookmarkStart w:id="1074" w:name="_Toc389065333"/>
      <w:bookmarkStart w:id="1075" w:name="_Toc395382571"/>
      <w:bookmarkStart w:id="1076" w:name="_Toc373478415"/>
      <w:bookmarkStart w:id="1077" w:name="_Toc373227768"/>
      <w:r>
        <w:rPr>
          <w:rFonts w:hint="eastAsia" w:ascii="宋体" w:hAnsi="宋体" w:cs="宋体"/>
          <w:b w:val="0"/>
          <w:bCs w:val="0"/>
          <w:color w:val="auto"/>
          <w:kern w:val="0"/>
          <w:sz w:val="22"/>
          <w:szCs w:val="22"/>
          <w:highlight w:val="none"/>
        </w:rPr>
        <w:t>承包人按16.1.1项〔发包人违约的情形〕约定暂停施工满</w:t>
      </w:r>
      <w:r>
        <w:rPr>
          <w:rFonts w:hint="eastAsia" w:ascii="宋体" w:hAnsi="宋体" w:cs="宋体"/>
          <w:b w:val="0"/>
          <w:bCs w:val="0"/>
          <w:color w:val="auto"/>
          <w:kern w:val="0"/>
          <w:sz w:val="22"/>
          <w:szCs w:val="22"/>
          <w:highlight w:val="none"/>
          <w:u w:val="single"/>
        </w:rPr>
        <w:t>84</w:t>
      </w:r>
      <w:r>
        <w:rPr>
          <w:rFonts w:hint="eastAsia" w:ascii="宋体" w:hAnsi="宋体" w:cs="宋体"/>
          <w:b w:val="0"/>
          <w:bCs w:val="0"/>
          <w:color w:val="auto"/>
          <w:kern w:val="0"/>
          <w:sz w:val="22"/>
          <w:szCs w:val="22"/>
          <w:highlight w:val="none"/>
        </w:rPr>
        <w:t>天后发包人仍不纠正其违约行为并致使合同目的不能实现的，承包人有权解除合同。</w:t>
      </w:r>
      <w:bookmarkEnd w:id="1072"/>
      <w:bookmarkEnd w:id="1073"/>
    </w:p>
    <w:p w14:paraId="5359B86E">
      <w:pPr>
        <w:pStyle w:val="39"/>
        <w:spacing w:line="360" w:lineRule="exact"/>
        <w:ind w:firstLine="442" w:firstLineChars="200"/>
        <w:rPr>
          <w:rFonts w:hint="eastAsia" w:ascii="宋体" w:hAnsi="宋体" w:cs="宋体"/>
          <w:color w:val="auto"/>
          <w:sz w:val="22"/>
          <w:szCs w:val="22"/>
          <w:highlight w:val="none"/>
        </w:rPr>
      </w:pPr>
      <w:bookmarkStart w:id="1078" w:name="_Toc533432795"/>
      <w:bookmarkStart w:id="1079" w:name="_Toc12975960"/>
      <w:r>
        <w:rPr>
          <w:rFonts w:hint="eastAsia" w:ascii="宋体" w:hAnsi="宋体" w:cs="宋体"/>
          <w:color w:val="auto"/>
          <w:sz w:val="22"/>
          <w:szCs w:val="22"/>
          <w:highlight w:val="none"/>
        </w:rPr>
        <w:t>16.2 承包人违约</w:t>
      </w:r>
      <w:bookmarkEnd w:id="1074"/>
      <w:bookmarkEnd w:id="1075"/>
      <w:bookmarkEnd w:id="1076"/>
      <w:bookmarkEnd w:id="1077"/>
      <w:bookmarkEnd w:id="1078"/>
      <w:bookmarkEnd w:id="1079"/>
    </w:p>
    <w:p w14:paraId="49422AEF">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16.2.1 承包人违约的情形</w:t>
      </w:r>
    </w:p>
    <w:p w14:paraId="4B118501">
      <w:pPr>
        <w:pStyle w:val="60"/>
        <w:spacing w:line="36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承包人违约的其他情形：</w:t>
      </w:r>
    </w:p>
    <w:p w14:paraId="360B6D7F">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（9）承包人未经发包人、监理人事先同意，擅自更换合同工程项目经理、技术负责人或其他主要管理人员</w:t>
      </w:r>
      <w:r>
        <w:rPr>
          <w:rFonts w:hint="eastAsia" w:ascii="宋体" w:hAnsi="宋体" w:cs="宋体"/>
          <w:color w:val="auto"/>
          <w:sz w:val="22"/>
          <w:szCs w:val="22"/>
          <w:highlight w:val="none"/>
          <w:u w:val="none"/>
        </w:rPr>
        <w:t>。</w:t>
      </w:r>
    </w:p>
    <w:p w14:paraId="62DA3863">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（10）将工程预付款、进度款以及发包人支付用于本项目的其他费用挪作他用。</w:t>
      </w:r>
    </w:p>
    <w:p w14:paraId="2BCC88C1">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（11）承包人违反第8.2款的约定使用了不合格的材料或工程设备又拒绝清除不合格的材料或工程设备，或因使用了不合格的材料或工程设备导致工程质量达不到标准要求又拒绝清除或修复不合格工程。</w:t>
      </w:r>
    </w:p>
    <w:p w14:paraId="7DE61A91">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（12）承包人违反第8.5款的约定使用了</w:t>
      </w:r>
      <w:r>
        <w:rPr>
          <w:rFonts w:hint="eastAsia" w:ascii="宋体" w:hAnsi="宋体" w:cs="宋体"/>
          <w:color w:val="auto"/>
          <w:sz w:val="22"/>
          <w:szCs w:val="22"/>
          <w:highlight w:val="none"/>
          <w:u w:val="single"/>
          <w:lang w:val="en-US" w:eastAsia="zh-CN"/>
        </w:rPr>
        <w:t>未</w:t>
      </w:r>
      <w:r>
        <w:rPr>
          <w:rFonts w:hint="eastAsia" w:ascii="宋体" w:hAnsi="宋体" w:eastAsia="宋体" w:cs="宋体"/>
          <w:color w:val="auto"/>
          <w:sz w:val="22"/>
          <w:szCs w:val="22"/>
          <w:highlight w:val="none"/>
          <w:u w:val="single"/>
          <w:lang w:val="en-US" w:eastAsia="zh-CN"/>
        </w:rPr>
        <w:t>经监理</w:t>
      </w:r>
      <w:r>
        <w:rPr>
          <w:rFonts w:hint="eastAsia" w:ascii="宋体" w:hAnsi="宋体" w:eastAsia="宋体" w:cs="宋体"/>
          <w:color w:val="auto"/>
          <w:sz w:val="22"/>
          <w:szCs w:val="22"/>
          <w:highlight w:val="none"/>
          <w:u w:val="single"/>
        </w:rPr>
        <w:t>检查</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检验</w:t>
      </w:r>
      <w:r>
        <w:rPr>
          <w:rFonts w:hint="eastAsia" w:ascii="宋体" w:hAnsi="宋体" w:eastAsia="宋体" w:cs="宋体"/>
          <w:color w:val="auto"/>
          <w:sz w:val="22"/>
          <w:szCs w:val="22"/>
          <w:highlight w:val="none"/>
          <w:u w:val="single"/>
          <w:lang w:val="en-US" w:eastAsia="zh-CN"/>
        </w:rPr>
        <w:t>私自进场的材料、</w:t>
      </w:r>
      <w:r>
        <w:rPr>
          <w:rFonts w:hint="eastAsia" w:ascii="宋体" w:hAnsi="宋体" w:cs="宋体"/>
          <w:color w:val="auto"/>
          <w:sz w:val="22"/>
          <w:szCs w:val="22"/>
          <w:highlight w:val="none"/>
          <w:u w:val="single"/>
        </w:rPr>
        <w:t>不合格的材料</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工程设备或工程质量达不到标准要求等造成安全质量事故</w:t>
      </w:r>
      <w:r>
        <w:rPr>
          <w:rFonts w:hint="eastAsia" w:ascii="宋体" w:hAnsi="宋体" w:cs="宋体"/>
          <w:color w:val="auto"/>
          <w:sz w:val="22"/>
          <w:szCs w:val="22"/>
          <w:highlight w:val="none"/>
          <w:u w:val="single"/>
          <w:lang w:eastAsia="zh-CN"/>
        </w:rPr>
        <w:t>的</w:t>
      </w:r>
      <w:r>
        <w:rPr>
          <w:rFonts w:hint="eastAsia" w:ascii="宋体" w:hAnsi="宋体" w:cs="宋体"/>
          <w:color w:val="auto"/>
          <w:sz w:val="22"/>
          <w:szCs w:val="22"/>
          <w:highlight w:val="none"/>
          <w:u w:val="single"/>
        </w:rPr>
        <w:t>。</w:t>
      </w:r>
    </w:p>
    <w:p w14:paraId="69A5AE46">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（13）合同工程竣工后，经两次验收仍不能达到合同约定的质量标准。</w:t>
      </w:r>
    </w:p>
    <w:p w14:paraId="1A74A690">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14）承包人拒绝执行发包人或监理人发出的关于本工程的指令的；或以磋商工程量清单中的措施项目出现错误、缺项、漏项情况为由，拒绝执行相应部分内容施工的；或以变更或增加部分与本合同无实质性关联为由，拒绝执行的；或以变更增加部分子目单价低为由拒绝执行的；或超出以变更增加部分子目施工能力范围等为由拒绝执行的；或拒绝执行合同约定的其他情形的。</w:t>
      </w:r>
    </w:p>
    <w:p w14:paraId="3B425997">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（15）如果承包人或承包人的工作人员（不论承包人是否知晓）以贿赂或变相贿赂的方式，谋取不当利益或损害发包人权益的。</w:t>
      </w:r>
    </w:p>
    <w:p w14:paraId="4CB5B182">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（16</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rPr>
        <w:t>未经验收或验收不合格，擅自进行隐蔽工程的覆盖或其他工程下道工序的施工，或验收合格后到隐蔽施工前对通过隐蔽验收的合格部分有任何改动。</w:t>
      </w:r>
    </w:p>
    <w:p w14:paraId="61EC0CDA">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（17）承包人在缺陷责任期内，未能对缺陷责任期内发生的缺陷进行修复而又拒绝按发包人或监理人指示再进行修补或同一部位出现二次以上维修的。</w:t>
      </w:r>
    </w:p>
    <w:p w14:paraId="1EE53A99">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（18）承包人无法定或合同约定依据，而未能按期开工、暂停施工或以暂停施工相威胁，连续或累计超过7天（含7天）。</w:t>
      </w:r>
    </w:p>
    <w:p w14:paraId="1087E78A">
      <w:pPr>
        <w:pStyle w:val="60"/>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（19）承包人逾期竣工超过60天（含60天）或磋商文件承诺的节点或修改的施工组织设计承诺的节点逾期超过30天（含30天）。</w:t>
      </w:r>
    </w:p>
    <w:p w14:paraId="38CAFBC2">
      <w:pPr>
        <w:pStyle w:val="60"/>
        <w:spacing w:line="360" w:lineRule="exact"/>
        <w:ind w:firstLine="440" w:firstLineChars="200"/>
        <w:jc w:val="left"/>
        <w:rPr>
          <w:rFonts w:hint="eastAsia" w:ascii="宋体" w:hAnsi="宋体" w:cs="宋体"/>
          <w:color w:val="auto"/>
          <w:kern w:val="0"/>
          <w:sz w:val="22"/>
          <w:highlight w:val="none"/>
          <w:u w:val="single"/>
        </w:rPr>
      </w:pPr>
      <w:r>
        <w:rPr>
          <w:rFonts w:hint="eastAsia" w:ascii="宋体" w:hAnsi="宋体" w:cs="宋体"/>
          <w:color w:val="auto"/>
          <w:sz w:val="22"/>
          <w:szCs w:val="22"/>
          <w:highlight w:val="none"/>
          <w:u w:val="single"/>
        </w:rPr>
        <w:t>（20）承包人的雇员或其分包人的雇员、或承包人的供应商扰乱发包人生产、生活秩序的。</w:t>
      </w:r>
    </w:p>
    <w:p w14:paraId="1F8DB10E">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16.2.2承包人违约的责任</w:t>
      </w:r>
    </w:p>
    <w:p w14:paraId="120ABAB6">
      <w:pPr>
        <w:pStyle w:val="4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承包人违约责任的承担方式和计算方法：</w:t>
      </w:r>
    </w:p>
    <w:p w14:paraId="09AB908E">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（1）对承包人违约的处理</w:t>
      </w:r>
    </w:p>
    <w:p w14:paraId="49B1AD04">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1）承包人发生本合同《</w:t>
      </w:r>
      <w:r>
        <w:rPr>
          <w:rFonts w:hint="eastAsia" w:ascii="宋体" w:hAnsi="宋体" w:cs="宋体"/>
          <w:color w:val="auto"/>
          <w:sz w:val="22"/>
          <w:szCs w:val="22"/>
          <w:highlight w:val="none"/>
          <w:lang w:eastAsia="zh-CN"/>
        </w:rPr>
        <w:t>通用合同条款</w:t>
      </w:r>
      <w:r>
        <w:rPr>
          <w:rFonts w:hint="eastAsia" w:ascii="宋体" w:hAnsi="宋体" w:cs="宋体"/>
          <w:color w:val="auto"/>
          <w:sz w:val="22"/>
          <w:szCs w:val="22"/>
          <w:highlight w:val="none"/>
        </w:rPr>
        <w:t>》及《专用条款》第16.2.1项中</w:t>
      </w:r>
      <w:r>
        <w:rPr>
          <w:rFonts w:hint="eastAsia" w:ascii="宋体" w:hAnsi="宋体" w:cs="宋体"/>
          <w:color w:val="auto"/>
          <w:sz w:val="22"/>
          <w:szCs w:val="22"/>
          <w:highlight w:val="none"/>
          <w:lang w:eastAsia="zh-CN"/>
        </w:rPr>
        <w:t>（9）（12）</w:t>
      </w:r>
      <w:r>
        <w:rPr>
          <w:rFonts w:hint="eastAsia" w:ascii="宋体" w:hAnsi="宋体" w:cs="宋体"/>
          <w:color w:val="auto"/>
          <w:sz w:val="22"/>
          <w:szCs w:val="22"/>
          <w:highlight w:val="none"/>
        </w:rPr>
        <w:t>（18）、</w:t>
      </w:r>
      <w:r>
        <w:rPr>
          <w:rFonts w:hint="eastAsia" w:ascii="宋体" w:hAnsi="宋体" w:cs="宋体"/>
          <w:color w:val="auto"/>
          <w:sz w:val="22"/>
          <w:szCs w:val="22"/>
          <w:highlight w:val="none"/>
          <w:lang w:eastAsia="zh-CN"/>
        </w:rPr>
        <w:t>（19）</w:t>
      </w:r>
      <w:r>
        <w:rPr>
          <w:rFonts w:hint="eastAsia" w:ascii="宋体" w:hAnsi="宋体" w:cs="宋体"/>
          <w:color w:val="auto"/>
          <w:sz w:val="22"/>
          <w:szCs w:val="22"/>
          <w:highlight w:val="none"/>
        </w:rPr>
        <w:t>（20）目约定的违约情况时，除按照专用条款的约定支付违约金外，发包人可通知承包人立即解除合同，承包人应承担由此给发包人造成的一切损失。</w:t>
      </w:r>
    </w:p>
    <w:p w14:paraId="1E46DCB4">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承包人发生第16.2.1项中（13）的违约情况时，如合同工程第一次验收不合格，承包人应将不符合质量标准的部分进行整改直至符合标准，费用由承包人承担。如第二次仍验收不合格的，发包人有权立即解除合同，并另行委托他人重建或修复，重建或修复费用由承包人承担，发包人有权直接从应付或拟付承包人的任何款项中扣除。同时，承包人应按专用条款的约定支付违约金及赔偿损失。</w:t>
      </w:r>
    </w:p>
    <w:p w14:paraId="6CD6A332">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承包人发生第16.2.1项中（14）的违约情况时，承包人应按专用条款的约定支付违约金，且因承包人未在指定时间内执行的，发包人可自行将该部分工程或全部工程交由第三方实施，因此额外支出的费用及造成的工期延误责任均由承包人承担。如该工程是对已标价工程量清单内已有工作子目或类似子目变更的，则由此额外产生的费用及款项，发包人有权从应付或拟付给承包人的任何款项中直接扣除；如该工程在已标价工程量清单内没有相同或类似规定的，则该工程实际产生的工程款按第10.4计算的工程款或较按第10.4计算出的款项而多出的款项或费用将从应付或拟付给承包人的任何款项中直接扣除。同时，发包人有权解除本合同。</w:t>
      </w:r>
    </w:p>
    <w:p w14:paraId="17472F59">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承包人发生第16.2.1项中（15）的违约情况时，发包人将根据相关法律规定及合同约定追究承包人的法律责任，承包人因此等行为获得的额外费用必须退还发包人，造成的工程损害、发包人的经济损失的，承包人应负一切责任，并予赔偿。情节严重者，发包人并有权解除本合同。</w:t>
      </w:r>
    </w:p>
    <w:p w14:paraId="3F3F3685">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5）承包人发生除第16.2.1项中（1）、</w:t>
      </w:r>
      <w:r>
        <w:rPr>
          <w:rFonts w:hint="eastAsia" w:ascii="宋体" w:hAnsi="宋体" w:cs="宋体"/>
          <w:color w:val="auto"/>
          <w:sz w:val="22"/>
          <w:szCs w:val="22"/>
          <w:highlight w:val="none"/>
          <w:lang w:eastAsia="zh-CN"/>
        </w:rPr>
        <w:t>（3）（4）（7）（8）（9）（12）（13）（14）（15）</w:t>
      </w:r>
      <w:r>
        <w:rPr>
          <w:rFonts w:hint="eastAsia" w:ascii="宋体" w:hAnsi="宋体" w:cs="宋体"/>
          <w:color w:val="auto"/>
          <w:sz w:val="22"/>
          <w:szCs w:val="22"/>
          <w:highlight w:val="none"/>
        </w:rPr>
        <w:t>（18）</w:t>
      </w:r>
      <w:r>
        <w:rPr>
          <w:rFonts w:hint="eastAsia" w:ascii="宋体" w:hAnsi="宋体" w:cs="宋体"/>
          <w:color w:val="auto"/>
          <w:sz w:val="22"/>
          <w:szCs w:val="22"/>
          <w:highlight w:val="none"/>
          <w:lang w:eastAsia="zh-CN"/>
        </w:rPr>
        <w:t>（19）</w:t>
      </w:r>
      <w:r>
        <w:rPr>
          <w:rFonts w:hint="eastAsia" w:ascii="宋体" w:hAnsi="宋体" w:cs="宋体"/>
          <w:color w:val="auto"/>
          <w:sz w:val="22"/>
          <w:szCs w:val="22"/>
          <w:highlight w:val="none"/>
        </w:rPr>
        <w:t>（20）目约定以外的其他违约情况时，承包人均须按照专用条款的约定支付违约金，发包人即可直接向承包人发出解除合同的通知，并可向承包人发出整改通知，要求承包人在指定的期限内自费改正。如承包人在指定期限内整改但仍然造成工期延误的，承包人还应按本合同约定承担工期延误责任；如承包人未在指定期限内整改的，发包人可向承包人发出调换项目部（包括但不限于所有管理人员）的通知，如果承包人不执行或项目部调换后仍然不能履约，发包人则可向承包人发出解除合同通知。</w:t>
      </w:r>
    </w:p>
    <w:p w14:paraId="70666B72">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6）承包人按上述约定承担违约责任后，在合同未解除的情况下，发包人仍要求承包人继续履行本合同的，承包人应当继续履行合同。</w:t>
      </w:r>
    </w:p>
    <w:p w14:paraId="5C8BB865">
      <w:pPr>
        <w:pStyle w:val="60"/>
        <w:spacing w:line="360" w:lineRule="exact"/>
        <w:ind w:firstLine="482" w:firstLineChars="200"/>
        <w:jc w:val="left"/>
        <w:rPr>
          <w:rFonts w:hint="eastAsia" w:ascii="方正小标宋简体" w:hAnsi="方正小标宋简体" w:eastAsia="方正小标宋简体" w:cs="方正小标宋简体"/>
          <w:b/>
          <w:bCs/>
          <w:color w:val="auto"/>
          <w:sz w:val="24"/>
          <w:szCs w:val="24"/>
          <w:highlight w:val="none"/>
        </w:rPr>
      </w:pPr>
      <w:r>
        <w:rPr>
          <w:rFonts w:hint="eastAsia" w:ascii="方正小标宋简体" w:hAnsi="方正小标宋简体" w:eastAsia="方正小标宋简体" w:cs="方正小标宋简体"/>
          <w:b/>
          <w:bCs/>
          <w:color w:val="auto"/>
          <w:sz w:val="24"/>
          <w:szCs w:val="24"/>
          <w:highlight w:val="none"/>
        </w:rPr>
        <w:t>7）承包人发生</w:t>
      </w:r>
      <w:r>
        <w:rPr>
          <w:rFonts w:hint="eastAsia" w:ascii="方正小标宋简体" w:hAnsi="方正小标宋简体" w:eastAsia="方正小标宋简体" w:cs="方正小标宋简体"/>
          <w:b/>
          <w:bCs/>
          <w:color w:val="auto"/>
          <w:sz w:val="24"/>
          <w:szCs w:val="24"/>
          <w:highlight w:val="none"/>
          <w:lang w:eastAsia="zh-CN"/>
        </w:rPr>
        <w:t>通用合同条款</w:t>
      </w:r>
      <w:r>
        <w:rPr>
          <w:rFonts w:hint="eastAsia" w:ascii="方正小标宋简体" w:hAnsi="方正小标宋简体" w:eastAsia="方正小标宋简体" w:cs="方正小标宋简体"/>
          <w:b/>
          <w:bCs/>
          <w:color w:val="auto"/>
          <w:sz w:val="24"/>
          <w:szCs w:val="24"/>
          <w:highlight w:val="none"/>
        </w:rPr>
        <w:t>和专用条款第16.2.2约定的违约情况时，无论发包人是否解除合同，发包人均有权向承包人课以专用合同条款中规定的违约金，并由发包人将其违约行为</w:t>
      </w:r>
      <w:r>
        <w:rPr>
          <w:rFonts w:hint="eastAsia" w:ascii="方正小标宋简体" w:hAnsi="方正小标宋简体" w:eastAsia="方正小标宋简体" w:cs="方正小标宋简体"/>
          <w:b/>
          <w:bCs/>
          <w:color w:val="auto"/>
          <w:sz w:val="24"/>
          <w:szCs w:val="24"/>
          <w:highlight w:val="none"/>
          <w:lang w:val="en-US" w:eastAsia="zh-CN"/>
        </w:rPr>
        <w:t>告知</w:t>
      </w:r>
      <w:r>
        <w:rPr>
          <w:rFonts w:hint="eastAsia" w:ascii="方正小标宋简体" w:hAnsi="方正小标宋简体" w:eastAsia="方正小标宋简体" w:cs="方正小标宋简体"/>
          <w:b/>
          <w:bCs/>
          <w:color w:val="auto"/>
          <w:sz w:val="24"/>
          <w:szCs w:val="24"/>
          <w:highlight w:val="none"/>
        </w:rPr>
        <w:t>防城港市港口区住建主管部门，作为</w:t>
      </w:r>
      <w:r>
        <w:rPr>
          <w:rFonts w:hint="eastAsia" w:ascii="方正小标宋简体" w:hAnsi="方正小标宋简体" w:eastAsia="方正小标宋简体" w:cs="方正小标宋简体"/>
          <w:b/>
          <w:bCs/>
          <w:color w:val="auto"/>
          <w:sz w:val="24"/>
          <w:szCs w:val="24"/>
          <w:highlight w:val="none"/>
          <w:lang w:val="en-US" w:eastAsia="zh-CN"/>
        </w:rPr>
        <w:t>承包方</w:t>
      </w:r>
      <w:r>
        <w:rPr>
          <w:rFonts w:hint="eastAsia" w:ascii="方正小标宋简体" w:hAnsi="方正小标宋简体" w:eastAsia="方正小标宋简体" w:cs="方正小标宋简体"/>
          <w:b/>
          <w:bCs/>
          <w:color w:val="auto"/>
          <w:sz w:val="24"/>
          <w:szCs w:val="24"/>
          <w:highlight w:val="none"/>
        </w:rPr>
        <w:t>不良记录纳入建筑市场信用信息管理系统。</w:t>
      </w:r>
    </w:p>
    <w:p w14:paraId="75037108">
      <w:pPr>
        <w:pStyle w:val="60"/>
        <w:spacing w:line="360" w:lineRule="exact"/>
        <w:ind w:firstLine="482" w:firstLineChars="200"/>
        <w:jc w:val="left"/>
        <w:rPr>
          <w:rFonts w:hint="eastAsia" w:ascii="方正小标宋简体" w:hAnsi="方正小标宋简体" w:eastAsia="方正小标宋简体" w:cs="方正小标宋简体"/>
          <w:b/>
          <w:bCs/>
          <w:color w:val="auto"/>
          <w:sz w:val="24"/>
          <w:szCs w:val="24"/>
          <w:highlight w:val="none"/>
        </w:rPr>
      </w:pPr>
      <w:r>
        <w:rPr>
          <w:rFonts w:hint="eastAsia" w:ascii="方正小标宋简体" w:hAnsi="方正小标宋简体" w:eastAsia="方正小标宋简体" w:cs="方正小标宋简体"/>
          <w:b/>
          <w:bCs/>
          <w:color w:val="auto"/>
          <w:sz w:val="24"/>
          <w:szCs w:val="24"/>
          <w:highlight w:val="none"/>
        </w:rPr>
        <w:t>8）承包人不得以任何理由迟缓工程建设，如承包方不主动作为，不推进工程进度，造成项目无法按时竣工投入使用，影响学校正常教学秩序，发包人有权将</w:t>
      </w:r>
      <w:r>
        <w:rPr>
          <w:rFonts w:hint="eastAsia" w:ascii="方正小标宋简体" w:hAnsi="方正小标宋简体" w:eastAsia="方正小标宋简体" w:cs="方正小标宋简体"/>
          <w:b/>
          <w:bCs/>
          <w:color w:val="auto"/>
          <w:sz w:val="24"/>
          <w:szCs w:val="24"/>
          <w:highlight w:val="none"/>
          <w:lang w:val="en-US" w:eastAsia="zh-CN"/>
        </w:rPr>
        <w:t>承包</w:t>
      </w:r>
      <w:r>
        <w:rPr>
          <w:rFonts w:hint="eastAsia" w:ascii="方正小标宋简体" w:hAnsi="方正小标宋简体" w:eastAsia="方正小标宋简体" w:cs="方正小标宋简体"/>
          <w:b/>
          <w:bCs/>
          <w:color w:val="auto"/>
          <w:sz w:val="24"/>
          <w:szCs w:val="24"/>
          <w:highlight w:val="none"/>
        </w:rPr>
        <w:t>人纳入黑名单，十年内不得参与包括但不限于港口区教育系统的基建项目工程承包活动。</w:t>
      </w:r>
    </w:p>
    <w:p w14:paraId="35CB57F6">
      <w:pPr>
        <w:pStyle w:val="60"/>
        <w:spacing w:line="360" w:lineRule="exact"/>
        <w:ind w:firstLine="482" w:firstLineChars="200"/>
        <w:jc w:val="left"/>
        <w:rPr>
          <w:rFonts w:hint="default" w:ascii="宋体" w:hAnsi="宋体" w:eastAsia="宋体" w:cs="宋体"/>
          <w:b/>
          <w:bCs/>
          <w:color w:val="auto"/>
          <w:sz w:val="24"/>
          <w:szCs w:val="24"/>
          <w:highlight w:val="none"/>
          <w:lang w:val="en-US" w:eastAsia="zh-CN"/>
        </w:rPr>
      </w:pPr>
      <w:r>
        <w:rPr>
          <w:rFonts w:hint="eastAsia" w:ascii="方正小标宋简体" w:hAnsi="方正小标宋简体" w:eastAsia="方正小标宋简体" w:cs="方正小标宋简体"/>
          <w:b/>
          <w:bCs/>
          <w:color w:val="auto"/>
          <w:sz w:val="24"/>
          <w:szCs w:val="24"/>
          <w:highlight w:val="none"/>
          <w:lang w:val="en-US" w:eastAsia="zh-CN"/>
        </w:rPr>
        <w:t>9）承包方要按时足额支付人工工资。因承包方原因拖欠人工工资的，一经发现，</w:t>
      </w:r>
      <w:r>
        <w:rPr>
          <w:rFonts w:hint="eastAsia" w:ascii="方正小标宋简体" w:hAnsi="方正小标宋简体" w:eastAsia="方正小标宋简体" w:cs="方正小标宋简体"/>
          <w:b/>
          <w:bCs/>
          <w:color w:val="auto"/>
          <w:sz w:val="24"/>
          <w:szCs w:val="24"/>
          <w:highlight w:val="none"/>
        </w:rPr>
        <w:t>发包人有权将</w:t>
      </w:r>
      <w:r>
        <w:rPr>
          <w:rFonts w:hint="eastAsia" w:ascii="方正小标宋简体" w:hAnsi="方正小标宋简体" w:eastAsia="方正小标宋简体" w:cs="方正小标宋简体"/>
          <w:b/>
          <w:bCs/>
          <w:color w:val="auto"/>
          <w:sz w:val="24"/>
          <w:szCs w:val="24"/>
          <w:highlight w:val="none"/>
          <w:lang w:val="en-US" w:eastAsia="zh-CN"/>
        </w:rPr>
        <w:t>承包</w:t>
      </w:r>
      <w:r>
        <w:rPr>
          <w:rFonts w:hint="eastAsia" w:ascii="方正小标宋简体" w:hAnsi="方正小标宋简体" w:eastAsia="方正小标宋简体" w:cs="方正小标宋简体"/>
          <w:b/>
          <w:bCs/>
          <w:color w:val="auto"/>
          <w:sz w:val="24"/>
          <w:szCs w:val="24"/>
          <w:highlight w:val="none"/>
        </w:rPr>
        <w:t>人纳入黑名单，十年内不得参与包括但不限于港口区教育系统的基建项目工程承包活动</w:t>
      </w:r>
      <w:r>
        <w:rPr>
          <w:rFonts w:hint="eastAsia" w:ascii="方正小标宋简体" w:hAnsi="方正小标宋简体" w:eastAsia="方正小标宋简体" w:cs="方正小标宋简体"/>
          <w:b/>
          <w:bCs/>
          <w:color w:val="auto"/>
          <w:sz w:val="24"/>
          <w:szCs w:val="24"/>
          <w:highlight w:val="none"/>
          <w:lang w:eastAsia="zh-CN"/>
        </w:rPr>
        <w:t>，</w:t>
      </w:r>
      <w:r>
        <w:rPr>
          <w:rFonts w:hint="eastAsia" w:ascii="方正小标宋简体" w:hAnsi="方正小标宋简体" w:eastAsia="方正小标宋简体" w:cs="方正小标宋简体"/>
          <w:b/>
          <w:bCs/>
          <w:color w:val="auto"/>
          <w:sz w:val="24"/>
          <w:szCs w:val="24"/>
          <w:highlight w:val="none"/>
        </w:rPr>
        <w:t>并由发包人将其违约行为</w:t>
      </w:r>
      <w:r>
        <w:rPr>
          <w:rFonts w:hint="eastAsia" w:ascii="方正小标宋简体" w:hAnsi="方正小标宋简体" w:eastAsia="方正小标宋简体" w:cs="方正小标宋简体"/>
          <w:b/>
          <w:bCs/>
          <w:color w:val="auto"/>
          <w:sz w:val="24"/>
          <w:szCs w:val="24"/>
          <w:highlight w:val="none"/>
          <w:lang w:val="en-US" w:eastAsia="zh-CN"/>
        </w:rPr>
        <w:t>告知</w:t>
      </w:r>
      <w:r>
        <w:rPr>
          <w:rFonts w:hint="eastAsia" w:ascii="方正小标宋简体" w:hAnsi="方正小标宋简体" w:eastAsia="方正小标宋简体" w:cs="方正小标宋简体"/>
          <w:b/>
          <w:bCs/>
          <w:color w:val="auto"/>
          <w:sz w:val="24"/>
          <w:szCs w:val="24"/>
          <w:highlight w:val="none"/>
        </w:rPr>
        <w:t>防城港市港口区住房和城乡建设局，作为</w:t>
      </w:r>
      <w:r>
        <w:rPr>
          <w:rFonts w:hint="eastAsia" w:ascii="方正小标宋简体" w:hAnsi="方正小标宋简体" w:eastAsia="方正小标宋简体" w:cs="方正小标宋简体"/>
          <w:b/>
          <w:bCs/>
          <w:color w:val="auto"/>
          <w:sz w:val="24"/>
          <w:szCs w:val="24"/>
          <w:highlight w:val="none"/>
          <w:lang w:val="en-US" w:eastAsia="zh-CN"/>
        </w:rPr>
        <w:t>承包方</w:t>
      </w:r>
      <w:r>
        <w:rPr>
          <w:rFonts w:hint="eastAsia" w:ascii="方正小标宋简体" w:hAnsi="方正小标宋简体" w:eastAsia="方正小标宋简体" w:cs="方正小标宋简体"/>
          <w:b/>
          <w:bCs/>
          <w:color w:val="auto"/>
          <w:sz w:val="24"/>
          <w:szCs w:val="24"/>
          <w:highlight w:val="none"/>
        </w:rPr>
        <w:t>不良记录纳入建筑市场信用信息管理系统。</w:t>
      </w:r>
    </w:p>
    <w:p w14:paraId="13356068">
      <w:pPr>
        <w:pStyle w:val="6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（2）承包人违约责任的承担方式：</w:t>
      </w:r>
    </w:p>
    <w:p w14:paraId="6AF8AB16">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1）承包人未按本合同</w:t>
      </w:r>
      <w:r>
        <w:rPr>
          <w:rFonts w:hint="eastAsia" w:ascii="宋体" w:hAnsi="宋体" w:cs="宋体"/>
          <w:color w:val="auto"/>
          <w:sz w:val="22"/>
          <w:szCs w:val="22"/>
          <w:highlight w:val="none"/>
          <w:lang w:eastAsia="zh-CN"/>
        </w:rPr>
        <w:t>通用合同条款</w:t>
      </w:r>
      <w:r>
        <w:rPr>
          <w:rFonts w:hint="eastAsia" w:ascii="宋体" w:hAnsi="宋体" w:cs="宋体"/>
          <w:color w:val="auto"/>
          <w:sz w:val="22"/>
          <w:szCs w:val="22"/>
          <w:highlight w:val="none"/>
        </w:rPr>
        <w:t>第16.2.1项中（2）、</w:t>
      </w:r>
      <w:r>
        <w:rPr>
          <w:rFonts w:hint="eastAsia" w:ascii="宋体" w:hAnsi="宋体" w:cs="宋体"/>
          <w:color w:val="auto"/>
          <w:sz w:val="22"/>
          <w:szCs w:val="22"/>
          <w:highlight w:val="none"/>
          <w:lang w:eastAsia="zh-CN"/>
        </w:rPr>
        <w:t>（3）（11）（12）</w:t>
      </w:r>
      <w:r>
        <w:rPr>
          <w:rFonts w:hint="eastAsia" w:ascii="宋体" w:hAnsi="宋体" w:cs="宋体"/>
          <w:color w:val="auto"/>
          <w:sz w:val="22"/>
          <w:szCs w:val="22"/>
          <w:highlight w:val="none"/>
        </w:rPr>
        <w:t>（17）条内容完成的，承包人无条件返工处理，修复至工程质量要求并承担相关费用，并在发包人规定的时间内完成返工，否则发包人有权扣罚该分项工程</w:t>
      </w:r>
      <w:r>
        <w:rPr>
          <w:rFonts w:hint="eastAsia" w:ascii="宋体" w:hAnsi="宋体" w:cs="宋体"/>
          <w:color w:val="auto"/>
          <w:sz w:val="22"/>
          <w:szCs w:val="22"/>
          <w:highlight w:val="none"/>
          <w:u w:val="single"/>
        </w:rPr>
        <w:t>10%</w:t>
      </w:r>
      <w:r>
        <w:rPr>
          <w:rFonts w:hint="eastAsia" w:ascii="宋体" w:hAnsi="宋体" w:cs="宋体"/>
          <w:color w:val="auto"/>
          <w:sz w:val="22"/>
          <w:szCs w:val="22"/>
          <w:highlight w:val="none"/>
        </w:rPr>
        <w:t>的工程款作为处罚。</w:t>
      </w:r>
    </w:p>
    <w:p w14:paraId="64368FA0">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2）承包人有本合同</w:t>
      </w:r>
      <w:r>
        <w:rPr>
          <w:rFonts w:hint="eastAsia" w:ascii="宋体" w:hAnsi="宋体" w:cs="宋体"/>
          <w:color w:val="auto"/>
          <w:sz w:val="22"/>
          <w:szCs w:val="22"/>
          <w:highlight w:val="none"/>
          <w:lang w:eastAsia="zh-CN"/>
        </w:rPr>
        <w:t>通用合同条款</w:t>
      </w:r>
      <w:r>
        <w:rPr>
          <w:rFonts w:hint="eastAsia" w:ascii="宋体" w:hAnsi="宋体" w:cs="宋体"/>
          <w:color w:val="auto"/>
          <w:sz w:val="22"/>
          <w:szCs w:val="22"/>
          <w:highlight w:val="none"/>
        </w:rPr>
        <w:t>第16.2.1（6）、（13）条情形的，或经监理人检验认为修复质量不合格而承包人拒绝再进行修补的，发包人将扣除承包人全部</w:t>
      </w:r>
      <w:r>
        <w:rPr>
          <w:rFonts w:hint="eastAsia" w:ascii="宋体" w:hAnsi="宋体" w:cs="宋体"/>
          <w:color w:val="auto"/>
          <w:sz w:val="22"/>
          <w:szCs w:val="22"/>
          <w:highlight w:val="none"/>
          <w:lang w:eastAsia="zh-CN"/>
        </w:rPr>
        <w:t>质量保证金</w:t>
      </w:r>
      <w:r>
        <w:rPr>
          <w:rFonts w:hint="eastAsia" w:ascii="宋体" w:hAnsi="宋体" w:cs="宋体"/>
          <w:color w:val="auto"/>
          <w:sz w:val="22"/>
          <w:szCs w:val="22"/>
          <w:highlight w:val="none"/>
        </w:rPr>
        <w:t>。</w:t>
      </w:r>
    </w:p>
    <w:p w14:paraId="6F114768">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承包人有本专用合同条款3.2、3.3条违约责任的，发包人有权扣除承包人的违约金。违约金金额均在计量支付款内扣除。监理人预先下发含有罚款意向的指令，如承包人不及时采取措施纠正，则在指令下达后十五天下发罚款通知书（不再陈述罚款理由）。</w:t>
      </w:r>
    </w:p>
    <w:p w14:paraId="77A63E44">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承包人有本专用合同条款3.2、3.3条违约责任的，发包人有权扣除承包人的违约金。承包人在合同期内，完成合同约定的全部工程，且质量合格，在本工程施工竣工验收后十五天内可申请返还一半罚款，返还金额由监理人审核，发包人批准；其余罚款</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违约金</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不得返还。罚款</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违约金</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返还时不包括银行利息。</w:t>
      </w:r>
    </w:p>
    <w:p w14:paraId="44843980">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b/>
          <w:color w:val="auto"/>
          <w:sz w:val="22"/>
          <w:szCs w:val="22"/>
          <w:highlight w:val="none"/>
        </w:rPr>
        <w:t xml:space="preserve">增加承包人违约金计算方法： </w:t>
      </w:r>
    </w:p>
    <w:p w14:paraId="7EC87AA4">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1）</w:t>
      </w:r>
      <w:r>
        <w:rPr>
          <w:rFonts w:hint="eastAsia" w:ascii="宋体" w:hAnsi="宋体" w:cs="宋体"/>
          <w:color w:val="auto"/>
          <w:sz w:val="22"/>
          <w:szCs w:val="22"/>
          <w:highlight w:val="none"/>
        </w:rPr>
        <w:t>解除合同的撤场规定</w:t>
      </w:r>
    </w:p>
    <w:p w14:paraId="6943315B">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每逾期一天撤场，承包人应向发包人支付违约金10万元。</w:t>
      </w:r>
    </w:p>
    <w:p w14:paraId="502B78F6">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2）</w:t>
      </w:r>
      <w:r>
        <w:rPr>
          <w:rFonts w:hint="eastAsia" w:ascii="宋体" w:hAnsi="宋体" w:cs="宋体"/>
          <w:color w:val="auto"/>
          <w:sz w:val="22"/>
          <w:szCs w:val="22"/>
          <w:highlight w:val="none"/>
        </w:rPr>
        <w:t>承包人违约金的支付情形及标准</w:t>
      </w:r>
    </w:p>
    <w:p w14:paraId="5F9748A4">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承包人应当支付违约金的情形包括但不限于：</w:t>
      </w:r>
    </w:p>
    <w:p w14:paraId="352C6B59">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承包人违反上述约定，将合同的全部或部分合同工作非法转包或违法分包给其他人，或私自将合同的全部或部分权利或义务转移给其他人，发包人有权解除合同并有权要求承包人支付转包或违法分包合同价款</w:t>
      </w:r>
      <w:r>
        <w:rPr>
          <w:rFonts w:hint="eastAsia" w:ascii="宋体" w:hAnsi="宋体" w:cs="宋体"/>
          <w:color w:val="auto"/>
          <w:sz w:val="22"/>
          <w:szCs w:val="22"/>
          <w:highlight w:val="none"/>
          <w:u w:val="single"/>
        </w:rPr>
        <w:t>10%</w:t>
      </w:r>
      <w:r>
        <w:rPr>
          <w:rFonts w:hint="eastAsia" w:ascii="宋体" w:hAnsi="宋体" w:cs="宋体"/>
          <w:color w:val="auto"/>
          <w:sz w:val="22"/>
          <w:szCs w:val="22"/>
          <w:highlight w:val="none"/>
        </w:rPr>
        <w:t>的违约金。</w:t>
      </w:r>
    </w:p>
    <w:p w14:paraId="1CCCB17D">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违反上述约定使用了不合格的材料或工程设备又拒绝清除不合格的材料或工程设备，或因使用了不合格的材料或工程设备导致工程质量达不到标准要求又拒绝清除或修复不合格工程，每发生一次，承包人应向发包人支付1万元违约金</w:t>
      </w:r>
      <w:r>
        <w:rPr>
          <w:rFonts w:hint="eastAsia" w:ascii="宋体" w:hAnsi="宋体" w:cs="宋体"/>
          <w:color w:val="auto"/>
          <w:sz w:val="22"/>
          <w:szCs w:val="22"/>
          <w:highlight w:val="none"/>
          <w:lang w:eastAsia="zh-CN"/>
        </w:rPr>
        <w:t>。承包人</w:t>
      </w:r>
      <w:r>
        <w:rPr>
          <w:rFonts w:hint="eastAsia" w:ascii="宋体" w:hAnsi="宋体" w:cs="宋体"/>
          <w:color w:val="auto"/>
          <w:sz w:val="22"/>
          <w:szCs w:val="22"/>
          <w:highlight w:val="none"/>
        </w:rPr>
        <w:t>拒绝修复</w:t>
      </w:r>
      <w:r>
        <w:rPr>
          <w:rFonts w:hint="eastAsia" w:ascii="宋体" w:hAnsi="宋体" w:cs="宋体"/>
          <w:color w:val="auto"/>
          <w:sz w:val="22"/>
          <w:szCs w:val="22"/>
          <w:highlight w:val="none"/>
          <w:lang w:eastAsia="zh-CN"/>
        </w:rPr>
        <w:t>的</w:t>
      </w:r>
      <w:r>
        <w:rPr>
          <w:rFonts w:hint="eastAsia" w:ascii="宋体" w:hAnsi="宋体" w:cs="宋体"/>
          <w:color w:val="auto"/>
          <w:sz w:val="22"/>
          <w:szCs w:val="22"/>
          <w:highlight w:val="none"/>
        </w:rPr>
        <w:t>，发包人自行找人修复或清除不合格的材料或工程设备的一切费用</w:t>
      </w:r>
      <w:r>
        <w:rPr>
          <w:rFonts w:hint="eastAsia" w:ascii="宋体" w:hAnsi="宋体" w:cs="宋体"/>
          <w:color w:val="auto"/>
          <w:sz w:val="22"/>
          <w:szCs w:val="22"/>
          <w:highlight w:val="none"/>
          <w:lang w:eastAsia="zh-CN"/>
        </w:rPr>
        <w:t>由承包人承担</w:t>
      </w:r>
      <w:r>
        <w:rPr>
          <w:rFonts w:hint="eastAsia" w:ascii="宋体" w:hAnsi="宋体" w:cs="宋体"/>
          <w:color w:val="auto"/>
          <w:sz w:val="22"/>
          <w:szCs w:val="22"/>
          <w:highlight w:val="none"/>
        </w:rPr>
        <w:t>。</w:t>
      </w:r>
    </w:p>
    <w:p w14:paraId="72911266">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将工程预付款、进度款以及发包人支付用于本项目的其他费用挪作他用，每发现一次，承包人应当向发包人支付10万元违约金。</w:t>
      </w:r>
    </w:p>
    <w:p w14:paraId="5E9CCA88">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违反上述约定，未经监理人批准，私自将已进入施工场地的施工设备、临时设施或材料设备撤离施工场地或将材料设备用于</w:t>
      </w:r>
      <w:r>
        <w:rPr>
          <w:rFonts w:hint="eastAsia" w:ascii="宋体" w:hAnsi="宋体" w:cs="宋体"/>
          <w:color w:val="auto"/>
          <w:sz w:val="22"/>
          <w:szCs w:val="22"/>
          <w:highlight w:val="none"/>
          <w:lang w:eastAsia="zh-CN"/>
        </w:rPr>
        <w:t>其他</w:t>
      </w:r>
      <w:r>
        <w:rPr>
          <w:rFonts w:hint="eastAsia" w:ascii="宋体" w:hAnsi="宋体" w:cs="宋体"/>
          <w:color w:val="auto"/>
          <w:sz w:val="22"/>
          <w:szCs w:val="22"/>
          <w:highlight w:val="none"/>
        </w:rPr>
        <w:t>工程项目的，每发现一次，发包人有权要求承包人向发包人支付1万元违约金。</w:t>
      </w:r>
    </w:p>
    <w:p w14:paraId="0DC85CFD">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承包人擅自更换项目经理、技术负责人或其他主要管理人员的，应当向发包人支付违约金；未经发包人书面同意，承包人未按磋商文件确定的人员向本工程派驻项目经理（或技术负责人、</w:t>
      </w:r>
      <w:r>
        <w:rPr>
          <w:rFonts w:hint="eastAsia" w:ascii="宋体" w:hAnsi="宋体" w:cs="宋体"/>
          <w:color w:val="auto"/>
          <w:sz w:val="22"/>
          <w:szCs w:val="22"/>
          <w:highlight w:val="none"/>
          <w:lang w:eastAsia="zh-CN"/>
        </w:rPr>
        <w:t>其他主要</w:t>
      </w:r>
      <w:r>
        <w:rPr>
          <w:rFonts w:hint="eastAsia" w:ascii="宋体" w:hAnsi="宋体" w:cs="宋体"/>
          <w:color w:val="auto"/>
          <w:sz w:val="22"/>
          <w:szCs w:val="22"/>
          <w:highlight w:val="none"/>
        </w:rPr>
        <w:t>管理人员）的或项目经理（或技术负责人、</w:t>
      </w:r>
      <w:r>
        <w:rPr>
          <w:rFonts w:hint="eastAsia" w:ascii="宋体" w:hAnsi="宋体" w:cs="宋体"/>
          <w:color w:val="auto"/>
          <w:sz w:val="22"/>
          <w:szCs w:val="22"/>
          <w:highlight w:val="none"/>
          <w:lang w:eastAsia="zh-CN"/>
        </w:rPr>
        <w:t>其他主要</w:t>
      </w:r>
      <w:r>
        <w:rPr>
          <w:rFonts w:hint="eastAsia" w:ascii="宋体" w:hAnsi="宋体" w:cs="宋体"/>
          <w:color w:val="auto"/>
          <w:sz w:val="22"/>
          <w:szCs w:val="22"/>
          <w:highlight w:val="none"/>
        </w:rPr>
        <w:t>管理人员）每季度实际在场时间少于规定时间累计达22天的，视为承包人擅自更换项目经理（或技术负责人、</w:t>
      </w:r>
      <w:r>
        <w:rPr>
          <w:rFonts w:hint="eastAsia" w:ascii="宋体" w:hAnsi="宋体" w:cs="宋体"/>
          <w:color w:val="auto"/>
          <w:sz w:val="22"/>
          <w:szCs w:val="22"/>
          <w:highlight w:val="none"/>
          <w:lang w:eastAsia="zh-CN"/>
        </w:rPr>
        <w:t>其他主要</w:t>
      </w:r>
      <w:r>
        <w:rPr>
          <w:rFonts w:hint="eastAsia" w:ascii="宋体" w:hAnsi="宋体" w:cs="宋体"/>
          <w:color w:val="auto"/>
          <w:sz w:val="22"/>
          <w:szCs w:val="22"/>
          <w:highlight w:val="none"/>
        </w:rPr>
        <w:t>管理人员）。其中，擅自更换项目经理违约金为人民币</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万元/人/次，擅自更换技术负责人的违约金为人民币</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万元/人/次，擅自更换</w:t>
      </w:r>
      <w:r>
        <w:rPr>
          <w:rFonts w:hint="eastAsia" w:ascii="宋体" w:hAnsi="宋体" w:cs="宋体"/>
          <w:color w:val="auto"/>
          <w:sz w:val="22"/>
          <w:szCs w:val="22"/>
          <w:highlight w:val="none"/>
          <w:lang w:eastAsia="zh-CN"/>
        </w:rPr>
        <w:t>其他主要</w:t>
      </w:r>
      <w:r>
        <w:rPr>
          <w:rFonts w:hint="eastAsia" w:ascii="宋体" w:hAnsi="宋体" w:cs="宋体"/>
          <w:color w:val="auto"/>
          <w:sz w:val="22"/>
          <w:szCs w:val="22"/>
          <w:highlight w:val="none"/>
        </w:rPr>
        <w:t>管理人员的违约金为人民币</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万元/人/次。发包人同意（或要求）更换项目总工程师、施工负责人的，发包人将向承包人扣罚</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万元违约金。</w:t>
      </w:r>
    </w:p>
    <w:p w14:paraId="1B7ED569">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承包人违反上述约定使用了不合格的材料或工程设备或工程质量达不到标准要求等造成安全质量事故，每发生一次，承包人应向发包人支付10万元违约金。</w:t>
      </w:r>
    </w:p>
    <w:p w14:paraId="390334F3">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如合同工程第一次验收不合格，承包人应向发包人支付数额不低于签约合同价0.1%的违约金，该约定的违约金不能弥补实际损失的，承包人应补充赔偿不足部分。如第二次仍验收不合格的，承包人还应再次向发包人支付数额不低于签约合同价2%的违约金。</w:t>
      </w:r>
    </w:p>
    <w:p w14:paraId="3890FFF5">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承包人拒绝执行发包人或监理人发出的关于本工程的指令，承包人应当向发包人支付违约金1万元/次。</w:t>
      </w:r>
    </w:p>
    <w:p w14:paraId="207A4C16">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若发包人或监理人发现未经验收或验收不合格，承包人擅自进行隐蔽工程覆盖或其他工程下一道工序的施工，或验收合格后到隐蔽施工前对通过隐蔽验收的合格部分有任何改动，每发现一处，承包人应向发包人支付违约金20万元/处，且承包人必须拆除重建，因此支出的费用及造成的工期延误责任均由承包人承担。</w:t>
      </w:r>
    </w:p>
    <w:p w14:paraId="5DA0A3CC">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承包人在缺陷责任期内，未能对缺陷责任期内发生的缺陷进行修复而又拒绝按发包人或监理人指示再进行修补或同一部位出现二次以上维修的，每发生一次，承包人应向发包人支付1万元违约金。</w:t>
      </w:r>
    </w:p>
    <w:p w14:paraId="635E2A47">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承包人未经发包人同意的暂停施工的违约金：每停工一天，应按照签约合同价的千分之一向发包人支付违约金。</w:t>
      </w:r>
    </w:p>
    <w:p w14:paraId="63DE0918">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在施工现场内或因承包人原因或因承包人的分包人原因或因供应商原因发生伤亡事故的，承包人按照重伤一人5万元、死亡一人100万元的标准向发包人支付违约金。</w:t>
      </w:r>
    </w:p>
    <w:p w14:paraId="3745D72A">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发生承包人知识产权侵权事故后，承包人未按约定的时间进行处理，每发生一次，承包人应当向发包人支付违约金100万元，发包人有权自行处理有关纠纷，发包人因此遭受的赔偿、损害、费用及损失，发包人有权从签约合同价中直接扣回。</w:t>
      </w:r>
    </w:p>
    <w:p w14:paraId="515CB0CE">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如出现承包人、承包人的分包人或供应商的人员通过非理性行为（包括但不限于自伤、自残、自杀行为、阻塞交通、阻碍施工管理、围堵、攻击发包人（包括但不限于与发包人有正常业务往来）的人员、车辆、办公场所、静坐、游行等各种有碍发包人正常工作秩序、生活秩序和声誉的行为）向发包人施加压力的，按照下列标准向发包人支付违约金：</w:t>
      </w:r>
    </w:p>
    <w:p w14:paraId="6C1CCA69">
      <w:pPr>
        <w:pStyle w:val="60"/>
        <w:numPr>
          <w:ilvl w:val="0"/>
          <w:numId w:val="0"/>
        </w:numP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①出</w:t>
      </w:r>
      <w:r>
        <w:rPr>
          <w:rFonts w:hint="eastAsia" w:ascii="宋体" w:hAnsi="宋体" w:cs="宋体"/>
          <w:color w:val="auto"/>
          <w:sz w:val="22"/>
          <w:szCs w:val="22"/>
          <w:highlight w:val="none"/>
        </w:rPr>
        <w:t>现3人以下的人员参与的非理性行为，承包人每次向发包人支付违约金5万元；</w:t>
      </w:r>
    </w:p>
    <w:p w14:paraId="23DDD8DB">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②出现3人以上10人以下的人员参与的非理性行为，承包人每次向发包人支付违约金30万元；</w:t>
      </w:r>
    </w:p>
    <w:p w14:paraId="2C7C6EDF">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③出现10人以上的大规模的非理性行为且未出现严重后果的，承包人每次向发包人支付违约金50万元；</w:t>
      </w:r>
    </w:p>
    <w:p w14:paraId="74E7B9F4">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④无论人数的多少但造成严重后果</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指有下列情形之一：被新闻媒体负面报道、或被政府通报、或发生人员死亡、重伤，或发生重大财产损失，或其它造成恶劣社会影响</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的非理性行为，承包人除每次应向发包人支付违约金100万元外，还应按本合同的其他约定承担相应的责任；</w:t>
      </w:r>
    </w:p>
    <w:p w14:paraId="50C428DC">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⑤与本项目有关的承包人的人员（或与本项目有关的承包人的人员指使其他人）出现打架斗殴的行为时，无论人数的多少，承包人除每次应向发包人支付违约金50万元外，还应按本合同的其他约定或国家法律法规承担相应的责任。</w:t>
      </w:r>
    </w:p>
    <w:p w14:paraId="517B215F">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承包人的项目经理及技术负责人签署的文件和资料不得代签，一经发现，监理人和发包人有权拒收并视为承包人违约，承包人每次向发包人支付违约金10万元。</w:t>
      </w:r>
    </w:p>
    <w:p w14:paraId="2C9424AE">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不履行或不全面履行总承包管理与配合服务的责任和义务，或监理人接到各分包工程承包人对承包人管理配合服务不到位的投诉，经监理人和发包人确认，发包人有权暂扣施工总承包服务费直至监理人和发包人满意。</w:t>
      </w:r>
    </w:p>
    <w:p w14:paraId="0204FB3E">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承包人未按照法律法规、政府要求、发包人要求、承包人的施工组织设计采取安全文明施工措施的，应负责整改，并且每发现一次，应向发包人支付违约金10000元。</w:t>
      </w:r>
    </w:p>
    <w:p w14:paraId="338BFDBE">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未经发包人许可，各类挖掘机、汽车、搅拌站、砼输送泵、塔吊等主要施工设备未按时进场，或承包人未按监理人或发包人书面要求的时间增加或更换施工设备，则每台机械每延误一天，承包人应向发包人支付违约金10000元。</w:t>
      </w:r>
    </w:p>
    <w:p w14:paraId="5F8F1975">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承包人违反合同的违约金：</w:t>
      </w:r>
    </w:p>
    <w:p w14:paraId="14B0DDAB">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① 被当地政府部门勒令停工整顿的，以实际停工的天数，每天1万元的标准向发包人支付违约金；</w:t>
      </w:r>
    </w:p>
    <w:p w14:paraId="3FA20EFB">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②被新闻媒体曝光给工程或发包人带来负面影响、经济损失的，每被曝光一次10万元；</w:t>
      </w:r>
    </w:p>
    <w:p w14:paraId="1C225608">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③承包人及其分包人的行为，根据现场例会确定或现场管理规定检查，应当接受处罚的，相应的处罚额即为违约金。</w:t>
      </w:r>
    </w:p>
    <w:p w14:paraId="1151FFDD">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若承包人的劳务人员投入不足，每违约一天，承包人应按照每天1000 元/人的标准向发包人支付违约金。</w:t>
      </w:r>
    </w:p>
    <w:p w14:paraId="159F2C7E">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提交的价款调整、计量、结算及其价款支付请求高估冒算的，或对分包合同的价款调整、计量和结算及其价款支付请求审核不力的，如承包人的申报或对分包/分供的审核额与经发包人最终核定额超过5%时，超出部分按10%计算违约金。</w:t>
      </w:r>
    </w:p>
    <w:p w14:paraId="4EFFC2C3">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未按期提交竣工结算报告文件和相应的支持文件结算，每逾期一天，应按照签约合同价的0.1%向发包人支付违约金。</w:t>
      </w:r>
    </w:p>
    <w:p w14:paraId="49210DAC">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承包人未按约定的时间进行竣工清场或承包人未按约定的时间将工程或资料移交给发包人，每逾期一天，应按照签约合同价的0.1%向发包人支付违约金。</w:t>
      </w:r>
    </w:p>
    <w:p w14:paraId="574FD215">
      <w:pPr>
        <w:pStyle w:val="60"/>
        <w:numPr>
          <w:ilvl w:val="0"/>
          <w:numId w:val="14"/>
        </w:numPr>
        <w:spacing w:line="360" w:lineRule="exact"/>
        <w:ind w:lef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若承包人发生廉政违纪行为时，向发包人支付违约金每次10万元或按相关协议执行。</w:t>
      </w:r>
    </w:p>
    <w:p w14:paraId="25CE0713">
      <w:pPr>
        <w:pStyle w:val="60"/>
        <w:numPr>
          <w:ilvl w:val="0"/>
          <w:numId w:val="14"/>
        </w:numPr>
        <w:spacing w:line="360" w:lineRule="exact"/>
        <w:ind w:left="0" w:firstLine="442" w:firstLineChars="200"/>
        <w:rPr>
          <w:rFonts w:hint="eastAsia" w:ascii="宋体" w:hAnsi="宋体" w:cs="宋体"/>
          <w:b/>
          <w:color w:val="auto"/>
          <w:kern w:val="0"/>
          <w:sz w:val="22"/>
          <w:szCs w:val="22"/>
          <w:highlight w:val="none"/>
        </w:rPr>
      </w:pPr>
      <w:r>
        <w:rPr>
          <w:rFonts w:hint="eastAsia" w:ascii="宋体" w:hAnsi="宋体" w:cs="宋体"/>
          <w:b/>
          <w:color w:val="auto"/>
          <w:sz w:val="22"/>
          <w:szCs w:val="22"/>
          <w:highlight w:val="none"/>
        </w:rPr>
        <w:t>因承包人原因造成工期延误，逾期竣工违约金的计算方法为：</w:t>
      </w:r>
      <w:r>
        <w:rPr>
          <w:rFonts w:hint="eastAsia" w:ascii="宋体" w:hAnsi="宋体" w:eastAsia="宋体" w:cs="宋体"/>
          <w:color w:val="auto"/>
          <w:kern w:val="0"/>
          <w:sz w:val="22"/>
          <w:szCs w:val="22"/>
          <w:highlight w:val="none"/>
        </w:rPr>
        <w:t>每天赔偿金额为合同价款扣除建安劳保费、发包人材料价款、暂估专业工程、暂列金额后的万分之四</w:t>
      </w:r>
      <w:r>
        <w:rPr>
          <w:rFonts w:hint="eastAsia" w:ascii="宋体" w:hAnsi="宋体" w:eastAsia="宋体" w:cs="宋体"/>
          <w:color w:val="auto"/>
          <w:kern w:val="0"/>
          <w:sz w:val="22"/>
          <w:szCs w:val="22"/>
          <w:highlight w:val="none"/>
          <w:lang w:eastAsia="zh-CN"/>
        </w:rPr>
        <w:t>。</w:t>
      </w:r>
    </w:p>
    <w:p w14:paraId="559B053D">
      <w:pPr>
        <w:pStyle w:val="60"/>
        <w:spacing w:line="36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（3）尽管本条前面各款有其他规定（供应商在磋商文件中有其他承诺的除外），但</w:t>
      </w:r>
      <w:r>
        <w:rPr>
          <w:rFonts w:hint="eastAsia" w:ascii="宋体" w:hAnsi="宋体" w:cs="宋体"/>
          <w:color w:val="auto"/>
          <w:sz w:val="22"/>
          <w:szCs w:val="22"/>
          <w:highlight w:val="none"/>
        </w:rPr>
        <w:t>逾期竣工违约金</w:t>
      </w:r>
      <w:r>
        <w:rPr>
          <w:rFonts w:hint="eastAsia" w:ascii="宋体" w:hAnsi="宋体" w:cs="宋体"/>
          <w:color w:val="auto"/>
          <w:kern w:val="0"/>
          <w:sz w:val="22"/>
          <w:szCs w:val="22"/>
          <w:highlight w:val="none"/>
        </w:rPr>
        <w:t>累计总量不应超过合同总价的10%；当违约金累计超过10%后，</w:t>
      </w:r>
      <w:r>
        <w:rPr>
          <w:rFonts w:hint="eastAsia" w:ascii="宋体" w:hAnsi="宋体" w:cs="宋体"/>
          <w:color w:val="auto"/>
          <w:kern w:val="0"/>
          <w:sz w:val="22"/>
          <w:szCs w:val="22"/>
          <w:highlight w:val="none"/>
          <w:lang w:val="en-US" w:eastAsia="zh-CN"/>
        </w:rPr>
        <w:t>发包人</w:t>
      </w:r>
      <w:r>
        <w:rPr>
          <w:rFonts w:hint="eastAsia" w:ascii="宋体" w:hAnsi="宋体" w:cs="宋体"/>
          <w:color w:val="auto"/>
          <w:kern w:val="0"/>
          <w:sz w:val="22"/>
          <w:szCs w:val="22"/>
          <w:highlight w:val="none"/>
        </w:rPr>
        <w:t>保留进一步索赔或终止合同的权利。如供应商另有承诺的，可叠加处罚。</w:t>
      </w:r>
    </w:p>
    <w:p w14:paraId="5B97D5E1">
      <w:pPr>
        <w:pStyle w:val="6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16.2.3 因承包人违约解除合同</w:t>
      </w:r>
    </w:p>
    <w:p w14:paraId="5D36D2B4">
      <w:pPr>
        <w:pStyle w:val="60"/>
        <w:spacing w:line="360" w:lineRule="exact"/>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lang w:eastAsia="zh-CN"/>
        </w:rPr>
        <w:t>通用合同条款</w:t>
      </w:r>
      <w:r>
        <w:rPr>
          <w:rFonts w:hint="eastAsia" w:ascii="宋体" w:hAnsi="宋体" w:cs="宋体"/>
          <w:b/>
          <w:color w:val="auto"/>
          <w:sz w:val="22"/>
          <w:szCs w:val="22"/>
          <w:highlight w:val="none"/>
        </w:rPr>
        <w:t>内容和如下条款有冲突时，以如下条款为准）：</w:t>
      </w:r>
    </w:p>
    <w:p w14:paraId="7005E6D3">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（1）关于承包人违约解除合同的特别约定：</w:t>
      </w:r>
      <w:r>
        <w:rPr>
          <w:rFonts w:hint="eastAsia" w:ascii="宋体" w:hAnsi="宋体" w:cs="宋体"/>
          <w:color w:val="auto"/>
          <w:sz w:val="22"/>
          <w:szCs w:val="22"/>
          <w:highlight w:val="none"/>
          <w:u w:val="single"/>
        </w:rPr>
        <w:t>承包人有违反以下情况之一的，发包人有权解除合同。</w:t>
      </w:r>
    </w:p>
    <w:p w14:paraId="343CF76E">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承包人无正当理由不按开工通知的要求及时进场组织施工和不按签订协议书时商定的进度计划有效地开展施工准备，造成工期延误的；</w:t>
      </w:r>
    </w:p>
    <w:p w14:paraId="561515E1">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承包人违反本合同</w:t>
      </w:r>
      <w:r>
        <w:rPr>
          <w:rFonts w:hint="eastAsia" w:ascii="宋体" w:hAnsi="宋体" w:cs="宋体"/>
          <w:color w:val="auto"/>
          <w:sz w:val="22"/>
          <w:szCs w:val="22"/>
          <w:highlight w:val="none"/>
          <w:lang w:eastAsia="zh-CN"/>
        </w:rPr>
        <w:t>通用合同条款</w:t>
      </w:r>
      <w:r>
        <w:rPr>
          <w:rFonts w:hint="eastAsia" w:ascii="宋体" w:hAnsi="宋体" w:cs="宋体"/>
          <w:color w:val="auto"/>
          <w:sz w:val="22"/>
          <w:szCs w:val="22"/>
          <w:highlight w:val="none"/>
        </w:rPr>
        <w:t>第3.5条规定私自将合同或合同的任何部分或任何权利转让给其他人，或私自将工程或工程的一部分分包出去的；</w:t>
      </w:r>
    </w:p>
    <w:p w14:paraId="42F0E4C5">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未经监理人批准，承包人私自将已按磋商文件承诺进入工地的工程设备、施工设备、临时工程或材料撤离工地的；</w:t>
      </w:r>
    </w:p>
    <w:p w14:paraId="0B21018B">
      <w:pPr>
        <w:pStyle w:val="60"/>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由于承包人原因拒绝按合同进度计划及时完成合同约定的工程，而又未采取有效措施赶上进度，造成工期延误的；</w:t>
      </w:r>
    </w:p>
    <w:p w14:paraId="0FA29773">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承包人否认合同有效或拒绝履行合同约定的承包人义务，或由于法律、财务等原因导致承包人无法继续履行或实质上已停止履行合同的义务的；</w:t>
      </w:r>
    </w:p>
    <w:p w14:paraId="7EA6B64A">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成交通知书发出之日起三十日内，承包人无法按合同约定及磋商文件的承诺进场经发包人认可的全部人员和机械的；</w:t>
      </w:r>
    </w:p>
    <w:p w14:paraId="27B6FA53">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7）承包人在施工过程中违反国家有关</w:t>
      </w:r>
      <w:r>
        <w:rPr>
          <w:rFonts w:hint="eastAsia" w:ascii="宋体" w:hAnsi="宋体" w:cs="宋体"/>
          <w:color w:val="auto"/>
          <w:sz w:val="22"/>
          <w:szCs w:val="22"/>
          <w:highlight w:val="none"/>
          <w:lang w:eastAsia="zh-CN"/>
        </w:rPr>
        <w:t>法律法规</w:t>
      </w:r>
      <w:r>
        <w:rPr>
          <w:rFonts w:hint="eastAsia" w:ascii="宋体" w:hAnsi="宋体" w:cs="宋体"/>
          <w:color w:val="auto"/>
          <w:sz w:val="22"/>
          <w:szCs w:val="22"/>
          <w:highlight w:val="none"/>
        </w:rPr>
        <w:t>的；</w:t>
      </w:r>
    </w:p>
    <w:p w14:paraId="45029D91">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8）承包人明确表示或者以其行为表明不履行合同主要义务的；</w:t>
      </w:r>
    </w:p>
    <w:p w14:paraId="4EB968FB">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9）监理人发出整改通知后，承包人在指定的合理期限内仍不纠正违约行为并致使合同目的不能实现的；</w:t>
      </w:r>
    </w:p>
    <w:p w14:paraId="06633279">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10）承包人未经发包人、监理人事先同意，擅自更换合同工程项目经理、技术负责人或其他主要管理人员；</w:t>
      </w:r>
    </w:p>
    <w:p w14:paraId="18710172">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11）无正当理由，出现三次不执行本合同10.2中所述内容的情形的。</w:t>
      </w:r>
    </w:p>
    <w:p w14:paraId="0C834748">
      <w:pPr>
        <w:pStyle w:val="6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发包人继续使用承包人在施工现场的材料、设备、临时工程、承包人文件和由承包人或以其名义编制的其他文件的费用承担方式：</w:t>
      </w:r>
      <w:r>
        <w:rPr>
          <w:rFonts w:hint="eastAsia" w:ascii="宋体" w:hAnsi="宋体" w:cs="宋体"/>
          <w:color w:val="auto"/>
          <w:sz w:val="22"/>
          <w:szCs w:val="22"/>
          <w:highlight w:val="none"/>
          <w:u w:val="single"/>
        </w:rPr>
        <w:t>材料按照合同价格或市场价支付承包人，设备根据交付时的新旧程度折价支付承包人，临时工程按照剩余工程占合同总价的比例支付承包人，承包人文件和由承包人或以其名义编制的其他文件的费用免费提供给发包人使用。</w:t>
      </w:r>
    </w:p>
    <w:p w14:paraId="5C3A368C">
      <w:pPr>
        <w:pStyle w:val="60"/>
        <w:snapToGrid w:val="0"/>
        <w:spacing w:line="36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（2）合同解除后的结算与支付</w:t>
      </w:r>
    </w:p>
    <w:p w14:paraId="264DA850">
      <w:pPr>
        <w:pStyle w:val="60"/>
        <w:snapToGrid w:val="0"/>
        <w:spacing w:line="36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1）承包人应在接到合同解除通知后的28天内向监理人和发包人提交全套的已施工/在施工技术文件资料的同时，应提交一份合同解除结算报告文件，包括：</w:t>
      </w:r>
    </w:p>
    <w:p w14:paraId="608C2614">
      <w:pPr>
        <w:pStyle w:val="60"/>
        <w:snapToGrid w:val="0"/>
        <w:spacing w:line="36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① 已完成工程量；</w:t>
      </w:r>
    </w:p>
    <w:p w14:paraId="11DFA3F3">
      <w:pPr>
        <w:pStyle w:val="60"/>
        <w:snapToGrid w:val="0"/>
        <w:spacing w:line="36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② 已经验收送抵现场的各类材料、设备清单及其价款；</w:t>
      </w:r>
    </w:p>
    <w:p w14:paraId="2F08F11E">
      <w:pPr>
        <w:pStyle w:val="60"/>
        <w:snapToGrid w:val="0"/>
        <w:spacing w:line="36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③ 依据合同承包人认为应由发包人承担</w:t>
      </w:r>
      <w:r>
        <w:rPr>
          <w:rFonts w:hint="eastAsia" w:ascii="宋体" w:hAnsi="宋体" w:cs="宋体"/>
          <w:color w:val="auto"/>
          <w:sz w:val="22"/>
          <w:szCs w:val="22"/>
          <w:highlight w:val="none"/>
          <w:lang w:eastAsia="zh-CN"/>
        </w:rPr>
        <w:t>的其他费用</w:t>
      </w:r>
      <w:r>
        <w:rPr>
          <w:rFonts w:hint="eastAsia" w:ascii="宋体" w:hAnsi="宋体" w:cs="宋体"/>
          <w:color w:val="auto"/>
          <w:sz w:val="22"/>
          <w:szCs w:val="22"/>
          <w:highlight w:val="none"/>
        </w:rPr>
        <w:t>；</w:t>
      </w:r>
    </w:p>
    <w:p w14:paraId="3C772D78">
      <w:pPr>
        <w:pStyle w:val="60"/>
        <w:snapToGrid w:val="0"/>
        <w:spacing w:line="36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④ 支持上述①至③项的证明文件资料。</w:t>
      </w:r>
    </w:p>
    <w:p w14:paraId="56182668">
      <w:pPr>
        <w:pStyle w:val="60"/>
        <w:snapToGrid w:val="0"/>
        <w:spacing w:line="36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2）发包人在收到上述资料后，参照本合同专用条款第14.2款竣工结算的约定计算已完工程价款。</w:t>
      </w:r>
    </w:p>
    <w:p w14:paraId="5EA4BF17">
      <w:pPr>
        <w:pStyle w:val="60"/>
        <w:snapToGrid w:val="0"/>
        <w:spacing w:line="36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① 合同解除后，由发包人确定承包人实际完成工作的价值，以及承包人已提供的材料、施工设备、工程设备和临时工程等的价值。</w:t>
      </w:r>
    </w:p>
    <w:p w14:paraId="4C728A9F">
      <w:pPr>
        <w:pStyle w:val="60"/>
        <w:snapToGrid w:val="0"/>
        <w:spacing w:line="36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② 合同解除后，发包人应暂停对承包人的一切付款，查清各项付款和已扣款金额，包括承包人应支付的违约金。</w:t>
      </w:r>
    </w:p>
    <w:p w14:paraId="637FFD13">
      <w:pPr>
        <w:pStyle w:val="60"/>
        <w:snapToGrid w:val="0"/>
        <w:spacing w:line="36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③ 合同解除后，发包人可按第19.4款的约定向承包人索赔由于解除合同给发包人造成的损失，索赔的金额可在签署结算协议时，在结算额中直接扣除，并保留向承包人继续追索的权利。</w:t>
      </w:r>
    </w:p>
    <w:p w14:paraId="0E036C19">
      <w:pPr>
        <w:pStyle w:val="60"/>
        <w:snapToGrid w:val="0"/>
        <w:spacing w:line="36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④ 合同双方确认上述往来款项后，签订合同解除结算协议，按结算协议结清全部合同款项。</w:t>
      </w:r>
    </w:p>
    <w:p w14:paraId="5B7726D6">
      <w:pPr>
        <w:pStyle w:val="60"/>
        <w:snapToGrid w:val="0"/>
        <w:spacing w:line="360" w:lineRule="exact"/>
        <w:ind w:left="155" w:leftChars="74"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⑤ 发包人和承包人未能就解除合同达成一致协议而形成争议的，按第20条的约定办理。</w:t>
      </w:r>
    </w:p>
    <w:p w14:paraId="679BFFDA">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（3）解除合同的撤场规定</w:t>
      </w:r>
    </w:p>
    <w:p w14:paraId="451620D3">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1）因承包人违约而发包人解除合同的，承包人应在收到解除合同通知后，立即妥善做好已</w:t>
      </w:r>
      <w:r>
        <w:rPr>
          <w:rFonts w:hint="eastAsia" w:ascii="宋体" w:hAnsi="宋体" w:cs="宋体"/>
          <w:color w:val="auto"/>
          <w:sz w:val="22"/>
          <w:szCs w:val="22"/>
          <w:highlight w:val="none"/>
          <w:lang w:eastAsia="zh-CN"/>
        </w:rPr>
        <w:t>完成</w:t>
      </w:r>
      <w:r>
        <w:rPr>
          <w:rFonts w:hint="eastAsia" w:ascii="宋体" w:hAnsi="宋体" w:cs="宋体"/>
          <w:color w:val="auto"/>
          <w:sz w:val="22"/>
          <w:szCs w:val="22"/>
          <w:highlight w:val="none"/>
        </w:rPr>
        <w:t>工程和已购材料设备的保护和移交工作，并在发包人要求的期限内无条件将施工人员及现场的材料设备全部撤离施工现场，承包人撤出施工场地时应遵守第13.6项的约定。每逾期一天撤场，承包人应按专用条款约定的标准向发包人支付违约金，此违约金可在发包人应付或拟付给承包人的任何款项中直接扣除。</w:t>
      </w:r>
    </w:p>
    <w:p w14:paraId="1119C808">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2）如承包人拒不按期撤场或在规定的撤场期限届满后 7 天内仍未完成撤场的，发包人有权自行或委托第三方直接将承包人驱逐出施工现场；届时，发包人可随时变卖承包人在施工现场的施工机械、临时工程和未使用的材料，并直接用变卖的款项冲抵撤场所产生的全部费用，不足部分可在应付或拟付给承包人的任何款项中直接扣除。</w:t>
      </w:r>
    </w:p>
    <w:p w14:paraId="43D46F92">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（4）合同解除后材料设备及相关协议利益的处理</w:t>
      </w:r>
    </w:p>
    <w:p w14:paraId="5EB447CA">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因承包人违约而发包人解除合同，但如果发包人通知将自行或委托第三方继续完成该工程的，承包人则应当按照发包人的指示妥善保管现场已购材料设备及施工装备、临时设施等直至将该等材料设备全部转交发包人或其他第三方，而不得擅自将该等材料设备运出现场。</w:t>
      </w:r>
    </w:p>
    <w:p w14:paraId="526ADA02">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协议利益的转让：如发包人决定继续使用承包人租用的施工设备、已订货但未到货的材料设备、临时设施、已采购的服务或其他权益的，发包人有权要求承包人将其为实施合同而签订的工程或劳务分包协议、材料和设备的订货协议、施工设备租赁协议或任何服务协议及利益以原有条件转让给发包人或发包人指定的其他承包人，并在解除合同后的 14 天内，依法办理转让手续，承包人应当全力配合。</w:t>
      </w:r>
    </w:p>
    <w:p w14:paraId="7D03AC36">
      <w:pPr>
        <w:pStyle w:val="60"/>
        <w:spacing w:line="36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sz w:val="22"/>
          <w:szCs w:val="22"/>
          <w:highlight w:val="none"/>
        </w:rPr>
        <w:t>3）发包人受让承包人的协议利益并不免除承包人应承担的违约责任，也不影响发包人根据合同约定享有的索赔权利。</w:t>
      </w:r>
    </w:p>
    <w:p w14:paraId="77E6512E">
      <w:pPr>
        <w:pStyle w:val="73"/>
        <w:spacing w:before="0" w:after="0" w:line="360" w:lineRule="exact"/>
        <w:ind w:firstLine="442" w:firstLineChars="200"/>
        <w:rPr>
          <w:rFonts w:hint="eastAsia" w:ascii="宋体" w:hAnsi="宋体" w:cs="宋体"/>
          <w:color w:val="auto"/>
          <w:sz w:val="22"/>
          <w:szCs w:val="22"/>
          <w:highlight w:val="none"/>
        </w:rPr>
      </w:pPr>
      <w:bookmarkStart w:id="1080" w:name="_Toc373227769"/>
      <w:bookmarkStart w:id="1081" w:name="_Toc395382572"/>
      <w:bookmarkStart w:id="1082" w:name="_Toc389065334"/>
      <w:bookmarkStart w:id="1083" w:name="_Toc533432796"/>
      <w:bookmarkStart w:id="1084" w:name="_Toc12975961"/>
      <w:bookmarkStart w:id="1085" w:name="_Toc373478416"/>
      <w:bookmarkStart w:id="1086" w:name="_Toc351203649"/>
      <w:r>
        <w:rPr>
          <w:rFonts w:hint="eastAsia" w:ascii="宋体" w:hAnsi="宋体" w:cs="宋体"/>
          <w:color w:val="auto"/>
          <w:sz w:val="22"/>
          <w:szCs w:val="22"/>
          <w:highlight w:val="none"/>
        </w:rPr>
        <w:t>17. 不可抗力</w:t>
      </w:r>
      <w:bookmarkEnd w:id="1080"/>
      <w:bookmarkEnd w:id="1081"/>
      <w:bookmarkEnd w:id="1082"/>
      <w:bookmarkEnd w:id="1083"/>
      <w:bookmarkEnd w:id="1084"/>
      <w:bookmarkEnd w:id="1085"/>
      <w:bookmarkEnd w:id="1086"/>
      <w:r>
        <w:rPr>
          <w:rFonts w:hint="eastAsia" w:ascii="宋体" w:hAnsi="宋体" w:cs="宋体"/>
          <w:color w:val="auto"/>
          <w:sz w:val="22"/>
          <w:szCs w:val="22"/>
          <w:highlight w:val="none"/>
        </w:rPr>
        <w:t xml:space="preserve"> </w:t>
      </w:r>
      <w:bookmarkEnd w:id="1064"/>
    </w:p>
    <w:p w14:paraId="70D2C424">
      <w:pPr>
        <w:pStyle w:val="39"/>
        <w:spacing w:line="360" w:lineRule="exact"/>
        <w:ind w:firstLine="442" w:firstLineChars="200"/>
        <w:rPr>
          <w:rFonts w:hint="eastAsia" w:ascii="宋体" w:hAnsi="宋体" w:cs="宋体"/>
          <w:color w:val="auto"/>
          <w:sz w:val="22"/>
          <w:szCs w:val="22"/>
          <w:highlight w:val="none"/>
        </w:rPr>
      </w:pPr>
      <w:bookmarkStart w:id="1087" w:name="_Toc533432797"/>
      <w:bookmarkStart w:id="1088" w:name="_Toc373478417"/>
      <w:bookmarkStart w:id="1089" w:name="_Toc395382573"/>
      <w:bookmarkStart w:id="1090" w:name="_Toc389065335"/>
      <w:bookmarkStart w:id="1091" w:name="_Toc373227770"/>
      <w:bookmarkStart w:id="1092" w:name="_Toc12975962"/>
      <w:r>
        <w:rPr>
          <w:rFonts w:hint="eastAsia" w:ascii="宋体" w:hAnsi="宋体" w:cs="宋体"/>
          <w:color w:val="auto"/>
          <w:sz w:val="22"/>
          <w:szCs w:val="22"/>
          <w:highlight w:val="none"/>
        </w:rPr>
        <w:t>17.1 不可抗力的确认</w:t>
      </w:r>
      <w:bookmarkEnd w:id="1087"/>
      <w:bookmarkEnd w:id="1088"/>
      <w:bookmarkEnd w:id="1089"/>
      <w:bookmarkEnd w:id="1090"/>
      <w:bookmarkEnd w:id="1091"/>
      <w:bookmarkEnd w:id="1092"/>
    </w:p>
    <w:p w14:paraId="5F889D4C">
      <w:pPr>
        <w:pStyle w:val="40"/>
        <w:spacing w:line="360" w:lineRule="exact"/>
        <w:ind w:firstLine="440" w:firstLineChars="200"/>
        <w:jc w:val="left"/>
        <w:rPr>
          <w:rFonts w:hint="eastAsia" w:ascii="宋体" w:hAnsi="宋体" w:cs="宋体"/>
          <w:color w:val="auto"/>
          <w:kern w:val="0"/>
          <w:sz w:val="22"/>
          <w:highlight w:val="none"/>
          <w:u w:val="single"/>
        </w:rPr>
      </w:pPr>
      <w:r>
        <w:rPr>
          <w:rFonts w:hint="eastAsia" w:ascii="宋体" w:hAnsi="宋体" w:cs="宋体"/>
          <w:color w:val="auto"/>
          <w:sz w:val="22"/>
          <w:highlight w:val="none"/>
        </w:rPr>
        <w:t>除通用合同条款约定的不可抗力事件之外，视为不可抗力的其他情形：</w:t>
      </w:r>
      <w:r>
        <w:rPr>
          <w:rFonts w:hint="eastAsia" w:ascii="宋体" w:hAnsi="宋体" w:cs="宋体"/>
          <w:color w:val="auto"/>
          <w:sz w:val="22"/>
          <w:highlight w:val="none"/>
          <w:u w:val="single"/>
        </w:rPr>
        <w:t>地震、海啸、瘟疫、骚乱、戒严、暴动、战争及13级以上台风，但由于承包人及其分包商的雇员的原因引起的骚乱及其他灾难性事件不属于不可抗力</w:t>
      </w:r>
      <w:r>
        <w:rPr>
          <w:rFonts w:hint="eastAsia" w:ascii="宋体" w:hAnsi="宋体" w:cs="宋体"/>
          <w:color w:val="auto"/>
          <w:kern w:val="0"/>
          <w:sz w:val="22"/>
          <w:highlight w:val="none"/>
          <w:u w:val="single"/>
        </w:rPr>
        <w:t>。</w:t>
      </w:r>
    </w:p>
    <w:p w14:paraId="4DF22D14">
      <w:pPr>
        <w:pStyle w:val="39"/>
        <w:spacing w:line="360" w:lineRule="exact"/>
        <w:ind w:firstLine="442" w:firstLineChars="200"/>
        <w:rPr>
          <w:rFonts w:hint="eastAsia" w:ascii="宋体" w:hAnsi="宋体" w:cs="宋体"/>
          <w:color w:val="auto"/>
          <w:sz w:val="22"/>
          <w:szCs w:val="22"/>
          <w:highlight w:val="none"/>
        </w:rPr>
      </w:pPr>
      <w:bookmarkStart w:id="1093" w:name="_Toc533432798"/>
      <w:bookmarkStart w:id="1094" w:name="_Toc12975963"/>
      <w:r>
        <w:rPr>
          <w:rFonts w:hint="eastAsia" w:ascii="宋体" w:hAnsi="宋体" w:cs="宋体"/>
          <w:color w:val="auto"/>
          <w:sz w:val="22"/>
          <w:szCs w:val="22"/>
          <w:highlight w:val="none"/>
        </w:rPr>
        <w:t>17.2不可抗力的通知</w:t>
      </w:r>
      <w:bookmarkEnd w:id="1093"/>
      <w:bookmarkEnd w:id="1094"/>
    </w:p>
    <w:p w14:paraId="790B9589">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不可抗力因素出现，承包人应立即采取措施并向发包人方通报受灾情况，在不可抗力因素引起的损害终止后三日内向发包人报告损失情况和清理、修复的费用。若灾害呈间歇形式继续发生，承包人应每隔三天向发包人报告一次灾害情况，直至灾害结束。发包人应对灾情处理提供必要条件。</w:t>
      </w:r>
    </w:p>
    <w:p w14:paraId="222C6EAB">
      <w:pPr>
        <w:pStyle w:val="40"/>
        <w:spacing w:line="360" w:lineRule="exact"/>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rPr>
        <w:t>17.3不可抗力后果的承担</w:t>
      </w:r>
      <w:bookmarkStart w:id="1095" w:name="_Toc373478418"/>
      <w:bookmarkStart w:id="1096" w:name="_Toc395382574"/>
      <w:bookmarkStart w:id="1097" w:name="_Toc373227771"/>
      <w:bookmarkStart w:id="1098" w:name="_Toc389065336"/>
    </w:p>
    <w:p w14:paraId="415A5FCA">
      <w:pPr>
        <w:pStyle w:val="40"/>
        <w:spacing w:line="360" w:lineRule="exact"/>
        <w:ind w:firstLine="442" w:firstLineChars="200"/>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因灾害发生的费用由双方分别承担，其中：</w:t>
      </w:r>
    </w:p>
    <w:p w14:paraId="15FD173B">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    （1）工程本身的损害由发包人承担；</w:t>
      </w:r>
    </w:p>
    <w:p w14:paraId="1FC8A747">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    （2）人员伤亡由其所属单位负责并承担相应费用；</w:t>
      </w:r>
    </w:p>
    <w:p w14:paraId="6C392D62">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    （3）造成施工现场承包人临时设施损坏和修复费用，由承包人承担；</w:t>
      </w:r>
    </w:p>
    <w:p w14:paraId="7B7FF7A2">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    （4）承包人设备、机械、车辆等现场施工用具及人员停、窝工、机械、设备停置损失，由承包人承担；</w:t>
      </w:r>
    </w:p>
    <w:p w14:paraId="02D56AB8">
      <w:pPr>
        <w:pStyle w:val="4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（5）清理、修理工作的责任与费用的承担：由承包人承担。</w:t>
      </w:r>
    </w:p>
    <w:p w14:paraId="61E197A4">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17.3.2 不可抗力导致的人员伤亡、财产损失、费用增加和（或）工期延误等后果，由合同当事人按以下原则承担：</w:t>
      </w:r>
    </w:p>
    <w:p w14:paraId="6A13AA1C">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（1）永久工程、已运至施工现场的甲供材料和甲供的工程设备的损坏，以及因工程损坏造成的第三人人员伤亡和财产损失由发包人承担。已运至施工现场的承包人采购材料的损坏由承包人承担。</w:t>
      </w:r>
    </w:p>
    <w:p w14:paraId="1A2DD9C3">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（2）承包人施工设备的损坏由承包人承担。</w:t>
      </w:r>
    </w:p>
    <w:p w14:paraId="7F354D4A">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（3）发包人和承包人承担各自人员伤亡和财产的损失。</w:t>
      </w:r>
    </w:p>
    <w:p w14:paraId="16884249">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（4）因不可抗力影响承包人履行合同约定的义务，已经引起或将引起工期延误的，应当顺延工期，由此导致承包人停工的费用损失由承包人承担，停工期间必须支付的工人工资由承包人承担。</w:t>
      </w:r>
    </w:p>
    <w:p w14:paraId="0A983099">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（5）因不可抗力引起或将引起工期延误，发包人要求赶工的，由此增加的赶工费用由发包人承担。</w:t>
      </w:r>
    </w:p>
    <w:p w14:paraId="43E37770">
      <w:pPr>
        <w:pStyle w:val="60"/>
        <w:spacing w:line="360" w:lineRule="exact"/>
        <w:ind w:firstLine="440" w:firstLineChars="200"/>
        <w:rPr>
          <w:rFonts w:hint="eastAsia" w:ascii="宋体" w:hAnsi="宋体" w:cs="宋体"/>
          <w:color w:val="auto"/>
          <w:kern w:val="0"/>
          <w:sz w:val="22"/>
          <w:highlight w:val="none"/>
        </w:rPr>
      </w:pPr>
      <w:r>
        <w:rPr>
          <w:rFonts w:hint="eastAsia" w:ascii="宋体" w:hAnsi="宋体" w:cs="宋体"/>
          <w:color w:val="auto"/>
          <w:sz w:val="22"/>
          <w:szCs w:val="22"/>
          <w:highlight w:val="none"/>
        </w:rPr>
        <w:t>（6）承包人在停工期间按照发包人要求照管、清理和修复工程的费用由发包人承担。</w:t>
      </w:r>
    </w:p>
    <w:p w14:paraId="3E3301E9">
      <w:pPr>
        <w:pStyle w:val="40"/>
        <w:spacing w:line="360" w:lineRule="exact"/>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rPr>
        <w:t>17.4 因不可抗力解除合同</w:t>
      </w:r>
      <w:bookmarkEnd w:id="1095"/>
      <w:bookmarkEnd w:id="1096"/>
      <w:bookmarkEnd w:id="1097"/>
      <w:bookmarkEnd w:id="1098"/>
    </w:p>
    <w:p w14:paraId="7FE53ED6">
      <w:pPr>
        <w:pStyle w:val="73"/>
        <w:spacing w:before="0" w:after="0" w:line="360" w:lineRule="exact"/>
        <w:ind w:firstLine="440" w:firstLineChars="200"/>
        <w:rPr>
          <w:rFonts w:hint="eastAsia" w:ascii="宋体" w:hAnsi="宋体" w:cs="宋体"/>
          <w:b w:val="0"/>
          <w:bCs w:val="0"/>
          <w:color w:val="auto"/>
          <w:sz w:val="22"/>
          <w:szCs w:val="22"/>
          <w:highlight w:val="none"/>
        </w:rPr>
      </w:pPr>
      <w:bookmarkStart w:id="1099" w:name="_Toc395382575"/>
      <w:bookmarkStart w:id="1100" w:name="_Toc12975964"/>
      <w:bookmarkStart w:id="1101" w:name="_Toc389065337"/>
      <w:bookmarkStart w:id="1102" w:name="_Toc373227772"/>
      <w:bookmarkStart w:id="1103" w:name="_Toc533432799"/>
      <w:bookmarkStart w:id="1104" w:name="_Toc373478419"/>
      <w:bookmarkStart w:id="1105" w:name="_Toc351203650"/>
      <w:r>
        <w:rPr>
          <w:rFonts w:hint="eastAsia" w:ascii="宋体" w:hAnsi="宋体" w:cs="宋体"/>
          <w:b w:val="0"/>
          <w:bCs w:val="0"/>
          <w:color w:val="auto"/>
          <w:sz w:val="22"/>
          <w:szCs w:val="22"/>
          <w:highlight w:val="none"/>
        </w:rPr>
        <w:t>合同解除后，发包人应在商定或确定发包人应支付款项后</w:t>
      </w:r>
      <w:r>
        <w:rPr>
          <w:rFonts w:hint="eastAsia" w:ascii="宋体" w:hAnsi="宋体" w:cs="宋体"/>
          <w:b w:val="0"/>
          <w:bCs w:val="0"/>
          <w:color w:val="auto"/>
          <w:sz w:val="22"/>
          <w:szCs w:val="22"/>
          <w:highlight w:val="none"/>
          <w:u w:val="single"/>
        </w:rPr>
        <w:t xml:space="preserve">  120   </w:t>
      </w:r>
      <w:r>
        <w:rPr>
          <w:rFonts w:hint="eastAsia" w:ascii="宋体" w:hAnsi="宋体" w:cs="宋体"/>
          <w:b w:val="0"/>
          <w:bCs w:val="0"/>
          <w:color w:val="auto"/>
          <w:sz w:val="22"/>
          <w:szCs w:val="22"/>
          <w:highlight w:val="none"/>
        </w:rPr>
        <w:t>天内完成款项的支付。应支付款项以审计部门出具的审计报告为准。</w:t>
      </w:r>
    </w:p>
    <w:p w14:paraId="5B89B273">
      <w:pPr>
        <w:pStyle w:val="73"/>
        <w:spacing w:before="0" w:after="0" w:line="3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 保险</w:t>
      </w:r>
      <w:bookmarkEnd w:id="1099"/>
      <w:bookmarkEnd w:id="1100"/>
      <w:bookmarkEnd w:id="1101"/>
      <w:bookmarkEnd w:id="1102"/>
      <w:bookmarkEnd w:id="1103"/>
      <w:bookmarkEnd w:id="1104"/>
      <w:bookmarkEnd w:id="1105"/>
    </w:p>
    <w:bookmarkEnd w:id="1065"/>
    <w:p w14:paraId="2E7FCA8D">
      <w:pPr>
        <w:pStyle w:val="39"/>
        <w:spacing w:line="360" w:lineRule="exact"/>
        <w:ind w:firstLine="442" w:firstLineChars="200"/>
        <w:rPr>
          <w:rFonts w:hint="eastAsia" w:ascii="宋体" w:hAnsi="宋体" w:cs="宋体"/>
          <w:color w:val="auto"/>
          <w:sz w:val="22"/>
          <w:szCs w:val="22"/>
          <w:highlight w:val="none"/>
        </w:rPr>
      </w:pPr>
      <w:bookmarkStart w:id="1106" w:name="_Toc373227773"/>
      <w:bookmarkStart w:id="1107" w:name="_Toc373478420"/>
      <w:bookmarkStart w:id="1108" w:name="_Toc389065338"/>
      <w:bookmarkStart w:id="1109" w:name="_Toc533432800"/>
      <w:bookmarkStart w:id="1110" w:name="_Toc12975965"/>
      <w:bookmarkStart w:id="1111" w:name="_Toc395382576"/>
      <w:r>
        <w:rPr>
          <w:rFonts w:hint="eastAsia" w:ascii="宋体" w:hAnsi="宋体" w:cs="宋体"/>
          <w:color w:val="auto"/>
          <w:sz w:val="22"/>
          <w:szCs w:val="22"/>
          <w:highlight w:val="none"/>
        </w:rPr>
        <w:t>18.1 工程保险</w:t>
      </w:r>
      <w:bookmarkEnd w:id="1106"/>
      <w:bookmarkEnd w:id="1107"/>
      <w:bookmarkEnd w:id="1108"/>
      <w:bookmarkEnd w:id="1109"/>
      <w:bookmarkEnd w:id="1110"/>
      <w:bookmarkEnd w:id="1111"/>
    </w:p>
    <w:p w14:paraId="69E7BD25">
      <w:pPr>
        <w:pStyle w:val="60"/>
        <w:spacing w:line="360" w:lineRule="exact"/>
        <w:ind w:firstLine="440" w:firstLineChars="200"/>
        <w:jc w:val="left"/>
        <w:rPr>
          <w:rFonts w:hint="eastAsia" w:ascii="宋体" w:hAnsi="宋体" w:cs="宋体"/>
          <w:b/>
          <w:color w:val="auto"/>
          <w:sz w:val="22"/>
          <w:szCs w:val="22"/>
          <w:highlight w:val="none"/>
          <w:u w:val="single"/>
        </w:rPr>
      </w:pPr>
      <w:r>
        <w:rPr>
          <w:rFonts w:hint="eastAsia" w:ascii="宋体" w:hAnsi="宋体" w:cs="宋体"/>
          <w:color w:val="auto"/>
          <w:sz w:val="22"/>
          <w:szCs w:val="22"/>
          <w:highlight w:val="none"/>
        </w:rPr>
        <w:t>关于工程保险的特别约定：</w:t>
      </w:r>
      <w:r>
        <w:rPr>
          <w:rFonts w:hint="eastAsia" w:ascii="宋体" w:hAnsi="宋体" w:cs="宋体"/>
          <w:color w:val="auto"/>
          <w:kern w:val="0"/>
          <w:sz w:val="22"/>
          <w:szCs w:val="22"/>
          <w:highlight w:val="none"/>
          <w:u w:val="single"/>
        </w:rPr>
        <w:t xml:space="preserve"> </w:t>
      </w:r>
      <w:r>
        <w:rPr>
          <w:rFonts w:hint="eastAsia" w:ascii="宋体" w:hAnsi="宋体" w:cs="宋体"/>
          <w:b/>
          <w:color w:val="auto"/>
          <w:sz w:val="22"/>
          <w:szCs w:val="22"/>
          <w:highlight w:val="none"/>
          <w:u w:val="single"/>
        </w:rPr>
        <w:t>本项目工程一切险（或安装工程一切险）和第三者责任险由发包人委托承包人投保，费用总价包干，承包人预估费用低于实际费用，不足部分由承包人补齐；因承包人不投保或投保不足造成的损失全部由承包人承担，与发包人无关</w:t>
      </w:r>
      <w:r>
        <w:rPr>
          <w:rFonts w:hint="eastAsia" w:ascii="宋体" w:hAnsi="宋体" w:cs="宋体"/>
          <w:b/>
          <w:color w:val="auto"/>
          <w:kern w:val="0"/>
          <w:sz w:val="22"/>
          <w:szCs w:val="22"/>
          <w:highlight w:val="none"/>
          <w:u w:val="single"/>
        </w:rPr>
        <w:t>。</w:t>
      </w:r>
    </w:p>
    <w:p w14:paraId="0CFD0924">
      <w:pPr>
        <w:pStyle w:val="39"/>
        <w:spacing w:line="360" w:lineRule="exact"/>
        <w:ind w:firstLine="442" w:firstLineChars="200"/>
        <w:rPr>
          <w:rFonts w:hint="eastAsia" w:ascii="宋体" w:hAnsi="宋体" w:cs="宋体"/>
          <w:color w:val="auto"/>
          <w:sz w:val="22"/>
          <w:szCs w:val="22"/>
          <w:highlight w:val="none"/>
        </w:rPr>
      </w:pPr>
      <w:bookmarkStart w:id="1112" w:name="_Toc373478421"/>
      <w:bookmarkStart w:id="1113" w:name="_Toc395382577"/>
      <w:bookmarkStart w:id="1114" w:name="_Toc373227774"/>
      <w:bookmarkStart w:id="1115" w:name="_Toc389065339"/>
      <w:bookmarkStart w:id="1116" w:name="_Toc12975966"/>
      <w:bookmarkStart w:id="1117" w:name="_Toc533432801"/>
      <w:r>
        <w:rPr>
          <w:rFonts w:hint="eastAsia" w:ascii="宋体" w:hAnsi="宋体" w:cs="宋体"/>
          <w:color w:val="auto"/>
          <w:sz w:val="22"/>
          <w:szCs w:val="22"/>
          <w:highlight w:val="none"/>
        </w:rPr>
        <w:t xml:space="preserve">18.3 </w:t>
      </w:r>
      <w:bookmarkStart w:id="1118" w:name="OLE_LINK34"/>
      <w:r>
        <w:rPr>
          <w:rFonts w:hint="eastAsia" w:ascii="宋体" w:hAnsi="宋体" w:cs="宋体"/>
          <w:color w:val="auto"/>
          <w:sz w:val="22"/>
          <w:szCs w:val="22"/>
          <w:highlight w:val="none"/>
        </w:rPr>
        <w:t>其他保险</w:t>
      </w:r>
      <w:bookmarkEnd w:id="1112"/>
      <w:bookmarkEnd w:id="1113"/>
      <w:bookmarkEnd w:id="1114"/>
      <w:bookmarkEnd w:id="1115"/>
      <w:bookmarkEnd w:id="1116"/>
      <w:bookmarkEnd w:id="1117"/>
      <w:bookmarkEnd w:id="1118"/>
    </w:p>
    <w:p w14:paraId="3861A233">
      <w:pPr>
        <w:keepNext w:val="0"/>
        <w:keepLines w:val="0"/>
        <w:pageBreakBefore w:val="0"/>
        <w:widowControl w:val="0"/>
        <w:kinsoku/>
        <w:wordWrap/>
        <w:overflowPunct/>
        <w:topLinePunct w:val="0"/>
        <w:autoSpaceDE/>
        <w:autoSpaceDN/>
        <w:bidi w:val="0"/>
        <w:adjustRightInd/>
        <w:snapToGrid/>
        <w:spacing w:line="420" w:lineRule="exact"/>
        <w:ind w:firstLine="440" w:firstLineChars="200"/>
        <w:rPr>
          <w:rStyle w:val="68"/>
          <w:rFonts w:hint="eastAsia" w:ascii="宋体" w:hAnsi="宋体" w:eastAsia="宋体" w:cs="Times New Roman"/>
          <w:color w:val="auto"/>
          <w:sz w:val="22"/>
          <w:szCs w:val="28"/>
          <w:highlight w:val="none"/>
          <w:u w:val="single"/>
        </w:rPr>
      </w:pPr>
      <w:r>
        <w:rPr>
          <w:rFonts w:hint="eastAsia" w:ascii="宋体" w:hAnsi="宋体" w:eastAsia="宋体" w:cs="宋体"/>
          <w:color w:val="auto"/>
          <w:sz w:val="22"/>
          <w:szCs w:val="22"/>
          <w:highlight w:val="none"/>
        </w:rPr>
        <w:t>关于其他保险的约定：</w:t>
      </w:r>
      <w:r>
        <w:rPr>
          <w:rStyle w:val="68"/>
          <w:rFonts w:hint="eastAsia" w:ascii="宋体" w:hAnsi="宋体" w:eastAsia="宋体" w:cs="Times New Roman"/>
          <w:color w:val="auto"/>
          <w:sz w:val="22"/>
          <w:szCs w:val="28"/>
          <w:highlight w:val="none"/>
          <w:u w:val="single"/>
        </w:rPr>
        <w:t>承包人根据《广西壮族自治区房屋建筑和市政基础设施工程安全生产责任保险实施办法》（桂建发（2023）1号）相关条款，以工程项目为单元参保建筑工程安责险。安全生产责任保险费按分部分项工程费及措施项目费（含单价及总价措施项目费）为计算基数乘以0.2%计入暂估价，工程结算时，由发承包双方根据工程实际情况确认的安全生产责任保险费计入工程造价（注：安全生产责任保险费先由承包人支付，在工程结算时，发承包双方按《广西壮族自治区房屋建筑和市政基础设施工程安全生产责任保险计价规定的通知》（桂建发（2023）6号）的相关条款，根据工程实际情况确认的安全生产责任保险费计入工程造价据实结算。）</w:t>
      </w:r>
    </w:p>
    <w:p w14:paraId="5F78899D">
      <w:pPr>
        <w:keepNext w:val="0"/>
        <w:keepLines w:val="0"/>
        <w:pageBreakBefore w:val="0"/>
        <w:widowControl w:val="0"/>
        <w:kinsoku/>
        <w:wordWrap/>
        <w:overflowPunct/>
        <w:topLinePunct w:val="0"/>
        <w:autoSpaceDE/>
        <w:autoSpaceDN/>
        <w:bidi w:val="0"/>
        <w:adjustRightInd/>
        <w:snapToGrid/>
        <w:spacing w:line="420" w:lineRule="exact"/>
        <w:ind w:firstLine="440" w:firstLineChars="200"/>
        <w:rPr>
          <w:rStyle w:val="68"/>
          <w:rFonts w:hint="eastAsia" w:ascii="宋体" w:hAnsi="宋体" w:eastAsia="宋体" w:cs="Times New Roman"/>
          <w:color w:val="auto"/>
          <w:sz w:val="22"/>
          <w:szCs w:val="28"/>
          <w:highlight w:val="none"/>
          <w:u w:val="single"/>
        </w:rPr>
      </w:pPr>
      <w:r>
        <w:rPr>
          <w:rStyle w:val="68"/>
          <w:rFonts w:hint="eastAsia" w:ascii="宋体" w:hAnsi="宋体" w:eastAsia="宋体" w:cs="Times New Roman"/>
          <w:color w:val="auto"/>
          <w:sz w:val="22"/>
          <w:szCs w:val="28"/>
          <w:highlight w:val="none"/>
          <w:u w:val="single"/>
        </w:rPr>
        <w:t>承包人必须为施工现场从事施工的所有作业人员和管理人员办理安全生产责任保险</w:t>
      </w:r>
      <w:r>
        <w:rPr>
          <w:rStyle w:val="68"/>
          <w:rFonts w:hint="eastAsia" w:ascii="宋体" w:hAnsi="宋体" w:eastAsia="宋体" w:cs="Times New Roman"/>
          <w:color w:val="auto"/>
          <w:sz w:val="22"/>
          <w:szCs w:val="28"/>
          <w:highlight w:val="none"/>
          <w:u w:val="single"/>
          <w:lang w:val="en-US" w:eastAsia="zh-CN"/>
        </w:rPr>
        <w:t>及</w:t>
      </w:r>
      <w:r>
        <w:rPr>
          <w:rStyle w:val="68"/>
          <w:rFonts w:hint="eastAsia" w:ascii="宋体" w:hAnsi="宋体" w:eastAsia="宋体" w:cs="Times New Roman"/>
          <w:color w:val="auto"/>
          <w:sz w:val="22"/>
          <w:szCs w:val="28"/>
          <w:highlight w:val="none"/>
          <w:u w:val="single"/>
        </w:rPr>
        <w:t>意外伤害保险，并支付保险费。</w:t>
      </w:r>
    </w:p>
    <w:p w14:paraId="4CB103E6">
      <w:pPr>
        <w:keepNext w:val="0"/>
        <w:keepLines w:val="0"/>
        <w:pageBreakBefore w:val="0"/>
        <w:widowControl w:val="0"/>
        <w:kinsoku/>
        <w:wordWrap/>
        <w:overflowPunct/>
        <w:topLinePunct w:val="0"/>
        <w:autoSpaceDE/>
        <w:autoSpaceDN/>
        <w:bidi w:val="0"/>
        <w:adjustRightInd/>
        <w:snapToGrid/>
        <w:spacing w:line="420" w:lineRule="exact"/>
        <w:ind w:firstLine="440" w:firstLineChars="200"/>
        <w:rPr>
          <w:rFonts w:hint="eastAsia" w:ascii="宋体" w:hAnsi="宋体" w:cs="宋体"/>
          <w:color w:val="auto"/>
          <w:kern w:val="0"/>
          <w:sz w:val="24"/>
          <w:szCs w:val="28"/>
          <w:highlight w:val="none"/>
        </w:rPr>
      </w:pPr>
      <w:r>
        <w:rPr>
          <w:rStyle w:val="68"/>
          <w:rFonts w:hint="eastAsia" w:ascii="宋体" w:hAnsi="宋体" w:eastAsia="宋体" w:cs="Times New Roman"/>
          <w:color w:val="auto"/>
          <w:sz w:val="22"/>
          <w:szCs w:val="28"/>
          <w:highlight w:val="none"/>
          <w:u w:val="single"/>
        </w:rPr>
        <w:t>承包人是否应为其施工设备等办理财产保险：  由承包人按国家相关规定自行办理。</w:t>
      </w:r>
    </w:p>
    <w:p w14:paraId="369B379E">
      <w:pPr>
        <w:pStyle w:val="40"/>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cs="宋体"/>
          <w:color w:val="auto"/>
          <w:sz w:val="22"/>
          <w:highlight w:val="none"/>
        </w:rPr>
        <w:t>承包人是否应为其施工设备等办理财产保险：</w:t>
      </w:r>
      <w:r>
        <w:rPr>
          <w:rFonts w:hint="eastAsia" w:ascii="宋体" w:hAnsi="宋体" w:cs="宋体"/>
          <w:color w:val="auto"/>
          <w:sz w:val="22"/>
          <w:highlight w:val="none"/>
          <w:u w:val="single"/>
        </w:rPr>
        <w:t xml:space="preserve"> </w:t>
      </w:r>
      <w:r>
        <w:rPr>
          <w:rFonts w:hint="eastAsia" w:ascii="宋体" w:hAnsi="宋体" w:cs="宋体"/>
          <w:color w:val="auto"/>
          <w:kern w:val="0"/>
          <w:sz w:val="22"/>
          <w:highlight w:val="none"/>
          <w:u w:val="single"/>
        </w:rPr>
        <w:t xml:space="preserve">承包人自行考虑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bookmarkStart w:id="1119" w:name="_Toc54862578"/>
      <w:bookmarkStart w:id="1120" w:name="_Toc529202612"/>
      <w:bookmarkStart w:id="1121" w:name="_Toc513041358"/>
    </w:p>
    <w:p w14:paraId="7F71C649">
      <w:pPr>
        <w:pStyle w:val="74"/>
        <w:spacing w:line="3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18.6未按约定投保的补救</w:t>
      </w:r>
      <w:bookmarkEnd w:id="1119"/>
      <w:bookmarkEnd w:id="1120"/>
      <w:bookmarkEnd w:id="1121"/>
    </w:p>
    <w:p w14:paraId="7E6BBC2E">
      <w:pPr>
        <w:pStyle w:val="6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18.6.1投保工程保险产生的相关费用包含在本合同中，费用总价包干，承包人可以自主决定本项目是否办理</w:t>
      </w:r>
      <w:r>
        <w:rPr>
          <w:rFonts w:hint="eastAsia" w:ascii="宋体" w:hAnsi="宋体" w:cs="宋体"/>
          <w:b/>
          <w:color w:val="auto"/>
          <w:sz w:val="22"/>
          <w:szCs w:val="22"/>
          <w:highlight w:val="none"/>
          <w:u w:val="single"/>
        </w:rPr>
        <w:t>建筑工程一切险（或安装工程一切险）和第三者责任险</w:t>
      </w:r>
      <w:r>
        <w:rPr>
          <w:rFonts w:hint="eastAsia" w:ascii="宋体" w:hAnsi="宋体" w:cs="宋体"/>
          <w:color w:val="auto"/>
          <w:sz w:val="22"/>
          <w:szCs w:val="22"/>
          <w:highlight w:val="none"/>
        </w:rPr>
        <w:t>。但由于承包人的原因，造成未按合同约定办理保险，或未能使保险持续有效的，导致损失未能得到足额赔偿的，由承包人负责补足。</w:t>
      </w:r>
    </w:p>
    <w:p w14:paraId="0079930D">
      <w:pPr>
        <w:pStyle w:val="39"/>
        <w:spacing w:line="360" w:lineRule="exact"/>
        <w:ind w:firstLine="442" w:firstLineChars="200"/>
        <w:rPr>
          <w:rFonts w:hint="eastAsia" w:ascii="宋体" w:hAnsi="宋体" w:cs="宋体"/>
          <w:color w:val="auto"/>
          <w:sz w:val="22"/>
          <w:szCs w:val="22"/>
          <w:highlight w:val="none"/>
        </w:rPr>
      </w:pPr>
      <w:bookmarkStart w:id="1122" w:name="_Toc373478422"/>
      <w:bookmarkStart w:id="1123" w:name="_Toc373227775"/>
      <w:bookmarkStart w:id="1124" w:name="_Toc12975967"/>
      <w:bookmarkStart w:id="1125" w:name="_Toc389065340"/>
      <w:bookmarkStart w:id="1126" w:name="_Toc533432802"/>
      <w:bookmarkStart w:id="1127" w:name="_Toc395382578"/>
      <w:r>
        <w:rPr>
          <w:rFonts w:hint="eastAsia" w:ascii="宋体" w:hAnsi="宋体" w:cs="宋体"/>
          <w:color w:val="auto"/>
          <w:sz w:val="22"/>
          <w:szCs w:val="22"/>
          <w:highlight w:val="none"/>
        </w:rPr>
        <w:t>18.7 通知义务</w:t>
      </w:r>
      <w:bookmarkEnd w:id="1122"/>
      <w:bookmarkEnd w:id="1123"/>
      <w:bookmarkEnd w:id="1124"/>
      <w:bookmarkEnd w:id="1125"/>
      <w:bookmarkEnd w:id="1126"/>
      <w:bookmarkEnd w:id="1127"/>
    </w:p>
    <w:p w14:paraId="02FEB4FA">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kern w:val="0"/>
          <w:sz w:val="22"/>
          <w:highlight w:val="none"/>
        </w:rPr>
        <w:t>关于变更保险合同时的通知义务的约定：</w:t>
      </w:r>
      <w:r>
        <w:rPr>
          <w:rFonts w:hint="eastAsia" w:ascii="宋体" w:hAnsi="宋体" w:cs="宋体"/>
          <w:color w:val="auto"/>
          <w:kern w:val="0"/>
          <w:sz w:val="22"/>
          <w:highlight w:val="none"/>
          <w:u w:val="single"/>
        </w:rPr>
        <w:t>按通用合同条款执行</w:t>
      </w:r>
      <w:r>
        <w:rPr>
          <w:rFonts w:hint="eastAsia" w:ascii="宋体" w:hAnsi="宋体" w:cs="宋体"/>
          <w:color w:val="auto"/>
          <w:sz w:val="22"/>
          <w:highlight w:val="none"/>
        </w:rPr>
        <w:t>。</w:t>
      </w:r>
    </w:p>
    <w:bookmarkEnd w:id="1017"/>
    <w:bookmarkEnd w:id="1018"/>
    <w:bookmarkEnd w:id="1019"/>
    <w:bookmarkEnd w:id="1020"/>
    <w:bookmarkEnd w:id="1021"/>
    <w:bookmarkEnd w:id="1022"/>
    <w:bookmarkEnd w:id="1023"/>
    <w:bookmarkEnd w:id="1024"/>
    <w:bookmarkEnd w:id="1025"/>
    <w:bookmarkEnd w:id="1026"/>
    <w:bookmarkEnd w:id="1027"/>
    <w:bookmarkEnd w:id="1028"/>
    <w:p w14:paraId="116CC158">
      <w:pPr>
        <w:pStyle w:val="73"/>
        <w:spacing w:before="0" w:after="0" w:line="360" w:lineRule="exact"/>
        <w:rPr>
          <w:rFonts w:hint="eastAsia" w:ascii="宋体" w:hAnsi="宋体" w:cs="宋体"/>
          <w:color w:val="auto"/>
          <w:sz w:val="22"/>
          <w:szCs w:val="22"/>
          <w:highlight w:val="none"/>
        </w:rPr>
      </w:pPr>
      <w:bookmarkStart w:id="1128" w:name="_Toc351203651"/>
      <w:bookmarkStart w:id="1129" w:name="_Toc395382579"/>
      <w:bookmarkStart w:id="1130" w:name="_Toc533432803"/>
      <w:bookmarkStart w:id="1131" w:name="_Toc373478423"/>
      <w:bookmarkStart w:id="1132" w:name="_Toc12975968"/>
      <w:bookmarkStart w:id="1133" w:name="_Toc389065341"/>
      <w:bookmarkStart w:id="1134" w:name="_Toc373227776"/>
    </w:p>
    <w:p w14:paraId="634C4B36">
      <w:pPr>
        <w:pStyle w:val="73"/>
        <w:spacing w:before="0" w:after="0" w:line="360" w:lineRule="exact"/>
        <w:ind w:firstLine="442"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20. 争议解决</w:t>
      </w:r>
      <w:bookmarkEnd w:id="1128"/>
      <w:bookmarkEnd w:id="1129"/>
      <w:bookmarkEnd w:id="1130"/>
      <w:bookmarkEnd w:id="1131"/>
      <w:bookmarkEnd w:id="1132"/>
      <w:bookmarkEnd w:id="1133"/>
      <w:bookmarkEnd w:id="1134"/>
    </w:p>
    <w:bookmarkEnd w:id="1029"/>
    <w:bookmarkEnd w:id="1030"/>
    <w:p w14:paraId="4341E050">
      <w:pPr>
        <w:pStyle w:val="39"/>
        <w:spacing w:line="360" w:lineRule="exact"/>
        <w:ind w:firstLine="442" w:firstLineChars="200"/>
        <w:rPr>
          <w:rFonts w:hint="eastAsia" w:ascii="宋体" w:hAnsi="宋体" w:cs="宋体"/>
          <w:color w:val="auto"/>
          <w:sz w:val="22"/>
          <w:szCs w:val="22"/>
          <w:highlight w:val="none"/>
        </w:rPr>
      </w:pPr>
      <w:bookmarkStart w:id="1135" w:name="_Toc12975969"/>
      <w:bookmarkStart w:id="1136" w:name="_Toc395382580"/>
      <w:bookmarkStart w:id="1137" w:name="_Toc373227777"/>
      <w:bookmarkStart w:id="1138" w:name="_Toc373478424"/>
      <w:bookmarkStart w:id="1139" w:name="_Toc533432804"/>
      <w:bookmarkStart w:id="1140" w:name="_Toc389065342"/>
      <w:r>
        <w:rPr>
          <w:rFonts w:hint="eastAsia" w:ascii="宋体" w:hAnsi="宋体" w:cs="宋体"/>
          <w:color w:val="auto"/>
          <w:sz w:val="22"/>
          <w:szCs w:val="22"/>
          <w:highlight w:val="none"/>
        </w:rPr>
        <w:t>20.3 争</w:t>
      </w:r>
      <w:bookmarkEnd w:id="1031"/>
      <w:r>
        <w:rPr>
          <w:rFonts w:hint="eastAsia" w:ascii="宋体" w:hAnsi="宋体" w:cs="宋体"/>
          <w:color w:val="auto"/>
          <w:sz w:val="22"/>
          <w:szCs w:val="22"/>
          <w:highlight w:val="none"/>
        </w:rPr>
        <w:t>议评审</w:t>
      </w:r>
      <w:bookmarkEnd w:id="1135"/>
      <w:bookmarkEnd w:id="1136"/>
      <w:bookmarkEnd w:id="1137"/>
      <w:bookmarkEnd w:id="1138"/>
      <w:bookmarkEnd w:id="1139"/>
      <w:bookmarkEnd w:id="1140"/>
    </w:p>
    <w:p w14:paraId="4122DA1D">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合同当事人是否同意将工程争议提交争议评审小组决定：</w:t>
      </w:r>
      <w:r>
        <w:rPr>
          <w:rFonts w:hint="eastAsia" w:ascii="宋体" w:hAnsi="宋体" w:cs="宋体"/>
          <w:color w:val="auto"/>
          <w:sz w:val="22"/>
          <w:highlight w:val="none"/>
          <w:u w:val="single"/>
        </w:rPr>
        <w:t xml:space="preserve"> 否，双方约定，在履行合同进程中产生争议时，请工程所在地建设行政主管部门进行调解，调解不成时，向工程所在地人民法院起诉</w:t>
      </w:r>
      <w:r>
        <w:rPr>
          <w:rFonts w:hint="eastAsia" w:ascii="宋体" w:hAnsi="宋体" w:cs="宋体"/>
          <w:color w:val="auto"/>
          <w:sz w:val="22"/>
          <w:highlight w:val="none"/>
        </w:rPr>
        <w:t>。</w:t>
      </w:r>
    </w:p>
    <w:p w14:paraId="46260C6D">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20.3.1 争议评审小组的确定</w:t>
      </w:r>
    </w:p>
    <w:p w14:paraId="19AFB37B">
      <w:pPr>
        <w:pStyle w:val="40"/>
        <w:spacing w:line="360" w:lineRule="exac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争议评审小组成员的确定：</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3509DB8C">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选定争议评审员的期限：</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716870DB">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争议评审小组成员的报酬承担方式：</w:t>
      </w:r>
      <w:r>
        <w:rPr>
          <w:rFonts w:hint="eastAsia" w:ascii="宋体" w:hAnsi="宋体" w:cs="宋体"/>
          <w:color w:val="auto"/>
          <w:sz w:val="22"/>
          <w:highlight w:val="none"/>
          <w:u w:val="single"/>
        </w:rPr>
        <w:t xml:space="preserve">无 </w:t>
      </w:r>
      <w:r>
        <w:rPr>
          <w:rFonts w:hint="eastAsia" w:ascii="宋体" w:hAnsi="宋体" w:cs="宋体"/>
          <w:color w:val="auto"/>
          <w:sz w:val="22"/>
          <w:highlight w:val="none"/>
        </w:rPr>
        <w:t>。</w:t>
      </w:r>
    </w:p>
    <w:p w14:paraId="3ED3C935">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其他事项的约定：</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76972E88">
      <w:pPr>
        <w:pStyle w:val="40"/>
        <w:autoSpaceDE w:val="0"/>
        <w:autoSpaceDN w:val="0"/>
        <w:adjustRightInd w:val="0"/>
        <w:spacing w:line="360" w:lineRule="exact"/>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20.3.2 争议评审小组的决定</w:t>
      </w:r>
    </w:p>
    <w:p w14:paraId="62D2D78D">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合同当事人关于本项的约定：</w:t>
      </w:r>
      <w:r>
        <w:rPr>
          <w:rFonts w:hint="eastAsia" w:ascii="宋体" w:hAnsi="宋体" w:cs="宋体"/>
          <w:color w:val="auto"/>
          <w:sz w:val="22"/>
          <w:highlight w:val="none"/>
          <w:u w:val="single"/>
        </w:rPr>
        <w:t xml:space="preserve"> 无 </w:t>
      </w:r>
      <w:r>
        <w:rPr>
          <w:rFonts w:hint="eastAsia" w:ascii="宋体" w:hAnsi="宋体" w:cs="宋体"/>
          <w:color w:val="auto"/>
          <w:sz w:val="22"/>
          <w:highlight w:val="none"/>
        </w:rPr>
        <w:t>。</w:t>
      </w:r>
    </w:p>
    <w:p w14:paraId="65C3120E">
      <w:pPr>
        <w:pStyle w:val="39"/>
        <w:spacing w:line="360" w:lineRule="exact"/>
        <w:ind w:firstLine="442" w:firstLineChars="200"/>
        <w:rPr>
          <w:rFonts w:hint="eastAsia" w:ascii="宋体" w:hAnsi="宋体" w:cs="宋体"/>
          <w:color w:val="auto"/>
          <w:sz w:val="22"/>
          <w:szCs w:val="22"/>
          <w:highlight w:val="none"/>
        </w:rPr>
      </w:pPr>
      <w:bookmarkStart w:id="1141" w:name="_Toc373478425"/>
      <w:bookmarkStart w:id="1142" w:name="_Toc373227778"/>
      <w:bookmarkStart w:id="1143" w:name="_Toc395382581"/>
      <w:bookmarkStart w:id="1144" w:name="_Toc12975970"/>
      <w:bookmarkStart w:id="1145" w:name="_Toc389065343"/>
      <w:bookmarkStart w:id="1146" w:name="_Toc533432805"/>
      <w:r>
        <w:rPr>
          <w:rFonts w:hint="eastAsia" w:ascii="宋体" w:hAnsi="宋体" w:cs="宋体"/>
          <w:color w:val="auto"/>
          <w:sz w:val="22"/>
          <w:szCs w:val="22"/>
          <w:highlight w:val="none"/>
        </w:rPr>
        <w:t>20.4 仲裁或诉讼</w:t>
      </w:r>
      <w:bookmarkEnd w:id="1032"/>
      <w:bookmarkEnd w:id="1141"/>
      <w:bookmarkEnd w:id="1142"/>
      <w:bookmarkEnd w:id="1143"/>
      <w:bookmarkEnd w:id="1144"/>
      <w:bookmarkEnd w:id="1145"/>
      <w:bookmarkEnd w:id="1146"/>
    </w:p>
    <w:p w14:paraId="590209C3">
      <w:pPr>
        <w:pStyle w:val="4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因合同及合同有关事项发生的争议，按下列第</w:t>
      </w:r>
      <w:r>
        <w:rPr>
          <w:rFonts w:hint="eastAsia" w:ascii="宋体" w:hAnsi="宋体" w:cs="宋体"/>
          <w:color w:val="auto"/>
          <w:sz w:val="22"/>
          <w:highlight w:val="none"/>
          <w:u w:val="single"/>
        </w:rPr>
        <w:t>（2）</w:t>
      </w:r>
      <w:r>
        <w:rPr>
          <w:rFonts w:hint="eastAsia" w:ascii="宋体" w:hAnsi="宋体" w:cs="宋体"/>
          <w:color w:val="auto"/>
          <w:sz w:val="22"/>
          <w:highlight w:val="none"/>
        </w:rPr>
        <w:t>种方式解决：</w:t>
      </w:r>
    </w:p>
    <w:p w14:paraId="1EF0EF78">
      <w:pPr>
        <w:pStyle w:val="40"/>
        <w:numPr>
          <w:ilvl w:val="0"/>
          <w:numId w:val="15"/>
        </w:numPr>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提请</w:t>
      </w:r>
      <w:r>
        <w:rPr>
          <w:rFonts w:hint="eastAsia" w:ascii="宋体" w:hAnsi="宋体" w:cs="宋体"/>
          <w:color w:val="auto"/>
          <w:sz w:val="22"/>
          <w:highlight w:val="none"/>
          <w:u w:val="single"/>
        </w:rPr>
        <w:t xml:space="preserve">防城港 </w:t>
      </w:r>
      <w:r>
        <w:rPr>
          <w:rFonts w:hint="eastAsia" w:ascii="宋体" w:hAnsi="宋体" w:cs="宋体"/>
          <w:color w:val="auto"/>
          <w:sz w:val="22"/>
          <w:highlight w:val="none"/>
        </w:rPr>
        <w:t>仲裁委员会按照该会仲裁规则进行仲裁，仲裁裁决是终局的，对合同双方均有约束力。</w:t>
      </w:r>
    </w:p>
    <w:p w14:paraId="10D6B61C">
      <w:pPr>
        <w:pStyle w:val="4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（2）向</w:t>
      </w:r>
      <w:r>
        <w:rPr>
          <w:rFonts w:hint="eastAsia" w:ascii="宋体" w:hAnsi="宋体" w:cs="宋体"/>
          <w:color w:val="auto"/>
          <w:sz w:val="22"/>
          <w:highlight w:val="none"/>
          <w:u w:val="single"/>
        </w:rPr>
        <w:t>工程所在地</w:t>
      </w:r>
      <w:r>
        <w:rPr>
          <w:rFonts w:hint="eastAsia" w:ascii="宋体" w:hAnsi="宋体" w:cs="宋体"/>
          <w:color w:val="auto"/>
          <w:sz w:val="22"/>
          <w:highlight w:val="none"/>
        </w:rPr>
        <w:t>人民法院起诉。</w:t>
      </w:r>
      <w:bookmarkEnd w:id="1033"/>
      <w:bookmarkEnd w:id="1034"/>
      <w:bookmarkEnd w:id="1035"/>
      <w:bookmarkEnd w:id="1036"/>
      <w:bookmarkEnd w:id="1037"/>
      <w:bookmarkEnd w:id="1038"/>
    </w:p>
    <w:p w14:paraId="546F42C1">
      <w:pPr>
        <w:pStyle w:val="73"/>
        <w:spacing w:before="0" w:after="0" w:line="360" w:lineRule="exact"/>
        <w:ind w:firstLine="442" w:firstLineChars="200"/>
        <w:rPr>
          <w:rFonts w:hint="eastAsia" w:ascii="宋体" w:hAnsi="宋体" w:cs="宋体"/>
          <w:color w:val="auto"/>
          <w:sz w:val="22"/>
          <w:szCs w:val="22"/>
          <w:highlight w:val="none"/>
        </w:rPr>
      </w:pPr>
      <w:bookmarkStart w:id="1147" w:name="_Toc395382582"/>
      <w:bookmarkStart w:id="1148" w:name="_Toc373227779"/>
      <w:bookmarkStart w:id="1149" w:name="_Toc12975971"/>
      <w:bookmarkStart w:id="1150" w:name="_Toc533432806"/>
      <w:bookmarkStart w:id="1151" w:name="_Toc389065344"/>
      <w:bookmarkStart w:id="1152" w:name="_Toc373478426"/>
      <w:r>
        <w:rPr>
          <w:rFonts w:hint="eastAsia" w:ascii="宋体" w:hAnsi="宋体" w:cs="宋体"/>
          <w:color w:val="auto"/>
          <w:sz w:val="22"/>
          <w:szCs w:val="22"/>
          <w:highlight w:val="none"/>
        </w:rPr>
        <w:t>21. 补充条款</w:t>
      </w:r>
      <w:bookmarkEnd w:id="1147"/>
      <w:bookmarkEnd w:id="1148"/>
      <w:bookmarkEnd w:id="1149"/>
      <w:bookmarkEnd w:id="1150"/>
      <w:bookmarkEnd w:id="1151"/>
      <w:bookmarkEnd w:id="1152"/>
    </w:p>
    <w:p w14:paraId="4EEF77B0">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21.1承包人有以下情况之一者，将视为违约，发包人有权采取以下措施处理，并视情节轻重处予违约处罚金。</w:t>
      </w:r>
    </w:p>
    <w:p w14:paraId="34ECE1A4">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21.1.1合同签订之日起十五日内，承包人无法按合同约定及磋商文件的承诺进场经监理工程师认可的全部人员和机械时，视为违约，发包人有权解除合同，发包人有权另行发包工程。</w:t>
      </w:r>
    </w:p>
    <w:p w14:paraId="78BDD1D9">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21.1.2尽管主要机械的数量、型号，应与合同相符，若监理工程师认为合同约定的进场机械不能满足施工进度要求，有权指令承包人增加机械投入，承包人不得拒绝。</w:t>
      </w:r>
    </w:p>
    <w:p w14:paraId="01A5DA02">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21.1.3所有以上违约处罚金金额均在计量支付款内扣除，监理工程师预先下发统一格式含有违约处罚意向的指令，如承包人不及时采取措施纠正，则在指令下达后十五天下发违约处罚通知书</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不再陈述违约处罚理由</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w:t>
      </w:r>
    </w:p>
    <w:p w14:paraId="4CFADF0D">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21.1.4承包人在合同期内，完成合同约定的全部工程，且质量合格，竣工验收后十五天内可申请返还全部或部分与工期有关（或里程碑罚款）的违约处罚金</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不包括利息</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。其余罚款不予退回。</w:t>
      </w:r>
    </w:p>
    <w:p w14:paraId="7EBB435D">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21.2工程款的使用</w:t>
      </w:r>
    </w:p>
    <w:p w14:paraId="65762A50">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21.2.1本工程资金属发包人自筹，承包人在施工期间必须保证资金的专项使用，不得挪作他用，并自觉接受发包人和银行的监督，否则将视为承包人违约。</w:t>
      </w:r>
    </w:p>
    <w:p w14:paraId="397CAC23">
      <w:pPr>
        <w:pStyle w:val="63"/>
        <w:spacing w:line="360" w:lineRule="exact"/>
        <w:ind w:firstLine="440" w:firstLineChars="200"/>
        <w:jc w:val="left"/>
        <w:rPr>
          <w:rFonts w:hint="eastAsia" w:ascii="宋体" w:hAnsi="宋体" w:cs="宋体"/>
          <w:color w:val="auto"/>
          <w:sz w:val="22"/>
          <w:szCs w:val="22"/>
          <w:highlight w:val="none"/>
        </w:rPr>
      </w:pPr>
      <w:bookmarkStart w:id="1153" w:name="_Toc27987_WPSOffice_Level2"/>
      <w:r>
        <w:rPr>
          <w:rFonts w:hint="eastAsia" w:ascii="宋体" w:hAnsi="宋体" w:cs="宋体"/>
          <w:color w:val="auto"/>
          <w:sz w:val="22"/>
          <w:szCs w:val="22"/>
          <w:highlight w:val="none"/>
        </w:rPr>
        <w:t>（1）农民工工资实行分账管理</w:t>
      </w:r>
      <w:bookmarkEnd w:id="1153"/>
    </w:p>
    <w:p w14:paraId="3A19E827">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根据《关于进一步规范防城港市建设领域农民工工资有关问题的通知》（防住建管发</w:t>
      </w:r>
      <w:r>
        <w:rPr>
          <w:rFonts w:hint="eastAsia" w:ascii="宋体" w:hAnsi="宋体" w:cs="宋体"/>
          <w:color w:val="auto"/>
          <w:sz w:val="22"/>
          <w:szCs w:val="22"/>
          <w:highlight w:val="none"/>
          <w:lang w:eastAsia="zh-CN"/>
        </w:rPr>
        <w:t>〔2017〕37号</w:t>
      </w:r>
      <w:r>
        <w:rPr>
          <w:rFonts w:hint="eastAsia" w:ascii="宋体" w:hAnsi="宋体" w:cs="宋体"/>
          <w:color w:val="auto"/>
          <w:sz w:val="22"/>
          <w:szCs w:val="22"/>
          <w:highlight w:val="none"/>
        </w:rPr>
        <w:t>）第二条，合同承包人应设立农民工工资支付账户，实行农民工工资与其他款项分账管理，农民工工资支付账户信息：</w:t>
      </w:r>
    </w:p>
    <w:p w14:paraId="0F6691E6">
      <w:pPr>
        <w:pStyle w:val="63"/>
        <w:spacing w:line="360" w:lineRule="exact"/>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lang w:eastAsia="zh-CN"/>
        </w:rPr>
        <w:t>户名：</w:t>
      </w:r>
    </w:p>
    <w:p w14:paraId="4360F6A8">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开户行：</w:t>
      </w:r>
      <w:r>
        <w:rPr>
          <w:rFonts w:hint="eastAsia" w:ascii="宋体" w:hAnsi="宋体" w:cs="宋体"/>
          <w:color w:val="auto"/>
          <w:sz w:val="22"/>
          <w:szCs w:val="22"/>
          <w:highlight w:val="none"/>
          <w:u w:val="single"/>
          <w:lang w:val="en-US" w:eastAsia="zh-CN"/>
        </w:rPr>
        <w:t xml:space="preserve"> </w:t>
      </w:r>
    </w:p>
    <w:p w14:paraId="197383AB">
      <w:pPr>
        <w:pStyle w:val="63"/>
        <w:spacing w:line="360" w:lineRule="exact"/>
        <w:ind w:firstLine="440" w:firstLineChars="200"/>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账号</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lang w:val="en-US" w:eastAsia="zh-CN"/>
        </w:rPr>
        <w:t xml:space="preserve"> </w:t>
      </w:r>
    </w:p>
    <w:p w14:paraId="3A01625B">
      <w:pPr>
        <w:pStyle w:val="63"/>
        <w:spacing w:line="360" w:lineRule="exact"/>
        <w:ind w:firstLine="440" w:firstLineChars="200"/>
        <w:jc w:val="left"/>
        <w:rPr>
          <w:rFonts w:hint="eastAsia" w:ascii="宋体" w:hAnsi="宋体" w:cs="宋体"/>
          <w:color w:val="auto"/>
          <w:sz w:val="22"/>
          <w:szCs w:val="22"/>
          <w:highlight w:val="none"/>
        </w:rPr>
      </w:pPr>
      <w:bookmarkStart w:id="1154" w:name="_Toc11862_WPSOffice_Level2"/>
      <w:r>
        <w:rPr>
          <w:rFonts w:hint="eastAsia" w:ascii="宋体" w:hAnsi="宋体" w:cs="宋体"/>
          <w:color w:val="auto"/>
          <w:sz w:val="22"/>
          <w:szCs w:val="22"/>
          <w:highlight w:val="none"/>
        </w:rPr>
        <w:t>（2）农民工工资支付约定</w:t>
      </w:r>
      <w:bookmarkEnd w:id="1154"/>
    </w:p>
    <w:p w14:paraId="3A089562">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合同承包人申请进度款应明确农民工工资金额，拨付进度款须优先保障农民工工资，再经农民工工资专户转至工人个人账户。  </w:t>
      </w:r>
    </w:p>
    <w:p w14:paraId="64B74009">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21.3 凡进入本工程工作的妇女应持有计生证，否则不准安排工作，禁止使用童工。</w:t>
      </w:r>
    </w:p>
    <w:p w14:paraId="3582BA26">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21.4本工程合同价款已包含安全防护、文明施工措施费。使用要求：专款专用，具体按《广西壮族自治区建设工程安全文明施工费使用管理细则》（桂建质</w:t>
      </w:r>
      <w:r>
        <w:rPr>
          <w:rFonts w:hint="eastAsia" w:ascii="宋体" w:hAnsi="宋体" w:cs="宋体"/>
          <w:color w:val="auto"/>
          <w:sz w:val="22"/>
          <w:szCs w:val="22"/>
          <w:highlight w:val="none"/>
          <w:lang w:eastAsia="zh-CN"/>
        </w:rPr>
        <w:t>〔2015〕16号</w:t>
      </w:r>
      <w:r>
        <w:rPr>
          <w:rFonts w:hint="eastAsia" w:ascii="宋体" w:hAnsi="宋体" w:cs="宋体"/>
          <w:color w:val="auto"/>
          <w:sz w:val="22"/>
          <w:szCs w:val="22"/>
          <w:highlight w:val="none"/>
        </w:rPr>
        <w:t>）要求执行。安全防护、文明施工措施费与工程款同步支付。</w:t>
      </w:r>
    </w:p>
    <w:p w14:paraId="0FFC4B1D">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21.5承包人须按时足额将农民工工资保障金和建安劳保费存入建设行政主管部门指定的账户。</w:t>
      </w:r>
    </w:p>
    <w:p w14:paraId="69398A7E">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21.6承包方出现下列情况之一，则项目的建设应视为</w:t>
      </w:r>
      <w:r>
        <w:rPr>
          <w:rFonts w:hint="eastAsia" w:ascii="宋体" w:hAnsi="宋体" w:cs="宋体"/>
          <w:color w:val="auto"/>
          <w:sz w:val="22"/>
          <w:szCs w:val="22"/>
          <w:highlight w:val="none"/>
          <w:lang w:val="en-US" w:eastAsia="zh-CN"/>
        </w:rPr>
        <w:t>已</w:t>
      </w:r>
      <w:r>
        <w:rPr>
          <w:rFonts w:hint="eastAsia" w:ascii="宋体" w:hAnsi="宋体" w:cs="宋体"/>
          <w:color w:val="auto"/>
          <w:sz w:val="22"/>
          <w:szCs w:val="22"/>
          <w:highlight w:val="none"/>
        </w:rPr>
        <w:t>被放弃：</w:t>
      </w:r>
    </w:p>
    <w:p w14:paraId="22E14545">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书面通知发包方其已终止建设工程，且并不打算重新开始施工；</w:t>
      </w:r>
    </w:p>
    <w:p w14:paraId="1147DAFF">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未能在本合同约定的开工日期届满后 14 天内开始建设工程（但因非承包方原因所引起的除外）；</w:t>
      </w:r>
    </w:p>
    <w:p w14:paraId="4B710E8C">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未能在任何不可抗力事件结束后14 天内恢复建设工程施工（但因非承包方原因所引起的除外）；</w:t>
      </w:r>
    </w:p>
    <w:p w14:paraId="2133B706">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4）在完工检查日前停止建设工程或者直接或通过专业分包商从项目场地撤走全部或大部分的工作人员，除非上述行为是为了保持或促进项目建设按合同完成所必须的。</w:t>
      </w:r>
    </w:p>
    <w:p w14:paraId="7501B065">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21.7要求承包人增加或更换施工设备</w:t>
      </w:r>
    </w:p>
    <w:p w14:paraId="523AC9C2">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尽管承包人的施工设备已经按照磋商文件要求进场，但承包人使用的施工设备仍不能满足合同进度计划和（或）质量要求时，发包人有权要求承包人增加或更换施工设备，承包人应</w:t>
      </w:r>
      <w:r>
        <w:rPr>
          <w:rFonts w:hint="eastAsia" w:ascii="宋体" w:hAnsi="宋体" w:cs="宋体"/>
          <w:color w:val="auto"/>
          <w:sz w:val="22"/>
          <w:szCs w:val="22"/>
          <w:highlight w:val="none"/>
          <w:lang w:val="en-US" w:eastAsia="zh-CN"/>
        </w:rPr>
        <w:t>及时</w:t>
      </w:r>
      <w:r>
        <w:rPr>
          <w:rFonts w:hint="eastAsia" w:ascii="宋体" w:hAnsi="宋体" w:cs="宋体"/>
          <w:color w:val="auto"/>
          <w:sz w:val="22"/>
          <w:szCs w:val="22"/>
          <w:highlight w:val="none"/>
        </w:rPr>
        <w:t>增加或更换，由此增加的费用和（或）工期延误由承包人承担。</w:t>
      </w:r>
    </w:p>
    <w:p w14:paraId="5B877FD3">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21.8发包人有权随时终止本工程中任何一个分部分项工程，并按报价书中相应内容扣减分部分项工程费、措施费、利润、规费和税金等相关费用，承包人不得因此提出费用补偿要求。</w:t>
      </w:r>
    </w:p>
    <w:p w14:paraId="7089371A">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21.9在施工过程中征地及安置工作可能滞后，承包人应自行协调和处理当地群众及各安置住户关系，确保正常施工。可能造成工程进度滞后或者费用增加，费用已包含在综合单价和措施费用中，由承包人承担。</w:t>
      </w:r>
    </w:p>
    <w:p w14:paraId="3E705118">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21.10防发改函</w:t>
      </w:r>
      <w:r>
        <w:rPr>
          <w:rFonts w:hint="eastAsia" w:ascii="宋体" w:hAnsi="宋体" w:cs="宋体"/>
          <w:color w:val="auto"/>
          <w:sz w:val="22"/>
          <w:szCs w:val="22"/>
          <w:highlight w:val="none"/>
          <w:lang w:eastAsia="zh-CN"/>
        </w:rPr>
        <w:t>〔2017〕43号</w:t>
      </w:r>
      <w:r>
        <w:rPr>
          <w:rFonts w:hint="eastAsia" w:ascii="宋体" w:hAnsi="宋体" w:cs="宋体"/>
          <w:color w:val="auto"/>
          <w:sz w:val="22"/>
          <w:szCs w:val="22"/>
          <w:highlight w:val="none"/>
        </w:rPr>
        <w:t>文件和防发改前期</w:t>
      </w:r>
      <w:r>
        <w:rPr>
          <w:rFonts w:hint="eastAsia" w:ascii="宋体" w:hAnsi="宋体" w:cs="宋体"/>
          <w:color w:val="auto"/>
          <w:sz w:val="22"/>
          <w:szCs w:val="22"/>
          <w:highlight w:val="none"/>
          <w:lang w:eastAsia="zh-CN"/>
        </w:rPr>
        <w:t>〔2018〕251号</w:t>
      </w:r>
      <w:r>
        <w:rPr>
          <w:rFonts w:hint="eastAsia" w:ascii="宋体" w:hAnsi="宋体" w:cs="宋体"/>
          <w:color w:val="auto"/>
          <w:sz w:val="22"/>
          <w:szCs w:val="22"/>
          <w:highlight w:val="none"/>
        </w:rPr>
        <w:t>文件，属于本合同条款的一部分。</w:t>
      </w:r>
    </w:p>
    <w:p w14:paraId="5705E565">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21.11由于承包人的原因，造成承包人的供应商或劳务工人等参建人员上访、投诉、静坐、聚众闹事等事件时，（1）如聚集总人数在十人以下时，承包人的企业法定代表人必须在接到发包人的通知后24小时内，派出授权人员到发包人指定的地方解决相应问题。（2）如聚集总人数在十人以上时，承包人的企业法定代表人必须在接到发包人的通知后24小时内到发包人指定的地方解决相应问题。如承包人未能按照以上要求处理相关问题，视为承包人授权发包人代为处理，发包人为解决相应问题所采取的一切措施均视为已得到承包人的授权（承包人的授权包括但不限于从承包人的工程款、质量保证金中扣除相应费用来代付承包人拖欠的费用；如以上费用不足时，发包人可以先行垫付，待事情处理完毕7日后承包人再向发包人返还）。承包人承诺，尽管承包人不完全满意发包人所有解决问题的方法及此事造成的最终后果，但处理的过程如在政府相关部门或建设行政相关管理部门的监督和见证下处理，承包人都同意发包人所采取的一切措施及此事造成的最终后果，承包人并承担所有责任。发包人为此做的任何工作将不会减轻承包人的任何责任。</w:t>
      </w:r>
    </w:p>
    <w:p w14:paraId="2ECB736B">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21.12尽管合同有其他约定，未经发包人同意，承包人不得将合同权利和义务全部转让给第三人，也不得将合同的义务全部或部分转让给第三人，法律另有规定的除外。</w:t>
      </w:r>
    </w:p>
    <w:p w14:paraId="214A5C37">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21.13发包人按合同约定支付给承包人的各项价款应专用于合同工程。如发包人提出要求，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支付，直至承包人改正为止。</w:t>
      </w:r>
    </w:p>
    <w:p w14:paraId="3162A750">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21.14建安劳保费扣减金额与发包人实际缴纳金额相等，按照发包人实际缴纳金额在最终支付给承包人的结算款中扣减。（1）本工程如有进度款时，则在本合同的进度款累计支付达到合同金额的10%开始扣减建安劳保费，进度款累计支付达到合同金额的30%时全部扣减完成。（2）本工程如无进度款时，建安劳保费由承包人代缴。</w:t>
      </w:r>
    </w:p>
    <w:p w14:paraId="7EFADE0F">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21.15尽管合同有其他约定，承包人应充分对现场情况进行调查（特别是现场地质情况），不管发包人提供的资料是否完整，当出现与地质有关的变更时，承包人不得以此为由要求调整合同综合单价。承包人的磋商文件中的土石方工程（包括土石比、开挖和运输）、地基与基础工程等有关项目的综合单价已经考虑了上述风险。伐树、挖树根和清除表土的费用包含在相应的土石方单价中，不另行计算。</w:t>
      </w:r>
    </w:p>
    <w:p w14:paraId="6E4DA161">
      <w:pPr>
        <w:pStyle w:val="63"/>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21.16项目管理人员不称职的定义包括但不限于以下内容：不胜任相应岗位的工作、项目出现偷工减料现象的、出现人员死亡事故的、重复出现相同质量缺陷（事故）或出现问题不积极整改的、被相关部门要求停工整改的、进度比原计划滞后60天以上的、拒绝执行监理人或发包人指令的、违反合同约定及相关规定擅自离开施工现场累计超过60天的、现场安全文明施工未达到规定要求的、出现打架斗殴的、违反相关法律法规的其他情形。尽管无法证明以上情形与被更换人员是否存在直接或者间接关系，但当以上情形发生时，发包人有权更换项目组织机构里面的部分或全部人员，并按照专用条款中的“16.2承包人违约”条款对承包人进行处罚。</w:t>
      </w:r>
    </w:p>
    <w:p w14:paraId="5E14F286">
      <w:pPr>
        <w:pStyle w:val="63"/>
        <w:spacing w:line="360" w:lineRule="exact"/>
        <w:ind w:firstLine="440" w:firstLineChars="200"/>
        <w:jc w:val="left"/>
        <w:rPr>
          <w:rFonts w:hint="eastAsia" w:ascii="宋体" w:hAnsi="宋体" w:cs="宋体"/>
          <w:color w:val="auto"/>
          <w:sz w:val="22"/>
          <w:szCs w:val="22"/>
          <w:highlight w:val="none"/>
        </w:rPr>
      </w:pPr>
      <w:bookmarkStart w:id="1155" w:name="_Toc9461_WPSOffice_Level2"/>
      <w:r>
        <w:rPr>
          <w:rFonts w:hint="eastAsia" w:ascii="宋体" w:hAnsi="宋体" w:cs="宋体"/>
          <w:color w:val="auto"/>
          <w:sz w:val="22"/>
          <w:szCs w:val="22"/>
          <w:highlight w:val="none"/>
        </w:rPr>
        <w:t>21.18 发包人的任何批准不能免除或减轻承包人应承担的任何义务。</w:t>
      </w:r>
      <w:bookmarkEnd w:id="1155"/>
    </w:p>
    <w:p w14:paraId="62D38DA4">
      <w:pPr>
        <w:pStyle w:val="37"/>
        <w:rPr>
          <w:rFonts w:hint="eastAsia"/>
          <w:color w:val="auto"/>
          <w:highlight w:val="none"/>
        </w:rPr>
      </w:pPr>
    </w:p>
    <w:p w14:paraId="09923992">
      <w:pPr>
        <w:pStyle w:val="37"/>
        <w:spacing w:line="360" w:lineRule="auto"/>
        <w:jc w:val="left"/>
        <w:rPr>
          <w:rFonts w:hint="eastAsia" w:ascii="Times New Roman" w:hAnsi="Times New Roman" w:eastAsia="黑体" w:cs="黑体"/>
          <w:b/>
          <w:bCs/>
          <w:color w:val="auto"/>
          <w:sz w:val="28"/>
          <w:szCs w:val="28"/>
          <w:highlight w:val="none"/>
        </w:rPr>
      </w:pPr>
    </w:p>
    <w:p w14:paraId="2F65F436">
      <w:pPr>
        <w:pStyle w:val="37"/>
        <w:spacing w:line="360" w:lineRule="auto"/>
        <w:ind w:firstLine="562" w:firstLineChars="200"/>
        <w:jc w:val="left"/>
        <w:rPr>
          <w:rFonts w:ascii="Times New Roman" w:hAnsi="Times New Roman" w:eastAsia="黑体"/>
          <w:b/>
          <w:bCs/>
          <w:color w:val="auto"/>
          <w:sz w:val="28"/>
          <w:szCs w:val="28"/>
          <w:highlight w:val="none"/>
        </w:rPr>
      </w:pPr>
      <w:r>
        <w:rPr>
          <w:rFonts w:hint="eastAsia" w:ascii="Times New Roman" w:hAnsi="Times New Roman" w:eastAsia="黑体" w:cs="黑体"/>
          <w:b/>
          <w:bCs/>
          <w:color w:val="auto"/>
          <w:sz w:val="28"/>
          <w:szCs w:val="28"/>
          <w:highlight w:val="none"/>
        </w:rPr>
        <w:t>附件</w:t>
      </w:r>
      <w:bookmarkEnd w:id="108"/>
    </w:p>
    <w:p w14:paraId="5A76327A">
      <w:pPr>
        <w:pStyle w:val="3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附件</w:t>
      </w:r>
      <w:r>
        <w:rPr>
          <w:rFonts w:ascii="宋体" w:hAnsi="宋体" w:cs="宋体"/>
          <w:color w:val="auto"/>
          <w:szCs w:val="21"/>
          <w:highlight w:val="none"/>
        </w:rPr>
        <w:t>1</w:t>
      </w:r>
      <w:r>
        <w:rPr>
          <w:rFonts w:hint="eastAsia" w:ascii="宋体" w:hAnsi="宋体" w:cs="宋体"/>
          <w:color w:val="auto"/>
          <w:szCs w:val="21"/>
          <w:highlight w:val="none"/>
        </w:rPr>
        <w:t>：承包人承揽工程项目一览表</w:t>
      </w:r>
    </w:p>
    <w:p w14:paraId="6FF235ED">
      <w:pPr>
        <w:pStyle w:val="37"/>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附件2：工程质量保修书</w:t>
      </w:r>
    </w:p>
    <w:p w14:paraId="37242DF5">
      <w:pPr>
        <w:pStyle w:val="37"/>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附件</w:t>
      </w:r>
      <w:r>
        <w:rPr>
          <w:rFonts w:hint="eastAsia" w:ascii="宋体" w:hAnsi="宋体" w:cs="宋体"/>
          <w:color w:val="auto"/>
          <w:szCs w:val="21"/>
          <w:highlight w:val="none"/>
        </w:rPr>
        <w:t>3</w:t>
      </w:r>
      <w:r>
        <w:rPr>
          <w:rFonts w:ascii="宋体" w:hAnsi="宋体" w:cs="宋体"/>
          <w:color w:val="auto"/>
          <w:szCs w:val="21"/>
          <w:highlight w:val="none"/>
        </w:rPr>
        <w:t>：主要建设工程文件目录</w:t>
      </w:r>
    </w:p>
    <w:p w14:paraId="174F1570">
      <w:pPr>
        <w:pStyle w:val="37"/>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附件4：承包人用于本工程施工的机械设备表</w:t>
      </w:r>
    </w:p>
    <w:p w14:paraId="61F78DDC">
      <w:pPr>
        <w:pStyle w:val="37"/>
        <w:spacing w:line="360" w:lineRule="auto"/>
        <w:ind w:firstLine="420" w:firstLineChars="200"/>
        <w:jc w:val="left"/>
        <w:rPr>
          <w:rFonts w:ascii="宋体" w:hAnsi="Times New Roman"/>
          <w:color w:val="auto"/>
          <w:szCs w:val="21"/>
          <w:highlight w:val="none"/>
        </w:rPr>
      </w:pPr>
      <w:r>
        <w:rPr>
          <w:rFonts w:hint="eastAsia" w:ascii="宋体" w:hAnsi="宋体" w:cs="宋体"/>
          <w:color w:val="auto"/>
          <w:szCs w:val="21"/>
          <w:highlight w:val="none"/>
        </w:rPr>
        <w:t>附件5：承包人主要施工管理人员表</w:t>
      </w:r>
    </w:p>
    <w:p w14:paraId="59B21099">
      <w:pPr>
        <w:pStyle w:val="37"/>
        <w:spacing w:line="360" w:lineRule="auto"/>
        <w:ind w:firstLine="420" w:firstLineChars="200"/>
        <w:jc w:val="left"/>
        <w:rPr>
          <w:rFonts w:ascii="宋体" w:hAnsi="Times New Roman"/>
          <w:color w:val="auto"/>
          <w:szCs w:val="21"/>
          <w:highlight w:val="none"/>
        </w:rPr>
      </w:pPr>
      <w:r>
        <w:rPr>
          <w:rFonts w:hint="eastAsia" w:ascii="宋体" w:hAnsi="宋体" w:cs="宋体"/>
          <w:color w:val="auto"/>
          <w:szCs w:val="21"/>
          <w:highlight w:val="none"/>
        </w:rPr>
        <w:t>附件6：分包人主要施工管理人员表</w:t>
      </w:r>
    </w:p>
    <w:p w14:paraId="25721E87">
      <w:pPr>
        <w:pStyle w:val="37"/>
        <w:spacing w:line="360" w:lineRule="auto"/>
        <w:ind w:firstLine="420" w:firstLineChars="200"/>
        <w:jc w:val="left"/>
        <w:rPr>
          <w:rFonts w:ascii="宋体" w:hAnsi="Times New Roman"/>
          <w:color w:val="auto"/>
          <w:szCs w:val="21"/>
          <w:highlight w:val="none"/>
        </w:rPr>
      </w:pPr>
      <w:r>
        <w:rPr>
          <w:rFonts w:hint="eastAsia" w:ascii="宋体" w:hAnsi="宋体" w:cs="宋体"/>
          <w:color w:val="auto"/>
          <w:szCs w:val="21"/>
          <w:highlight w:val="none"/>
        </w:rPr>
        <w:t>附件7：履约担保格式</w:t>
      </w:r>
    </w:p>
    <w:p w14:paraId="04F85D5A">
      <w:pPr>
        <w:pStyle w:val="3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附件8：预付款担保格式</w:t>
      </w:r>
    </w:p>
    <w:p w14:paraId="10AAB07F">
      <w:pPr>
        <w:pStyle w:val="37"/>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附件9：支付担保格式</w:t>
      </w:r>
    </w:p>
    <w:p w14:paraId="23FEA1CB">
      <w:pPr>
        <w:pStyle w:val="37"/>
        <w:spacing w:line="360" w:lineRule="auto"/>
        <w:ind w:firstLine="420" w:firstLineChars="200"/>
        <w:jc w:val="left"/>
        <w:rPr>
          <w:rFonts w:hint="eastAsia" w:ascii="Times New Roman" w:hAnsi="Times New Roman"/>
          <w:color w:val="auto"/>
          <w:szCs w:val="21"/>
          <w:highlight w:val="none"/>
        </w:rPr>
      </w:pPr>
      <w:r>
        <w:rPr>
          <w:rFonts w:hint="eastAsia" w:ascii="宋体" w:hAnsi="宋体" w:cs="宋体"/>
          <w:color w:val="auto"/>
          <w:szCs w:val="21"/>
          <w:highlight w:val="none"/>
        </w:rPr>
        <w:t>附件10：预付款</w:t>
      </w:r>
      <w:r>
        <w:rPr>
          <w:rFonts w:hint="eastAsia" w:ascii="Times New Roman" w:hAnsi="Times New Roman"/>
          <w:color w:val="auto"/>
          <w:szCs w:val="21"/>
          <w:highlight w:val="none"/>
        </w:rPr>
        <w:t>支付申请（核准）表</w:t>
      </w:r>
    </w:p>
    <w:p w14:paraId="338F8957">
      <w:pPr>
        <w:pStyle w:val="37"/>
        <w:spacing w:line="360" w:lineRule="auto"/>
        <w:ind w:firstLine="420" w:firstLineChars="200"/>
        <w:jc w:val="left"/>
        <w:rPr>
          <w:rFonts w:hint="eastAsia" w:ascii="Times New Roman" w:hAnsi="Times New Roman"/>
          <w:color w:val="auto"/>
          <w:szCs w:val="21"/>
          <w:highlight w:val="none"/>
        </w:rPr>
      </w:pPr>
      <w:r>
        <w:rPr>
          <w:rFonts w:hint="eastAsia" w:ascii="宋体" w:hAnsi="宋体" w:cs="宋体"/>
          <w:color w:val="auto"/>
          <w:szCs w:val="21"/>
          <w:highlight w:val="none"/>
        </w:rPr>
        <w:t>附件11：</w:t>
      </w:r>
      <w:r>
        <w:rPr>
          <w:rFonts w:hint="eastAsia" w:ascii="Times New Roman" w:hAnsi="Times New Roman"/>
          <w:color w:val="auto"/>
          <w:szCs w:val="21"/>
          <w:highlight w:val="none"/>
        </w:rPr>
        <w:t>进度款支付申请（核准）表</w:t>
      </w:r>
    </w:p>
    <w:p w14:paraId="4C132F10">
      <w:pPr>
        <w:pStyle w:val="37"/>
        <w:spacing w:line="360" w:lineRule="auto"/>
        <w:ind w:firstLine="420" w:firstLineChars="200"/>
        <w:jc w:val="left"/>
        <w:rPr>
          <w:rFonts w:hint="eastAsia" w:ascii="Times New Roman" w:hAnsi="Times New Roman"/>
          <w:color w:val="auto"/>
          <w:szCs w:val="21"/>
          <w:highlight w:val="none"/>
        </w:rPr>
      </w:pPr>
      <w:r>
        <w:rPr>
          <w:rFonts w:hint="eastAsia" w:ascii="宋体" w:hAnsi="宋体" w:cs="宋体"/>
          <w:color w:val="auto"/>
          <w:szCs w:val="21"/>
          <w:highlight w:val="none"/>
        </w:rPr>
        <w:t>附件12：竣工结算</w:t>
      </w:r>
      <w:r>
        <w:rPr>
          <w:rFonts w:hint="eastAsia" w:ascii="Times New Roman" w:hAnsi="Times New Roman"/>
          <w:color w:val="auto"/>
          <w:szCs w:val="21"/>
          <w:highlight w:val="none"/>
        </w:rPr>
        <w:t>款支付申请（核准）表</w:t>
      </w:r>
    </w:p>
    <w:p w14:paraId="21A8ADBE">
      <w:pPr>
        <w:pStyle w:val="37"/>
        <w:spacing w:line="360" w:lineRule="auto"/>
        <w:ind w:firstLine="420" w:firstLineChars="200"/>
        <w:jc w:val="left"/>
        <w:rPr>
          <w:rFonts w:hint="eastAsia" w:ascii="Times New Roman" w:hAnsi="Times New Roman"/>
          <w:color w:val="auto"/>
          <w:szCs w:val="21"/>
          <w:highlight w:val="none"/>
        </w:rPr>
      </w:pPr>
      <w:r>
        <w:rPr>
          <w:rFonts w:hint="eastAsia" w:ascii="宋体" w:hAnsi="宋体" w:cs="宋体"/>
          <w:color w:val="auto"/>
          <w:szCs w:val="21"/>
          <w:highlight w:val="none"/>
        </w:rPr>
        <w:t>附件13：最终结算</w:t>
      </w:r>
      <w:r>
        <w:rPr>
          <w:rFonts w:hint="eastAsia" w:ascii="Times New Roman" w:hAnsi="Times New Roman"/>
          <w:color w:val="auto"/>
          <w:szCs w:val="21"/>
          <w:highlight w:val="none"/>
        </w:rPr>
        <w:t>款支付申请（核准）表</w:t>
      </w:r>
    </w:p>
    <w:p w14:paraId="0F56FFB9">
      <w:pPr>
        <w:pStyle w:val="37"/>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附件14：总价合同进度款支付分解表</w:t>
      </w:r>
    </w:p>
    <w:p w14:paraId="174E6178">
      <w:pPr>
        <w:pStyle w:val="37"/>
        <w:spacing w:line="360" w:lineRule="auto"/>
        <w:ind w:firstLine="420" w:firstLineChars="200"/>
        <w:jc w:val="left"/>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rPr>
        <w:t>附件1</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欠薪催告函</w:t>
      </w:r>
    </w:p>
    <w:p w14:paraId="5DED1DC9">
      <w:pPr>
        <w:pStyle w:val="37"/>
        <w:spacing w:line="360" w:lineRule="auto"/>
        <w:ind w:firstLine="420" w:firstLineChars="200"/>
        <w:jc w:val="left"/>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附件16：项目安全文明施工费使用明细表</w:t>
      </w:r>
    </w:p>
    <w:p w14:paraId="3E3E4387">
      <w:pPr>
        <w:pStyle w:val="37"/>
        <w:spacing w:line="360" w:lineRule="auto"/>
        <w:ind w:firstLine="420" w:firstLineChars="200"/>
        <w:jc w:val="left"/>
        <w:rPr>
          <w:rFonts w:hint="default"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附件17：</w:t>
      </w:r>
      <w:r>
        <w:rPr>
          <w:rFonts w:hint="default" w:ascii="Times New Roman" w:hAnsi="Times New Roman"/>
          <w:color w:val="auto"/>
          <w:szCs w:val="21"/>
          <w:highlight w:val="none"/>
          <w:lang w:val="en-US" w:eastAsia="zh-CN"/>
        </w:rPr>
        <w:t>项目原材料进场登记表</w:t>
      </w:r>
    </w:p>
    <w:p w14:paraId="1786FF2E">
      <w:pPr>
        <w:pStyle w:val="37"/>
        <w:spacing w:line="360" w:lineRule="auto"/>
        <w:ind w:firstLine="440" w:firstLineChars="200"/>
        <w:jc w:val="left"/>
        <w:rPr>
          <w:rFonts w:hint="default" w:ascii="Times New Roman" w:hAnsi="Times New Roman"/>
          <w:color w:val="auto"/>
          <w:szCs w:val="21"/>
          <w:highlight w:val="none"/>
          <w:lang w:val="en-US" w:eastAsia="zh-CN"/>
        </w:rPr>
      </w:pPr>
      <w:r>
        <w:rPr>
          <w:rFonts w:hint="eastAsia" w:ascii="宋体" w:hAnsi="宋体" w:cs="宋体"/>
          <w:i w:val="0"/>
          <w:iCs w:val="0"/>
          <w:color w:val="auto"/>
          <w:kern w:val="0"/>
          <w:sz w:val="22"/>
          <w:szCs w:val="22"/>
          <w:highlight w:val="none"/>
          <w:u w:val="none"/>
          <w:lang w:val="en-US" w:eastAsia="zh-CN" w:bidi="ar"/>
        </w:rPr>
        <w:t>附件18：</w:t>
      </w:r>
      <w:r>
        <w:rPr>
          <w:rFonts w:hint="eastAsia" w:ascii="宋体" w:hAnsi="宋体" w:eastAsia="宋体" w:cs="宋体"/>
          <w:i w:val="0"/>
          <w:iCs w:val="0"/>
          <w:color w:val="auto"/>
          <w:kern w:val="0"/>
          <w:sz w:val="22"/>
          <w:szCs w:val="22"/>
          <w:highlight w:val="none"/>
          <w:u w:val="none"/>
          <w:lang w:val="en-US" w:eastAsia="zh-CN" w:bidi="ar"/>
        </w:rPr>
        <w:t>项目农民工工资发放登记表</w:t>
      </w:r>
    </w:p>
    <w:p w14:paraId="0D72A2ED">
      <w:pPr>
        <w:pStyle w:val="37"/>
        <w:spacing w:line="460" w:lineRule="exact"/>
        <w:ind w:firstLine="420" w:firstLineChars="200"/>
        <w:rPr>
          <w:rFonts w:ascii="Times New Roman" w:hAnsi="Times New Roman"/>
          <w:color w:val="auto"/>
          <w:szCs w:val="21"/>
          <w:highlight w:val="none"/>
        </w:rPr>
      </w:pPr>
    </w:p>
    <w:p w14:paraId="231E16C7">
      <w:pPr>
        <w:pStyle w:val="37"/>
        <w:spacing w:line="460" w:lineRule="exact"/>
        <w:rPr>
          <w:rFonts w:ascii="Times New Roman" w:hAnsi="Times New Roman"/>
          <w:color w:val="auto"/>
          <w:szCs w:val="21"/>
          <w:highlight w:val="none"/>
        </w:rPr>
        <w:sectPr>
          <w:pgSz w:w="11906" w:h="16838"/>
          <w:pgMar w:top="1134" w:right="1134" w:bottom="567" w:left="1417" w:header="567" w:footer="567" w:gutter="0"/>
          <w:pgNumType w:fmt="decimal"/>
          <w:cols w:space="720" w:num="1"/>
          <w:docGrid w:type="lines" w:linePitch="312" w:charSpace="0"/>
        </w:sectPr>
      </w:pPr>
    </w:p>
    <w:p w14:paraId="27E4F0F4">
      <w:pPr>
        <w:pStyle w:val="37"/>
        <w:spacing w:before="156" w:beforeLines="50" w:after="156" w:afterLines="50" w:line="440" w:lineRule="exact"/>
        <w:ind w:firstLine="600" w:firstLineChars="200"/>
        <w:jc w:val="left"/>
        <w:rPr>
          <w:rFonts w:ascii="仿宋_GB2312" w:hAnsi="Times New Roman" w:eastAsia="仿宋_GB2312"/>
          <w:color w:val="auto"/>
          <w:sz w:val="30"/>
          <w:szCs w:val="30"/>
          <w:highlight w:val="none"/>
        </w:rPr>
      </w:pPr>
      <w:r>
        <w:rPr>
          <w:rFonts w:hint="eastAsia" w:ascii="仿宋_GB2312" w:hAnsi="Times New Roman" w:eastAsia="仿宋_GB2312" w:cs="仿宋_GB2312"/>
          <w:color w:val="auto"/>
          <w:sz w:val="30"/>
          <w:szCs w:val="30"/>
          <w:highlight w:val="none"/>
        </w:rPr>
        <w:t>附件</w:t>
      </w:r>
      <w:r>
        <w:rPr>
          <w:rFonts w:ascii="仿宋_GB2312" w:hAnsi="Times New Roman" w:eastAsia="仿宋_GB2312" w:cs="仿宋_GB2312"/>
          <w:color w:val="auto"/>
          <w:sz w:val="30"/>
          <w:szCs w:val="30"/>
          <w:highlight w:val="none"/>
        </w:rPr>
        <w:t>1</w:t>
      </w:r>
      <w:r>
        <w:rPr>
          <w:rFonts w:hint="eastAsia" w:ascii="仿宋_GB2312" w:hAnsi="Times New Roman" w:eastAsia="仿宋_GB2312" w:cs="仿宋_GB2312"/>
          <w:color w:val="auto"/>
          <w:sz w:val="30"/>
          <w:szCs w:val="30"/>
          <w:highlight w:val="none"/>
        </w:rPr>
        <w:t>：</w:t>
      </w:r>
    </w:p>
    <w:p w14:paraId="5A75B56F">
      <w:pPr>
        <w:pStyle w:val="37"/>
        <w:spacing w:before="156" w:beforeLines="50" w:after="156" w:afterLines="50" w:line="440" w:lineRule="exact"/>
        <w:ind w:firstLine="600" w:firstLineChars="200"/>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承包人承揽工程项目一览表</w:t>
      </w:r>
    </w:p>
    <w:tbl>
      <w:tblPr>
        <w:tblStyle w:val="22"/>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91"/>
        <w:gridCol w:w="779"/>
        <w:gridCol w:w="1530"/>
        <w:gridCol w:w="1661"/>
        <w:gridCol w:w="850"/>
        <w:gridCol w:w="1560"/>
        <w:gridCol w:w="1972"/>
        <w:gridCol w:w="1571"/>
        <w:gridCol w:w="851"/>
        <w:gridCol w:w="850"/>
      </w:tblGrid>
      <w:tr w14:paraId="6863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91" w:type="dxa"/>
            <w:vAlign w:val="center"/>
          </w:tcPr>
          <w:p w14:paraId="130B21C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单位工程名称</w:t>
            </w:r>
          </w:p>
        </w:tc>
        <w:tc>
          <w:tcPr>
            <w:tcW w:w="779" w:type="dxa"/>
            <w:vAlign w:val="center"/>
          </w:tcPr>
          <w:p w14:paraId="192F6FA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建设规模</w:t>
            </w:r>
          </w:p>
        </w:tc>
        <w:tc>
          <w:tcPr>
            <w:tcW w:w="1530" w:type="dxa"/>
            <w:vAlign w:val="center"/>
          </w:tcPr>
          <w:p w14:paraId="15F7061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建筑面积</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rPr>
              <w:t>平方米</w:t>
            </w:r>
            <w:r>
              <w:rPr>
                <w:rFonts w:hint="eastAsia" w:ascii="Times New Roman" w:hAnsi="Times New Roman" w:eastAsia="仿宋_GB2312" w:cs="仿宋_GB2312"/>
                <w:color w:val="auto"/>
                <w:sz w:val="28"/>
                <w:szCs w:val="28"/>
                <w:highlight w:val="none"/>
                <w:lang w:eastAsia="zh-CN"/>
              </w:rPr>
              <w:t>）</w:t>
            </w:r>
          </w:p>
        </w:tc>
        <w:tc>
          <w:tcPr>
            <w:tcW w:w="1661" w:type="dxa"/>
            <w:vAlign w:val="center"/>
          </w:tcPr>
          <w:p w14:paraId="24CAFD7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结构形式</w:t>
            </w:r>
          </w:p>
        </w:tc>
        <w:tc>
          <w:tcPr>
            <w:tcW w:w="850" w:type="dxa"/>
            <w:vAlign w:val="center"/>
          </w:tcPr>
          <w:p w14:paraId="0ACF3D7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层数</w:t>
            </w:r>
          </w:p>
        </w:tc>
        <w:tc>
          <w:tcPr>
            <w:tcW w:w="1560" w:type="dxa"/>
            <w:vAlign w:val="center"/>
          </w:tcPr>
          <w:p w14:paraId="638DB5E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生产能力</w:t>
            </w:r>
          </w:p>
        </w:tc>
        <w:tc>
          <w:tcPr>
            <w:tcW w:w="1972" w:type="dxa"/>
            <w:vAlign w:val="center"/>
          </w:tcPr>
          <w:p w14:paraId="5D70C8B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设备安装内容</w:t>
            </w:r>
          </w:p>
        </w:tc>
        <w:tc>
          <w:tcPr>
            <w:tcW w:w="1571" w:type="dxa"/>
            <w:vAlign w:val="center"/>
          </w:tcPr>
          <w:p w14:paraId="6EEB520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合同价格（元）</w:t>
            </w:r>
          </w:p>
        </w:tc>
        <w:tc>
          <w:tcPr>
            <w:tcW w:w="851" w:type="dxa"/>
            <w:vAlign w:val="center"/>
          </w:tcPr>
          <w:p w14:paraId="14B3616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开工日期</w:t>
            </w:r>
          </w:p>
        </w:tc>
        <w:tc>
          <w:tcPr>
            <w:tcW w:w="850" w:type="dxa"/>
            <w:vAlign w:val="center"/>
          </w:tcPr>
          <w:p w14:paraId="05CF26F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竣工日期</w:t>
            </w:r>
          </w:p>
        </w:tc>
      </w:tr>
      <w:tr w14:paraId="1E77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8" w:hRule="atLeast"/>
          <w:jc w:val="center"/>
        </w:trPr>
        <w:tc>
          <w:tcPr>
            <w:tcW w:w="2191" w:type="dxa"/>
            <w:vAlign w:val="center"/>
          </w:tcPr>
          <w:p w14:paraId="3F6913B2">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vAlign w:val="center"/>
          </w:tcPr>
          <w:p w14:paraId="68538819">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vAlign w:val="center"/>
          </w:tcPr>
          <w:p w14:paraId="0603DE1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vAlign w:val="center"/>
          </w:tcPr>
          <w:p w14:paraId="11C7AE1C">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562372B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vAlign w:val="center"/>
          </w:tcPr>
          <w:p w14:paraId="417869C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vAlign w:val="center"/>
          </w:tcPr>
          <w:p w14:paraId="1870AE7B">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vAlign w:val="center"/>
          </w:tcPr>
          <w:p w14:paraId="1B1EDF90">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rPr>
            </w:pPr>
          </w:p>
        </w:tc>
        <w:tc>
          <w:tcPr>
            <w:tcW w:w="851" w:type="dxa"/>
            <w:vAlign w:val="center"/>
          </w:tcPr>
          <w:p w14:paraId="00AE0B7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2B2B864C">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r w14:paraId="3206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vAlign w:val="center"/>
          </w:tcPr>
          <w:p w14:paraId="3252571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vAlign w:val="center"/>
          </w:tcPr>
          <w:p w14:paraId="04FFA1AA">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vAlign w:val="center"/>
          </w:tcPr>
          <w:p w14:paraId="692C817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vAlign w:val="center"/>
          </w:tcPr>
          <w:p w14:paraId="009BFC9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5AB8CF9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vAlign w:val="center"/>
          </w:tcPr>
          <w:p w14:paraId="7D9CEFE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vAlign w:val="center"/>
          </w:tcPr>
          <w:p w14:paraId="007634A4">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vAlign w:val="center"/>
          </w:tcPr>
          <w:p w14:paraId="07DFF513">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rPr>
            </w:pPr>
          </w:p>
        </w:tc>
        <w:tc>
          <w:tcPr>
            <w:tcW w:w="851" w:type="dxa"/>
            <w:vAlign w:val="center"/>
          </w:tcPr>
          <w:p w14:paraId="336DFEA8">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7D23731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r w14:paraId="0AAD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vAlign w:val="center"/>
          </w:tcPr>
          <w:p w14:paraId="7F3D4368">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vAlign w:val="center"/>
          </w:tcPr>
          <w:p w14:paraId="3D29F149">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vAlign w:val="center"/>
          </w:tcPr>
          <w:p w14:paraId="32356BA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vAlign w:val="center"/>
          </w:tcPr>
          <w:p w14:paraId="7DC79178">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0AF4689A">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vAlign w:val="center"/>
          </w:tcPr>
          <w:p w14:paraId="1EC89DA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vAlign w:val="center"/>
          </w:tcPr>
          <w:p w14:paraId="6A574A1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vAlign w:val="center"/>
          </w:tcPr>
          <w:p w14:paraId="2DB17C84">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rPr>
            </w:pPr>
          </w:p>
        </w:tc>
        <w:tc>
          <w:tcPr>
            <w:tcW w:w="851" w:type="dxa"/>
            <w:vAlign w:val="center"/>
          </w:tcPr>
          <w:p w14:paraId="2DEE82E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39609A74">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r w14:paraId="6F57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vAlign w:val="center"/>
          </w:tcPr>
          <w:p w14:paraId="40C77B6C">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vAlign w:val="center"/>
          </w:tcPr>
          <w:p w14:paraId="233F38B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vAlign w:val="center"/>
          </w:tcPr>
          <w:p w14:paraId="17DFB61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vAlign w:val="center"/>
          </w:tcPr>
          <w:p w14:paraId="1605CEB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65A4B38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vAlign w:val="center"/>
          </w:tcPr>
          <w:p w14:paraId="578E0C5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vAlign w:val="center"/>
          </w:tcPr>
          <w:p w14:paraId="61CB946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vAlign w:val="center"/>
          </w:tcPr>
          <w:p w14:paraId="02351BD7">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rPr>
            </w:pPr>
          </w:p>
        </w:tc>
        <w:tc>
          <w:tcPr>
            <w:tcW w:w="851" w:type="dxa"/>
            <w:vAlign w:val="center"/>
          </w:tcPr>
          <w:p w14:paraId="2004564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7D23F3A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r w14:paraId="29C0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vAlign w:val="center"/>
          </w:tcPr>
          <w:p w14:paraId="24D7212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vAlign w:val="center"/>
          </w:tcPr>
          <w:p w14:paraId="5FBC326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vAlign w:val="center"/>
          </w:tcPr>
          <w:p w14:paraId="0D5101A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vAlign w:val="center"/>
          </w:tcPr>
          <w:p w14:paraId="7F6D7C9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2A6EF34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vAlign w:val="center"/>
          </w:tcPr>
          <w:p w14:paraId="14B82694">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vAlign w:val="center"/>
          </w:tcPr>
          <w:p w14:paraId="3C3F3F3B">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vAlign w:val="center"/>
          </w:tcPr>
          <w:p w14:paraId="2ED7F01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1" w:type="dxa"/>
            <w:vAlign w:val="center"/>
          </w:tcPr>
          <w:p w14:paraId="3AF86BF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761BCBB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r w14:paraId="48BA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vAlign w:val="center"/>
          </w:tcPr>
          <w:p w14:paraId="7F37A51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vAlign w:val="center"/>
          </w:tcPr>
          <w:p w14:paraId="47E1777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vAlign w:val="center"/>
          </w:tcPr>
          <w:p w14:paraId="23E06E4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vAlign w:val="center"/>
          </w:tcPr>
          <w:p w14:paraId="38E9CF3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07885179">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vAlign w:val="center"/>
          </w:tcPr>
          <w:p w14:paraId="0FBC4F59">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vAlign w:val="center"/>
          </w:tcPr>
          <w:p w14:paraId="1DE75309">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vAlign w:val="center"/>
          </w:tcPr>
          <w:p w14:paraId="3CA4304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1" w:type="dxa"/>
            <w:vAlign w:val="center"/>
          </w:tcPr>
          <w:p w14:paraId="39A57874">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3023BC0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r w14:paraId="2F8A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vAlign w:val="center"/>
          </w:tcPr>
          <w:p w14:paraId="3F5F51D2">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vAlign w:val="center"/>
          </w:tcPr>
          <w:p w14:paraId="4CA6CFAB">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vAlign w:val="center"/>
          </w:tcPr>
          <w:p w14:paraId="33B2956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vAlign w:val="center"/>
          </w:tcPr>
          <w:p w14:paraId="4421F2A2">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70066D7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vAlign w:val="center"/>
          </w:tcPr>
          <w:p w14:paraId="0039DCBB">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vAlign w:val="center"/>
          </w:tcPr>
          <w:p w14:paraId="652F149B">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vAlign w:val="center"/>
          </w:tcPr>
          <w:p w14:paraId="5875360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1" w:type="dxa"/>
            <w:vAlign w:val="center"/>
          </w:tcPr>
          <w:p w14:paraId="67D5EB7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0C5D113A">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r w14:paraId="76AC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91" w:type="dxa"/>
            <w:vAlign w:val="center"/>
          </w:tcPr>
          <w:p w14:paraId="4564EEE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779" w:type="dxa"/>
            <w:vAlign w:val="center"/>
          </w:tcPr>
          <w:p w14:paraId="423AE60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30" w:type="dxa"/>
            <w:vAlign w:val="center"/>
          </w:tcPr>
          <w:p w14:paraId="37E349BC">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661" w:type="dxa"/>
            <w:vAlign w:val="center"/>
          </w:tcPr>
          <w:p w14:paraId="511CD4CA">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56E9D04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60" w:type="dxa"/>
            <w:vAlign w:val="center"/>
          </w:tcPr>
          <w:p w14:paraId="7348E53C">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972" w:type="dxa"/>
            <w:vAlign w:val="center"/>
          </w:tcPr>
          <w:p w14:paraId="3527FE0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571" w:type="dxa"/>
            <w:vAlign w:val="center"/>
          </w:tcPr>
          <w:p w14:paraId="322A0D0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1" w:type="dxa"/>
            <w:vAlign w:val="center"/>
          </w:tcPr>
          <w:p w14:paraId="13A9A42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850" w:type="dxa"/>
            <w:vAlign w:val="center"/>
          </w:tcPr>
          <w:p w14:paraId="56EF2A9A">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r>
    </w:tbl>
    <w:p w14:paraId="6F67A217">
      <w:pPr>
        <w:pStyle w:val="37"/>
        <w:spacing w:line="460" w:lineRule="exact"/>
        <w:ind w:firstLine="420" w:firstLineChars="200"/>
        <w:rPr>
          <w:rFonts w:ascii="Times New Roman" w:hAnsi="Times New Roman"/>
          <w:color w:val="auto"/>
          <w:szCs w:val="21"/>
          <w:highlight w:val="none"/>
        </w:rPr>
        <w:sectPr>
          <w:pgSz w:w="16838" w:h="11906" w:orient="landscape"/>
          <w:pgMar w:top="1417" w:right="1134" w:bottom="1134" w:left="567" w:header="851" w:footer="992" w:gutter="0"/>
          <w:pgNumType w:fmt="decimal"/>
          <w:cols w:space="720" w:num="1"/>
          <w:docGrid w:type="lines" w:linePitch="312" w:charSpace="0"/>
        </w:sectPr>
      </w:pPr>
    </w:p>
    <w:p w14:paraId="5B07B0AE">
      <w:pPr>
        <w:pStyle w:val="37"/>
        <w:spacing w:line="440" w:lineRule="exact"/>
        <w:ind w:firstLine="600" w:firstLineChars="200"/>
        <w:rPr>
          <w:rFonts w:ascii="Times New Roman" w:hAnsi="Times New Roman"/>
          <w:color w:val="auto"/>
          <w:sz w:val="30"/>
          <w:szCs w:val="30"/>
          <w:highlight w:val="none"/>
        </w:rPr>
      </w:pPr>
      <w:r>
        <w:rPr>
          <w:rFonts w:hint="eastAsia" w:ascii="Times New Roman" w:hAnsi="宋体" w:cs="宋体"/>
          <w:color w:val="auto"/>
          <w:sz w:val="30"/>
          <w:szCs w:val="30"/>
          <w:highlight w:val="none"/>
        </w:rPr>
        <w:t>附件</w:t>
      </w:r>
      <w:r>
        <w:rPr>
          <w:rFonts w:hint="eastAsia" w:ascii="Times New Roman" w:hAnsi="Times New Roman"/>
          <w:color w:val="auto"/>
          <w:sz w:val="30"/>
          <w:szCs w:val="30"/>
          <w:highlight w:val="none"/>
        </w:rPr>
        <w:t>2</w:t>
      </w:r>
      <w:r>
        <w:rPr>
          <w:rFonts w:hint="eastAsia" w:ascii="Times New Roman" w:hAnsi="宋体" w:cs="宋体"/>
          <w:color w:val="auto"/>
          <w:sz w:val="30"/>
          <w:szCs w:val="30"/>
          <w:highlight w:val="none"/>
        </w:rPr>
        <w:t>：</w:t>
      </w:r>
    </w:p>
    <w:p w14:paraId="3D4ADD98">
      <w:pPr>
        <w:pStyle w:val="37"/>
        <w:spacing w:before="156" w:beforeLines="50" w:after="156" w:afterLines="50" w:line="440" w:lineRule="exact"/>
        <w:ind w:firstLine="640" w:firstLineChars="200"/>
        <w:jc w:val="center"/>
        <w:rPr>
          <w:rFonts w:ascii="黑体" w:hAnsi="Times New Roman" w:eastAsia="黑体"/>
          <w:color w:val="auto"/>
          <w:sz w:val="32"/>
          <w:szCs w:val="32"/>
          <w:highlight w:val="none"/>
        </w:rPr>
      </w:pPr>
      <w:r>
        <w:rPr>
          <w:rFonts w:hint="eastAsia" w:ascii="黑体" w:hAnsi="宋体" w:eastAsia="黑体" w:cs="黑体"/>
          <w:color w:val="auto"/>
          <w:sz w:val="32"/>
          <w:szCs w:val="32"/>
          <w:highlight w:val="none"/>
        </w:rPr>
        <w:t>工程质量保修书</w:t>
      </w:r>
    </w:p>
    <w:p w14:paraId="3050B21B">
      <w:pPr>
        <w:pStyle w:val="37"/>
        <w:spacing w:line="360" w:lineRule="auto"/>
        <w:ind w:firstLine="420" w:firstLineChars="200"/>
        <w:rPr>
          <w:rFonts w:ascii="宋体" w:hAnsi="Times New Roman"/>
          <w:color w:val="auto"/>
          <w:szCs w:val="21"/>
          <w:highlight w:val="none"/>
        </w:rPr>
      </w:pPr>
      <w:r>
        <w:rPr>
          <w:rFonts w:hint="eastAsia" w:ascii="宋体" w:hAnsi="Times New Roman"/>
          <w:color w:val="auto"/>
          <w:szCs w:val="21"/>
          <w:highlight w:val="none"/>
        </w:rPr>
        <w:t>发包人：</w:t>
      </w:r>
      <w:r>
        <w:rPr>
          <w:rFonts w:hint="eastAsia" w:ascii="宋体" w:hAnsi="Times New Roman"/>
          <w:color w:val="auto"/>
          <w:szCs w:val="21"/>
          <w:highlight w:val="none"/>
          <w:u w:val="single"/>
        </w:rPr>
        <w:t xml:space="preserve"> </w:t>
      </w:r>
      <w:r>
        <w:rPr>
          <w:rFonts w:hint="eastAsia" w:ascii="宋体" w:hAnsi="Times New Roman"/>
          <w:color w:val="auto"/>
          <w:szCs w:val="21"/>
          <w:highlight w:val="none"/>
          <w:u w:val="single"/>
          <w:lang w:val="en-US" w:eastAsia="zh-CN"/>
        </w:rPr>
        <w:t xml:space="preserve"> ************</w:t>
      </w:r>
      <w:r>
        <w:rPr>
          <w:rFonts w:hint="eastAsia" w:ascii="宋体" w:hAnsi="Times New Roman"/>
          <w:color w:val="auto"/>
          <w:szCs w:val="21"/>
          <w:highlight w:val="none"/>
        </w:rPr>
        <w:t xml:space="preserve"> </w:t>
      </w:r>
      <w:r>
        <w:rPr>
          <w:rFonts w:hint="eastAsia" w:ascii="宋体" w:hAnsi="Times New Roman"/>
          <w:color w:val="auto"/>
          <w:szCs w:val="21"/>
          <w:highlight w:val="none"/>
          <w:lang w:val="en-US" w:eastAsia="zh-CN"/>
        </w:rPr>
        <w:t xml:space="preserve"> </w:t>
      </w:r>
    </w:p>
    <w:p w14:paraId="668733F6">
      <w:pPr>
        <w:pStyle w:val="37"/>
        <w:spacing w:line="360" w:lineRule="auto"/>
        <w:rPr>
          <w:rFonts w:ascii="宋体" w:hAnsi="Times New Roman"/>
          <w:color w:val="auto"/>
          <w:szCs w:val="21"/>
          <w:highlight w:val="none"/>
        </w:rPr>
      </w:pPr>
    </w:p>
    <w:p w14:paraId="3011B46C">
      <w:pPr>
        <w:pStyle w:val="37"/>
        <w:spacing w:line="360" w:lineRule="auto"/>
        <w:ind w:firstLine="420" w:firstLineChars="200"/>
        <w:rPr>
          <w:rFonts w:ascii="宋体" w:hAnsi="Times New Roman"/>
          <w:color w:val="auto"/>
          <w:szCs w:val="21"/>
          <w:highlight w:val="none"/>
        </w:rPr>
      </w:pPr>
      <w:r>
        <w:rPr>
          <w:rFonts w:hint="eastAsia" w:ascii="宋体" w:hAnsi="Times New Roman"/>
          <w:color w:val="auto"/>
          <w:szCs w:val="21"/>
          <w:highlight w:val="none"/>
        </w:rPr>
        <w:t>承包人：</w:t>
      </w:r>
      <w:r>
        <w:rPr>
          <w:rFonts w:hint="eastAsia" w:ascii="宋体" w:hAnsi="Times New Roman"/>
          <w:color w:val="auto"/>
          <w:szCs w:val="21"/>
          <w:highlight w:val="none"/>
          <w:u w:val="single"/>
        </w:rPr>
        <w:t xml:space="preserve"> </w:t>
      </w:r>
      <w:r>
        <w:rPr>
          <w:rFonts w:hint="eastAsia" w:ascii="宋体" w:hAnsi="Times New Roman"/>
          <w:color w:val="auto"/>
          <w:szCs w:val="21"/>
          <w:highlight w:val="none"/>
          <w:u w:val="single"/>
          <w:lang w:val="en-US" w:eastAsia="zh-CN"/>
        </w:rPr>
        <w:t>************</w:t>
      </w:r>
      <w:r>
        <w:rPr>
          <w:rFonts w:hint="eastAsia" w:ascii="宋体" w:hAnsi="Times New Roman"/>
          <w:color w:val="auto"/>
          <w:szCs w:val="21"/>
          <w:highlight w:val="none"/>
          <w:lang w:val="en-US" w:eastAsia="zh-CN"/>
        </w:rPr>
        <w:t xml:space="preserve"> </w:t>
      </w:r>
    </w:p>
    <w:p w14:paraId="2C4FCC6C">
      <w:pPr>
        <w:pStyle w:val="37"/>
        <w:spacing w:line="360" w:lineRule="auto"/>
        <w:rPr>
          <w:rFonts w:ascii="宋体" w:hAnsi="Times New Roman"/>
          <w:color w:val="auto"/>
          <w:szCs w:val="21"/>
          <w:highlight w:val="none"/>
        </w:rPr>
      </w:pPr>
    </w:p>
    <w:p w14:paraId="115162F9">
      <w:pPr>
        <w:pStyle w:val="37"/>
        <w:spacing w:line="360" w:lineRule="auto"/>
        <w:ind w:firstLine="420" w:firstLineChars="200"/>
        <w:rPr>
          <w:rFonts w:ascii="宋体" w:hAnsi="Times New Roman"/>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w:t>
      </w:r>
      <w:r>
        <w:rPr>
          <w:rFonts w:ascii="宋体" w:hAnsi="宋体" w:cs="宋体"/>
          <w:color w:val="auto"/>
          <w:szCs w:val="21"/>
          <w:highlight w:val="none"/>
          <w:u w:val="single"/>
        </w:rPr>
        <w:t xml:space="preserve">  </w:t>
      </w:r>
      <w:r>
        <w:rPr>
          <w:rFonts w:hint="eastAsia" w:hAnsi="宋体"/>
          <w:color w:val="auto"/>
          <w:sz w:val="22"/>
          <w:highlight w:val="none"/>
          <w:u w:val="single"/>
          <w:lang w:val="en-US" w:eastAsia="zh-CN"/>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（工程全称）签订工程质量保修书。</w:t>
      </w:r>
    </w:p>
    <w:p w14:paraId="67625EFC">
      <w:pPr>
        <w:pStyle w:val="37"/>
        <w:spacing w:line="360" w:lineRule="auto"/>
        <w:ind w:firstLine="420" w:firstLineChars="200"/>
        <w:rPr>
          <w:rFonts w:ascii="黑体" w:hAnsi="宋体" w:eastAsia="黑体"/>
          <w:color w:val="auto"/>
          <w:szCs w:val="21"/>
          <w:highlight w:val="none"/>
        </w:rPr>
      </w:pPr>
      <w:r>
        <w:rPr>
          <w:rFonts w:hint="eastAsia" w:ascii="黑体" w:hAnsi="宋体" w:eastAsia="黑体" w:cs="黑体"/>
          <w:color w:val="auto"/>
          <w:szCs w:val="21"/>
          <w:highlight w:val="none"/>
        </w:rPr>
        <w:t>一、工程质量保修范围和内容</w:t>
      </w:r>
    </w:p>
    <w:p w14:paraId="1544DC27">
      <w:pPr>
        <w:pStyle w:val="37"/>
        <w:spacing w:line="360" w:lineRule="auto"/>
        <w:ind w:firstLine="420" w:firstLineChars="200"/>
        <w:rPr>
          <w:rFonts w:ascii="宋体" w:hAnsi="Times New Roman"/>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53AEAF92">
      <w:pPr>
        <w:pStyle w:val="37"/>
        <w:spacing w:line="360" w:lineRule="auto"/>
        <w:ind w:firstLine="420" w:firstLineChars="200"/>
        <w:rPr>
          <w:rFonts w:ascii="宋体" w:hAnsi="Times New Roman"/>
          <w:color w:val="auto"/>
          <w:szCs w:val="21"/>
          <w:highlight w:val="none"/>
        </w:rPr>
      </w:pPr>
      <w:r>
        <w:rPr>
          <w:rFonts w:hint="eastAsia" w:ascii="宋体" w:hAnsi="宋体" w:cs="宋体"/>
          <w:color w:val="auto"/>
          <w:szCs w:val="21"/>
          <w:highlight w:val="none"/>
        </w:rPr>
        <w:t>质量保修范围包括</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hAnsi="宋体"/>
          <w:bCs/>
          <w:color w:val="auto"/>
          <w:sz w:val="22"/>
          <w:highlight w:val="none"/>
          <w:u w:val="single"/>
          <w:lang w:val="en-US" w:eastAsia="zh-CN"/>
        </w:rPr>
        <w:t>，</w:t>
      </w:r>
      <w:r>
        <w:rPr>
          <w:rFonts w:hint="eastAsia" w:ascii="宋体" w:hAnsi="宋体" w:cs="宋体"/>
          <w:color w:val="auto"/>
          <w:szCs w:val="21"/>
          <w:highlight w:val="none"/>
          <w:u w:val="single"/>
          <w:lang w:eastAsia="zh-CN"/>
        </w:rPr>
        <w:t>详见施工</w:t>
      </w:r>
      <w:r>
        <w:rPr>
          <w:rFonts w:hint="eastAsia" w:ascii="宋体" w:hAnsi="宋体" w:cs="宋体"/>
          <w:color w:val="auto"/>
          <w:szCs w:val="21"/>
          <w:highlight w:val="none"/>
          <w:u w:val="single"/>
        </w:rPr>
        <w:t>图纸及工程量清单</w:t>
      </w:r>
      <w:r>
        <w:rPr>
          <w:rFonts w:hAnsi="宋体"/>
          <w:color w:val="auto"/>
          <w:sz w:val="22"/>
          <w:highlight w:val="none"/>
        </w:rPr>
        <w:t>。</w:t>
      </w:r>
      <w:r>
        <w:rPr>
          <w:rFonts w:hint="eastAsia" w:ascii="宋体" w:hAnsi="宋体" w:cs="宋体"/>
          <w:color w:val="auto"/>
          <w:szCs w:val="21"/>
          <w:highlight w:val="none"/>
        </w:rPr>
        <w:t>以及双方约定的其他项目。具体保修的内容，双方约定如下：</w:t>
      </w:r>
    </w:p>
    <w:p w14:paraId="120BA746">
      <w:pPr>
        <w:pStyle w:val="37"/>
        <w:spacing w:line="360" w:lineRule="auto"/>
        <w:ind w:firstLine="420" w:firstLineChars="200"/>
        <w:rPr>
          <w:rFonts w:ascii="宋体" w:hAnsi="Times New Roman"/>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3889F1A0">
      <w:pPr>
        <w:pStyle w:val="37"/>
        <w:spacing w:line="360" w:lineRule="auto"/>
        <w:ind w:firstLine="420" w:firstLineChars="200"/>
        <w:rPr>
          <w:rFonts w:hint="eastAsia" w:ascii="黑体" w:hAnsi="宋体" w:eastAsia="黑体"/>
          <w:color w:val="auto"/>
          <w:szCs w:val="21"/>
          <w:highlight w:val="none"/>
          <w:lang w:eastAsia="zh-CN"/>
        </w:rPr>
      </w:pPr>
      <w:r>
        <w:rPr>
          <w:rFonts w:hint="eastAsia" w:ascii="黑体" w:hAnsi="宋体" w:eastAsia="黑体" w:cs="黑体"/>
          <w:color w:val="auto"/>
          <w:szCs w:val="21"/>
          <w:highlight w:val="none"/>
        </w:rPr>
        <w:t>二、质量保修期</w:t>
      </w:r>
    </w:p>
    <w:p w14:paraId="179F8ED0">
      <w:pPr>
        <w:pStyle w:val="3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工程保修期为:从工程竣工验收合格之日起计算，主要包括:</w:t>
      </w:r>
    </w:p>
    <w:p w14:paraId="1A96BD81">
      <w:pPr>
        <w:pStyle w:val="3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(1)地基基础工程和主体结构工程，为设计文件规定的该工程的合理使用年限</w:t>
      </w:r>
      <w:r>
        <w:rPr>
          <w:rFonts w:hint="eastAsia" w:ascii="宋体" w:hAnsi="宋体" w:cs="宋体"/>
          <w:color w:val="auto"/>
          <w:szCs w:val="21"/>
          <w:highlight w:val="none"/>
          <w:lang w:eastAsia="zh-CN"/>
        </w:rPr>
        <w:t>；</w:t>
      </w:r>
    </w:p>
    <w:p w14:paraId="689EFD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(2)屋面防水工程、有防水要求的卫生间、房间和外墙面的防渗漏，为5年</w:t>
      </w:r>
      <w:r>
        <w:rPr>
          <w:rFonts w:hint="eastAsia" w:ascii="宋体" w:hAnsi="宋体" w:cs="宋体"/>
          <w:color w:val="auto"/>
          <w:szCs w:val="21"/>
          <w:highlight w:val="none"/>
          <w:lang w:val="en-US" w:eastAsia="zh-CN"/>
        </w:rPr>
        <w:t>；</w:t>
      </w:r>
    </w:p>
    <w:p w14:paraId="6B8AE3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(3)供热与供冷系统，为2个采暖期、供冷期</w:t>
      </w:r>
      <w:r>
        <w:rPr>
          <w:rFonts w:hint="eastAsia" w:ascii="宋体" w:hAnsi="宋体" w:cs="宋体"/>
          <w:color w:val="auto"/>
          <w:szCs w:val="21"/>
          <w:highlight w:val="none"/>
          <w:lang w:eastAsia="zh-CN"/>
        </w:rPr>
        <w:t>；</w:t>
      </w:r>
    </w:p>
    <w:p w14:paraId="7505A7C6">
      <w:pPr>
        <w:pStyle w:val="3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(4)电气管线、给排水管道、设备安装为</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eastAsia="zh-CN"/>
        </w:rPr>
        <w:t>；</w:t>
      </w:r>
    </w:p>
    <w:p w14:paraId="1EFA0C5E">
      <w:pPr>
        <w:pStyle w:val="3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(5)装修工程为2年。</w:t>
      </w:r>
    </w:p>
    <w:p w14:paraId="668BC7F5">
      <w:pPr>
        <w:pStyle w:val="3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隐蔽</w:t>
      </w:r>
      <w:r>
        <w:rPr>
          <w:rFonts w:hint="eastAsia" w:ascii="宋体" w:hAnsi="宋体" w:cs="宋体"/>
          <w:color w:val="auto"/>
          <w:szCs w:val="21"/>
          <w:highlight w:val="none"/>
        </w:rPr>
        <w:t>工程为</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p>
    <w:p w14:paraId="190AA9D9">
      <w:pPr>
        <w:pStyle w:val="37"/>
        <w:spacing w:line="360" w:lineRule="auto"/>
        <w:ind w:firstLine="420" w:firstLineChars="200"/>
        <w:rPr>
          <w:rFonts w:ascii="宋体" w:hAnsi="Times New Roman"/>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．其他项目保修期限约定如下：</w:t>
      </w:r>
    </w:p>
    <w:p w14:paraId="76086156">
      <w:pPr>
        <w:pStyle w:val="37"/>
        <w:spacing w:line="360" w:lineRule="auto"/>
        <w:ind w:firstLine="420" w:firstLineChars="200"/>
        <w:rPr>
          <w:rFonts w:hint="default" w:ascii="宋体" w:hAnsi="宋体" w:cs="宋体"/>
          <w:color w:val="auto"/>
          <w:szCs w:val="21"/>
          <w:highlight w:val="none"/>
          <w:u w:val="single"/>
          <w:lang w:val="en-US" w:eastAsia="zh-CN"/>
        </w:rPr>
      </w:pP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终生维护                                                                          </w:t>
      </w:r>
    </w:p>
    <w:p w14:paraId="41EF71A8">
      <w:pPr>
        <w:pStyle w:val="37"/>
        <w:spacing w:line="360" w:lineRule="auto"/>
        <w:ind w:firstLine="420" w:firstLineChars="200"/>
        <w:rPr>
          <w:rFonts w:ascii="宋体" w:hAnsi="Times New Roman"/>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6C55E63F">
      <w:pPr>
        <w:pStyle w:val="37"/>
        <w:spacing w:line="360" w:lineRule="auto"/>
        <w:ind w:firstLine="420" w:firstLineChars="200"/>
        <w:rPr>
          <w:rFonts w:ascii="宋体" w:hAnsi="Times New Roman"/>
          <w:color w:val="auto"/>
          <w:szCs w:val="21"/>
          <w:highlight w:val="none"/>
        </w:rPr>
      </w:pPr>
      <w:r>
        <w:rPr>
          <w:rFonts w:hint="eastAsia" w:ascii="宋体" w:hAnsi="宋体" w:cs="宋体"/>
          <w:color w:val="auto"/>
          <w:szCs w:val="21"/>
          <w:highlight w:val="none"/>
        </w:rPr>
        <w:t>质量保修期自工程竣工验收合格之日起计算。</w:t>
      </w:r>
    </w:p>
    <w:p w14:paraId="15996F60">
      <w:pPr>
        <w:pStyle w:val="37"/>
        <w:spacing w:line="360" w:lineRule="auto"/>
        <w:ind w:firstLine="420" w:firstLineChars="200"/>
        <w:rPr>
          <w:rFonts w:ascii="黑体" w:hAnsi="宋体" w:eastAsia="黑体"/>
          <w:color w:val="auto"/>
          <w:szCs w:val="21"/>
          <w:highlight w:val="none"/>
        </w:rPr>
      </w:pPr>
      <w:r>
        <w:rPr>
          <w:rFonts w:hint="eastAsia" w:ascii="黑体" w:hAnsi="宋体" w:eastAsia="黑体" w:cs="黑体"/>
          <w:color w:val="auto"/>
          <w:szCs w:val="21"/>
          <w:highlight w:val="none"/>
        </w:rPr>
        <w:t>三、缺陷责任期</w:t>
      </w:r>
    </w:p>
    <w:p w14:paraId="75F0C1B1">
      <w:pPr>
        <w:pStyle w:val="37"/>
        <w:spacing w:line="360" w:lineRule="auto"/>
        <w:ind w:firstLine="420" w:firstLineChars="200"/>
        <w:rPr>
          <w:rFonts w:ascii="宋体" w:hAnsi="Times New Roman"/>
          <w:color w:val="auto"/>
          <w:szCs w:val="21"/>
          <w:highlight w:val="none"/>
        </w:rPr>
      </w:pPr>
      <w:r>
        <w:rPr>
          <w:rFonts w:hint="eastAsia" w:ascii="宋体" w:hAnsi="宋体" w:cs="宋体"/>
          <w:color w:val="auto"/>
          <w:szCs w:val="21"/>
          <w:highlight w:val="none"/>
        </w:rPr>
        <w:t>工程缺陷责任期为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w:t>
      </w:r>
      <w:r>
        <w:rPr>
          <w:rFonts w:ascii="宋体" w:hAnsi="宋体" w:cs="宋体"/>
          <w:color w:val="auto"/>
          <w:szCs w:val="21"/>
          <w:highlight w:val="none"/>
          <w:u w:val="single"/>
        </w:rPr>
        <w:t xml:space="preserve"> </w:t>
      </w:r>
      <w:r>
        <w:rPr>
          <w:rFonts w:hint="eastAsia" w:ascii="宋体" w:hAnsi="宋体" w:cs="宋体"/>
          <w:color w:val="auto"/>
          <w:szCs w:val="21"/>
          <w:highlight w:val="none"/>
        </w:rPr>
        <w:t>个月</w:t>
      </w:r>
      <w:r>
        <w:rPr>
          <w:rFonts w:hint="eastAsia" w:ascii="Times New Roman" w:hAnsi="宋体" w:cs="宋体"/>
          <w:color w:val="auto"/>
          <w:szCs w:val="21"/>
          <w:highlight w:val="none"/>
        </w:rPr>
        <w:t>（最长不超过</w:t>
      </w:r>
      <w:r>
        <w:rPr>
          <w:rFonts w:ascii="Times New Roman" w:hAnsi="宋体"/>
          <w:color w:val="auto"/>
          <w:szCs w:val="21"/>
          <w:highlight w:val="none"/>
        </w:rPr>
        <w:t>24</w:t>
      </w:r>
      <w:r>
        <w:rPr>
          <w:rFonts w:hint="eastAsia" w:ascii="Times New Roman" w:hAnsi="宋体" w:cs="宋体"/>
          <w:color w:val="auto"/>
          <w:szCs w:val="21"/>
          <w:highlight w:val="none"/>
        </w:rPr>
        <w:t>个月）</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16791004">
      <w:pPr>
        <w:pStyle w:val="37"/>
        <w:spacing w:line="360" w:lineRule="auto"/>
        <w:ind w:firstLine="420" w:firstLineChars="200"/>
        <w:rPr>
          <w:rFonts w:ascii="宋体" w:hAnsi="Times New Roman"/>
          <w:color w:val="auto"/>
          <w:szCs w:val="21"/>
          <w:highlight w:val="none"/>
        </w:rPr>
      </w:pPr>
      <w:r>
        <w:rPr>
          <w:rFonts w:hint="eastAsia" w:ascii="宋体" w:hAnsi="宋体" w:cs="宋体"/>
          <w:color w:val="auto"/>
          <w:szCs w:val="21"/>
          <w:highlight w:val="none"/>
        </w:rPr>
        <w:t>缺陷责任期</w:t>
      </w:r>
      <w:r>
        <w:rPr>
          <w:rFonts w:hint="eastAsia" w:ascii="Times New Roman" w:hAnsi="宋体" w:cs="宋体"/>
          <w:color w:val="auto"/>
          <w:szCs w:val="21"/>
          <w:highlight w:val="none"/>
          <w:u w:val="single"/>
        </w:rPr>
        <w:t>满</w:t>
      </w:r>
      <w:r>
        <w:rPr>
          <w:rFonts w:hint="eastAsia" w:ascii="仿宋_GB2312" w:hAnsi="宋体"/>
          <w:color w:val="auto"/>
          <w:szCs w:val="21"/>
          <w:highlight w:val="none"/>
        </w:rPr>
        <w:t>之日起</w:t>
      </w:r>
      <w:r>
        <w:rPr>
          <w:rFonts w:hint="eastAsia" w:ascii="仿宋_GB2312" w:hAnsi="宋体"/>
          <w:color w:val="auto"/>
          <w:szCs w:val="21"/>
          <w:highlight w:val="none"/>
          <w:u w:val="single"/>
        </w:rPr>
        <w:t xml:space="preserve"> </w:t>
      </w:r>
      <w:r>
        <w:rPr>
          <w:rFonts w:ascii="仿宋_GB2312" w:hAnsi="宋体"/>
          <w:color w:val="auto"/>
          <w:szCs w:val="21"/>
          <w:highlight w:val="none"/>
          <w:u w:val="single"/>
        </w:rPr>
        <w:t xml:space="preserve">  </w:t>
      </w:r>
      <w:r>
        <w:rPr>
          <w:rFonts w:hint="eastAsia" w:ascii="仿宋_GB2312" w:hAnsi="宋体"/>
          <w:color w:val="auto"/>
          <w:szCs w:val="21"/>
          <w:highlight w:val="none"/>
          <w:u w:val="single"/>
        </w:rPr>
        <w:t xml:space="preserve"> </w:t>
      </w:r>
      <w:r>
        <w:rPr>
          <w:rFonts w:hint="eastAsia" w:ascii="仿宋_GB2312" w:hAnsi="宋体"/>
          <w:color w:val="auto"/>
          <w:szCs w:val="21"/>
          <w:highlight w:val="none"/>
        </w:rPr>
        <w:t>天</w:t>
      </w:r>
      <w:r>
        <w:rPr>
          <w:rFonts w:hint="eastAsia" w:ascii="Times New Roman" w:hAnsi="宋体" w:cs="宋体"/>
          <w:color w:val="auto"/>
          <w:szCs w:val="21"/>
          <w:highlight w:val="none"/>
          <w:u w:val="single"/>
        </w:rPr>
        <w:t>（按</w:t>
      </w:r>
      <w:r>
        <w:rPr>
          <w:rFonts w:ascii="Times New Roman" w:hAnsi="宋体" w:cs="宋体"/>
          <w:color w:val="auto"/>
          <w:szCs w:val="21"/>
          <w:highlight w:val="none"/>
          <w:u w:val="single"/>
        </w:rPr>
        <w:t>合同约定期限）</w:t>
      </w:r>
      <w:r>
        <w:rPr>
          <w:rFonts w:hint="eastAsia" w:ascii="Times New Roman" w:hAnsi="宋体" w:cs="宋体"/>
          <w:color w:val="auto"/>
          <w:szCs w:val="21"/>
          <w:highlight w:val="none"/>
          <w:u w:val="single"/>
        </w:rPr>
        <w:t>，</w:t>
      </w:r>
      <w:r>
        <w:rPr>
          <w:rFonts w:hint="eastAsia" w:ascii="宋体" w:hAnsi="宋体" w:cs="宋体"/>
          <w:color w:val="auto"/>
          <w:szCs w:val="21"/>
          <w:highlight w:val="none"/>
        </w:rPr>
        <w:t>发包人应退还剩余的质量保证金。</w:t>
      </w:r>
    </w:p>
    <w:p w14:paraId="0340EF1C">
      <w:pPr>
        <w:pStyle w:val="37"/>
        <w:spacing w:line="360" w:lineRule="auto"/>
        <w:ind w:firstLine="420" w:firstLineChars="200"/>
        <w:rPr>
          <w:rFonts w:ascii="黑体" w:hAnsi="宋体" w:eastAsia="黑体"/>
          <w:color w:val="auto"/>
          <w:szCs w:val="21"/>
          <w:highlight w:val="none"/>
        </w:rPr>
      </w:pPr>
      <w:r>
        <w:rPr>
          <w:rFonts w:hint="eastAsia" w:ascii="黑体" w:hAnsi="宋体" w:eastAsia="黑体" w:cs="黑体"/>
          <w:color w:val="auto"/>
          <w:szCs w:val="21"/>
          <w:highlight w:val="none"/>
        </w:rPr>
        <w:t>四、质量保修责任</w:t>
      </w:r>
    </w:p>
    <w:p w14:paraId="00C343EF">
      <w:pPr>
        <w:pStyle w:val="37"/>
        <w:spacing w:line="360" w:lineRule="auto"/>
        <w:ind w:firstLine="420" w:firstLineChars="200"/>
        <w:rPr>
          <w:rFonts w:ascii="宋体" w:hAnsi="Times New Roman"/>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．属于保修范围、内容的项目，承包人应当在接到保修通知之日起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ascii="宋体" w:hAnsi="宋体" w:cs="宋体"/>
          <w:color w:val="auto"/>
          <w:szCs w:val="21"/>
          <w:highlight w:val="none"/>
          <w:u w:val="single"/>
        </w:rPr>
        <w:t xml:space="preserve">  </w:t>
      </w:r>
      <w:r>
        <w:rPr>
          <w:rFonts w:hint="eastAsia" w:ascii="宋体" w:hAnsi="宋体" w:cs="宋体"/>
          <w:color w:val="auto"/>
          <w:szCs w:val="21"/>
          <w:highlight w:val="none"/>
        </w:rPr>
        <w:t>天内派人保修。承包人不在约定期限内派人保修的，发包人可以委托他人修理</w:t>
      </w:r>
      <w:r>
        <w:rPr>
          <w:rFonts w:hint="eastAsia" w:ascii="Times New Roman" w:hAnsi="宋体" w:cs="宋体"/>
          <w:color w:val="auto"/>
          <w:szCs w:val="21"/>
          <w:highlight w:val="none"/>
        </w:rPr>
        <w:t>，修理费用从质量保证金内扣除。</w:t>
      </w:r>
    </w:p>
    <w:p w14:paraId="347F9273">
      <w:pPr>
        <w:pStyle w:val="37"/>
        <w:spacing w:line="360" w:lineRule="auto"/>
        <w:ind w:firstLine="420" w:firstLineChars="200"/>
        <w:rPr>
          <w:rFonts w:ascii="宋体" w:hAnsi="Times New Roman"/>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．发生紧急事故需抢修的，承包人在接到事故通知后，应当立即到达事故现场抢修。</w:t>
      </w:r>
    </w:p>
    <w:p w14:paraId="4333188D">
      <w:pPr>
        <w:pStyle w:val="37"/>
        <w:spacing w:line="360" w:lineRule="auto"/>
        <w:ind w:firstLine="420" w:firstLineChars="200"/>
        <w:rPr>
          <w:rFonts w:ascii="宋体" w:hAnsi="Times New Roman"/>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39391FF">
      <w:pPr>
        <w:pStyle w:val="37"/>
        <w:spacing w:line="360" w:lineRule="auto"/>
        <w:ind w:firstLine="420" w:firstLineChars="200"/>
        <w:rPr>
          <w:rFonts w:ascii="宋体" w:hAnsi="Times New Roman"/>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．质量保修完成后，由发包人组织验收。</w:t>
      </w:r>
    </w:p>
    <w:p w14:paraId="5AC2F360">
      <w:pPr>
        <w:pStyle w:val="37"/>
        <w:spacing w:line="360" w:lineRule="auto"/>
        <w:ind w:firstLine="420" w:firstLineChars="200"/>
        <w:rPr>
          <w:rFonts w:ascii="黑体" w:hAnsi="宋体" w:eastAsia="黑体"/>
          <w:color w:val="auto"/>
          <w:szCs w:val="21"/>
          <w:highlight w:val="none"/>
        </w:rPr>
      </w:pPr>
      <w:r>
        <w:rPr>
          <w:rFonts w:hint="eastAsia" w:ascii="黑体" w:hAnsi="宋体" w:eastAsia="黑体" w:cs="黑体"/>
          <w:color w:val="auto"/>
          <w:szCs w:val="21"/>
          <w:highlight w:val="none"/>
        </w:rPr>
        <w:t>五、保修费用</w:t>
      </w:r>
    </w:p>
    <w:p w14:paraId="66D63447">
      <w:pPr>
        <w:pStyle w:val="37"/>
        <w:spacing w:line="360" w:lineRule="auto"/>
        <w:ind w:firstLine="420" w:firstLineChars="200"/>
        <w:rPr>
          <w:rFonts w:ascii="宋体" w:hAnsi="Times New Roman"/>
          <w:color w:val="auto"/>
          <w:szCs w:val="21"/>
          <w:highlight w:val="none"/>
        </w:rPr>
      </w:pPr>
      <w:r>
        <w:rPr>
          <w:rFonts w:hint="eastAsia" w:ascii="宋体" w:hAnsi="宋体" w:cs="宋体"/>
          <w:color w:val="auto"/>
          <w:szCs w:val="21"/>
          <w:highlight w:val="none"/>
        </w:rPr>
        <w:t>保修费用由造成质量缺陷的责任方承担。</w:t>
      </w:r>
    </w:p>
    <w:p w14:paraId="0DBD64D2">
      <w:pPr>
        <w:pStyle w:val="37"/>
        <w:spacing w:line="360" w:lineRule="auto"/>
        <w:ind w:firstLine="420" w:firstLineChars="200"/>
        <w:rPr>
          <w:rFonts w:ascii="黑体" w:hAnsi="宋体" w:eastAsia="黑体" w:cs="黑体"/>
          <w:color w:val="auto"/>
          <w:szCs w:val="21"/>
          <w:highlight w:val="none"/>
          <w:u w:val="single"/>
        </w:rPr>
      </w:pPr>
      <w:r>
        <w:rPr>
          <w:rFonts w:hint="eastAsia" w:ascii="黑体" w:hAnsi="宋体" w:eastAsia="黑体" w:cs="黑体"/>
          <w:color w:val="auto"/>
          <w:szCs w:val="21"/>
          <w:highlight w:val="none"/>
        </w:rPr>
        <w:t>六、双方约定的其他工程质量保修事项：</w:t>
      </w:r>
      <w:r>
        <w:rPr>
          <w:rFonts w:ascii="黑体" w:hAnsi="宋体" w:eastAsia="黑体" w:cs="黑体"/>
          <w:color w:val="auto"/>
          <w:szCs w:val="21"/>
          <w:highlight w:val="none"/>
          <w:u w:val="single"/>
        </w:rPr>
        <w:t xml:space="preserve">                                          </w:t>
      </w:r>
    </w:p>
    <w:p w14:paraId="334A1F90">
      <w:pPr>
        <w:pStyle w:val="37"/>
        <w:spacing w:line="360" w:lineRule="auto"/>
        <w:ind w:firstLine="420" w:firstLineChars="200"/>
        <w:jc w:val="left"/>
        <w:rPr>
          <w:rFonts w:ascii="宋体" w:hAnsi="Times New Roman"/>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0A63EEE9">
      <w:pPr>
        <w:pStyle w:val="37"/>
        <w:spacing w:line="360" w:lineRule="auto"/>
        <w:ind w:firstLine="420" w:firstLineChars="200"/>
        <w:rPr>
          <w:rFonts w:ascii="宋体" w:hAnsi="Times New Roman"/>
          <w:color w:val="auto"/>
          <w:szCs w:val="21"/>
          <w:highlight w:val="none"/>
        </w:rPr>
      </w:pPr>
      <w:r>
        <w:rPr>
          <w:rFonts w:hint="eastAsia" w:ascii="宋体" w:hAnsi="宋体" w:cs="宋体"/>
          <w:color w:val="auto"/>
          <w:szCs w:val="21"/>
          <w:highlight w:val="none"/>
        </w:rPr>
        <w:t>工程质量保修书由发包人、承包人在工程竣工验收前共同</w:t>
      </w:r>
      <w:bookmarkStart w:id="1156" w:name="OLE_LINK35"/>
      <w:r>
        <w:rPr>
          <w:rFonts w:hint="eastAsia" w:ascii="宋体" w:hAnsi="宋体" w:cs="宋体"/>
          <w:color w:val="auto"/>
          <w:szCs w:val="21"/>
          <w:highlight w:val="none"/>
        </w:rPr>
        <w:t>签署</w:t>
      </w:r>
      <w:bookmarkEnd w:id="1156"/>
      <w:r>
        <w:rPr>
          <w:rFonts w:hint="eastAsia" w:ascii="宋体" w:hAnsi="宋体" w:cs="宋体"/>
          <w:color w:val="auto"/>
          <w:szCs w:val="21"/>
          <w:highlight w:val="none"/>
        </w:rPr>
        <w:t>，作为施工合同附件，其有效期限至保修期满。</w:t>
      </w:r>
    </w:p>
    <w:p w14:paraId="3C342BFE">
      <w:pPr>
        <w:pStyle w:val="37"/>
        <w:spacing w:line="360" w:lineRule="auto"/>
        <w:ind w:firstLine="420"/>
        <w:rPr>
          <w:rFonts w:ascii="宋体" w:hAnsi="Times New Roman"/>
          <w:color w:val="auto"/>
          <w:szCs w:val="21"/>
          <w:highlight w:val="none"/>
        </w:rPr>
      </w:pPr>
    </w:p>
    <w:p w14:paraId="1F2A09C2">
      <w:pPr>
        <w:pStyle w:val="37"/>
        <w:spacing w:line="360" w:lineRule="auto"/>
        <w:ind w:firstLine="420" w:firstLineChars="200"/>
        <w:rPr>
          <w:rStyle w:val="24"/>
          <w:rFonts w:hint="eastAsia" w:ascii="宋体" w:hAnsi="宋体" w:eastAsia="宋体" w:cs="宋体"/>
          <w:color w:val="auto"/>
          <w:highlight w:val="none"/>
        </w:rPr>
      </w:pPr>
      <w:r>
        <w:rPr>
          <w:rStyle w:val="24"/>
          <w:rFonts w:hint="eastAsia" w:ascii="宋体" w:hAnsi="宋体" w:eastAsia="宋体" w:cs="宋体"/>
          <w:color w:val="auto"/>
          <w:highlight w:val="none"/>
        </w:rPr>
        <w:t>发包人（公章）：</w:t>
      </w:r>
      <w:r>
        <w:rPr>
          <w:rStyle w:val="24"/>
          <w:rFonts w:hint="eastAsia" w:ascii="宋体" w:hAnsi="宋体" w:eastAsia="宋体" w:cs="宋体"/>
          <w:color w:val="auto"/>
          <w:highlight w:val="none"/>
          <w:u w:val="single"/>
        </w:rPr>
        <w:t xml:space="preserve">         </w:t>
      </w:r>
      <w:r>
        <w:rPr>
          <w:rStyle w:val="24"/>
          <w:rFonts w:hint="eastAsia" w:ascii="宋体" w:hAnsi="宋体" w:eastAsia="宋体" w:cs="宋体"/>
          <w:color w:val="auto"/>
          <w:highlight w:val="none"/>
        </w:rPr>
        <w:t xml:space="preserve">             承包人（公章）：</w:t>
      </w:r>
      <w:r>
        <w:rPr>
          <w:rStyle w:val="24"/>
          <w:rFonts w:hint="eastAsia" w:ascii="宋体" w:hAnsi="宋体" w:eastAsia="宋体" w:cs="宋体"/>
          <w:color w:val="auto"/>
          <w:highlight w:val="none"/>
          <w:u w:val="single"/>
        </w:rPr>
        <w:t>          </w:t>
      </w:r>
    </w:p>
    <w:p w14:paraId="377B860A">
      <w:pPr>
        <w:pStyle w:val="37"/>
        <w:spacing w:line="360" w:lineRule="auto"/>
        <w:ind w:firstLine="420" w:firstLineChars="200"/>
        <w:rPr>
          <w:rStyle w:val="24"/>
          <w:rFonts w:hint="eastAsia" w:ascii="宋体" w:hAnsi="宋体" w:eastAsia="宋体" w:cs="宋体"/>
          <w:color w:val="auto"/>
          <w:highlight w:val="none"/>
        </w:rPr>
      </w:pPr>
      <w:r>
        <w:rPr>
          <w:rStyle w:val="24"/>
          <w:rFonts w:hint="eastAsia" w:ascii="宋体" w:hAnsi="宋体" w:eastAsia="宋体" w:cs="宋体"/>
          <w:color w:val="auto"/>
          <w:highlight w:val="none"/>
        </w:rPr>
        <w:t>地  址：</w:t>
      </w:r>
      <w:r>
        <w:rPr>
          <w:rStyle w:val="24"/>
          <w:rFonts w:hint="eastAsia" w:ascii="宋体" w:hAnsi="宋体" w:eastAsia="宋体" w:cs="宋体"/>
          <w:color w:val="auto"/>
          <w:highlight w:val="none"/>
          <w:u w:val="single"/>
        </w:rPr>
        <w:t xml:space="preserve">       </w:t>
      </w:r>
      <w:r>
        <w:rPr>
          <w:rStyle w:val="24"/>
          <w:rFonts w:hint="eastAsia" w:ascii="宋体" w:hAnsi="宋体" w:eastAsia="宋体" w:cs="宋体"/>
          <w:color w:val="auto"/>
          <w:highlight w:val="none"/>
        </w:rPr>
        <w:t xml:space="preserve">              地  址：</w:t>
      </w:r>
      <w:r>
        <w:rPr>
          <w:rStyle w:val="24"/>
          <w:rFonts w:hint="eastAsia" w:ascii="宋体" w:hAnsi="宋体" w:eastAsia="宋体" w:cs="宋体"/>
          <w:color w:val="auto"/>
          <w:highlight w:val="none"/>
          <w:u w:val="single"/>
        </w:rPr>
        <w:t>      </w:t>
      </w:r>
    </w:p>
    <w:p w14:paraId="37446B7D">
      <w:pPr>
        <w:pStyle w:val="37"/>
        <w:spacing w:line="360" w:lineRule="auto"/>
        <w:ind w:firstLine="420" w:firstLineChars="200"/>
        <w:rPr>
          <w:rStyle w:val="24"/>
          <w:rFonts w:hint="eastAsia" w:ascii="宋体" w:hAnsi="宋体" w:eastAsia="宋体" w:cs="宋体"/>
          <w:color w:val="auto"/>
          <w:highlight w:val="none"/>
        </w:rPr>
      </w:pPr>
      <w:r>
        <w:rPr>
          <w:rStyle w:val="24"/>
          <w:rFonts w:hint="eastAsia" w:ascii="宋体" w:hAnsi="宋体" w:eastAsia="宋体" w:cs="宋体"/>
          <w:color w:val="auto"/>
          <w:highlight w:val="none"/>
        </w:rPr>
        <w:t>法定代表人（签字）：</w:t>
      </w:r>
      <w:r>
        <w:rPr>
          <w:rStyle w:val="24"/>
          <w:rFonts w:hint="eastAsia" w:ascii="宋体" w:hAnsi="宋体" w:eastAsia="宋体" w:cs="宋体"/>
          <w:color w:val="auto"/>
          <w:highlight w:val="none"/>
          <w:u w:val="single"/>
        </w:rPr>
        <w:t xml:space="preserve">      </w:t>
      </w:r>
      <w:r>
        <w:rPr>
          <w:rStyle w:val="24"/>
          <w:rFonts w:hint="eastAsia" w:ascii="宋体" w:hAnsi="宋体" w:eastAsia="宋体" w:cs="宋体"/>
          <w:color w:val="auto"/>
          <w:highlight w:val="none"/>
        </w:rPr>
        <w:t xml:space="preserve">              法定代表人（签字）：</w:t>
      </w:r>
      <w:r>
        <w:rPr>
          <w:rStyle w:val="24"/>
          <w:rFonts w:hint="eastAsia" w:ascii="宋体" w:hAnsi="宋体" w:eastAsia="宋体" w:cs="宋体"/>
          <w:color w:val="auto"/>
          <w:highlight w:val="none"/>
          <w:u w:val="single"/>
        </w:rPr>
        <w:t>     </w:t>
      </w:r>
    </w:p>
    <w:p w14:paraId="758ABE97">
      <w:pPr>
        <w:pStyle w:val="37"/>
        <w:spacing w:line="360" w:lineRule="auto"/>
        <w:ind w:firstLine="420" w:firstLineChars="200"/>
        <w:rPr>
          <w:rStyle w:val="24"/>
          <w:rFonts w:hint="eastAsia" w:ascii="宋体" w:hAnsi="宋体" w:eastAsia="宋体" w:cs="宋体"/>
          <w:color w:val="auto"/>
          <w:highlight w:val="none"/>
        </w:rPr>
      </w:pPr>
      <w:r>
        <w:rPr>
          <w:rStyle w:val="24"/>
          <w:rFonts w:hint="eastAsia" w:ascii="宋体" w:hAnsi="宋体" w:eastAsia="宋体" w:cs="宋体"/>
          <w:color w:val="auto"/>
          <w:highlight w:val="none"/>
        </w:rPr>
        <w:t>委托代理人（签字）：</w:t>
      </w:r>
      <w:r>
        <w:rPr>
          <w:rStyle w:val="24"/>
          <w:rFonts w:hint="eastAsia" w:ascii="宋体" w:hAnsi="宋体" w:eastAsia="宋体" w:cs="宋体"/>
          <w:color w:val="auto"/>
          <w:highlight w:val="none"/>
          <w:u w:val="single"/>
        </w:rPr>
        <w:t xml:space="preserve">      </w:t>
      </w:r>
      <w:r>
        <w:rPr>
          <w:rStyle w:val="24"/>
          <w:rFonts w:hint="eastAsia" w:ascii="宋体" w:hAnsi="宋体" w:eastAsia="宋体" w:cs="宋体"/>
          <w:color w:val="auto"/>
          <w:highlight w:val="none"/>
        </w:rPr>
        <w:t xml:space="preserve">              委托代理人（签字）：</w:t>
      </w:r>
      <w:r>
        <w:rPr>
          <w:rStyle w:val="24"/>
          <w:rFonts w:hint="eastAsia" w:ascii="宋体" w:hAnsi="宋体" w:eastAsia="宋体" w:cs="宋体"/>
          <w:color w:val="auto"/>
          <w:highlight w:val="none"/>
          <w:u w:val="single"/>
        </w:rPr>
        <w:t>     </w:t>
      </w:r>
    </w:p>
    <w:p w14:paraId="59301428">
      <w:pPr>
        <w:pStyle w:val="37"/>
        <w:spacing w:line="360" w:lineRule="auto"/>
        <w:ind w:firstLine="420" w:firstLineChars="200"/>
        <w:rPr>
          <w:rStyle w:val="24"/>
          <w:rFonts w:hint="eastAsia" w:ascii="宋体" w:hAnsi="宋体" w:eastAsia="宋体" w:cs="宋体"/>
          <w:color w:val="auto"/>
          <w:highlight w:val="none"/>
        </w:rPr>
      </w:pPr>
      <w:r>
        <w:rPr>
          <w:rStyle w:val="24"/>
          <w:rFonts w:hint="eastAsia" w:ascii="宋体" w:hAnsi="宋体" w:eastAsia="宋体" w:cs="宋体"/>
          <w:color w:val="auto"/>
          <w:highlight w:val="none"/>
        </w:rPr>
        <w:t>电  话：</w:t>
      </w:r>
      <w:r>
        <w:rPr>
          <w:rStyle w:val="24"/>
          <w:rFonts w:hint="eastAsia" w:ascii="宋体" w:hAnsi="宋体" w:eastAsia="宋体" w:cs="宋体"/>
          <w:color w:val="auto"/>
          <w:highlight w:val="none"/>
          <w:u w:val="single"/>
        </w:rPr>
        <w:t xml:space="preserve">     </w:t>
      </w:r>
      <w:r>
        <w:rPr>
          <w:rStyle w:val="24"/>
          <w:rFonts w:hint="eastAsia" w:ascii="宋体" w:hAnsi="宋体" w:eastAsia="宋体" w:cs="宋体"/>
          <w:color w:val="auto"/>
          <w:highlight w:val="none"/>
        </w:rPr>
        <w:t xml:space="preserve">              电  话：</w:t>
      </w:r>
      <w:r>
        <w:rPr>
          <w:rStyle w:val="24"/>
          <w:rFonts w:hint="eastAsia" w:ascii="宋体" w:hAnsi="宋体" w:eastAsia="宋体" w:cs="宋体"/>
          <w:color w:val="auto"/>
          <w:highlight w:val="none"/>
          <w:u w:val="single"/>
        </w:rPr>
        <w:t>      </w:t>
      </w:r>
    </w:p>
    <w:p w14:paraId="48640B74">
      <w:pPr>
        <w:pStyle w:val="37"/>
        <w:spacing w:line="360" w:lineRule="auto"/>
        <w:ind w:firstLine="420" w:firstLineChars="200"/>
        <w:rPr>
          <w:rStyle w:val="24"/>
          <w:rFonts w:hint="eastAsia" w:ascii="宋体" w:hAnsi="宋体" w:eastAsia="宋体" w:cs="宋体"/>
          <w:color w:val="auto"/>
          <w:highlight w:val="none"/>
        </w:rPr>
      </w:pPr>
      <w:r>
        <w:rPr>
          <w:rStyle w:val="24"/>
          <w:rFonts w:hint="eastAsia" w:ascii="宋体" w:hAnsi="宋体" w:eastAsia="宋体" w:cs="宋体"/>
          <w:color w:val="auto"/>
          <w:highlight w:val="none"/>
        </w:rPr>
        <w:t>传  真：</w:t>
      </w:r>
      <w:r>
        <w:rPr>
          <w:rStyle w:val="24"/>
          <w:rFonts w:hint="eastAsia" w:ascii="宋体" w:hAnsi="宋体" w:eastAsia="宋体" w:cs="宋体"/>
          <w:color w:val="auto"/>
          <w:highlight w:val="none"/>
          <w:u w:val="single"/>
        </w:rPr>
        <w:t xml:space="preserve">     </w:t>
      </w:r>
      <w:r>
        <w:rPr>
          <w:rStyle w:val="24"/>
          <w:rFonts w:hint="eastAsia" w:ascii="宋体" w:hAnsi="宋体" w:eastAsia="宋体" w:cs="宋体"/>
          <w:color w:val="auto"/>
          <w:highlight w:val="none"/>
        </w:rPr>
        <w:t xml:space="preserve">              传  真：</w:t>
      </w:r>
      <w:r>
        <w:rPr>
          <w:rStyle w:val="24"/>
          <w:rFonts w:hint="eastAsia" w:ascii="宋体" w:hAnsi="宋体" w:eastAsia="宋体" w:cs="宋体"/>
          <w:color w:val="auto"/>
          <w:highlight w:val="none"/>
          <w:u w:val="single"/>
        </w:rPr>
        <w:t>    </w:t>
      </w:r>
    </w:p>
    <w:p w14:paraId="08CBBA06">
      <w:pPr>
        <w:pStyle w:val="37"/>
        <w:spacing w:line="360" w:lineRule="auto"/>
        <w:ind w:firstLine="420" w:firstLineChars="200"/>
        <w:rPr>
          <w:rStyle w:val="24"/>
          <w:rFonts w:hint="eastAsia" w:ascii="宋体" w:hAnsi="宋体" w:eastAsia="宋体" w:cs="宋体"/>
          <w:color w:val="auto"/>
          <w:highlight w:val="none"/>
        </w:rPr>
      </w:pPr>
      <w:r>
        <w:rPr>
          <w:rStyle w:val="24"/>
          <w:rFonts w:hint="eastAsia" w:ascii="宋体" w:hAnsi="宋体" w:eastAsia="宋体" w:cs="宋体"/>
          <w:color w:val="auto"/>
          <w:highlight w:val="none"/>
        </w:rPr>
        <w:t>开户银行：</w:t>
      </w:r>
      <w:r>
        <w:rPr>
          <w:rStyle w:val="24"/>
          <w:rFonts w:hint="eastAsia" w:ascii="宋体" w:hAnsi="宋体" w:eastAsia="宋体" w:cs="宋体"/>
          <w:color w:val="auto"/>
          <w:highlight w:val="none"/>
          <w:u w:val="single"/>
        </w:rPr>
        <w:t xml:space="preserve">     </w:t>
      </w:r>
      <w:r>
        <w:rPr>
          <w:rStyle w:val="24"/>
          <w:rFonts w:hint="eastAsia" w:ascii="宋体" w:hAnsi="宋体" w:eastAsia="宋体" w:cs="宋体"/>
          <w:color w:val="auto"/>
          <w:highlight w:val="none"/>
        </w:rPr>
        <w:t xml:space="preserve">              开户银行：</w:t>
      </w:r>
      <w:r>
        <w:rPr>
          <w:rStyle w:val="24"/>
          <w:rFonts w:hint="eastAsia" w:ascii="宋体" w:hAnsi="宋体" w:eastAsia="宋体" w:cs="宋体"/>
          <w:color w:val="auto"/>
          <w:highlight w:val="none"/>
          <w:u w:val="single"/>
        </w:rPr>
        <w:t>  </w:t>
      </w:r>
    </w:p>
    <w:p w14:paraId="37A3F4CD">
      <w:pPr>
        <w:pStyle w:val="37"/>
        <w:tabs>
          <w:tab w:val="left" w:pos="2880"/>
          <w:tab w:val="left" w:pos="3060"/>
          <w:tab w:val="left" w:pos="4500"/>
        </w:tabs>
        <w:spacing w:line="360" w:lineRule="auto"/>
        <w:ind w:firstLine="420" w:firstLineChars="200"/>
        <w:rPr>
          <w:rStyle w:val="24"/>
          <w:rFonts w:ascii="Calibri" w:hAnsi="Calibri" w:eastAsia="宋体" w:cs="Times New Roman"/>
          <w:color w:val="auto"/>
          <w:highlight w:val="none"/>
        </w:rPr>
      </w:pPr>
      <w:r>
        <w:rPr>
          <w:rStyle w:val="24"/>
          <w:rFonts w:hint="eastAsia" w:ascii="宋体" w:hAnsi="宋体" w:eastAsia="宋体" w:cs="宋体"/>
          <w:color w:val="auto"/>
          <w:highlight w:val="none"/>
        </w:rPr>
        <w:t>账  号：</w:t>
      </w:r>
      <w:r>
        <w:rPr>
          <w:rStyle w:val="24"/>
          <w:rFonts w:hint="eastAsia" w:ascii="宋体" w:hAnsi="宋体" w:eastAsia="宋体" w:cs="宋体"/>
          <w:color w:val="auto"/>
          <w:highlight w:val="none"/>
          <w:u w:val="single"/>
        </w:rPr>
        <w:t xml:space="preserve">          </w:t>
      </w:r>
      <w:r>
        <w:rPr>
          <w:rStyle w:val="24"/>
          <w:rFonts w:hint="eastAsia" w:ascii="宋体" w:hAnsi="宋体" w:eastAsia="宋体" w:cs="宋体"/>
          <w:color w:val="auto"/>
          <w:highlight w:val="none"/>
        </w:rPr>
        <w:t xml:space="preserve">              账  号：</w:t>
      </w:r>
      <w:r>
        <w:rPr>
          <w:rStyle w:val="24"/>
          <w:rFonts w:hint="eastAsia" w:ascii="宋体" w:hAnsi="宋体" w:eastAsia="宋体" w:cs="宋体"/>
          <w:color w:val="auto"/>
          <w:highlight w:val="none"/>
          <w:u w:val="single"/>
        </w:rPr>
        <w:t></w:t>
      </w:r>
      <w:r>
        <w:rPr>
          <w:rStyle w:val="24"/>
          <w:rFonts w:ascii="宋体" w:hAnsi="宋体" w:eastAsia="宋体" w:cs="Times New Roman"/>
          <w:color w:val="auto"/>
          <w:highlight w:val="none"/>
          <w:u w:val="single"/>
        </w:rPr>
        <w:t></w:t>
      </w:r>
      <w:r>
        <w:rPr>
          <w:rStyle w:val="24"/>
          <w:rFonts w:hint="eastAsia" w:ascii="宋体" w:hAnsi="宋体" w:eastAsia="宋体" w:cs="Times New Roman"/>
          <w:color w:val="auto"/>
          <w:highlight w:val="none"/>
          <w:u w:val="single"/>
        </w:rPr>
        <w:t xml:space="preserve">    </w:t>
      </w:r>
      <w:r>
        <w:rPr>
          <w:rStyle w:val="24"/>
          <w:rFonts w:ascii="宋体" w:hAnsi="宋体" w:eastAsia="宋体" w:cs="Times New Roman"/>
          <w:color w:val="auto"/>
          <w:highlight w:val="none"/>
          <w:u w:val="single"/>
        </w:rPr>
        <w:t></w:t>
      </w:r>
    </w:p>
    <w:p w14:paraId="22375BF3">
      <w:pPr>
        <w:pStyle w:val="37"/>
        <w:tabs>
          <w:tab w:val="left" w:pos="7200"/>
          <w:tab w:val="left" w:pos="7380"/>
          <w:tab w:val="left" w:pos="7560"/>
        </w:tabs>
        <w:spacing w:line="360" w:lineRule="auto"/>
        <w:ind w:firstLine="420" w:firstLineChars="200"/>
        <w:rPr>
          <w:rStyle w:val="24"/>
          <w:rFonts w:ascii="Calibri" w:hAnsi="Calibri" w:eastAsia="宋体" w:cs="Times New Roman"/>
          <w:color w:val="auto"/>
          <w:highlight w:val="none"/>
        </w:rPr>
      </w:pPr>
      <w:r>
        <w:rPr>
          <w:rStyle w:val="24"/>
          <w:rFonts w:ascii="Calibri" w:hAnsi="宋体" w:eastAsia="宋体" w:cs="Times New Roman"/>
          <w:color w:val="auto"/>
          <w:highlight w:val="none"/>
        </w:rPr>
        <w:t>邮政编码：</w:t>
      </w:r>
      <w:r>
        <w:rPr>
          <w:rStyle w:val="24"/>
          <w:rFonts w:ascii="Calibri" w:hAnsi="Calibri" w:eastAsia="宋体" w:cs="Times New Roman"/>
          <w:color w:val="auto"/>
          <w:highlight w:val="none"/>
          <w:u w:val="single"/>
        </w:rPr>
        <w:t xml:space="preserve"> </w:t>
      </w:r>
      <w:r>
        <w:rPr>
          <w:rStyle w:val="24"/>
          <w:rFonts w:ascii="宋体" w:hAnsi="宋体" w:eastAsia="宋体" w:cs="Times New Roman"/>
          <w:color w:val="auto"/>
          <w:highlight w:val="none"/>
          <w:u w:val="single"/>
        </w:rPr>
        <w:t></w:t>
      </w:r>
      <w:r>
        <w:rPr>
          <w:rStyle w:val="24"/>
          <w:rFonts w:hint="eastAsia" w:ascii="宋体" w:hAnsi="宋体" w:eastAsia="宋体" w:cs="Times New Roman"/>
          <w:color w:val="auto"/>
          <w:highlight w:val="none"/>
          <w:u w:val="single"/>
        </w:rPr>
        <w:t xml:space="preserve">  </w:t>
      </w:r>
      <w:r>
        <w:rPr>
          <w:rStyle w:val="24"/>
          <w:rFonts w:ascii="Calibri" w:hAnsi="Calibri" w:eastAsia="宋体" w:cs="Times New Roman"/>
          <w:color w:val="auto"/>
          <w:highlight w:val="none"/>
          <w:u w:val="single"/>
        </w:rPr>
        <w:t xml:space="preserve">    </w:t>
      </w:r>
      <w:r>
        <w:rPr>
          <w:rStyle w:val="24"/>
          <w:rFonts w:ascii="Calibri" w:hAnsi="Calibri" w:eastAsia="宋体" w:cs="Times New Roman"/>
          <w:color w:val="auto"/>
          <w:highlight w:val="none"/>
        </w:rPr>
        <w:t xml:space="preserve"> </w:t>
      </w:r>
      <w:r>
        <w:rPr>
          <w:rStyle w:val="24"/>
          <w:rFonts w:hint="eastAsia" w:ascii="Calibri" w:hAnsi="Calibri" w:eastAsia="宋体" w:cs="Times New Roman"/>
          <w:color w:val="auto"/>
          <w:highlight w:val="none"/>
        </w:rPr>
        <w:t xml:space="preserve">             </w:t>
      </w:r>
      <w:r>
        <w:rPr>
          <w:rStyle w:val="24"/>
          <w:rFonts w:ascii="Calibri" w:hAnsi="宋体" w:eastAsia="宋体" w:cs="Times New Roman"/>
          <w:color w:val="auto"/>
          <w:highlight w:val="none"/>
        </w:rPr>
        <w:t>邮政编码：</w:t>
      </w:r>
      <w:r>
        <w:rPr>
          <w:rStyle w:val="24"/>
          <w:rFonts w:ascii="宋体" w:hAnsi="宋体" w:eastAsia="宋体" w:cs="Times New Roman"/>
          <w:color w:val="auto"/>
          <w:highlight w:val="none"/>
          <w:u w:val="single"/>
        </w:rPr>
        <w:t></w:t>
      </w:r>
      <w:r>
        <w:rPr>
          <w:rStyle w:val="24"/>
          <w:rFonts w:hint="eastAsia" w:ascii="宋体" w:hAnsi="宋体" w:eastAsia="宋体" w:cs="Times New Roman"/>
          <w:color w:val="auto"/>
          <w:highlight w:val="none"/>
          <w:u w:val="single"/>
        </w:rPr>
        <w:t xml:space="preserve">   </w:t>
      </w:r>
      <w:r>
        <w:rPr>
          <w:rStyle w:val="24"/>
          <w:rFonts w:ascii="宋体" w:hAnsi="宋体" w:eastAsia="宋体" w:cs="Times New Roman"/>
          <w:color w:val="auto"/>
          <w:highlight w:val="none"/>
          <w:u w:val="single"/>
        </w:rPr>
        <w:t></w:t>
      </w:r>
    </w:p>
    <w:p w14:paraId="1B24C745">
      <w:pPr>
        <w:pStyle w:val="37"/>
        <w:spacing w:line="360" w:lineRule="auto"/>
        <w:rPr>
          <w:rFonts w:ascii="宋体" w:hAnsi="Times New Roman"/>
          <w:color w:val="auto"/>
          <w:szCs w:val="21"/>
          <w:highlight w:val="none"/>
        </w:rPr>
      </w:pPr>
    </w:p>
    <w:p w14:paraId="5ED5BDA5">
      <w:pPr>
        <w:pStyle w:val="37"/>
        <w:spacing w:line="360" w:lineRule="auto"/>
        <w:rPr>
          <w:rFonts w:ascii="宋体" w:hAnsi="Times New Roman"/>
          <w:color w:val="auto"/>
          <w:szCs w:val="21"/>
          <w:highlight w:val="none"/>
        </w:rPr>
      </w:pPr>
    </w:p>
    <w:p w14:paraId="075CA30B">
      <w:pPr>
        <w:pStyle w:val="37"/>
        <w:spacing w:line="360" w:lineRule="auto"/>
        <w:rPr>
          <w:rFonts w:ascii="宋体" w:hAnsi="Times New Roman"/>
          <w:color w:val="auto"/>
          <w:szCs w:val="21"/>
          <w:highlight w:val="none"/>
        </w:rPr>
      </w:pPr>
    </w:p>
    <w:p w14:paraId="400C3F74">
      <w:pPr>
        <w:pStyle w:val="37"/>
        <w:spacing w:line="440" w:lineRule="exact"/>
        <w:ind w:firstLine="600" w:firstLineChars="200"/>
        <w:rPr>
          <w:rFonts w:ascii="Times New Roman" w:hAnsi="Times New Roman" w:eastAsia="仿宋_GB2312"/>
          <w:color w:val="auto"/>
          <w:sz w:val="30"/>
          <w:szCs w:val="30"/>
          <w:highlight w:val="none"/>
        </w:rPr>
        <w:sectPr>
          <w:headerReference r:id="rId6" w:type="default"/>
          <w:footerReference r:id="rId7" w:type="default"/>
          <w:pgSz w:w="11906" w:h="16838"/>
          <w:pgMar w:top="1020" w:right="1191" w:bottom="1021" w:left="1304" w:header="1247" w:footer="850" w:gutter="0"/>
          <w:pgNumType w:fmt="decimal"/>
          <w:cols w:space="720" w:num="1"/>
          <w:docGrid w:type="lines" w:linePitch="320" w:charSpace="0"/>
        </w:sectPr>
      </w:pPr>
    </w:p>
    <w:p w14:paraId="3C10ADB1">
      <w:pPr>
        <w:pStyle w:val="37"/>
        <w:spacing w:line="440" w:lineRule="exact"/>
        <w:ind w:firstLine="600" w:firstLineChars="200"/>
        <w:rPr>
          <w:rFonts w:ascii="Times New Roman" w:hAnsi="Times New Roman" w:eastAsia="黑体"/>
          <w:color w:val="auto"/>
          <w:sz w:val="30"/>
          <w:szCs w:val="30"/>
          <w:highlight w:val="none"/>
        </w:rPr>
      </w:pPr>
      <w:r>
        <w:rPr>
          <w:rFonts w:ascii="Times New Roman" w:hAnsi="Times New Roman" w:eastAsia="仿宋_GB2312"/>
          <w:color w:val="auto"/>
          <w:sz w:val="30"/>
          <w:szCs w:val="30"/>
          <w:highlight w:val="none"/>
        </w:rPr>
        <w:t>附件</w:t>
      </w:r>
      <w:r>
        <w:rPr>
          <w:rFonts w:hint="eastAsia" w:ascii="Times New Roman" w:hAnsi="Times New Roman" w:eastAsia="仿宋_GB2312"/>
          <w:color w:val="auto"/>
          <w:sz w:val="30"/>
          <w:szCs w:val="30"/>
          <w:highlight w:val="none"/>
        </w:rPr>
        <w:t>3</w:t>
      </w:r>
      <w:r>
        <w:rPr>
          <w:rFonts w:ascii="Times New Roman" w:hAnsi="Times New Roman" w:eastAsia="仿宋_GB2312"/>
          <w:color w:val="auto"/>
          <w:sz w:val="30"/>
          <w:szCs w:val="30"/>
          <w:highlight w:val="none"/>
        </w:rPr>
        <w:t>：</w:t>
      </w:r>
    </w:p>
    <w:p w14:paraId="5A9C6025">
      <w:pPr>
        <w:pStyle w:val="37"/>
        <w:spacing w:before="156" w:beforeLines="50" w:after="156" w:afterLines="50" w:line="440" w:lineRule="exact"/>
        <w:ind w:firstLine="600" w:firstLineChars="200"/>
        <w:jc w:val="center"/>
        <w:rPr>
          <w:rFonts w:ascii="Times New Roman" w:hAnsi="Times New Roman" w:eastAsia="黑体"/>
          <w:color w:val="auto"/>
          <w:sz w:val="30"/>
          <w:szCs w:val="30"/>
          <w:highlight w:val="none"/>
        </w:rPr>
      </w:pPr>
      <w:r>
        <w:rPr>
          <w:rFonts w:ascii="Times New Roman" w:hAnsi="Times New Roman" w:eastAsia="黑体"/>
          <w:color w:val="auto"/>
          <w:sz w:val="30"/>
          <w:szCs w:val="30"/>
          <w:highlight w:val="none"/>
        </w:rPr>
        <w:t>主要建设工程文件目录</w:t>
      </w:r>
    </w:p>
    <w:tbl>
      <w:tblPr>
        <w:tblStyle w:val="22"/>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CF7D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61EC7ED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文件名称</w:t>
            </w:r>
          </w:p>
        </w:tc>
        <w:tc>
          <w:tcPr>
            <w:tcW w:w="1276" w:type="dxa"/>
            <w:tcBorders>
              <w:top w:val="single" w:color="auto" w:sz="12" w:space="0"/>
              <w:bottom w:val="double" w:color="auto" w:sz="6" w:space="0"/>
            </w:tcBorders>
            <w:vAlign w:val="center"/>
          </w:tcPr>
          <w:p w14:paraId="210F829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套数</w:t>
            </w:r>
          </w:p>
        </w:tc>
        <w:tc>
          <w:tcPr>
            <w:tcW w:w="1450" w:type="dxa"/>
            <w:tcBorders>
              <w:top w:val="single" w:color="auto" w:sz="12" w:space="0"/>
              <w:bottom w:val="double" w:color="auto" w:sz="6" w:space="0"/>
            </w:tcBorders>
            <w:vAlign w:val="center"/>
          </w:tcPr>
          <w:p w14:paraId="5E3DA21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费用</w:t>
            </w:r>
            <w:r>
              <w:rPr>
                <w:rFonts w:hint="eastAsia" w:ascii="Times New Roman" w:hAnsi="Times New Roman" w:eastAsia="仿宋_GB2312"/>
                <w:color w:val="auto"/>
                <w:sz w:val="28"/>
                <w:szCs w:val="30"/>
                <w:highlight w:val="none"/>
              </w:rPr>
              <w:t>（元）</w:t>
            </w:r>
          </w:p>
        </w:tc>
        <w:tc>
          <w:tcPr>
            <w:tcW w:w="1243" w:type="dxa"/>
            <w:tcBorders>
              <w:top w:val="single" w:color="auto" w:sz="12" w:space="0"/>
              <w:bottom w:val="double" w:color="auto" w:sz="6" w:space="0"/>
            </w:tcBorders>
            <w:vAlign w:val="center"/>
          </w:tcPr>
          <w:p w14:paraId="4D0B4A4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质量</w:t>
            </w:r>
          </w:p>
        </w:tc>
        <w:tc>
          <w:tcPr>
            <w:tcW w:w="1450" w:type="dxa"/>
            <w:tcBorders>
              <w:top w:val="single" w:color="auto" w:sz="12" w:space="0"/>
              <w:bottom w:val="double" w:color="auto" w:sz="6" w:space="0"/>
            </w:tcBorders>
            <w:vAlign w:val="top"/>
          </w:tcPr>
          <w:p w14:paraId="5037CC93">
            <w:pPr>
              <w:pStyle w:val="37"/>
              <w:spacing w:line="440" w:lineRule="exact"/>
              <w:jc w:val="center"/>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移交时间</w:t>
            </w:r>
          </w:p>
        </w:tc>
        <w:tc>
          <w:tcPr>
            <w:tcW w:w="1667" w:type="dxa"/>
            <w:tcBorders>
              <w:top w:val="single" w:color="auto" w:sz="12" w:space="0"/>
              <w:bottom w:val="double" w:color="auto" w:sz="6" w:space="0"/>
            </w:tcBorders>
            <w:vAlign w:val="top"/>
          </w:tcPr>
          <w:p w14:paraId="37AEDFC2">
            <w:pPr>
              <w:pStyle w:val="37"/>
              <w:spacing w:line="440" w:lineRule="exact"/>
              <w:jc w:val="center"/>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责任人</w:t>
            </w:r>
          </w:p>
        </w:tc>
      </w:tr>
      <w:tr w14:paraId="2A5B1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3E6644C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tcBorders>
              <w:top w:val="double" w:color="auto" w:sz="6" w:space="0"/>
              <w:bottom w:val="single" w:color="auto" w:sz="6" w:space="0"/>
            </w:tcBorders>
            <w:vAlign w:val="center"/>
          </w:tcPr>
          <w:p w14:paraId="12D2DDF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tcBorders>
              <w:top w:val="double" w:color="auto" w:sz="6" w:space="0"/>
              <w:bottom w:val="single" w:color="auto" w:sz="6" w:space="0"/>
            </w:tcBorders>
            <w:vAlign w:val="center"/>
          </w:tcPr>
          <w:p w14:paraId="34D1A6E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tcBorders>
              <w:top w:val="double" w:color="auto" w:sz="6" w:space="0"/>
              <w:bottom w:val="single" w:color="auto" w:sz="6" w:space="0"/>
            </w:tcBorders>
            <w:vAlign w:val="center"/>
          </w:tcPr>
          <w:p w14:paraId="0652956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tcBorders>
              <w:top w:val="double" w:color="auto" w:sz="6" w:space="0"/>
              <w:bottom w:val="single" w:color="auto" w:sz="6" w:space="0"/>
            </w:tcBorders>
            <w:vAlign w:val="center"/>
          </w:tcPr>
          <w:p w14:paraId="1CBC259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tcBorders>
              <w:top w:val="double" w:color="auto" w:sz="6" w:space="0"/>
              <w:bottom w:val="single" w:color="auto" w:sz="6" w:space="0"/>
            </w:tcBorders>
            <w:vAlign w:val="center"/>
          </w:tcPr>
          <w:p w14:paraId="44FEEE6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00D35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15022ED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tcBorders>
              <w:top w:val="nil"/>
            </w:tcBorders>
            <w:vAlign w:val="center"/>
          </w:tcPr>
          <w:p w14:paraId="16AE2EC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tcBorders>
              <w:top w:val="nil"/>
            </w:tcBorders>
            <w:vAlign w:val="center"/>
          </w:tcPr>
          <w:p w14:paraId="5092CBD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tcBorders>
              <w:top w:val="nil"/>
            </w:tcBorders>
            <w:vAlign w:val="center"/>
          </w:tcPr>
          <w:p w14:paraId="251192D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tcBorders>
              <w:top w:val="nil"/>
            </w:tcBorders>
            <w:vAlign w:val="center"/>
          </w:tcPr>
          <w:p w14:paraId="1B02ECC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tcBorders>
              <w:top w:val="nil"/>
            </w:tcBorders>
            <w:vAlign w:val="center"/>
          </w:tcPr>
          <w:p w14:paraId="7F24238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B545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A032B3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vAlign w:val="center"/>
          </w:tcPr>
          <w:p w14:paraId="456708B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vAlign w:val="center"/>
          </w:tcPr>
          <w:p w14:paraId="4AA7DBD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vAlign w:val="center"/>
          </w:tcPr>
          <w:p w14:paraId="7E51F24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vAlign w:val="center"/>
          </w:tcPr>
          <w:p w14:paraId="094498A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vAlign w:val="center"/>
          </w:tcPr>
          <w:p w14:paraId="02230EC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011E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29B81E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vAlign w:val="center"/>
          </w:tcPr>
          <w:p w14:paraId="5C24F19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vAlign w:val="center"/>
          </w:tcPr>
          <w:p w14:paraId="1165176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vAlign w:val="center"/>
          </w:tcPr>
          <w:p w14:paraId="524518B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vAlign w:val="center"/>
          </w:tcPr>
          <w:p w14:paraId="0BD5761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vAlign w:val="center"/>
          </w:tcPr>
          <w:p w14:paraId="43A4425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624C3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265961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vAlign w:val="center"/>
          </w:tcPr>
          <w:p w14:paraId="7B1F1C1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vAlign w:val="center"/>
          </w:tcPr>
          <w:p w14:paraId="667F698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vAlign w:val="center"/>
          </w:tcPr>
          <w:p w14:paraId="1BEA179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vAlign w:val="center"/>
          </w:tcPr>
          <w:p w14:paraId="19338F4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vAlign w:val="center"/>
          </w:tcPr>
          <w:p w14:paraId="326A5F5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F1AA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91B082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vAlign w:val="center"/>
          </w:tcPr>
          <w:p w14:paraId="5B3AB39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vAlign w:val="center"/>
          </w:tcPr>
          <w:p w14:paraId="3438A0D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vAlign w:val="center"/>
          </w:tcPr>
          <w:p w14:paraId="09A60D8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vAlign w:val="center"/>
          </w:tcPr>
          <w:p w14:paraId="50F48BD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vAlign w:val="center"/>
          </w:tcPr>
          <w:p w14:paraId="0142FBB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B2F8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3992F7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vAlign w:val="center"/>
          </w:tcPr>
          <w:p w14:paraId="157CFED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vAlign w:val="center"/>
          </w:tcPr>
          <w:p w14:paraId="5E332B1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vAlign w:val="center"/>
          </w:tcPr>
          <w:p w14:paraId="2BB20A3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vAlign w:val="center"/>
          </w:tcPr>
          <w:p w14:paraId="24DFABC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vAlign w:val="center"/>
          </w:tcPr>
          <w:p w14:paraId="31A98BC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337E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6487BC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vAlign w:val="center"/>
          </w:tcPr>
          <w:p w14:paraId="6938784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vAlign w:val="center"/>
          </w:tcPr>
          <w:p w14:paraId="7CF7B74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vAlign w:val="center"/>
          </w:tcPr>
          <w:p w14:paraId="39D4098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vAlign w:val="center"/>
          </w:tcPr>
          <w:p w14:paraId="755E93E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vAlign w:val="center"/>
          </w:tcPr>
          <w:p w14:paraId="0E22AE1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2791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68FC5C9B">
            <w:pPr>
              <w:pStyle w:val="37"/>
              <w:rPr>
                <w:rFonts w:ascii="Times New Roman" w:hAnsi="Times New Roman" w:eastAsia="仿宋_GB2312"/>
                <w:color w:val="auto"/>
                <w:sz w:val="30"/>
                <w:szCs w:val="30"/>
                <w:highlight w:val="none"/>
              </w:rPr>
            </w:pPr>
          </w:p>
        </w:tc>
        <w:tc>
          <w:tcPr>
            <w:tcW w:w="1276" w:type="dxa"/>
            <w:vAlign w:val="top"/>
          </w:tcPr>
          <w:p w14:paraId="5B14CF62">
            <w:pPr>
              <w:pStyle w:val="37"/>
              <w:rPr>
                <w:rFonts w:ascii="Times New Roman" w:hAnsi="Times New Roman" w:eastAsia="仿宋_GB2312"/>
                <w:color w:val="auto"/>
                <w:sz w:val="30"/>
                <w:szCs w:val="30"/>
                <w:highlight w:val="none"/>
              </w:rPr>
            </w:pPr>
          </w:p>
        </w:tc>
        <w:tc>
          <w:tcPr>
            <w:tcW w:w="1450" w:type="dxa"/>
            <w:vAlign w:val="top"/>
          </w:tcPr>
          <w:p w14:paraId="3A5B5897">
            <w:pPr>
              <w:pStyle w:val="37"/>
              <w:rPr>
                <w:rFonts w:ascii="Times New Roman" w:hAnsi="Times New Roman" w:eastAsia="仿宋_GB2312"/>
                <w:color w:val="auto"/>
                <w:sz w:val="30"/>
                <w:szCs w:val="30"/>
                <w:highlight w:val="none"/>
              </w:rPr>
            </w:pPr>
          </w:p>
        </w:tc>
        <w:tc>
          <w:tcPr>
            <w:tcW w:w="1243" w:type="dxa"/>
            <w:vAlign w:val="top"/>
          </w:tcPr>
          <w:p w14:paraId="026D6A63">
            <w:pPr>
              <w:pStyle w:val="37"/>
              <w:rPr>
                <w:rFonts w:ascii="Times New Roman" w:hAnsi="Times New Roman" w:eastAsia="仿宋_GB2312"/>
                <w:color w:val="auto"/>
                <w:sz w:val="30"/>
                <w:szCs w:val="30"/>
                <w:highlight w:val="none"/>
              </w:rPr>
            </w:pPr>
          </w:p>
        </w:tc>
        <w:tc>
          <w:tcPr>
            <w:tcW w:w="1450" w:type="dxa"/>
            <w:vAlign w:val="top"/>
          </w:tcPr>
          <w:p w14:paraId="03CD4DB3">
            <w:pPr>
              <w:pStyle w:val="37"/>
              <w:rPr>
                <w:rFonts w:ascii="Times New Roman" w:hAnsi="Times New Roman" w:eastAsia="仿宋_GB2312"/>
                <w:color w:val="auto"/>
                <w:sz w:val="30"/>
                <w:szCs w:val="30"/>
                <w:highlight w:val="none"/>
              </w:rPr>
            </w:pPr>
          </w:p>
        </w:tc>
        <w:tc>
          <w:tcPr>
            <w:tcW w:w="1667" w:type="dxa"/>
            <w:vAlign w:val="top"/>
          </w:tcPr>
          <w:p w14:paraId="5CE5163D">
            <w:pPr>
              <w:pStyle w:val="37"/>
              <w:rPr>
                <w:rFonts w:ascii="Times New Roman" w:hAnsi="Times New Roman" w:eastAsia="仿宋_GB2312"/>
                <w:color w:val="auto"/>
                <w:sz w:val="30"/>
                <w:szCs w:val="30"/>
                <w:highlight w:val="none"/>
              </w:rPr>
            </w:pPr>
          </w:p>
        </w:tc>
      </w:tr>
      <w:tr w14:paraId="44C55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26D711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vAlign w:val="center"/>
          </w:tcPr>
          <w:p w14:paraId="497F6C8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vAlign w:val="center"/>
          </w:tcPr>
          <w:p w14:paraId="6FBC9CB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vAlign w:val="center"/>
          </w:tcPr>
          <w:p w14:paraId="6AA8D44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vAlign w:val="center"/>
          </w:tcPr>
          <w:p w14:paraId="745384D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vAlign w:val="center"/>
          </w:tcPr>
          <w:p w14:paraId="29A0135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6E8A8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0CFE575A">
            <w:pPr>
              <w:pStyle w:val="37"/>
              <w:rPr>
                <w:rFonts w:ascii="Times New Roman" w:hAnsi="Times New Roman" w:eastAsia="仿宋_GB2312"/>
                <w:color w:val="auto"/>
                <w:sz w:val="30"/>
                <w:szCs w:val="30"/>
                <w:highlight w:val="none"/>
              </w:rPr>
            </w:pPr>
          </w:p>
        </w:tc>
        <w:tc>
          <w:tcPr>
            <w:tcW w:w="1276" w:type="dxa"/>
            <w:vAlign w:val="top"/>
          </w:tcPr>
          <w:p w14:paraId="1844B757">
            <w:pPr>
              <w:pStyle w:val="37"/>
              <w:rPr>
                <w:rFonts w:ascii="Times New Roman" w:hAnsi="Times New Roman" w:eastAsia="仿宋_GB2312"/>
                <w:color w:val="auto"/>
                <w:sz w:val="30"/>
                <w:szCs w:val="30"/>
                <w:highlight w:val="none"/>
              </w:rPr>
            </w:pPr>
          </w:p>
        </w:tc>
        <w:tc>
          <w:tcPr>
            <w:tcW w:w="1450" w:type="dxa"/>
            <w:vAlign w:val="top"/>
          </w:tcPr>
          <w:p w14:paraId="725A447C">
            <w:pPr>
              <w:pStyle w:val="37"/>
              <w:rPr>
                <w:rFonts w:ascii="Times New Roman" w:hAnsi="Times New Roman" w:eastAsia="仿宋_GB2312"/>
                <w:color w:val="auto"/>
                <w:sz w:val="30"/>
                <w:szCs w:val="30"/>
                <w:highlight w:val="none"/>
              </w:rPr>
            </w:pPr>
          </w:p>
        </w:tc>
        <w:tc>
          <w:tcPr>
            <w:tcW w:w="1243" w:type="dxa"/>
            <w:vAlign w:val="top"/>
          </w:tcPr>
          <w:p w14:paraId="3397F054">
            <w:pPr>
              <w:pStyle w:val="37"/>
              <w:rPr>
                <w:rFonts w:ascii="Times New Roman" w:hAnsi="Times New Roman" w:eastAsia="仿宋_GB2312"/>
                <w:color w:val="auto"/>
                <w:sz w:val="30"/>
                <w:szCs w:val="30"/>
                <w:highlight w:val="none"/>
              </w:rPr>
            </w:pPr>
          </w:p>
        </w:tc>
        <w:tc>
          <w:tcPr>
            <w:tcW w:w="1450" w:type="dxa"/>
            <w:vAlign w:val="top"/>
          </w:tcPr>
          <w:p w14:paraId="111F1D2A">
            <w:pPr>
              <w:pStyle w:val="37"/>
              <w:rPr>
                <w:rFonts w:ascii="Times New Roman" w:hAnsi="Times New Roman" w:eastAsia="仿宋_GB2312"/>
                <w:color w:val="auto"/>
                <w:sz w:val="30"/>
                <w:szCs w:val="30"/>
                <w:highlight w:val="none"/>
              </w:rPr>
            </w:pPr>
          </w:p>
        </w:tc>
        <w:tc>
          <w:tcPr>
            <w:tcW w:w="1667" w:type="dxa"/>
            <w:vAlign w:val="top"/>
          </w:tcPr>
          <w:p w14:paraId="14DDA000">
            <w:pPr>
              <w:pStyle w:val="37"/>
              <w:rPr>
                <w:rFonts w:ascii="Times New Roman" w:hAnsi="Times New Roman" w:eastAsia="仿宋_GB2312"/>
                <w:color w:val="auto"/>
                <w:sz w:val="30"/>
                <w:szCs w:val="30"/>
                <w:highlight w:val="none"/>
              </w:rPr>
            </w:pPr>
          </w:p>
        </w:tc>
      </w:tr>
      <w:tr w14:paraId="0307E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03467463">
            <w:pPr>
              <w:pStyle w:val="37"/>
              <w:rPr>
                <w:rFonts w:ascii="Times New Roman" w:hAnsi="Times New Roman" w:eastAsia="仿宋_GB2312"/>
                <w:color w:val="auto"/>
                <w:sz w:val="30"/>
                <w:szCs w:val="30"/>
                <w:highlight w:val="none"/>
              </w:rPr>
            </w:pPr>
          </w:p>
        </w:tc>
        <w:tc>
          <w:tcPr>
            <w:tcW w:w="1276" w:type="dxa"/>
            <w:vAlign w:val="top"/>
          </w:tcPr>
          <w:p w14:paraId="46CE0F75">
            <w:pPr>
              <w:pStyle w:val="37"/>
              <w:rPr>
                <w:rFonts w:ascii="Times New Roman" w:hAnsi="Times New Roman" w:eastAsia="仿宋_GB2312"/>
                <w:color w:val="auto"/>
                <w:sz w:val="30"/>
                <w:szCs w:val="30"/>
                <w:highlight w:val="none"/>
              </w:rPr>
            </w:pPr>
          </w:p>
        </w:tc>
        <w:tc>
          <w:tcPr>
            <w:tcW w:w="1450" w:type="dxa"/>
            <w:vAlign w:val="top"/>
          </w:tcPr>
          <w:p w14:paraId="583521E3">
            <w:pPr>
              <w:pStyle w:val="37"/>
              <w:rPr>
                <w:rFonts w:ascii="Times New Roman" w:hAnsi="Times New Roman" w:eastAsia="仿宋_GB2312"/>
                <w:color w:val="auto"/>
                <w:sz w:val="30"/>
                <w:szCs w:val="30"/>
                <w:highlight w:val="none"/>
              </w:rPr>
            </w:pPr>
          </w:p>
        </w:tc>
        <w:tc>
          <w:tcPr>
            <w:tcW w:w="1243" w:type="dxa"/>
            <w:vAlign w:val="top"/>
          </w:tcPr>
          <w:p w14:paraId="3B565B67">
            <w:pPr>
              <w:pStyle w:val="37"/>
              <w:rPr>
                <w:rFonts w:ascii="Times New Roman" w:hAnsi="Times New Roman" w:eastAsia="仿宋_GB2312"/>
                <w:color w:val="auto"/>
                <w:sz w:val="30"/>
                <w:szCs w:val="30"/>
                <w:highlight w:val="none"/>
              </w:rPr>
            </w:pPr>
          </w:p>
        </w:tc>
        <w:tc>
          <w:tcPr>
            <w:tcW w:w="1450" w:type="dxa"/>
            <w:vAlign w:val="top"/>
          </w:tcPr>
          <w:p w14:paraId="2C41D984">
            <w:pPr>
              <w:pStyle w:val="37"/>
              <w:rPr>
                <w:rFonts w:ascii="Times New Roman" w:hAnsi="Times New Roman" w:eastAsia="仿宋_GB2312"/>
                <w:color w:val="auto"/>
                <w:sz w:val="30"/>
                <w:szCs w:val="30"/>
                <w:highlight w:val="none"/>
              </w:rPr>
            </w:pPr>
          </w:p>
        </w:tc>
        <w:tc>
          <w:tcPr>
            <w:tcW w:w="1667" w:type="dxa"/>
            <w:vAlign w:val="top"/>
          </w:tcPr>
          <w:p w14:paraId="1EA0702B">
            <w:pPr>
              <w:pStyle w:val="37"/>
              <w:rPr>
                <w:rFonts w:ascii="Times New Roman" w:hAnsi="Times New Roman" w:eastAsia="仿宋_GB2312"/>
                <w:color w:val="auto"/>
                <w:sz w:val="30"/>
                <w:szCs w:val="30"/>
                <w:highlight w:val="none"/>
              </w:rPr>
            </w:pPr>
          </w:p>
        </w:tc>
      </w:tr>
      <w:tr w14:paraId="60403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47E95686">
            <w:pPr>
              <w:pStyle w:val="37"/>
              <w:rPr>
                <w:rFonts w:ascii="Times New Roman" w:hAnsi="Times New Roman" w:eastAsia="仿宋_GB2312"/>
                <w:color w:val="auto"/>
                <w:sz w:val="30"/>
                <w:szCs w:val="30"/>
                <w:highlight w:val="none"/>
              </w:rPr>
            </w:pPr>
          </w:p>
        </w:tc>
        <w:tc>
          <w:tcPr>
            <w:tcW w:w="1276" w:type="dxa"/>
            <w:vAlign w:val="top"/>
          </w:tcPr>
          <w:p w14:paraId="6488CE93">
            <w:pPr>
              <w:pStyle w:val="37"/>
              <w:rPr>
                <w:rFonts w:ascii="Times New Roman" w:hAnsi="Times New Roman" w:eastAsia="仿宋_GB2312"/>
                <w:color w:val="auto"/>
                <w:sz w:val="30"/>
                <w:szCs w:val="30"/>
                <w:highlight w:val="none"/>
              </w:rPr>
            </w:pPr>
          </w:p>
        </w:tc>
        <w:tc>
          <w:tcPr>
            <w:tcW w:w="1450" w:type="dxa"/>
            <w:vAlign w:val="top"/>
          </w:tcPr>
          <w:p w14:paraId="2567ADDA">
            <w:pPr>
              <w:pStyle w:val="37"/>
              <w:rPr>
                <w:rFonts w:ascii="Times New Roman" w:hAnsi="Times New Roman" w:eastAsia="仿宋_GB2312"/>
                <w:color w:val="auto"/>
                <w:sz w:val="30"/>
                <w:szCs w:val="30"/>
                <w:highlight w:val="none"/>
              </w:rPr>
            </w:pPr>
          </w:p>
        </w:tc>
        <w:tc>
          <w:tcPr>
            <w:tcW w:w="1243" w:type="dxa"/>
            <w:vAlign w:val="top"/>
          </w:tcPr>
          <w:p w14:paraId="5156B694">
            <w:pPr>
              <w:pStyle w:val="37"/>
              <w:rPr>
                <w:rFonts w:ascii="Times New Roman" w:hAnsi="Times New Roman" w:eastAsia="仿宋_GB2312"/>
                <w:color w:val="auto"/>
                <w:sz w:val="30"/>
                <w:szCs w:val="30"/>
                <w:highlight w:val="none"/>
              </w:rPr>
            </w:pPr>
          </w:p>
        </w:tc>
        <w:tc>
          <w:tcPr>
            <w:tcW w:w="1450" w:type="dxa"/>
            <w:vAlign w:val="top"/>
          </w:tcPr>
          <w:p w14:paraId="655E187D">
            <w:pPr>
              <w:pStyle w:val="37"/>
              <w:rPr>
                <w:rFonts w:ascii="Times New Roman" w:hAnsi="Times New Roman" w:eastAsia="仿宋_GB2312"/>
                <w:color w:val="auto"/>
                <w:sz w:val="30"/>
                <w:szCs w:val="30"/>
                <w:highlight w:val="none"/>
              </w:rPr>
            </w:pPr>
          </w:p>
        </w:tc>
        <w:tc>
          <w:tcPr>
            <w:tcW w:w="1667" w:type="dxa"/>
            <w:vAlign w:val="top"/>
          </w:tcPr>
          <w:p w14:paraId="3C6E0064">
            <w:pPr>
              <w:pStyle w:val="37"/>
              <w:rPr>
                <w:rFonts w:ascii="Times New Roman" w:hAnsi="Times New Roman" w:eastAsia="仿宋_GB2312"/>
                <w:color w:val="auto"/>
                <w:sz w:val="30"/>
                <w:szCs w:val="30"/>
                <w:highlight w:val="none"/>
              </w:rPr>
            </w:pPr>
          </w:p>
        </w:tc>
      </w:tr>
      <w:tr w14:paraId="2CEF6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1ED62019">
            <w:pPr>
              <w:pStyle w:val="37"/>
              <w:rPr>
                <w:rFonts w:ascii="Times New Roman" w:hAnsi="Times New Roman" w:eastAsia="仿宋_GB2312"/>
                <w:color w:val="auto"/>
                <w:sz w:val="30"/>
                <w:szCs w:val="30"/>
                <w:highlight w:val="none"/>
              </w:rPr>
            </w:pPr>
          </w:p>
        </w:tc>
        <w:tc>
          <w:tcPr>
            <w:tcW w:w="1276" w:type="dxa"/>
            <w:vAlign w:val="top"/>
          </w:tcPr>
          <w:p w14:paraId="1C57864B">
            <w:pPr>
              <w:pStyle w:val="37"/>
              <w:rPr>
                <w:rFonts w:ascii="Times New Roman" w:hAnsi="Times New Roman" w:eastAsia="仿宋_GB2312"/>
                <w:color w:val="auto"/>
                <w:sz w:val="30"/>
                <w:szCs w:val="30"/>
                <w:highlight w:val="none"/>
              </w:rPr>
            </w:pPr>
          </w:p>
        </w:tc>
        <w:tc>
          <w:tcPr>
            <w:tcW w:w="1450" w:type="dxa"/>
            <w:vAlign w:val="top"/>
          </w:tcPr>
          <w:p w14:paraId="501B729D">
            <w:pPr>
              <w:pStyle w:val="37"/>
              <w:rPr>
                <w:rFonts w:ascii="Times New Roman" w:hAnsi="Times New Roman" w:eastAsia="仿宋_GB2312"/>
                <w:color w:val="auto"/>
                <w:sz w:val="30"/>
                <w:szCs w:val="30"/>
                <w:highlight w:val="none"/>
              </w:rPr>
            </w:pPr>
          </w:p>
        </w:tc>
        <w:tc>
          <w:tcPr>
            <w:tcW w:w="1243" w:type="dxa"/>
            <w:vAlign w:val="top"/>
          </w:tcPr>
          <w:p w14:paraId="1629C143">
            <w:pPr>
              <w:pStyle w:val="37"/>
              <w:rPr>
                <w:rFonts w:ascii="Times New Roman" w:hAnsi="Times New Roman" w:eastAsia="仿宋_GB2312"/>
                <w:color w:val="auto"/>
                <w:sz w:val="30"/>
                <w:szCs w:val="30"/>
                <w:highlight w:val="none"/>
              </w:rPr>
            </w:pPr>
          </w:p>
        </w:tc>
        <w:tc>
          <w:tcPr>
            <w:tcW w:w="1450" w:type="dxa"/>
            <w:vAlign w:val="top"/>
          </w:tcPr>
          <w:p w14:paraId="0F48ACF0">
            <w:pPr>
              <w:pStyle w:val="37"/>
              <w:rPr>
                <w:rFonts w:ascii="Times New Roman" w:hAnsi="Times New Roman" w:eastAsia="仿宋_GB2312"/>
                <w:color w:val="auto"/>
                <w:sz w:val="30"/>
                <w:szCs w:val="30"/>
                <w:highlight w:val="none"/>
              </w:rPr>
            </w:pPr>
          </w:p>
        </w:tc>
        <w:tc>
          <w:tcPr>
            <w:tcW w:w="1667" w:type="dxa"/>
            <w:vAlign w:val="top"/>
          </w:tcPr>
          <w:p w14:paraId="70031711">
            <w:pPr>
              <w:pStyle w:val="37"/>
              <w:rPr>
                <w:rFonts w:ascii="Times New Roman" w:hAnsi="Times New Roman" w:eastAsia="仿宋_GB2312"/>
                <w:color w:val="auto"/>
                <w:sz w:val="30"/>
                <w:szCs w:val="30"/>
                <w:highlight w:val="none"/>
              </w:rPr>
            </w:pPr>
          </w:p>
        </w:tc>
      </w:tr>
      <w:tr w14:paraId="0A43B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36732531">
            <w:pPr>
              <w:pStyle w:val="37"/>
              <w:rPr>
                <w:rFonts w:ascii="Times New Roman" w:hAnsi="Times New Roman" w:eastAsia="仿宋_GB2312"/>
                <w:color w:val="auto"/>
                <w:sz w:val="30"/>
                <w:szCs w:val="30"/>
                <w:highlight w:val="none"/>
              </w:rPr>
            </w:pPr>
          </w:p>
        </w:tc>
        <w:tc>
          <w:tcPr>
            <w:tcW w:w="1276" w:type="dxa"/>
            <w:vAlign w:val="top"/>
          </w:tcPr>
          <w:p w14:paraId="6ED9837F">
            <w:pPr>
              <w:pStyle w:val="37"/>
              <w:rPr>
                <w:rFonts w:ascii="Times New Roman" w:hAnsi="Times New Roman" w:eastAsia="仿宋_GB2312"/>
                <w:color w:val="auto"/>
                <w:sz w:val="30"/>
                <w:szCs w:val="30"/>
                <w:highlight w:val="none"/>
              </w:rPr>
            </w:pPr>
          </w:p>
        </w:tc>
        <w:tc>
          <w:tcPr>
            <w:tcW w:w="1450" w:type="dxa"/>
            <w:vAlign w:val="top"/>
          </w:tcPr>
          <w:p w14:paraId="23A8857A">
            <w:pPr>
              <w:pStyle w:val="37"/>
              <w:rPr>
                <w:rFonts w:ascii="Times New Roman" w:hAnsi="Times New Roman" w:eastAsia="仿宋_GB2312"/>
                <w:color w:val="auto"/>
                <w:sz w:val="30"/>
                <w:szCs w:val="30"/>
                <w:highlight w:val="none"/>
              </w:rPr>
            </w:pPr>
          </w:p>
        </w:tc>
        <w:tc>
          <w:tcPr>
            <w:tcW w:w="1243" w:type="dxa"/>
            <w:vAlign w:val="top"/>
          </w:tcPr>
          <w:p w14:paraId="3DB8816D">
            <w:pPr>
              <w:pStyle w:val="37"/>
              <w:rPr>
                <w:rFonts w:ascii="Times New Roman" w:hAnsi="Times New Roman" w:eastAsia="仿宋_GB2312"/>
                <w:color w:val="auto"/>
                <w:sz w:val="30"/>
                <w:szCs w:val="30"/>
                <w:highlight w:val="none"/>
              </w:rPr>
            </w:pPr>
          </w:p>
        </w:tc>
        <w:tc>
          <w:tcPr>
            <w:tcW w:w="1450" w:type="dxa"/>
            <w:vAlign w:val="top"/>
          </w:tcPr>
          <w:p w14:paraId="1A754F82">
            <w:pPr>
              <w:pStyle w:val="37"/>
              <w:rPr>
                <w:rFonts w:ascii="Times New Roman" w:hAnsi="Times New Roman" w:eastAsia="仿宋_GB2312"/>
                <w:color w:val="auto"/>
                <w:sz w:val="30"/>
                <w:szCs w:val="30"/>
                <w:highlight w:val="none"/>
              </w:rPr>
            </w:pPr>
          </w:p>
        </w:tc>
        <w:tc>
          <w:tcPr>
            <w:tcW w:w="1667" w:type="dxa"/>
            <w:vAlign w:val="top"/>
          </w:tcPr>
          <w:p w14:paraId="156BF929">
            <w:pPr>
              <w:pStyle w:val="37"/>
              <w:rPr>
                <w:rFonts w:ascii="Times New Roman" w:hAnsi="Times New Roman" w:eastAsia="仿宋_GB2312"/>
                <w:color w:val="auto"/>
                <w:sz w:val="30"/>
                <w:szCs w:val="30"/>
                <w:highlight w:val="none"/>
              </w:rPr>
            </w:pPr>
          </w:p>
        </w:tc>
      </w:tr>
      <w:tr w14:paraId="4FC16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68459EA9">
            <w:pPr>
              <w:pStyle w:val="37"/>
              <w:rPr>
                <w:rFonts w:ascii="Times New Roman" w:hAnsi="Times New Roman" w:eastAsia="仿宋_GB2312"/>
                <w:color w:val="auto"/>
                <w:sz w:val="30"/>
                <w:szCs w:val="30"/>
                <w:highlight w:val="none"/>
              </w:rPr>
            </w:pPr>
          </w:p>
        </w:tc>
        <w:tc>
          <w:tcPr>
            <w:tcW w:w="1276" w:type="dxa"/>
            <w:vAlign w:val="top"/>
          </w:tcPr>
          <w:p w14:paraId="559A779E">
            <w:pPr>
              <w:pStyle w:val="37"/>
              <w:rPr>
                <w:rFonts w:ascii="Times New Roman" w:hAnsi="Times New Roman" w:eastAsia="仿宋_GB2312"/>
                <w:color w:val="auto"/>
                <w:sz w:val="30"/>
                <w:szCs w:val="30"/>
                <w:highlight w:val="none"/>
              </w:rPr>
            </w:pPr>
          </w:p>
        </w:tc>
        <w:tc>
          <w:tcPr>
            <w:tcW w:w="1450" w:type="dxa"/>
            <w:vAlign w:val="top"/>
          </w:tcPr>
          <w:p w14:paraId="70DE863F">
            <w:pPr>
              <w:pStyle w:val="37"/>
              <w:rPr>
                <w:rFonts w:ascii="Times New Roman" w:hAnsi="Times New Roman" w:eastAsia="仿宋_GB2312"/>
                <w:color w:val="auto"/>
                <w:sz w:val="30"/>
                <w:szCs w:val="30"/>
                <w:highlight w:val="none"/>
              </w:rPr>
            </w:pPr>
          </w:p>
        </w:tc>
        <w:tc>
          <w:tcPr>
            <w:tcW w:w="1243" w:type="dxa"/>
            <w:vAlign w:val="top"/>
          </w:tcPr>
          <w:p w14:paraId="1E5FF7F5">
            <w:pPr>
              <w:pStyle w:val="37"/>
              <w:rPr>
                <w:rFonts w:ascii="Times New Roman" w:hAnsi="Times New Roman" w:eastAsia="仿宋_GB2312"/>
                <w:color w:val="auto"/>
                <w:sz w:val="30"/>
                <w:szCs w:val="30"/>
                <w:highlight w:val="none"/>
              </w:rPr>
            </w:pPr>
          </w:p>
        </w:tc>
        <w:tc>
          <w:tcPr>
            <w:tcW w:w="1450" w:type="dxa"/>
            <w:vAlign w:val="top"/>
          </w:tcPr>
          <w:p w14:paraId="689CDA69">
            <w:pPr>
              <w:pStyle w:val="37"/>
              <w:rPr>
                <w:rFonts w:ascii="Times New Roman" w:hAnsi="Times New Roman" w:eastAsia="仿宋_GB2312"/>
                <w:color w:val="auto"/>
                <w:sz w:val="30"/>
                <w:szCs w:val="30"/>
                <w:highlight w:val="none"/>
              </w:rPr>
            </w:pPr>
          </w:p>
        </w:tc>
        <w:tc>
          <w:tcPr>
            <w:tcW w:w="1667" w:type="dxa"/>
            <w:vAlign w:val="top"/>
          </w:tcPr>
          <w:p w14:paraId="323585FF">
            <w:pPr>
              <w:pStyle w:val="37"/>
              <w:rPr>
                <w:rFonts w:ascii="Times New Roman" w:hAnsi="Times New Roman" w:eastAsia="仿宋_GB2312"/>
                <w:color w:val="auto"/>
                <w:sz w:val="30"/>
                <w:szCs w:val="30"/>
                <w:highlight w:val="none"/>
              </w:rPr>
            </w:pPr>
          </w:p>
        </w:tc>
      </w:tr>
      <w:tr w14:paraId="3D63C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243DB54A">
            <w:pPr>
              <w:pStyle w:val="37"/>
              <w:rPr>
                <w:rFonts w:ascii="Times New Roman" w:hAnsi="Times New Roman" w:eastAsia="仿宋_GB2312"/>
                <w:color w:val="auto"/>
                <w:sz w:val="30"/>
                <w:szCs w:val="30"/>
                <w:highlight w:val="none"/>
              </w:rPr>
            </w:pPr>
          </w:p>
        </w:tc>
        <w:tc>
          <w:tcPr>
            <w:tcW w:w="1276" w:type="dxa"/>
            <w:vAlign w:val="top"/>
          </w:tcPr>
          <w:p w14:paraId="5DA131B8">
            <w:pPr>
              <w:pStyle w:val="37"/>
              <w:rPr>
                <w:rFonts w:ascii="Times New Roman" w:hAnsi="Times New Roman" w:eastAsia="仿宋_GB2312"/>
                <w:color w:val="auto"/>
                <w:sz w:val="30"/>
                <w:szCs w:val="30"/>
                <w:highlight w:val="none"/>
              </w:rPr>
            </w:pPr>
          </w:p>
        </w:tc>
        <w:tc>
          <w:tcPr>
            <w:tcW w:w="1450" w:type="dxa"/>
            <w:vAlign w:val="top"/>
          </w:tcPr>
          <w:p w14:paraId="0B303002">
            <w:pPr>
              <w:pStyle w:val="37"/>
              <w:rPr>
                <w:rFonts w:ascii="Times New Roman" w:hAnsi="Times New Roman" w:eastAsia="仿宋_GB2312"/>
                <w:color w:val="auto"/>
                <w:sz w:val="30"/>
                <w:szCs w:val="30"/>
                <w:highlight w:val="none"/>
              </w:rPr>
            </w:pPr>
          </w:p>
        </w:tc>
        <w:tc>
          <w:tcPr>
            <w:tcW w:w="1243" w:type="dxa"/>
            <w:vAlign w:val="top"/>
          </w:tcPr>
          <w:p w14:paraId="63F1D0E7">
            <w:pPr>
              <w:pStyle w:val="37"/>
              <w:rPr>
                <w:rFonts w:ascii="Times New Roman" w:hAnsi="Times New Roman" w:eastAsia="仿宋_GB2312"/>
                <w:color w:val="auto"/>
                <w:sz w:val="30"/>
                <w:szCs w:val="30"/>
                <w:highlight w:val="none"/>
              </w:rPr>
            </w:pPr>
          </w:p>
        </w:tc>
        <w:tc>
          <w:tcPr>
            <w:tcW w:w="1450" w:type="dxa"/>
            <w:vAlign w:val="top"/>
          </w:tcPr>
          <w:p w14:paraId="3DF3A590">
            <w:pPr>
              <w:pStyle w:val="37"/>
              <w:rPr>
                <w:rFonts w:ascii="Times New Roman" w:hAnsi="Times New Roman" w:eastAsia="仿宋_GB2312"/>
                <w:color w:val="auto"/>
                <w:sz w:val="30"/>
                <w:szCs w:val="30"/>
                <w:highlight w:val="none"/>
              </w:rPr>
            </w:pPr>
          </w:p>
        </w:tc>
        <w:tc>
          <w:tcPr>
            <w:tcW w:w="1667" w:type="dxa"/>
            <w:vAlign w:val="top"/>
          </w:tcPr>
          <w:p w14:paraId="0A23D4CF">
            <w:pPr>
              <w:pStyle w:val="37"/>
              <w:rPr>
                <w:rFonts w:ascii="Times New Roman" w:hAnsi="Times New Roman" w:eastAsia="仿宋_GB2312"/>
                <w:color w:val="auto"/>
                <w:sz w:val="30"/>
                <w:szCs w:val="30"/>
                <w:highlight w:val="none"/>
              </w:rPr>
            </w:pPr>
          </w:p>
        </w:tc>
      </w:tr>
    </w:tbl>
    <w:p w14:paraId="5BC48199">
      <w:pPr>
        <w:pStyle w:val="37"/>
        <w:spacing w:line="440" w:lineRule="exact"/>
        <w:ind w:firstLine="600" w:firstLineChars="200"/>
        <w:rPr>
          <w:rFonts w:ascii="Times New Roman" w:hAnsi="Times New Roman" w:eastAsia="黑体"/>
          <w:color w:val="auto"/>
          <w:sz w:val="30"/>
          <w:szCs w:val="30"/>
          <w:highlight w:val="none"/>
        </w:rPr>
      </w:pPr>
      <w:r>
        <w:rPr>
          <w:rFonts w:ascii="Times New Roman" w:hAnsi="Times New Roman" w:eastAsia="仿宋_GB2312"/>
          <w:color w:val="auto"/>
          <w:sz w:val="30"/>
          <w:szCs w:val="30"/>
          <w:highlight w:val="none"/>
        </w:rPr>
        <w:br w:type="page"/>
      </w:r>
      <w:r>
        <w:rPr>
          <w:rFonts w:hint="eastAsia" w:ascii="Times New Roman" w:hAnsi="Times New Roman" w:eastAsia="仿宋_GB2312" w:cs="仿宋_GB2312"/>
          <w:color w:val="auto"/>
          <w:sz w:val="30"/>
          <w:szCs w:val="30"/>
          <w:highlight w:val="none"/>
        </w:rPr>
        <w:t>附件</w:t>
      </w:r>
      <w:r>
        <w:rPr>
          <w:rFonts w:hint="eastAsia" w:ascii="Times New Roman" w:hAnsi="Times New Roman" w:eastAsia="仿宋_GB2312"/>
          <w:color w:val="auto"/>
          <w:sz w:val="30"/>
          <w:szCs w:val="30"/>
          <w:highlight w:val="none"/>
        </w:rPr>
        <w:t>4</w:t>
      </w:r>
      <w:r>
        <w:rPr>
          <w:rFonts w:hint="eastAsia" w:ascii="Times New Roman" w:hAnsi="Times New Roman" w:eastAsia="仿宋_GB2312" w:cs="仿宋_GB2312"/>
          <w:color w:val="auto"/>
          <w:sz w:val="30"/>
          <w:szCs w:val="30"/>
          <w:highlight w:val="none"/>
        </w:rPr>
        <w:t>：</w:t>
      </w:r>
    </w:p>
    <w:p w14:paraId="1161F831">
      <w:pPr>
        <w:pStyle w:val="37"/>
        <w:spacing w:before="156" w:beforeLines="50" w:after="156" w:afterLines="50" w:line="440" w:lineRule="exact"/>
        <w:ind w:firstLine="600" w:firstLineChars="200"/>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承包人用于本工程施工的机械设备表</w:t>
      </w:r>
    </w:p>
    <w:tbl>
      <w:tblPr>
        <w:tblStyle w:val="22"/>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0FE6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2D64FCC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序号</w:t>
            </w:r>
          </w:p>
        </w:tc>
        <w:tc>
          <w:tcPr>
            <w:tcW w:w="1418" w:type="dxa"/>
            <w:vAlign w:val="center"/>
          </w:tcPr>
          <w:p w14:paraId="364E304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机械或设备名称</w:t>
            </w:r>
          </w:p>
        </w:tc>
        <w:tc>
          <w:tcPr>
            <w:tcW w:w="850" w:type="dxa"/>
            <w:vAlign w:val="center"/>
          </w:tcPr>
          <w:p w14:paraId="4E6251A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规格型号</w:t>
            </w:r>
          </w:p>
        </w:tc>
        <w:tc>
          <w:tcPr>
            <w:tcW w:w="1058" w:type="dxa"/>
            <w:vAlign w:val="center"/>
          </w:tcPr>
          <w:p w14:paraId="1101D85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数量</w:t>
            </w:r>
          </w:p>
        </w:tc>
        <w:tc>
          <w:tcPr>
            <w:tcW w:w="880" w:type="dxa"/>
            <w:vAlign w:val="center"/>
          </w:tcPr>
          <w:p w14:paraId="0613948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产地</w:t>
            </w:r>
          </w:p>
        </w:tc>
        <w:tc>
          <w:tcPr>
            <w:tcW w:w="1020" w:type="dxa"/>
            <w:vAlign w:val="center"/>
          </w:tcPr>
          <w:p w14:paraId="512024C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制造年份</w:t>
            </w:r>
          </w:p>
        </w:tc>
        <w:tc>
          <w:tcPr>
            <w:tcW w:w="1480" w:type="dxa"/>
            <w:vAlign w:val="center"/>
          </w:tcPr>
          <w:p w14:paraId="621F310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额定功率（</w:t>
            </w:r>
            <w:r>
              <w:rPr>
                <w:rFonts w:ascii="Times New Roman" w:hAnsi="Times New Roman" w:eastAsia="仿宋_GB2312"/>
                <w:color w:val="auto"/>
                <w:sz w:val="28"/>
                <w:szCs w:val="28"/>
                <w:highlight w:val="none"/>
              </w:rPr>
              <w:t>kW</w:t>
            </w:r>
            <w:r>
              <w:rPr>
                <w:rFonts w:hint="eastAsia" w:ascii="Times New Roman" w:hAnsi="Times New Roman" w:eastAsia="仿宋_GB2312" w:cs="仿宋_GB2312"/>
                <w:color w:val="auto"/>
                <w:sz w:val="28"/>
                <w:szCs w:val="28"/>
                <w:highlight w:val="none"/>
              </w:rPr>
              <w:t>）</w:t>
            </w:r>
          </w:p>
        </w:tc>
        <w:tc>
          <w:tcPr>
            <w:tcW w:w="1020" w:type="dxa"/>
            <w:vAlign w:val="center"/>
          </w:tcPr>
          <w:p w14:paraId="6CB3FB2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生产能力</w:t>
            </w:r>
          </w:p>
        </w:tc>
        <w:tc>
          <w:tcPr>
            <w:tcW w:w="921" w:type="dxa"/>
            <w:vAlign w:val="center"/>
          </w:tcPr>
          <w:p w14:paraId="4452A53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备注</w:t>
            </w:r>
          </w:p>
        </w:tc>
      </w:tr>
      <w:tr w14:paraId="5F37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2B8543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vAlign w:val="center"/>
          </w:tcPr>
          <w:p w14:paraId="28D9B6D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vAlign w:val="center"/>
          </w:tcPr>
          <w:p w14:paraId="2377113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vAlign w:val="center"/>
          </w:tcPr>
          <w:p w14:paraId="3436195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vAlign w:val="center"/>
          </w:tcPr>
          <w:p w14:paraId="1C7EA3D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744DCA8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vAlign w:val="center"/>
          </w:tcPr>
          <w:p w14:paraId="512AC47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6D8AB0E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vAlign w:val="center"/>
          </w:tcPr>
          <w:p w14:paraId="6250A08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1973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4722B1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vAlign w:val="center"/>
          </w:tcPr>
          <w:p w14:paraId="7427AC1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vAlign w:val="center"/>
          </w:tcPr>
          <w:p w14:paraId="5A7B683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vAlign w:val="center"/>
          </w:tcPr>
          <w:p w14:paraId="009C40C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vAlign w:val="center"/>
          </w:tcPr>
          <w:p w14:paraId="684C742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7AFBE34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vAlign w:val="center"/>
          </w:tcPr>
          <w:p w14:paraId="466BAF9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4AF8A72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vAlign w:val="center"/>
          </w:tcPr>
          <w:p w14:paraId="4C73E91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1789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FC8CBA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vAlign w:val="center"/>
          </w:tcPr>
          <w:p w14:paraId="68636C1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vAlign w:val="center"/>
          </w:tcPr>
          <w:p w14:paraId="3AFA23F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vAlign w:val="center"/>
          </w:tcPr>
          <w:p w14:paraId="42F8A2A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vAlign w:val="center"/>
          </w:tcPr>
          <w:p w14:paraId="3E60682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3D46B79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vAlign w:val="center"/>
          </w:tcPr>
          <w:p w14:paraId="3DE605E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6146190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vAlign w:val="center"/>
          </w:tcPr>
          <w:p w14:paraId="5BB47BC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E9A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CA7275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vAlign w:val="center"/>
          </w:tcPr>
          <w:p w14:paraId="2225D05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vAlign w:val="center"/>
          </w:tcPr>
          <w:p w14:paraId="72E73F4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vAlign w:val="center"/>
          </w:tcPr>
          <w:p w14:paraId="1D5F593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vAlign w:val="center"/>
          </w:tcPr>
          <w:p w14:paraId="3C5061E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2CB5313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vAlign w:val="center"/>
          </w:tcPr>
          <w:p w14:paraId="25E3FBD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2300D9A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vAlign w:val="center"/>
          </w:tcPr>
          <w:p w14:paraId="771B2A8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C14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2A203E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vAlign w:val="center"/>
          </w:tcPr>
          <w:p w14:paraId="41C4381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vAlign w:val="center"/>
          </w:tcPr>
          <w:p w14:paraId="126C3E6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vAlign w:val="center"/>
          </w:tcPr>
          <w:p w14:paraId="0BE55A3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vAlign w:val="center"/>
          </w:tcPr>
          <w:p w14:paraId="442CDEF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38DEA27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vAlign w:val="center"/>
          </w:tcPr>
          <w:p w14:paraId="36C0451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3043D34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vAlign w:val="center"/>
          </w:tcPr>
          <w:p w14:paraId="15AF0D6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7CF9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498C48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vAlign w:val="center"/>
          </w:tcPr>
          <w:p w14:paraId="171100B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vAlign w:val="center"/>
          </w:tcPr>
          <w:p w14:paraId="2FFAC25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vAlign w:val="center"/>
          </w:tcPr>
          <w:p w14:paraId="1ABF51B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vAlign w:val="center"/>
          </w:tcPr>
          <w:p w14:paraId="34F84B0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2BD1DCA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vAlign w:val="center"/>
          </w:tcPr>
          <w:p w14:paraId="6B99F5F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1DCEBF8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vAlign w:val="center"/>
          </w:tcPr>
          <w:p w14:paraId="2BD2C47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5DF8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AC2DAD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vAlign w:val="center"/>
          </w:tcPr>
          <w:p w14:paraId="4E42832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vAlign w:val="center"/>
          </w:tcPr>
          <w:p w14:paraId="10CF458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vAlign w:val="center"/>
          </w:tcPr>
          <w:p w14:paraId="434BC72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vAlign w:val="center"/>
          </w:tcPr>
          <w:p w14:paraId="0F908DD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582707A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vAlign w:val="center"/>
          </w:tcPr>
          <w:p w14:paraId="79A5587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12372F4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vAlign w:val="center"/>
          </w:tcPr>
          <w:p w14:paraId="447CEF3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75FD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16939F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vAlign w:val="center"/>
          </w:tcPr>
          <w:p w14:paraId="6BB747C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vAlign w:val="center"/>
          </w:tcPr>
          <w:p w14:paraId="6518EF1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vAlign w:val="center"/>
          </w:tcPr>
          <w:p w14:paraId="79151C7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vAlign w:val="center"/>
          </w:tcPr>
          <w:p w14:paraId="0DEF875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0CB6D87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vAlign w:val="center"/>
          </w:tcPr>
          <w:p w14:paraId="2D5F077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412D190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vAlign w:val="center"/>
          </w:tcPr>
          <w:p w14:paraId="02D0ACC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1D76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3AE2F495">
            <w:pPr>
              <w:pStyle w:val="37"/>
              <w:rPr>
                <w:rFonts w:ascii="Times New Roman" w:hAnsi="Times New Roman" w:eastAsia="仿宋_GB2312"/>
                <w:color w:val="auto"/>
                <w:sz w:val="30"/>
                <w:szCs w:val="30"/>
                <w:highlight w:val="none"/>
              </w:rPr>
            </w:pPr>
          </w:p>
        </w:tc>
        <w:tc>
          <w:tcPr>
            <w:tcW w:w="1418" w:type="dxa"/>
            <w:vAlign w:val="top"/>
          </w:tcPr>
          <w:p w14:paraId="502A8295">
            <w:pPr>
              <w:pStyle w:val="37"/>
              <w:rPr>
                <w:rFonts w:ascii="Times New Roman" w:hAnsi="Times New Roman" w:eastAsia="仿宋_GB2312"/>
                <w:color w:val="auto"/>
                <w:sz w:val="30"/>
                <w:szCs w:val="30"/>
                <w:highlight w:val="none"/>
              </w:rPr>
            </w:pPr>
          </w:p>
        </w:tc>
        <w:tc>
          <w:tcPr>
            <w:tcW w:w="850" w:type="dxa"/>
            <w:vAlign w:val="top"/>
          </w:tcPr>
          <w:p w14:paraId="07E73F35">
            <w:pPr>
              <w:pStyle w:val="37"/>
              <w:rPr>
                <w:rFonts w:ascii="Times New Roman" w:hAnsi="Times New Roman" w:eastAsia="仿宋_GB2312"/>
                <w:color w:val="auto"/>
                <w:sz w:val="30"/>
                <w:szCs w:val="30"/>
                <w:highlight w:val="none"/>
              </w:rPr>
            </w:pPr>
          </w:p>
        </w:tc>
        <w:tc>
          <w:tcPr>
            <w:tcW w:w="1058" w:type="dxa"/>
            <w:vAlign w:val="top"/>
          </w:tcPr>
          <w:p w14:paraId="431749C6">
            <w:pPr>
              <w:pStyle w:val="37"/>
              <w:rPr>
                <w:rFonts w:ascii="Times New Roman" w:hAnsi="Times New Roman" w:eastAsia="仿宋_GB2312"/>
                <w:color w:val="auto"/>
                <w:sz w:val="30"/>
                <w:szCs w:val="30"/>
                <w:highlight w:val="none"/>
              </w:rPr>
            </w:pPr>
          </w:p>
        </w:tc>
        <w:tc>
          <w:tcPr>
            <w:tcW w:w="880" w:type="dxa"/>
            <w:vAlign w:val="top"/>
          </w:tcPr>
          <w:p w14:paraId="014D757D">
            <w:pPr>
              <w:pStyle w:val="37"/>
              <w:rPr>
                <w:rFonts w:ascii="Times New Roman" w:hAnsi="Times New Roman" w:eastAsia="仿宋_GB2312"/>
                <w:color w:val="auto"/>
                <w:sz w:val="30"/>
                <w:szCs w:val="30"/>
                <w:highlight w:val="none"/>
              </w:rPr>
            </w:pPr>
          </w:p>
        </w:tc>
        <w:tc>
          <w:tcPr>
            <w:tcW w:w="1020" w:type="dxa"/>
            <w:vAlign w:val="top"/>
          </w:tcPr>
          <w:p w14:paraId="50E1FD66">
            <w:pPr>
              <w:pStyle w:val="37"/>
              <w:rPr>
                <w:rFonts w:ascii="Times New Roman" w:hAnsi="Times New Roman" w:eastAsia="仿宋_GB2312"/>
                <w:color w:val="auto"/>
                <w:sz w:val="30"/>
                <w:szCs w:val="30"/>
                <w:highlight w:val="none"/>
              </w:rPr>
            </w:pPr>
          </w:p>
        </w:tc>
        <w:tc>
          <w:tcPr>
            <w:tcW w:w="1480" w:type="dxa"/>
            <w:vAlign w:val="top"/>
          </w:tcPr>
          <w:p w14:paraId="0A8CFB24">
            <w:pPr>
              <w:pStyle w:val="37"/>
              <w:rPr>
                <w:rFonts w:ascii="Times New Roman" w:hAnsi="Times New Roman" w:eastAsia="仿宋_GB2312"/>
                <w:color w:val="auto"/>
                <w:sz w:val="30"/>
                <w:szCs w:val="30"/>
                <w:highlight w:val="none"/>
              </w:rPr>
            </w:pPr>
          </w:p>
        </w:tc>
        <w:tc>
          <w:tcPr>
            <w:tcW w:w="1020" w:type="dxa"/>
            <w:vAlign w:val="top"/>
          </w:tcPr>
          <w:p w14:paraId="7B7FD4B1">
            <w:pPr>
              <w:pStyle w:val="37"/>
              <w:rPr>
                <w:rFonts w:ascii="Times New Roman" w:hAnsi="Times New Roman" w:eastAsia="仿宋_GB2312"/>
                <w:color w:val="auto"/>
                <w:sz w:val="30"/>
                <w:szCs w:val="30"/>
                <w:highlight w:val="none"/>
              </w:rPr>
            </w:pPr>
          </w:p>
        </w:tc>
        <w:tc>
          <w:tcPr>
            <w:tcW w:w="921" w:type="dxa"/>
            <w:vAlign w:val="top"/>
          </w:tcPr>
          <w:p w14:paraId="2233D7C3">
            <w:pPr>
              <w:pStyle w:val="37"/>
              <w:rPr>
                <w:rFonts w:ascii="Times New Roman" w:hAnsi="Times New Roman" w:eastAsia="仿宋_GB2312"/>
                <w:color w:val="auto"/>
                <w:sz w:val="30"/>
                <w:szCs w:val="30"/>
                <w:highlight w:val="none"/>
              </w:rPr>
            </w:pPr>
          </w:p>
        </w:tc>
      </w:tr>
      <w:tr w14:paraId="7C39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67E88A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vAlign w:val="center"/>
          </w:tcPr>
          <w:p w14:paraId="1036C83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vAlign w:val="center"/>
          </w:tcPr>
          <w:p w14:paraId="08287D9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vAlign w:val="center"/>
          </w:tcPr>
          <w:p w14:paraId="4FF3DA5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vAlign w:val="center"/>
          </w:tcPr>
          <w:p w14:paraId="1D56731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3CAA395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vAlign w:val="center"/>
          </w:tcPr>
          <w:p w14:paraId="0AC9690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vAlign w:val="center"/>
          </w:tcPr>
          <w:p w14:paraId="587DBE5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vAlign w:val="center"/>
          </w:tcPr>
          <w:p w14:paraId="0A178CF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5F60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5BC26FA5">
            <w:pPr>
              <w:pStyle w:val="37"/>
              <w:rPr>
                <w:rFonts w:ascii="Times New Roman" w:hAnsi="Times New Roman" w:eastAsia="仿宋_GB2312"/>
                <w:color w:val="auto"/>
                <w:sz w:val="30"/>
                <w:szCs w:val="30"/>
                <w:highlight w:val="none"/>
              </w:rPr>
            </w:pPr>
          </w:p>
        </w:tc>
        <w:tc>
          <w:tcPr>
            <w:tcW w:w="1418" w:type="dxa"/>
            <w:vAlign w:val="top"/>
          </w:tcPr>
          <w:p w14:paraId="4DC0D9C3">
            <w:pPr>
              <w:pStyle w:val="37"/>
              <w:rPr>
                <w:rFonts w:ascii="Times New Roman" w:hAnsi="Times New Roman" w:eastAsia="仿宋_GB2312"/>
                <w:color w:val="auto"/>
                <w:sz w:val="30"/>
                <w:szCs w:val="30"/>
                <w:highlight w:val="none"/>
              </w:rPr>
            </w:pPr>
          </w:p>
        </w:tc>
        <w:tc>
          <w:tcPr>
            <w:tcW w:w="850" w:type="dxa"/>
            <w:vAlign w:val="top"/>
          </w:tcPr>
          <w:p w14:paraId="5A4E3ECB">
            <w:pPr>
              <w:pStyle w:val="37"/>
              <w:rPr>
                <w:rFonts w:ascii="Times New Roman" w:hAnsi="Times New Roman" w:eastAsia="仿宋_GB2312"/>
                <w:color w:val="auto"/>
                <w:sz w:val="30"/>
                <w:szCs w:val="30"/>
                <w:highlight w:val="none"/>
              </w:rPr>
            </w:pPr>
          </w:p>
        </w:tc>
        <w:tc>
          <w:tcPr>
            <w:tcW w:w="1058" w:type="dxa"/>
            <w:vAlign w:val="top"/>
          </w:tcPr>
          <w:p w14:paraId="7A675D5E">
            <w:pPr>
              <w:pStyle w:val="37"/>
              <w:rPr>
                <w:rFonts w:ascii="Times New Roman" w:hAnsi="Times New Roman" w:eastAsia="仿宋_GB2312"/>
                <w:color w:val="auto"/>
                <w:sz w:val="30"/>
                <w:szCs w:val="30"/>
                <w:highlight w:val="none"/>
              </w:rPr>
            </w:pPr>
          </w:p>
        </w:tc>
        <w:tc>
          <w:tcPr>
            <w:tcW w:w="880" w:type="dxa"/>
            <w:vAlign w:val="top"/>
          </w:tcPr>
          <w:p w14:paraId="497A3EC8">
            <w:pPr>
              <w:pStyle w:val="37"/>
              <w:rPr>
                <w:rFonts w:ascii="Times New Roman" w:hAnsi="Times New Roman" w:eastAsia="仿宋_GB2312"/>
                <w:color w:val="auto"/>
                <w:sz w:val="30"/>
                <w:szCs w:val="30"/>
                <w:highlight w:val="none"/>
              </w:rPr>
            </w:pPr>
          </w:p>
        </w:tc>
        <w:tc>
          <w:tcPr>
            <w:tcW w:w="1020" w:type="dxa"/>
            <w:vAlign w:val="top"/>
          </w:tcPr>
          <w:p w14:paraId="204F993A">
            <w:pPr>
              <w:pStyle w:val="37"/>
              <w:rPr>
                <w:rFonts w:ascii="Times New Roman" w:hAnsi="Times New Roman" w:eastAsia="仿宋_GB2312"/>
                <w:color w:val="auto"/>
                <w:sz w:val="30"/>
                <w:szCs w:val="30"/>
                <w:highlight w:val="none"/>
              </w:rPr>
            </w:pPr>
          </w:p>
        </w:tc>
        <w:tc>
          <w:tcPr>
            <w:tcW w:w="1480" w:type="dxa"/>
            <w:vAlign w:val="top"/>
          </w:tcPr>
          <w:p w14:paraId="1C47E6C4">
            <w:pPr>
              <w:pStyle w:val="37"/>
              <w:rPr>
                <w:rFonts w:ascii="Times New Roman" w:hAnsi="Times New Roman" w:eastAsia="仿宋_GB2312"/>
                <w:color w:val="auto"/>
                <w:sz w:val="30"/>
                <w:szCs w:val="30"/>
                <w:highlight w:val="none"/>
              </w:rPr>
            </w:pPr>
          </w:p>
        </w:tc>
        <w:tc>
          <w:tcPr>
            <w:tcW w:w="1020" w:type="dxa"/>
            <w:vAlign w:val="top"/>
          </w:tcPr>
          <w:p w14:paraId="248FCC64">
            <w:pPr>
              <w:pStyle w:val="37"/>
              <w:rPr>
                <w:rFonts w:ascii="Times New Roman" w:hAnsi="Times New Roman" w:eastAsia="仿宋_GB2312"/>
                <w:color w:val="auto"/>
                <w:sz w:val="30"/>
                <w:szCs w:val="30"/>
                <w:highlight w:val="none"/>
              </w:rPr>
            </w:pPr>
          </w:p>
        </w:tc>
        <w:tc>
          <w:tcPr>
            <w:tcW w:w="921" w:type="dxa"/>
            <w:vAlign w:val="top"/>
          </w:tcPr>
          <w:p w14:paraId="1451AB37">
            <w:pPr>
              <w:pStyle w:val="37"/>
              <w:rPr>
                <w:rFonts w:ascii="Times New Roman" w:hAnsi="Times New Roman" w:eastAsia="仿宋_GB2312"/>
                <w:color w:val="auto"/>
                <w:sz w:val="30"/>
                <w:szCs w:val="30"/>
                <w:highlight w:val="none"/>
              </w:rPr>
            </w:pPr>
          </w:p>
        </w:tc>
      </w:tr>
      <w:tr w14:paraId="6315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208AAC68">
            <w:pPr>
              <w:pStyle w:val="37"/>
              <w:rPr>
                <w:rFonts w:ascii="Times New Roman" w:hAnsi="Times New Roman" w:eastAsia="仿宋_GB2312"/>
                <w:color w:val="auto"/>
                <w:sz w:val="30"/>
                <w:szCs w:val="30"/>
                <w:highlight w:val="none"/>
              </w:rPr>
            </w:pPr>
          </w:p>
        </w:tc>
        <w:tc>
          <w:tcPr>
            <w:tcW w:w="1418" w:type="dxa"/>
            <w:vAlign w:val="top"/>
          </w:tcPr>
          <w:p w14:paraId="15F43892">
            <w:pPr>
              <w:pStyle w:val="37"/>
              <w:rPr>
                <w:rFonts w:ascii="Times New Roman" w:hAnsi="Times New Roman" w:eastAsia="仿宋_GB2312"/>
                <w:color w:val="auto"/>
                <w:sz w:val="30"/>
                <w:szCs w:val="30"/>
                <w:highlight w:val="none"/>
              </w:rPr>
            </w:pPr>
          </w:p>
        </w:tc>
        <w:tc>
          <w:tcPr>
            <w:tcW w:w="850" w:type="dxa"/>
            <w:vAlign w:val="top"/>
          </w:tcPr>
          <w:p w14:paraId="5BAAD87C">
            <w:pPr>
              <w:pStyle w:val="37"/>
              <w:rPr>
                <w:rFonts w:ascii="Times New Roman" w:hAnsi="Times New Roman" w:eastAsia="仿宋_GB2312"/>
                <w:color w:val="auto"/>
                <w:sz w:val="30"/>
                <w:szCs w:val="30"/>
                <w:highlight w:val="none"/>
              </w:rPr>
            </w:pPr>
          </w:p>
        </w:tc>
        <w:tc>
          <w:tcPr>
            <w:tcW w:w="1058" w:type="dxa"/>
            <w:vAlign w:val="top"/>
          </w:tcPr>
          <w:p w14:paraId="70FC93E3">
            <w:pPr>
              <w:pStyle w:val="37"/>
              <w:rPr>
                <w:rFonts w:ascii="Times New Roman" w:hAnsi="Times New Roman" w:eastAsia="仿宋_GB2312"/>
                <w:color w:val="auto"/>
                <w:sz w:val="30"/>
                <w:szCs w:val="30"/>
                <w:highlight w:val="none"/>
              </w:rPr>
            </w:pPr>
          </w:p>
        </w:tc>
        <w:tc>
          <w:tcPr>
            <w:tcW w:w="880" w:type="dxa"/>
            <w:vAlign w:val="top"/>
          </w:tcPr>
          <w:p w14:paraId="1B087A1D">
            <w:pPr>
              <w:pStyle w:val="37"/>
              <w:rPr>
                <w:rFonts w:ascii="Times New Roman" w:hAnsi="Times New Roman" w:eastAsia="仿宋_GB2312"/>
                <w:color w:val="auto"/>
                <w:sz w:val="30"/>
                <w:szCs w:val="30"/>
                <w:highlight w:val="none"/>
              </w:rPr>
            </w:pPr>
          </w:p>
        </w:tc>
        <w:tc>
          <w:tcPr>
            <w:tcW w:w="1020" w:type="dxa"/>
            <w:vAlign w:val="top"/>
          </w:tcPr>
          <w:p w14:paraId="191C8C37">
            <w:pPr>
              <w:pStyle w:val="37"/>
              <w:rPr>
                <w:rFonts w:ascii="Times New Roman" w:hAnsi="Times New Roman" w:eastAsia="仿宋_GB2312"/>
                <w:color w:val="auto"/>
                <w:sz w:val="30"/>
                <w:szCs w:val="30"/>
                <w:highlight w:val="none"/>
              </w:rPr>
            </w:pPr>
          </w:p>
        </w:tc>
        <w:tc>
          <w:tcPr>
            <w:tcW w:w="1480" w:type="dxa"/>
            <w:vAlign w:val="top"/>
          </w:tcPr>
          <w:p w14:paraId="0914C0BB">
            <w:pPr>
              <w:pStyle w:val="37"/>
              <w:rPr>
                <w:rFonts w:ascii="Times New Roman" w:hAnsi="Times New Roman" w:eastAsia="仿宋_GB2312"/>
                <w:color w:val="auto"/>
                <w:sz w:val="30"/>
                <w:szCs w:val="30"/>
                <w:highlight w:val="none"/>
              </w:rPr>
            </w:pPr>
          </w:p>
        </w:tc>
        <w:tc>
          <w:tcPr>
            <w:tcW w:w="1020" w:type="dxa"/>
            <w:vAlign w:val="top"/>
          </w:tcPr>
          <w:p w14:paraId="5AD44EB7">
            <w:pPr>
              <w:pStyle w:val="37"/>
              <w:rPr>
                <w:rFonts w:ascii="Times New Roman" w:hAnsi="Times New Roman" w:eastAsia="仿宋_GB2312"/>
                <w:color w:val="auto"/>
                <w:sz w:val="30"/>
                <w:szCs w:val="30"/>
                <w:highlight w:val="none"/>
              </w:rPr>
            </w:pPr>
          </w:p>
        </w:tc>
        <w:tc>
          <w:tcPr>
            <w:tcW w:w="921" w:type="dxa"/>
            <w:vAlign w:val="top"/>
          </w:tcPr>
          <w:p w14:paraId="4E6F145A">
            <w:pPr>
              <w:pStyle w:val="37"/>
              <w:rPr>
                <w:rFonts w:ascii="Times New Roman" w:hAnsi="Times New Roman" w:eastAsia="仿宋_GB2312"/>
                <w:color w:val="auto"/>
                <w:sz w:val="30"/>
                <w:szCs w:val="30"/>
                <w:highlight w:val="none"/>
              </w:rPr>
            </w:pPr>
          </w:p>
        </w:tc>
      </w:tr>
      <w:tr w14:paraId="2EE4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247DC778">
            <w:pPr>
              <w:pStyle w:val="37"/>
              <w:rPr>
                <w:rFonts w:ascii="Times New Roman" w:hAnsi="Times New Roman" w:eastAsia="仿宋_GB2312"/>
                <w:color w:val="auto"/>
                <w:sz w:val="30"/>
                <w:szCs w:val="30"/>
                <w:highlight w:val="none"/>
              </w:rPr>
            </w:pPr>
          </w:p>
        </w:tc>
        <w:tc>
          <w:tcPr>
            <w:tcW w:w="1418" w:type="dxa"/>
            <w:vAlign w:val="top"/>
          </w:tcPr>
          <w:p w14:paraId="4B495D00">
            <w:pPr>
              <w:pStyle w:val="37"/>
              <w:rPr>
                <w:rFonts w:ascii="Times New Roman" w:hAnsi="Times New Roman" w:eastAsia="仿宋_GB2312"/>
                <w:color w:val="auto"/>
                <w:sz w:val="30"/>
                <w:szCs w:val="30"/>
                <w:highlight w:val="none"/>
              </w:rPr>
            </w:pPr>
          </w:p>
        </w:tc>
        <w:tc>
          <w:tcPr>
            <w:tcW w:w="850" w:type="dxa"/>
            <w:vAlign w:val="top"/>
          </w:tcPr>
          <w:p w14:paraId="214B6A0F">
            <w:pPr>
              <w:pStyle w:val="37"/>
              <w:rPr>
                <w:rFonts w:ascii="Times New Roman" w:hAnsi="Times New Roman" w:eastAsia="仿宋_GB2312"/>
                <w:color w:val="auto"/>
                <w:sz w:val="30"/>
                <w:szCs w:val="30"/>
                <w:highlight w:val="none"/>
              </w:rPr>
            </w:pPr>
          </w:p>
        </w:tc>
        <w:tc>
          <w:tcPr>
            <w:tcW w:w="1058" w:type="dxa"/>
            <w:vAlign w:val="top"/>
          </w:tcPr>
          <w:p w14:paraId="65C6CEEF">
            <w:pPr>
              <w:pStyle w:val="37"/>
              <w:rPr>
                <w:rFonts w:ascii="Times New Roman" w:hAnsi="Times New Roman" w:eastAsia="仿宋_GB2312"/>
                <w:color w:val="auto"/>
                <w:sz w:val="30"/>
                <w:szCs w:val="30"/>
                <w:highlight w:val="none"/>
              </w:rPr>
            </w:pPr>
          </w:p>
        </w:tc>
        <w:tc>
          <w:tcPr>
            <w:tcW w:w="880" w:type="dxa"/>
            <w:vAlign w:val="top"/>
          </w:tcPr>
          <w:p w14:paraId="1026112E">
            <w:pPr>
              <w:pStyle w:val="37"/>
              <w:rPr>
                <w:rFonts w:ascii="Times New Roman" w:hAnsi="Times New Roman" w:eastAsia="仿宋_GB2312"/>
                <w:color w:val="auto"/>
                <w:sz w:val="30"/>
                <w:szCs w:val="30"/>
                <w:highlight w:val="none"/>
              </w:rPr>
            </w:pPr>
          </w:p>
        </w:tc>
        <w:tc>
          <w:tcPr>
            <w:tcW w:w="1020" w:type="dxa"/>
            <w:vAlign w:val="top"/>
          </w:tcPr>
          <w:p w14:paraId="205C5B61">
            <w:pPr>
              <w:pStyle w:val="37"/>
              <w:rPr>
                <w:rFonts w:ascii="Times New Roman" w:hAnsi="Times New Roman" w:eastAsia="仿宋_GB2312"/>
                <w:color w:val="auto"/>
                <w:sz w:val="30"/>
                <w:szCs w:val="30"/>
                <w:highlight w:val="none"/>
              </w:rPr>
            </w:pPr>
          </w:p>
        </w:tc>
        <w:tc>
          <w:tcPr>
            <w:tcW w:w="1480" w:type="dxa"/>
            <w:vAlign w:val="top"/>
          </w:tcPr>
          <w:p w14:paraId="3C0204E4">
            <w:pPr>
              <w:pStyle w:val="37"/>
              <w:rPr>
                <w:rFonts w:ascii="Times New Roman" w:hAnsi="Times New Roman" w:eastAsia="仿宋_GB2312"/>
                <w:color w:val="auto"/>
                <w:sz w:val="30"/>
                <w:szCs w:val="30"/>
                <w:highlight w:val="none"/>
              </w:rPr>
            </w:pPr>
          </w:p>
        </w:tc>
        <w:tc>
          <w:tcPr>
            <w:tcW w:w="1020" w:type="dxa"/>
            <w:vAlign w:val="top"/>
          </w:tcPr>
          <w:p w14:paraId="009493C1">
            <w:pPr>
              <w:pStyle w:val="37"/>
              <w:rPr>
                <w:rFonts w:ascii="Times New Roman" w:hAnsi="Times New Roman" w:eastAsia="仿宋_GB2312"/>
                <w:color w:val="auto"/>
                <w:sz w:val="30"/>
                <w:szCs w:val="30"/>
                <w:highlight w:val="none"/>
              </w:rPr>
            </w:pPr>
          </w:p>
        </w:tc>
        <w:tc>
          <w:tcPr>
            <w:tcW w:w="921" w:type="dxa"/>
            <w:vAlign w:val="top"/>
          </w:tcPr>
          <w:p w14:paraId="32137D8F">
            <w:pPr>
              <w:pStyle w:val="37"/>
              <w:rPr>
                <w:rFonts w:ascii="Times New Roman" w:hAnsi="Times New Roman" w:eastAsia="仿宋_GB2312"/>
                <w:color w:val="auto"/>
                <w:sz w:val="30"/>
                <w:szCs w:val="30"/>
                <w:highlight w:val="none"/>
              </w:rPr>
            </w:pPr>
          </w:p>
        </w:tc>
      </w:tr>
      <w:tr w14:paraId="64E3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4C02DE4C">
            <w:pPr>
              <w:pStyle w:val="37"/>
              <w:rPr>
                <w:rFonts w:ascii="Times New Roman" w:hAnsi="Times New Roman" w:eastAsia="仿宋_GB2312"/>
                <w:color w:val="auto"/>
                <w:sz w:val="30"/>
                <w:szCs w:val="30"/>
                <w:highlight w:val="none"/>
              </w:rPr>
            </w:pPr>
          </w:p>
        </w:tc>
        <w:tc>
          <w:tcPr>
            <w:tcW w:w="1418" w:type="dxa"/>
            <w:vAlign w:val="top"/>
          </w:tcPr>
          <w:p w14:paraId="126DB201">
            <w:pPr>
              <w:pStyle w:val="37"/>
              <w:rPr>
                <w:rFonts w:ascii="Times New Roman" w:hAnsi="Times New Roman" w:eastAsia="仿宋_GB2312"/>
                <w:color w:val="auto"/>
                <w:sz w:val="30"/>
                <w:szCs w:val="30"/>
                <w:highlight w:val="none"/>
              </w:rPr>
            </w:pPr>
          </w:p>
        </w:tc>
        <w:tc>
          <w:tcPr>
            <w:tcW w:w="850" w:type="dxa"/>
            <w:vAlign w:val="top"/>
          </w:tcPr>
          <w:p w14:paraId="03D2F84C">
            <w:pPr>
              <w:pStyle w:val="37"/>
              <w:rPr>
                <w:rFonts w:ascii="Times New Roman" w:hAnsi="Times New Roman" w:eastAsia="仿宋_GB2312"/>
                <w:color w:val="auto"/>
                <w:sz w:val="30"/>
                <w:szCs w:val="30"/>
                <w:highlight w:val="none"/>
              </w:rPr>
            </w:pPr>
          </w:p>
        </w:tc>
        <w:tc>
          <w:tcPr>
            <w:tcW w:w="1058" w:type="dxa"/>
            <w:vAlign w:val="top"/>
          </w:tcPr>
          <w:p w14:paraId="21EF0014">
            <w:pPr>
              <w:pStyle w:val="37"/>
              <w:rPr>
                <w:rFonts w:ascii="Times New Roman" w:hAnsi="Times New Roman" w:eastAsia="仿宋_GB2312"/>
                <w:color w:val="auto"/>
                <w:sz w:val="30"/>
                <w:szCs w:val="30"/>
                <w:highlight w:val="none"/>
              </w:rPr>
            </w:pPr>
          </w:p>
        </w:tc>
        <w:tc>
          <w:tcPr>
            <w:tcW w:w="880" w:type="dxa"/>
            <w:vAlign w:val="top"/>
          </w:tcPr>
          <w:p w14:paraId="518364C1">
            <w:pPr>
              <w:pStyle w:val="37"/>
              <w:rPr>
                <w:rFonts w:ascii="Times New Roman" w:hAnsi="Times New Roman" w:eastAsia="仿宋_GB2312"/>
                <w:color w:val="auto"/>
                <w:sz w:val="30"/>
                <w:szCs w:val="30"/>
                <w:highlight w:val="none"/>
              </w:rPr>
            </w:pPr>
          </w:p>
        </w:tc>
        <w:tc>
          <w:tcPr>
            <w:tcW w:w="1020" w:type="dxa"/>
            <w:vAlign w:val="top"/>
          </w:tcPr>
          <w:p w14:paraId="64DA7461">
            <w:pPr>
              <w:pStyle w:val="37"/>
              <w:rPr>
                <w:rFonts w:ascii="Times New Roman" w:hAnsi="Times New Roman" w:eastAsia="仿宋_GB2312"/>
                <w:color w:val="auto"/>
                <w:sz w:val="30"/>
                <w:szCs w:val="30"/>
                <w:highlight w:val="none"/>
              </w:rPr>
            </w:pPr>
          </w:p>
        </w:tc>
        <w:tc>
          <w:tcPr>
            <w:tcW w:w="1480" w:type="dxa"/>
            <w:vAlign w:val="top"/>
          </w:tcPr>
          <w:p w14:paraId="217FA8DE">
            <w:pPr>
              <w:pStyle w:val="37"/>
              <w:rPr>
                <w:rFonts w:ascii="Times New Roman" w:hAnsi="Times New Roman" w:eastAsia="仿宋_GB2312"/>
                <w:color w:val="auto"/>
                <w:sz w:val="30"/>
                <w:szCs w:val="30"/>
                <w:highlight w:val="none"/>
              </w:rPr>
            </w:pPr>
          </w:p>
        </w:tc>
        <w:tc>
          <w:tcPr>
            <w:tcW w:w="1020" w:type="dxa"/>
            <w:vAlign w:val="top"/>
          </w:tcPr>
          <w:p w14:paraId="4313140F">
            <w:pPr>
              <w:pStyle w:val="37"/>
              <w:rPr>
                <w:rFonts w:ascii="Times New Roman" w:hAnsi="Times New Roman" w:eastAsia="仿宋_GB2312"/>
                <w:color w:val="auto"/>
                <w:sz w:val="30"/>
                <w:szCs w:val="30"/>
                <w:highlight w:val="none"/>
              </w:rPr>
            </w:pPr>
          </w:p>
        </w:tc>
        <w:tc>
          <w:tcPr>
            <w:tcW w:w="921" w:type="dxa"/>
            <w:vAlign w:val="top"/>
          </w:tcPr>
          <w:p w14:paraId="39FCD7F7">
            <w:pPr>
              <w:pStyle w:val="37"/>
              <w:rPr>
                <w:rFonts w:ascii="Times New Roman" w:hAnsi="Times New Roman" w:eastAsia="仿宋_GB2312"/>
                <w:color w:val="auto"/>
                <w:sz w:val="30"/>
                <w:szCs w:val="30"/>
                <w:highlight w:val="none"/>
              </w:rPr>
            </w:pPr>
          </w:p>
        </w:tc>
      </w:tr>
      <w:tr w14:paraId="7E3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3AECDDD4">
            <w:pPr>
              <w:pStyle w:val="37"/>
              <w:rPr>
                <w:rFonts w:ascii="Times New Roman" w:hAnsi="Times New Roman" w:eastAsia="仿宋_GB2312"/>
                <w:color w:val="auto"/>
                <w:sz w:val="30"/>
                <w:szCs w:val="30"/>
                <w:highlight w:val="none"/>
              </w:rPr>
            </w:pPr>
          </w:p>
        </w:tc>
        <w:tc>
          <w:tcPr>
            <w:tcW w:w="1418" w:type="dxa"/>
            <w:vAlign w:val="top"/>
          </w:tcPr>
          <w:p w14:paraId="529899E1">
            <w:pPr>
              <w:pStyle w:val="37"/>
              <w:rPr>
                <w:rFonts w:ascii="Times New Roman" w:hAnsi="Times New Roman" w:eastAsia="仿宋_GB2312"/>
                <w:color w:val="auto"/>
                <w:sz w:val="30"/>
                <w:szCs w:val="30"/>
                <w:highlight w:val="none"/>
              </w:rPr>
            </w:pPr>
          </w:p>
        </w:tc>
        <w:tc>
          <w:tcPr>
            <w:tcW w:w="850" w:type="dxa"/>
            <w:vAlign w:val="top"/>
          </w:tcPr>
          <w:p w14:paraId="400FB6BD">
            <w:pPr>
              <w:pStyle w:val="37"/>
              <w:rPr>
                <w:rFonts w:ascii="Times New Roman" w:hAnsi="Times New Roman" w:eastAsia="仿宋_GB2312"/>
                <w:color w:val="auto"/>
                <w:sz w:val="30"/>
                <w:szCs w:val="30"/>
                <w:highlight w:val="none"/>
              </w:rPr>
            </w:pPr>
          </w:p>
        </w:tc>
        <w:tc>
          <w:tcPr>
            <w:tcW w:w="1058" w:type="dxa"/>
            <w:vAlign w:val="top"/>
          </w:tcPr>
          <w:p w14:paraId="120C5CD1">
            <w:pPr>
              <w:pStyle w:val="37"/>
              <w:rPr>
                <w:rFonts w:ascii="Times New Roman" w:hAnsi="Times New Roman" w:eastAsia="仿宋_GB2312"/>
                <w:color w:val="auto"/>
                <w:sz w:val="30"/>
                <w:szCs w:val="30"/>
                <w:highlight w:val="none"/>
              </w:rPr>
            </w:pPr>
          </w:p>
        </w:tc>
        <w:tc>
          <w:tcPr>
            <w:tcW w:w="880" w:type="dxa"/>
            <w:vAlign w:val="top"/>
          </w:tcPr>
          <w:p w14:paraId="4AC5EFEE">
            <w:pPr>
              <w:pStyle w:val="37"/>
              <w:rPr>
                <w:rFonts w:ascii="Times New Roman" w:hAnsi="Times New Roman" w:eastAsia="仿宋_GB2312"/>
                <w:color w:val="auto"/>
                <w:sz w:val="30"/>
                <w:szCs w:val="30"/>
                <w:highlight w:val="none"/>
              </w:rPr>
            </w:pPr>
          </w:p>
        </w:tc>
        <w:tc>
          <w:tcPr>
            <w:tcW w:w="1020" w:type="dxa"/>
            <w:vAlign w:val="top"/>
          </w:tcPr>
          <w:p w14:paraId="04F4147F">
            <w:pPr>
              <w:pStyle w:val="37"/>
              <w:rPr>
                <w:rFonts w:ascii="Times New Roman" w:hAnsi="Times New Roman" w:eastAsia="仿宋_GB2312"/>
                <w:color w:val="auto"/>
                <w:sz w:val="30"/>
                <w:szCs w:val="30"/>
                <w:highlight w:val="none"/>
              </w:rPr>
            </w:pPr>
          </w:p>
        </w:tc>
        <w:tc>
          <w:tcPr>
            <w:tcW w:w="1480" w:type="dxa"/>
            <w:vAlign w:val="top"/>
          </w:tcPr>
          <w:p w14:paraId="63D70FB1">
            <w:pPr>
              <w:pStyle w:val="37"/>
              <w:rPr>
                <w:rFonts w:ascii="Times New Roman" w:hAnsi="Times New Roman" w:eastAsia="仿宋_GB2312"/>
                <w:color w:val="auto"/>
                <w:sz w:val="30"/>
                <w:szCs w:val="30"/>
                <w:highlight w:val="none"/>
              </w:rPr>
            </w:pPr>
          </w:p>
        </w:tc>
        <w:tc>
          <w:tcPr>
            <w:tcW w:w="1020" w:type="dxa"/>
            <w:vAlign w:val="top"/>
          </w:tcPr>
          <w:p w14:paraId="3A3B89F4">
            <w:pPr>
              <w:pStyle w:val="37"/>
              <w:rPr>
                <w:rFonts w:ascii="Times New Roman" w:hAnsi="Times New Roman" w:eastAsia="仿宋_GB2312"/>
                <w:color w:val="auto"/>
                <w:sz w:val="30"/>
                <w:szCs w:val="30"/>
                <w:highlight w:val="none"/>
              </w:rPr>
            </w:pPr>
          </w:p>
        </w:tc>
        <w:tc>
          <w:tcPr>
            <w:tcW w:w="921" w:type="dxa"/>
            <w:vAlign w:val="top"/>
          </w:tcPr>
          <w:p w14:paraId="0EC4FE63">
            <w:pPr>
              <w:pStyle w:val="37"/>
              <w:rPr>
                <w:rFonts w:ascii="Times New Roman" w:hAnsi="Times New Roman" w:eastAsia="仿宋_GB2312"/>
                <w:color w:val="auto"/>
                <w:sz w:val="30"/>
                <w:szCs w:val="30"/>
                <w:highlight w:val="none"/>
              </w:rPr>
            </w:pPr>
          </w:p>
        </w:tc>
      </w:tr>
      <w:tr w14:paraId="2159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561FA7F4">
            <w:pPr>
              <w:pStyle w:val="37"/>
              <w:rPr>
                <w:rFonts w:ascii="Times New Roman" w:hAnsi="Times New Roman" w:eastAsia="仿宋_GB2312"/>
                <w:color w:val="auto"/>
                <w:sz w:val="30"/>
                <w:szCs w:val="30"/>
                <w:highlight w:val="none"/>
              </w:rPr>
            </w:pPr>
          </w:p>
        </w:tc>
        <w:tc>
          <w:tcPr>
            <w:tcW w:w="1418" w:type="dxa"/>
            <w:vAlign w:val="top"/>
          </w:tcPr>
          <w:p w14:paraId="0BD2FDB9">
            <w:pPr>
              <w:pStyle w:val="37"/>
              <w:rPr>
                <w:rFonts w:ascii="Times New Roman" w:hAnsi="Times New Roman" w:eastAsia="仿宋_GB2312"/>
                <w:color w:val="auto"/>
                <w:sz w:val="30"/>
                <w:szCs w:val="30"/>
                <w:highlight w:val="none"/>
              </w:rPr>
            </w:pPr>
          </w:p>
        </w:tc>
        <w:tc>
          <w:tcPr>
            <w:tcW w:w="850" w:type="dxa"/>
            <w:vAlign w:val="top"/>
          </w:tcPr>
          <w:p w14:paraId="59B8BC77">
            <w:pPr>
              <w:pStyle w:val="37"/>
              <w:rPr>
                <w:rFonts w:ascii="Times New Roman" w:hAnsi="Times New Roman" w:eastAsia="仿宋_GB2312"/>
                <w:color w:val="auto"/>
                <w:sz w:val="30"/>
                <w:szCs w:val="30"/>
                <w:highlight w:val="none"/>
              </w:rPr>
            </w:pPr>
          </w:p>
        </w:tc>
        <w:tc>
          <w:tcPr>
            <w:tcW w:w="1058" w:type="dxa"/>
            <w:vAlign w:val="top"/>
          </w:tcPr>
          <w:p w14:paraId="23F1C8C1">
            <w:pPr>
              <w:pStyle w:val="37"/>
              <w:rPr>
                <w:rFonts w:ascii="Times New Roman" w:hAnsi="Times New Roman" w:eastAsia="仿宋_GB2312"/>
                <w:color w:val="auto"/>
                <w:sz w:val="30"/>
                <w:szCs w:val="30"/>
                <w:highlight w:val="none"/>
              </w:rPr>
            </w:pPr>
          </w:p>
        </w:tc>
        <w:tc>
          <w:tcPr>
            <w:tcW w:w="880" w:type="dxa"/>
            <w:vAlign w:val="top"/>
          </w:tcPr>
          <w:p w14:paraId="76512DE5">
            <w:pPr>
              <w:pStyle w:val="37"/>
              <w:rPr>
                <w:rFonts w:ascii="Times New Roman" w:hAnsi="Times New Roman" w:eastAsia="仿宋_GB2312"/>
                <w:color w:val="auto"/>
                <w:sz w:val="30"/>
                <w:szCs w:val="30"/>
                <w:highlight w:val="none"/>
              </w:rPr>
            </w:pPr>
          </w:p>
        </w:tc>
        <w:tc>
          <w:tcPr>
            <w:tcW w:w="1020" w:type="dxa"/>
            <w:vAlign w:val="top"/>
          </w:tcPr>
          <w:p w14:paraId="01730562">
            <w:pPr>
              <w:pStyle w:val="37"/>
              <w:rPr>
                <w:rFonts w:ascii="Times New Roman" w:hAnsi="Times New Roman" w:eastAsia="仿宋_GB2312"/>
                <w:color w:val="auto"/>
                <w:sz w:val="30"/>
                <w:szCs w:val="30"/>
                <w:highlight w:val="none"/>
              </w:rPr>
            </w:pPr>
          </w:p>
        </w:tc>
        <w:tc>
          <w:tcPr>
            <w:tcW w:w="1480" w:type="dxa"/>
            <w:vAlign w:val="top"/>
          </w:tcPr>
          <w:p w14:paraId="1903684C">
            <w:pPr>
              <w:pStyle w:val="37"/>
              <w:rPr>
                <w:rFonts w:ascii="Times New Roman" w:hAnsi="Times New Roman" w:eastAsia="仿宋_GB2312"/>
                <w:color w:val="auto"/>
                <w:sz w:val="30"/>
                <w:szCs w:val="30"/>
                <w:highlight w:val="none"/>
              </w:rPr>
            </w:pPr>
          </w:p>
        </w:tc>
        <w:tc>
          <w:tcPr>
            <w:tcW w:w="1020" w:type="dxa"/>
            <w:vAlign w:val="top"/>
          </w:tcPr>
          <w:p w14:paraId="1D3D3912">
            <w:pPr>
              <w:pStyle w:val="37"/>
              <w:rPr>
                <w:rFonts w:ascii="Times New Roman" w:hAnsi="Times New Roman" w:eastAsia="仿宋_GB2312"/>
                <w:color w:val="auto"/>
                <w:sz w:val="30"/>
                <w:szCs w:val="30"/>
                <w:highlight w:val="none"/>
              </w:rPr>
            </w:pPr>
          </w:p>
        </w:tc>
        <w:tc>
          <w:tcPr>
            <w:tcW w:w="921" w:type="dxa"/>
            <w:vAlign w:val="top"/>
          </w:tcPr>
          <w:p w14:paraId="18A77D1A">
            <w:pPr>
              <w:pStyle w:val="37"/>
              <w:rPr>
                <w:rFonts w:ascii="Times New Roman" w:hAnsi="Times New Roman" w:eastAsia="仿宋_GB2312"/>
                <w:color w:val="auto"/>
                <w:sz w:val="30"/>
                <w:szCs w:val="30"/>
                <w:highlight w:val="none"/>
              </w:rPr>
            </w:pPr>
          </w:p>
        </w:tc>
      </w:tr>
    </w:tbl>
    <w:p w14:paraId="3F59DECC">
      <w:pPr>
        <w:ind w:firstLine="600" w:firstLineChars="200"/>
        <w:rPr>
          <w:rFonts w:hint="eastAsia" w:ascii="Times New Roman" w:hAnsi="Times New Roman" w:eastAsia="仿宋_GB2312" w:cs="仿宋_GB2312"/>
          <w:color w:val="auto"/>
          <w:sz w:val="30"/>
          <w:szCs w:val="30"/>
          <w:highlight w:val="none"/>
        </w:rPr>
      </w:pPr>
      <w:r>
        <w:rPr>
          <w:rFonts w:hint="eastAsia" w:ascii="Times New Roman" w:hAnsi="Times New Roman" w:eastAsia="仿宋_GB2312" w:cs="仿宋_GB2312"/>
          <w:color w:val="auto"/>
          <w:sz w:val="30"/>
          <w:szCs w:val="30"/>
          <w:highlight w:val="none"/>
        </w:rPr>
        <w:br w:type="page"/>
      </w:r>
    </w:p>
    <w:p w14:paraId="618ACAED">
      <w:pPr>
        <w:ind w:firstLine="600" w:firstLineChars="200"/>
        <w:rPr>
          <w:rFonts w:ascii="Times New Roman" w:hAnsi="Times New Roman" w:eastAsia="黑体"/>
          <w:color w:val="auto"/>
          <w:sz w:val="30"/>
          <w:szCs w:val="30"/>
          <w:highlight w:val="none"/>
        </w:rPr>
      </w:pPr>
      <w:r>
        <w:rPr>
          <w:rFonts w:hint="eastAsia" w:ascii="Times New Roman" w:hAnsi="Times New Roman" w:eastAsia="仿宋_GB2312" w:cs="仿宋_GB2312"/>
          <w:color w:val="auto"/>
          <w:sz w:val="30"/>
          <w:szCs w:val="30"/>
          <w:highlight w:val="none"/>
        </w:rPr>
        <w:t>附</w:t>
      </w:r>
      <w:bookmarkStart w:id="1157" w:name="_Toc296346729"/>
      <w:bookmarkStart w:id="1158" w:name="_Toc296891268"/>
      <w:bookmarkStart w:id="1159" w:name="_Toc296944567"/>
      <w:bookmarkStart w:id="1160" w:name="_Toc296347227"/>
      <w:bookmarkStart w:id="1161" w:name="_Toc296891056"/>
      <w:bookmarkStart w:id="1162" w:name="_Toc267261699"/>
      <w:bookmarkStart w:id="1163" w:name="_Toc296503228"/>
      <w:r>
        <w:rPr>
          <w:rFonts w:hint="eastAsia" w:ascii="Times New Roman" w:hAnsi="Times New Roman" w:eastAsia="仿宋_GB2312" w:cs="仿宋_GB2312"/>
          <w:color w:val="auto"/>
          <w:sz w:val="30"/>
          <w:szCs w:val="30"/>
          <w:highlight w:val="none"/>
        </w:rPr>
        <w:t>件</w:t>
      </w:r>
      <w:r>
        <w:rPr>
          <w:rFonts w:hint="eastAsia" w:ascii="Times New Roman" w:hAnsi="Times New Roman" w:eastAsia="仿宋_GB2312"/>
          <w:color w:val="auto"/>
          <w:sz w:val="30"/>
          <w:szCs w:val="30"/>
          <w:highlight w:val="none"/>
        </w:rPr>
        <w:t>5</w:t>
      </w:r>
      <w:r>
        <w:rPr>
          <w:rFonts w:hint="eastAsia" w:ascii="Times New Roman" w:hAnsi="Times New Roman" w:eastAsia="仿宋_GB2312" w:cs="仿宋_GB2312"/>
          <w:color w:val="auto"/>
          <w:sz w:val="30"/>
          <w:szCs w:val="30"/>
          <w:highlight w:val="none"/>
        </w:rPr>
        <w:t>：</w:t>
      </w:r>
    </w:p>
    <w:bookmarkEnd w:id="1157"/>
    <w:bookmarkEnd w:id="1158"/>
    <w:bookmarkEnd w:id="1159"/>
    <w:bookmarkEnd w:id="1160"/>
    <w:bookmarkEnd w:id="1161"/>
    <w:bookmarkEnd w:id="1162"/>
    <w:bookmarkEnd w:id="1163"/>
    <w:p w14:paraId="7F0E3F0D">
      <w:pPr>
        <w:pStyle w:val="37"/>
        <w:spacing w:before="156" w:beforeLines="50" w:after="156" w:afterLines="50" w:line="440" w:lineRule="exact"/>
        <w:ind w:firstLine="600" w:firstLineChars="200"/>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承包人主要施工管理人员表</w:t>
      </w:r>
    </w:p>
    <w:tbl>
      <w:tblPr>
        <w:tblStyle w:val="22"/>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387"/>
        <w:gridCol w:w="1176"/>
        <w:gridCol w:w="3957"/>
      </w:tblGrid>
      <w:tr w14:paraId="39D8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A030B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名</w:t>
            </w:r>
            <w:r>
              <w:rPr>
                <w:rFonts w:ascii="Times New Roman" w:hAnsi="Times New Roman" w:eastAsia="仿宋_GB2312"/>
                <w:color w:val="auto"/>
                <w:sz w:val="28"/>
                <w:szCs w:val="28"/>
                <w:highlight w:val="none"/>
              </w:rPr>
              <w:t xml:space="preserve">    </w:t>
            </w:r>
            <w:r>
              <w:rPr>
                <w:rFonts w:hint="eastAsia" w:ascii="Times New Roman" w:hAnsi="Times New Roman" w:eastAsia="仿宋_GB2312" w:cs="仿宋_GB2312"/>
                <w:color w:val="auto"/>
                <w:sz w:val="28"/>
                <w:szCs w:val="28"/>
                <w:highlight w:val="none"/>
              </w:rPr>
              <w:t>称</w:t>
            </w:r>
          </w:p>
        </w:tc>
        <w:tc>
          <w:tcPr>
            <w:tcW w:w="1418" w:type="dxa"/>
            <w:vAlign w:val="center"/>
          </w:tcPr>
          <w:p w14:paraId="5273EB0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姓名</w:t>
            </w:r>
          </w:p>
        </w:tc>
        <w:tc>
          <w:tcPr>
            <w:tcW w:w="1387" w:type="dxa"/>
            <w:vAlign w:val="center"/>
          </w:tcPr>
          <w:p w14:paraId="2104460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职务</w:t>
            </w:r>
          </w:p>
        </w:tc>
        <w:tc>
          <w:tcPr>
            <w:tcW w:w="1176" w:type="dxa"/>
            <w:vAlign w:val="center"/>
          </w:tcPr>
          <w:p w14:paraId="37B42DD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职称</w:t>
            </w:r>
          </w:p>
        </w:tc>
        <w:tc>
          <w:tcPr>
            <w:tcW w:w="3957" w:type="dxa"/>
            <w:vAlign w:val="center"/>
          </w:tcPr>
          <w:p w14:paraId="5BDB7382">
            <w:pPr>
              <w:pStyle w:val="37"/>
              <w:keepNext/>
              <w:adjustRightInd w:val="0"/>
              <w:spacing w:line="440" w:lineRule="exact"/>
              <w:ind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计划进场时间</w:t>
            </w:r>
          </w:p>
        </w:tc>
      </w:tr>
      <w:tr w14:paraId="2BF8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1BB332A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一、总部人员</w:t>
            </w:r>
          </w:p>
        </w:tc>
      </w:tr>
      <w:tr w14:paraId="3FD1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F586C3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项目主管</w:t>
            </w:r>
          </w:p>
        </w:tc>
        <w:tc>
          <w:tcPr>
            <w:tcW w:w="1418" w:type="dxa"/>
            <w:vAlign w:val="center"/>
          </w:tcPr>
          <w:p w14:paraId="7AC5FD2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387" w:type="dxa"/>
            <w:vAlign w:val="center"/>
          </w:tcPr>
          <w:p w14:paraId="13E81DC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76" w:type="dxa"/>
            <w:vAlign w:val="center"/>
          </w:tcPr>
          <w:p w14:paraId="278BD85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3957" w:type="dxa"/>
            <w:vAlign w:val="center"/>
          </w:tcPr>
          <w:p w14:paraId="3FBC8F0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A20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0DEFE65">
            <w:pPr>
              <w:pStyle w:val="37"/>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其他人员</w:t>
            </w:r>
          </w:p>
        </w:tc>
        <w:tc>
          <w:tcPr>
            <w:tcW w:w="1418" w:type="dxa"/>
            <w:vAlign w:val="center"/>
          </w:tcPr>
          <w:p w14:paraId="69A364A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387" w:type="dxa"/>
            <w:vAlign w:val="center"/>
          </w:tcPr>
          <w:p w14:paraId="56E4109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76" w:type="dxa"/>
            <w:vAlign w:val="center"/>
          </w:tcPr>
          <w:p w14:paraId="7EAE00E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3957" w:type="dxa"/>
            <w:vAlign w:val="center"/>
          </w:tcPr>
          <w:p w14:paraId="216D9FB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752C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CDDEBC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13A161E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387" w:type="dxa"/>
            <w:vAlign w:val="center"/>
          </w:tcPr>
          <w:p w14:paraId="0946DD9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76" w:type="dxa"/>
            <w:vAlign w:val="center"/>
          </w:tcPr>
          <w:p w14:paraId="3EB418A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3957" w:type="dxa"/>
            <w:vAlign w:val="center"/>
          </w:tcPr>
          <w:p w14:paraId="4E9EB24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10C8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E52878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68F353D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387" w:type="dxa"/>
            <w:vAlign w:val="center"/>
          </w:tcPr>
          <w:p w14:paraId="21A4709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76" w:type="dxa"/>
            <w:vAlign w:val="center"/>
          </w:tcPr>
          <w:p w14:paraId="5E6B4AF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3957" w:type="dxa"/>
            <w:vAlign w:val="center"/>
          </w:tcPr>
          <w:p w14:paraId="35D415E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0BDE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A776EC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二、现场人员</w:t>
            </w:r>
          </w:p>
        </w:tc>
      </w:tr>
      <w:tr w14:paraId="6DE2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00E2AB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项目经理</w:t>
            </w:r>
          </w:p>
        </w:tc>
        <w:tc>
          <w:tcPr>
            <w:tcW w:w="1418" w:type="dxa"/>
            <w:vAlign w:val="center"/>
          </w:tcPr>
          <w:p w14:paraId="1FC234C6">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vAlign w:val="center"/>
          </w:tcPr>
          <w:p w14:paraId="0E1282A5">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lang w:eastAsia="zh-CN"/>
              </w:rPr>
            </w:pPr>
          </w:p>
        </w:tc>
        <w:tc>
          <w:tcPr>
            <w:tcW w:w="1176" w:type="dxa"/>
            <w:vAlign w:val="center"/>
          </w:tcPr>
          <w:p w14:paraId="53AD696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vAlign w:val="center"/>
          </w:tcPr>
          <w:p w14:paraId="0F266D0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FC5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0AF993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项目副经理</w:t>
            </w:r>
          </w:p>
        </w:tc>
        <w:tc>
          <w:tcPr>
            <w:tcW w:w="1418" w:type="dxa"/>
            <w:vAlign w:val="center"/>
          </w:tcPr>
          <w:p w14:paraId="3266F4C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vAlign w:val="center"/>
          </w:tcPr>
          <w:p w14:paraId="5E57C762">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vAlign w:val="center"/>
          </w:tcPr>
          <w:p w14:paraId="3AC5D53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vAlign w:val="center"/>
          </w:tcPr>
          <w:p w14:paraId="290E4CD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C25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83B405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技术负责人</w:t>
            </w:r>
          </w:p>
        </w:tc>
        <w:tc>
          <w:tcPr>
            <w:tcW w:w="1418" w:type="dxa"/>
            <w:vAlign w:val="center"/>
          </w:tcPr>
          <w:p w14:paraId="650F7D22">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vAlign w:val="center"/>
          </w:tcPr>
          <w:p w14:paraId="4AC338C8">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vAlign w:val="center"/>
          </w:tcPr>
          <w:p w14:paraId="31766C5A">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vAlign w:val="center"/>
          </w:tcPr>
          <w:p w14:paraId="63D5DAE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C39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6B0826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造价管理</w:t>
            </w:r>
          </w:p>
        </w:tc>
        <w:tc>
          <w:tcPr>
            <w:tcW w:w="1418" w:type="dxa"/>
            <w:vAlign w:val="center"/>
          </w:tcPr>
          <w:p w14:paraId="51E472D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vAlign w:val="center"/>
          </w:tcPr>
          <w:p w14:paraId="0AE0764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vAlign w:val="center"/>
          </w:tcPr>
          <w:p w14:paraId="0D79597D">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vAlign w:val="center"/>
          </w:tcPr>
          <w:p w14:paraId="56CFDBD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18E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EA61FB4">
            <w:pPr>
              <w:pStyle w:val="37"/>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质量管理</w:t>
            </w:r>
          </w:p>
        </w:tc>
        <w:tc>
          <w:tcPr>
            <w:tcW w:w="1418" w:type="dxa"/>
            <w:vAlign w:val="center"/>
          </w:tcPr>
          <w:p w14:paraId="3A1A94F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vAlign w:val="center"/>
          </w:tcPr>
          <w:p w14:paraId="71E0F25F">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lang w:eastAsia="zh-CN"/>
              </w:rPr>
            </w:pPr>
          </w:p>
        </w:tc>
        <w:tc>
          <w:tcPr>
            <w:tcW w:w="1176" w:type="dxa"/>
            <w:vAlign w:val="center"/>
          </w:tcPr>
          <w:p w14:paraId="5249E578">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vAlign w:val="center"/>
          </w:tcPr>
          <w:p w14:paraId="2010B5D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0A80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5B16F96">
            <w:pPr>
              <w:pStyle w:val="37"/>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5CCDEBEB">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vAlign w:val="center"/>
          </w:tcPr>
          <w:p w14:paraId="5933C78A">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vAlign w:val="center"/>
          </w:tcPr>
          <w:p w14:paraId="71BB5BC8">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vAlign w:val="center"/>
          </w:tcPr>
          <w:p w14:paraId="2859DA2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6B56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987117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3C8CAD4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vAlign w:val="center"/>
          </w:tcPr>
          <w:p w14:paraId="61BCB3D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vAlign w:val="center"/>
          </w:tcPr>
          <w:p w14:paraId="73C78B2E">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vAlign w:val="center"/>
          </w:tcPr>
          <w:p w14:paraId="3EFBDE6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1B1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2A0FBD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材料管理</w:t>
            </w:r>
          </w:p>
        </w:tc>
        <w:tc>
          <w:tcPr>
            <w:tcW w:w="1418" w:type="dxa"/>
            <w:vAlign w:val="center"/>
          </w:tcPr>
          <w:p w14:paraId="7F9A3C59">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vAlign w:val="center"/>
          </w:tcPr>
          <w:p w14:paraId="0F18A81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vAlign w:val="center"/>
          </w:tcPr>
          <w:p w14:paraId="5D8A6BD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vAlign w:val="center"/>
          </w:tcPr>
          <w:p w14:paraId="72C8D47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50D1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5497AA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计划管理</w:t>
            </w:r>
          </w:p>
        </w:tc>
        <w:tc>
          <w:tcPr>
            <w:tcW w:w="1418" w:type="dxa"/>
            <w:vAlign w:val="center"/>
          </w:tcPr>
          <w:p w14:paraId="0154439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vAlign w:val="center"/>
          </w:tcPr>
          <w:p w14:paraId="1C9BA01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vAlign w:val="center"/>
          </w:tcPr>
          <w:p w14:paraId="26D029B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vAlign w:val="center"/>
          </w:tcPr>
          <w:p w14:paraId="09703CD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0837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D988B26">
            <w:pPr>
              <w:pStyle w:val="37"/>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安全管理</w:t>
            </w:r>
          </w:p>
        </w:tc>
        <w:tc>
          <w:tcPr>
            <w:tcW w:w="1418" w:type="dxa"/>
            <w:vAlign w:val="center"/>
          </w:tcPr>
          <w:p w14:paraId="1FFBCDD7">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vAlign w:val="center"/>
          </w:tcPr>
          <w:p w14:paraId="7D4E027D">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lang w:eastAsia="zh-CN"/>
              </w:rPr>
            </w:pPr>
          </w:p>
        </w:tc>
        <w:tc>
          <w:tcPr>
            <w:tcW w:w="1176" w:type="dxa"/>
            <w:vAlign w:val="center"/>
          </w:tcPr>
          <w:p w14:paraId="7651A4AA">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vAlign w:val="center"/>
          </w:tcPr>
          <w:p w14:paraId="48EAF56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041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9C38EBE">
            <w:pPr>
              <w:pStyle w:val="37"/>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726BDB56">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vAlign w:val="center"/>
          </w:tcPr>
          <w:p w14:paraId="2EDB0EC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vAlign w:val="center"/>
          </w:tcPr>
          <w:p w14:paraId="2C693FA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vAlign w:val="center"/>
          </w:tcPr>
          <w:p w14:paraId="055C454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0E10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1137A6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4F6AC733">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vAlign w:val="center"/>
          </w:tcPr>
          <w:p w14:paraId="65D858D0">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vAlign w:val="center"/>
          </w:tcPr>
          <w:p w14:paraId="522D974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vAlign w:val="center"/>
          </w:tcPr>
          <w:p w14:paraId="6A5636B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0CDF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740006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其他人员</w:t>
            </w:r>
          </w:p>
        </w:tc>
        <w:tc>
          <w:tcPr>
            <w:tcW w:w="1418" w:type="dxa"/>
            <w:vAlign w:val="center"/>
          </w:tcPr>
          <w:p w14:paraId="5639D0C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vAlign w:val="center"/>
          </w:tcPr>
          <w:p w14:paraId="4C445515">
            <w:pPr>
              <w:pStyle w:val="37"/>
              <w:keepNext/>
              <w:adjustRightInd w:val="0"/>
              <w:spacing w:line="440" w:lineRule="exact"/>
              <w:ind w:left="63" w:leftChars="30" w:right="63" w:rightChars="30"/>
              <w:jc w:val="center"/>
              <w:textAlignment w:val="baseline"/>
              <w:rPr>
                <w:rFonts w:hint="eastAsia" w:ascii="Times New Roman" w:hAnsi="Times New Roman" w:eastAsia="仿宋_GB2312" w:cs="Times New Roman"/>
                <w:color w:val="auto"/>
                <w:sz w:val="28"/>
                <w:szCs w:val="28"/>
                <w:highlight w:val="none"/>
                <w:lang w:eastAsia="zh-CN"/>
              </w:rPr>
            </w:pPr>
          </w:p>
        </w:tc>
        <w:tc>
          <w:tcPr>
            <w:tcW w:w="1176" w:type="dxa"/>
            <w:vAlign w:val="center"/>
          </w:tcPr>
          <w:p w14:paraId="67F35FA1">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vAlign w:val="center"/>
          </w:tcPr>
          <w:p w14:paraId="294BADC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64B8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FCCBD2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653BA97F">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387" w:type="dxa"/>
            <w:vAlign w:val="center"/>
          </w:tcPr>
          <w:p w14:paraId="5F5EC035">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1176" w:type="dxa"/>
            <w:vAlign w:val="center"/>
          </w:tcPr>
          <w:p w14:paraId="168C9C3C">
            <w:pPr>
              <w:pStyle w:val="37"/>
              <w:keepNext/>
              <w:adjustRightInd w:val="0"/>
              <w:spacing w:line="440" w:lineRule="exact"/>
              <w:ind w:left="63" w:leftChars="30" w:right="63" w:rightChars="30"/>
              <w:jc w:val="center"/>
              <w:textAlignment w:val="baseline"/>
              <w:rPr>
                <w:rFonts w:ascii="Times New Roman" w:hAnsi="Times New Roman" w:eastAsia="仿宋_GB2312" w:cs="Times New Roman"/>
                <w:color w:val="auto"/>
                <w:sz w:val="28"/>
                <w:szCs w:val="28"/>
                <w:highlight w:val="none"/>
              </w:rPr>
            </w:pPr>
          </w:p>
        </w:tc>
        <w:tc>
          <w:tcPr>
            <w:tcW w:w="3957" w:type="dxa"/>
            <w:vAlign w:val="center"/>
          </w:tcPr>
          <w:p w14:paraId="09E0209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6092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7DCCBE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18BA0BD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387" w:type="dxa"/>
            <w:vAlign w:val="center"/>
          </w:tcPr>
          <w:p w14:paraId="79B5294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76" w:type="dxa"/>
            <w:vAlign w:val="center"/>
          </w:tcPr>
          <w:p w14:paraId="629075F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3957" w:type="dxa"/>
            <w:vAlign w:val="center"/>
          </w:tcPr>
          <w:p w14:paraId="31FD368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CAA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9B6FF2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5341301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387" w:type="dxa"/>
            <w:vAlign w:val="center"/>
          </w:tcPr>
          <w:p w14:paraId="4C6C113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76" w:type="dxa"/>
            <w:vAlign w:val="center"/>
          </w:tcPr>
          <w:p w14:paraId="2C5F10C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3957" w:type="dxa"/>
            <w:vAlign w:val="center"/>
          </w:tcPr>
          <w:p w14:paraId="016AAA1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bl>
    <w:p w14:paraId="5921604D">
      <w:pPr>
        <w:pStyle w:val="37"/>
        <w:spacing w:line="440" w:lineRule="exact"/>
        <w:ind w:firstLine="600" w:firstLineChars="200"/>
        <w:rPr>
          <w:rFonts w:ascii="Times New Roman" w:hAnsi="Times New Roman" w:eastAsia="黑体"/>
          <w:color w:val="auto"/>
          <w:sz w:val="30"/>
          <w:szCs w:val="30"/>
          <w:highlight w:val="none"/>
        </w:rPr>
      </w:pPr>
      <w:r>
        <w:rPr>
          <w:rFonts w:ascii="Times New Roman" w:hAnsi="Times New Roman" w:eastAsia="仿宋_GB2312"/>
          <w:color w:val="auto"/>
          <w:sz w:val="30"/>
          <w:szCs w:val="30"/>
          <w:highlight w:val="none"/>
        </w:rPr>
        <w:br w:type="page"/>
      </w:r>
      <w:r>
        <w:rPr>
          <w:rFonts w:hint="eastAsia" w:ascii="Times New Roman" w:hAnsi="Times New Roman" w:eastAsia="仿宋_GB2312" w:cs="仿宋_GB2312"/>
          <w:color w:val="auto"/>
          <w:sz w:val="30"/>
          <w:szCs w:val="30"/>
          <w:highlight w:val="none"/>
        </w:rPr>
        <w:t>附</w:t>
      </w:r>
      <w:bookmarkStart w:id="1164" w:name="_Toc296891269"/>
      <w:bookmarkStart w:id="1165" w:name="_Toc296891057"/>
      <w:bookmarkStart w:id="1166" w:name="_Toc296347228"/>
      <w:bookmarkStart w:id="1167" w:name="_Toc296944568"/>
      <w:bookmarkStart w:id="1168" w:name="_Toc296346730"/>
      <w:bookmarkStart w:id="1169" w:name="_Toc296503229"/>
      <w:r>
        <w:rPr>
          <w:rFonts w:hint="eastAsia" w:ascii="Times New Roman" w:hAnsi="Times New Roman" w:eastAsia="仿宋_GB2312" w:cs="仿宋_GB2312"/>
          <w:color w:val="auto"/>
          <w:sz w:val="30"/>
          <w:szCs w:val="30"/>
          <w:highlight w:val="none"/>
        </w:rPr>
        <w:t>件</w:t>
      </w:r>
      <w:r>
        <w:rPr>
          <w:rFonts w:hint="eastAsia" w:ascii="Times New Roman" w:hAnsi="Times New Roman" w:eastAsia="仿宋_GB2312"/>
          <w:color w:val="auto"/>
          <w:sz w:val="30"/>
          <w:szCs w:val="30"/>
          <w:highlight w:val="none"/>
        </w:rPr>
        <w:t>6</w:t>
      </w:r>
      <w:r>
        <w:rPr>
          <w:rFonts w:hint="eastAsia" w:ascii="Times New Roman" w:hAnsi="Times New Roman" w:eastAsia="仿宋_GB2312" w:cs="仿宋_GB2312"/>
          <w:color w:val="auto"/>
          <w:sz w:val="30"/>
          <w:szCs w:val="30"/>
          <w:highlight w:val="none"/>
        </w:rPr>
        <w:t>：</w:t>
      </w:r>
    </w:p>
    <w:bookmarkEnd w:id="1164"/>
    <w:bookmarkEnd w:id="1165"/>
    <w:bookmarkEnd w:id="1166"/>
    <w:bookmarkEnd w:id="1167"/>
    <w:bookmarkEnd w:id="1168"/>
    <w:bookmarkEnd w:id="1169"/>
    <w:p w14:paraId="7E0480AB">
      <w:pPr>
        <w:pStyle w:val="37"/>
        <w:spacing w:before="156" w:beforeLines="50" w:after="156" w:afterLines="50" w:line="440" w:lineRule="exact"/>
        <w:ind w:firstLine="600" w:firstLineChars="200"/>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分包人主要施工管理人员表</w:t>
      </w:r>
    </w:p>
    <w:tbl>
      <w:tblPr>
        <w:tblStyle w:val="22"/>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78E6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CE1894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名</w:t>
            </w:r>
            <w:r>
              <w:rPr>
                <w:rFonts w:ascii="Times New Roman" w:hAnsi="Times New Roman" w:eastAsia="仿宋_GB2312"/>
                <w:color w:val="auto"/>
                <w:sz w:val="28"/>
                <w:szCs w:val="28"/>
                <w:highlight w:val="none"/>
              </w:rPr>
              <w:t xml:space="preserve">    </w:t>
            </w:r>
            <w:r>
              <w:rPr>
                <w:rFonts w:hint="eastAsia" w:ascii="Times New Roman" w:hAnsi="Times New Roman" w:eastAsia="仿宋_GB2312" w:cs="仿宋_GB2312"/>
                <w:color w:val="auto"/>
                <w:sz w:val="28"/>
                <w:szCs w:val="28"/>
                <w:highlight w:val="none"/>
              </w:rPr>
              <w:t>称</w:t>
            </w:r>
          </w:p>
        </w:tc>
        <w:tc>
          <w:tcPr>
            <w:tcW w:w="1418" w:type="dxa"/>
            <w:vAlign w:val="center"/>
          </w:tcPr>
          <w:p w14:paraId="58F537A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姓名</w:t>
            </w:r>
          </w:p>
        </w:tc>
        <w:tc>
          <w:tcPr>
            <w:tcW w:w="1134" w:type="dxa"/>
            <w:vAlign w:val="center"/>
          </w:tcPr>
          <w:p w14:paraId="45D9AAC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职务</w:t>
            </w:r>
          </w:p>
        </w:tc>
        <w:tc>
          <w:tcPr>
            <w:tcW w:w="1134" w:type="dxa"/>
            <w:vAlign w:val="center"/>
          </w:tcPr>
          <w:p w14:paraId="7668B06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职称</w:t>
            </w:r>
          </w:p>
        </w:tc>
        <w:tc>
          <w:tcPr>
            <w:tcW w:w="4252" w:type="dxa"/>
            <w:vAlign w:val="center"/>
          </w:tcPr>
          <w:p w14:paraId="1478A77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主要资历、经验及承担过的项目</w:t>
            </w:r>
          </w:p>
        </w:tc>
      </w:tr>
      <w:tr w14:paraId="487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8C75D7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一、总部人员</w:t>
            </w:r>
          </w:p>
        </w:tc>
      </w:tr>
      <w:tr w14:paraId="4A8E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019D44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项目主管</w:t>
            </w:r>
          </w:p>
        </w:tc>
        <w:tc>
          <w:tcPr>
            <w:tcW w:w="1418" w:type="dxa"/>
            <w:vAlign w:val="center"/>
          </w:tcPr>
          <w:p w14:paraId="5359D8A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7227C4C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12057E5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6695B6D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5D16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FEC04E1">
            <w:pPr>
              <w:pStyle w:val="37"/>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其他人员</w:t>
            </w:r>
          </w:p>
        </w:tc>
        <w:tc>
          <w:tcPr>
            <w:tcW w:w="1418" w:type="dxa"/>
            <w:vAlign w:val="center"/>
          </w:tcPr>
          <w:p w14:paraId="2D1FB0A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292AA3C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6EAD398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322C4A2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2D6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69EF4B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5B508B8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6412453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0AF9599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5F39F2B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70BD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4A3ADD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0C8CB0C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1767D0E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788B1AF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40790B2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70EC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DB49A0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二、现场人员</w:t>
            </w:r>
          </w:p>
        </w:tc>
      </w:tr>
      <w:tr w14:paraId="3500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5D65B6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项目经理</w:t>
            </w:r>
          </w:p>
        </w:tc>
        <w:tc>
          <w:tcPr>
            <w:tcW w:w="1418" w:type="dxa"/>
            <w:vAlign w:val="center"/>
          </w:tcPr>
          <w:p w14:paraId="330BBFE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6D88A2F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3CFBEFE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312826D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4159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ACB1DE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项目副经理</w:t>
            </w:r>
          </w:p>
        </w:tc>
        <w:tc>
          <w:tcPr>
            <w:tcW w:w="1418" w:type="dxa"/>
            <w:vAlign w:val="center"/>
          </w:tcPr>
          <w:p w14:paraId="498D9FE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742262F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41E43F4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3F544D1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F3B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173B3B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技术负责人</w:t>
            </w:r>
          </w:p>
        </w:tc>
        <w:tc>
          <w:tcPr>
            <w:tcW w:w="1418" w:type="dxa"/>
            <w:vAlign w:val="center"/>
          </w:tcPr>
          <w:p w14:paraId="6964674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2DEF5C0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0EF2B01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55EDBE1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A97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A9D83A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造价管理</w:t>
            </w:r>
          </w:p>
        </w:tc>
        <w:tc>
          <w:tcPr>
            <w:tcW w:w="1418" w:type="dxa"/>
            <w:vAlign w:val="center"/>
          </w:tcPr>
          <w:p w14:paraId="1982F6D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0D3ACE6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6601118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5C3EC82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EE7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029E0E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质量管理</w:t>
            </w:r>
          </w:p>
        </w:tc>
        <w:tc>
          <w:tcPr>
            <w:tcW w:w="1418" w:type="dxa"/>
            <w:vAlign w:val="center"/>
          </w:tcPr>
          <w:p w14:paraId="01C197A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69A7D7E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5F0A6C8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1DEC365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1AF6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01343B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材料管理</w:t>
            </w:r>
          </w:p>
        </w:tc>
        <w:tc>
          <w:tcPr>
            <w:tcW w:w="1418" w:type="dxa"/>
            <w:vAlign w:val="center"/>
          </w:tcPr>
          <w:p w14:paraId="69DB038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40FBC9C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1A859A8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78468A9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5F32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B129DA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计划管理</w:t>
            </w:r>
          </w:p>
        </w:tc>
        <w:tc>
          <w:tcPr>
            <w:tcW w:w="1418" w:type="dxa"/>
            <w:vAlign w:val="center"/>
          </w:tcPr>
          <w:p w14:paraId="357AE57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4B347B6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2AD94D3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733F0CB1">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0795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FD75FF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安全管理</w:t>
            </w:r>
          </w:p>
        </w:tc>
        <w:tc>
          <w:tcPr>
            <w:tcW w:w="1418" w:type="dxa"/>
            <w:vAlign w:val="center"/>
          </w:tcPr>
          <w:p w14:paraId="57D5C96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091E227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7E4B348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7E62041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709C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C975D45">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其他人员</w:t>
            </w:r>
          </w:p>
        </w:tc>
        <w:tc>
          <w:tcPr>
            <w:tcW w:w="1418" w:type="dxa"/>
            <w:vAlign w:val="center"/>
          </w:tcPr>
          <w:p w14:paraId="4F49BEF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14FB9E2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31B5B85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6D49ABA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6840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F64D87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093B89D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1109808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03663BD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10B9EF5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3F7A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69B3EFE">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6644295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2B4F955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77FA9DB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6699F2D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759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BBC1C0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646C474B">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0C6FFE48">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65B50843">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5CF66B49">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0903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1BD44B0">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7B3879A4">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77A6EC1C">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41DE218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2716313A">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14:paraId="2B7D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70C7946">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vAlign w:val="center"/>
          </w:tcPr>
          <w:p w14:paraId="06E9D517">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vAlign w:val="center"/>
          </w:tcPr>
          <w:p w14:paraId="7DEE0842">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vAlign w:val="center"/>
          </w:tcPr>
          <w:p w14:paraId="79FEAC7D">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vAlign w:val="center"/>
          </w:tcPr>
          <w:p w14:paraId="614DA65F">
            <w:pPr>
              <w:pStyle w:val="37"/>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bl>
    <w:p w14:paraId="706DC5F1">
      <w:pPr>
        <w:pStyle w:val="37"/>
        <w:spacing w:line="440" w:lineRule="exact"/>
        <w:ind w:firstLine="600" w:firstLineChars="200"/>
        <w:rPr>
          <w:rFonts w:ascii="Times New Roman" w:hAnsi="Times New Roman" w:eastAsia="黑体"/>
          <w:color w:val="auto"/>
          <w:sz w:val="30"/>
          <w:szCs w:val="30"/>
          <w:highlight w:val="none"/>
        </w:rPr>
      </w:pPr>
      <w:r>
        <w:rPr>
          <w:rFonts w:ascii="Times New Roman" w:hAnsi="Times New Roman" w:eastAsia="仿宋_GB2312"/>
          <w:color w:val="auto"/>
          <w:sz w:val="30"/>
          <w:szCs w:val="30"/>
          <w:highlight w:val="none"/>
        </w:rPr>
        <w:br w:type="page"/>
      </w:r>
      <w:bookmarkStart w:id="1170" w:name="_Toc267261701"/>
      <w:r>
        <w:rPr>
          <w:rFonts w:hint="eastAsia" w:ascii="Times New Roman" w:hAnsi="Times New Roman" w:eastAsia="仿宋_GB2312" w:cs="仿宋_GB2312"/>
          <w:color w:val="auto"/>
          <w:sz w:val="30"/>
          <w:szCs w:val="30"/>
          <w:highlight w:val="none"/>
        </w:rPr>
        <w:t>附</w:t>
      </w:r>
      <w:bookmarkStart w:id="1171" w:name="_Toc296347230"/>
      <w:bookmarkStart w:id="1172" w:name="_Toc296891271"/>
      <w:bookmarkStart w:id="1173" w:name="_Toc296346732"/>
      <w:bookmarkStart w:id="1174" w:name="_Toc296944570"/>
      <w:bookmarkStart w:id="1175" w:name="_Toc296891059"/>
      <w:bookmarkStart w:id="1176" w:name="_Toc296503231"/>
      <w:r>
        <w:rPr>
          <w:rFonts w:hint="eastAsia" w:ascii="Times New Roman" w:hAnsi="Times New Roman" w:eastAsia="仿宋_GB2312" w:cs="仿宋_GB2312"/>
          <w:color w:val="auto"/>
          <w:sz w:val="30"/>
          <w:szCs w:val="30"/>
          <w:highlight w:val="none"/>
        </w:rPr>
        <w:t>件</w:t>
      </w:r>
      <w:r>
        <w:rPr>
          <w:rFonts w:hint="eastAsia" w:ascii="Times New Roman" w:hAnsi="Times New Roman" w:eastAsia="仿宋_GB2312"/>
          <w:color w:val="auto"/>
          <w:sz w:val="30"/>
          <w:szCs w:val="30"/>
          <w:highlight w:val="none"/>
        </w:rPr>
        <w:t>7</w:t>
      </w:r>
      <w:r>
        <w:rPr>
          <w:rFonts w:hint="eastAsia" w:ascii="Times New Roman" w:hAnsi="Times New Roman" w:eastAsia="仿宋_GB2312" w:cs="仿宋_GB2312"/>
          <w:color w:val="auto"/>
          <w:sz w:val="30"/>
          <w:szCs w:val="30"/>
          <w:highlight w:val="none"/>
        </w:rPr>
        <w:t>：</w:t>
      </w:r>
    </w:p>
    <w:bookmarkEnd w:id="1170"/>
    <w:bookmarkEnd w:id="1171"/>
    <w:bookmarkEnd w:id="1172"/>
    <w:bookmarkEnd w:id="1173"/>
    <w:bookmarkEnd w:id="1174"/>
    <w:bookmarkEnd w:id="1175"/>
    <w:bookmarkEnd w:id="1176"/>
    <w:p w14:paraId="4ADC8EA1">
      <w:pPr>
        <w:pStyle w:val="37"/>
        <w:spacing w:before="156" w:beforeLines="50" w:after="156" w:afterLines="50" w:line="440" w:lineRule="exact"/>
        <w:ind w:firstLine="600" w:firstLineChars="200"/>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履约担保</w:t>
      </w:r>
    </w:p>
    <w:p w14:paraId="73414C12">
      <w:pPr>
        <w:pStyle w:val="37"/>
        <w:spacing w:line="360" w:lineRule="auto"/>
        <w:rPr>
          <w:rFonts w:ascii="Times New Roman" w:hAnsi="Times New Roman"/>
          <w:color w:val="auto"/>
          <w:szCs w:val="21"/>
          <w:highlight w:val="none"/>
          <w:u w:val="single"/>
        </w:rPr>
      </w:pPr>
    </w:p>
    <w:p w14:paraId="4B6AC4D0">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（发包人名称）：</w:t>
      </w:r>
    </w:p>
    <w:p w14:paraId="4D8C62A7">
      <w:pPr>
        <w:pStyle w:val="37"/>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鉴于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（发包人名称，以下简称</w:t>
      </w:r>
      <w:r>
        <w:rPr>
          <w:rFonts w:ascii="Times New Roman" w:hAnsi="Times New Roman"/>
          <w:color w:val="auto"/>
          <w:szCs w:val="21"/>
          <w:highlight w:val="none"/>
        </w:rPr>
        <w:t>“</w:t>
      </w:r>
      <w:r>
        <w:rPr>
          <w:rFonts w:hint="eastAsia" w:ascii="Times New Roman" w:hAnsi="宋体" w:cs="宋体"/>
          <w:color w:val="auto"/>
          <w:szCs w:val="21"/>
          <w:highlight w:val="none"/>
        </w:rPr>
        <w:t>发包人</w:t>
      </w:r>
      <w:r>
        <w:rPr>
          <w:rFonts w:ascii="Times New Roman" w:hAnsi="Times New Roman"/>
          <w:color w:val="auto"/>
          <w:szCs w:val="21"/>
          <w:highlight w:val="none"/>
        </w:rPr>
        <w:t>”</w:t>
      </w:r>
      <w:r>
        <w:rPr>
          <w:rFonts w:hint="eastAsia" w:ascii="Times New Roman" w:hAnsi="宋体" w:cs="宋体"/>
          <w:color w:val="auto"/>
          <w:szCs w:val="21"/>
          <w:highlight w:val="none"/>
        </w:rPr>
        <w:t>）</w:t>
      </w:r>
      <w:r>
        <w:rPr>
          <w:rFonts w:ascii="Times New Roman" w:hAnsi="宋体"/>
          <w:color w:val="auto"/>
          <w:szCs w:val="21"/>
          <w:highlight w:val="none"/>
        </w:rPr>
        <w:t xml:space="preserve"> </w:t>
      </w:r>
      <w:r>
        <w:rPr>
          <w:rFonts w:hint="eastAsia" w:ascii="Times New Roman" w:hAnsi="宋体" w:cs="宋体"/>
          <w:color w:val="auto"/>
          <w:szCs w:val="21"/>
          <w:highlight w:val="none"/>
        </w:rPr>
        <w:t>已于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日发放成交通知书，明确</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（承包人名称）（以下</w:t>
      </w:r>
      <w:r>
        <w:rPr>
          <w:rFonts w:hint="eastAsia"/>
          <w:color w:val="auto"/>
          <w:highlight w:val="none"/>
          <w:lang w:val="en-US" w:eastAsia="zh-CN"/>
        </w:rPr>
        <w:t>简</w:t>
      </w:r>
      <w:r>
        <w:rPr>
          <w:rFonts w:hint="eastAsia" w:ascii="Times New Roman" w:hAnsi="宋体" w:cs="宋体"/>
          <w:color w:val="auto"/>
          <w:szCs w:val="21"/>
          <w:highlight w:val="none"/>
        </w:rPr>
        <w:t>称</w:t>
      </w:r>
      <w:r>
        <w:rPr>
          <w:rFonts w:ascii="Times New Roman" w:hAnsi="Times New Roman"/>
          <w:color w:val="auto"/>
          <w:szCs w:val="21"/>
          <w:highlight w:val="none"/>
        </w:rPr>
        <w:t>“</w:t>
      </w:r>
      <w:r>
        <w:rPr>
          <w:rFonts w:hint="eastAsia" w:ascii="Times New Roman" w:hAnsi="宋体" w:cs="宋体"/>
          <w:color w:val="auto"/>
          <w:szCs w:val="21"/>
          <w:highlight w:val="none"/>
        </w:rPr>
        <w:t>承包人</w:t>
      </w:r>
      <w:r>
        <w:rPr>
          <w:rFonts w:ascii="Times New Roman" w:hAnsi="Times New Roman"/>
          <w:color w:val="auto"/>
          <w:szCs w:val="21"/>
          <w:highlight w:val="none"/>
        </w:rPr>
        <w:t>”</w:t>
      </w:r>
      <w:r>
        <w:rPr>
          <w:rFonts w:hint="eastAsia" w:ascii="Times New Roman" w:hAnsi="宋体" w:cs="宋体"/>
          <w:color w:val="auto"/>
          <w:szCs w:val="21"/>
          <w:highlight w:val="none"/>
        </w:rPr>
        <w:t>）于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（工程名称）的成交人。我方愿意无条件地、不可撤销地就承包人履行与你方签订的合同，向你方提供连带责任担保。</w:t>
      </w:r>
      <w:r>
        <w:rPr>
          <w:rFonts w:ascii="Times New Roman" w:hAnsi="Times New Roman"/>
          <w:color w:val="auto"/>
          <w:szCs w:val="21"/>
          <w:highlight w:val="none"/>
        </w:rPr>
        <w:t xml:space="preserve"> </w:t>
      </w:r>
    </w:p>
    <w:p w14:paraId="3B0E4DE5">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担保金额人民币（大写）</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622E17FA">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担保有效期自你方与承包人签订的合同生效之日起至你方签发或应签发工程接收证书之日止。</w:t>
      </w:r>
    </w:p>
    <w:p w14:paraId="023495FB">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在本担保有效期内，因承包人违反合同约定的义务给你方造成经济损失时，我方在收到你方以书面形式提出的在担保金额内的赔偿要求后，在</w:t>
      </w:r>
      <w:r>
        <w:rPr>
          <w:rFonts w:ascii="Times New Roman" w:hAnsi="Times New Roman"/>
          <w:color w:val="auto"/>
          <w:szCs w:val="21"/>
          <w:highlight w:val="none"/>
        </w:rPr>
        <w:t>7</w:t>
      </w:r>
      <w:r>
        <w:rPr>
          <w:rFonts w:hint="eastAsia" w:ascii="Times New Roman" w:hAnsi="宋体" w:cs="宋体"/>
          <w:color w:val="auto"/>
          <w:szCs w:val="21"/>
          <w:highlight w:val="none"/>
        </w:rPr>
        <w:t>天内无条件支付。</w:t>
      </w:r>
    </w:p>
    <w:p w14:paraId="4A41E5F8">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 </w:t>
      </w:r>
      <w:r>
        <w:rPr>
          <w:rFonts w:hint="eastAsia" w:ascii="Times New Roman" w:hAnsi="宋体" w:cs="宋体"/>
          <w:color w:val="auto"/>
          <w:szCs w:val="21"/>
          <w:highlight w:val="none"/>
        </w:rPr>
        <w:t>你方和承包人按合同约定变更合同时，我方承担本担保规定的义务不变。</w:t>
      </w:r>
    </w:p>
    <w:p w14:paraId="46D4C2EC">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 </w:t>
      </w:r>
      <w:r>
        <w:rPr>
          <w:rFonts w:hint="eastAsia" w:ascii="Times New Roman" w:hAnsi="宋体" w:cs="宋体"/>
          <w:color w:val="auto"/>
          <w:szCs w:val="21"/>
          <w:highlight w:val="none"/>
        </w:rPr>
        <w:t>因本保函发生的纠纷，可由双方协商解决，协商不成的，任何一方均可提请</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仲裁委员会仲裁。</w:t>
      </w:r>
    </w:p>
    <w:p w14:paraId="7106BEE3">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6. </w:t>
      </w:r>
      <w:r>
        <w:rPr>
          <w:rFonts w:hint="eastAsia" w:ascii="Times New Roman" w:hAnsi="宋体" w:cs="宋体"/>
          <w:color w:val="auto"/>
          <w:szCs w:val="21"/>
          <w:highlight w:val="none"/>
        </w:rPr>
        <w:t>本保函自我方法定代表人（或其授权代理人）签字并加盖公章之日起生效。</w:t>
      </w:r>
    </w:p>
    <w:p w14:paraId="6FCBE8D8">
      <w:pPr>
        <w:pStyle w:val="37"/>
        <w:spacing w:line="360" w:lineRule="auto"/>
        <w:rPr>
          <w:rFonts w:ascii="Times New Roman" w:hAnsi="Times New Roman"/>
          <w:color w:val="auto"/>
          <w:szCs w:val="21"/>
          <w:highlight w:val="none"/>
        </w:rPr>
      </w:pPr>
    </w:p>
    <w:p w14:paraId="7E8C71B8">
      <w:pPr>
        <w:pStyle w:val="37"/>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担</w:t>
      </w:r>
      <w:r>
        <w:rPr>
          <w:rFonts w:ascii="Times New Roman" w:hAnsi="Times New Roman"/>
          <w:color w:val="auto"/>
          <w:szCs w:val="21"/>
          <w:highlight w:val="none"/>
        </w:rPr>
        <w:t xml:space="preserve"> </w:t>
      </w:r>
      <w:r>
        <w:rPr>
          <w:rFonts w:hint="eastAsia" w:ascii="Times New Roman" w:hAnsi="宋体" w:cs="宋体"/>
          <w:color w:val="auto"/>
          <w:szCs w:val="21"/>
          <w:highlight w:val="none"/>
        </w:rPr>
        <w:t>保</w:t>
      </w:r>
      <w:r>
        <w:rPr>
          <w:rFonts w:ascii="Times New Roman" w:hAnsi="Times New Roman"/>
          <w:color w:val="auto"/>
          <w:szCs w:val="21"/>
          <w:highlight w:val="none"/>
        </w:rPr>
        <w:t xml:space="preserve"> </w:t>
      </w:r>
      <w:r>
        <w:rPr>
          <w:rFonts w:hint="eastAsia" w:ascii="Times New Roman" w:hAnsi="宋体" w:cs="宋体"/>
          <w:color w:val="auto"/>
          <w:szCs w:val="21"/>
          <w:highlight w:val="none"/>
        </w:rPr>
        <w:t>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（盖单位章）</w:t>
      </w:r>
    </w:p>
    <w:p w14:paraId="008D1F46">
      <w:pPr>
        <w:pStyle w:val="37"/>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法定代表人或其委托代理人：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（签字）</w:t>
      </w:r>
    </w:p>
    <w:p w14:paraId="5C1C1069">
      <w:pPr>
        <w:pStyle w:val="37"/>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地</w:t>
      </w:r>
      <w:r>
        <w:rPr>
          <w:rFonts w:ascii="Times New Roman" w:hAnsi="Times New Roman"/>
          <w:color w:val="auto"/>
          <w:szCs w:val="21"/>
          <w:highlight w:val="none"/>
        </w:rPr>
        <w:t xml:space="preserve">    </w:t>
      </w:r>
      <w:r>
        <w:rPr>
          <w:rFonts w:hint="eastAsia" w:ascii="Times New Roman" w:hAnsi="宋体" w:cs="宋体"/>
          <w:color w:val="auto"/>
          <w:szCs w:val="21"/>
          <w:highlight w:val="none"/>
        </w:rPr>
        <w:t>址：</w:t>
      </w:r>
      <w:r>
        <w:rPr>
          <w:rFonts w:ascii="Times New Roman" w:hAnsi="Times New Roman"/>
          <w:color w:val="auto"/>
          <w:szCs w:val="21"/>
          <w:highlight w:val="none"/>
          <w:u w:val="single"/>
        </w:rPr>
        <w:t xml:space="preserve">                                      </w:t>
      </w:r>
    </w:p>
    <w:p w14:paraId="45C0B897">
      <w:pPr>
        <w:pStyle w:val="37"/>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邮政编码：</w:t>
      </w:r>
      <w:r>
        <w:rPr>
          <w:rFonts w:ascii="Times New Roman" w:hAnsi="Times New Roman"/>
          <w:color w:val="auto"/>
          <w:szCs w:val="21"/>
          <w:highlight w:val="none"/>
          <w:u w:val="single"/>
        </w:rPr>
        <w:t xml:space="preserve">                                      </w:t>
      </w:r>
    </w:p>
    <w:p w14:paraId="35AE1570">
      <w:pPr>
        <w:pStyle w:val="37"/>
        <w:spacing w:line="360" w:lineRule="auto"/>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电</w:t>
      </w:r>
      <w:r>
        <w:rPr>
          <w:rFonts w:ascii="Times New Roman" w:hAnsi="Times New Roman"/>
          <w:color w:val="auto"/>
          <w:szCs w:val="21"/>
          <w:highlight w:val="none"/>
        </w:rPr>
        <w:t xml:space="preserve">    </w:t>
      </w:r>
      <w:r>
        <w:rPr>
          <w:rFonts w:hint="eastAsia" w:ascii="Times New Roman" w:hAnsi="宋体" w:cs="宋体"/>
          <w:color w:val="auto"/>
          <w:szCs w:val="21"/>
          <w:highlight w:val="none"/>
        </w:rPr>
        <w:t>话：</w:t>
      </w:r>
      <w:r>
        <w:rPr>
          <w:rFonts w:ascii="Times New Roman" w:hAnsi="Times New Roman"/>
          <w:color w:val="auto"/>
          <w:szCs w:val="21"/>
          <w:highlight w:val="none"/>
          <w:u w:val="single"/>
        </w:rPr>
        <w:t xml:space="preserve">                                      </w:t>
      </w:r>
    </w:p>
    <w:p w14:paraId="016BEAE0">
      <w:pPr>
        <w:pStyle w:val="37"/>
        <w:spacing w:line="360" w:lineRule="auto"/>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传</w:t>
      </w:r>
      <w:r>
        <w:rPr>
          <w:rFonts w:ascii="Times New Roman" w:hAnsi="Times New Roman"/>
          <w:color w:val="auto"/>
          <w:szCs w:val="21"/>
          <w:highlight w:val="none"/>
        </w:rPr>
        <w:t xml:space="preserve">    </w:t>
      </w:r>
      <w:r>
        <w:rPr>
          <w:rFonts w:hint="eastAsia" w:ascii="Times New Roman" w:hAnsi="宋体" w:cs="宋体"/>
          <w:color w:val="auto"/>
          <w:szCs w:val="21"/>
          <w:highlight w:val="none"/>
        </w:rPr>
        <w:t>真：</w:t>
      </w:r>
      <w:r>
        <w:rPr>
          <w:rFonts w:ascii="Times New Roman" w:hAnsi="Times New Roman"/>
          <w:color w:val="auto"/>
          <w:szCs w:val="21"/>
          <w:highlight w:val="none"/>
          <w:u w:val="single"/>
        </w:rPr>
        <w:t xml:space="preserve">                                      </w:t>
      </w:r>
    </w:p>
    <w:p w14:paraId="323904AB">
      <w:pPr>
        <w:pStyle w:val="37"/>
        <w:spacing w:line="360" w:lineRule="auto"/>
        <w:ind w:left="1329"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w:t>
      </w:r>
    </w:p>
    <w:p w14:paraId="374466AA">
      <w:pPr>
        <w:pStyle w:val="37"/>
        <w:spacing w:line="360" w:lineRule="auto"/>
        <w:ind w:left="1329" w:hanging="1329" w:hangingChars="633"/>
        <w:rPr>
          <w:rFonts w:ascii="Times New Roman" w:hAnsi="Times New Roman"/>
          <w:color w:val="auto"/>
          <w:szCs w:val="21"/>
          <w:highlight w:val="none"/>
        </w:rPr>
      </w:pPr>
    </w:p>
    <w:p w14:paraId="4B2B5B1A">
      <w:pPr>
        <w:pStyle w:val="37"/>
        <w:spacing w:line="360" w:lineRule="auto"/>
        <w:ind w:right="150" w:firstLine="420" w:firstLineChars="200"/>
        <w:jc w:val="left"/>
        <w:rPr>
          <w:rFonts w:ascii="仿宋_GB2312" w:hAnsi="宋体" w:cs="宋体"/>
          <w:color w:val="auto"/>
          <w:szCs w:val="21"/>
          <w:highlight w:val="none"/>
        </w:rPr>
      </w:pPr>
      <w:r>
        <w:rPr>
          <w:rFonts w:hint="eastAsia" w:ascii="Times New Roman" w:hAnsi="宋体" w:cs="宋体"/>
          <w:color w:val="auto"/>
          <w:szCs w:val="21"/>
          <w:highlight w:val="none"/>
        </w:rPr>
        <w:t>（备注</w:t>
      </w:r>
      <w:r>
        <w:rPr>
          <w:rFonts w:ascii="Times New Roman" w:hAnsi="宋体" w:cs="宋体"/>
          <w:color w:val="auto"/>
          <w:szCs w:val="21"/>
          <w:highlight w:val="none"/>
        </w:rPr>
        <w:t>：</w:t>
      </w:r>
      <w:r>
        <w:rPr>
          <w:rFonts w:hint="eastAsia" w:ascii="Times New Roman" w:hAnsi="宋体" w:cs="宋体"/>
          <w:color w:val="auto"/>
          <w:szCs w:val="21"/>
          <w:highlight w:val="none"/>
        </w:rPr>
        <w:t>银行、保险公司和担保公司出具的</w:t>
      </w:r>
      <w:r>
        <w:rPr>
          <w:rFonts w:hint="eastAsia" w:ascii="仿宋_GB2312" w:hAnsi="宋体" w:cs="宋体"/>
          <w:color w:val="auto"/>
          <w:szCs w:val="21"/>
          <w:highlight w:val="none"/>
        </w:rPr>
        <w:t>保函格式和文本可</w:t>
      </w:r>
      <w:r>
        <w:rPr>
          <w:rFonts w:ascii="仿宋_GB2312" w:hAnsi="宋体" w:cs="宋体"/>
          <w:color w:val="auto"/>
          <w:szCs w:val="21"/>
          <w:highlight w:val="none"/>
        </w:rPr>
        <w:t>以自拟，</w:t>
      </w:r>
      <w:r>
        <w:rPr>
          <w:rFonts w:hint="eastAsia" w:ascii="仿宋_GB2312" w:hAnsi="宋体" w:cs="宋体"/>
          <w:color w:val="auto"/>
          <w:szCs w:val="21"/>
          <w:highlight w:val="none"/>
        </w:rPr>
        <w:t>但是必须包含以上条款所列全部内容</w:t>
      </w:r>
      <w:r>
        <w:rPr>
          <w:rFonts w:ascii="仿宋_GB2312" w:hAnsi="宋体" w:cs="宋体"/>
          <w:color w:val="auto"/>
          <w:szCs w:val="21"/>
          <w:highlight w:val="none"/>
        </w:rPr>
        <w:t>）</w:t>
      </w:r>
    </w:p>
    <w:p w14:paraId="2C827CB0">
      <w:pPr>
        <w:ind w:firstLine="600" w:firstLineChars="200"/>
        <w:rPr>
          <w:rFonts w:hint="eastAsia" w:ascii="Times New Roman" w:hAnsi="Times New Roman" w:eastAsia="仿宋_GB2312" w:cs="仿宋_GB2312"/>
          <w:color w:val="auto"/>
          <w:sz w:val="30"/>
          <w:szCs w:val="30"/>
          <w:highlight w:val="none"/>
        </w:rPr>
      </w:pPr>
      <w:r>
        <w:rPr>
          <w:rFonts w:hint="eastAsia" w:ascii="Times New Roman" w:hAnsi="Times New Roman" w:eastAsia="仿宋_GB2312" w:cs="仿宋_GB2312"/>
          <w:color w:val="auto"/>
          <w:sz w:val="30"/>
          <w:szCs w:val="30"/>
          <w:highlight w:val="none"/>
        </w:rPr>
        <w:br w:type="page"/>
      </w:r>
    </w:p>
    <w:p w14:paraId="22DA05F3">
      <w:pPr>
        <w:pStyle w:val="37"/>
        <w:spacing w:line="360" w:lineRule="auto"/>
        <w:ind w:firstLine="600" w:firstLineChars="200"/>
        <w:rPr>
          <w:rFonts w:ascii="Times New Roman" w:hAnsi="Times New Roman" w:eastAsia="黑体"/>
          <w:color w:val="auto"/>
          <w:sz w:val="30"/>
          <w:szCs w:val="30"/>
          <w:highlight w:val="none"/>
        </w:rPr>
      </w:pPr>
      <w:r>
        <w:rPr>
          <w:rFonts w:hint="eastAsia" w:ascii="Times New Roman" w:hAnsi="Times New Roman" w:eastAsia="仿宋_GB2312" w:cs="仿宋_GB2312"/>
          <w:color w:val="auto"/>
          <w:sz w:val="30"/>
          <w:szCs w:val="30"/>
          <w:highlight w:val="none"/>
        </w:rPr>
        <w:t>附件</w:t>
      </w:r>
      <w:r>
        <w:rPr>
          <w:rFonts w:hint="eastAsia" w:ascii="Times New Roman" w:hAnsi="Times New Roman" w:eastAsia="仿宋_GB2312"/>
          <w:color w:val="auto"/>
          <w:sz w:val="30"/>
          <w:szCs w:val="30"/>
          <w:highlight w:val="none"/>
        </w:rPr>
        <w:t>8</w:t>
      </w:r>
      <w:r>
        <w:rPr>
          <w:rFonts w:hint="eastAsia" w:ascii="Times New Roman" w:hAnsi="Times New Roman" w:eastAsia="仿宋_GB2312" w:cs="仿宋_GB2312"/>
          <w:color w:val="auto"/>
          <w:sz w:val="30"/>
          <w:szCs w:val="30"/>
          <w:highlight w:val="none"/>
        </w:rPr>
        <w:t>：</w:t>
      </w:r>
    </w:p>
    <w:p w14:paraId="21A97328">
      <w:pPr>
        <w:pStyle w:val="37"/>
        <w:spacing w:before="156" w:beforeLines="50" w:after="156" w:afterLines="50" w:line="440" w:lineRule="exact"/>
        <w:ind w:firstLine="600" w:firstLineChars="200"/>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预付款担保</w:t>
      </w:r>
    </w:p>
    <w:p w14:paraId="5C2E6CB9">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宋体" w:cs="宋体"/>
          <w:color w:val="auto"/>
          <w:szCs w:val="21"/>
          <w:highlight w:val="none"/>
        </w:rPr>
        <w:t>（发包人名称）：</w:t>
      </w:r>
    </w:p>
    <w:p w14:paraId="33138D84">
      <w:pPr>
        <w:pStyle w:val="37"/>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根据</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（承包人名称）（以下</w:t>
      </w:r>
      <w:r>
        <w:rPr>
          <w:rFonts w:hint="eastAsia" w:ascii="Times New Roman" w:hAnsi="宋体" w:cs="宋体"/>
          <w:color w:val="auto"/>
          <w:szCs w:val="21"/>
          <w:highlight w:val="none"/>
          <w:lang w:val="en-US" w:eastAsia="zh-CN"/>
        </w:rPr>
        <w:t>简</w:t>
      </w:r>
      <w:r>
        <w:rPr>
          <w:rFonts w:hint="eastAsia" w:ascii="Times New Roman" w:hAnsi="宋体" w:cs="宋体"/>
          <w:color w:val="auto"/>
          <w:szCs w:val="21"/>
          <w:highlight w:val="none"/>
        </w:rPr>
        <w:t>称</w:t>
      </w:r>
      <w:r>
        <w:rPr>
          <w:rFonts w:ascii="Times New Roman" w:hAnsi="Times New Roman"/>
          <w:color w:val="auto"/>
          <w:szCs w:val="21"/>
          <w:highlight w:val="none"/>
        </w:rPr>
        <w:t>“</w:t>
      </w:r>
      <w:r>
        <w:rPr>
          <w:rFonts w:hint="eastAsia" w:ascii="Times New Roman" w:hAnsi="宋体" w:cs="宋体"/>
          <w:color w:val="auto"/>
          <w:szCs w:val="21"/>
          <w:highlight w:val="none"/>
        </w:rPr>
        <w:t>承包人</w:t>
      </w:r>
      <w:r>
        <w:rPr>
          <w:rFonts w:ascii="Times New Roman" w:hAnsi="Times New Roman"/>
          <w:color w:val="auto"/>
          <w:szCs w:val="21"/>
          <w:highlight w:val="none"/>
        </w:rPr>
        <w:t>”</w:t>
      </w:r>
      <w:r>
        <w:rPr>
          <w:rFonts w:hint="eastAsia" w:ascii="Times New Roman" w:hAnsi="宋体" w:cs="宋体"/>
          <w:color w:val="auto"/>
          <w:szCs w:val="21"/>
          <w:highlight w:val="none"/>
        </w:rPr>
        <w:t>）与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（发包人名称）（以下简称</w:t>
      </w:r>
      <w:r>
        <w:rPr>
          <w:rFonts w:ascii="Times New Roman" w:hAnsi="Times New Roman"/>
          <w:color w:val="auto"/>
          <w:szCs w:val="21"/>
          <w:highlight w:val="none"/>
        </w:rPr>
        <w:t>“</w:t>
      </w:r>
      <w:r>
        <w:rPr>
          <w:rFonts w:hint="eastAsia" w:ascii="Times New Roman" w:hAnsi="宋体" w:cs="宋体"/>
          <w:color w:val="auto"/>
          <w:szCs w:val="21"/>
          <w:highlight w:val="none"/>
        </w:rPr>
        <w:t>发包人</w:t>
      </w:r>
      <w:r>
        <w:rPr>
          <w:rFonts w:ascii="Times New Roman" w:hAnsi="Times New Roman"/>
          <w:color w:val="auto"/>
          <w:szCs w:val="21"/>
          <w:highlight w:val="none"/>
        </w:rPr>
        <w:t>”</w:t>
      </w:r>
      <w:r>
        <w:rPr>
          <w:rFonts w:hint="eastAsia" w:ascii="Times New Roman" w:hAnsi="宋体" w:cs="宋体"/>
          <w:color w:val="auto"/>
          <w:szCs w:val="21"/>
          <w:highlight w:val="none"/>
        </w:rPr>
        <w:t>）于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日签订的</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256D546">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担保金额人民币（大写）</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5230259A">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担保有效期自预付款支付给承包人起生效，至你方签发的进度款支付证书说明已完全扣清止。</w:t>
      </w:r>
    </w:p>
    <w:p w14:paraId="11CFB61F">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DBBF8A6">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 </w:t>
      </w:r>
      <w:r>
        <w:rPr>
          <w:rFonts w:hint="eastAsia" w:ascii="Times New Roman" w:hAnsi="宋体" w:cs="宋体"/>
          <w:color w:val="auto"/>
          <w:szCs w:val="21"/>
          <w:highlight w:val="none"/>
        </w:rPr>
        <w:t>你方和承包人按合同约定变更合同时，我方承担本保函规定的义务不变。</w:t>
      </w:r>
    </w:p>
    <w:p w14:paraId="7A8E4D50">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 </w:t>
      </w:r>
      <w:r>
        <w:rPr>
          <w:rFonts w:hint="eastAsia" w:ascii="Times New Roman" w:hAnsi="宋体" w:cs="宋体"/>
          <w:color w:val="auto"/>
          <w:szCs w:val="21"/>
          <w:highlight w:val="none"/>
        </w:rPr>
        <w:t>因本保函发生的纠纷，可由双方协商解决，协商不成的，任何一方均可提请</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仲裁委员会仲裁。</w:t>
      </w:r>
    </w:p>
    <w:p w14:paraId="6DC1A296">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6. </w:t>
      </w:r>
      <w:r>
        <w:rPr>
          <w:rFonts w:hint="eastAsia" w:ascii="Times New Roman" w:hAnsi="宋体" w:cs="宋体"/>
          <w:color w:val="auto"/>
          <w:szCs w:val="21"/>
          <w:highlight w:val="none"/>
        </w:rPr>
        <w:t>本保函自我方法定代表人（或其授权代理人）签字并加盖公章之日起生效。</w:t>
      </w:r>
    </w:p>
    <w:p w14:paraId="437B75BD">
      <w:pPr>
        <w:pStyle w:val="37"/>
        <w:spacing w:line="360" w:lineRule="auto"/>
        <w:rPr>
          <w:rFonts w:ascii="Times New Roman" w:hAnsi="Times New Roman"/>
          <w:color w:val="auto"/>
          <w:szCs w:val="21"/>
          <w:highlight w:val="none"/>
        </w:rPr>
      </w:pPr>
    </w:p>
    <w:p w14:paraId="45B8D3B7">
      <w:pPr>
        <w:pStyle w:val="37"/>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担保人：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（盖单位章）</w:t>
      </w:r>
    </w:p>
    <w:p w14:paraId="3CD23914">
      <w:pPr>
        <w:pStyle w:val="37"/>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法定代表人或其委托代理人：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（签字）</w:t>
      </w:r>
    </w:p>
    <w:p w14:paraId="08D79294">
      <w:pPr>
        <w:pStyle w:val="37"/>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地</w:t>
      </w:r>
      <w:r>
        <w:rPr>
          <w:rFonts w:ascii="Times New Roman" w:hAnsi="Times New Roman"/>
          <w:color w:val="auto"/>
          <w:szCs w:val="21"/>
          <w:highlight w:val="none"/>
        </w:rPr>
        <w:t xml:space="preserve">    </w:t>
      </w:r>
      <w:r>
        <w:rPr>
          <w:rFonts w:hint="eastAsia" w:ascii="Times New Roman" w:hAnsi="宋体" w:cs="宋体"/>
          <w:color w:val="auto"/>
          <w:szCs w:val="21"/>
          <w:highlight w:val="none"/>
        </w:rPr>
        <w:t>址：</w:t>
      </w:r>
      <w:r>
        <w:rPr>
          <w:rFonts w:ascii="Times New Roman" w:hAnsi="Times New Roman"/>
          <w:color w:val="auto"/>
          <w:szCs w:val="21"/>
          <w:highlight w:val="none"/>
          <w:u w:val="single"/>
        </w:rPr>
        <w:t xml:space="preserve">                            </w:t>
      </w:r>
    </w:p>
    <w:p w14:paraId="3E9FDDE9">
      <w:pPr>
        <w:pStyle w:val="37"/>
        <w:spacing w:line="360" w:lineRule="auto"/>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邮政编码：</w:t>
      </w:r>
      <w:r>
        <w:rPr>
          <w:rFonts w:ascii="Times New Roman" w:hAnsi="Times New Roman"/>
          <w:color w:val="auto"/>
          <w:szCs w:val="21"/>
          <w:highlight w:val="none"/>
          <w:u w:val="single"/>
        </w:rPr>
        <w:t xml:space="preserve">                            </w:t>
      </w:r>
    </w:p>
    <w:p w14:paraId="1FA37492">
      <w:pPr>
        <w:pStyle w:val="37"/>
        <w:spacing w:line="360" w:lineRule="auto"/>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电</w:t>
      </w:r>
      <w:r>
        <w:rPr>
          <w:rFonts w:ascii="Times New Roman" w:hAnsi="Times New Roman"/>
          <w:color w:val="auto"/>
          <w:szCs w:val="21"/>
          <w:highlight w:val="none"/>
        </w:rPr>
        <w:t xml:space="preserve">    </w:t>
      </w:r>
      <w:r>
        <w:rPr>
          <w:rFonts w:hint="eastAsia" w:ascii="Times New Roman" w:hAnsi="宋体" w:cs="宋体"/>
          <w:color w:val="auto"/>
          <w:szCs w:val="21"/>
          <w:highlight w:val="none"/>
        </w:rPr>
        <w:t>话：</w:t>
      </w:r>
      <w:r>
        <w:rPr>
          <w:rFonts w:ascii="Times New Roman" w:hAnsi="Times New Roman"/>
          <w:color w:val="auto"/>
          <w:szCs w:val="21"/>
          <w:highlight w:val="none"/>
          <w:u w:val="single"/>
        </w:rPr>
        <w:t xml:space="preserve">                            </w:t>
      </w:r>
    </w:p>
    <w:p w14:paraId="6D08176D">
      <w:pPr>
        <w:pStyle w:val="37"/>
        <w:spacing w:line="360" w:lineRule="auto"/>
        <w:ind w:firstLine="420" w:firstLineChars="200"/>
        <w:rPr>
          <w:rFonts w:ascii="Times New Roman" w:hAnsi="Times New Roman"/>
          <w:color w:val="auto"/>
          <w:szCs w:val="21"/>
          <w:highlight w:val="none"/>
          <w:u w:val="single"/>
        </w:rPr>
      </w:pPr>
      <w:r>
        <w:rPr>
          <w:rFonts w:hint="eastAsia" w:ascii="Times New Roman" w:hAnsi="宋体" w:cs="宋体"/>
          <w:color w:val="auto"/>
          <w:szCs w:val="21"/>
          <w:highlight w:val="none"/>
        </w:rPr>
        <w:t>传</w:t>
      </w:r>
      <w:r>
        <w:rPr>
          <w:rFonts w:ascii="Times New Roman" w:hAnsi="Times New Roman"/>
          <w:color w:val="auto"/>
          <w:szCs w:val="21"/>
          <w:highlight w:val="none"/>
        </w:rPr>
        <w:t xml:space="preserve">    </w:t>
      </w:r>
      <w:r>
        <w:rPr>
          <w:rFonts w:hint="eastAsia" w:ascii="Times New Roman" w:hAnsi="宋体" w:cs="宋体"/>
          <w:color w:val="auto"/>
          <w:szCs w:val="21"/>
          <w:highlight w:val="none"/>
        </w:rPr>
        <w:t>真：</w:t>
      </w:r>
      <w:r>
        <w:rPr>
          <w:rFonts w:ascii="Times New Roman" w:hAnsi="Times New Roman"/>
          <w:color w:val="auto"/>
          <w:szCs w:val="21"/>
          <w:highlight w:val="none"/>
          <w:u w:val="single"/>
        </w:rPr>
        <w:t xml:space="preserve">                            </w:t>
      </w:r>
    </w:p>
    <w:p w14:paraId="3A67542F">
      <w:pPr>
        <w:pStyle w:val="37"/>
        <w:spacing w:line="360" w:lineRule="auto"/>
        <w:ind w:firstLine="420" w:firstLineChars="200"/>
        <w:rPr>
          <w:rFonts w:ascii="Times New Roman" w:hAnsi="宋体"/>
          <w:color w:val="auto"/>
          <w:szCs w:val="21"/>
          <w:highlight w:val="none"/>
        </w:rPr>
      </w:pPr>
      <w:r>
        <w:rPr>
          <w:rFonts w:ascii="Times New Roman" w:hAnsi="Times New Roman"/>
          <w:color w:val="auto"/>
          <w:szCs w:val="21"/>
          <w:highlight w:val="non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w:t>
      </w:r>
    </w:p>
    <w:p w14:paraId="166D4D83">
      <w:pPr>
        <w:pStyle w:val="37"/>
        <w:spacing w:line="360" w:lineRule="auto"/>
        <w:ind w:right="150" w:firstLine="420" w:firstLineChars="200"/>
        <w:jc w:val="left"/>
        <w:rPr>
          <w:rFonts w:ascii="仿宋_GB2312" w:hAnsi="宋体" w:cs="宋体"/>
          <w:color w:val="auto"/>
          <w:szCs w:val="21"/>
          <w:highlight w:val="none"/>
        </w:rPr>
      </w:pPr>
      <w:r>
        <w:rPr>
          <w:rFonts w:hint="eastAsia" w:ascii="Times New Roman" w:hAnsi="宋体" w:cs="宋体"/>
          <w:color w:val="auto"/>
          <w:szCs w:val="21"/>
          <w:highlight w:val="none"/>
        </w:rPr>
        <w:t>（备注</w:t>
      </w:r>
      <w:r>
        <w:rPr>
          <w:rFonts w:ascii="Times New Roman" w:hAnsi="宋体" w:cs="宋体"/>
          <w:color w:val="auto"/>
          <w:szCs w:val="21"/>
          <w:highlight w:val="none"/>
        </w:rPr>
        <w:t>：</w:t>
      </w:r>
      <w:r>
        <w:rPr>
          <w:rFonts w:hint="eastAsia" w:ascii="Times New Roman" w:hAnsi="宋体" w:cs="宋体"/>
          <w:color w:val="auto"/>
          <w:szCs w:val="21"/>
          <w:highlight w:val="none"/>
        </w:rPr>
        <w:t>银行、保险公司和担保公司出具的</w:t>
      </w:r>
      <w:r>
        <w:rPr>
          <w:rFonts w:hint="eastAsia" w:ascii="仿宋_GB2312" w:hAnsi="宋体" w:cs="宋体"/>
          <w:color w:val="auto"/>
          <w:szCs w:val="21"/>
          <w:highlight w:val="none"/>
        </w:rPr>
        <w:t>保函格式和文本可</w:t>
      </w:r>
      <w:r>
        <w:rPr>
          <w:rFonts w:ascii="仿宋_GB2312" w:hAnsi="宋体" w:cs="宋体"/>
          <w:color w:val="auto"/>
          <w:szCs w:val="21"/>
          <w:highlight w:val="none"/>
        </w:rPr>
        <w:t>以自拟，</w:t>
      </w:r>
      <w:r>
        <w:rPr>
          <w:rFonts w:hint="eastAsia" w:ascii="仿宋_GB2312" w:hAnsi="宋体" w:cs="宋体"/>
          <w:color w:val="auto"/>
          <w:szCs w:val="21"/>
          <w:highlight w:val="none"/>
        </w:rPr>
        <w:t>但是必须包含以上条款所列全部内容</w:t>
      </w:r>
      <w:r>
        <w:rPr>
          <w:rFonts w:ascii="仿宋_GB2312" w:hAnsi="宋体" w:cs="宋体"/>
          <w:color w:val="auto"/>
          <w:szCs w:val="21"/>
          <w:highlight w:val="none"/>
        </w:rPr>
        <w:t>）</w:t>
      </w:r>
    </w:p>
    <w:p w14:paraId="54FF6CE5">
      <w:pPr>
        <w:pStyle w:val="37"/>
        <w:spacing w:line="360" w:lineRule="auto"/>
        <w:ind w:right="150" w:firstLine="420" w:firstLineChars="200"/>
        <w:jc w:val="left"/>
        <w:rPr>
          <w:rFonts w:ascii="仿宋_GB2312" w:hAnsi="宋体" w:cs="宋体"/>
          <w:color w:val="auto"/>
          <w:szCs w:val="21"/>
          <w:highlight w:val="none"/>
        </w:rPr>
      </w:pPr>
    </w:p>
    <w:p w14:paraId="5F833218">
      <w:pPr>
        <w:pStyle w:val="37"/>
        <w:spacing w:line="440" w:lineRule="exact"/>
        <w:jc w:val="left"/>
        <w:rPr>
          <w:rFonts w:hint="eastAsia" w:ascii="Times New Roman" w:hAnsi="Times New Roman" w:eastAsia="仿宋_GB2312" w:cs="仿宋_GB2312"/>
          <w:color w:val="auto"/>
          <w:sz w:val="30"/>
          <w:szCs w:val="30"/>
          <w:highlight w:val="none"/>
        </w:rPr>
      </w:pPr>
    </w:p>
    <w:p w14:paraId="7D1C1FCB">
      <w:pPr>
        <w:pStyle w:val="37"/>
        <w:spacing w:line="440" w:lineRule="exact"/>
        <w:jc w:val="left"/>
        <w:rPr>
          <w:rFonts w:hint="eastAsia" w:ascii="Times New Roman" w:hAnsi="Times New Roman" w:eastAsia="仿宋_GB2312" w:cs="仿宋_GB2312"/>
          <w:color w:val="auto"/>
          <w:sz w:val="30"/>
          <w:szCs w:val="30"/>
          <w:highlight w:val="none"/>
        </w:rPr>
      </w:pPr>
    </w:p>
    <w:p w14:paraId="6AFD001B">
      <w:pPr>
        <w:pStyle w:val="37"/>
        <w:spacing w:line="440" w:lineRule="exact"/>
        <w:ind w:firstLine="600" w:firstLineChars="200"/>
        <w:jc w:val="left"/>
        <w:rPr>
          <w:rFonts w:ascii="Times New Roman" w:hAnsi="Times New Roman" w:eastAsia="黑体"/>
          <w:color w:val="auto"/>
          <w:sz w:val="30"/>
          <w:szCs w:val="30"/>
          <w:highlight w:val="none"/>
        </w:rPr>
      </w:pPr>
      <w:r>
        <w:rPr>
          <w:rFonts w:hint="eastAsia" w:ascii="Times New Roman" w:hAnsi="Times New Roman" w:eastAsia="仿宋_GB2312" w:cs="仿宋_GB2312"/>
          <w:color w:val="auto"/>
          <w:sz w:val="30"/>
          <w:szCs w:val="30"/>
          <w:highlight w:val="none"/>
        </w:rPr>
        <w:t>附件</w:t>
      </w:r>
      <w:r>
        <w:rPr>
          <w:rFonts w:hint="eastAsia" w:ascii="Times New Roman" w:hAnsi="Times New Roman" w:eastAsia="仿宋_GB2312"/>
          <w:color w:val="auto"/>
          <w:sz w:val="30"/>
          <w:szCs w:val="30"/>
          <w:highlight w:val="none"/>
        </w:rPr>
        <w:t>9</w:t>
      </w:r>
      <w:r>
        <w:rPr>
          <w:rFonts w:hint="eastAsia" w:ascii="Times New Roman" w:hAnsi="Times New Roman" w:eastAsia="仿宋_GB2312" w:cs="仿宋_GB2312"/>
          <w:color w:val="auto"/>
          <w:sz w:val="30"/>
          <w:szCs w:val="30"/>
          <w:highlight w:val="none"/>
        </w:rPr>
        <w:t>：</w:t>
      </w:r>
    </w:p>
    <w:p w14:paraId="67744EB4">
      <w:pPr>
        <w:pStyle w:val="37"/>
        <w:spacing w:before="156" w:beforeLines="50" w:after="156" w:afterLines="50" w:line="440" w:lineRule="exact"/>
        <w:ind w:firstLine="600" w:firstLineChars="200"/>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支付担保</w:t>
      </w:r>
    </w:p>
    <w:p w14:paraId="7C0281FC">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（承包人）：</w:t>
      </w:r>
    </w:p>
    <w:p w14:paraId="6F3D6015">
      <w:pPr>
        <w:pStyle w:val="37"/>
        <w:spacing w:line="360" w:lineRule="auto"/>
        <w:ind w:firstLine="420" w:firstLineChars="200"/>
        <w:jc w:val="left"/>
        <w:rPr>
          <w:rFonts w:ascii="Times New Roman" w:hAnsi="宋体"/>
          <w:color w:val="auto"/>
          <w:szCs w:val="21"/>
          <w:highlight w:val="none"/>
        </w:rPr>
      </w:pPr>
      <w:r>
        <w:rPr>
          <w:rFonts w:hint="eastAsia" w:ascii="Times New Roman" w:hAnsi="宋体" w:cs="宋体"/>
          <w:color w:val="auto"/>
          <w:szCs w:val="21"/>
          <w:highlight w:val="none"/>
        </w:rPr>
        <w:t>鉴于你方作为承包人已经与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（发包人名称）（以下</w:t>
      </w:r>
      <w:r>
        <w:rPr>
          <w:rFonts w:hint="eastAsia" w:ascii="Times New Roman" w:hAnsi="宋体" w:cs="宋体"/>
          <w:color w:val="auto"/>
          <w:szCs w:val="21"/>
          <w:highlight w:val="none"/>
          <w:lang w:val="en-US" w:eastAsia="zh-CN"/>
        </w:rPr>
        <w:t>简</w:t>
      </w:r>
      <w:r>
        <w:rPr>
          <w:rFonts w:hint="eastAsia" w:ascii="Times New Roman" w:hAnsi="宋体" w:cs="宋体"/>
          <w:color w:val="auto"/>
          <w:szCs w:val="21"/>
          <w:highlight w:val="none"/>
        </w:rPr>
        <w:t>称</w:t>
      </w:r>
      <w:r>
        <w:rPr>
          <w:rFonts w:ascii="Times New Roman" w:hAnsi="Times New Roman"/>
          <w:color w:val="auto"/>
          <w:szCs w:val="21"/>
          <w:highlight w:val="none"/>
        </w:rPr>
        <w:t>“</w:t>
      </w:r>
      <w:r>
        <w:rPr>
          <w:rFonts w:hint="eastAsia" w:ascii="Times New Roman" w:hAnsi="宋体" w:cs="宋体"/>
          <w:color w:val="auto"/>
          <w:szCs w:val="21"/>
          <w:highlight w:val="none"/>
        </w:rPr>
        <w:t>发包人</w:t>
      </w:r>
      <w:r>
        <w:rPr>
          <w:rFonts w:ascii="Times New Roman" w:hAnsi="Times New Roman"/>
          <w:color w:val="auto"/>
          <w:szCs w:val="21"/>
          <w:highlight w:val="none"/>
        </w:rPr>
        <w:t>”</w:t>
      </w:r>
      <w:r>
        <w:rPr>
          <w:rFonts w:hint="eastAsia" w:ascii="Times New Roman" w:hAnsi="宋体" w:cs="宋体"/>
          <w:color w:val="auto"/>
          <w:szCs w:val="21"/>
          <w:highlight w:val="none"/>
        </w:rPr>
        <w:t>）于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日签订了</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（工程名称）《建设工程施工合同》（以下</w:t>
      </w:r>
      <w:r>
        <w:rPr>
          <w:rFonts w:hint="eastAsia"/>
          <w:color w:val="auto"/>
          <w:highlight w:val="none"/>
          <w:lang w:val="en-US" w:eastAsia="zh-CN"/>
        </w:rPr>
        <w:t>简</w:t>
      </w:r>
      <w:r>
        <w:rPr>
          <w:rFonts w:hint="eastAsia" w:ascii="Times New Roman" w:hAnsi="宋体" w:cs="宋体"/>
          <w:color w:val="auto"/>
          <w:szCs w:val="21"/>
          <w:highlight w:val="none"/>
        </w:rPr>
        <w:t>称</w:t>
      </w:r>
      <w:r>
        <w:rPr>
          <w:rFonts w:ascii="Times New Roman" w:hAnsi="Times New Roman"/>
          <w:color w:val="auto"/>
          <w:szCs w:val="21"/>
          <w:highlight w:val="none"/>
        </w:rPr>
        <w:t>“</w:t>
      </w:r>
      <w:r>
        <w:rPr>
          <w:rFonts w:hint="eastAsia" w:ascii="Times New Roman" w:hAnsi="宋体" w:cs="宋体"/>
          <w:color w:val="auto"/>
          <w:szCs w:val="21"/>
          <w:highlight w:val="none"/>
        </w:rPr>
        <w:t>主合同</w:t>
      </w:r>
      <w:r>
        <w:rPr>
          <w:rFonts w:ascii="Times New Roman" w:hAnsi="Times New Roman"/>
          <w:color w:val="auto"/>
          <w:szCs w:val="21"/>
          <w:highlight w:val="none"/>
        </w:rPr>
        <w:t>”</w:t>
      </w:r>
      <w:r>
        <w:rPr>
          <w:rFonts w:hint="eastAsia" w:ascii="Times New Roman" w:hAnsi="宋体" w:cs="宋体"/>
          <w:color w:val="auto"/>
          <w:szCs w:val="21"/>
          <w:highlight w:val="none"/>
        </w:rPr>
        <w:t>），应发包人的申请，我方愿就发包人履行主合同约定的工程款支付义务以保证的方式向你方提供如下担保：</w:t>
      </w:r>
    </w:p>
    <w:p w14:paraId="08D5BA15">
      <w:pPr>
        <w:pStyle w:val="37"/>
        <w:spacing w:line="360" w:lineRule="auto"/>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一、保证的范围及保证金额</w:t>
      </w:r>
    </w:p>
    <w:p w14:paraId="4591DEB8">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我方的保证范围是主合同约定的工程款。</w:t>
      </w:r>
    </w:p>
    <w:p w14:paraId="4E077218">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本保函所称主合同约定的工程款是指主合同约定的除工程质量保证金以外的合同价款。</w:t>
      </w:r>
    </w:p>
    <w:p w14:paraId="4651DEDD">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我方保证的金额是主合同约定的工程款的</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Times New Roman" w:hAnsi="宋体" w:cs="宋体"/>
          <w:color w:val="auto"/>
          <w:szCs w:val="21"/>
          <w:highlight w:val="none"/>
        </w:rPr>
        <w:t>，数额最高不超过人民币</w:t>
      </w:r>
      <w:r>
        <w:rPr>
          <w:rFonts w:hint="eastAsia" w:ascii="Times New Roman" w:hAnsi="宋体" w:cs="宋体"/>
          <w:color w:val="auto"/>
          <w:szCs w:val="21"/>
          <w:highlight w:val="none"/>
          <w:lang w:eastAsia="zh-CN"/>
        </w:rPr>
        <w:t>（</w:t>
      </w:r>
      <w:r>
        <w:rPr>
          <w:rFonts w:hint="eastAsia" w:ascii="Times New Roman" w:hAnsi="宋体" w:cs="宋体"/>
          <w:color w:val="auto"/>
          <w:szCs w:val="21"/>
          <w:highlight w:val="none"/>
        </w:rPr>
        <w:t>大写</w:t>
      </w:r>
      <w:r>
        <w:rPr>
          <w:rFonts w:hint="eastAsia" w:ascii="Times New Roman" w:hAnsi="宋体" w:cs="宋体"/>
          <w:color w:val="auto"/>
          <w:szCs w:val="21"/>
          <w:highlight w:val="none"/>
          <w:u w:val="single"/>
          <w:lang w:eastAsia="zh-CN"/>
        </w:rPr>
        <w:t>）</w:t>
      </w:r>
      <w:r>
        <w:rPr>
          <w:rFonts w:hint="eastAsia" w:ascii="Times New Roman" w:hAnsi="宋体" w:cs="宋体"/>
          <w:color w:val="auto"/>
          <w:szCs w:val="21"/>
          <w:highlight w:val="none"/>
          <w:u w:val="single"/>
          <w:lang w:val="en-US" w:eastAsia="zh-CN"/>
        </w:rPr>
        <w:t xml:space="preserve">             </w:t>
      </w:r>
      <w:r>
        <w:rPr>
          <w:rFonts w:hint="eastAsia" w:ascii="Times New Roman" w:hAnsi="宋体" w:cs="宋体"/>
          <w:color w:val="auto"/>
          <w:szCs w:val="21"/>
          <w:highlight w:val="none"/>
        </w:rPr>
        <w:t>（</w:t>
      </w:r>
      <w:r>
        <w:rPr>
          <w:rFonts w:hint="eastAsia" w:hAnsi="宋体" w:cs="宋体"/>
          <w:color w:val="auto"/>
          <w:szCs w:val="21"/>
          <w:highlight w:val="none"/>
          <w:lang w:val="en-US" w:eastAsia="zh-CN"/>
        </w:rPr>
        <w:t>小写</w:t>
      </w:r>
      <w:r>
        <w:rPr>
          <w:rFonts w:hint="eastAsia" w:hAnsi="宋体" w:cs="宋体"/>
          <w:color w:val="auto"/>
          <w:szCs w:val="21"/>
          <w:highlight w:val="none"/>
          <w:lang w:eastAsia="zh-CN"/>
        </w:rPr>
        <w:t>）（</w:t>
      </w:r>
      <w:r>
        <w:rPr>
          <w:rFonts w:hint="default" w:ascii="Arial" w:hAnsi="Arial" w:cs="Arial"/>
          <w:color w:val="auto"/>
          <w:szCs w:val="21"/>
          <w:highlight w:val="none"/>
          <w:lang w:eastAsia="zh-CN"/>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14:paraId="044C6378">
      <w:pPr>
        <w:pStyle w:val="37"/>
        <w:spacing w:line="360" w:lineRule="auto"/>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二、保证的方式及保证期间</w:t>
      </w:r>
    </w:p>
    <w:p w14:paraId="76E10BA1">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我方保证的方式为：连带责任保证。</w:t>
      </w:r>
    </w:p>
    <w:p w14:paraId="498C9E49">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我方保证的期间为：自本合同生效之日起至主合同约定的工程款支付完毕之日后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日内。</w:t>
      </w:r>
    </w:p>
    <w:p w14:paraId="7BDB818D">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你方与发包人协议变更工程款支付日期的，经我方书面同意后，保证期间按照变更后的支付日期做相应调整。</w:t>
      </w:r>
    </w:p>
    <w:p w14:paraId="221F3290">
      <w:pPr>
        <w:pStyle w:val="37"/>
        <w:spacing w:line="360" w:lineRule="auto"/>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三、承担保证责任的形式</w:t>
      </w:r>
    </w:p>
    <w:p w14:paraId="30725247">
      <w:pPr>
        <w:pStyle w:val="37"/>
        <w:spacing w:line="360" w:lineRule="auto"/>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我方承担保证责任的形式是代为支付。发包人未按主合同约定向你方支付工程款的，由我方在保证金额内代为支付。</w:t>
      </w:r>
    </w:p>
    <w:p w14:paraId="7A429D83">
      <w:pPr>
        <w:pStyle w:val="37"/>
        <w:spacing w:line="360" w:lineRule="auto"/>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四、代偿的安排</w:t>
      </w:r>
    </w:p>
    <w:p w14:paraId="359F34D5">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你方要求我方承担保证责任的，应向我方发出书面索赔通知及发包人未支付主合同约定工程款的证明材料。索赔通知应写明要求索赔的金额，支付款项应到达的账号。</w:t>
      </w:r>
    </w:p>
    <w:p w14:paraId="722D3A9B">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210BD756">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我方收到你方的书面索赔通知及相应的证明材料后７天内无条件支付。</w:t>
      </w:r>
    </w:p>
    <w:p w14:paraId="6AC5CF66">
      <w:pPr>
        <w:pStyle w:val="37"/>
        <w:spacing w:line="360" w:lineRule="auto"/>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五、保证责任的解除</w:t>
      </w:r>
    </w:p>
    <w:p w14:paraId="5AE20475">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在本保函承诺的保证期间内，你方未书面向我方主张保证责任的，自保证期间届满次日起，我方保证责任解除。</w:t>
      </w:r>
    </w:p>
    <w:p w14:paraId="6A9C85A5">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发包人按主合同约定履行了工程款的全部支付义务的，自本保函承诺的保证期间届满次日起，我方保证责任解除。</w:t>
      </w:r>
    </w:p>
    <w:p w14:paraId="7BA99FA8">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我方按照本保函向你方履行保证责任所支付金额达到本保函保证金额时，自我方向你方支付（支付款项从我方账户划出）之日起，保证责任即解除。</w:t>
      </w:r>
    </w:p>
    <w:p w14:paraId="41FE1404">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4. </w:t>
      </w:r>
      <w:r>
        <w:rPr>
          <w:rFonts w:hint="eastAsia" w:ascii="Times New Roman" w:hAnsi="宋体" w:cs="宋体"/>
          <w:color w:val="auto"/>
          <w:szCs w:val="21"/>
          <w:highlight w:val="none"/>
        </w:rPr>
        <w:t>按照法律法规的规定或出现应解除我方保证责任的其他情形的，我方在本保函项下的保证责任亦解除。</w:t>
      </w:r>
    </w:p>
    <w:p w14:paraId="04A7B955">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5. </w:t>
      </w:r>
      <w:r>
        <w:rPr>
          <w:rFonts w:hint="eastAsia" w:ascii="Times New Roman" w:hAnsi="宋体" w:cs="宋体"/>
          <w:color w:val="auto"/>
          <w:szCs w:val="21"/>
          <w:highlight w:val="none"/>
        </w:rPr>
        <w:t>我方解除保证责任后，你方应自我方保证责任解除之日起</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个工作日内，将本保函原件返还我方。</w:t>
      </w:r>
    </w:p>
    <w:p w14:paraId="6F0E8383">
      <w:pPr>
        <w:pStyle w:val="37"/>
        <w:spacing w:line="360" w:lineRule="auto"/>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六、免责条款</w:t>
      </w:r>
    </w:p>
    <w:p w14:paraId="62E63B3E">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因你方违约致使发包人不能履行义务的，我方不承担保证责任。</w:t>
      </w:r>
    </w:p>
    <w:p w14:paraId="53E71653">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依照法律法规的规定或你方与发包人的另行约定，免除发包人部分或全部义务的，我方亦免除其相应的保证责任。</w:t>
      </w:r>
    </w:p>
    <w:p w14:paraId="4AC944C9">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你方与发包人协议变更主合同的，如加重发包人责任致使我方保证责任加重的，需征得我方书面同意，否则我方不再承担因此而加重部分的保证责任，但主合同第</w:t>
      </w:r>
      <w:r>
        <w:rPr>
          <w:rFonts w:ascii="Times New Roman" w:hAnsi="Times New Roman"/>
          <w:color w:val="auto"/>
          <w:szCs w:val="21"/>
          <w:highlight w:val="none"/>
        </w:rPr>
        <w:t>10</w:t>
      </w:r>
      <w:r>
        <w:rPr>
          <w:rFonts w:hint="eastAsia" w:ascii="Times New Roman" w:hAnsi="宋体" w:cs="宋体"/>
          <w:color w:val="auto"/>
          <w:szCs w:val="21"/>
          <w:highlight w:val="none"/>
        </w:rPr>
        <w:t>条〔变更〕约定的变更不受本款限制。</w:t>
      </w:r>
    </w:p>
    <w:p w14:paraId="422A98B7">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4. </w:t>
      </w:r>
      <w:r>
        <w:rPr>
          <w:rFonts w:hint="eastAsia" w:ascii="Times New Roman" w:hAnsi="宋体" w:cs="宋体"/>
          <w:color w:val="auto"/>
          <w:szCs w:val="21"/>
          <w:highlight w:val="none"/>
        </w:rPr>
        <w:t>因不可抗力造成发包人不能履行义务的，我方不承担保证责任。</w:t>
      </w:r>
    </w:p>
    <w:p w14:paraId="2BD2E05B">
      <w:pPr>
        <w:pStyle w:val="37"/>
        <w:spacing w:line="360" w:lineRule="auto"/>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七、争议解决</w:t>
      </w:r>
    </w:p>
    <w:p w14:paraId="178FD3B5">
      <w:pPr>
        <w:pStyle w:val="37"/>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因本保函或本保函相关事项发生的纠纷，可由双方协商解决，协商不成的，按下列第</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种方式解决：</w:t>
      </w:r>
    </w:p>
    <w:p w14:paraId="454E1152">
      <w:pPr>
        <w:pStyle w:val="37"/>
        <w:spacing w:line="360" w:lineRule="auto"/>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）向</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仲裁委员会申请仲裁；（</w:t>
      </w:r>
      <w:r>
        <w:rPr>
          <w:rFonts w:ascii="Times New Roman" w:hAnsi="Times New Roman"/>
          <w:color w:val="auto"/>
          <w:szCs w:val="21"/>
          <w:highlight w:val="none"/>
        </w:rPr>
        <w:t>2</w:t>
      </w:r>
      <w:r>
        <w:rPr>
          <w:rFonts w:hint="eastAsia" w:ascii="Times New Roman" w:hAnsi="宋体" w:cs="宋体"/>
          <w:color w:val="auto"/>
          <w:szCs w:val="21"/>
          <w:highlight w:val="none"/>
        </w:rPr>
        <w:t>）向</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人民法院起诉。</w:t>
      </w:r>
    </w:p>
    <w:p w14:paraId="29BD7ADF">
      <w:pPr>
        <w:pStyle w:val="37"/>
        <w:spacing w:line="360" w:lineRule="auto"/>
        <w:ind w:firstLine="420" w:firstLineChars="200"/>
        <w:jc w:val="left"/>
        <w:rPr>
          <w:rFonts w:ascii="黑体" w:hAnsi="Times New Roman" w:eastAsia="黑体"/>
          <w:color w:val="auto"/>
          <w:szCs w:val="21"/>
          <w:highlight w:val="none"/>
        </w:rPr>
      </w:pPr>
      <w:r>
        <w:rPr>
          <w:rFonts w:hint="eastAsia" w:ascii="黑体" w:hAnsi="宋体" w:eastAsia="黑体" w:cs="黑体"/>
          <w:color w:val="auto"/>
          <w:szCs w:val="21"/>
          <w:highlight w:val="none"/>
        </w:rPr>
        <w:t>八、保函的生效</w:t>
      </w:r>
    </w:p>
    <w:p w14:paraId="124DD89C">
      <w:pPr>
        <w:pStyle w:val="37"/>
        <w:spacing w:line="360" w:lineRule="auto"/>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本保函自我方法定代表人（或其授权代理人）签字并加盖公章之日起生效。</w:t>
      </w:r>
    </w:p>
    <w:p w14:paraId="37A8464A">
      <w:pPr>
        <w:pStyle w:val="37"/>
        <w:spacing w:line="360" w:lineRule="auto"/>
        <w:ind w:right="600"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担保人：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（盖章）</w:t>
      </w:r>
    </w:p>
    <w:p w14:paraId="459D85C0">
      <w:pPr>
        <w:pStyle w:val="37"/>
        <w:spacing w:line="360" w:lineRule="auto"/>
        <w:ind w:right="1200"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法定代表人或委托代理人：</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（签字）</w:t>
      </w:r>
    </w:p>
    <w:p w14:paraId="3E691BD0">
      <w:pPr>
        <w:pStyle w:val="37"/>
        <w:spacing w:line="360" w:lineRule="auto"/>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地</w:t>
      </w:r>
      <w:r>
        <w:rPr>
          <w:rFonts w:ascii="Times New Roman" w:hAnsi="Times New Roman"/>
          <w:color w:val="auto"/>
          <w:szCs w:val="21"/>
          <w:highlight w:val="none"/>
        </w:rPr>
        <w:t xml:space="preserve">    </w:t>
      </w:r>
      <w:r>
        <w:rPr>
          <w:rFonts w:hint="eastAsia" w:ascii="Times New Roman" w:hAnsi="宋体" w:cs="宋体"/>
          <w:color w:val="auto"/>
          <w:szCs w:val="21"/>
          <w:highlight w:val="none"/>
        </w:rPr>
        <w:t>址：</w:t>
      </w:r>
      <w:r>
        <w:rPr>
          <w:rFonts w:ascii="Times New Roman" w:hAnsi="Times New Roman"/>
          <w:color w:val="auto"/>
          <w:szCs w:val="21"/>
          <w:highlight w:val="none"/>
          <w:u w:val="single"/>
        </w:rPr>
        <w:t xml:space="preserve">                                        </w:t>
      </w:r>
    </w:p>
    <w:p w14:paraId="0CC4C359">
      <w:pPr>
        <w:pStyle w:val="37"/>
        <w:spacing w:line="360" w:lineRule="auto"/>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邮政编码：</w:t>
      </w:r>
      <w:r>
        <w:rPr>
          <w:rFonts w:ascii="Times New Roman" w:hAnsi="Times New Roman"/>
          <w:color w:val="auto"/>
          <w:szCs w:val="21"/>
          <w:highlight w:val="none"/>
          <w:u w:val="single"/>
        </w:rPr>
        <w:t xml:space="preserve">                                        </w:t>
      </w:r>
    </w:p>
    <w:p w14:paraId="748D2A6A">
      <w:pPr>
        <w:pStyle w:val="37"/>
        <w:spacing w:line="360" w:lineRule="auto"/>
        <w:ind w:firstLine="420" w:firstLineChars="200"/>
        <w:jc w:val="left"/>
        <w:rPr>
          <w:rFonts w:ascii="Times New Roman" w:hAnsi="Times New Roman"/>
          <w:color w:val="auto"/>
          <w:szCs w:val="21"/>
          <w:highlight w:val="none"/>
          <w:u w:val="single"/>
        </w:rPr>
      </w:pPr>
      <w:r>
        <w:rPr>
          <w:rFonts w:hint="eastAsia" w:ascii="Times New Roman" w:hAnsi="宋体" w:cs="宋体"/>
          <w:color w:val="auto"/>
          <w:szCs w:val="21"/>
          <w:highlight w:val="none"/>
        </w:rPr>
        <w:t>传</w:t>
      </w:r>
      <w:r>
        <w:rPr>
          <w:rFonts w:ascii="Times New Roman" w:hAnsi="Times New Roman"/>
          <w:color w:val="auto"/>
          <w:szCs w:val="21"/>
          <w:highlight w:val="none"/>
        </w:rPr>
        <w:t xml:space="preserve">    </w:t>
      </w:r>
      <w:r>
        <w:rPr>
          <w:rFonts w:hint="eastAsia" w:ascii="Times New Roman" w:hAnsi="宋体" w:cs="宋体"/>
          <w:color w:val="auto"/>
          <w:szCs w:val="21"/>
          <w:highlight w:val="none"/>
        </w:rPr>
        <w:t>真：</w:t>
      </w:r>
      <w:r>
        <w:rPr>
          <w:rFonts w:ascii="Times New Roman" w:hAnsi="Times New Roman"/>
          <w:color w:val="auto"/>
          <w:szCs w:val="21"/>
          <w:highlight w:val="none"/>
          <w:u w:val="single"/>
        </w:rPr>
        <w:t xml:space="preserve">                                        </w:t>
      </w:r>
    </w:p>
    <w:p w14:paraId="7984C352">
      <w:pPr>
        <w:pStyle w:val="37"/>
        <w:spacing w:line="360" w:lineRule="auto"/>
        <w:ind w:right="150" w:firstLine="420" w:firstLineChars="200"/>
        <w:jc w:val="left"/>
        <w:rPr>
          <w:rFonts w:ascii="Times New Roman" w:hAnsi="宋体" w:cs="宋体"/>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w:t>
      </w:r>
    </w:p>
    <w:p w14:paraId="593A3B46">
      <w:pPr>
        <w:pStyle w:val="37"/>
        <w:spacing w:line="360" w:lineRule="auto"/>
        <w:ind w:right="150" w:firstLine="420" w:firstLineChars="200"/>
        <w:jc w:val="left"/>
        <w:rPr>
          <w:rFonts w:ascii="仿宋_GB2312" w:hAnsi="宋体" w:cs="宋体"/>
          <w:color w:val="auto"/>
          <w:szCs w:val="21"/>
          <w:highlight w:val="none"/>
        </w:rPr>
      </w:pPr>
      <w:r>
        <w:rPr>
          <w:rFonts w:hint="eastAsia" w:ascii="Times New Roman" w:hAnsi="宋体" w:cs="宋体"/>
          <w:color w:val="auto"/>
          <w:szCs w:val="21"/>
          <w:highlight w:val="none"/>
        </w:rPr>
        <w:t>（备注</w:t>
      </w:r>
      <w:r>
        <w:rPr>
          <w:rFonts w:ascii="Times New Roman" w:hAnsi="宋体" w:cs="宋体"/>
          <w:color w:val="auto"/>
          <w:szCs w:val="21"/>
          <w:highlight w:val="none"/>
        </w:rPr>
        <w:t>：</w:t>
      </w:r>
      <w:r>
        <w:rPr>
          <w:rFonts w:hint="eastAsia" w:ascii="Times New Roman" w:hAnsi="宋体" w:cs="宋体"/>
          <w:color w:val="auto"/>
          <w:szCs w:val="21"/>
          <w:highlight w:val="none"/>
        </w:rPr>
        <w:t>银行、保险公司和担保公司出具的</w:t>
      </w:r>
      <w:r>
        <w:rPr>
          <w:rFonts w:hint="eastAsia" w:ascii="仿宋_GB2312" w:hAnsi="宋体" w:cs="宋体"/>
          <w:color w:val="auto"/>
          <w:szCs w:val="21"/>
          <w:highlight w:val="none"/>
        </w:rPr>
        <w:t>保函格式和文本可</w:t>
      </w:r>
      <w:r>
        <w:rPr>
          <w:rFonts w:ascii="仿宋_GB2312" w:hAnsi="宋体" w:cs="宋体"/>
          <w:color w:val="auto"/>
          <w:szCs w:val="21"/>
          <w:highlight w:val="none"/>
        </w:rPr>
        <w:t>以自拟，</w:t>
      </w:r>
      <w:r>
        <w:rPr>
          <w:rFonts w:hint="eastAsia" w:ascii="仿宋_GB2312" w:hAnsi="宋体" w:cs="宋体"/>
          <w:color w:val="auto"/>
          <w:szCs w:val="21"/>
          <w:highlight w:val="none"/>
        </w:rPr>
        <w:t>但是必须包含以上条款所列全部内容</w:t>
      </w:r>
      <w:r>
        <w:rPr>
          <w:rFonts w:ascii="仿宋_GB2312" w:hAnsi="宋体" w:cs="宋体"/>
          <w:color w:val="auto"/>
          <w:szCs w:val="21"/>
          <w:highlight w:val="none"/>
        </w:rPr>
        <w:t>）</w:t>
      </w:r>
    </w:p>
    <w:p w14:paraId="67492432">
      <w:pPr>
        <w:pStyle w:val="37"/>
        <w:spacing w:line="360" w:lineRule="auto"/>
        <w:ind w:right="150" w:firstLine="420" w:firstLineChars="200"/>
        <w:jc w:val="left"/>
        <w:rPr>
          <w:rFonts w:ascii="仿宋_GB2312" w:hAnsi="宋体" w:cs="宋体"/>
          <w:color w:val="auto"/>
          <w:szCs w:val="21"/>
          <w:highlight w:val="none"/>
        </w:rPr>
      </w:pPr>
    </w:p>
    <w:p w14:paraId="089D0EF4">
      <w:pPr>
        <w:pStyle w:val="37"/>
        <w:spacing w:line="360" w:lineRule="auto"/>
        <w:ind w:right="150" w:firstLine="420" w:firstLineChars="200"/>
        <w:jc w:val="left"/>
        <w:rPr>
          <w:rFonts w:ascii="仿宋_GB2312" w:hAnsi="宋体" w:cs="宋体"/>
          <w:color w:val="auto"/>
          <w:szCs w:val="21"/>
          <w:highlight w:val="none"/>
        </w:rPr>
      </w:pPr>
    </w:p>
    <w:p w14:paraId="42793DB8">
      <w:pPr>
        <w:pStyle w:val="37"/>
        <w:spacing w:line="360" w:lineRule="auto"/>
        <w:ind w:right="150" w:firstLine="420" w:firstLineChars="200"/>
        <w:jc w:val="left"/>
        <w:rPr>
          <w:rFonts w:ascii="仿宋_GB2312" w:hAnsi="宋体" w:cs="宋体"/>
          <w:color w:val="auto"/>
          <w:szCs w:val="21"/>
          <w:highlight w:val="none"/>
        </w:rPr>
      </w:pPr>
    </w:p>
    <w:p w14:paraId="36473661">
      <w:pPr>
        <w:pStyle w:val="37"/>
        <w:ind w:firstLine="600" w:firstLineChars="200"/>
        <w:jc w:val="left"/>
        <w:rPr>
          <w:rFonts w:hint="eastAsia" w:ascii="Times New Roman" w:hAnsi="宋体" w:cs="宋体"/>
          <w:color w:val="auto"/>
          <w:sz w:val="30"/>
          <w:szCs w:val="30"/>
          <w:highlight w:val="none"/>
        </w:rPr>
      </w:pPr>
      <w:r>
        <w:rPr>
          <w:rFonts w:hint="eastAsia" w:ascii="Times New Roman" w:hAnsi="宋体" w:cs="宋体"/>
          <w:color w:val="auto"/>
          <w:sz w:val="30"/>
          <w:szCs w:val="30"/>
          <w:highlight w:val="none"/>
        </w:rPr>
        <w:t>附件10：</w:t>
      </w:r>
    </w:p>
    <w:p w14:paraId="59BDA72F">
      <w:pPr>
        <w:pStyle w:val="37"/>
        <w:ind w:firstLine="723" w:firstLineChars="200"/>
        <w:jc w:val="center"/>
        <w:rPr>
          <w:rFonts w:hint="eastAsia" w:ascii="Times New Roman" w:hAnsi="Times New Roman"/>
          <w:b/>
          <w:color w:val="auto"/>
          <w:sz w:val="36"/>
          <w:szCs w:val="36"/>
          <w:highlight w:val="none"/>
        </w:rPr>
      </w:pPr>
      <w:r>
        <w:rPr>
          <w:rFonts w:hint="eastAsia" w:ascii="Times New Roman" w:hAnsi="Times New Roman"/>
          <w:b/>
          <w:color w:val="auto"/>
          <w:sz w:val="36"/>
          <w:szCs w:val="36"/>
          <w:highlight w:val="none"/>
        </w:rPr>
        <w:t>预付款支付申请（核准）表</w:t>
      </w:r>
    </w:p>
    <w:p w14:paraId="748F7052">
      <w:pPr>
        <w:pStyle w:val="37"/>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工程名称：                                             编号：</w:t>
      </w:r>
    </w:p>
    <w:tbl>
      <w:tblPr>
        <w:tblStyle w:val="2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5"/>
      </w:tblGrid>
      <w:tr w14:paraId="26FA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vAlign w:val="top"/>
          </w:tcPr>
          <w:p w14:paraId="1BB8C802">
            <w:pPr>
              <w:pStyle w:val="37"/>
              <w:spacing w:line="480" w:lineRule="exact"/>
              <w:ind w:left="313" w:leftChars="149" w:firstLine="420" w:firstLineChars="200"/>
              <w:rPr>
                <w:rFonts w:hint="eastAsia" w:ascii="Times New Roman" w:hAnsi="Times New Roman"/>
                <w:color w:val="auto"/>
                <w:szCs w:val="21"/>
                <w:highlight w:val="none"/>
                <w:u w:val="single"/>
              </w:rPr>
            </w:pPr>
            <w:r>
              <w:rPr>
                <w:rFonts w:hint="eastAsia" w:ascii="Times New Roman" w:hAnsi="Times New Roman"/>
                <w:color w:val="auto"/>
                <w:szCs w:val="21"/>
                <w:highlight w:val="none"/>
              </w:rPr>
              <w:t>致：</w:t>
            </w:r>
            <w:r>
              <w:rPr>
                <w:rFonts w:hint="eastAsia" w:ascii="Times New Roman" w:hAnsi="Times New Roman"/>
                <w:color w:val="auto"/>
                <w:szCs w:val="21"/>
                <w:highlight w:val="none"/>
                <w:u w:val="single"/>
              </w:rPr>
              <w:t xml:space="preserve">                                   （发包人全称）</w:t>
            </w:r>
          </w:p>
          <w:p w14:paraId="6E9548F6">
            <w:pPr>
              <w:pStyle w:val="37"/>
              <w:spacing w:line="400" w:lineRule="exact"/>
              <w:ind w:left="-4" w:leftChars="-2"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我方根据施工合同的约定，现申请支付工程预付款额为</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大写</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小写</w:t>
            </w:r>
            <w:r>
              <w:rPr>
                <w:rFonts w:hint="eastAsia" w:ascii="Times New Roman" w:hAnsi="Times New Roman"/>
                <w:color w:val="auto"/>
                <w:szCs w:val="21"/>
                <w:highlight w:val="none"/>
                <w:lang w:eastAsia="zh-CN"/>
              </w:rPr>
              <w:t>）</w:t>
            </w:r>
          </w:p>
          <w:p w14:paraId="5A39A71A">
            <w:pPr>
              <w:pStyle w:val="37"/>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元，请予核准。</w:t>
            </w:r>
          </w:p>
          <w:tbl>
            <w:tblPr>
              <w:tblStyle w:val="22"/>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70C8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1FE60B42">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3340" w:type="dxa"/>
                  <w:vAlign w:val="center"/>
                </w:tcPr>
                <w:p w14:paraId="2E6B0D6B">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名      称</w:t>
                  </w:r>
                </w:p>
              </w:tc>
              <w:tc>
                <w:tcPr>
                  <w:tcW w:w="1764" w:type="dxa"/>
                  <w:vAlign w:val="center"/>
                </w:tcPr>
                <w:p w14:paraId="1A00882A">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申请金额（元）</w:t>
                  </w:r>
                </w:p>
              </w:tc>
              <w:tc>
                <w:tcPr>
                  <w:tcW w:w="2240" w:type="dxa"/>
                  <w:vAlign w:val="center"/>
                </w:tcPr>
                <w:p w14:paraId="48F6D2F0">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复核金额（元）</w:t>
                  </w:r>
                </w:p>
              </w:tc>
              <w:tc>
                <w:tcPr>
                  <w:tcW w:w="1080" w:type="dxa"/>
                  <w:vAlign w:val="center"/>
                </w:tcPr>
                <w:p w14:paraId="6AC43FFF">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备注</w:t>
                  </w:r>
                </w:p>
              </w:tc>
            </w:tr>
            <w:tr w14:paraId="2EBA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top"/>
                </w:tcPr>
                <w:p w14:paraId="34D6BC3C">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p>
              </w:tc>
              <w:tc>
                <w:tcPr>
                  <w:tcW w:w="3340" w:type="dxa"/>
                  <w:vAlign w:val="top"/>
                </w:tcPr>
                <w:p w14:paraId="6D529C4F">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已签约合同价款金额</w:t>
                  </w:r>
                </w:p>
              </w:tc>
              <w:tc>
                <w:tcPr>
                  <w:tcW w:w="1764" w:type="dxa"/>
                  <w:vAlign w:val="top"/>
                </w:tcPr>
                <w:p w14:paraId="29D58592">
                  <w:pPr>
                    <w:pStyle w:val="37"/>
                    <w:spacing w:line="280" w:lineRule="exact"/>
                    <w:rPr>
                      <w:rFonts w:hint="eastAsia" w:ascii="Times New Roman" w:hAnsi="Times New Roman"/>
                      <w:color w:val="auto"/>
                      <w:szCs w:val="21"/>
                      <w:highlight w:val="none"/>
                    </w:rPr>
                  </w:pPr>
                </w:p>
              </w:tc>
              <w:tc>
                <w:tcPr>
                  <w:tcW w:w="2240" w:type="dxa"/>
                  <w:vAlign w:val="top"/>
                </w:tcPr>
                <w:p w14:paraId="0580862A">
                  <w:pPr>
                    <w:pStyle w:val="37"/>
                    <w:spacing w:line="280" w:lineRule="exact"/>
                    <w:rPr>
                      <w:rFonts w:hint="eastAsia" w:ascii="Times New Roman" w:hAnsi="Times New Roman"/>
                      <w:color w:val="auto"/>
                      <w:szCs w:val="21"/>
                      <w:highlight w:val="none"/>
                    </w:rPr>
                  </w:pPr>
                </w:p>
              </w:tc>
              <w:tc>
                <w:tcPr>
                  <w:tcW w:w="1080" w:type="dxa"/>
                  <w:vAlign w:val="top"/>
                </w:tcPr>
                <w:p w14:paraId="5575342B">
                  <w:pPr>
                    <w:pStyle w:val="37"/>
                    <w:spacing w:line="280" w:lineRule="exact"/>
                    <w:rPr>
                      <w:rFonts w:hint="eastAsia" w:ascii="Times New Roman" w:hAnsi="Times New Roman"/>
                      <w:color w:val="auto"/>
                      <w:szCs w:val="21"/>
                      <w:highlight w:val="none"/>
                    </w:rPr>
                  </w:pPr>
                </w:p>
              </w:tc>
            </w:tr>
            <w:tr w14:paraId="646E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top"/>
                </w:tcPr>
                <w:p w14:paraId="4AD2A389">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2</w:t>
                  </w:r>
                </w:p>
              </w:tc>
              <w:tc>
                <w:tcPr>
                  <w:tcW w:w="3340" w:type="dxa"/>
                  <w:vAlign w:val="top"/>
                </w:tcPr>
                <w:p w14:paraId="39D5BEC0">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其中：安全文明施工费</w:t>
                  </w:r>
                </w:p>
              </w:tc>
              <w:tc>
                <w:tcPr>
                  <w:tcW w:w="1764" w:type="dxa"/>
                  <w:vAlign w:val="top"/>
                </w:tcPr>
                <w:p w14:paraId="274562BF">
                  <w:pPr>
                    <w:pStyle w:val="37"/>
                    <w:spacing w:line="280" w:lineRule="exact"/>
                    <w:rPr>
                      <w:rFonts w:hint="eastAsia" w:ascii="Times New Roman" w:hAnsi="Times New Roman"/>
                      <w:color w:val="auto"/>
                      <w:szCs w:val="21"/>
                      <w:highlight w:val="none"/>
                    </w:rPr>
                  </w:pPr>
                </w:p>
              </w:tc>
              <w:tc>
                <w:tcPr>
                  <w:tcW w:w="2240" w:type="dxa"/>
                  <w:vAlign w:val="top"/>
                </w:tcPr>
                <w:p w14:paraId="4722B95B">
                  <w:pPr>
                    <w:pStyle w:val="37"/>
                    <w:spacing w:line="280" w:lineRule="exact"/>
                    <w:rPr>
                      <w:rFonts w:hint="eastAsia" w:ascii="Times New Roman" w:hAnsi="Times New Roman"/>
                      <w:color w:val="auto"/>
                      <w:szCs w:val="21"/>
                      <w:highlight w:val="none"/>
                    </w:rPr>
                  </w:pPr>
                </w:p>
              </w:tc>
              <w:tc>
                <w:tcPr>
                  <w:tcW w:w="1080" w:type="dxa"/>
                  <w:vAlign w:val="top"/>
                </w:tcPr>
                <w:p w14:paraId="39BCE4F6">
                  <w:pPr>
                    <w:pStyle w:val="37"/>
                    <w:spacing w:line="280" w:lineRule="exact"/>
                    <w:rPr>
                      <w:rFonts w:hint="eastAsia" w:ascii="Times New Roman" w:hAnsi="Times New Roman"/>
                      <w:color w:val="auto"/>
                      <w:szCs w:val="21"/>
                      <w:highlight w:val="none"/>
                    </w:rPr>
                  </w:pPr>
                </w:p>
              </w:tc>
            </w:tr>
            <w:tr w14:paraId="0855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top"/>
                </w:tcPr>
                <w:p w14:paraId="0CD53770">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3</w:t>
                  </w:r>
                </w:p>
              </w:tc>
              <w:tc>
                <w:tcPr>
                  <w:tcW w:w="3340" w:type="dxa"/>
                  <w:vAlign w:val="top"/>
                </w:tcPr>
                <w:p w14:paraId="1417A48A">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应支付的预付款</w:t>
                  </w:r>
                </w:p>
              </w:tc>
              <w:tc>
                <w:tcPr>
                  <w:tcW w:w="1764" w:type="dxa"/>
                  <w:vAlign w:val="top"/>
                </w:tcPr>
                <w:p w14:paraId="1A3CC7FA">
                  <w:pPr>
                    <w:pStyle w:val="37"/>
                    <w:spacing w:line="280" w:lineRule="exact"/>
                    <w:rPr>
                      <w:rFonts w:hint="eastAsia" w:ascii="Times New Roman" w:hAnsi="Times New Roman"/>
                      <w:color w:val="auto"/>
                      <w:szCs w:val="21"/>
                      <w:highlight w:val="none"/>
                    </w:rPr>
                  </w:pPr>
                </w:p>
              </w:tc>
              <w:tc>
                <w:tcPr>
                  <w:tcW w:w="2240" w:type="dxa"/>
                  <w:vAlign w:val="top"/>
                </w:tcPr>
                <w:p w14:paraId="33140557">
                  <w:pPr>
                    <w:pStyle w:val="37"/>
                    <w:spacing w:line="280" w:lineRule="exact"/>
                    <w:rPr>
                      <w:rFonts w:hint="eastAsia" w:ascii="Times New Roman" w:hAnsi="Times New Roman"/>
                      <w:color w:val="auto"/>
                      <w:szCs w:val="21"/>
                      <w:highlight w:val="none"/>
                    </w:rPr>
                  </w:pPr>
                </w:p>
              </w:tc>
              <w:tc>
                <w:tcPr>
                  <w:tcW w:w="1080" w:type="dxa"/>
                  <w:vAlign w:val="top"/>
                </w:tcPr>
                <w:p w14:paraId="2032C8F1">
                  <w:pPr>
                    <w:pStyle w:val="37"/>
                    <w:spacing w:line="280" w:lineRule="exact"/>
                    <w:rPr>
                      <w:rFonts w:hint="eastAsia" w:ascii="Times New Roman" w:hAnsi="Times New Roman"/>
                      <w:color w:val="auto"/>
                      <w:szCs w:val="21"/>
                      <w:highlight w:val="none"/>
                    </w:rPr>
                  </w:pPr>
                </w:p>
              </w:tc>
            </w:tr>
            <w:tr w14:paraId="2EAB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top"/>
                </w:tcPr>
                <w:p w14:paraId="3E5D760B">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4</w:t>
                  </w:r>
                </w:p>
              </w:tc>
              <w:tc>
                <w:tcPr>
                  <w:tcW w:w="3340" w:type="dxa"/>
                  <w:vAlign w:val="top"/>
                </w:tcPr>
                <w:p w14:paraId="6AB79E89">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应支付的安全文明施工费预付款</w:t>
                  </w:r>
                </w:p>
              </w:tc>
              <w:tc>
                <w:tcPr>
                  <w:tcW w:w="1764" w:type="dxa"/>
                  <w:vAlign w:val="top"/>
                </w:tcPr>
                <w:p w14:paraId="5070057D">
                  <w:pPr>
                    <w:pStyle w:val="37"/>
                    <w:spacing w:line="280" w:lineRule="exact"/>
                    <w:rPr>
                      <w:rFonts w:hint="eastAsia" w:ascii="Times New Roman" w:hAnsi="Times New Roman"/>
                      <w:color w:val="auto"/>
                      <w:szCs w:val="21"/>
                      <w:highlight w:val="none"/>
                    </w:rPr>
                  </w:pPr>
                </w:p>
              </w:tc>
              <w:tc>
                <w:tcPr>
                  <w:tcW w:w="2240" w:type="dxa"/>
                  <w:vAlign w:val="top"/>
                </w:tcPr>
                <w:p w14:paraId="664C7235">
                  <w:pPr>
                    <w:pStyle w:val="37"/>
                    <w:spacing w:line="280" w:lineRule="exact"/>
                    <w:rPr>
                      <w:rFonts w:hint="eastAsia" w:ascii="Times New Roman" w:hAnsi="Times New Roman"/>
                      <w:color w:val="auto"/>
                      <w:szCs w:val="21"/>
                      <w:highlight w:val="none"/>
                    </w:rPr>
                  </w:pPr>
                </w:p>
              </w:tc>
              <w:tc>
                <w:tcPr>
                  <w:tcW w:w="1080" w:type="dxa"/>
                  <w:vAlign w:val="top"/>
                </w:tcPr>
                <w:p w14:paraId="3F83C3D6">
                  <w:pPr>
                    <w:pStyle w:val="37"/>
                    <w:spacing w:line="280" w:lineRule="exact"/>
                    <w:rPr>
                      <w:rFonts w:hint="eastAsia" w:ascii="Times New Roman" w:hAnsi="Times New Roman"/>
                      <w:color w:val="auto"/>
                      <w:szCs w:val="21"/>
                      <w:highlight w:val="none"/>
                    </w:rPr>
                  </w:pPr>
                </w:p>
              </w:tc>
            </w:tr>
            <w:tr w14:paraId="2091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top"/>
                </w:tcPr>
                <w:p w14:paraId="16A795C0">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5</w:t>
                  </w:r>
                </w:p>
              </w:tc>
              <w:tc>
                <w:tcPr>
                  <w:tcW w:w="3340" w:type="dxa"/>
                  <w:vAlign w:val="top"/>
                </w:tcPr>
                <w:p w14:paraId="7E054320">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合计应支付的预付款</w:t>
                  </w:r>
                </w:p>
              </w:tc>
              <w:tc>
                <w:tcPr>
                  <w:tcW w:w="1764" w:type="dxa"/>
                  <w:vAlign w:val="top"/>
                </w:tcPr>
                <w:p w14:paraId="23A3ADAB">
                  <w:pPr>
                    <w:pStyle w:val="37"/>
                    <w:spacing w:line="280" w:lineRule="exact"/>
                    <w:rPr>
                      <w:rFonts w:hint="eastAsia" w:ascii="Times New Roman" w:hAnsi="Times New Roman"/>
                      <w:color w:val="auto"/>
                      <w:szCs w:val="21"/>
                      <w:highlight w:val="none"/>
                    </w:rPr>
                  </w:pPr>
                </w:p>
              </w:tc>
              <w:tc>
                <w:tcPr>
                  <w:tcW w:w="2240" w:type="dxa"/>
                  <w:vAlign w:val="top"/>
                </w:tcPr>
                <w:p w14:paraId="79E55C49">
                  <w:pPr>
                    <w:pStyle w:val="37"/>
                    <w:spacing w:line="280" w:lineRule="exact"/>
                    <w:rPr>
                      <w:rFonts w:hint="eastAsia" w:ascii="Times New Roman" w:hAnsi="Times New Roman"/>
                      <w:color w:val="auto"/>
                      <w:szCs w:val="21"/>
                      <w:highlight w:val="none"/>
                    </w:rPr>
                  </w:pPr>
                </w:p>
              </w:tc>
              <w:tc>
                <w:tcPr>
                  <w:tcW w:w="1080" w:type="dxa"/>
                  <w:vAlign w:val="top"/>
                </w:tcPr>
                <w:p w14:paraId="58F2CB3F">
                  <w:pPr>
                    <w:pStyle w:val="37"/>
                    <w:spacing w:line="280" w:lineRule="exact"/>
                    <w:rPr>
                      <w:rFonts w:hint="eastAsia" w:ascii="Times New Roman" w:hAnsi="Times New Roman"/>
                      <w:color w:val="auto"/>
                      <w:szCs w:val="21"/>
                      <w:highlight w:val="none"/>
                    </w:rPr>
                  </w:pPr>
                </w:p>
              </w:tc>
            </w:tr>
            <w:tr w14:paraId="22AA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top"/>
                </w:tcPr>
                <w:p w14:paraId="60DA273A">
                  <w:pPr>
                    <w:pStyle w:val="37"/>
                    <w:spacing w:line="280" w:lineRule="exact"/>
                    <w:jc w:val="center"/>
                    <w:rPr>
                      <w:rFonts w:hint="eastAsia" w:ascii="Times New Roman" w:hAnsi="Times New Roman"/>
                      <w:color w:val="auto"/>
                      <w:szCs w:val="21"/>
                      <w:highlight w:val="none"/>
                    </w:rPr>
                  </w:pPr>
                </w:p>
              </w:tc>
              <w:tc>
                <w:tcPr>
                  <w:tcW w:w="3340" w:type="dxa"/>
                  <w:vAlign w:val="top"/>
                </w:tcPr>
                <w:p w14:paraId="3F4B52EB">
                  <w:pPr>
                    <w:pStyle w:val="37"/>
                    <w:spacing w:line="280" w:lineRule="exact"/>
                    <w:rPr>
                      <w:rFonts w:hint="eastAsia" w:ascii="Times New Roman" w:hAnsi="Times New Roman"/>
                      <w:color w:val="auto"/>
                      <w:szCs w:val="21"/>
                      <w:highlight w:val="none"/>
                    </w:rPr>
                  </w:pPr>
                </w:p>
              </w:tc>
              <w:tc>
                <w:tcPr>
                  <w:tcW w:w="1764" w:type="dxa"/>
                  <w:vAlign w:val="top"/>
                </w:tcPr>
                <w:p w14:paraId="158F91FB">
                  <w:pPr>
                    <w:pStyle w:val="37"/>
                    <w:spacing w:line="280" w:lineRule="exact"/>
                    <w:rPr>
                      <w:rFonts w:hint="eastAsia" w:ascii="Times New Roman" w:hAnsi="Times New Roman"/>
                      <w:color w:val="auto"/>
                      <w:szCs w:val="21"/>
                      <w:highlight w:val="none"/>
                    </w:rPr>
                  </w:pPr>
                </w:p>
              </w:tc>
              <w:tc>
                <w:tcPr>
                  <w:tcW w:w="2240" w:type="dxa"/>
                  <w:vAlign w:val="top"/>
                </w:tcPr>
                <w:p w14:paraId="601B70B8">
                  <w:pPr>
                    <w:pStyle w:val="37"/>
                    <w:spacing w:line="280" w:lineRule="exact"/>
                    <w:rPr>
                      <w:rFonts w:hint="eastAsia" w:ascii="Times New Roman" w:hAnsi="Times New Roman"/>
                      <w:color w:val="auto"/>
                      <w:szCs w:val="21"/>
                      <w:highlight w:val="none"/>
                    </w:rPr>
                  </w:pPr>
                </w:p>
              </w:tc>
              <w:tc>
                <w:tcPr>
                  <w:tcW w:w="1080" w:type="dxa"/>
                  <w:vAlign w:val="top"/>
                </w:tcPr>
                <w:p w14:paraId="2ACE8D30">
                  <w:pPr>
                    <w:pStyle w:val="37"/>
                    <w:spacing w:line="280" w:lineRule="exact"/>
                    <w:rPr>
                      <w:rFonts w:hint="eastAsia" w:ascii="Times New Roman" w:hAnsi="Times New Roman"/>
                      <w:color w:val="auto"/>
                      <w:szCs w:val="21"/>
                      <w:highlight w:val="none"/>
                    </w:rPr>
                  </w:pPr>
                </w:p>
              </w:tc>
            </w:tr>
          </w:tbl>
          <w:p w14:paraId="13A71FF5">
            <w:pPr>
              <w:pStyle w:val="37"/>
              <w:wordWrap w:val="0"/>
              <w:spacing w:line="400" w:lineRule="exact"/>
              <w:ind w:right="420"/>
              <w:rPr>
                <w:rFonts w:hint="eastAsia" w:ascii="Times New Roman" w:hAnsi="Times New Roman"/>
                <w:color w:val="auto"/>
                <w:szCs w:val="21"/>
                <w:highlight w:val="none"/>
              </w:rPr>
            </w:pPr>
          </w:p>
          <w:p w14:paraId="5A2A06E2">
            <w:pPr>
              <w:pStyle w:val="37"/>
              <w:wordWrap w:val="0"/>
              <w:spacing w:line="400" w:lineRule="exact"/>
              <w:ind w:right="420"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 xml:space="preserve">                                            承包人（章）             </w:t>
            </w:r>
          </w:p>
          <w:p w14:paraId="5BF1A49D">
            <w:pPr>
              <w:pStyle w:val="37"/>
              <w:spacing w:line="400" w:lineRule="exact"/>
              <w:ind w:right="420" w:firstLine="420" w:firstLineChars="200"/>
              <w:rPr>
                <w:rFonts w:hint="eastAsia" w:ascii="Times New Roman" w:hAnsi="Times New Roman"/>
                <w:color w:val="auto"/>
                <w:szCs w:val="21"/>
                <w:highlight w:val="none"/>
                <w:u w:val="single"/>
              </w:rPr>
            </w:pPr>
            <w:r>
              <w:rPr>
                <w:rFonts w:hint="eastAsia" w:ascii="Times New Roman" w:hAnsi="Times New Roman"/>
                <w:color w:val="auto"/>
                <w:szCs w:val="21"/>
                <w:highlight w:val="none"/>
              </w:rPr>
              <w:t>承包人代表</w:t>
            </w:r>
            <w:r>
              <w:rPr>
                <w:rFonts w:hint="eastAsia" w:ascii="Times New Roman" w:hAnsi="Times New Roman"/>
                <w:color w:val="auto"/>
                <w:szCs w:val="21"/>
                <w:highlight w:val="none"/>
                <w:u w:val="single"/>
              </w:rPr>
              <w:t xml:space="preserve">               </w:t>
            </w:r>
          </w:p>
          <w:p w14:paraId="707178A6">
            <w:pPr>
              <w:pStyle w:val="37"/>
              <w:spacing w:line="400" w:lineRule="exact"/>
              <w:ind w:right="420"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14:paraId="7D22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185" w:type="dxa"/>
            <w:vAlign w:val="top"/>
          </w:tcPr>
          <w:p w14:paraId="45B06E76">
            <w:pPr>
              <w:pStyle w:val="37"/>
              <w:spacing w:line="3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复核意见：</w:t>
            </w:r>
          </w:p>
          <w:p w14:paraId="47CB863C">
            <w:pPr>
              <w:pStyle w:val="37"/>
              <w:spacing w:line="3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□与合同约定不相符，修改意见见附件。</w:t>
            </w:r>
          </w:p>
          <w:p w14:paraId="2AA2426E">
            <w:pPr>
              <w:pStyle w:val="37"/>
              <w:spacing w:line="3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□与合同约定相符，具体金额由造价工程师复核。</w:t>
            </w:r>
          </w:p>
          <w:p w14:paraId="1E1B853A">
            <w:pPr>
              <w:pStyle w:val="37"/>
              <w:spacing w:line="360" w:lineRule="exact"/>
              <w:ind w:firstLine="435"/>
              <w:jc w:val="right"/>
              <w:rPr>
                <w:rFonts w:hint="eastAsia" w:ascii="Times New Roman" w:hAnsi="Times New Roman"/>
                <w:color w:val="auto"/>
                <w:szCs w:val="21"/>
                <w:highlight w:val="none"/>
              </w:rPr>
            </w:pPr>
          </w:p>
          <w:p w14:paraId="500D598F">
            <w:pPr>
              <w:pStyle w:val="37"/>
              <w:spacing w:line="360" w:lineRule="exact"/>
              <w:ind w:firstLine="420" w:firstLineChars="200"/>
              <w:jc w:val="center"/>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监理工程师</w:t>
            </w:r>
            <w:r>
              <w:rPr>
                <w:rFonts w:hint="eastAsia" w:ascii="Times New Roman" w:hAnsi="Times New Roman"/>
                <w:color w:val="auto"/>
                <w:szCs w:val="21"/>
                <w:highlight w:val="none"/>
                <w:u w:val="single"/>
              </w:rPr>
              <w:t xml:space="preserve">           </w:t>
            </w:r>
          </w:p>
          <w:p w14:paraId="77A046C2">
            <w:pPr>
              <w:pStyle w:val="37"/>
              <w:spacing w:line="360" w:lineRule="exact"/>
              <w:ind w:firstLine="420" w:firstLineChars="200"/>
              <w:jc w:val="center"/>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14:paraId="2452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vAlign w:val="top"/>
          </w:tcPr>
          <w:p w14:paraId="6DCA312D">
            <w:pPr>
              <w:pStyle w:val="37"/>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审核意见：</w:t>
            </w:r>
          </w:p>
          <w:p w14:paraId="60FBD086">
            <w:pPr>
              <w:pStyle w:val="37"/>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□不同意。</w:t>
            </w:r>
          </w:p>
          <w:p w14:paraId="08DC5B30">
            <w:pPr>
              <w:pStyle w:val="37"/>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□同意。</w:t>
            </w:r>
          </w:p>
          <w:p w14:paraId="567907E1">
            <w:pPr>
              <w:pStyle w:val="37"/>
              <w:wordWrap w:val="0"/>
              <w:spacing w:line="400" w:lineRule="exact"/>
              <w:ind w:firstLine="420" w:firstLineChars="200"/>
              <w:jc w:val="right"/>
              <w:rPr>
                <w:rFonts w:hint="eastAsia" w:ascii="Times New Roman" w:hAnsi="Times New Roman"/>
                <w:color w:val="auto"/>
                <w:szCs w:val="21"/>
                <w:highlight w:val="none"/>
              </w:rPr>
            </w:pPr>
            <w:r>
              <w:rPr>
                <w:rFonts w:hint="eastAsia" w:ascii="Times New Roman" w:hAnsi="Times New Roman"/>
                <w:color w:val="auto"/>
                <w:szCs w:val="21"/>
                <w:highlight w:val="none"/>
              </w:rPr>
              <w:t xml:space="preserve">发包人（章）           </w:t>
            </w:r>
          </w:p>
          <w:p w14:paraId="5D26FF49">
            <w:pPr>
              <w:pStyle w:val="37"/>
              <w:wordWrap w:val="0"/>
              <w:spacing w:line="400" w:lineRule="exact"/>
              <w:ind w:firstLine="420" w:firstLineChars="200"/>
              <w:jc w:val="right"/>
              <w:rPr>
                <w:rFonts w:hint="eastAsia" w:ascii="Times New Roman" w:hAnsi="Times New Roman"/>
                <w:color w:val="auto"/>
                <w:szCs w:val="21"/>
                <w:highlight w:val="none"/>
                <w:u w:val="single"/>
              </w:rPr>
            </w:pPr>
            <w:r>
              <w:rPr>
                <w:rFonts w:hint="eastAsia" w:ascii="Times New Roman" w:hAnsi="Times New Roman"/>
                <w:color w:val="auto"/>
                <w:szCs w:val="21"/>
                <w:highlight w:val="none"/>
              </w:rPr>
              <w:t>发包人代表</w:t>
            </w:r>
            <w:r>
              <w:rPr>
                <w:rFonts w:hint="eastAsia" w:ascii="Times New Roman" w:hAnsi="Times New Roman"/>
                <w:color w:val="auto"/>
                <w:szCs w:val="21"/>
                <w:highlight w:val="none"/>
                <w:u w:val="single"/>
              </w:rPr>
              <w:t xml:space="preserve">             </w:t>
            </w:r>
          </w:p>
          <w:p w14:paraId="604495EB">
            <w:pPr>
              <w:pStyle w:val="37"/>
              <w:wordWrap w:val="0"/>
              <w:spacing w:line="400" w:lineRule="exact"/>
              <w:ind w:firstLine="420" w:firstLineChars="200"/>
              <w:jc w:val="right"/>
              <w:rPr>
                <w:rFonts w:hint="eastAsia" w:ascii="Times New Roman" w:hAnsi="Times New Roman"/>
                <w:color w:val="auto"/>
                <w:szCs w:val="21"/>
                <w:highlight w:val="none"/>
                <w:u w:val="single"/>
              </w:rPr>
            </w:pP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bl>
    <w:p w14:paraId="080AB236">
      <w:pPr>
        <w:pStyle w:val="37"/>
        <w:spacing w:before="156" w:beforeLines="50"/>
        <w:ind w:firstLine="360" w:firstLineChars="200"/>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 xml:space="preserve">注：1.在选择栏中的“□”内作标识“√”。 </w:t>
      </w:r>
    </w:p>
    <w:p w14:paraId="26D3F5A0">
      <w:pPr>
        <w:pStyle w:val="37"/>
        <w:spacing w:before="156" w:beforeLines="50"/>
        <w:ind w:firstLine="540" w:firstLineChars="300"/>
        <w:rPr>
          <w:rFonts w:hint="eastAsia" w:ascii="Times New Roman" w:hAnsi="Times New Roman" w:eastAsia="仿宋_GB2312"/>
          <w:color w:val="auto"/>
          <w:sz w:val="30"/>
          <w:szCs w:val="30"/>
          <w:highlight w:val="none"/>
        </w:rPr>
      </w:pPr>
      <w:r>
        <w:rPr>
          <w:rFonts w:hint="eastAsia" w:ascii="Times New Roman" w:hAnsi="Times New Roman"/>
          <w:color w:val="auto"/>
          <w:sz w:val="18"/>
          <w:szCs w:val="18"/>
          <w:highlight w:val="none"/>
        </w:rPr>
        <w:t xml:space="preserve"> 2.本表一式</w:t>
      </w:r>
      <w:r>
        <w:rPr>
          <w:rFonts w:hint="eastAsia" w:ascii="Times New Roman" w:hAnsi="Times New Roman"/>
          <w:color w:val="auto"/>
          <w:sz w:val="18"/>
          <w:szCs w:val="18"/>
          <w:highlight w:val="none"/>
          <w:lang w:val="en-US" w:eastAsia="zh-CN"/>
        </w:rPr>
        <w:t>叁</w:t>
      </w:r>
      <w:r>
        <w:rPr>
          <w:rFonts w:hint="eastAsia" w:ascii="Times New Roman" w:hAnsi="Times New Roman"/>
          <w:color w:val="auto"/>
          <w:sz w:val="18"/>
          <w:szCs w:val="18"/>
          <w:highlight w:val="none"/>
        </w:rPr>
        <w:t>份，由承包人填报，发包人、监理人、承包人各存一份。</w:t>
      </w:r>
    </w:p>
    <w:p w14:paraId="1A025FB1">
      <w:pPr>
        <w:pStyle w:val="37"/>
        <w:spacing w:before="156" w:beforeLines="50"/>
        <w:ind w:left="1200" w:firstLine="600" w:firstLineChars="200"/>
        <w:rPr>
          <w:rFonts w:hint="eastAsia" w:ascii="Times New Roman" w:hAnsi="Times New Roman" w:eastAsia="仿宋_GB2312"/>
          <w:color w:val="auto"/>
          <w:sz w:val="30"/>
          <w:szCs w:val="30"/>
          <w:highlight w:val="none"/>
        </w:rPr>
      </w:pPr>
      <w:r>
        <w:rPr>
          <w:rFonts w:hint="eastAsia" w:ascii="Times New Roman" w:hAnsi="Times New Roman" w:eastAsia="仿宋_GB2312"/>
          <w:color w:val="auto"/>
          <w:sz w:val="30"/>
          <w:szCs w:val="30"/>
          <w:highlight w:val="none"/>
        </w:rPr>
        <w:t>附件11：</w:t>
      </w:r>
    </w:p>
    <w:p w14:paraId="77DE5844">
      <w:pPr>
        <w:pStyle w:val="37"/>
        <w:ind w:firstLine="723" w:firstLineChars="200"/>
        <w:jc w:val="center"/>
        <w:rPr>
          <w:rFonts w:hint="eastAsia" w:ascii="Times New Roman" w:hAnsi="Times New Roman"/>
          <w:b/>
          <w:color w:val="auto"/>
          <w:sz w:val="36"/>
          <w:szCs w:val="36"/>
          <w:highlight w:val="none"/>
        </w:rPr>
      </w:pPr>
      <w:r>
        <w:rPr>
          <w:rFonts w:hint="eastAsia" w:ascii="Times New Roman" w:hAnsi="Times New Roman"/>
          <w:b/>
          <w:color w:val="auto"/>
          <w:sz w:val="36"/>
          <w:szCs w:val="36"/>
          <w:highlight w:val="none"/>
        </w:rPr>
        <w:t>进度款支付申请（核准）表</w:t>
      </w:r>
    </w:p>
    <w:p w14:paraId="40CFEA6D">
      <w:pPr>
        <w:pStyle w:val="37"/>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工程名称：                                             编号：</w:t>
      </w:r>
    </w:p>
    <w:tbl>
      <w:tblPr>
        <w:tblStyle w:val="2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42A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vAlign w:val="top"/>
          </w:tcPr>
          <w:p w14:paraId="0043E947">
            <w:pPr>
              <w:pStyle w:val="37"/>
              <w:spacing w:line="480" w:lineRule="exact"/>
              <w:ind w:left="313" w:leftChars="149" w:firstLine="420" w:firstLineChars="200"/>
              <w:rPr>
                <w:rFonts w:hint="eastAsia" w:ascii="Times New Roman" w:hAnsi="Times New Roman"/>
                <w:color w:val="auto"/>
                <w:szCs w:val="21"/>
                <w:highlight w:val="none"/>
                <w:u w:val="single"/>
              </w:rPr>
            </w:pPr>
            <w:r>
              <w:rPr>
                <w:rFonts w:hint="eastAsia" w:ascii="Times New Roman" w:hAnsi="Times New Roman"/>
                <w:color w:val="auto"/>
                <w:szCs w:val="21"/>
                <w:highlight w:val="none"/>
              </w:rPr>
              <w:t>致：</w:t>
            </w:r>
            <w:r>
              <w:rPr>
                <w:rFonts w:hint="eastAsia" w:ascii="Times New Roman" w:hAnsi="Times New Roman"/>
                <w:color w:val="auto"/>
                <w:szCs w:val="21"/>
                <w:highlight w:val="none"/>
                <w:u w:val="single"/>
              </w:rPr>
              <w:t xml:space="preserve">                                   （发包人全称）</w:t>
            </w:r>
          </w:p>
          <w:p w14:paraId="5D0315E3">
            <w:pPr>
              <w:pStyle w:val="37"/>
              <w:spacing w:line="400" w:lineRule="exact"/>
              <w:ind w:left="-4" w:leftChars="-2"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我方于</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至</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期间已完成了</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工作，根据施工合同的约定，现申请支付本期的合同款额为</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大写</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小写</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元，请予核准。</w:t>
            </w:r>
          </w:p>
          <w:tbl>
            <w:tblPr>
              <w:tblStyle w:val="22"/>
              <w:tblpPr w:leftFromText="180" w:rightFromText="180" w:vertAnchor="page" w:horzAnchor="margin" w:tblpY="1309"/>
              <w:tblOverlap w:val="never"/>
              <w:tblW w:w="8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76"/>
              <w:gridCol w:w="1328"/>
              <w:gridCol w:w="1426"/>
              <w:gridCol w:w="1250"/>
              <w:gridCol w:w="919"/>
            </w:tblGrid>
            <w:tr w14:paraId="0F0D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4" w:type="dxa"/>
                  <w:vAlign w:val="center"/>
                </w:tcPr>
                <w:p w14:paraId="3F5B1B8C">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3276" w:type="dxa"/>
                  <w:vAlign w:val="center"/>
                </w:tcPr>
                <w:p w14:paraId="586FE211">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名      称</w:t>
                  </w:r>
                </w:p>
              </w:tc>
              <w:tc>
                <w:tcPr>
                  <w:tcW w:w="1328" w:type="dxa"/>
                  <w:vAlign w:val="center"/>
                </w:tcPr>
                <w:p w14:paraId="14CF1617">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实际金额（元）</w:t>
                  </w:r>
                </w:p>
              </w:tc>
              <w:tc>
                <w:tcPr>
                  <w:tcW w:w="1426" w:type="dxa"/>
                  <w:vAlign w:val="center"/>
                </w:tcPr>
                <w:p w14:paraId="2C03196A">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申请金额（元）</w:t>
                  </w:r>
                </w:p>
              </w:tc>
              <w:tc>
                <w:tcPr>
                  <w:tcW w:w="1250" w:type="dxa"/>
                  <w:vAlign w:val="center"/>
                </w:tcPr>
                <w:p w14:paraId="3BDE4D0E">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复核金额（元）</w:t>
                  </w:r>
                </w:p>
              </w:tc>
              <w:tc>
                <w:tcPr>
                  <w:tcW w:w="919" w:type="dxa"/>
                  <w:vAlign w:val="center"/>
                </w:tcPr>
                <w:p w14:paraId="18654860">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备注</w:t>
                  </w:r>
                </w:p>
              </w:tc>
            </w:tr>
            <w:tr w14:paraId="42D1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11C024BC">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p>
              </w:tc>
              <w:tc>
                <w:tcPr>
                  <w:tcW w:w="3276" w:type="dxa"/>
                  <w:vAlign w:val="top"/>
                </w:tcPr>
                <w:p w14:paraId="1AD33C90">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累计已完成的工程价款</w:t>
                  </w:r>
                </w:p>
              </w:tc>
              <w:tc>
                <w:tcPr>
                  <w:tcW w:w="1328" w:type="dxa"/>
                  <w:vAlign w:val="top"/>
                </w:tcPr>
                <w:p w14:paraId="39390A24">
                  <w:pPr>
                    <w:pStyle w:val="37"/>
                    <w:spacing w:line="280" w:lineRule="exact"/>
                    <w:rPr>
                      <w:rFonts w:hint="eastAsia" w:ascii="Times New Roman" w:hAnsi="Times New Roman"/>
                      <w:color w:val="auto"/>
                      <w:szCs w:val="21"/>
                      <w:highlight w:val="none"/>
                    </w:rPr>
                  </w:pPr>
                </w:p>
              </w:tc>
              <w:tc>
                <w:tcPr>
                  <w:tcW w:w="1426" w:type="dxa"/>
                  <w:vAlign w:val="top"/>
                </w:tcPr>
                <w:p w14:paraId="2D1AB3BA">
                  <w:pPr>
                    <w:pStyle w:val="37"/>
                    <w:spacing w:line="280" w:lineRule="exact"/>
                    <w:rPr>
                      <w:rFonts w:hint="eastAsia" w:ascii="Times New Roman" w:hAnsi="Times New Roman"/>
                      <w:color w:val="auto"/>
                      <w:szCs w:val="21"/>
                      <w:highlight w:val="none"/>
                    </w:rPr>
                  </w:pPr>
                </w:p>
              </w:tc>
              <w:tc>
                <w:tcPr>
                  <w:tcW w:w="1250" w:type="dxa"/>
                  <w:vAlign w:val="top"/>
                </w:tcPr>
                <w:p w14:paraId="1BE29A7D">
                  <w:pPr>
                    <w:pStyle w:val="37"/>
                    <w:spacing w:line="280" w:lineRule="exact"/>
                    <w:rPr>
                      <w:rFonts w:hint="eastAsia" w:ascii="Times New Roman" w:hAnsi="Times New Roman"/>
                      <w:color w:val="auto"/>
                      <w:szCs w:val="21"/>
                      <w:highlight w:val="none"/>
                    </w:rPr>
                  </w:pPr>
                </w:p>
              </w:tc>
              <w:tc>
                <w:tcPr>
                  <w:tcW w:w="919" w:type="dxa"/>
                  <w:vAlign w:val="top"/>
                </w:tcPr>
                <w:p w14:paraId="07631ED2">
                  <w:pPr>
                    <w:pStyle w:val="37"/>
                    <w:spacing w:line="280" w:lineRule="exact"/>
                    <w:rPr>
                      <w:rFonts w:hint="eastAsia" w:ascii="Times New Roman" w:hAnsi="Times New Roman"/>
                      <w:color w:val="auto"/>
                      <w:szCs w:val="21"/>
                      <w:highlight w:val="none"/>
                    </w:rPr>
                  </w:pPr>
                </w:p>
              </w:tc>
            </w:tr>
            <w:tr w14:paraId="6937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1376E253">
                  <w:pPr>
                    <w:pStyle w:val="37"/>
                    <w:spacing w:line="280" w:lineRule="exact"/>
                    <w:jc w:val="center"/>
                    <w:rPr>
                      <w:rFonts w:hint="eastAsia" w:ascii="Times New Roman" w:hAnsi="Times New Roman"/>
                      <w:color w:val="auto"/>
                      <w:szCs w:val="21"/>
                      <w:highlight w:val="none"/>
                    </w:rPr>
                  </w:pPr>
                </w:p>
              </w:tc>
              <w:tc>
                <w:tcPr>
                  <w:tcW w:w="3276" w:type="dxa"/>
                  <w:vAlign w:val="top"/>
                </w:tcPr>
                <w:p w14:paraId="67D35BA3">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其中：人工费</w:t>
                  </w:r>
                </w:p>
              </w:tc>
              <w:tc>
                <w:tcPr>
                  <w:tcW w:w="1328" w:type="dxa"/>
                  <w:vAlign w:val="top"/>
                </w:tcPr>
                <w:p w14:paraId="43BE5ECD">
                  <w:pPr>
                    <w:pStyle w:val="37"/>
                    <w:spacing w:line="280" w:lineRule="exact"/>
                    <w:rPr>
                      <w:rFonts w:hint="eastAsia" w:ascii="Times New Roman" w:hAnsi="Times New Roman"/>
                      <w:color w:val="auto"/>
                      <w:szCs w:val="21"/>
                      <w:highlight w:val="none"/>
                    </w:rPr>
                  </w:pPr>
                </w:p>
              </w:tc>
              <w:tc>
                <w:tcPr>
                  <w:tcW w:w="1426" w:type="dxa"/>
                  <w:vAlign w:val="top"/>
                </w:tcPr>
                <w:p w14:paraId="53E41561">
                  <w:pPr>
                    <w:pStyle w:val="37"/>
                    <w:spacing w:line="280" w:lineRule="exact"/>
                    <w:rPr>
                      <w:rFonts w:hint="eastAsia" w:ascii="Times New Roman" w:hAnsi="Times New Roman"/>
                      <w:color w:val="auto"/>
                      <w:szCs w:val="21"/>
                      <w:highlight w:val="none"/>
                    </w:rPr>
                  </w:pPr>
                </w:p>
              </w:tc>
              <w:tc>
                <w:tcPr>
                  <w:tcW w:w="1250" w:type="dxa"/>
                  <w:vAlign w:val="top"/>
                </w:tcPr>
                <w:p w14:paraId="35F9F7CC">
                  <w:pPr>
                    <w:pStyle w:val="37"/>
                    <w:spacing w:line="280" w:lineRule="exact"/>
                    <w:rPr>
                      <w:rFonts w:hint="eastAsia" w:ascii="Times New Roman" w:hAnsi="Times New Roman"/>
                      <w:color w:val="auto"/>
                      <w:szCs w:val="21"/>
                      <w:highlight w:val="none"/>
                    </w:rPr>
                  </w:pPr>
                </w:p>
              </w:tc>
              <w:tc>
                <w:tcPr>
                  <w:tcW w:w="919" w:type="dxa"/>
                  <w:vAlign w:val="top"/>
                </w:tcPr>
                <w:p w14:paraId="1A658AED">
                  <w:pPr>
                    <w:pStyle w:val="37"/>
                    <w:spacing w:line="280" w:lineRule="exact"/>
                    <w:rPr>
                      <w:rFonts w:hint="eastAsia" w:ascii="Times New Roman" w:hAnsi="Times New Roman"/>
                      <w:color w:val="auto"/>
                      <w:szCs w:val="21"/>
                      <w:highlight w:val="none"/>
                    </w:rPr>
                  </w:pPr>
                </w:p>
              </w:tc>
            </w:tr>
            <w:tr w14:paraId="77A7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5E7A9C23">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2</w:t>
                  </w:r>
                </w:p>
              </w:tc>
              <w:tc>
                <w:tcPr>
                  <w:tcW w:w="3276" w:type="dxa"/>
                  <w:vAlign w:val="top"/>
                </w:tcPr>
                <w:p w14:paraId="569880AD">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累计已实际支付的工程价款</w:t>
                  </w:r>
                </w:p>
              </w:tc>
              <w:tc>
                <w:tcPr>
                  <w:tcW w:w="1328" w:type="dxa"/>
                  <w:vAlign w:val="top"/>
                </w:tcPr>
                <w:p w14:paraId="4A8349C5">
                  <w:pPr>
                    <w:pStyle w:val="37"/>
                    <w:spacing w:line="280" w:lineRule="exact"/>
                    <w:rPr>
                      <w:rFonts w:hint="eastAsia" w:ascii="Times New Roman" w:hAnsi="Times New Roman"/>
                      <w:color w:val="auto"/>
                      <w:szCs w:val="21"/>
                      <w:highlight w:val="none"/>
                    </w:rPr>
                  </w:pPr>
                </w:p>
              </w:tc>
              <w:tc>
                <w:tcPr>
                  <w:tcW w:w="1426" w:type="dxa"/>
                  <w:vAlign w:val="top"/>
                </w:tcPr>
                <w:p w14:paraId="58B65EB2">
                  <w:pPr>
                    <w:pStyle w:val="37"/>
                    <w:spacing w:line="280" w:lineRule="exact"/>
                    <w:rPr>
                      <w:rFonts w:hint="eastAsia" w:ascii="Times New Roman" w:hAnsi="Times New Roman"/>
                      <w:color w:val="auto"/>
                      <w:szCs w:val="21"/>
                      <w:highlight w:val="none"/>
                    </w:rPr>
                  </w:pPr>
                </w:p>
              </w:tc>
              <w:tc>
                <w:tcPr>
                  <w:tcW w:w="1250" w:type="dxa"/>
                  <w:vAlign w:val="top"/>
                </w:tcPr>
                <w:p w14:paraId="09ACFF7D">
                  <w:pPr>
                    <w:pStyle w:val="37"/>
                    <w:spacing w:line="280" w:lineRule="exact"/>
                    <w:rPr>
                      <w:rFonts w:hint="eastAsia" w:ascii="Times New Roman" w:hAnsi="Times New Roman"/>
                      <w:color w:val="auto"/>
                      <w:szCs w:val="21"/>
                      <w:highlight w:val="none"/>
                    </w:rPr>
                  </w:pPr>
                </w:p>
              </w:tc>
              <w:tc>
                <w:tcPr>
                  <w:tcW w:w="919" w:type="dxa"/>
                  <w:vAlign w:val="top"/>
                </w:tcPr>
                <w:p w14:paraId="01D0CBE5">
                  <w:pPr>
                    <w:pStyle w:val="37"/>
                    <w:spacing w:line="280" w:lineRule="exact"/>
                    <w:rPr>
                      <w:rFonts w:hint="eastAsia" w:ascii="Times New Roman" w:hAnsi="Times New Roman"/>
                      <w:color w:val="auto"/>
                      <w:szCs w:val="21"/>
                      <w:highlight w:val="none"/>
                    </w:rPr>
                  </w:pPr>
                </w:p>
              </w:tc>
            </w:tr>
            <w:tr w14:paraId="7CDA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448736A5">
                  <w:pPr>
                    <w:pStyle w:val="37"/>
                    <w:spacing w:line="280" w:lineRule="exact"/>
                    <w:jc w:val="center"/>
                    <w:rPr>
                      <w:rFonts w:hint="eastAsia" w:ascii="Times New Roman" w:hAnsi="Times New Roman"/>
                      <w:color w:val="auto"/>
                      <w:szCs w:val="21"/>
                      <w:highlight w:val="none"/>
                    </w:rPr>
                  </w:pPr>
                </w:p>
              </w:tc>
              <w:tc>
                <w:tcPr>
                  <w:tcW w:w="3276" w:type="dxa"/>
                  <w:vAlign w:val="top"/>
                </w:tcPr>
                <w:p w14:paraId="05EB9A7F">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其中：人工费</w:t>
                  </w:r>
                </w:p>
              </w:tc>
              <w:tc>
                <w:tcPr>
                  <w:tcW w:w="1328" w:type="dxa"/>
                  <w:vAlign w:val="top"/>
                </w:tcPr>
                <w:p w14:paraId="31085CF4">
                  <w:pPr>
                    <w:pStyle w:val="37"/>
                    <w:spacing w:line="280" w:lineRule="exact"/>
                    <w:rPr>
                      <w:rFonts w:hint="eastAsia" w:ascii="Times New Roman" w:hAnsi="Times New Roman"/>
                      <w:color w:val="auto"/>
                      <w:szCs w:val="21"/>
                      <w:highlight w:val="none"/>
                    </w:rPr>
                  </w:pPr>
                </w:p>
              </w:tc>
              <w:tc>
                <w:tcPr>
                  <w:tcW w:w="1426" w:type="dxa"/>
                  <w:vAlign w:val="top"/>
                </w:tcPr>
                <w:p w14:paraId="569619BE">
                  <w:pPr>
                    <w:pStyle w:val="37"/>
                    <w:spacing w:line="280" w:lineRule="exact"/>
                    <w:rPr>
                      <w:rFonts w:hint="eastAsia" w:ascii="Times New Roman" w:hAnsi="Times New Roman"/>
                      <w:color w:val="auto"/>
                      <w:szCs w:val="21"/>
                      <w:highlight w:val="none"/>
                    </w:rPr>
                  </w:pPr>
                </w:p>
              </w:tc>
              <w:tc>
                <w:tcPr>
                  <w:tcW w:w="1250" w:type="dxa"/>
                  <w:vAlign w:val="top"/>
                </w:tcPr>
                <w:p w14:paraId="457FD579">
                  <w:pPr>
                    <w:pStyle w:val="37"/>
                    <w:spacing w:line="280" w:lineRule="exact"/>
                    <w:rPr>
                      <w:rFonts w:hint="eastAsia" w:ascii="Times New Roman" w:hAnsi="Times New Roman"/>
                      <w:color w:val="auto"/>
                      <w:szCs w:val="21"/>
                      <w:highlight w:val="none"/>
                    </w:rPr>
                  </w:pPr>
                </w:p>
              </w:tc>
              <w:tc>
                <w:tcPr>
                  <w:tcW w:w="919" w:type="dxa"/>
                  <w:vAlign w:val="top"/>
                </w:tcPr>
                <w:p w14:paraId="69BA0B1E">
                  <w:pPr>
                    <w:pStyle w:val="37"/>
                    <w:spacing w:line="280" w:lineRule="exact"/>
                    <w:rPr>
                      <w:rFonts w:hint="eastAsia" w:ascii="Times New Roman" w:hAnsi="Times New Roman"/>
                      <w:color w:val="auto"/>
                      <w:szCs w:val="21"/>
                      <w:highlight w:val="none"/>
                    </w:rPr>
                  </w:pPr>
                </w:p>
              </w:tc>
            </w:tr>
            <w:tr w14:paraId="7EA8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2C248984">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3</w:t>
                  </w:r>
                </w:p>
              </w:tc>
              <w:tc>
                <w:tcPr>
                  <w:tcW w:w="3276" w:type="dxa"/>
                  <w:vAlign w:val="top"/>
                </w:tcPr>
                <w:p w14:paraId="20A6E9B4">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本周期已完成的工程价款</w:t>
                  </w:r>
                </w:p>
              </w:tc>
              <w:tc>
                <w:tcPr>
                  <w:tcW w:w="1328" w:type="dxa"/>
                  <w:vAlign w:val="top"/>
                </w:tcPr>
                <w:p w14:paraId="4C92EA73">
                  <w:pPr>
                    <w:pStyle w:val="37"/>
                    <w:spacing w:line="280" w:lineRule="exact"/>
                    <w:rPr>
                      <w:rFonts w:hint="eastAsia" w:ascii="Times New Roman" w:hAnsi="Times New Roman"/>
                      <w:color w:val="auto"/>
                      <w:szCs w:val="21"/>
                      <w:highlight w:val="none"/>
                    </w:rPr>
                  </w:pPr>
                </w:p>
              </w:tc>
              <w:tc>
                <w:tcPr>
                  <w:tcW w:w="1426" w:type="dxa"/>
                  <w:vAlign w:val="top"/>
                </w:tcPr>
                <w:p w14:paraId="32D69803">
                  <w:pPr>
                    <w:pStyle w:val="37"/>
                    <w:spacing w:line="280" w:lineRule="exact"/>
                    <w:rPr>
                      <w:rFonts w:hint="eastAsia" w:ascii="Times New Roman" w:hAnsi="Times New Roman"/>
                      <w:color w:val="auto"/>
                      <w:szCs w:val="21"/>
                      <w:highlight w:val="none"/>
                    </w:rPr>
                  </w:pPr>
                </w:p>
              </w:tc>
              <w:tc>
                <w:tcPr>
                  <w:tcW w:w="1250" w:type="dxa"/>
                  <w:vAlign w:val="top"/>
                </w:tcPr>
                <w:p w14:paraId="13E13776">
                  <w:pPr>
                    <w:pStyle w:val="37"/>
                    <w:spacing w:line="280" w:lineRule="exact"/>
                    <w:rPr>
                      <w:rFonts w:hint="eastAsia" w:ascii="Times New Roman" w:hAnsi="Times New Roman"/>
                      <w:color w:val="auto"/>
                      <w:szCs w:val="21"/>
                      <w:highlight w:val="none"/>
                    </w:rPr>
                  </w:pPr>
                </w:p>
              </w:tc>
              <w:tc>
                <w:tcPr>
                  <w:tcW w:w="919" w:type="dxa"/>
                  <w:vAlign w:val="top"/>
                </w:tcPr>
                <w:p w14:paraId="1EA71B29">
                  <w:pPr>
                    <w:pStyle w:val="37"/>
                    <w:spacing w:line="280" w:lineRule="exact"/>
                    <w:rPr>
                      <w:rFonts w:hint="eastAsia" w:ascii="Times New Roman" w:hAnsi="Times New Roman"/>
                      <w:color w:val="auto"/>
                      <w:szCs w:val="21"/>
                      <w:highlight w:val="none"/>
                    </w:rPr>
                  </w:pPr>
                </w:p>
              </w:tc>
            </w:tr>
            <w:tr w14:paraId="34B2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495E7E00">
                  <w:pPr>
                    <w:pStyle w:val="37"/>
                    <w:spacing w:line="280" w:lineRule="exact"/>
                    <w:jc w:val="center"/>
                    <w:rPr>
                      <w:rFonts w:hint="eastAsia" w:ascii="Times New Roman" w:hAnsi="Times New Roman"/>
                      <w:color w:val="auto"/>
                      <w:szCs w:val="21"/>
                      <w:highlight w:val="none"/>
                    </w:rPr>
                  </w:pPr>
                </w:p>
              </w:tc>
              <w:tc>
                <w:tcPr>
                  <w:tcW w:w="3276" w:type="dxa"/>
                  <w:vAlign w:val="top"/>
                </w:tcPr>
                <w:p w14:paraId="4D5A4E0D">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其中：人工费</w:t>
                  </w:r>
                </w:p>
              </w:tc>
              <w:tc>
                <w:tcPr>
                  <w:tcW w:w="1328" w:type="dxa"/>
                  <w:vAlign w:val="top"/>
                </w:tcPr>
                <w:p w14:paraId="300C2284">
                  <w:pPr>
                    <w:pStyle w:val="37"/>
                    <w:spacing w:line="280" w:lineRule="exact"/>
                    <w:rPr>
                      <w:rFonts w:hint="eastAsia" w:ascii="Times New Roman" w:hAnsi="Times New Roman"/>
                      <w:color w:val="auto"/>
                      <w:szCs w:val="21"/>
                      <w:highlight w:val="none"/>
                    </w:rPr>
                  </w:pPr>
                </w:p>
              </w:tc>
              <w:tc>
                <w:tcPr>
                  <w:tcW w:w="1426" w:type="dxa"/>
                  <w:vAlign w:val="top"/>
                </w:tcPr>
                <w:p w14:paraId="1B1FB09D">
                  <w:pPr>
                    <w:pStyle w:val="37"/>
                    <w:spacing w:line="280" w:lineRule="exact"/>
                    <w:rPr>
                      <w:rFonts w:hint="eastAsia" w:ascii="Times New Roman" w:hAnsi="Times New Roman"/>
                      <w:color w:val="auto"/>
                      <w:szCs w:val="21"/>
                      <w:highlight w:val="none"/>
                    </w:rPr>
                  </w:pPr>
                </w:p>
              </w:tc>
              <w:tc>
                <w:tcPr>
                  <w:tcW w:w="1250" w:type="dxa"/>
                  <w:vAlign w:val="top"/>
                </w:tcPr>
                <w:p w14:paraId="097A70C8">
                  <w:pPr>
                    <w:pStyle w:val="37"/>
                    <w:spacing w:line="280" w:lineRule="exact"/>
                    <w:rPr>
                      <w:rFonts w:hint="eastAsia" w:ascii="Times New Roman" w:hAnsi="Times New Roman"/>
                      <w:color w:val="auto"/>
                      <w:szCs w:val="21"/>
                      <w:highlight w:val="none"/>
                    </w:rPr>
                  </w:pPr>
                </w:p>
              </w:tc>
              <w:tc>
                <w:tcPr>
                  <w:tcW w:w="919" w:type="dxa"/>
                  <w:vAlign w:val="top"/>
                </w:tcPr>
                <w:p w14:paraId="0D9A9C26">
                  <w:pPr>
                    <w:pStyle w:val="37"/>
                    <w:spacing w:line="280" w:lineRule="exact"/>
                    <w:rPr>
                      <w:rFonts w:hint="eastAsia" w:ascii="Times New Roman" w:hAnsi="Times New Roman"/>
                      <w:color w:val="auto"/>
                      <w:szCs w:val="21"/>
                      <w:highlight w:val="none"/>
                    </w:rPr>
                  </w:pPr>
                </w:p>
              </w:tc>
            </w:tr>
            <w:tr w14:paraId="706D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1584ED42">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4</w:t>
                  </w:r>
                </w:p>
              </w:tc>
              <w:tc>
                <w:tcPr>
                  <w:tcW w:w="3276" w:type="dxa"/>
                  <w:vAlign w:val="top"/>
                </w:tcPr>
                <w:p w14:paraId="7E493BFA">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本周期应扣减的金额</w:t>
                  </w:r>
                </w:p>
              </w:tc>
              <w:tc>
                <w:tcPr>
                  <w:tcW w:w="1328" w:type="dxa"/>
                  <w:vAlign w:val="top"/>
                </w:tcPr>
                <w:p w14:paraId="1A11F533">
                  <w:pPr>
                    <w:pStyle w:val="37"/>
                    <w:spacing w:line="280" w:lineRule="exact"/>
                    <w:rPr>
                      <w:rFonts w:hint="eastAsia" w:ascii="Times New Roman" w:hAnsi="Times New Roman"/>
                      <w:color w:val="auto"/>
                      <w:szCs w:val="21"/>
                      <w:highlight w:val="none"/>
                    </w:rPr>
                  </w:pPr>
                </w:p>
              </w:tc>
              <w:tc>
                <w:tcPr>
                  <w:tcW w:w="1426" w:type="dxa"/>
                  <w:vAlign w:val="top"/>
                </w:tcPr>
                <w:p w14:paraId="4E62EE02">
                  <w:pPr>
                    <w:pStyle w:val="37"/>
                    <w:spacing w:line="280" w:lineRule="exact"/>
                    <w:rPr>
                      <w:rFonts w:hint="eastAsia" w:ascii="Times New Roman" w:hAnsi="Times New Roman"/>
                      <w:color w:val="auto"/>
                      <w:szCs w:val="21"/>
                      <w:highlight w:val="none"/>
                    </w:rPr>
                  </w:pPr>
                </w:p>
              </w:tc>
              <w:tc>
                <w:tcPr>
                  <w:tcW w:w="1250" w:type="dxa"/>
                  <w:vAlign w:val="top"/>
                </w:tcPr>
                <w:p w14:paraId="44B096D9">
                  <w:pPr>
                    <w:pStyle w:val="37"/>
                    <w:spacing w:line="280" w:lineRule="exact"/>
                    <w:rPr>
                      <w:rFonts w:hint="eastAsia" w:ascii="Times New Roman" w:hAnsi="Times New Roman"/>
                      <w:color w:val="auto"/>
                      <w:szCs w:val="21"/>
                      <w:highlight w:val="none"/>
                    </w:rPr>
                  </w:pPr>
                </w:p>
              </w:tc>
              <w:tc>
                <w:tcPr>
                  <w:tcW w:w="919" w:type="dxa"/>
                  <w:vAlign w:val="top"/>
                </w:tcPr>
                <w:p w14:paraId="4552F09A">
                  <w:pPr>
                    <w:pStyle w:val="37"/>
                    <w:spacing w:line="280" w:lineRule="exact"/>
                    <w:rPr>
                      <w:rFonts w:hint="eastAsia" w:ascii="Times New Roman" w:hAnsi="Times New Roman"/>
                      <w:color w:val="auto"/>
                      <w:szCs w:val="21"/>
                      <w:highlight w:val="none"/>
                    </w:rPr>
                  </w:pPr>
                </w:p>
              </w:tc>
            </w:tr>
            <w:tr w14:paraId="01CC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01BF3B06">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4.1</w:t>
                  </w:r>
                </w:p>
              </w:tc>
              <w:tc>
                <w:tcPr>
                  <w:tcW w:w="3276" w:type="dxa"/>
                  <w:vAlign w:val="top"/>
                </w:tcPr>
                <w:p w14:paraId="319D497B">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本周期实际应抵扣的预付款</w:t>
                  </w:r>
                </w:p>
              </w:tc>
              <w:tc>
                <w:tcPr>
                  <w:tcW w:w="1328" w:type="dxa"/>
                  <w:vAlign w:val="top"/>
                </w:tcPr>
                <w:p w14:paraId="37255390">
                  <w:pPr>
                    <w:pStyle w:val="37"/>
                    <w:spacing w:line="280" w:lineRule="exact"/>
                    <w:rPr>
                      <w:rFonts w:hint="eastAsia" w:ascii="Times New Roman" w:hAnsi="Times New Roman"/>
                      <w:color w:val="auto"/>
                      <w:szCs w:val="21"/>
                      <w:highlight w:val="none"/>
                    </w:rPr>
                  </w:pPr>
                </w:p>
              </w:tc>
              <w:tc>
                <w:tcPr>
                  <w:tcW w:w="1426" w:type="dxa"/>
                  <w:vAlign w:val="top"/>
                </w:tcPr>
                <w:p w14:paraId="0AD3DD88">
                  <w:pPr>
                    <w:pStyle w:val="37"/>
                    <w:spacing w:line="280" w:lineRule="exact"/>
                    <w:rPr>
                      <w:rFonts w:hint="eastAsia" w:ascii="Times New Roman" w:hAnsi="Times New Roman"/>
                      <w:color w:val="auto"/>
                      <w:szCs w:val="21"/>
                      <w:highlight w:val="none"/>
                    </w:rPr>
                  </w:pPr>
                </w:p>
              </w:tc>
              <w:tc>
                <w:tcPr>
                  <w:tcW w:w="1250" w:type="dxa"/>
                  <w:vAlign w:val="top"/>
                </w:tcPr>
                <w:p w14:paraId="2A416878">
                  <w:pPr>
                    <w:pStyle w:val="37"/>
                    <w:spacing w:line="280" w:lineRule="exact"/>
                    <w:rPr>
                      <w:rFonts w:hint="eastAsia" w:ascii="Times New Roman" w:hAnsi="Times New Roman"/>
                      <w:color w:val="auto"/>
                      <w:szCs w:val="21"/>
                      <w:highlight w:val="none"/>
                    </w:rPr>
                  </w:pPr>
                </w:p>
              </w:tc>
              <w:tc>
                <w:tcPr>
                  <w:tcW w:w="919" w:type="dxa"/>
                  <w:vAlign w:val="top"/>
                </w:tcPr>
                <w:p w14:paraId="4D98EB77">
                  <w:pPr>
                    <w:pStyle w:val="37"/>
                    <w:spacing w:line="280" w:lineRule="exact"/>
                    <w:rPr>
                      <w:rFonts w:hint="eastAsia" w:ascii="Times New Roman" w:hAnsi="Times New Roman"/>
                      <w:color w:val="auto"/>
                      <w:szCs w:val="21"/>
                      <w:highlight w:val="none"/>
                    </w:rPr>
                  </w:pPr>
                </w:p>
              </w:tc>
            </w:tr>
            <w:tr w14:paraId="00B8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19DE4792">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4.2</w:t>
                  </w:r>
                </w:p>
              </w:tc>
              <w:tc>
                <w:tcPr>
                  <w:tcW w:w="3276" w:type="dxa"/>
                  <w:vAlign w:val="top"/>
                </w:tcPr>
                <w:p w14:paraId="6BBF08B5">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本周期应扣减的金额</w:t>
                  </w:r>
                </w:p>
              </w:tc>
              <w:tc>
                <w:tcPr>
                  <w:tcW w:w="1328" w:type="dxa"/>
                  <w:vAlign w:val="top"/>
                </w:tcPr>
                <w:p w14:paraId="24BE7E9A">
                  <w:pPr>
                    <w:pStyle w:val="37"/>
                    <w:spacing w:line="280" w:lineRule="exact"/>
                    <w:rPr>
                      <w:rFonts w:hint="eastAsia" w:ascii="Times New Roman" w:hAnsi="Times New Roman"/>
                      <w:color w:val="auto"/>
                      <w:szCs w:val="21"/>
                      <w:highlight w:val="none"/>
                    </w:rPr>
                  </w:pPr>
                </w:p>
              </w:tc>
              <w:tc>
                <w:tcPr>
                  <w:tcW w:w="1426" w:type="dxa"/>
                  <w:vAlign w:val="top"/>
                </w:tcPr>
                <w:p w14:paraId="372BB9E7">
                  <w:pPr>
                    <w:pStyle w:val="37"/>
                    <w:spacing w:line="280" w:lineRule="exact"/>
                    <w:rPr>
                      <w:rFonts w:hint="eastAsia" w:ascii="Times New Roman" w:hAnsi="Times New Roman"/>
                      <w:color w:val="auto"/>
                      <w:szCs w:val="21"/>
                      <w:highlight w:val="none"/>
                    </w:rPr>
                  </w:pPr>
                </w:p>
              </w:tc>
              <w:tc>
                <w:tcPr>
                  <w:tcW w:w="1250" w:type="dxa"/>
                  <w:vAlign w:val="top"/>
                </w:tcPr>
                <w:p w14:paraId="2B61F0CD">
                  <w:pPr>
                    <w:pStyle w:val="37"/>
                    <w:spacing w:line="280" w:lineRule="exact"/>
                    <w:rPr>
                      <w:rFonts w:hint="eastAsia" w:ascii="Times New Roman" w:hAnsi="Times New Roman"/>
                      <w:color w:val="auto"/>
                      <w:szCs w:val="21"/>
                      <w:highlight w:val="none"/>
                    </w:rPr>
                  </w:pPr>
                </w:p>
              </w:tc>
              <w:tc>
                <w:tcPr>
                  <w:tcW w:w="919" w:type="dxa"/>
                  <w:vAlign w:val="top"/>
                </w:tcPr>
                <w:p w14:paraId="61AB6D57">
                  <w:pPr>
                    <w:pStyle w:val="37"/>
                    <w:spacing w:line="280" w:lineRule="exact"/>
                    <w:rPr>
                      <w:rFonts w:hint="eastAsia" w:ascii="Times New Roman" w:hAnsi="Times New Roman"/>
                      <w:color w:val="auto"/>
                      <w:szCs w:val="21"/>
                      <w:highlight w:val="none"/>
                    </w:rPr>
                  </w:pPr>
                </w:p>
              </w:tc>
            </w:tr>
            <w:tr w14:paraId="5B3D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1DEC7DEE">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5</w:t>
                  </w:r>
                </w:p>
              </w:tc>
              <w:tc>
                <w:tcPr>
                  <w:tcW w:w="3276" w:type="dxa"/>
                  <w:vAlign w:val="top"/>
                </w:tcPr>
                <w:p w14:paraId="4197C86A">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本周期应支付的合同价款</w:t>
                  </w:r>
                </w:p>
              </w:tc>
              <w:tc>
                <w:tcPr>
                  <w:tcW w:w="1328" w:type="dxa"/>
                  <w:vAlign w:val="top"/>
                </w:tcPr>
                <w:p w14:paraId="226EB2CB">
                  <w:pPr>
                    <w:pStyle w:val="37"/>
                    <w:spacing w:line="280" w:lineRule="exact"/>
                    <w:rPr>
                      <w:rFonts w:hint="eastAsia" w:ascii="Times New Roman" w:hAnsi="Times New Roman"/>
                      <w:color w:val="auto"/>
                      <w:szCs w:val="21"/>
                      <w:highlight w:val="none"/>
                    </w:rPr>
                  </w:pPr>
                </w:p>
              </w:tc>
              <w:tc>
                <w:tcPr>
                  <w:tcW w:w="1426" w:type="dxa"/>
                  <w:vAlign w:val="top"/>
                </w:tcPr>
                <w:p w14:paraId="51F7DB25">
                  <w:pPr>
                    <w:pStyle w:val="37"/>
                    <w:spacing w:line="280" w:lineRule="exact"/>
                    <w:rPr>
                      <w:rFonts w:hint="eastAsia" w:ascii="Times New Roman" w:hAnsi="Times New Roman"/>
                      <w:color w:val="auto"/>
                      <w:szCs w:val="21"/>
                      <w:highlight w:val="none"/>
                    </w:rPr>
                  </w:pPr>
                </w:p>
              </w:tc>
              <w:tc>
                <w:tcPr>
                  <w:tcW w:w="1250" w:type="dxa"/>
                  <w:vAlign w:val="top"/>
                </w:tcPr>
                <w:p w14:paraId="6101FEA6">
                  <w:pPr>
                    <w:pStyle w:val="37"/>
                    <w:spacing w:line="280" w:lineRule="exact"/>
                    <w:rPr>
                      <w:rFonts w:hint="eastAsia" w:ascii="Times New Roman" w:hAnsi="Times New Roman"/>
                      <w:color w:val="auto"/>
                      <w:szCs w:val="21"/>
                      <w:highlight w:val="none"/>
                    </w:rPr>
                  </w:pPr>
                </w:p>
              </w:tc>
              <w:tc>
                <w:tcPr>
                  <w:tcW w:w="919" w:type="dxa"/>
                  <w:vAlign w:val="top"/>
                </w:tcPr>
                <w:p w14:paraId="321CC9CC">
                  <w:pPr>
                    <w:pStyle w:val="37"/>
                    <w:spacing w:line="280" w:lineRule="exact"/>
                    <w:rPr>
                      <w:rFonts w:hint="eastAsia" w:ascii="Times New Roman" w:hAnsi="Times New Roman"/>
                      <w:color w:val="auto"/>
                      <w:szCs w:val="21"/>
                      <w:highlight w:val="none"/>
                    </w:rPr>
                  </w:pPr>
                </w:p>
              </w:tc>
            </w:tr>
            <w:tr w14:paraId="4F6F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28F09543">
                  <w:pPr>
                    <w:pStyle w:val="37"/>
                    <w:spacing w:line="280" w:lineRule="exact"/>
                    <w:jc w:val="center"/>
                    <w:rPr>
                      <w:rFonts w:hint="eastAsia" w:ascii="Times New Roman" w:hAnsi="Times New Roman"/>
                      <w:color w:val="auto"/>
                      <w:szCs w:val="21"/>
                      <w:highlight w:val="none"/>
                    </w:rPr>
                  </w:pPr>
                </w:p>
              </w:tc>
              <w:tc>
                <w:tcPr>
                  <w:tcW w:w="3276" w:type="dxa"/>
                  <w:vAlign w:val="top"/>
                </w:tcPr>
                <w:p w14:paraId="05FA6D17">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其中：人工费</w:t>
                  </w:r>
                </w:p>
              </w:tc>
              <w:tc>
                <w:tcPr>
                  <w:tcW w:w="1328" w:type="dxa"/>
                  <w:vAlign w:val="top"/>
                </w:tcPr>
                <w:p w14:paraId="1BDFC550">
                  <w:pPr>
                    <w:pStyle w:val="37"/>
                    <w:spacing w:line="280" w:lineRule="exact"/>
                    <w:rPr>
                      <w:rFonts w:hint="eastAsia" w:ascii="Times New Roman" w:hAnsi="Times New Roman"/>
                      <w:color w:val="auto"/>
                      <w:szCs w:val="21"/>
                      <w:highlight w:val="none"/>
                    </w:rPr>
                  </w:pPr>
                </w:p>
              </w:tc>
              <w:tc>
                <w:tcPr>
                  <w:tcW w:w="1426" w:type="dxa"/>
                  <w:vAlign w:val="top"/>
                </w:tcPr>
                <w:p w14:paraId="723CC132">
                  <w:pPr>
                    <w:pStyle w:val="37"/>
                    <w:spacing w:line="280" w:lineRule="exact"/>
                    <w:rPr>
                      <w:rFonts w:hint="eastAsia" w:ascii="Times New Roman" w:hAnsi="Times New Roman"/>
                      <w:color w:val="auto"/>
                      <w:szCs w:val="21"/>
                      <w:highlight w:val="none"/>
                    </w:rPr>
                  </w:pPr>
                </w:p>
              </w:tc>
              <w:tc>
                <w:tcPr>
                  <w:tcW w:w="1250" w:type="dxa"/>
                  <w:vAlign w:val="top"/>
                </w:tcPr>
                <w:p w14:paraId="644EBA92">
                  <w:pPr>
                    <w:pStyle w:val="37"/>
                    <w:spacing w:line="280" w:lineRule="exact"/>
                    <w:rPr>
                      <w:rFonts w:hint="eastAsia" w:ascii="Times New Roman" w:hAnsi="Times New Roman"/>
                      <w:color w:val="auto"/>
                      <w:szCs w:val="21"/>
                      <w:highlight w:val="none"/>
                    </w:rPr>
                  </w:pPr>
                </w:p>
              </w:tc>
              <w:tc>
                <w:tcPr>
                  <w:tcW w:w="919" w:type="dxa"/>
                  <w:vAlign w:val="top"/>
                </w:tcPr>
                <w:p w14:paraId="6099F632">
                  <w:pPr>
                    <w:pStyle w:val="37"/>
                    <w:spacing w:line="280" w:lineRule="exact"/>
                    <w:rPr>
                      <w:rFonts w:hint="eastAsia" w:ascii="Times New Roman" w:hAnsi="Times New Roman"/>
                      <w:color w:val="auto"/>
                      <w:szCs w:val="21"/>
                      <w:highlight w:val="none"/>
                    </w:rPr>
                  </w:pPr>
                </w:p>
              </w:tc>
            </w:tr>
          </w:tbl>
          <w:p w14:paraId="7C183235">
            <w:pPr>
              <w:pStyle w:val="37"/>
              <w:wordWrap w:val="0"/>
              <w:spacing w:line="400" w:lineRule="exact"/>
              <w:ind w:right="420"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附：上述3、4详见附件清单。</w:t>
            </w:r>
          </w:p>
          <w:p w14:paraId="56593E17">
            <w:pPr>
              <w:pStyle w:val="37"/>
              <w:wordWrap w:val="0"/>
              <w:spacing w:line="400" w:lineRule="exact"/>
              <w:ind w:right="420"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 xml:space="preserve">                                      承包人（章）             </w:t>
            </w:r>
          </w:p>
          <w:p w14:paraId="225955E0">
            <w:pPr>
              <w:pStyle w:val="37"/>
              <w:spacing w:line="400" w:lineRule="exact"/>
              <w:ind w:right="420"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承包人代表</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14:paraId="5738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072" w:type="dxa"/>
            <w:vAlign w:val="top"/>
          </w:tcPr>
          <w:p w14:paraId="595599A7">
            <w:pPr>
              <w:pStyle w:val="37"/>
              <w:spacing w:line="3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复核意见：</w:t>
            </w:r>
          </w:p>
          <w:p w14:paraId="0E583449">
            <w:pPr>
              <w:pStyle w:val="37"/>
              <w:spacing w:line="3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□与实际施工情况不相符，修改意见见附件。</w:t>
            </w:r>
          </w:p>
          <w:p w14:paraId="3917F376">
            <w:pPr>
              <w:pStyle w:val="37"/>
              <w:spacing w:line="3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□与实际施工情况相符，具体金额由造价工程师复核。</w:t>
            </w:r>
          </w:p>
          <w:p w14:paraId="295220FC">
            <w:pPr>
              <w:pStyle w:val="37"/>
              <w:spacing w:line="360" w:lineRule="exact"/>
              <w:ind w:firstLine="435"/>
              <w:jc w:val="right"/>
              <w:rPr>
                <w:rFonts w:hint="eastAsia" w:ascii="Times New Roman" w:hAnsi="Times New Roman"/>
                <w:color w:val="auto"/>
                <w:szCs w:val="21"/>
                <w:highlight w:val="none"/>
              </w:rPr>
            </w:pPr>
          </w:p>
          <w:p w14:paraId="7011A559">
            <w:pPr>
              <w:pStyle w:val="37"/>
              <w:spacing w:line="360" w:lineRule="exact"/>
              <w:ind w:firstLine="420" w:firstLineChars="200"/>
              <w:jc w:val="center"/>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监理工程师</w:t>
            </w:r>
            <w:r>
              <w:rPr>
                <w:rFonts w:hint="eastAsia" w:ascii="Times New Roman" w:hAnsi="Times New Roman"/>
                <w:color w:val="auto"/>
                <w:szCs w:val="21"/>
                <w:highlight w:val="none"/>
                <w:u w:val="single"/>
              </w:rPr>
              <w:t xml:space="preserve">           </w:t>
            </w:r>
          </w:p>
          <w:p w14:paraId="5AE85D09">
            <w:pPr>
              <w:pStyle w:val="37"/>
              <w:spacing w:line="360" w:lineRule="exact"/>
              <w:ind w:firstLine="420" w:firstLineChars="200"/>
              <w:jc w:val="center"/>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w:t>
            </w:r>
            <w:r>
              <w:rPr>
                <w:rFonts w:hint="eastAsia" w:ascii="Times New Roman" w:hAnsi="Times New Roman"/>
                <w:color w:val="auto"/>
                <w:szCs w:val="21"/>
                <w:highlight w:val="none"/>
                <w:u w:val="single"/>
              </w:rPr>
              <w:t xml:space="preserve">           </w:t>
            </w:r>
          </w:p>
          <w:p w14:paraId="14F8EEEC">
            <w:pPr>
              <w:pStyle w:val="37"/>
              <w:spacing w:line="360" w:lineRule="exact"/>
              <w:ind w:firstLine="435"/>
              <w:jc w:val="both"/>
              <w:rPr>
                <w:rFonts w:hint="eastAsia" w:ascii="Times New Roman" w:hAnsi="Times New Roman"/>
                <w:color w:val="auto"/>
                <w:szCs w:val="21"/>
                <w:highlight w:val="none"/>
                <w:u w:val="single"/>
              </w:rPr>
            </w:pPr>
          </w:p>
        </w:tc>
      </w:tr>
      <w:tr w14:paraId="5B9F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vAlign w:val="top"/>
          </w:tcPr>
          <w:p w14:paraId="42F50AC8">
            <w:pPr>
              <w:pStyle w:val="37"/>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审核意见：</w:t>
            </w:r>
          </w:p>
          <w:p w14:paraId="18E37E4B">
            <w:pPr>
              <w:pStyle w:val="37"/>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□不同意。</w:t>
            </w:r>
          </w:p>
          <w:p w14:paraId="3A6D13B1">
            <w:pPr>
              <w:pStyle w:val="37"/>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□同意。</w:t>
            </w:r>
          </w:p>
          <w:p w14:paraId="50BFD263">
            <w:pPr>
              <w:pStyle w:val="37"/>
              <w:wordWrap w:val="0"/>
              <w:spacing w:line="400" w:lineRule="exact"/>
              <w:ind w:firstLine="420" w:firstLineChars="200"/>
              <w:jc w:val="right"/>
              <w:rPr>
                <w:rFonts w:hint="eastAsia" w:ascii="Times New Roman" w:hAnsi="Times New Roman"/>
                <w:color w:val="auto"/>
                <w:szCs w:val="21"/>
                <w:highlight w:val="none"/>
              </w:rPr>
            </w:pPr>
            <w:r>
              <w:rPr>
                <w:rFonts w:hint="eastAsia" w:ascii="Times New Roman" w:hAnsi="Times New Roman"/>
                <w:color w:val="auto"/>
                <w:szCs w:val="21"/>
                <w:highlight w:val="none"/>
              </w:rPr>
              <w:t xml:space="preserve">发包人（章）           </w:t>
            </w:r>
          </w:p>
          <w:p w14:paraId="2AB95C1D">
            <w:pPr>
              <w:pStyle w:val="37"/>
              <w:wordWrap w:val="0"/>
              <w:spacing w:line="400" w:lineRule="exact"/>
              <w:ind w:firstLine="420" w:firstLineChars="200"/>
              <w:jc w:val="right"/>
              <w:rPr>
                <w:rFonts w:hint="eastAsia" w:ascii="Times New Roman" w:hAnsi="Times New Roman"/>
                <w:color w:val="auto"/>
                <w:szCs w:val="21"/>
                <w:highlight w:val="none"/>
                <w:u w:val="single"/>
              </w:rPr>
            </w:pPr>
            <w:r>
              <w:rPr>
                <w:rFonts w:hint="eastAsia" w:ascii="Times New Roman" w:hAnsi="Times New Roman"/>
                <w:color w:val="auto"/>
                <w:szCs w:val="21"/>
                <w:highlight w:val="none"/>
              </w:rPr>
              <w:t>发包人代表</w:t>
            </w:r>
            <w:r>
              <w:rPr>
                <w:rFonts w:hint="eastAsia" w:ascii="Times New Roman" w:hAnsi="Times New Roman"/>
                <w:color w:val="auto"/>
                <w:szCs w:val="21"/>
                <w:highlight w:val="none"/>
                <w:u w:val="single"/>
              </w:rPr>
              <w:t xml:space="preserve">             </w:t>
            </w:r>
          </w:p>
          <w:p w14:paraId="09B4F1EB">
            <w:pPr>
              <w:pStyle w:val="37"/>
              <w:wordWrap w:val="0"/>
              <w:spacing w:line="400" w:lineRule="exact"/>
              <w:ind w:firstLine="420" w:firstLineChars="200"/>
              <w:jc w:val="right"/>
              <w:rPr>
                <w:rFonts w:hint="eastAsia" w:ascii="Times New Roman" w:hAnsi="Times New Roman"/>
                <w:color w:val="auto"/>
                <w:szCs w:val="21"/>
                <w:highlight w:val="none"/>
                <w:u w:val="single"/>
              </w:rPr>
            </w:pP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bl>
    <w:p w14:paraId="068CCFB8">
      <w:pPr>
        <w:pStyle w:val="37"/>
        <w:spacing w:before="156" w:beforeLines="50"/>
        <w:ind w:firstLine="360" w:firstLineChars="200"/>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 xml:space="preserve">注：1.在选择栏中的“□”内作标识“√”。 </w:t>
      </w:r>
    </w:p>
    <w:p w14:paraId="7B3163BA">
      <w:pPr>
        <w:pStyle w:val="37"/>
        <w:spacing w:before="156" w:beforeLines="50"/>
        <w:ind w:firstLine="540" w:firstLineChars="300"/>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2.本表一式</w:t>
      </w:r>
      <w:r>
        <w:rPr>
          <w:rFonts w:hint="eastAsia" w:ascii="Times New Roman" w:hAnsi="Times New Roman"/>
          <w:color w:val="auto"/>
          <w:sz w:val="18"/>
          <w:szCs w:val="18"/>
          <w:highlight w:val="none"/>
          <w:lang w:val="en-US" w:eastAsia="zh-CN"/>
        </w:rPr>
        <w:t>叁</w:t>
      </w:r>
      <w:r>
        <w:rPr>
          <w:rFonts w:hint="eastAsia" w:ascii="Times New Roman" w:hAnsi="Times New Roman"/>
          <w:color w:val="auto"/>
          <w:sz w:val="18"/>
          <w:szCs w:val="18"/>
          <w:highlight w:val="none"/>
        </w:rPr>
        <w:t>份，由承包人填报，发包人、监理人、承包人各存一份。</w:t>
      </w:r>
    </w:p>
    <w:p w14:paraId="1D1CC529">
      <w:pPr>
        <w:pStyle w:val="37"/>
        <w:ind w:firstLine="600" w:firstLineChars="200"/>
        <w:jc w:val="left"/>
        <w:rPr>
          <w:rFonts w:hint="eastAsia" w:ascii="Times New Roman" w:hAnsi="Times New Roman"/>
          <w:color w:val="auto"/>
          <w:sz w:val="30"/>
          <w:szCs w:val="30"/>
          <w:highlight w:val="none"/>
        </w:rPr>
      </w:pPr>
      <w:r>
        <w:rPr>
          <w:rFonts w:hint="eastAsia" w:ascii="Times New Roman" w:hAnsi="Times New Roman"/>
          <w:color w:val="auto"/>
          <w:sz w:val="30"/>
          <w:szCs w:val="30"/>
          <w:highlight w:val="none"/>
        </w:rPr>
        <w:t>附件12</w:t>
      </w:r>
    </w:p>
    <w:p w14:paraId="4AE770BF">
      <w:pPr>
        <w:pStyle w:val="37"/>
        <w:ind w:firstLine="723" w:firstLineChars="200"/>
        <w:jc w:val="center"/>
        <w:rPr>
          <w:rFonts w:hint="eastAsia" w:ascii="Times New Roman" w:hAnsi="Times New Roman"/>
          <w:b/>
          <w:color w:val="auto"/>
          <w:sz w:val="36"/>
          <w:szCs w:val="36"/>
          <w:highlight w:val="none"/>
        </w:rPr>
      </w:pPr>
      <w:r>
        <w:rPr>
          <w:rFonts w:hint="eastAsia" w:ascii="Times New Roman" w:hAnsi="Times New Roman"/>
          <w:b/>
          <w:color w:val="auto"/>
          <w:sz w:val="36"/>
          <w:szCs w:val="36"/>
          <w:highlight w:val="none"/>
        </w:rPr>
        <w:t>竣工结算款支付申请（核准）表</w:t>
      </w:r>
    </w:p>
    <w:p w14:paraId="28AEEB16">
      <w:pPr>
        <w:pStyle w:val="37"/>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工程名称：                                              编号：</w:t>
      </w:r>
    </w:p>
    <w:tbl>
      <w:tblPr>
        <w:tblStyle w:val="2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A19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vAlign w:val="top"/>
          </w:tcPr>
          <w:p w14:paraId="21AF935C">
            <w:pPr>
              <w:pStyle w:val="37"/>
              <w:spacing w:line="480" w:lineRule="exact"/>
              <w:ind w:left="313" w:leftChars="149" w:firstLine="420" w:firstLineChars="200"/>
              <w:rPr>
                <w:rFonts w:hint="eastAsia" w:ascii="Times New Roman" w:hAnsi="Times New Roman"/>
                <w:color w:val="auto"/>
                <w:szCs w:val="21"/>
                <w:highlight w:val="none"/>
                <w:u w:val="single"/>
              </w:rPr>
            </w:pPr>
            <w:r>
              <w:rPr>
                <w:rFonts w:hint="eastAsia" w:ascii="Times New Roman" w:hAnsi="Times New Roman"/>
                <w:color w:val="auto"/>
                <w:szCs w:val="21"/>
                <w:highlight w:val="none"/>
              </w:rPr>
              <w:t>致：</w:t>
            </w:r>
            <w:r>
              <w:rPr>
                <w:rFonts w:hint="eastAsia" w:ascii="Times New Roman" w:hAnsi="Times New Roman"/>
                <w:color w:val="auto"/>
                <w:szCs w:val="21"/>
                <w:highlight w:val="none"/>
                <w:u w:val="single"/>
              </w:rPr>
              <w:t xml:space="preserve">                                   （发包人全称）</w:t>
            </w:r>
          </w:p>
          <w:p w14:paraId="0F34BC60">
            <w:pPr>
              <w:pStyle w:val="37"/>
              <w:spacing w:line="400" w:lineRule="exact"/>
              <w:ind w:left="-4" w:leftChars="-2"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我方于</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至</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期间已完成了合同约定的工作，根据施工合同的约定，现申请支付竣工结算的工程款额为</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大写</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小写</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元，请予核准。</w:t>
            </w:r>
          </w:p>
          <w:tbl>
            <w:tblPr>
              <w:tblStyle w:val="22"/>
              <w:tblpPr w:leftFromText="180" w:rightFromText="180" w:vertAnchor="page" w:horzAnchor="margin" w:tblpY="1309"/>
              <w:tblOverlap w:val="never"/>
              <w:tblW w:w="8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3362"/>
              <w:gridCol w:w="1605"/>
              <w:gridCol w:w="1605"/>
              <w:gridCol w:w="1628"/>
            </w:tblGrid>
            <w:tr w14:paraId="7DE6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3" w:type="dxa"/>
                  <w:vAlign w:val="center"/>
                </w:tcPr>
                <w:p w14:paraId="78220494">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3362" w:type="dxa"/>
                  <w:vAlign w:val="center"/>
                </w:tcPr>
                <w:p w14:paraId="02D7CA59">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名      称</w:t>
                  </w:r>
                </w:p>
              </w:tc>
              <w:tc>
                <w:tcPr>
                  <w:tcW w:w="1605" w:type="dxa"/>
                  <w:vAlign w:val="center"/>
                </w:tcPr>
                <w:p w14:paraId="6707E687">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申请金额（元）</w:t>
                  </w:r>
                </w:p>
              </w:tc>
              <w:tc>
                <w:tcPr>
                  <w:tcW w:w="1605" w:type="dxa"/>
                  <w:vAlign w:val="center"/>
                </w:tcPr>
                <w:p w14:paraId="63678BB7">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复核金额（元）</w:t>
                  </w:r>
                </w:p>
              </w:tc>
              <w:tc>
                <w:tcPr>
                  <w:tcW w:w="1628" w:type="dxa"/>
                  <w:vAlign w:val="center"/>
                </w:tcPr>
                <w:p w14:paraId="7DAD92EF">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备注</w:t>
                  </w:r>
                </w:p>
              </w:tc>
            </w:tr>
            <w:tr w14:paraId="65A8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38B8F74C">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p>
              </w:tc>
              <w:tc>
                <w:tcPr>
                  <w:tcW w:w="3362" w:type="dxa"/>
                  <w:vAlign w:val="top"/>
                </w:tcPr>
                <w:p w14:paraId="6CA2DAB6">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竣工结算合同价款总额</w:t>
                  </w:r>
                </w:p>
              </w:tc>
              <w:tc>
                <w:tcPr>
                  <w:tcW w:w="1605" w:type="dxa"/>
                  <w:vAlign w:val="top"/>
                </w:tcPr>
                <w:p w14:paraId="29C7FD58">
                  <w:pPr>
                    <w:pStyle w:val="37"/>
                    <w:spacing w:line="280" w:lineRule="exact"/>
                    <w:rPr>
                      <w:rFonts w:hint="eastAsia" w:ascii="Times New Roman" w:hAnsi="Times New Roman"/>
                      <w:color w:val="auto"/>
                      <w:szCs w:val="21"/>
                      <w:highlight w:val="none"/>
                    </w:rPr>
                  </w:pPr>
                </w:p>
              </w:tc>
              <w:tc>
                <w:tcPr>
                  <w:tcW w:w="1605" w:type="dxa"/>
                  <w:vAlign w:val="top"/>
                </w:tcPr>
                <w:p w14:paraId="5190BB34">
                  <w:pPr>
                    <w:pStyle w:val="37"/>
                    <w:spacing w:line="280" w:lineRule="exact"/>
                    <w:rPr>
                      <w:rFonts w:hint="eastAsia" w:ascii="Times New Roman" w:hAnsi="Times New Roman"/>
                      <w:color w:val="auto"/>
                      <w:szCs w:val="21"/>
                      <w:highlight w:val="none"/>
                    </w:rPr>
                  </w:pPr>
                </w:p>
              </w:tc>
              <w:tc>
                <w:tcPr>
                  <w:tcW w:w="1628" w:type="dxa"/>
                  <w:vAlign w:val="top"/>
                </w:tcPr>
                <w:p w14:paraId="673BF084">
                  <w:pPr>
                    <w:pStyle w:val="37"/>
                    <w:spacing w:line="280" w:lineRule="exact"/>
                    <w:rPr>
                      <w:rFonts w:hint="eastAsia" w:ascii="Times New Roman" w:hAnsi="Times New Roman"/>
                      <w:color w:val="auto"/>
                      <w:szCs w:val="21"/>
                      <w:highlight w:val="none"/>
                    </w:rPr>
                  </w:pPr>
                </w:p>
              </w:tc>
            </w:tr>
            <w:tr w14:paraId="168F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4B35F2C8">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2</w:t>
                  </w:r>
                </w:p>
              </w:tc>
              <w:tc>
                <w:tcPr>
                  <w:tcW w:w="3362" w:type="dxa"/>
                  <w:vAlign w:val="top"/>
                </w:tcPr>
                <w:p w14:paraId="35225B31">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累计已实际支付的合同价款</w:t>
                  </w:r>
                </w:p>
              </w:tc>
              <w:tc>
                <w:tcPr>
                  <w:tcW w:w="1605" w:type="dxa"/>
                  <w:vAlign w:val="top"/>
                </w:tcPr>
                <w:p w14:paraId="1EF2CB91">
                  <w:pPr>
                    <w:pStyle w:val="37"/>
                    <w:spacing w:line="280" w:lineRule="exact"/>
                    <w:rPr>
                      <w:rFonts w:hint="eastAsia" w:ascii="Times New Roman" w:hAnsi="Times New Roman"/>
                      <w:color w:val="auto"/>
                      <w:szCs w:val="21"/>
                      <w:highlight w:val="none"/>
                    </w:rPr>
                  </w:pPr>
                </w:p>
              </w:tc>
              <w:tc>
                <w:tcPr>
                  <w:tcW w:w="1605" w:type="dxa"/>
                  <w:vAlign w:val="top"/>
                </w:tcPr>
                <w:p w14:paraId="1C8E0303">
                  <w:pPr>
                    <w:pStyle w:val="37"/>
                    <w:spacing w:line="280" w:lineRule="exact"/>
                    <w:rPr>
                      <w:rFonts w:hint="eastAsia" w:ascii="Times New Roman" w:hAnsi="Times New Roman"/>
                      <w:color w:val="auto"/>
                      <w:szCs w:val="21"/>
                      <w:highlight w:val="none"/>
                    </w:rPr>
                  </w:pPr>
                </w:p>
              </w:tc>
              <w:tc>
                <w:tcPr>
                  <w:tcW w:w="1628" w:type="dxa"/>
                  <w:vAlign w:val="top"/>
                </w:tcPr>
                <w:p w14:paraId="5AEF4ED5">
                  <w:pPr>
                    <w:pStyle w:val="37"/>
                    <w:spacing w:line="280" w:lineRule="exact"/>
                    <w:rPr>
                      <w:rFonts w:hint="eastAsia" w:ascii="Times New Roman" w:hAnsi="Times New Roman"/>
                      <w:color w:val="auto"/>
                      <w:szCs w:val="21"/>
                      <w:highlight w:val="none"/>
                    </w:rPr>
                  </w:pPr>
                </w:p>
              </w:tc>
            </w:tr>
            <w:tr w14:paraId="3069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6D5D212E">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3</w:t>
                  </w:r>
                </w:p>
              </w:tc>
              <w:tc>
                <w:tcPr>
                  <w:tcW w:w="3362" w:type="dxa"/>
                  <w:vAlign w:val="top"/>
                </w:tcPr>
                <w:p w14:paraId="3810D515">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应预留的质量保证金</w:t>
                  </w:r>
                </w:p>
              </w:tc>
              <w:tc>
                <w:tcPr>
                  <w:tcW w:w="1605" w:type="dxa"/>
                  <w:vAlign w:val="top"/>
                </w:tcPr>
                <w:p w14:paraId="036CDFBD">
                  <w:pPr>
                    <w:pStyle w:val="37"/>
                    <w:spacing w:line="280" w:lineRule="exact"/>
                    <w:rPr>
                      <w:rFonts w:hint="eastAsia" w:ascii="Times New Roman" w:hAnsi="Times New Roman"/>
                      <w:color w:val="auto"/>
                      <w:szCs w:val="21"/>
                      <w:highlight w:val="none"/>
                    </w:rPr>
                  </w:pPr>
                </w:p>
              </w:tc>
              <w:tc>
                <w:tcPr>
                  <w:tcW w:w="1605" w:type="dxa"/>
                  <w:vAlign w:val="top"/>
                </w:tcPr>
                <w:p w14:paraId="41F2383E">
                  <w:pPr>
                    <w:pStyle w:val="37"/>
                    <w:spacing w:line="280" w:lineRule="exact"/>
                    <w:rPr>
                      <w:rFonts w:hint="eastAsia" w:ascii="Times New Roman" w:hAnsi="Times New Roman"/>
                      <w:color w:val="auto"/>
                      <w:szCs w:val="21"/>
                      <w:highlight w:val="none"/>
                    </w:rPr>
                  </w:pPr>
                </w:p>
              </w:tc>
              <w:tc>
                <w:tcPr>
                  <w:tcW w:w="1628" w:type="dxa"/>
                  <w:vAlign w:val="top"/>
                </w:tcPr>
                <w:p w14:paraId="3850017E">
                  <w:pPr>
                    <w:pStyle w:val="37"/>
                    <w:spacing w:line="280" w:lineRule="exact"/>
                    <w:rPr>
                      <w:rFonts w:hint="eastAsia" w:ascii="Times New Roman" w:hAnsi="Times New Roman"/>
                      <w:color w:val="auto"/>
                      <w:szCs w:val="21"/>
                      <w:highlight w:val="none"/>
                    </w:rPr>
                  </w:pPr>
                </w:p>
              </w:tc>
            </w:tr>
            <w:tr w14:paraId="3662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6866EBB8">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4</w:t>
                  </w:r>
                </w:p>
              </w:tc>
              <w:tc>
                <w:tcPr>
                  <w:tcW w:w="3362" w:type="dxa"/>
                  <w:vAlign w:val="top"/>
                </w:tcPr>
                <w:p w14:paraId="67F384E0">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应支付的竣工结算款金额</w:t>
                  </w:r>
                </w:p>
              </w:tc>
              <w:tc>
                <w:tcPr>
                  <w:tcW w:w="1605" w:type="dxa"/>
                  <w:vAlign w:val="top"/>
                </w:tcPr>
                <w:p w14:paraId="6C1EE6FC">
                  <w:pPr>
                    <w:pStyle w:val="37"/>
                    <w:spacing w:line="280" w:lineRule="exact"/>
                    <w:rPr>
                      <w:rFonts w:hint="eastAsia" w:ascii="Times New Roman" w:hAnsi="Times New Roman"/>
                      <w:color w:val="auto"/>
                      <w:szCs w:val="21"/>
                      <w:highlight w:val="none"/>
                    </w:rPr>
                  </w:pPr>
                </w:p>
              </w:tc>
              <w:tc>
                <w:tcPr>
                  <w:tcW w:w="1605" w:type="dxa"/>
                  <w:vAlign w:val="top"/>
                </w:tcPr>
                <w:p w14:paraId="5EAAC7BF">
                  <w:pPr>
                    <w:pStyle w:val="37"/>
                    <w:spacing w:line="280" w:lineRule="exact"/>
                    <w:rPr>
                      <w:rFonts w:hint="eastAsia" w:ascii="Times New Roman" w:hAnsi="Times New Roman"/>
                      <w:color w:val="auto"/>
                      <w:szCs w:val="21"/>
                      <w:highlight w:val="none"/>
                    </w:rPr>
                  </w:pPr>
                </w:p>
              </w:tc>
              <w:tc>
                <w:tcPr>
                  <w:tcW w:w="1628" w:type="dxa"/>
                  <w:vAlign w:val="top"/>
                </w:tcPr>
                <w:p w14:paraId="29A62E8F">
                  <w:pPr>
                    <w:pStyle w:val="37"/>
                    <w:spacing w:line="280" w:lineRule="exact"/>
                    <w:rPr>
                      <w:rFonts w:hint="eastAsia" w:ascii="Times New Roman" w:hAnsi="Times New Roman"/>
                      <w:color w:val="auto"/>
                      <w:szCs w:val="21"/>
                      <w:highlight w:val="none"/>
                    </w:rPr>
                  </w:pPr>
                </w:p>
              </w:tc>
            </w:tr>
            <w:tr w14:paraId="7EB7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6505E7A8">
                  <w:pPr>
                    <w:pStyle w:val="37"/>
                    <w:spacing w:line="280" w:lineRule="exact"/>
                    <w:jc w:val="center"/>
                    <w:rPr>
                      <w:rFonts w:hint="eastAsia" w:ascii="Times New Roman" w:hAnsi="Times New Roman"/>
                      <w:color w:val="auto"/>
                      <w:szCs w:val="21"/>
                      <w:highlight w:val="none"/>
                    </w:rPr>
                  </w:pPr>
                </w:p>
              </w:tc>
              <w:tc>
                <w:tcPr>
                  <w:tcW w:w="3362" w:type="dxa"/>
                  <w:vAlign w:val="top"/>
                </w:tcPr>
                <w:p w14:paraId="39E4862A">
                  <w:pPr>
                    <w:pStyle w:val="37"/>
                    <w:spacing w:line="280" w:lineRule="exact"/>
                    <w:rPr>
                      <w:rFonts w:hint="eastAsia" w:ascii="Times New Roman" w:hAnsi="Times New Roman"/>
                      <w:color w:val="auto"/>
                      <w:szCs w:val="21"/>
                      <w:highlight w:val="none"/>
                    </w:rPr>
                  </w:pPr>
                </w:p>
              </w:tc>
              <w:tc>
                <w:tcPr>
                  <w:tcW w:w="1605" w:type="dxa"/>
                  <w:vAlign w:val="top"/>
                </w:tcPr>
                <w:p w14:paraId="52168484">
                  <w:pPr>
                    <w:pStyle w:val="37"/>
                    <w:spacing w:line="280" w:lineRule="exact"/>
                    <w:rPr>
                      <w:rFonts w:hint="eastAsia" w:ascii="Times New Roman" w:hAnsi="Times New Roman"/>
                      <w:color w:val="auto"/>
                      <w:szCs w:val="21"/>
                      <w:highlight w:val="none"/>
                    </w:rPr>
                  </w:pPr>
                </w:p>
              </w:tc>
              <w:tc>
                <w:tcPr>
                  <w:tcW w:w="1605" w:type="dxa"/>
                  <w:vAlign w:val="top"/>
                </w:tcPr>
                <w:p w14:paraId="57A93E73">
                  <w:pPr>
                    <w:pStyle w:val="37"/>
                    <w:spacing w:line="280" w:lineRule="exact"/>
                    <w:rPr>
                      <w:rFonts w:hint="eastAsia" w:ascii="Times New Roman" w:hAnsi="Times New Roman"/>
                      <w:color w:val="auto"/>
                      <w:szCs w:val="21"/>
                      <w:highlight w:val="none"/>
                    </w:rPr>
                  </w:pPr>
                </w:p>
              </w:tc>
              <w:tc>
                <w:tcPr>
                  <w:tcW w:w="1628" w:type="dxa"/>
                  <w:vAlign w:val="top"/>
                </w:tcPr>
                <w:p w14:paraId="2E105B75">
                  <w:pPr>
                    <w:pStyle w:val="37"/>
                    <w:spacing w:line="280" w:lineRule="exact"/>
                    <w:rPr>
                      <w:rFonts w:hint="eastAsia" w:ascii="Times New Roman" w:hAnsi="Times New Roman"/>
                      <w:color w:val="auto"/>
                      <w:szCs w:val="21"/>
                      <w:highlight w:val="none"/>
                    </w:rPr>
                  </w:pPr>
                </w:p>
              </w:tc>
            </w:tr>
            <w:tr w14:paraId="0539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7E41FAFF">
                  <w:pPr>
                    <w:pStyle w:val="37"/>
                    <w:spacing w:line="280" w:lineRule="exact"/>
                    <w:jc w:val="center"/>
                    <w:rPr>
                      <w:rFonts w:hint="eastAsia" w:ascii="Times New Roman" w:hAnsi="Times New Roman"/>
                      <w:color w:val="auto"/>
                      <w:szCs w:val="21"/>
                      <w:highlight w:val="none"/>
                    </w:rPr>
                  </w:pPr>
                </w:p>
              </w:tc>
              <w:tc>
                <w:tcPr>
                  <w:tcW w:w="3362" w:type="dxa"/>
                  <w:vAlign w:val="top"/>
                </w:tcPr>
                <w:p w14:paraId="2D78A312">
                  <w:pPr>
                    <w:pStyle w:val="37"/>
                    <w:spacing w:line="280" w:lineRule="exact"/>
                    <w:rPr>
                      <w:rFonts w:hint="eastAsia" w:ascii="Times New Roman" w:hAnsi="Times New Roman"/>
                      <w:color w:val="auto"/>
                      <w:szCs w:val="21"/>
                      <w:highlight w:val="none"/>
                    </w:rPr>
                  </w:pPr>
                </w:p>
              </w:tc>
              <w:tc>
                <w:tcPr>
                  <w:tcW w:w="1605" w:type="dxa"/>
                  <w:vAlign w:val="top"/>
                </w:tcPr>
                <w:p w14:paraId="024BD405">
                  <w:pPr>
                    <w:pStyle w:val="37"/>
                    <w:spacing w:line="280" w:lineRule="exact"/>
                    <w:rPr>
                      <w:rFonts w:hint="eastAsia" w:ascii="Times New Roman" w:hAnsi="Times New Roman"/>
                      <w:color w:val="auto"/>
                      <w:szCs w:val="21"/>
                      <w:highlight w:val="none"/>
                    </w:rPr>
                  </w:pPr>
                </w:p>
              </w:tc>
              <w:tc>
                <w:tcPr>
                  <w:tcW w:w="1605" w:type="dxa"/>
                  <w:vAlign w:val="top"/>
                </w:tcPr>
                <w:p w14:paraId="58BF92FC">
                  <w:pPr>
                    <w:pStyle w:val="37"/>
                    <w:spacing w:line="280" w:lineRule="exact"/>
                    <w:rPr>
                      <w:rFonts w:hint="eastAsia" w:ascii="Times New Roman" w:hAnsi="Times New Roman"/>
                      <w:color w:val="auto"/>
                      <w:szCs w:val="21"/>
                      <w:highlight w:val="none"/>
                    </w:rPr>
                  </w:pPr>
                </w:p>
              </w:tc>
              <w:tc>
                <w:tcPr>
                  <w:tcW w:w="1628" w:type="dxa"/>
                  <w:vAlign w:val="top"/>
                </w:tcPr>
                <w:p w14:paraId="3896DF9E">
                  <w:pPr>
                    <w:pStyle w:val="37"/>
                    <w:spacing w:line="280" w:lineRule="exact"/>
                    <w:rPr>
                      <w:rFonts w:hint="eastAsia" w:ascii="Times New Roman" w:hAnsi="Times New Roman"/>
                      <w:color w:val="auto"/>
                      <w:szCs w:val="21"/>
                      <w:highlight w:val="none"/>
                    </w:rPr>
                  </w:pPr>
                </w:p>
              </w:tc>
            </w:tr>
            <w:tr w14:paraId="03E0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47B03AD6">
                  <w:pPr>
                    <w:pStyle w:val="37"/>
                    <w:spacing w:line="280" w:lineRule="exact"/>
                    <w:jc w:val="center"/>
                    <w:rPr>
                      <w:rFonts w:hint="eastAsia" w:ascii="Times New Roman" w:hAnsi="Times New Roman"/>
                      <w:color w:val="auto"/>
                      <w:szCs w:val="21"/>
                      <w:highlight w:val="none"/>
                    </w:rPr>
                  </w:pPr>
                </w:p>
              </w:tc>
              <w:tc>
                <w:tcPr>
                  <w:tcW w:w="3362" w:type="dxa"/>
                  <w:vAlign w:val="top"/>
                </w:tcPr>
                <w:p w14:paraId="5B13B0F4">
                  <w:pPr>
                    <w:pStyle w:val="37"/>
                    <w:spacing w:line="280" w:lineRule="exact"/>
                    <w:rPr>
                      <w:rFonts w:hint="eastAsia" w:ascii="Times New Roman" w:hAnsi="Times New Roman"/>
                      <w:color w:val="auto"/>
                      <w:szCs w:val="21"/>
                      <w:highlight w:val="none"/>
                    </w:rPr>
                  </w:pPr>
                </w:p>
              </w:tc>
              <w:tc>
                <w:tcPr>
                  <w:tcW w:w="1605" w:type="dxa"/>
                  <w:vAlign w:val="top"/>
                </w:tcPr>
                <w:p w14:paraId="500C637F">
                  <w:pPr>
                    <w:pStyle w:val="37"/>
                    <w:spacing w:line="280" w:lineRule="exact"/>
                    <w:rPr>
                      <w:rFonts w:hint="eastAsia" w:ascii="Times New Roman" w:hAnsi="Times New Roman"/>
                      <w:color w:val="auto"/>
                      <w:szCs w:val="21"/>
                      <w:highlight w:val="none"/>
                    </w:rPr>
                  </w:pPr>
                </w:p>
              </w:tc>
              <w:tc>
                <w:tcPr>
                  <w:tcW w:w="1605" w:type="dxa"/>
                  <w:vAlign w:val="top"/>
                </w:tcPr>
                <w:p w14:paraId="754A769A">
                  <w:pPr>
                    <w:pStyle w:val="37"/>
                    <w:spacing w:line="280" w:lineRule="exact"/>
                    <w:rPr>
                      <w:rFonts w:hint="eastAsia" w:ascii="Times New Roman" w:hAnsi="Times New Roman"/>
                      <w:color w:val="auto"/>
                      <w:szCs w:val="21"/>
                      <w:highlight w:val="none"/>
                    </w:rPr>
                  </w:pPr>
                </w:p>
              </w:tc>
              <w:tc>
                <w:tcPr>
                  <w:tcW w:w="1628" w:type="dxa"/>
                  <w:vAlign w:val="top"/>
                </w:tcPr>
                <w:p w14:paraId="332265DE">
                  <w:pPr>
                    <w:pStyle w:val="37"/>
                    <w:spacing w:line="280" w:lineRule="exact"/>
                    <w:rPr>
                      <w:rFonts w:hint="eastAsia" w:ascii="Times New Roman" w:hAnsi="Times New Roman"/>
                      <w:color w:val="auto"/>
                      <w:szCs w:val="21"/>
                      <w:highlight w:val="none"/>
                    </w:rPr>
                  </w:pPr>
                </w:p>
              </w:tc>
            </w:tr>
            <w:tr w14:paraId="122C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06837BE2">
                  <w:pPr>
                    <w:pStyle w:val="37"/>
                    <w:spacing w:line="280" w:lineRule="exact"/>
                    <w:jc w:val="center"/>
                    <w:rPr>
                      <w:rFonts w:hint="eastAsia" w:ascii="Times New Roman" w:hAnsi="Times New Roman"/>
                      <w:color w:val="auto"/>
                      <w:szCs w:val="21"/>
                      <w:highlight w:val="none"/>
                    </w:rPr>
                  </w:pPr>
                </w:p>
              </w:tc>
              <w:tc>
                <w:tcPr>
                  <w:tcW w:w="3362" w:type="dxa"/>
                  <w:vAlign w:val="top"/>
                </w:tcPr>
                <w:p w14:paraId="398B1D45">
                  <w:pPr>
                    <w:pStyle w:val="37"/>
                    <w:spacing w:line="280" w:lineRule="exact"/>
                    <w:rPr>
                      <w:rFonts w:hint="eastAsia" w:ascii="Times New Roman" w:hAnsi="Times New Roman"/>
                      <w:color w:val="auto"/>
                      <w:szCs w:val="21"/>
                      <w:highlight w:val="none"/>
                    </w:rPr>
                  </w:pPr>
                </w:p>
              </w:tc>
              <w:tc>
                <w:tcPr>
                  <w:tcW w:w="1605" w:type="dxa"/>
                  <w:vAlign w:val="top"/>
                </w:tcPr>
                <w:p w14:paraId="245197BC">
                  <w:pPr>
                    <w:pStyle w:val="37"/>
                    <w:spacing w:line="280" w:lineRule="exact"/>
                    <w:rPr>
                      <w:rFonts w:hint="eastAsia" w:ascii="Times New Roman" w:hAnsi="Times New Roman"/>
                      <w:color w:val="auto"/>
                      <w:szCs w:val="21"/>
                      <w:highlight w:val="none"/>
                    </w:rPr>
                  </w:pPr>
                </w:p>
              </w:tc>
              <w:tc>
                <w:tcPr>
                  <w:tcW w:w="1605" w:type="dxa"/>
                  <w:vAlign w:val="top"/>
                </w:tcPr>
                <w:p w14:paraId="7D0E8573">
                  <w:pPr>
                    <w:pStyle w:val="37"/>
                    <w:spacing w:line="280" w:lineRule="exact"/>
                    <w:rPr>
                      <w:rFonts w:hint="eastAsia" w:ascii="Times New Roman" w:hAnsi="Times New Roman"/>
                      <w:color w:val="auto"/>
                      <w:szCs w:val="21"/>
                      <w:highlight w:val="none"/>
                    </w:rPr>
                  </w:pPr>
                </w:p>
              </w:tc>
              <w:tc>
                <w:tcPr>
                  <w:tcW w:w="1628" w:type="dxa"/>
                  <w:vAlign w:val="top"/>
                </w:tcPr>
                <w:p w14:paraId="6211E4ED">
                  <w:pPr>
                    <w:pStyle w:val="37"/>
                    <w:spacing w:line="280" w:lineRule="exact"/>
                    <w:rPr>
                      <w:rFonts w:hint="eastAsia" w:ascii="Times New Roman" w:hAnsi="Times New Roman"/>
                      <w:color w:val="auto"/>
                      <w:szCs w:val="21"/>
                      <w:highlight w:val="none"/>
                    </w:rPr>
                  </w:pPr>
                </w:p>
              </w:tc>
            </w:tr>
            <w:tr w14:paraId="39C0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1E4E8FA4">
                  <w:pPr>
                    <w:pStyle w:val="37"/>
                    <w:spacing w:line="280" w:lineRule="exact"/>
                    <w:jc w:val="center"/>
                    <w:rPr>
                      <w:rFonts w:hint="eastAsia" w:ascii="Times New Roman" w:hAnsi="Times New Roman"/>
                      <w:color w:val="auto"/>
                      <w:szCs w:val="21"/>
                      <w:highlight w:val="none"/>
                    </w:rPr>
                  </w:pPr>
                </w:p>
              </w:tc>
              <w:tc>
                <w:tcPr>
                  <w:tcW w:w="3362" w:type="dxa"/>
                  <w:vAlign w:val="top"/>
                </w:tcPr>
                <w:p w14:paraId="42FC3E87">
                  <w:pPr>
                    <w:pStyle w:val="37"/>
                    <w:spacing w:line="280" w:lineRule="exact"/>
                    <w:rPr>
                      <w:rFonts w:hint="eastAsia" w:ascii="Times New Roman" w:hAnsi="Times New Roman"/>
                      <w:color w:val="auto"/>
                      <w:szCs w:val="21"/>
                      <w:highlight w:val="none"/>
                    </w:rPr>
                  </w:pPr>
                </w:p>
              </w:tc>
              <w:tc>
                <w:tcPr>
                  <w:tcW w:w="1605" w:type="dxa"/>
                  <w:vAlign w:val="top"/>
                </w:tcPr>
                <w:p w14:paraId="6DE40471">
                  <w:pPr>
                    <w:pStyle w:val="37"/>
                    <w:spacing w:line="280" w:lineRule="exact"/>
                    <w:rPr>
                      <w:rFonts w:hint="eastAsia" w:ascii="Times New Roman" w:hAnsi="Times New Roman"/>
                      <w:color w:val="auto"/>
                      <w:szCs w:val="21"/>
                      <w:highlight w:val="none"/>
                    </w:rPr>
                  </w:pPr>
                </w:p>
              </w:tc>
              <w:tc>
                <w:tcPr>
                  <w:tcW w:w="1605" w:type="dxa"/>
                  <w:vAlign w:val="top"/>
                </w:tcPr>
                <w:p w14:paraId="487635D6">
                  <w:pPr>
                    <w:pStyle w:val="37"/>
                    <w:spacing w:line="280" w:lineRule="exact"/>
                    <w:rPr>
                      <w:rFonts w:hint="eastAsia" w:ascii="Times New Roman" w:hAnsi="Times New Roman"/>
                      <w:color w:val="auto"/>
                      <w:szCs w:val="21"/>
                      <w:highlight w:val="none"/>
                    </w:rPr>
                  </w:pPr>
                </w:p>
              </w:tc>
              <w:tc>
                <w:tcPr>
                  <w:tcW w:w="1628" w:type="dxa"/>
                  <w:vAlign w:val="top"/>
                </w:tcPr>
                <w:p w14:paraId="170C6A61">
                  <w:pPr>
                    <w:pStyle w:val="37"/>
                    <w:spacing w:line="280" w:lineRule="exact"/>
                    <w:rPr>
                      <w:rFonts w:hint="eastAsia" w:ascii="Times New Roman" w:hAnsi="Times New Roman"/>
                      <w:color w:val="auto"/>
                      <w:szCs w:val="21"/>
                      <w:highlight w:val="none"/>
                    </w:rPr>
                  </w:pPr>
                </w:p>
              </w:tc>
            </w:tr>
          </w:tbl>
          <w:p w14:paraId="09460923">
            <w:pPr>
              <w:pStyle w:val="37"/>
              <w:spacing w:line="400" w:lineRule="exact"/>
              <w:ind w:right="420" w:firstLine="435"/>
              <w:jc w:val="center"/>
              <w:rPr>
                <w:rFonts w:hint="eastAsia" w:ascii="Times New Roman" w:hAnsi="Times New Roman"/>
                <w:color w:val="auto"/>
                <w:szCs w:val="21"/>
                <w:highlight w:val="none"/>
              </w:rPr>
            </w:pPr>
          </w:p>
          <w:p w14:paraId="264D2664">
            <w:pPr>
              <w:pStyle w:val="37"/>
              <w:spacing w:line="400" w:lineRule="exact"/>
              <w:ind w:right="420" w:firstLine="420" w:firstLineChars="200"/>
              <w:jc w:val="center"/>
              <w:rPr>
                <w:rFonts w:hint="eastAsia" w:ascii="Times New Roman" w:hAnsi="Times New Roman"/>
                <w:color w:val="auto"/>
                <w:szCs w:val="21"/>
                <w:highlight w:val="none"/>
              </w:rPr>
            </w:pPr>
            <w:r>
              <w:rPr>
                <w:rFonts w:hint="eastAsia" w:ascii="Times New Roman" w:hAnsi="Times New Roman"/>
                <w:color w:val="auto"/>
                <w:szCs w:val="21"/>
                <w:highlight w:val="none"/>
              </w:rPr>
              <w:t xml:space="preserve">                                            承包人（章）             </w:t>
            </w:r>
          </w:p>
          <w:p w14:paraId="2D40B098">
            <w:pPr>
              <w:pStyle w:val="37"/>
              <w:spacing w:line="400" w:lineRule="exact"/>
              <w:ind w:right="420"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造价人员</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承包人代表</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14:paraId="48D2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9072" w:type="dxa"/>
            <w:vAlign w:val="top"/>
          </w:tcPr>
          <w:p w14:paraId="0B9CF1BB">
            <w:pPr>
              <w:pStyle w:val="37"/>
              <w:spacing w:line="3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复核意见：</w:t>
            </w:r>
          </w:p>
          <w:p w14:paraId="14E7AB64">
            <w:pPr>
              <w:pStyle w:val="37"/>
              <w:spacing w:line="3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□与实际施工情况不相符，修改意见见附件。</w:t>
            </w:r>
          </w:p>
          <w:p w14:paraId="07FFDDA1">
            <w:pPr>
              <w:pStyle w:val="37"/>
              <w:spacing w:line="3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□与实际施工情况相符，具体金额由造价工程师复核。</w:t>
            </w:r>
          </w:p>
          <w:p w14:paraId="0985CF7A">
            <w:pPr>
              <w:pStyle w:val="37"/>
              <w:spacing w:line="360" w:lineRule="exact"/>
              <w:ind w:firstLine="435"/>
              <w:jc w:val="right"/>
              <w:rPr>
                <w:rFonts w:hint="eastAsia" w:ascii="Times New Roman" w:hAnsi="Times New Roman"/>
                <w:color w:val="auto"/>
                <w:szCs w:val="21"/>
                <w:highlight w:val="none"/>
              </w:rPr>
            </w:pPr>
          </w:p>
          <w:p w14:paraId="1E95F920">
            <w:pPr>
              <w:pStyle w:val="37"/>
              <w:spacing w:line="360" w:lineRule="exact"/>
              <w:ind w:firstLine="435"/>
              <w:jc w:val="right"/>
              <w:rPr>
                <w:rFonts w:hint="eastAsia" w:ascii="Times New Roman" w:hAnsi="Times New Roman"/>
                <w:color w:val="auto"/>
                <w:szCs w:val="21"/>
                <w:highlight w:val="none"/>
              </w:rPr>
            </w:pPr>
          </w:p>
          <w:p w14:paraId="0EFE013F">
            <w:pPr>
              <w:pStyle w:val="37"/>
              <w:spacing w:line="360" w:lineRule="exact"/>
              <w:ind w:firstLine="420" w:firstLineChars="200"/>
              <w:jc w:val="center"/>
              <w:rPr>
                <w:rFonts w:hint="eastAsia"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p>
          <w:p w14:paraId="234C4026">
            <w:pPr>
              <w:pStyle w:val="37"/>
              <w:spacing w:line="360" w:lineRule="exact"/>
              <w:ind w:firstLine="420" w:firstLineChars="200"/>
              <w:jc w:val="center"/>
              <w:rPr>
                <w:rFonts w:hint="eastAsia" w:ascii="Times New Roman" w:hAnsi="Times New Roman"/>
                <w:color w:val="auto"/>
                <w:szCs w:val="21"/>
                <w:highlight w:val="none"/>
                <w:u w:val="single"/>
              </w:rPr>
            </w:pPr>
            <w:r>
              <w:rPr>
                <w:rFonts w:hint="eastAsia" w:ascii="Times New Roman" w:hAnsi="Times New Roman"/>
                <w:color w:val="auto"/>
                <w:szCs w:val="21"/>
                <w:highlight w:val="none"/>
              </w:rPr>
              <w:t xml:space="preserve">      监理工程师</w:t>
            </w:r>
            <w:r>
              <w:rPr>
                <w:rFonts w:hint="eastAsia" w:ascii="Times New Roman" w:hAnsi="Times New Roman"/>
                <w:color w:val="auto"/>
                <w:szCs w:val="21"/>
                <w:highlight w:val="none"/>
                <w:u w:val="single"/>
              </w:rPr>
              <w:t xml:space="preserve">           </w:t>
            </w:r>
          </w:p>
          <w:p w14:paraId="310580C8">
            <w:pPr>
              <w:pStyle w:val="37"/>
              <w:spacing w:line="360" w:lineRule="exact"/>
              <w:ind w:firstLine="420" w:firstLineChars="200"/>
              <w:jc w:val="center"/>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w:t>
            </w:r>
            <w:r>
              <w:rPr>
                <w:rFonts w:hint="eastAsia" w:ascii="Times New Roman" w:hAnsi="Times New Roman"/>
                <w:color w:val="auto"/>
                <w:szCs w:val="21"/>
                <w:highlight w:val="none"/>
                <w:u w:val="single"/>
              </w:rPr>
              <w:t xml:space="preserve">           </w:t>
            </w:r>
          </w:p>
        </w:tc>
      </w:tr>
      <w:tr w14:paraId="2C2D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vAlign w:val="top"/>
          </w:tcPr>
          <w:p w14:paraId="4D3CCED4">
            <w:pPr>
              <w:pStyle w:val="37"/>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审核意见：</w:t>
            </w:r>
          </w:p>
          <w:p w14:paraId="426F915B">
            <w:pPr>
              <w:pStyle w:val="37"/>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□不同意。</w:t>
            </w:r>
          </w:p>
          <w:p w14:paraId="4C6D80CB">
            <w:pPr>
              <w:pStyle w:val="37"/>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□同意。</w:t>
            </w:r>
          </w:p>
          <w:p w14:paraId="01FD6F6C">
            <w:pPr>
              <w:pStyle w:val="37"/>
              <w:wordWrap w:val="0"/>
              <w:spacing w:line="400" w:lineRule="exact"/>
              <w:ind w:firstLine="420" w:firstLineChars="200"/>
              <w:jc w:val="right"/>
              <w:rPr>
                <w:rFonts w:hint="eastAsia" w:ascii="Times New Roman" w:hAnsi="Times New Roman"/>
                <w:color w:val="auto"/>
                <w:szCs w:val="21"/>
                <w:highlight w:val="none"/>
              </w:rPr>
            </w:pPr>
            <w:r>
              <w:rPr>
                <w:rFonts w:hint="eastAsia" w:ascii="Times New Roman" w:hAnsi="Times New Roman"/>
                <w:color w:val="auto"/>
                <w:szCs w:val="21"/>
                <w:highlight w:val="none"/>
              </w:rPr>
              <w:t xml:space="preserve">发包人（章）           </w:t>
            </w:r>
          </w:p>
          <w:p w14:paraId="49E311F7">
            <w:pPr>
              <w:pStyle w:val="37"/>
              <w:wordWrap w:val="0"/>
              <w:spacing w:line="400" w:lineRule="exact"/>
              <w:ind w:firstLine="420" w:firstLineChars="200"/>
              <w:jc w:val="right"/>
              <w:rPr>
                <w:rFonts w:hint="eastAsia" w:ascii="Times New Roman" w:hAnsi="Times New Roman"/>
                <w:color w:val="auto"/>
                <w:szCs w:val="21"/>
                <w:highlight w:val="none"/>
                <w:u w:val="single"/>
              </w:rPr>
            </w:pPr>
            <w:r>
              <w:rPr>
                <w:rFonts w:hint="eastAsia" w:ascii="Times New Roman" w:hAnsi="Times New Roman"/>
                <w:color w:val="auto"/>
                <w:szCs w:val="21"/>
                <w:highlight w:val="none"/>
              </w:rPr>
              <w:t>发包人代表</w:t>
            </w:r>
            <w:r>
              <w:rPr>
                <w:rFonts w:hint="eastAsia" w:ascii="Times New Roman" w:hAnsi="Times New Roman"/>
                <w:color w:val="auto"/>
                <w:szCs w:val="21"/>
                <w:highlight w:val="none"/>
                <w:u w:val="single"/>
              </w:rPr>
              <w:t xml:space="preserve">             </w:t>
            </w:r>
          </w:p>
          <w:p w14:paraId="17B008DF">
            <w:pPr>
              <w:pStyle w:val="37"/>
              <w:wordWrap w:val="0"/>
              <w:spacing w:line="400" w:lineRule="exact"/>
              <w:ind w:firstLine="420" w:firstLineChars="200"/>
              <w:jc w:val="right"/>
              <w:rPr>
                <w:rFonts w:hint="eastAsia" w:ascii="Times New Roman" w:hAnsi="Times New Roman"/>
                <w:color w:val="auto"/>
                <w:szCs w:val="21"/>
                <w:highlight w:val="none"/>
                <w:u w:val="single"/>
              </w:rPr>
            </w:pP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bl>
    <w:p w14:paraId="266CE793">
      <w:pPr>
        <w:pStyle w:val="37"/>
        <w:spacing w:before="156" w:beforeLines="50"/>
        <w:ind w:firstLine="360" w:firstLineChars="200"/>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 xml:space="preserve">注：1.在选择栏中的“□”内作标识“√”。 </w:t>
      </w:r>
    </w:p>
    <w:p w14:paraId="7BA47DC4">
      <w:pPr>
        <w:pStyle w:val="37"/>
        <w:spacing w:before="156" w:beforeLines="50"/>
        <w:ind w:firstLine="720" w:firstLineChars="400"/>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2.本表一式</w:t>
      </w:r>
      <w:r>
        <w:rPr>
          <w:rFonts w:hint="eastAsia" w:ascii="Times New Roman" w:hAnsi="Times New Roman"/>
          <w:color w:val="auto"/>
          <w:sz w:val="18"/>
          <w:szCs w:val="18"/>
          <w:highlight w:val="none"/>
          <w:lang w:val="en-US" w:eastAsia="zh-CN"/>
        </w:rPr>
        <w:t>叁</w:t>
      </w:r>
      <w:r>
        <w:rPr>
          <w:rFonts w:hint="eastAsia" w:ascii="Times New Roman" w:hAnsi="Times New Roman"/>
          <w:color w:val="auto"/>
          <w:sz w:val="18"/>
          <w:szCs w:val="18"/>
          <w:highlight w:val="none"/>
        </w:rPr>
        <w:t>份，由承包人填报，发包人、监理人、承包人各存一份。</w:t>
      </w:r>
    </w:p>
    <w:p w14:paraId="0466859E">
      <w:pPr>
        <w:pStyle w:val="37"/>
        <w:ind w:right="360" w:firstLine="360" w:firstLineChars="200"/>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 xml:space="preserve">                                                                                            </w:t>
      </w:r>
    </w:p>
    <w:p w14:paraId="78FF4AA8">
      <w:pPr>
        <w:pStyle w:val="37"/>
        <w:ind w:firstLine="600" w:firstLineChars="200"/>
        <w:jc w:val="left"/>
        <w:rPr>
          <w:rFonts w:hint="eastAsia" w:ascii="Times New Roman" w:hAnsi="Times New Roman"/>
          <w:b/>
          <w:color w:val="auto"/>
          <w:sz w:val="30"/>
          <w:szCs w:val="30"/>
          <w:highlight w:val="none"/>
        </w:rPr>
      </w:pPr>
      <w:r>
        <w:rPr>
          <w:rFonts w:hint="eastAsia" w:ascii="Times New Roman" w:hAnsi="宋体" w:cs="宋体"/>
          <w:color w:val="auto"/>
          <w:sz w:val="30"/>
          <w:szCs w:val="30"/>
          <w:highlight w:val="none"/>
        </w:rPr>
        <w:t>附件13：</w:t>
      </w:r>
    </w:p>
    <w:p w14:paraId="294FED70">
      <w:pPr>
        <w:pStyle w:val="37"/>
        <w:ind w:firstLine="723" w:firstLineChars="200"/>
        <w:jc w:val="center"/>
        <w:rPr>
          <w:rFonts w:hint="eastAsia" w:ascii="Times New Roman" w:hAnsi="Times New Roman"/>
          <w:b/>
          <w:color w:val="auto"/>
          <w:sz w:val="36"/>
          <w:szCs w:val="36"/>
          <w:highlight w:val="none"/>
        </w:rPr>
      </w:pPr>
      <w:r>
        <w:rPr>
          <w:rFonts w:hint="eastAsia" w:ascii="Times New Roman" w:hAnsi="Times New Roman"/>
          <w:b/>
          <w:color w:val="auto"/>
          <w:sz w:val="36"/>
          <w:szCs w:val="36"/>
          <w:highlight w:val="none"/>
        </w:rPr>
        <w:t>最终结算款支付申请（核准）表</w:t>
      </w:r>
    </w:p>
    <w:p w14:paraId="3273D943">
      <w:pPr>
        <w:pStyle w:val="37"/>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工程名称：                                             编号：</w:t>
      </w:r>
    </w:p>
    <w:tbl>
      <w:tblPr>
        <w:tblStyle w:val="2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E3F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vAlign w:val="top"/>
          </w:tcPr>
          <w:p w14:paraId="4D4179B1">
            <w:pPr>
              <w:pStyle w:val="37"/>
              <w:spacing w:line="480" w:lineRule="exact"/>
              <w:ind w:left="313" w:leftChars="149" w:firstLine="420" w:firstLineChars="200"/>
              <w:rPr>
                <w:rFonts w:hint="eastAsia" w:ascii="Times New Roman" w:hAnsi="Times New Roman"/>
                <w:color w:val="auto"/>
                <w:szCs w:val="21"/>
                <w:highlight w:val="none"/>
                <w:u w:val="single"/>
              </w:rPr>
            </w:pPr>
            <w:r>
              <w:rPr>
                <w:rFonts w:hint="eastAsia" w:ascii="Times New Roman" w:hAnsi="Times New Roman"/>
                <w:color w:val="auto"/>
                <w:szCs w:val="21"/>
                <w:highlight w:val="none"/>
              </w:rPr>
              <w:t>致：</w:t>
            </w:r>
            <w:r>
              <w:rPr>
                <w:rFonts w:hint="eastAsia" w:ascii="Times New Roman" w:hAnsi="Times New Roman"/>
                <w:color w:val="auto"/>
                <w:szCs w:val="21"/>
                <w:highlight w:val="none"/>
                <w:u w:val="single"/>
              </w:rPr>
              <w:t xml:space="preserve">                                   （发包人全称）</w:t>
            </w:r>
          </w:p>
          <w:p w14:paraId="3553C102">
            <w:pPr>
              <w:pStyle w:val="37"/>
              <w:spacing w:line="400" w:lineRule="exact"/>
              <w:ind w:left="-4" w:leftChars="-2"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我方于</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至</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期间已完成了缺陷修复工作，根据施工合同的约定，现申请支付最终结清合同款额为</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大写</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小写</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元，请予核准。</w:t>
            </w:r>
          </w:p>
          <w:tbl>
            <w:tblPr>
              <w:tblStyle w:val="22"/>
              <w:tblpPr w:leftFromText="180" w:rightFromText="180" w:vertAnchor="page" w:horzAnchor="margin" w:tblpY="1309"/>
              <w:tblOverlap w:val="never"/>
              <w:tblW w:w="8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3364"/>
              <w:gridCol w:w="1605"/>
              <w:gridCol w:w="1605"/>
              <w:gridCol w:w="1627"/>
            </w:tblGrid>
            <w:tr w14:paraId="1C58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2" w:type="dxa"/>
                  <w:vAlign w:val="center"/>
                </w:tcPr>
                <w:p w14:paraId="48398C92">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3364" w:type="dxa"/>
                  <w:vAlign w:val="center"/>
                </w:tcPr>
                <w:p w14:paraId="3C1D2271">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名      称</w:t>
                  </w:r>
                </w:p>
              </w:tc>
              <w:tc>
                <w:tcPr>
                  <w:tcW w:w="1605" w:type="dxa"/>
                  <w:vAlign w:val="center"/>
                </w:tcPr>
                <w:p w14:paraId="05D4A14B">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申请金额（元）</w:t>
                  </w:r>
                </w:p>
              </w:tc>
              <w:tc>
                <w:tcPr>
                  <w:tcW w:w="1605" w:type="dxa"/>
                  <w:vAlign w:val="center"/>
                </w:tcPr>
                <w:p w14:paraId="2B1D8705">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复核金额（元）</w:t>
                  </w:r>
                </w:p>
              </w:tc>
              <w:tc>
                <w:tcPr>
                  <w:tcW w:w="1627" w:type="dxa"/>
                  <w:vAlign w:val="center"/>
                </w:tcPr>
                <w:p w14:paraId="5A64EF6F">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备注</w:t>
                  </w:r>
                </w:p>
              </w:tc>
            </w:tr>
            <w:tr w14:paraId="75CF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085EC0DA">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p>
              </w:tc>
              <w:tc>
                <w:tcPr>
                  <w:tcW w:w="3364" w:type="dxa"/>
                  <w:vAlign w:val="top"/>
                </w:tcPr>
                <w:p w14:paraId="73B31A14">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已预留的质量保证金</w:t>
                  </w:r>
                </w:p>
              </w:tc>
              <w:tc>
                <w:tcPr>
                  <w:tcW w:w="1605" w:type="dxa"/>
                  <w:vAlign w:val="top"/>
                </w:tcPr>
                <w:p w14:paraId="19F7AB7B">
                  <w:pPr>
                    <w:pStyle w:val="37"/>
                    <w:spacing w:line="280" w:lineRule="exact"/>
                    <w:rPr>
                      <w:rFonts w:hint="eastAsia" w:ascii="Times New Roman" w:hAnsi="Times New Roman"/>
                      <w:color w:val="auto"/>
                      <w:szCs w:val="21"/>
                      <w:highlight w:val="none"/>
                    </w:rPr>
                  </w:pPr>
                </w:p>
              </w:tc>
              <w:tc>
                <w:tcPr>
                  <w:tcW w:w="1605" w:type="dxa"/>
                  <w:vAlign w:val="top"/>
                </w:tcPr>
                <w:p w14:paraId="50A06A58">
                  <w:pPr>
                    <w:pStyle w:val="37"/>
                    <w:spacing w:line="280" w:lineRule="exact"/>
                    <w:rPr>
                      <w:rFonts w:hint="eastAsia" w:ascii="Times New Roman" w:hAnsi="Times New Roman"/>
                      <w:color w:val="auto"/>
                      <w:szCs w:val="21"/>
                      <w:highlight w:val="none"/>
                    </w:rPr>
                  </w:pPr>
                </w:p>
              </w:tc>
              <w:tc>
                <w:tcPr>
                  <w:tcW w:w="1627" w:type="dxa"/>
                  <w:vAlign w:val="top"/>
                </w:tcPr>
                <w:p w14:paraId="06D9625E">
                  <w:pPr>
                    <w:pStyle w:val="37"/>
                    <w:spacing w:line="280" w:lineRule="exact"/>
                    <w:rPr>
                      <w:rFonts w:hint="eastAsia" w:ascii="Times New Roman" w:hAnsi="Times New Roman"/>
                      <w:color w:val="auto"/>
                      <w:szCs w:val="21"/>
                      <w:highlight w:val="none"/>
                    </w:rPr>
                  </w:pPr>
                </w:p>
              </w:tc>
            </w:tr>
            <w:tr w14:paraId="4156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77DE7026">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2</w:t>
                  </w:r>
                </w:p>
              </w:tc>
              <w:tc>
                <w:tcPr>
                  <w:tcW w:w="3364" w:type="dxa"/>
                  <w:vAlign w:val="top"/>
                </w:tcPr>
                <w:p w14:paraId="4F8CB694">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应增加因发包人原因造成缺陷的修复金额</w:t>
                  </w:r>
                </w:p>
              </w:tc>
              <w:tc>
                <w:tcPr>
                  <w:tcW w:w="1605" w:type="dxa"/>
                  <w:vAlign w:val="top"/>
                </w:tcPr>
                <w:p w14:paraId="780CD7CF">
                  <w:pPr>
                    <w:pStyle w:val="37"/>
                    <w:spacing w:line="280" w:lineRule="exact"/>
                    <w:rPr>
                      <w:rFonts w:hint="eastAsia" w:ascii="Times New Roman" w:hAnsi="Times New Roman"/>
                      <w:color w:val="auto"/>
                      <w:szCs w:val="21"/>
                      <w:highlight w:val="none"/>
                    </w:rPr>
                  </w:pPr>
                </w:p>
              </w:tc>
              <w:tc>
                <w:tcPr>
                  <w:tcW w:w="1605" w:type="dxa"/>
                  <w:vAlign w:val="top"/>
                </w:tcPr>
                <w:p w14:paraId="3E0542D6">
                  <w:pPr>
                    <w:pStyle w:val="37"/>
                    <w:spacing w:line="280" w:lineRule="exact"/>
                    <w:rPr>
                      <w:rFonts w:hint="eastAsia" w:ascii="Times New Roman" w:hAnsi="Times New Roman"/>
                      <w:color w:val="auto"/>
                      <w:szCs w:val="21"/>
                      <w:highlight w:val="none"/>
                    </w:rPr>
                  </w:pPr>
                </w:p>
              </w:tc>
              <w:tc>
                <w:tcPr>
                  <w:tcW w:w="1627" w:type="dxa"/>
                  <w:vAlign w:val="top"/>
                </w:tcPr>
                <w:p w14:paraId="0A8DFA17">
                  <w:pPr>
                    <w:pStyle w:val="37"/>
                    <w:spacing w:line="280" w:lineRule="exact"/>
                    <w:rPr>
                      <w:rFonts w:hint="eastAsia" w:ascii="Times New Roman" w:hAnsi="Times New Roman"/>
                      <w:color w:val="auto"/>
                      <w:szCs w:val="21"/>
                      <w:highlight w:val="none"/>
                    </w:rPr>
                  </w:pPr>
                </w:p>
              </w:tc>
            </w:tr>
            <w:tr w14:paraId="516C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1E10B930">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3</w:t>
                  </w:r>
                </w:p>
              </w:tc>
              <w:tc>
                <w:tcPr>
                  <w:tcW w:w="3364" w:type="dxa"/>
                  <w:vAlign w:val="top"/>
                </w:tcPr>
                <w:p w14:paraId="199118B1">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应扣减承包人不修复缺陷、发包人组织修复的金额</w:t>
                  </w:r>
                </w:p>
              </w:tc>
              <w:tc>
                <w:tcPr>
                  <w:tcW w:w="1605" w:type="dxa"/>
                  <w:vAlign w:val="top"/>
                </w:tcPr>
                <w:p w14:paraId="2AF1E627">
                  <w:pPr>
                    <w:pStyle w:val="37"/>
                    <w:spacing w:line="280" w:lineRule="exact"/>
                    <w:rPr>
                      <w:rFonts w:hint="eastAsia" w:ascii="Times New Roman" w:hAnsi="Times New Roman"/>
                      <w:color w:val="auto"/>
                      <w:szCs w:val="21"/>
                      <w:highlight w:val="none"/>
                    </w:rPr>
                  </w:pPr>
                </w:p>
              </w:tc>
              <w:tc>
                <w:tcPr>
                  <w:tcW w:w="1605" w:type="dxa"/>
                  <w:vAlign w:val="top"/>
                </w:tcPr>
                <w:p w14:paraId="1CC31C17">
                  <w:pPr>
                    <w:pStyle w:val="37"/>
                    <w:spacing w:line="280" w:lineRule="exact"/>
                    <w:rPr>
                      <w:rFonts w:hint="eastAsia" w:ascii="Times New Roman" w:hAnsi="Times New Roman"/>
                      <w:color w:val="auto"/>
                      <w:szCs w:val="21"/>
                      <w:highlight w:val="none"/>
                    </w:rPr>
                  </w:pPr>
                </w:p>
              </w:tc>
              <w:tc>
                <w:tcPr>
                  <w:tcW w:w="1627" w:type="dxa"/>
                  <w:vAlign w:val="top"/>
                </w:tcPr>
                <w:p w14:paraId="05809B3D">
                  <w:pPr>
                    <w:pStyle w:val="37"/>
                    <w:spacing w:line="280" w:lineRule="exact"/>
                    <w:rPr>
                      <w:rFonts w:hint="eastAsia" w:ascii="Times New Roman" w:hAnsi="Times New Roman"/>
                      <w:color w:val="auto"/>
                      <w:szCs w:val="21"/>
                      <w:highlight w:val="none"/>
                    </w:rPr>
                  </w:pPr>
                </w:p>
              </w:tc>
            </w:tr>
            <w:tr w14:paraId="5919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092B2CB3">
                  <w:pPr>
                    <w:pStyle w:val="37"/>
                    <w:spacing w:line="28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4</w:t>
                  </w:r>
                </w:p>
              </w:tc>
              <w:tc>
                <w:tcPr>
                  <w:tcW w:w="3364" w:type="dxa"/>
                  <w:vAlign w:val="top"/>
                </w:tcPr>
                <w:p w14:paraId="6DE05A89">
                  <w:pPr>
                    <w:pStyle w:val="37"/>
                    <w:spacing w:line="280" w:lineRule="exact"/>
                    <w:rPr>
                      <w:rFonts w:hint="eastAsia" w:ascii="Times New Roman" w:hAnsi="Times New Roman"/>
                      <w:color w:val="auto"/>
                      <w:szCs w:val="21"/>
                      <w:highlight w:val="none"/>
                    </w:rPr>
                  </w:pPr>
                  <w:r>
                    <w:rPr>
                      <w:rFonts w:hint="eastAsia" w:ascii="Times New Roman" w:hAnsi="Times New Roman"/>
                      <w:color w:val="auto"/>
                      <w:szCs w:val="21"/>
                      <w:highlight w:val="none"/>
                    </w:rPr>
                    <w:t>最终应支付的合同价款</w:t>
                  </w:r>
                </w:p>
              </w:tc>
              <w:tc>
                <w:tcPr>
                  <w:tcW w:w="1605" w:type="dxa"/>
                  <w:vAlign w:val="top"/>
                </w:tcPr>
                <w:p w14:paraId="679E3E40">
                  <w:pPr>
                    <w:pStyle w:val="37"/>
                    <w:spacing w:line="280" w:lineRule="exact"/>
                    <w:rPr>
                      <w:rFonts w:hint="eastAsia" w:ascii="Times New Roman" w:hAnsi="Times New Roman"/>
                      <w:color w:val="auto"/>
                      <w:szCs w:val="21"/>
                      <w:highlight w:val="none"/>
                    </w:rPr>
                  </w:pPr>
                </w:p>
              </w:tc>
              <w:tc>
                <w:tcPr>
                  <w:tcW w:w="1605" w:type="dxa"/>
                  <w:vAlign w:val="top"/>
                </w:tcPr>
                <w:p w14:paraId="1C36F74D">
                  <w:pPr>
                    <w:pStyle w:val="37"/>
                    <w:spacing w:line="280" w:lineRule="exact"/>
                    <w:rPr>
                      <w:rFonts w:hint="eastAsia" w:ascii="Times New Roman" w:hAnsi="Times New Roman"/>
                      <w:color w:val="auto"/>
                      <w:szCs w:val="21"/>
                      <w:highlight w:val="none"/>
                    </w:rPr>
                  </w:pPr>
                </w:p>
              </w:tc>
              <w:tc>
                <w:tcPr>
                  <w:tcW w:w="1627" w:type="dxa"/>
                  <w:vAlign w:val="top"/>
                </w:tcPr>
                <w:p w14:paraId="04FBD880">
                  <w:pPr>
                    <w:pStyle w:val="37"/>
                    <w:spacing w:line="280" w:lineRule="exact"/>
                    <w:rPr>
                      <w:rFonts w:hint="eastAsia" w:ascii="Times New Roman" w:hAnsi="Times New Roman"/>
                      <w:color w:val="auto"/>
                      <w:szCs w:val="21"/>
                      <w:highlight w:val="none"/>
                    </w:rPr>
                  </w:pPr>
                </w:p>
              </w:tc>
            </w:tr>
            <w:tr w14:paraId="4BA8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16607354">
                  <w:pPr>
                    <w:pStyle w:val="37"/>
                    <w:spacing w:line="280" w:lineRule="exact"/>
                    <w:jc w:val="center"/>
                    <w:rPr>
                      <w:rFonts w:hint="eastAsia" w:ascii="Times New Roman" w:hAnsi="Times New Roman"/>
                      <w:color w:val="auto"/>
                      <w:szCs w:val="21"/>
                      <w:highlight w:val="none"/>
                    </w:rPr>
                  </w:pPr>
                </w:p>
              </w:tc>
              <w:tc>
                <w:tcPr>
                  <w:tcW w:w="3364" w:type="dxa"/>
                  <w:vAlign w:val="top"/>
                </w:tcPr>
                <w:p w14:paraId="4E64F83D">
                  <w:pPr>
                    <w:pStyle w:val="37"/>
                    <w:spacing w:line="280" w:lineRule="exact"/>
                    <w:rPr>
                      <w:rFonts w:hint="eastAsia" w:ascii="Times New Roman" w:hAnsi="Times New Roman"/>
                      <w:color w:val="auto"/>
                      <w:szCs w:val="21"/>
                      <w:highlight w:val="none"/>
                    </w:rPr>
                  </w:pPr>
                </w:p>
              </w:tc>
              <w:tc>
                <w:tcPr>
                  <w:tcW w:w="1605" w:type="dxa"/>
                  <w:vAlign w:val="top"/>
                </w:tcPr>
                <w:p w14:paraId="148FCE94">
                  <w:pPr>
                    <w:pStyle w:val="37"/>
                    <w:spacing w:line="280" w:lineRule="exact"/>
                    <w:rPr>
                      <w:rFonts w:hint="eastAsia" w:ascii="Times New Roman" w:hAnsi="Times New Roman"/>
                      <w:color w:val="auto"/>
                      <w:szCs w:val="21"/>
                      <w:highlight w:val="none"/>
                    </w:rPr>
                  </w:pPr>
                </w:p>
              </w:tc>
              <w:tc>
                <w:tcPr>
                  <w:tcW w:w="1605" w:type="dxa"/>
                  <w:vAlign w:val="top"/>
                </w:tcPr>
                <w:p w14:paraId="0A205DE3">
                  <w:pPr>
                    <w:pStyle w:val="37"/>
                    <w:spacing w:line="280" w:lineRule="exact"/>
                    <w:rPr>
                      <w:rFonts w:hint="eastAsia" w:ascii="Times New Roman" w:hAnsi="Times New Roman"/>
                      <w:color w:val="auto"/>
                      <w:szCs w:val="21"/>
                      <w:highlight w:val="none"/>
                    </w:rPr>
                  </w:pPr>
                </w:p>
              </w:tc>
              <w:tc>
                <w:tcPr>
                  <w:tcW w:w="1627" w:type="dxa"/>
                  <w:vAlign w:val="top"/>
                </w:tcPr>
                <w:p w14:paraId="04CDF6BC">
                  <w:pPr>
                    <w:pStyle w:val="37"/>
                    <w:spacing w:line="280" w:lineRule="exact"/>
                    <w:rPr>
                      <w:rFonts w:hint="eastAsia" w:ascii="Times New Roman" w:hAnsi="Times New Roman"/>
                      <w:color w:val="auto"/>
                      <w:szCs w:val="21"/>
                      <w:highlight w:val="none"/>
                    </w:rPr>
                  </w:pPr>
                </w:p>
              </w:tc>
            </w:tr>
            <w:tr w14:paraId="35DB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25201679">
                  <w:pPr>
                    <w:pStyle w:val="37"/>
                    <w:spacing w:line="280" w:lineRule="exact"/>
                    <w:jc w:val="center"/>
                    <w:rPr>
                      <w:rFonts w:hint="eastAsia" w:ascii="Times New Roman" w:hAnsi="Times New Roman"/>
                      <w:color w:val="auto"/>
                      <w:szCs w:val="21"/>
                      <w:highlight w:val="none"/>
                    </w:rPr>
                  </w:pPr>
                </w:p>
              </w:tc>
              <w:tc>
                <w:tcPr>
                  <w:tcW w:w="3364" w:type="dxa"/>
                  <w:vAlign w:val="top"/>
                </w:tcPr>
                <w:p w14:paraId="2448AC15">
                  <w:pPr>
                    <w:pStyle w:val="37"/>
                    <w:spacing w:line="280" w:lineRule="exact"/>
                    <w:rPr>
                      <w:rFonts w:hint="eastAsia" w:ascii="Times New Roman" w:hAnsi="Times New Roman"/>
                      <w:color w:val="auto"/>
                      <w:szCs w:val="21"/>
                      <w:highlight w:val="none"/>
                    </w:rPr>
                  </w:pPr>
                </w:p>
              </w:tc>
              <w:tc>
                <w:tcPr>
                  <w:tcW w:w="1605" w:type="dxa"/>
                  <w:vAlign w:val="top"/>
                </w:tcPr>
                <w:p w14:paraId="78FC6B62">
                  <w:pPr>
                    <w:pStyle w:val="37"/>
                    <w:spacing w:line="280" w:lineRule="exact"/>
                    <w:rPr>
                      <w:rFonts w:hint="eastAsia" w:ascii="Times New Roman" w:hAnsi="Times New Roman"/>
                      <w:color w:val="auto"/>
                      <w:szCs w:val="21"/>
                      <w:highlight w:val="none"/>
                    </w:rPr>
                  </w:pPr>
                </w:p>
              </w:tc>
              <w:tc>
                <w:tcPr>
                  <w:tcW w:w="1605" w:type="dxa"/>
                  <w:vAlign w:val="top"/>
                </w:tcPr>
                <w:p w14:paraId="02295262">
                  <w:pPr>
                    <w:pStyle w:val="37"/>
                    <w:spacing w:line="280" w:lineRule="exact"/>
                    <w:rPr>
                      <w:rFonts w:hint="eastAsia" w:ascii="Times New Roman" w:hAnsi="Times New Roman"/>
                      <w:color w:val="auto"/>
                      <w:szCs w:val="21"/>
                      <w:highlight w:val="none"/>
                    </w:rPr>
                  </w:pPr>
                </w:p>
              </w:tc>
              <w:tc>
                <w:tcPr>
                  <w:tcW w:w="1627" w:type="dxa"/>
                  <w:vAlign w:val="top"/>
                </w:tcPr>
                <w:p w14:paraId="70B7BE1C">
                  <w:pPr>
                    <w:pStyle w:val="37"/>
                    <w:spacing w:line="280" w:lineRule="exact"/>
                    <w:rPr>
                      <w:rFonts w:hint="eastAsia" w:ascii="Times New Roman" w:hAnsi="Times New Roman"/>
                      <w:color w:val="auto"/>
                      <w:szCs w:val="21"/>
                      <w:highlight w:val="none"/>
                    </w:rPr>
                  </w:pPr>
                </w:p>
              </w:tc>
            </w:tr>
            <w:tr w14:paraId="2B23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642F7F66">
                  <w:pPr>
                    <w:pStyle w:val="37"/>
                    <w:spacing w:line="280" w:lineRule="exact"/>
                    <w:jc w:val="center"/>
                    <w:rPr>
                      <w:rFonts w:hint="eastAsia" w:ascii="Times New Roman" w:hAnsi="Times New Roman"/>
                      <w:color w:val="auto"/>
                      <w:szCs w:val="21"/>
                      <w:highlight w:val="none"/>
                    </w:rPr>
                  </w:pPr>
                </w:p>
              </w:tc>
              <w:tc>
                <w:tcPr>
                  <w:tcW w:w="3364" w:type="dxa"/>
                  <w:vAlign w:val="top"/>
                </w:tcPr>
                <w:p w14:paraId="396399B1">
                  <w:pPr>
                    <w:pStyle w:val="37"/>
                    <w:spacing w:line="280" w:lineRule="exact"/>
                    <w:rPr>
                      <w:rFonts w:hint="eastAsia" w:ascii="Times New Roman" w:hAnsi="Times New Roman"/>
                      <w:color w:val="auto"/>
                      <w:szCs w:val="21"/>
                      <w:highlight w:val="none"/>
                    </w:rPr>
                  </w:pPr>
                </w:p>
              </w:tc>
              <w:tc>
                <w:tcPr>
                  <w:tcW w:w="1605" w:type="dxa"/>
                  <w:vAlign w:val="top"/>
                </w:tcPr>
                <w:p w14:paraId="1A2E8BB9">
                  <w:pPr>
                    <w:pStyle w:val="37"/>
                    <w:spacing w:line="280" w:lineRule="exact"/>
                    <w:rPr>
                      <w:rFonts w:hint="eastAsia" w:ascii="Times New Roman" w:hAnsi="Times New Roman"/>
                      <w:color w:val="auto"/>
                      <w:szCs w:val="21"/>
                      <w:highlight w:val="none"/>
                    </w:rPr>
                  </w:pPr>
                </w:p>
              </w:tc>
              <w:tc>
                <w:tcPr>
                  <w:tcW w:w="1605" w:type="dxa"/>
                  <w:vAlign w:val="top"/>
                </w:tcPr>
                <w:p w14:paraId="15E98B5F">
                  <w:pPr>
                    <w:pStyle w:val="37"/>
                    <w:spacing w:line="280" w:lineRule="exact"/>
                    <w:rPr>
                      <w:rFonts w:hint="eastAsia" w:ascii="Times New Roman" w:hAnsi="Times New Roman"/>
                      <w:color w:val="auto"/>
                      <w:szCs w:val="21"/>
                      <w:highlight w:val="none"/>
                    </w:rPr>
                  </w:pPr>
                </w:p>
              </w:tc>
              <w:tc>
                <w:tcPr>
                  <w:tcW w:w="1627" w:type="dxa"/>
                  <w:vAlign w:val="top"/>
                </w:tcPr>
                <w:p w14:paraId="6D46E6AD">
                  <w:pPr>
                    <w:pStyle w:val="37"/>
                    <w:spacing w:line="280" w:lineRule="exact"/>
                    <w:rPr>
                      <w:rFonts w:hint="eastAsia" w:ascii="Times New Roman" w:hAnsi="Times New Roman"/>
                      <w:color w:val="auto"/>
                      <w:szCs w:val="21"/>
                      <w:highlight w:val="none"/>
                    </w:rPr>
                  </w:pPr>
                </w:p>
              </w:tc>
            </w:tr>
            <w:tr w14:paraId="5FDA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2E9D7A6C">
                  <w:pPr>
                    <w:pStyle w:val="37"/>
                    <w:spacing w:line="280" w:lineRule="exact"/>
                    <w:jc w:val="center"/>
                    <w:rPr>
                      <w:rFonts w:hint="eastAsia" w:ascii="Times New Roman" w:hAnsi="Times New Roman"/>
                      <w:color w:val="auto"/>
                      <w:szCs w:val="21"/>
                      <w:highlight w:val="none"/>
                    </w:rPr>
                  </w:pPr>
                </w:p>
              </w:tc>
              <w:tc>
                <w:tcPr>
                  <w:tcW w:w="3364" w:type="dxa"/>
                  <w:vAlign w:val="top"/>
                </w:tcPr>
                <w:p w14:paraId="5D571046">
                  <w:pPr>
                    <w:pStyle w:val="37"/>
                    <w:spacing w:line="280" w:lineRule="exact"/>
                    <w:rPr>
                      <w:rFonts w:hint="eastAsia" w:ascii="Times New Roman" w:hAnsi="Times New Roman"/>
                      <w:color w:val="auto"/>
                      <w:szCs w:val="21"/>
                      <w:highlight w:val="none"/>
                    </w:rPr>
                  </w:pPr>
                </w:p>
              </w:tc>
              <w:tc>
                <w:tcPr>
                  <w:tcW w:w="1605" w:type="dxa"/>
                  <w:vAlign w:val="top"/>
                </w:tcPr>
                <w:p w14:paraId="6927CF5D">
                  <w:pPr>
                    <w:pStyle w:val="37"/>
                    <w:spacing w:line="280" w:lineRule="exact"/>
                    <w:rPr>
                      <w:rFonts w:hint="eastAsia" w:ascii="Times New Roman" w:hAnsi="Times New Roman"/>
                      <w:color w:val="auto"/>
                      <w:szCs w:val="21"/>
                      <w:highlight w:val="none"/>
                    </w:rPr>
                  </w:pPr>
                </w:p>
              </w:tc>
              <w:tc>
                <w:tcPr>
                  <w:tcW w:w="1605" w:type="dxa"/>
                  <w:vAlign w:val="top"/>
                </w:tcPr>
                <w:p w14:paraId="793E34C1">
                  <w:pPr>
                    <w:pStyle w:val="37"/>
                    <w:spacing w:line="280" w:lineRule="exact"/>
                    <w:rPr>
                      <w:rFonts w:hint="eastAsia" w:ascii="Times New Roman" w:hAnsi="Times New Roman"/>
                      <w:color w:val="auto"/>
                      <w:szCs w:val="21"/>
                      <w:highlight w:val="none"/>
                    </w:rPr>
                  </w:pPr>
                </w:p>
              </w:tc>
              <w:tc>
                <w:tcPr>
                  <w:tcW w:w="1627" w:type="dxa"/>
                  <w:vAlign w:val="top"/>
                </w:tcPr>
                <w:p w14:paraId="5F63C562">
                  <w:pPr>
                    <w:pStyle w:val="37"/>
                    <w:spacing w:line="280" w:lineRule="exact"/>
                    <w:rPr>
                      <w:rFonts w:hint="eastAsia" w:ascii="Times New Roman" w:hAnsi="Times New Roman"/>
                      <w:color w:val="auto"/>
                      <w:szCs w:val="21"/>
                      <w:highlight w:val="none"/>
                    </w:rPr>
                  </w:pPr>
                </w:p>
              </w:tc>
            </w:tr>
          </w:tbl>
          <w:p w14:paraId="37BB6E9F">
            <w:pPr>
              <w:pStyle w:val="37"/>
              <w:spacing w:line="400" w:lineRule="exact"/>
              <w:ind w:right="420" w:firstLine="420" w:firstLineChars="200"/>
              <w:jc w:val="center"/>
              <w:rPr>
                <w:rFonts w:hint="eastAsia" w:ascii="Times New Roman" w:hAnsi="Times New Roman"/>
                <w:color w:val="auto"/>
                <w:szCs w:val="21"/>
                <w:highlight w:val="none"/>
              </w:rPr>
            </w:pPr>
            <w:r>
              <w:rPr>
                <w:rFonts w:hint="eastAsia" w:ascii="Times New Roman" w:hAnsi="Times New Roman"/>
                <w:color w:val="auto"/>
                <w:szCs w:val="21"/>
                <w:highlight w:val="none"/>
              </w:rPr>
              <w:t xml:space="preserve">                                            承包人（章）             </w:t>
            </w:r>
          </w:p>
          <w:p w14:paraId="67CC2DF0">
            <w:pPr>
              <w:pStyle w:val="37"/>
              <w:spacing w:line="400" w:lineRule="exact"/>
              <w:ind w:right="420"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承包人代表</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14:paraId="3D3B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9072" w:type="dxa"/>
            <w:vAlign w:val="top"/>
          </w:tcPr>
          <w:p w14:paraId="160A0922">
            <w:pPr>
              <w:pStyle w:val="37"/>
              <w:spacing w:line="3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复核意见：</w:t>
            </w:r>
          </w:p>
          <w:p w14:paraId="75C3B4F8">
            <w:pPr>
              <w:pStyle w:val="37"/>
              <w:spacing w:line="3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□与实际施工情况不相符，修改意见见附件。</w:t>
            </w:r>
          </w:p>
          <w:p w14:paraId="00B78836">
            <w:pPr>
              <w:pStyle w:val="37"/>
              <w:spacing w:line="3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□与实际施工情况相符，具体金额由造价工程师复核。</w:t>
            </w:r>
          </w:p>
          <w:p w14:paraId="359D64AC">
            <w:pPr>
              <w:pStyle w:val="37"/>
              <w:spacing w:line="360" w:lineRule="exact"/>
              <w:ind w:firstLine="435"/>
              <w:jc w:val="right"/>
              <w:rPr>
                <w:rFonts w:hint="eastAsia" w:ascii="Times New Roman" w:hAnsi="Times New Roman"/>
                <w:color w:val="auto"/>
                <w:szCs w:val="21"/>
                <w:highlight w:val="none"/>
              </w:rPr>
            </w:pPr>
          </w:p>
          <w:p w14:paraId="4454E6BF">
            <w:pPr>
              <w:pStyle w:val="37"/>
              <w:spacing w:line="360" w:lineRule="exact"/>
              <w:ind w:firstLine="435"/>
              <w:jc w:val="right"/>
              <w:rPr>
                <w:rFonts w:hint="eastAsia" w:ascii="Times New Roman" w:hAnsi="Times New Roman"/>
                <w:color w:val="auto"/>
                <w:szCs w:val="21"/>
                <w:highlight w:val="none"/>
              </w:rPr>
            </w:pPr>
          </w:p>
          <w:p w14:paraId="26F9FEB0">
            <w:pPr>
              <w:pStyle w:val="37"/>
              <w:spacing w:line="360" w:lineRule="exact"/>
              <w:ind w:firstLine="420" w:firstLineChars="200"/>
              <w:jc w:val="center"/>
              <w:rPr>
                <w:rFonts w:hint="eastAsia"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p>
          <w:p w14:paraId="2ED99241">
            <w:pPr>
              <w:pStyle w:val="37"/>
              <w:spacing w:line="360" w:lineRule="exact"/>
              <w:ind w:firstLine="420" w:firstLineChars="200"/>
              <w:jc w:val="center"/>
              <w:rPr>
                <w:rFonts w:hint="eastAsia" w:ascii="Times New Roman" w:hAnsi="Times New Roman"/>
                <w:color w:val="auto"/>
                <w:szCs w:val="21"/>
                <w:highlight w:val="none"/>
                <w:u w:val="single"/>
              </w:rPr>
            </w:pPr>
            <w:r>
              <w:rPr>
                <w:rFonts w:hint="eastAsia" w:ascii="Times New Roman" w:hAnsi="Times New Roman"/>
                <w:color w:val="auto"/>
                <w:szCs w:val="21"/>
                <w:highlight w:val="none"/>
              </w:rPr>
              <w:t xml:space="preserve">        监理工程师</w:t>
            </w:r>
            <w:r>
              <w:rPr>
                <w:rFonts w:hint="eastAsia" w:ascii="Times New Roman" w:hAnsi="Times New Roman"/>
                <w:color w:val="auto"/>
                <w:szCs w:val="21"/>
                <w:highlight w:val="none"/>
                <w:u w:val="single"/>
              </w:rPr>
              <w:t xml:space="preserve">           </w:t>
            </w:r>
          </w:p>
          <w:p w14:paraId="07A44D8D">
            <w:pPr>
              <w:pStyle w:val="37"/>
              <w:spacing w:line="360" w:lineRule="exact"/>
              <w:ind w:firstLine="420" w:firstLineChars="200"/>
              <w:jc w:val="center"/>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w:t>
            </w:r>
            <w:r>
              <w:rPr>
                <w:rFonts w:hint="eastAsia" w:ascii="Times New Roman" w:hAnsi="Times New Roman"/>
                <w:color w:val="auto"/>
                <w:szCs w:val="21"/>
                <w:highlight w:val="none"/>
                <w:u w:val="single"/>
              </w:rPr>
              <w:t xml:space="preserve">           </w:t>
            </w:r>
          </w:p>
        </w:tc>
      </w:tr>
      <w:tr w14:paraId="26DB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vAlign w:val="top"/>
          </w:tcPr>
          <w:p w14:paraId="4E94AE93">
            <w:pPr>
              <w:pStyle w:val="37"/>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审核意见：</w:t>
            </w:r>
          </w:p>
          <w:p w14:paraId="5FCCD98F">
            <w:pPr>
              <w:pStyle w:val="37"/>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□不同意。</w:t>
            </w:r>
          </w:p>
          <w:p w14:paraId="29742A0C">
            <w:pPr>
              <w:pStyle w:val="37"/>
              <w:spacing w:line="40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□同意。</w:t>
            </w:r>
          </w:p>
          <w:p w14:paraId="5BA7A8CE">
            <w:pPr>
              <w:pStyle w:val="37"/>
              <w:wordWrap w:val="0"/>
              <w:spacing w:line="400" w:lineRule="exact"/>
              <w:ind w:firstLine="420" w:firstLineChars="200"/>
              <w:jc w:val="right"/>
              <w:rPr>
                <w:rFonts w:hint="eastAsia" w:ascii="Times New Roman" w:hAnsi="Times New Roman"/>
                <w:color w:val="auto"/>
                <w:szCs w:val="21"/>
                <w:highlight w:val="none"/>
              </w:rPr>
            </w:pPr>
            <w:r>
              <w:rPr>
                <w:rFonts w:hint="eastAsia" w:ascii="Times New Roman" w:hAnsi="Times New Roman"/>
                <w:color w:val="auto"/>
                <w:szCs w:val="21"/>
                <w:highlight w:val="none"/>
              </w:rPr>
              <w:t xml:space="preserve">发包人（章）           </w:t>
            </w:r>
          </w:p>
          <w:p w14:paraId="3C489168">
            <w:pPr>
              <w:pStyle w:val="37"/>
              <w:wordWrap w:val="0"/>
              <w:spacing w:line="400" w:lineRule="exact"/>
              <w:ind w:firstLine="420" w:firstLineChars="200"/>
              <w:jc w:val="right"/>
              <w:rPr>
                <w:rFonts w:hint="eastAsia" w:ascii="Times New Roman" w:hAnsi="Times New Roman"/>
                <w:color w:val="auto"/>
                <w:szCs w:val="21"/>
                <w:highlight w:val="none"/>
                <w:u w:val="single"/>
              </w:rPr>
            </w:pPr>
            <w:r>
              <w:rPr>
                <w:rFonts w:hint="eastAsia" w:ascii="Times New Roman" w:hAnsi="Times New Roman"/>
                <w:color w:val="auto"/>
                <w:szCs w:val="21"/>
                <w:highlight w:val="none"/>
              </w:rPr>
              <w:t>发包人代表</w:t>
            </w:r>
            <w:r>
              <w:rPr>
                <w:rFonts w:hint="eastAsia" w:ascii="Times New Roman" w:hAnsi="Times New Roman"/>
                <w:color w:val="auto"/>
                <w:szCs w:val="21"/>
                <w:highlight w:val="none"/>
                <w:u w:val="single"/>
              </w:rPr>
              <w:t xml:space="preserve">             </w:t>
            </w:r>
          </w:p>
          <w:p w14:paraId="4F786A1C">
            <w:pPr>
              <w:pStyle w:val="37"/>
              <w:wordWrap w:val="0"/>
              <w:spacing w:line="400" w:lineRule="exact"/>
              <w:ind w:firstLine="420" w:firstLineChars="200"/>
              <w:jc w:val="right"/>
              <w:rPr>
                <w:rFonts w:hint="eastAsia" w:ascii="Times New Roman" w:hAnsi="Times New Roman"/>
                <w:color w:val="auto"/>
                <w:szCs w:val="21"/>
                <w:highlight w:val="none"/>
                <w:u w:val="single"/>
              </w:rPr>
            </w:pP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bl>
    <w:p w14:paraId="28D7EBE3">
      <w:pPr>
        <w:pStyle w:val="37"/>
        <w:spacing w:before="156" w:beforeLines="50"/>
        <w:ind w:firstLine="360" w:firstLineChars="200"/>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注：1.在选择栏中的“□”内作标识“√”。 如监理人已退场，监理工程师栏可空缺。</w:t>
      </w:r>
    </w:p>
    <w:p w14:paraId="233B1CCB">
      <w:pPr>
        <w:pStyle w:val="37"/>
        <w:spacing w:before="156" w:beforeLines="50"/>
        <w:ind w:firstLine="720" w:firstLineChars="400"/>
        <w:rPr>
          <w:rFonts w:hint="eastAsia" w:ascii="Times New Roman" w:hAnsi="Times New Roman"/>
          <w:color w:val="auto"/>
          <w:sz w:val="30"/>
          <w:szCs w:val="30"/>
          <w:highlight w:val="none"/>
        </w:rPr>
      </w:pPr>
      <w:r>
        <w:rPr>
          <w:rFonts w:hint="eastAsia" w:ascii="Times New Roman" w:hAnsi="Times New Roman"/>
          <w:color w:val="auto"/>
          <w:sz w:val="18"/>
          <w:szCs w:val="18"/>
          <w:highlight w:val="none"/>
        </w:rPr>
        <w:t>2.本表一式</w:t>
      </w:r>
      <w:r>
        <w:rPr>
          <w:rFonts w:hint="eastAsia" w:ascii="Times New Roman" w:hAnsi="Times New Roman"/>
          <w:color w:val="auto"/>
          <w:sz w:val="18"/>
          <w:szCs w:val="18"/>
          <w:highlight w:val="none"/>
          <w:lang w:val="en-US" w:eastAsia="zh-CN"/>
        </w:rPr>
        <w:t>叁</w:t>
      </w:r>
      <w:r>
        <w:rPr>
          <w:rFonts w:hint="eastAsia" w:ascii="Times New Roman" w:hAnsi="Times New Roman"/>
          <w:color w:val="auto"/>
          <w:sz w:val="18"/>
          <w:szCs w:val="18"/>
          <w:highlight w:val="none"/>
        </w:rPr>
        <w:t>份，由承包人填报，发包人、监理人、承包人各存一份。</w:t>
      </w:r>
    </w:p>
    <w:p w14:paraId="46C2D4FA">
      <w:pPr>
        <w:pStyle w:val="37"/>
        <w:spacing w:line="360" w:lineRule="auto"/>
        <w:jc w:val="left"/>
        <w:rPr>
          <w:rFonts w:hint="eastAsia" w:ascii="Times New Roman" w:hAnsi="Times New Roman"/>
          <w:color w:val="auto"/>
          <w:sz w:val="30"/>
          <w:szCs w:val="30"/>
          <w:highlight w:val="none"/>
        </w:rPr>
      </w:pPr>
    </w:p>
    <w:p w14:paraId="647F5D4A">
      <w:pPr>
        <w:pStyle w:val="37"/>
        <w:spacing w:line="360" w:lineRule="auto"/>
        <w:ind w:firstLine="600" w:firstLineChars="200"/>
        <w:jc w:val="left"/>
        <w:rPr>
          <w:rFonts w:hint="eastAsia" w:ascii="Times New Roman" w:hAnsi="宋体" w:cs="宋体"/>
          <w:color w:val="auto"/>
          <w:sz w:val="30"/>
          <w:szCs w:val="30"/>
          <w:highlight w:val="none"/>
        </w:rPr>
      </w:pPr>
      <w:r>
        <w:rPr>
          <w:rFonts w:hint="eastAsia" w:ascii="Times New Roman" w:hAnsi="Times New Roman"/>
          <w:color w:val="auto"/>
          <w:sz w:val="30"/>
          <w:szCs w:val="30"/>
          <w:highlight w:val="none"/>
        </w:rPr>
        <w:t>附件14：</w:t>
      </w:r>
    </w:p>
    <w:p w14:paraId="3535699B">
      <w:pPr>
        <w:pStyle w:val="37"/>
        <w:spacing w:line="360" w:lineRule="auto"/>
        <w:ind w:firstLine="720" w:firstLineChars="200"/>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总价合同进度款支付分解表</w:t>
      </w:r>
    </w:p>
    <w:p w14:paraId="26D0866F">
      <w:pPr>
        <w:pStyle w:val="37"/>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00C0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top"/>
          </w:tcPr>
          <w:p w14:paraId="0FD95E39">
            <w:pPr>
              <w:pStyle w:val="37"/>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进度款期次</w:t>
            </w:r>
          </w:p>
        </w:tc>
        <w:tc>
          <w:tcPr>
            <w:tcW w:w="3794" w:type="dxa"/>
            <w:gridSpan w:val="2"/>
            <w:vAlign w:val="top"/>
          </w:tcPr>
          <w:p w14:paraId="537FAC54">
            <w:pPr>
              <w:pStyle w:val="37"/>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形象进度</w:t>
            </w:r>
          </w:p>
        </w:tc>
        <w:tc>
          <w:tcPr>
            <w:tcW w:w="2268" w:type="dxa"/>
            <w:vAlign w:val="top"/>
          </w:tcPr>
          <w:p w14:paraId="1A5EC20A">
            <w:pPr>
              <w:pStyle w:val="37"/>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进度款付款金额（元）</w:t>
            </w:r>
          </w:p>
        </w:tc>
        <w:tc>
          <w:tcPr>
            <w:tcW w:w="1276" w:type="dxa"/>
            <w:vAlign w:val="top"/>
          </w:tcPr>
          <w:p w14:paraId="1DC0D1BF">
            <w:pPr>
              <w:pStyle w:val="37"/>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29D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top"/>
          </w:tcPr>
          <w:p w14:paraId="488383AF">
            <w:pPr>
              <w:pStyle w:val="37"/>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预付款</w:t>
            </w:r>
          </w:p>
        </w:tc>
        <w:tc>
          <w:tcPr>
            <w:tcW w:w="3794" w:type="dxa"/>
            <w:gridSpan w:val="2"/>
            <w:vAlign w:val="top"/>
          </w:tcPr>
          <w:p w14:paraId="775D5E88">
            <w:pPr>
              <w:pStyle w:val="37"/>
              <w:spacing w:line="360" w:lineRule="auto"/>
              <w:jc w:val="center"/>
              <w:rPr>
                <w:rFonts w:hint="eastAsia" w:ascii="宋体" w:hAnsi="宋体" w:cs="宋体"/>
                <w:color w:val="auto"/>
                <w:kern w:val="0"/>
                <w:szCs w:val="21"/>
                <w:highlight w:val="none"/>
              </w:rPr>
            </w:pPr>
          </w:p>
        </w:tc>
        <w:tc>
          <w:tcPr>
            <w:tcW w:w="2268" w:type="dxa"/>
            <w:vAlign w:val="top"/>
          </w:tcPr>
          <w:p w14:paraId="22784910">
            <w:pPr>
              <w:pStyle w:val="37"/>
              <w:spacing w:line="360" w:lineRule="auto"/>
              <w:jc w:val="center"/>
              <w:rPr>
                <w:rFonts w:hint="eastAsia" w:ascii="宋体" w:hAnsi="宋体" w:cs="宋体"/>
                <w:color w:val="auto"/>
                <w:kern w:val="0"/>
                <w:szCs w:val="21"/>
                <w:highlight w:val="none"/>
              </w:rPr>
            </w:pPr>
          </w:p>
        </w:tc>
        <w:tc>
          <w:tcPr>
            <w:tcW w:w="1276" w:type="dxa"/>
            <w:vAlign w:val="top"/>
          </w:tcPr>
          <w:p w14:paraId="57392C7C">
            <w:pPr>
              <w:pStyle w:val="37"/>
              <w:spacing w:line="360" w:lineRule="auto"/>
              <w:jc w:val="center"/>
              <w:rPr>
                <w:rFonts w:hint="eastAsia" w:ascii="宋体" w:hAnsi="宋体" w:cs="宋体"/>
                <w:color w:val="auto"/>
                <w:kern w:val="0"/>
                <w:szCs w:val="21"/>
                <w:highlight w:val="none"/>
              </w:rPr>
            </w:pPr>
          </w:p>
        </w:tc>
      </w:tr>
      <w:tr w14:paraId="4BC3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top"/>
          </w:tcPr>
          <w:p w14:paraId="07507692">
            <w:pPr>
              <w:pStyle w:val="37"/>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第一期</w:t>
            </w:r>
          </w:p>
        </w:tc>
        <w:tc>
          <w:tcPr>
            <w:tcW w:w="3794" w:type="dxa"/>
            <w:gridSpan w:val="2"/>
            <w:vAlign w:val="top"/>
          </w:tcPr>
          <w:p w14:paraId="57658C9F">
            <w:pPr>
              <w:pStyle w:val="37"/>
              <w:spacing w:line="360" w:lineRule="auto"/>
              <w:jc w:val="center"/>
              <w:rPr>
                <w:rFonts w:hint="eastAsia" w:ascii="宋体" w:hAnsi="宋体" w:cs="宋体"/>
                <w:color w:val="auto"/>
                <w:kern w:val="0"/>
                <w:szCs w:val="21"/>
                <w:highlight w:val="none"/>
              </w:rPr>
            </w:pPr>
          </w:p>
        </w:tc>
        <w:tc>
          <w:tcPr>
            <w:tcW w:w="2268" w:type="dxa"/>
            <w:vAlign w:val="top"/>
          </w:tcPr>
          <w:p w14:paraId="56277F9A">
            <w:pPr>
              <w:pStyle w:val="37"/>
              <w:spacing w:line="360" w:lineRule="auto"/>
              <w:jc w:val="center"/>
              <w:rPr>
                <w:rFonts w:hint="eastAsia" w:ascii="宋体" w:hAnsi="宋体" w:cs="宋体"/>
                <w:color w:val="auto"/>
                <w:kern w:val="0"/>
                <w:szCs w:val="21"/>
                <w:highlight w:val="none"/>
              </w:rPr>
            </w:pPr>
          </w:p>
        </w:tc>
        <w:tc>
          <w:tcPr>
            <w:tcW w:w="1276" w:type="dxa"/>
            <w:vAlign w:val="top"/>
          </w:tcPr>
          <w:p w14:paraId="27C1EBF3">
            <w:pPr>
              <w:pStyle w:val="37"/>
              <w:spacing w:line="360" w:lineRule="auto"/>
              <w:jc w:val="center"/>
              <w:rPr>
                <w:rFonts w:hint="eastAsia" w:ascii="宋体" w:hAnsi="宋体" w:cs="宋体"/>
                <w:color w:val="auto"/>
                <w:kern w:val="0"/>
                <w:szCs w:val="21"/>
                <w:highlight w:val="none"/>
              </w:rPr>
            </w:pPr>
          </w:p>
        </w:tc>
      </w:tr>
      <w:tr w14:paraId="490D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top"/>
          </w:tcPr>
          <w:p w14:paraId="55D3E5EF">
            <w:pPr>
              <w:pStyle w:val="37"/>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第二期</w:t>
            </w:r>
          </w:p>
        </w:tc>
        <w:tc>
          <w:tcPr>
            <w:tcW w:w="3794" w:type="dxa"/>
            <w:gridSpan w:val="2"/>
            <w:vAlign w:val="top"/>
          </w:tcPr>
          <w:p w14:paraId="05518759">
            <w:pPr>
              <w:pStyle w:val="37"/>
              <w:spacing w:line="360" w:lineRule="auto"/>
              <w:jc w:val="center"/>
              <w:rPr>
                <w:rFonts w:hint="eastAsia" w:ascii="宋体" w:hAnsi="宋体" w:cs="宋体"/>
                <w:color w:val="auto"/>
                <w:kern w:val="0"/>
                <w:szCs w:val="21"/>
                <w:highlight w:val="none"/>
              </w:rPr>
            </w:pPr>
          </w:p>
        </w:tc>
        <w:tc>
          <w:tcPr>
            <w:tcW w:w="2268" w:type="dxa"/>
            <w:vAlign w:val="top"/>
          </w:tcPr>
          <w:p w14:paraId="2DDEB517">
            <w:pPr>
              <w:pStyle w:val="37"/>
              <w:spacing w:line="360" w:lineRule="auto"/>
              <w:jc w:val="center"/>
              <w:rPr>
                <w:rFonts w:hint="eastAsia" w:ascii="宋体" w:hAnsi="宋体" w:cs="宋体"/>
                <w:color w:val="auto"/>
                <w:kern w:val="0"/>
                <w:szCs w:val="21"/>
                <w:highlight w:val="none"/>
              </w:rPr>
            </w:pPr>
          </w:p>
        </w:tc>
        <w:tc>
          <w:tcPr>
            <w:tcW w:w="1276" w:type="dxa"/>
            <w:vAlign w:val="top"/>
          </w:tcPr>
          <w:p w14:paraId="160D91D8">
            <w:pPr>
              <w:pStyle w:val="37"/>
              <w:spacing w:line="360" w:lineRule="auto"/>
              <w:jc w:val="center"/>
              <w:rPr>
                <w:rFonts w:hint="eastAsia" w:ascii="宋体" w:hAnsi="宋体" w:cs="宋体"/>
                <w:color w:val="auto"/>
                <w:kern w:val="0"/>
                <w:szCs w:val="21"/>
                <w:highlight w:val="none"/>
              </w:rPr>
            </w:pPr>
          </w:p>
        </w:tc>
      </w:tr>
      <w:tr w14:paraId="1FAD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top"/>
          </w:tcPr>
          <w:p w14:paraId="5E462D01">
            <w:pPr>
              <w:pStyle w:val="37"/>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第三期</w:t>
            </w:r>
          </w:p>
        </w:tc>
        <w:tc>
          <w:tcPr>
            <w:tcW w:w="3794" w:type="dxa"/>
            <w:gridSpan w:val="2"/>
            <w:vAlign w:val="top"/>
          </w:tcPr>
          <w:p w14:paraId="39A2478E">
            <w:pPr>
              <w:pStyle w:val="37"/>
              <w:spacing w:line="360" w:lineRule="auto"/>
              <w:jc w:val="center"/>
              <w:rPr>
                <w:rFonts w:hint="eastAsia" w:ascii="宋体" w:hAnsi="宋体" w:cs="宋体"/>
                <w:color w:val="auto"/>
                <w:kern w:val="0"/>
                <w:szCs w:val="21"/>
                <w:highlight w:val="none"/>
              </w:rPr>
            </w:pPr>
          </w:p>
        </w:tc>
        <w:tc>
          <w:tcPr>
            <w:tcW w:w="2268" w:type="dxa"/>
            <w:vAlign w:val="top"/>
          </w:tcPr>
          <w:p w14:paraId="7FDC67C3">
            <w:pPr>
              <w:pStyle w:val="37"/>
              <w:spacing w:line="360" w:lineRule="auto"/>
              <w:jc w:val="center"/>
              <w:rPr>
                <w:rFonts w:hint="eastAsia" w:ascii="宋体" w:hAnsi="宋体" w:cs="宋体"/>
                <w:color w:val="auto"/>
                <w:kern w:val="0"/>
                <w:szCs w:val="21"/>
                <w:highlight w:val="none"/>
              </w:rPr>
            </w:pPr>
          </w:p>
        </w:tc>
        <w:tc>
          <w:tcPr>
            <w:tcW w:w="1276" w:type="dxa"/>
            <w:vAlign w:val="top"/>
          </w:tcPr>
          <w:p w14:paraId="3D80F17D">
            <w:pPr>
              <w:pStyle w:val="37"/>
              <w:spacing w:line="360" w:lineRule="auto"/>
              <w:jc w:val="center"/>
              <w:rPr>
                <w:rFonts w:hint="eastAsia" w:ascii="宋体" w:hAnsi="宋体" w:cs="宋体"/>
                <w:color w:val="auto"/>
                <w:kern w:val="0"/>
                <w:szCs w:val="21"/>
                <w:highlight w:val="none"/>
              </w:rPr>
            </w:pPr>
          </w:p>
        </w:tc>
      </w:tr>
      <w:tr w14:paraId="269C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top"/>
          </w:tcPr>
          <w:p w14:paraId="3BC7F2F6">
            <w:pPr>
              <w:pStyle w:val="37"/>
              <w:spacing w:line="360" w:lineRule="auto"/>
              <w:jc w:val="center"/>
              <w:rPr>
                <w:rFonts w:hint="eastAsia" w:ascii="宋体" w:hAnsi="宋体" w:cs="宋体"/>
                <w:color w:val="auto"/>
                <w:kern w:val="0"/>
                <w:szCs w:val="21"/>
                <w:highlight w:val="none"/>
              </w:rPr>
            </w:pPr>
            <w:r>
              <w:rPr>
                <w:rFonts w:ascii="宋体" w:hAnsi="宋体" w:cs="宋体"/>
                <w:color w:val="auto"/>
                <w:kern w:val="0"/>
                <w:szCs w:val="21"/>
                <w:highlight w:val="none"/>
              </w:rPr>
              <w:t>……</w:t>
            </w:r>
          </w:p>
        </w:tc>
        <w:tc>
          <w:tcPr>
            <w:tcW w:w="3794" w:type="dxa"/>
            <w:gridSpan w:val="2"/>
            <w:vAlign w:val="top"/>
          </w:tcPr>
          <w:p w14:paraId="18850B73">
            <w:pPr>
              <w:pStyle w:val="37"/>
              <w:spacing w:line="360" w:lineRule="auto"/>
              <w:jc w:val="center"/>
              <w:rPr>
                <w:rFonts w:hint="eastAsia" w:ascii="宋体" w:hAnsi="宋体" w:cs="宋体"/>
                <w:color w:val="auto"/>
                <w:kern w:val="0"/>
                <w:szCs w:val="21"/>
                <w:highlight w:val="none"/>
              </w:rPr>
            </w:pPr>
          </w:p>
        </w:tc>
        <w:tc>
          <w:tcPr>
            <w:tcW w:w="2268" w:type="dxa"/>
            <w:vAlign w:val="top"/>
          </w:tcPr>
          <w:p w14:paraId="0D5FF2FF">
            <w:pPr>
              <w:pStyle w:val="37"/>
              <w:spacing w:line="360" w:lineRule="auto"/>
              <w:jc w:val="center"/>
              <w:rPr>
                <w:rFonts w:hint="eastAsia" w:ascii="宋体" w:hAnsi="宋体" w:cs="宋体"/>
                <w:color w:val="auto"/>
                <w:kern w:val="0"/>
                <w:szCs w:val="21"/>
                <w:highlight w:val="none"/>
              </w:rPr>
            </w:pPr>
          </w:p>
        </w:tc>
        <w:tc>
          <w:tcPr>
            <w:tcW w:w="1276" w:type="dxa"/>
            <w:vAlign w:val="top"/>
          </w:tcPr>
          <w:p w14:paraId="6F3F40B5">
            <w:pPr>
              <w:pStyle w:val="37"/>
              <w:spacing w:line="360" w:lineRule="auto"/>
              <w:jc w:val="center"/>
              <w:rPr>
                <w:rFonts w:hint="eastAsia" w:ascii="宋体" w:hAnsi="宋体" w:cs="宋体"/>
                <w:color w:val="auto"/>
                <w:kern w:val="0"/>
                <w:szCs w:val="21"/>
                <w:highlight w:val="none"/>
              </w:rPr>
            </w:pPr>
          </w:p>
        </w:tc>
      </w:tr>
      <w:tr w14:paraId="7EF4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vAlign w:val="top"/>
          </w:tcPr>
          <w:p w14:paraId="2C03E200">
            <w:pPr>
              <w:pStyle w:val="37"/>
              <w:spacing w:line="360" w:lineRule="exact"/>
              <w:ind w:firstLine="435"/>
              <w:jc w:val="right"/>
              <w:rPr>
                <w:rFonts w:hint="eastAsia" w:ascii="Times New Roman" w:hAnsi="Times New Roman"/>
                <w:color w:val="auto"/>
                <w:szCs w:val="21"/>
                <w:highlight w:val="none"/>
              </w:rPr>
            </w:pPr>
          </w:p>
          <w:p w14:paraId="4B4C98C8">
            <w:pPr>
              <w:pStyle w:val="37"/>
              <w:spacing w:line="360" w:lineRule="exact"/>
              <w:ind w:firstLine="435"/>
              <w:jc w:val="center"/>
              <w:rPr>
                <w:rFonts w:hint="eastAsia" w:ascii="Times New Roman" w:hAnsi="Times New Roman"/>
                <w:color w:val="auto"/>
                <w:szCs w:val="21"/>
                <w:highlight w:val="none"/>
              </w:rPr>
            </w:pPr>
          </w:p>
          <w:p w14:paraId="41B0A295">
            <w:pPr>
              <w:pStyle w:val="37"/>
              <w:spacing w:line="360" w:lineRule="exact"/>
              <w:ind w:firstLine="420" w:firstLineChars="200"/>
              <w:jc w:val="center"/>
              <w:rPr>
                <w:rFonts w:hint="eastAsia" w:ascii="Times New Roman" w:hAnsi="Times New Roman"/>
                <w:color w:val="auto"/>
                <w:szCs w:val="21"/>
                <w:highlight w:val="none"/>
              </w:rPr>
            </w:pPr>
            <w:r>
              <w:rPr>
                <w:rFonts w:hint="eastAsia" w:ascii="Times New Roman" w:hAnsi="Times New Roman"/>
                <w:color w:val="auto"/>
                <w:szCs w:val="21"/>
                <w:highlight w:val="none"/>
              </w:rPr>
              <w:t>发包人代表签字：</w:t>
            </w:r>
          </w:p>
          <w:p w14:paraId="760F9AD5">
            <w:pPr>
              <w:pStyle w:val="37"/>
              <w:spacing w:line="360" w:lineRule="exact"/>
              <w:ind w:firstLine="435"/>
              <w:jc w:val="center"/>
              <w:rPr>
                <w:rFonts w:hint="eastAsia" w:ascii="Times New Roman" w:hAnsi="Times New Roman"/>
                <w:color w:val="auto"/>
                <w:szCs w:val="21"/>
                <w:highlight w:val="none"/>
              </w:rPr>
            </w:pPr>
          </w:p>
          <w:p w14:paraId="02E93A3F">
            <w:pPr>
              <w:pStyle w:val="37"/>
              <w:spacing w:line="360" w:lineRule="exact"/>
              <w:ind w:firstLine="420" w:firstLineChars="200"/>
              <w:jc w:val="center"/>
              <w:rPr>
                <w:rFonts w:hint="eastAsia" w:ascii="Times New Roman" w:hAnsi="Times New Roman"/>
                <w:color w:val="auto"/>
                <w:szCs w:val="21"/>
                <w:highlight w:val="none"/>
              </w:rPr>
            </w:pPr>
            <w:r>
              <w:rPr>
                <w:rFonts w:hint="eastAsia" w:ascii="Times New Roman" w:hAnsi="Times New Roman"/>
                <w:color w:val="auto"/>
                <w:szCs w:val="21"/>
                <w:highlight w:val="none"/>
              </w:rPr>
              <w:t>发包人（盖公章）</w:t>
            </w:r>
          </w:p>
          <w:p w14:paraId="54433D41">
            <w:pPr>
              <w:pStyle w:val="37"/>
              <w:spacing w:line="360" w:lineRule="exact"/>
              <w:ind w:firstLine="435"/>
              <w:jc w:val="center"/>
              <w:rPr>
                <w:rFonts w:hint="eastAsia" w:ascii="Times New Roman" w:hAnsi="Times New Roman"/>
                <w:color w:val="auto"/>
                <w:szCs w:val="21"/>
                <w:highlight w:val="none"/>
              </w:rPr>
            </w:pPr>
          </w:p>
          <w:p w14:paraId="47646E59">
            <w:pPr>
              <w:pStyle w:val="37"/>
              <w:spacing w:line="360" w:lineRule="exact"/>
              <w:ind w:firstLine="420" w:firstLineChars="200"/>
              <w:jc w:val="center"/>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 </w:t>
            </w:r>
            <w:r>
              <w:rPr>
                <w:rFonts w:hint="eastAsia" w:ascii="Times New Roman" w:hAnsi="Times New Roman"/>
                <w:color w:val="auto"/>
                <w:szCs w:val="21"/>
                <w:highlight w:val="none"/>
                <w:u w:val="single"/>
              </w:rPr>
              <w:t xml:space="preserve">          </w:t>
            </w:r>
          </w:p>
        </w:tc>
        <w:tc>
          <w:tcPr>
            <w:tcW w:w="4219" w:type="dxa"/>
            <w:gridSpan w:val="3"/>
            <w:vAlign w:val="top"/>
          </w:tcPr>
          <w:p w14:paraId="2E283DEE">
            <w:pPr>
              <w:pStyle w:val="37"/>
              <w:spacing w:line="360" w:lineRule="exact"/>
              <w:ind w:firstLine="435"/>
              <w:jc w:val="center"/>
              <w:rPr>
                <w:rFonts w:hint="eastAsia" w:ascii="Times New Roman" w:hAnsi="Times New Roman"/>
                <w:color w:val="auto"/>
                <w:szCs w:val="21"/>
                <w:highlight w:val="none"/>
              </w:rPr>
            </w:pPr>
          </w:p>
          <w:p w14:paraId="033D6C62">
            <w:pPr>
              <w:pStyle w:val="37"/>
              <w:spacing w:line="360" w:lineRule="exact"/>
              <w:ind w:firstLine="435"/>
              <w:jc w:val="center"/>
              <w:rPr>
                <w:rFonts w:hint="eastAsia" w:ascii="Times New Roman" w:hAnsi="Times New Roman"/>
                <w:color w:val="auto"/>
                <w:szCs w:val="21"/>
                <w:highlight w:val="none"/>
                <w:u w:val="single"/>
              </w:rPr>
            </w:pPr>
          </w:p>
          <w:p w14:paraId="3090BBCB">
            <w:pPr>
              <w:pStyle w:val="37"/>
              <w:spacing w:line="360" w:lineRule="exact"/>
              <w:ind w:firstLine="420" w:firstLineChars="200"/>
              <w:jc w:val="center"/>
              <w:rPr>
                <w:rFonts w:hint="eastAsia" w:ascii="Times New Roman" w:hAnsi="Times New Roman"/>
                <w:color w:val="auto"/>
                <w:szCs w:val="21"/>
                <w:highlight w:val="none"/>
              </w:rPr>
            </w:pPr>
            <w:r>
              <w:rPr>
                <w:rFonts w:hint="eastAsia" w:ascii="Times New Roman" w:hAnsi="Times New Roman"/>
                <w:color w:val="auto"/>
                <w:szCs w:val="21"/>
                <w:highlight w:val="none"/>
              </w:rPr>
              <w:t>承包人代表签字：</w:t>
            </w:r>
          </w:p>
          <w:p w14:paraId="4FE2BD8F">
            <w:pPr>
              <w:pStyle w:val="37"/>
              <w:spacing w:line="360" w:lineRule="exact"/>
              <w:ind w:firstLine="435"/>
              <w:jc w:val="center"/>
              <w:rPr>
                <w:rFonts w:hint="eastAsia" w:ascii="Times New Roman" w:hAnsi="Times New Roman"/>
                <w:color w:val="auto"/>
                <w:szCs w:val="21"/>
                <w:highlight w:val="none"/>
              </w:rPr>
            </w:pPr>
          </w:p>
          <w:p w14:paraId="37CDEC04">
            <w:pPr>
              <w:pStyle w:val="37"/>
              <w:spacing w:line="360" w:lineRule="exact"/>
              <w:ind w:firstLine="420" w:firstLineChars="200"/>
              <w:jc w:val="center"/>
              <w:rPr>
                <w:rFonts w:hint="eastAsia" w:ascii="Times New Roman" w:hAnsi="Times New Roman"/>
                <w:color w:val="auto"/>
                <w:szCs w:val="21"/>
                <w:highlight w:val="none"/>
              </w:rPr>
            </w:pPr>
            <w:r>
              <w:rPr>
                <w:rFonts w:hint="eastAsia" w:ascii="Times New Roman" w:hAnsi="Times New Roman"/>
                <w:color w:val="auto"/>
                <w:szCs w:val="21"/>
                <w:highlight w:val="none"/>
              </w:rPr>
              <w:t>承包人（盖公章）</w:t>
            </w:r>
          </w:p>
          <w:p w14:paraId="41D4B816">
            <w:pPr>
              <w:pStyle w:val="37"/>
              <w:spacing w:line="360" w:lineRule="exact"/>
              <w:ind w:firstLine="435"/>
              <w:jc w:val="center"/>
              <w:rPr>
                <w:rFonts w:hint="eastAsia" w:ascii="Times New Roman" w:hAnsi="Times New Roman"/>
                <w:color w:val="auto"/>
                <w:szCs w:val="21"/>
                <w:highlight w:val="none"/>
              </w:rPr>
            </w:pPr>
          </w:p>
          <w:p w14:paraId="115E718D">
            <w:pPr>
              <w:pStyle w:val="37"/>
              <w:spacing w:line="360" w:lineRule="exact"/>
              <w:ind w:firstLine="420" w:firstLineChars="200"/>
              <w:jc w:val="center"/>
              <w:rPr>
                <w:rFonts w:hint="eastAsia"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w:t>
            </w:r>
            <w:r>
              <w:rPr>
                <w:rFonts w:hint="eastAsia" w:ascii="Times New Roman" w:hAnsi="Times New Roman"/>
                <w:color w:val="auto"/>
                <w:szCs w:val="21"/>
                <w:highlight w:val="none"/>
                <w:u w:val="single"/>
              </w:rPr>
              <w:t xml:space="preserve">        </w:t>
            </w:r>
          </w:p>
        </w:tc>
      </w:tr>
    </w:tbl>
    <w:p w14:paraId="7089BDB3">
      <w:pPr>
        <w:pStyle w:val="14"/>
        <w:rPr>
          <w:color w:val="auto"/>
          <w:highlight w:val="none"/>
        </w:rPr>
      </w:pPr>
    </w:p>
    <w:p w14:paraId="208F4FD0">
      <w:pPr>
        <w:pStyle w:val="14"/>
        <w:rPr>
          <w:color w:val="auto"/>
          <w:highlight w:val="none"/>
        </w:rPr>
      </w:pPr>
    </w:p>
    <w:p w14:paraId="6E4A20A8">
      <w:pPr>
        <w:pStyle w:val="14"/>
        <w:rPr>
          <w:color w:val="auto"/>
          <w:highlight w:val="none"/>
        </w:rPr>
      </w:pPr>
    </w:p>
    <w:p w14:paraId="76F74DA6">
      <w:pPr>
        <w:pStyle w:val="14"/>
        <w:rPr>
          <w:color w:val="auto"/>
          <w:highlight w:val="none"/>
        </w:rPr>
      </w:pPr>
    </w:p>
    <w:p w14:paraId="4FEC1DE1">
      <w:pPr>
        <w:pStyle w:val="14"/>
        <w:rPr>
          <w:color w:val="auto"/>
          <w:highlight w:val="none"/>
        </w:rPr>
      </w:pPr>
    </w:p>
    <w:p w14:paraId="01044D42">
      <w:pPr>
        <w:pStyle w:val="14"/>
        <w:rPr>
          <w:color w:val="auto"/>
          <w:highlight w:val="none"/>
        </w:rPr>
      </w:pPr>
    </w:p>
    <w:p w14:paraId="02765622">
      <w:pPr>
        <w:pStyle w:val="14"/>
        <w:rPr>
          <w:color w:val="auto"/>
          <w:highlight w:val="none"/>
        </w:rPr>
      </w:pPr>
    </w:p>
    <w:p w14:paraId="46E0B2E5">
      <w:pPr>
        <w:pStyle w:val="14"/>
        <w:rPr>
          <w:color w:val="auto"/>
          <w:highlight w:val="none"/>
        </w:rPr>
      </w:pPr>
    </w:p>
    <w:p w14:paraId="3226A77A">
      <w:pPr>
        <w:pStyle w:val="14"/>
        <w:rPr>
          <w:color w:val="auto"/>
          <w:highlight w:val="none"/>
        </w:rPr>
      </w:pPr>
    </w:p>
    <w:p w14:paraId="1021E20A">
      <w:pPr>
        <w:pStyle w:val="14"/>
        <w:rPr>
          <w:color w:val="auto"/>
          <w:highlight w:val="none"/>
        </w:rPr>
      </w:pPr>
    </w:p>
    <w:p w14:paraId="667BD90F">
      <w:pPr>
        <w:pStyle w:val="14"/>
        <w:rPr>
          <w:color w:val="auto"/>
          <w:highlight w:val="none"/>
        </w:rPr>
      </w:pPr>
    </w:p>
    <w:p w14:paraId="71815015">
      <w:pPr>
        <w:pStyle w:val="14"/>
        <w:rPr>
          <w:color w:val="auto"/>
          <w:highlight w:val="none"/>
        </w:rPr>
      </w:pPr>
    </w:p>
    <w:p w14:paraId="6D1E18EE">
      <w:pPr>
        <w:pStyle w:val="14"/>
        <w:rPr>
          <w:color w:val="auto"/>
          <w:highlight w:val="none"/>
        </w:rPr>
      </w:pPr>
    </w:p>
    <w:p w14:paraId="226A7641">
      <w:pPr>
        <w:pStyle w:val="14"/>
        <w:rPr>
          <w:color w:val="auto"/>
          <w:highlight w:val="none"/>
        </w:rPr>
      </w:pPr>
    </w:p>
    <w:p w14:paraId="28CE65E4">
      <w:pPr>
        <w:pStyle w:val="14"/>
        <w:rPr>
          <w:color w:val="auto"/>
          <w:highlight w:val="none"/>
        </w:rPr>
      </w:pPr>
    </w:p>
    <w:p w14:paraId="78D6CF48">
      <w:pPr>
        <w:pStyle w:val="14"/>
        <w:rPr>
          <w:color w:val="auto"/>
          <w:highlight w:val="none"/>
        </w:rPr>
      </w:pPr>
    </w:p>
    <w:p w14:paraId="371AA339">
      <w:pPr>
        <w:pStyle w:val="14"/>
        <w:rPr>
          <w:color w:val="auto"/>
          <w:highlight w:val="none"/>
        </w:rPr>
      </w:pPr>
    </w:p>
    <w:p w14:paraId="41DFBE34">
      <w:pPr>
        <w:pStyle w:val="14"/>
        <w:rPr>
          <w:color w:val="auto"/>
          <w:highlight w:val="none"/>
        </w:rPr>
      </w:pPr>
    </w:p>
    <w:p w14:paraId="2A52D4B7">
      <w:pPr>
        <w:pStyle w:val="14"/>
        <w:rPr>
          <w:color w:val="auto"/>
          <w:highlight w:val="none"/>
        </w:rPr>
      </w:pPr>
    </w:p>
    <w:p w14:paraId="20725C2B">
      <w:pPr>
        <w:pStyle w:val="14"/>
        <w:rPr>
          <w:color w:val="auto"/>
          <w:highlight w:val="none"/>
        </w:rPr>
      </w:pPr>
    </w:p>
    <w:p w14:paraId="6CEBE56A">
      <w:pPr>
        <w:pStyle w:val="14"/>
        <w:rPr>
          <w:color w:val="auto"/>
          <w:highlight w:val="none"/>
        </w:rPr>
      </w:pPr>
    </w:p>
    <w:p w14:paraId="219F0CA5">
      <w:pPr>
        <w:pStyle w:val="14"/>
        <w:rPr>
          <w:color w:val="auto"/>
          <w:highlight w:val="none"/>
        </w:rPr>
      </w:pPr>
    </w:p>
    <w:p w14:paraId="5DAEA025">
      <w:pPr>
        <w:pStyle w:val="14"/>
        <w:rPr>
          <w:color w:val="auto"/>
          <w:highlight w:val="none"/>
        </w:rPr>
      </w:pPr>
    </w:p>
    <w:p w14:paraId="107DADF1">
      <w:pPr>
        <w:pStyle w:val="14"/>
        <w:rPr>
          <w:color w:val="auto"/>
          <w:highlight w:val="none"/>
        </w:rPr>
      </w:pPr>
    </w:p>
    <w:p w14:paraId="7FED3358">
      <w:pPr>
        <w:pStyle w:val="14"/>
        <w:rPr>
          <w:color w:val="auto"/>
          <w:highlight w:val="none"/>
        </w:rPr>
      </w:pPr>
    </w:p>
    <w:p w14:paraId="4E28F4A3">
      <w:pPr>
        <w:pStyle w:val="14"/>
        <w:rPr>
          <w:color w:val="auto"/>
          <w:highlight w:val="none"/>
        </w:rPr>
      </w:pPr>
    </w:p>
    <w:p w14:paraId="0F511619">
      <w:pPr>
        <w:pStyle w:val="14"/>
        <w:rPr>
          <w:color w:val="auto"/>
          <w:highlight w:val="none"/>
        </w:rPr>
      </w:pPr>
    </w:p>
    <w:p w14:paraId="233D776B">
      <w:pPr>
        <w:pStyle w:val="14"/>
        <w:rPr>
          <w:color w:val="auto"/>
          <w:highlight w:val="none"/>
        </w:rPr>
      </w:pPr>
    </w:p>
    <w:p w14:paraId="342A5D29">
      <w:pPr>
        <w:pStyle w:val="14"/>
        <w:rPr>
          <w:color w:val="auto"/>
          <w:highlight w:val="none"/>
        </w:rPr>
      </w:pPr>
    </w:p>
    <w:p w14:paraId="1081E0FA">
      <w:pPr>
        <w:pStyle w:val="14"/>
        <w:rPr>
          <w:color w:val="auto"/>
          <w:highlight w:val="none"/>
        </w:rPr>
      </w:pPr>
    </w:p>
    <w:p w14:paraId="04D5D751">
      <w:pPr>
        <w:pStyle w:val="14"/>
        <w:rPr>
          <w:color w:val="auto"/>
          <w:highlight w:val="none"/>
        </w:rPr>
      </w:pPr>
    </w:p>
    <w:p w14:paraId="18AA8E38">
      <w:pPr>
        <w:pStyle w:val="14"/>
        <w:rPr>
          <w:color w:val="auto"/>
          <w:highlight w:val="none"/>
        </w:rPr>
      </w:pPr>
    </w:p>
    <w:p w14:paraId="193EB127">
      <w:pPr>
        <w:pStyle w:val="37"/>
        <w:spacing w:line="360" w:lineRule="auto"/>
        <w:ind w:firstLine="600" w:firstLineChars="200"/>
        <w:jc w:val="left"/>
        <w:rPr>
          <w:rFonts w:hint="eastAsia" w:ascii="Times New Roman" w:hAnsi="Times New Roman"/>
          <w:color w:val="auto"/>
          <w:sz w:val="30"/>
          <w:szCs w:val="30"/>
          <w:highlight w:val="none"/>
        </w:rPr>
      </w:pPr>
      <w:r>
        <w:rPr>
          <w:rFonts w:hint="eastAsia" w:ascii="Times New Roman" w:hAnsi="Times New Roman"/>
          <w:color w:val="auto"/>
          <w:sz w:val="30"/>
          <w:szCs w:val="30"/>
          <w:highlight w:val="none"/>
        </w:rPr>
        <w:t>附件1</w:t>
      </w:r>
      <w:r>
        <w:rPr>
          <w:rFonts w:hint="eastAsia" w:ascii="Times New Roman" w:hAnsi="Times New Roman"/>
          <w:color w:val="auto"/>
          <w:sz w:val="30"/>
          <w:szCs w:val="30"/>
          <w:highlight w:val="none"/>
          <w:lang w:val="en-US" w:eastAsia="zh-CN"/>
        </w:rPr>
        <w:t>5</w:t>
      </w:r>
      <w:r>
        <w:rPr>
          <w:rFonts w:hint="eastAsia" w:ascii="Times New Roman" w:hAnsi="Times New Roman"/>
          <w:color w:val="auto"/>
          <w:sz w:val="30"/>
          <w:szCs w:val="30"/>
          <w:highlight w:val="none"/>
        </w:rPr>
        <w:t>：</w:t>
      </w:r>
    </w:p>
    <w:p w14:paraId="6617AB90">
      <w:pPr>
        <w:ind w:firstLine="880" w:firstLineChars="200"/>
        <w:jc w:val="center"/>
        <w:rPr>
          <w:rFonts w:hint="eastAsia" w:ascii="宋体" w:hAnsi="宋体" w:eastAsia="宋体" w:cs="宋体"/>
          <w:color w:val="auto"/>
          <w:sz w:val="44"/>
          <w:szCs w:val="44"/>
          <w:highlight w:val="none"/>
          <w:u w:val="none"/>
          <w:lang w:val="en-US" w:eastAsia="zh-CN"/>
        </w:rPr>
      </w:pPr>
      <w:r>
        <w:rPr>
          <w:rFonts w:hint="eastAsia" w:ascii="宋体" w:hAnsi="宋体" w:cs="宋体"/>
          <w:color w:val="auto"/>
          <w:sz w:val="44"/>
          <w:szCs w:val="44"/>
          <w:highlight w:val="none"/>
          <w:u w:val="none"/>
          <w:lang w:val="en-US" w:eastAsia="zh-CN"/>
        </w:rPr>
        <w:t>欠薪</w:t>
      </w:r>
      <w:r>
        <w:rPr>
          <w:rFonts w:hint="eastAsia" w:ascii="宋体" w:hAnsi="宋体" w:eastAsia="宋体" w:cs="宋体"/>
          <w:color w:val="auto"/>
          <w:sz w:val="44"/>
          <w:szCs w:val="44"/>
          <w:highlight w:val="none"/>
          <w:u w:val="none"/>
          <w:lang w:val="en-US" w:eastAsia="zh-CN"/>
        </w:rPr>
        <w:t>催函</w:t>
      </w:r>
    </w:p>
    <w:p w14:paraId="7561C867">
      <w:pPr>
        <w:rPr>
          <w:rFonts w:hint="eastAsia" w:ascii="宋体" w:hAnsi="宋体" w:eastAsia="宋体" w:cs="宋体"/>
          <w:color w:val="auto"/>
          <w:sz w:val="44"/>
          <w:szCs w:val="44"/>
          <w:highlight w:val="none"/>
          <w:u w:val="none"/>
          <w:lang w:val="en-US" w:eastAsia="zh-CN"/>
        </w:rPr>
      </w:pPr>
    </w:p>
    <w:p w14:paraId="1715546F">
      <w:pPr>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公司：</w:t>
      </w:r>
    </w:p>
    <w:p w14:paraId="55962C6D">
      <w:pPr>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由贵公司承包的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项目，经发现：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人名），工种：</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，做工时间：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，工资：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元，未按时支付。现要求贵公司收到此函之日起限于15日内足额支付该人工工资。否则，我方将根据与贵方签订的合同“第16.2.2承包人违约的责任第（1）条第⑨款：承包方要按时足额支付人工工资。因承包方原因拖欠人工工资的，一经发现，发包人有权将承包人纳入黑名单，十年内不得参与包括但不限于港口区教育系统的基建项目工程承包活动，并由发包人将其违约行为告知防城港市港口区住房和城乡建设局，作为承包方不良记录纳入建筑市场信用信息管理系统”之约定执行。</w:t>
      </w:r>
    </w:p>
    <w:p w14:paraId="3959821B">
      <w:pPr>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特此函告。</w:t>
      </w:r>
    </w:p>
    <w:p w14:paraId="25FCA8B6">
      <w:pPr>
        <w:ind w:firstLine="640" w:firstLineChars="200"/>
        <w:rPr>
          <w:rFonts w:hint="eastAsia" w:ascii="仿宋_GB2312" w:hAnsi="仿宋_GB2312" w:eastAsia="仿宋_GB2312" w:cs="仿宋_GB2312"/>
          <w:color w:val="auto"/>
          <w:sz w:val="32"/>
          <w:szCs w:val="32"/>
          <w:highlight w:val="none"/>
          <w:u w:val="none"/>
          <w:lang w:val="en-US" w:eastAsia="zh-CN"/>
        </w:rPr>
      </w:pPr>
    </w:p>
    <w:p w14:paraId="3E1E540E">
      <w:pPr>
        <w:ind w:firstLine="640" w:firstLineChars="200"/>
        <w:rPr>
          <w:rFonts w:hint="eastAsia" w:ascii="仿宋_GB2312" w:hAnsi="仿宋_GB2312" w:eastAsia="仿宋_GB2312" w:cs="仿宋_GB2312"/>
          <w:color w:val="auto"/>
          <w:sz w:val="32"/>
          <w:szCs w:val="32"/>
          <w:highlight w:val="none"/>
          <w:u w:val="none"/>
          <w:lang w:val="en-US" w:eastAsia="zh-CN"/>
        </w:rPr>
      </w:pPr>
    </w:p>
    <w:p w14:paraId="737414FA">
      <w:pPr>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防城港市港口区人民法院</w:t>
      </w:r>
    </w:p>
    <w:p w14:paraId="75C33800">
      <w:pPr>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年   月   日</w:t>
      </w:r>
    </w:p>
    <w:p w14:paraId="40D3A4C6">
      <w:pPr>
        <w:ind w:firstLine="640" w:firstLineChars="200"/>
        <w:rPr>
          <w:rFonts w:hint="eastAsia" w:ascii="仿宋_GB2312" w:hAnsi="仿宋_GB2312" w:eastAsia="仿宋_GB2312" w:cs="仿宋_GB2312"/>
          <w:color w:val="auto"/>
          <w:sz w:val="32"/>
          <w:szCs w:val="32"/>
          <w:highlight w:val="none"/>
          <w:u w:val="none"/>
          <w:lang w:val="en-US" w:eastAsia="zh-CN"/>
        </w:rPr>
      </w:pPr>
    </w:p>
    <w:p w14:paraId="6B7EAE84">
      <w:pPr>
        <w:ind w:firstLine="640" w:firstLineChars="200"/>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（联系人及电话：***，0770-2810070）</w:t>
      </w:r>
    </w:p>
    <w:p w14:paraId="68ADEEED">
      <w:pPr>
        <w:pStyle w:val="37"/>
        <w:spacing w:line="360" w:lineRule="auto"/>
        <w:jc w:val="left"/>
        <w:rPr>
          <w:rFonts w:hint="eastAsia" w:ascii="Times New Roman" w:hAnsi="Times New Roman"/>
          <w:color w:val="auto"/>
          <w:sz w:val="30"/>
          <w:szCs w:val="30"/>
          <w:highlight w:val="none"/>
        </w:rPr>
      </w:pPr>
    </w:p>
    <w:p w14:paraId="5C1300EC">
      <w:pPr>
        <w:pStyle w:val="14"/>
        <w:rPr>
          <w:color w:val="auto"/>
          <w:highlight w:val="none"/>
        </w:rPr>
      </w:pPr>
    </w:p>
    <w:p w14:paraId="691131A8">
      <w:pPr>
        <w:ind w:firstLine="420" w:firstLineChars="200"/>
        <w:rPr>
          <w:rFonts w:hint="eastAsia"/>
          <w:color w:val="auto"/>
          <w:highlight w:val="none"/>
          <w:lang w:val="en-US" w:eastAsia="zh-CN"/>
        </w:rPr>
      </w:pPr>
      <w:r>
        <w:rPr>
          <w:rFonts w:hint="eastAsia"/>
          <w:color w:val="auto"/>
          <w:highlight w:val="none"/>
          <w:lang w:val="en-US" w:eastAsia="zh-CN"/>
        </w:rPr>
        <w:t>附件16：</w:t>
      </w:r>
    </w:p>
    <w:p w14:paraId="27B915B4">
      <w:pPr>
        <w:ind w:firstLine="420" w:firstLineChars="200"/>
        <w:rPr>
          <w:rFonts w:hint="eastAsia"/>
          <w:color w:val="auto"/>
          <w:sz w:val="44"/>
          <w:szCs w:val="44"/>
          <w:highlight w:val="none"/>
          <w:lang w:val="en-US" w:eastAsia="zh-CN"/>
        </w:rPr>
      </w:pPr>
      <w:r>
        <w:rPr>
          <w:rFonts w:hint="eastAsia"/>
          <w:color w:val="auto"/>
          <w:highlight w:val="none"/>
          <w:lang w:val="en-US" w:eastAsia="zh-CN"/>
        </w:rPr>
        <w:t xml:space="preserve">      </w:t>
      </w:r>
      <w:r>
        <w:rPr>
          <w:rFonts w:hint="eastAsia"/>
          <w:color w:val="auto"/>
          <w:sz w:val="44"/>
          <w:szCs w:val="44"/>
          <w:highlight w:val="none"/>
          <w:u w:val="single"/>
          <w:lang w:val="en-US" w:eastAsia="zh-CN"/>
        </w:rPr>
        <w:t xml:space="preserve">       </w:t>
      </w:r>
      <w:r>
        <w:rPr>
          <w:rFonts w:hint="eastAsia"/>
          <w:color w:val="auto"/>
          <w:sz w:val="44"/>
          <w:szCs w:val="44"/>
          <w:highlight w:val="none"/>
          <w:u w:val="none"/>
          <w:lang w:val="en-US" w:eastAsia="zh-CN"/>
        </w:rPr>
        <w:t>项目</w:t>
      </w:r>
      <w:r>
        <w:rPr>
          <w:rFonts w:hint="eastAsia"/>
          <w:color w:val="auto"/>
          <w:sz w:val="44"/>
          <w:szCs w:val="44"/>
          <w:highlight w:val="none"/>
          <w:lang w:val="en-US" w:eastAsia="zh-CN"/>
        </w:rPr>
        <w:t>安全文明施工费使用明细表</w:t>
      </w:r>
    </w:p>
    <w:p w14:paraId="05081A4A">
      <w:pPr>
        <w:ind w:firstLine="640" w:firstLineChars="200"/>
        <w:rPr>
          <w:rFonts w:hint="default"/>
          <w:color w:val="auto"/>
          <w:sz w:val="32"/>
          <w:szCs w:val="32"/>
          <w:highlight w:val="none"/>
          <w:lang w:val="en-US" w:eastAsia="zh-CN"/>
        </w:rPr>
      </w:pPr>
      <w:r>
        <w:rPr>
          <w:rFonts w:hint="eastAsia"/>
          <w:color w:val="auto"/>
          <w:sz w:val="32"/>
          <w:szCs w:val="32"/>
          <w:highlight w:val="none"/>
          <w:lang w:val="en-US" w:eastAsia="zh-CN"/>
        </w:rPr>
        <w:t>施工单位（盖章）：     填表人：             日期：</w:t>
      </w:r>
    </w:p>
    <w:tbl>
      <w:tblPr>
        <w:tblStyle w:val="23"/>
        <w:tblpPr w:leftFromText="180" w:rightFromText="180" w:vertAnchor="page" w:horzAnchor="page" w:tblpX="1018" w:tblpY="2793"/>
        <w:tblOverlap w:val="never"/>
        <w:tblW w:w="10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746"/>
        <w:gridCol w:w="1470"/>
        <w:gridCol w:w="1305"/>
        <w:gridCol w:w="1425"/>
        <w:gridCol w:w="1155"/>
        <w:gridCol w:w="1338"/>
      </w:tblGrid>
      <w:tr w14:paraId="7041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38" w:type="dxa"/>
            <w:vAlign w:val="center"/>
          </w:tcPr>
          <w:p w14:paraId="3E136722">
            <w:pPr>
              <w:jc w:val="center"/>
              <w:rPr>
                <w:rFonts w:hint="eastAsia" w:eastAsiaTheme="minorEastAsia"/>
                <w:color w:val="auto"/>
                <w:sz w:val="32"/>
                <w:szCs w:val="32"/>
                <w:highlight w:val="none"/>
                <w:vertAlign w:val="baseline"/>
                <w:lang w:val="en-US" w:eastAsia="zh-CN"/>
              </w:rPr>
            </w:pPr>
            <w:r>
              <w:rPr>
                <w:rFonts w:hint="eastAsia"/>
                <w:color w:val="auto"/>
                <w:sz w:val="32"/>
                <w:szCs w:val="32"/>
                <w:highlight w:val="none"/>
                <w:vertAlign w:val="baseline"/>
                <w:lang w:val="en-US" w:eastAsia="zh-CN"/>
              </w:rPr>
              <w:t>序号</w:t>
            </w:r>
          </w:p>
        </w:tc>
        <w:tc>
          <w:tcPr>
            <w:tcW w:w="2746" w:type="dxa"/>
            <w:vAlign w:val="center"/>
          </w:tcPr>
          <w:p w14:paraId="42334BA5">
            <w:pPr>
              <w:jc w:val="center"/>
              <w:rPr>
                <w:rFonts w:hint="eastAsia" w:eastAsiaTheme="minorEastAsia"/>
                <w:color w:val="auto"/>
                <w:sz w:val="32"/>
                <w:szCs w:val="32"/>
                <w:highlight w:val="none"/>
                <w:vertAlign w:val="baseline"/>
                <w:lang w:val="en-US" w:eastAsia="zh-CN"/>
              </w:rPr>
            </w:pPr>
            <w:r>
              <w:rPr>
                <w:rFonts w:hint="eastAsia"/>
                <w:color w:val="auto"/>
                <w:sz w:val="32"/>
                <w:szCs w:val="32"/>
                <w:highlight w:val="none"/>
                <w:vertAlign w:val="baseline"/>
                <w:lang w:val="en-US" w:eastAsia="zh-CN"/>
              </w:rPr>
              <w:t>内容</w:t>
            </w:r>
          </w:p>
        </w:tc>
        <w:tc>
          <w:tcPr>
            <w:tcW w:w="1470" w:type="dxa"/>
            <w:vAlign w:val="center"/>
          </w:tcPr>
          <w:p w14:paraId="59033E47">
            <w:pPr>
              <w:jc w:val="center"/>
              <w:rPr>
                <w:rFonts w:hint="eastAsia" w:eastAsiaTheme="minorEastAsia"/>
                <w:color w:val="auto"/>
                <w:sz w:val="32"/>
                <w:szCs w:val="32"/>
                <w:highlight w:val="none"/>
                <w:vertAlign w:val="baseline"/>
                <w:lang w:val="en-US" w:eastAsia="zh-CN"/>
              </w:rPr>
            </w:pPr>
            <w:r>
              <w:rPr>
                <w:rFonts w:hint="eastAsia"/>
                <w:color w:val="auto"/>
                <w:sz w:val="32"/>
                <w:szCs w:val="32"/>
                <w:highlight w:val="none"/>
                <w:vertAlign w:val="baseline"/>
                <w:lang w:val="en-US" w:eastAsia="zh-CN"/>
              </w:rPr>
              <w:t>规格</w:t>
            </w:r>
          </w:p>
        </w:tc>
        <w:tc>
          <w:tcPr>
            <w:tcW w:w="1305" w:type="dxa"/>
            <w:vAlign w:val="center"/>
          </w:tcPr>
          <w:p w14:paraId="0423141C">
            <w:pPr>
              <w:jc w:val="center"/>
              <w:rPr>
                <w:rFonts w:hint="eastAsia" w:eastAsiaTheme="minorEastAsia"/>
                <w:color w:val="auto"/>
                <w:sz w:val="32"/>
                <w:szCs w:val="32"/>
                <w:highlight w:val="none"/>
                <w:vertAlign w:val="baseline"/>
                <w:lang w:val="en-US" w:eastAsia="zh-CN"/>
              </w:rPr>
            </w:pPr>
            <w:r>
              <w:rPr>
                <w:rFonts w:hint="eastAsia"/>
                <w:color w:val="auto"/>
                <w:sz w:val="32"/>
                <w:szCs w:val="32"/>
                <w:highlight w:val="none"/>
                <w:vertAlign w:val="baseline"/>
                <w:lang w:val="en-US" w:eastAsia="zh-CN"/>
              </w:rPr>
              <w:t>材质</w:t>
            </w:r>
          </w:p>
        </w:tc>
        <w:tc>
          <w:tcPr>
            <w:tcW w:w="1425" w:type="dxa"/>
            <w:vAlign w:val="center"/>
          </w:tcPr>
          <w:p w14:paraId="7B0DC368">
            <w:pPr>
              <w:jc w:val="center"/>
              <w:rPr>
                <w:rFonts w:hint="default"/>
                <w:color w:val="auto"/>
                <w:sz w:val="32"/>
                <w:szCs w:val="32"/>
                <w:highlight w:val="none"/>
                <w:vertAlign w:val="baseline"/>
                <w:lang w:val="en-US" w:eastAsia="zh-CN"/>
              </w:rPr>
            </w:pPr>
            <w:r>
              <w:rPr>
                <w:rFonts w:hint="eastAsia"/>
                <w:color w:val="auto"/>
                <w:sz w:val="32"/>
                <w:szCs w:val="32"/>
                <w:highlight w:val="none"/>
                <w:vertAlign w:val="baseline"/>
                <w:lang w:val="en-US" w:eastAsia="zh-CN"/>
              </w:rPr>
              <w:t>数量</w:t>
            </w:r>
          </w:p>
        </w:tc>
        <w:tc>
          <w:tcPr>
            <w:tcW w:w="1155" w:type="dxa"/>
            <w:vAlign w:val="center"/>
          </w:tcPr>
          <w:p w14:paraId="50E2F1F1">
            <w:pPr>
              <w:jc w:val="center"/>
              <w:rPr>
                <w:rFonts w:hint="eastAsia" w:eastAsiaTheme="minorEastAsia"/>
                <w:color w:val="auto"/>
                <w:sz w:val="32"/>
                <w:szCs w:val="32"/>
                <w:highlight w:val="none"/>
                <w:vertAlign w:val="baseline"/>
                <w:lang w:val="en-US" w:eastAsia="zh-CN"/>
              </w:rPr>
            </w:pPr>
            <w:r>
              <w:rPr>
                <w:rFonts w:hint="eastAsia"/>
                <w:color w:val="auto"/>
                <w:sz w:val="32"/>
                <w:szCs w:val="32"/>
                <w:highlight w:val="none"/>
                <w:vertAlign w:val="baseline"/>
                <w:lang w:val="en-US" w:eastAsia="zh-CN"/>
              </w:rPr>
              <w:t>费用（元）</w:t>
            </w:r>
          </w:p>
        </w:tc>
        <w:tc>
          <w:tcPr>
            <w:tcW w:w="1338" w:type="dxa"/>
            <w:vAlign w:val="center"/>
          </w:tcPr>
          <w:p w14:paraId="4C0EAE49">
            <w:pPr>
              <w:jc w:val="center"/>
              <w:rPr>
                <w:rFonts w:hint="eastAsia" w:eastAsiaTheme="minorEastAsia"/>
                <w:color w:val="auto"/>
                <w:sz w:val="32"/>
                <w:szCs w:val="32"/>
                <w:highlight w:val="none"/>
                <w:vertAlign w:val="baseline"/>
                <w:lang w:val="en-US" w:eastAsia="zh-CN"/>
              </w:rPr>
            </w:pPr>
            <w:r>
              <w:rPr>
                <w:rFonts w:hint="eastAsia"/>
                <w:color w:val="auto"/>
                <w:sz w:val="32"/>
                <w:szCs w:val="32"/>
                <w:highlight w:val="none"/>
                <w:vertAlign w:val="baseline"/>
                <w:lang w:val="en-US" w:eastAsia="zh-CN"/>
              </w:rPr>
              <w:t>备注</w:t>
            </w:r>
          </w:p>
        </w:tc>
      </w:tr>
      <w:tr w14:paraId="567E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38" w:type="dxa"/>
            <w:vAlign w:val="center"/>
          </w:tcPr>
          <w:p w14:paraId="49C838FB">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2746" w:type="dxa"/>
            <w:vAlign w:val="center"/>
          </w:tcPr>
          <w:p w14:paraId="1CC3B71A">
            <w:pPr>
              <w:jc w:val="center"/>
              <w:rPr>
                <w:color w:val="auto"/>
                <w:highlight w:val="none"/>
                <w:vertAlign w:val="baseline"/>
              </w:rPr>
            </w:pPr>
          </w:p>
        </w:tc>
        <w:tc>
          <w:tcPr>
            <w:tcW w:w="1470" w:type="dxa"/>
            <w:vAlign w:val="center"/>
          </w:tcPr>
          <w:p w14:paraId="15D45692">
            <w:pPr>
              <w:jc w:val="center"/>
              <w:rPr>
                <w:color w:val="auto"/>
                <w:highlight w:val="none"/>
                <w:vertAlign w:val="baseline"/>
              </w:rPr>
            </w:pPr>
          </w:p>
        </w:tc>
        <w:tc>
          <w:tcPr>
            <w:tcW w:w="1305" w:type="dxa"/>
            <w:vAlign w:val="center"/>
          </w:tcPr>
          <w:p w14:paraId="099B769B">
            <w:pPr>
              <w:jc w:val="center"/>
              <w:rPr>
                <w:color w:val="auto"/>
                <w:highlight w:val="none"/>
                <w:vertAlign w:val="baseline"/>
              </w:rPr>
            </w:pPr>
          </w:p>
        </w:tc>
        <w:tc>
          <w:tcPr>
            <w:tcW w:w="1425" w:type="dxa"/>
            <w:vAlign w:val="center"/>
          </w:tcPr>
          <w:p w14:paraId="0612FB25">
            <w:pPr>
              <w:jc w:val="center"/>
              <w:rPr>
                <w:color w:val="auto"/>
                <w:highlight w:val="none"/>
                <w:vertAlign w:val="baseline"/>
              </w:rPr>
            </w:pPr>
          </w:p>
        </w:tc>
        <w:tc>
          <w:tcPr>
            <w:tcW w:w="1155" w:type="dxa"/>
            <w:vAlign w:val="center"/>
          </w:tcPr>
          <w:p w14:paraId="524BE51D">
            <w:pPr>
              <w:jc w:val="center"/>
              <w:rPr>
                <w:color w:val="auto"/>
                <w:highlight w:val="none"/>
                <w:vertAlign w:val="baseline"/>
              </w:rPr>
            </w:pPr>
          </w:p>
        </w:tc>
        <w:tc>
          <w:tcPr>
            <w:tcW w:w="1338" w:type="dxa"/>
            <w:vAlign w:val="center"/>
          </w:tcPr>
          <w:p w14:paraId="24D52D83">
            <w:pPr>
              <w:jc w:val="center"/>
              <w:rPr>
                <w:color w:val="auto"/>
                <w:highlight w:val="none"/>
                <w:vertAlign w:val="baseline"/>
              </w:rPr>
            </w:pPr>
          </w:p>
        </w:tc>
      </w:tr>
      <w:tr w14:paraId="5919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38" w:type="dxa"/>
            <w:vAlign w:val="center"/>
          </w:tcPr>
          <w:p w14:paraId="3B0DAF68">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2746" w:type="dxa"/>
            <w:vAlign w:val="center"/>
          </w:tcPr>
          <w:p w14:paraId="69B55588">
            <w:pPr>
              <w:jc w:val="center"/>
              <w:rPr>
                <w:color w:val="auto"/>
                <w:highlight w:val="none"/>
                <w:vertAlign w:val="baseline"/>
              </w:rPr>
            </w:pPr>
          </w:p>
        </w:tc>
        <w:tc>
          <w:tcPr>
            <w:tcW w:w="1470" w:type="dxa"/>
            <w:vAlign w:val="center"/>
          </w:tcPr>
          <w:p w14:paraId="4223A0E5">
            <w:pPr>
              <w:jc w:val="center"/>
              <w:rPr>
                <w:color w:val="auto"/>
                <w:highlight w:val="none"/>
                <w:vertAlign w:val="baseline"/>
              </w:rPr>
            </w:pPr>
          </w:p>
        </w:tc>
        <w:tc>
          <w:tcPr>
            <w:tcW w:w="1305" w:type="dxa"/>
            <w:vAlign w:val="center"/>
          </w:tcPr>
          <w:p w14:paraId="4817015F">
            <w:pPr>
              <w:jc w:val="center"/>
              <w:rPr>
                <w:color w:val="auto"/>
                <w:highlight w:val="none"/>
                <w:vertAlign w:val="baseline"/>
              </w:rPr>
            </w:pPr>
          </w:p>
        </w:tc>
        <w:tc>
          <w:tcPr>
            <w:tcW w:w="1425" w:type="dxa"/>
            <w:vAlign w:val="center"/>
          </w:tcPr>
          <w:p w14:paraId="6A46F996">
            <w:pPr>
              <w:jc w:val="center"/>
              <w:rPr>
                <w:color w:val="auto"/>
                <w:highlight w:val="none"/>
                <w:vertAlign w:val="baseline"/>
              </w:rPr>
            </w:pPr>
          </w:p>
        </w:tc>
        <w:tc>
          <w:tcPr>
            <w:tcW w:w="1155" w:type="dxa"/>
            <w:vAlign w:val="center"/>
          </w:tcPr>
          <w:p w14:paraId="3E123731">
            <w:pPr>
              <w:jc w:val="center"/>
              <w:rPr>
                <w:color w:val="auto"/>
                <w:highlight w:val="none"/>
                <w:vertAlign w:val="baseline"/>
              </w:rPr>
            </w:pPr>
          </w:p>
        </w:tc>
        <w:tc>
          <w:tcPr>
            <w:tcW w:w="1338" w:type="dxa"/>
            <w:vAlign w:val="center"/>
          </w:tcPr>
          <w:p w14:paraId="3EA17A87">
            <w:pPr>
              <w:jc w:val="center"/>
              <w:rPr>
                <w:color w:val="auto"/>
                <w:highlight w:val="none"/>
                <w:vertAlign w:val="baseline"/>
              </w:rPr>
            </w:pPr>
          </w:p>
        </w:tc>
      </w:tr>
      <w:tr w14:paraId="0074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38" w:type="dxa"/>
            <w:vAlign w:val="center"/>
          </w:tcPr>
          <w:p w14:paraId="78C3E34D">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3</w:t>
            </w:r>
          </w:p>
        </w:tc>
        <w:tc>
          <w:tcPr>
            <w:tcW w:w="2746" w:type="dxa"/>
            <w:vAlign w:val="center"/>
          </w:tcPr>
          <w:p w14:paraId="65FCEC52">
            <w:pPr>
              <w:jc w:val="center"/>
              <w:rPr>
                <w:color w:val="auto"/>
                <w:highlight w:val="none"/>
                <w:vertAlign w:val="baseline"/>
              </w:rPr>
            </w:pPr>
          </w:p>
        </w:tc>
        <w:tc>
          <w:tcPr>
            <w:tcW w:w="1470" w:type="dxa"/>
            <w:vAlign w:val="center"/>
          </w:tcPr>
          <w:p w14:paraId="2BD9B203">
            <w:pPr>
              <w:jc w:val="center"/>
              <w:rPr>
                <w:color w:val="auto"/>
                <w:highlight w:val="none"/>
                <w:vertAlign w:val="baseline"/>
              </w:rPr>
            </w:pPr>
          </w:p>
        </w:tc>
        <w:tc>
          <w:tcPr>
            <w:tcW w:w="1305" w:type="dxa"/>
            <w:vAlign w:val="center"/>
          </w:tcPr>
          <w:p w14:paraId="34D63E91">
            <w:pPr>
              <w:jc w:val="center"/>
              <w:rPr>
                <w:color w:val="auto"/>
                <w:highlight w:val="none"/>
                <w:vertAlign w:val="baseline"/>
              </w:rPr>
            </w:pPr>
          </w:p>
        </w:tc>
        <w:tc>
          <w:tcPr>
            <w:tcW w:w="1425" w:type="dxa"/>
            <w:vAlign w:val="center"/>
          </w:tcPr>
          <w:p w14:paraId="46AC3F72">
            <w:pPr>
              <w:jc w:val="center"/>
              <w:rPr>
                <w:color w:val="auto"/>
                <w:highlight w:val="none"/>
                <w:vertAlign w:val="baseline"/>
              </w:rPr>
            </w:pPr>
          </w:p>
        </w:tc>
        <w:tc>
          <w:tcPr>
            <w:tcW w:w="1155" w:type="dxa"/>
            <w:vAlign w:val="center"/>
          </w:tcPr>
          <w:p w14:paraId="763C9BE5">
            <w:pPr>
              <w:jc w:val="center"/>
              <w:rPr>
                <w:color w:val="auto"/>
                <w:highlight w:val="none"/>
                <w:vertAlign w:val="baseline"/>
              </w:rPr>
            </w:pPr>
          </w:p>
        </w:tc>
        <w:tc>
          <w:tcPr>
            <w:tcW w:w="1338" w:type="dxa"/>
            <w:vAlign w:val="center"/>
          </w:tcPr>
          <w:p w14:paraId="0C72231E">
            <w:pPr>
              <w:jc w:val="center"/>
              <w:rPr>
                <w:color w:val="auto"/>
                <w:highlight w:val="none"/>
                <w:vertAlign w:val="baseline"/>
              </w:rPr>
            </w:pPr>
          </w:p>
        </w:tc>
      </w:tr>
      <w:tr w14:paraId="1F7D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38" w:type="dxa"/>
            <w:vAlign w:val="center"/>
          </w:tcPr>
          <w:p w14:paraId="6D3CB0E6">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4</w:t>
            </w:r>
          </w:p>
        </w:tc>
        <w:tc>
          <w:tcPr>
            <w:tcW w:w="2746" w:type="dxa"/>
            <w:vAlign w:val="center"/>
          </w:tcPr>
          <w:p w14:paraId="7AECE902">
            <w:pPr>
              <w:jc w:val="center"/>
              <w:rPr>
                <w:color w:val="auto"/>
                <w:highlight w:val="none"/>
                <w:vertAlign w:val="baseline"/>
              </w:rPr>
            </w:pPr>
          </w:p>
        </w:tc>
        <w:tc>
          <w:tcPr>
            <w:tcW w:w="1470" w:type="dxa"/>
            <w:vAlign w:val="center"/>
          </w:tcPr>
          <w:p w14:paraId="32872C64">
            <w:pPr>
              <w:jc w:val="center"/>
              <w:rPr>
                <w:color w:val="auto"/>
                <w:highlight w:val="none"/>
                <w:vertAlign w:val="baseline"/>
              </w:rPr>
            </w:pPr>
          </w:p>
        </w:tc>
        <w:tc>
          <w:tcPr>
            <w:tcW w:w="1305" w:type="dxa"/>
            <w:vAlign w:val="center"/>
          </w:tcPr>
          <w:p w14:paraId="0A442138">
            <w:pPr>
              <w:jc w:val="center"/>
              <w:rPr>
                <w:color w:val="auto"/>
                <w:highlight w:val="none"/>
                <w:vertAlign w:val="baseline"/>
              </w:rPr>
            </w:pPr>
          </w:p>
        </w:tc>
        <w:tc>
          <w:tcPr>
            <w:tcW w:w="1425" w:type="dxa"/>
            <w:vAlign w:val="center"/>
          </w:tcPr>
          <w:p w14:paraId="248E8907">
            <w:pPr>
              <w:jc w:val="center"/>
              <w:rPr>
                <w:color w:val="auto"/>
                <w:highlight w:val="none"/>
                <w:vertAlign w:val="baseline"/>
              </w:rPr>
            </w:pPr>
          </w:p>
        </w:tc>
        <w:tc>
          <w:tcPr>
            <w:tcW w:w="1155" w:type="dxa"/>
            <w:vAlign w:val="center"/>
          </w:tcPr>
          <w:p w14:paraId="64AB3ADF">
            <w:pPr>
              <w:jc w:val="center"/>
              <w:rPr>
                <w:color w:val="auto"/>
                <w:highlight w:val="none"/>
                <w:vertAlign w:val="baseline"/>
              </w:rPr>
            </w:pPr>
          </w:p>
        </w:tc>
        <w:tc>
          <w:tcPr>
            <w:tcW w:w="1338" w:type="dxa"/>
            <w:vAlign w:val="center"/>
          </w:tcPr>
          <w:p w14:paraId="3F30BA7F">
            <w:pPr>
              <w:jc w:val="center"/>
              <w:rPr>
                <w:color w:val="auto"/>
                <w:highlight w:val="none"/>
                <w:vertAlign w:val="baseline"/>
              </w:rPr>
            </w:pPr>
          </w:p>
        </w:tc>
      </w:tr>
      <w:tr w14:paraId="40A3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38" w:type="dxa"/>
            <w:vAlign w:val="center"/>
          </w:tcPr>
          <w:p w14:paraId="4C10A530">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5</w:t>
            </w:r>
          </w:p>
        </w:tc>
        <w:tc>
          <w:tcPr>
            <w:tcW w:w="2746" w:type="dxa"/>
            <w:vAlign w:val="center"/>
          </w:tcPr>
          <w:p w14:paraId="59D2E82E">
            <w:pPr>
              <w:jc w:val="center"/>
              <w:rPr>
                <w:color w:val="auto"/>
                <w:highlight w:val="none"/>
                <w:vertAlign w:val="baseline"/>
              </w:rPr>
            </w:pPr>
          </w:p>
        </w:tc>
        <w:tc>
          <w:tcPr>
            <w:tcW w:w="1470" w:type="dxa"/>
            <w:vAlign w:val="center"/>
          </w:tcPr>
          <w:p w14:paraId="1BDA9D4C">
            <w:pPr>
              <w:jc w:val="center"/>
              <w:rPr>
                <w:color w:val="auto"/>
                <w:highlight w:val="none"/>
                <w:vertAlign w:val="baseline"/>
              </w:rPr>
            </w:pPr>
          </w:p>
        </w:tc>
        <w:tc>
          <w:tcPr>
            <w:tcW w:w="1305" w:type="dxa"/>
            <w:vAlign w:val="center"/>
          </w:tcPr>
          <w:p w14:paraId="470676D9">
            <w:pPr>
              <w:jc w:val="center"/>
              <w:rPr>
                <w:color w:val="auto"/>
                <w:highlight w:val="none"/>
                <w:vertAlign w:val="baseline"/>
              </w:rPr>
            </w:pPr>
          </w:p>
        </w:tc>
        <w:tc>
          <w:tcPr>
            <w:tcW w:w="1425" w:type="dxa"/>
            <w:vAlign w:val="center"/>
          </w:tcPr>
          <w:p w14:paraId="2A5D6F0F">
            <w:pPr>
              <w:jc w:val="center"/>
              <w:rPr>
                <w:color w:val="auto"/>
                <w:highlight w:val="none"/>
                <w:vertAlign w:val="baseline"/>
              </w:rPr>
            </w:pPr>
          </w:p>
        </w:tc>
        <w:tc>
          <w:tcPr>
            <w:tcW w:w="1155" w:type="dxa"/>
            <w:vAlign w:val="center"/>
          </w:tcPr>
          <w:p w14:paraId="2BA34EB8">
            <w:pPr>
              <w:jc w:val="center"/>
              <w:rPr>
                <w:color w:val="auto"/>
                <w:highlight w:val="none"/>
                <w:vertAlign w:val="baseline"/>
              </w:rPr>
            </w:pPr>
          </w:p>
        </w:tc>
        <w:tc>
          <w:tcPr>
            <w:tcW w:w="1338" w:type="dxa"/>
            <w:vAlign w:val="center"/>
          </w:tcPr>
          <w:p w14:paraId="2F3733C9">
            <w:pPr>
              <w:jc w:val="center"/>
              <w:rPr>
                <w:color w:val="auto"/>
                <w:highlight w:val="none"/>
                <w:vertAlign w:val="baseline"/>
              </w:rPr>
            </w:pPr>
          </w:p>
        </w:tc>
      </w:tr>
    </w:tbl>
    <w:p w14:paraId="74B1E6FB">
      <w:pPr>
        <w:rPr>
          <w:rFonts w:hint="eastAsia"/>
          <w:color w:val="auto"/>
          <w:highlight w:val="none"/>
          <w:lang w:val="en-US" w:eastAsia="zh-CN"/>
        </w:rPr>
      </w:pPr>
    </w:p>
    <w:p w14:paraId="07110310">
      <w:pPr>
        <w:ind w:firstLine="420" w:firstLineChars="200"/>
        <w:rPr>
          <w:rFonts w:hint="default"/>
          <w:color w:val="auto"/>
          <w:highlight w:val="none"/>
          <w:lang w:val="en-US" w:eastAsia="zh-CN"/>
        </w:rPr>
      </w:pPr>
      <w:r>
        <w:rPr>
          <w:rFonts w:hint="eastAsia"/>
          <w:color w:val="auto"/>
          <w:highlight w:val="none"/>
          <w:lang w:val="en-US" w:eastAsia="zh-CN"/>
        </w:rPr>
        <w:t>注：1.此表作为施工方结算安全文明施工费的依据，不提供的该费用不予结算。2.在申请工程款时一并提交，并附上现场图片。3.监理单位负有审核责任，因监理不到位按合同相关条款约定追究责任。4.</w:t>
      </w:r>
      <w:r>
        <w:rPr>
          <w:rFonts w:hint="eastAsia" w:ascii="宋体" w:hAnsi="宋体" w:eastAsia="宋体" w:cs="宋体"/>
          <w:i w:val="0"/>
          <w:iCs w:val="0"/>
          <w:color w:val="auto"/>
          <w:kern w:val="0"/>
          <w:sz w:val="22"/>
          <w:szCs w:val="22"/>
          <w:highlight w:val="none"/>
          <w:u w:val="none"/>
          <w:lang w:val="en-US" w:eastAsia="zh-CN" w:bidi="ar"/>
        </w:rPr>
        <w:t>施工单位对该表的真实性负责，因弄虚作假后果自负。</w:t>
      </w:r>
    </w:p>
    <w:p w14:paraId="39B720B6">
      <w:pPr>
        <w:rPr>
          <w:color w:val="auto"/>
          <w:highlight w:val="none"/>
        </w:rPr>
      </w:pPr>
    </w:p>
    <w:p w14:paraId="03D9E909">
      <w:pPr>
        <w:rPr>
          <w:color w:val="auto"/>
          <w:highlight w:val="none"/>
        </w:rPr>
      </w:pPr>
    </w:p>
    <w:p w14:paraId="7005DD8B">
      <w:pPr>
        <w:rPr>
          <w:color w:val="auto"/>
          <w:highlight w:val="none"/>
        </w:rPr>
      </w:pPr>
    </w:p>
    <w:p w14:paraId="17B067CA">
      <w:pPr>
        <w:rPr>
          <w:color w:val="auto"/>
          <w:highlight w:val="none"/>
        </w:rPr>
      </w:pPr>
    </w:p>
    <w:p w14:paraId="0AB0AA11">
      <w:pPr>
        <w:rPr>
          <w:color w:val="auto"/>
          <w:highlight w:val="none"/>
        </w:rPr>
      </w:pPr>
    </w:p>
    <w:p w14:paraId="099A243F">
      <w:pPr>
        <w:rPr>
          <w:color w:val="auto"/>
          <w:highlight w:val="none"/>
        </w:rPr>
      </w:pPr>
    </w:p>
    <w:p w14:paraId="2DA3201B">
      <w:pPr>
        <w:rPr>
          <w:color w:val="auto"/>
          <w:highlight w:val="none"/>
        </w:rPr>
      </w:pPr>
    </w:p>
    <w:p w14:paraId="30A6EA0E">
      <w:pPr>
        <w:rPr>
          <w:color w:val="auto"/>
          <w:highlight w:val="none"/>
        </w:rPr>
      </w:pPr>
    </w:p>
    <w:p w14:paraId="39E0B377">
      <w:pPr>
        <w:rPr>
          <w:color w:val="auto"/>
          <w:highlight w:val="none"/>
        </w:rPr>
      </w:pPr>
    </w:p>
    <w:p w14:paraId="31B912C1">
      <w:pPr>
        <w:rPr>
          <w:color w:val="auto"/>
          <w:highlight w:val="none"/>
        </w:rPr>
      </w:pPr>
    </w:p>
    <w:p w14:paraId="4575CBE7">
      <w:pPr>
        <w:rPr>
          <w:color w:val="auto"/>
          <w:highlight w:val="none"/>
        </w:rPr>
      </w:pPr>
    </w:p>
    <w:p w14:paraId="1976749C">
      <w:pPr>
        <w:ind w:firstLine="420" w:firstLineChars="200"/>
        <w:rPr>
          <w:rFonts w:hint="eastAsia"/>
          <w:color w:val="auto"/>
          <w:highlight w:val="none"/>
          <w:lang w:val="en-US" w:eastAsia="zh-CN"/>
        </w:rPr>
      </w:pPr>
      <w:r>
        <w:rPr>
          <w:rFonts w:hint="eastAsia"/>
          <w:color w:val="auto"/>
          <w:highlight w:val="none"/>
          <w:lang w:val="en-US" w:eastAsia="zh-CN"/>
        </w:rPr>
        <w:br w:type="page"/>
      </w:r>
    </w:p>
    <w:p w14:paraId="55AC7A5C">
      <w:pPr>
        <w:ind w:firstLine="420" w:firstLineChars="200"/>
        <w:rPr>
          <w:rFonts w:hint="default" w:eastAsia="宋体"/>
          <w:color w:val="auto"/>
          <w:highlight w:val="none"/>
          <w:lang w:val="en-US" w:eastAsia="zh-CN"/>
        </w:rPr>
      </w:pPr>
      <w:r>
        <w:rPr>
          <w:rFonts w:hint="eastAsia"/>
          <w:color w:val="auto"/>
          <w:highlight w:val="none"/>
          <w:lang w:val="en-US" w:eastAsia="zh-CN"/>
        </w:rPr>
        <w:t>附件17：</w:t>
      </w:r>
    </w:p>
    <w:tbl>
      <w:tblPr>
        <w:tblStyle w:val="22"/>
        <w:tblW w:w="8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705"/>
        <w:gridCol w:w="705"/>
        <w:gridCol w:w="705"/>
        <w:gridCol w:w="705"/>
        <w:gridCol w:w="705"/>
        <w:gridCol w:w="705"/>
        <w:gridCol w:w="705"/>
        <w:gridCol w:w="705"/>
        <w:gridCol w:w="705"/>
        <w:gridCol w:w="705"/>
        <w:gridCol w:w="705"/>
      </w:tblGrid>
      <w:tr w14:paraId="1AA1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460" w:type="dxa"/>
            <w:gridSpan w:val="12"/>
            <w:tcBorders>
              <w:top w:val="nil"/>
              <w:left w:val="nil"/>
              <w:bottom w:val="nil"/>
              <w:right w:val="nil"/>
            </w:tcBorders>
            <w:shd w:val="clear" w:color="auto" w:fill="auto"/>
            <w:vAlign w:val="center"/>
          </w:tcPr>
          <w:p w14:paraId="0A9F4EB8">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single"/>
              </w:rPr>
            </w:pPr>
            <w:r>
              <w:rPr>
                <w:rFonts w:hint="eastAsia" w:ascii="宋体" w:hAnsi="宋体" w:eastAsia="宋体" w:cs="宋体"/>
                <w:i w:val="0"/>
                <w:iCs w:val="0"/>
                <w:color w:val="auto"/>
                <w:kern w:val="0"/>
                <w:sz w:val="36"/>
                <w:szCs w:val="36"/>
                <w:highlight w:val="none"/>
                <w:u w:val="single"/>
                <w:lang w:val="en-US" w:eastAsia="zh-CN" w:bidi="ar"/>
              </w:rPr>
              <w:t xml:space="preserve">                   </w:t>
            </w:r>
            <w:r>
              <w:rPr>
                <w:rFonts w:hint="eastAsia" w:ascii="宋体" w:hAnsi="宋体" w:eastAsia="宋体" w:cs="宋体"/>
                <w:i w:val="0"/>
                <w:iCs w:val="0"/>
                <w:color w:val="auto"/>
                <w:kern w:val="0"/>
                <w:sz w:val="36"/>
                <w:szCs w:val="36"/>
                <w:highlight w:val="none"/>
                <w:u w:val="none"/>
                <w:lang w:val="en-US" w:eastAsia="zh-CN" w:bidi="ar"/>
              </w:rPr>
              <w:t>项目原材料进场登记表</w:t>
            </w:r>
          </w:p>
        </w:tc>
      </w:tr>
      <w:tr w14:paraId="10E8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115" w:type="dxa"/>
            <w:gridSpan w:val="3"/>
            <w:tcBorders>
              <w:top w:val="nil"/>
              <w:left w:val="nil"/>
              <w:bottom w:val="nil"/>
              <w:right w:val="nil"/>
            </w:tcBorders>
            <w:shd w:val="clear" w:color="auto" w:fill="auto"/>
            <w:vAlign w:val="center"/>
          </w:tcPr>
          <w:p w14:paraId="6A44D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施工单位（盖章）：</w:t>
            </w:r>
          </w:p>
        </w:tc>
        <w:tc>
          <w:tcPr>
            <w:tcW w:w="705" w:type="dxa"/>
            <w:tcBorders>
              <w:top w:val="nil"/>
              <w:left w:val="nil"/>
              <w:bottom w:val="nil"/>
              <w:right w:val="nil"/>
            </w:tcBorders>
            <w:shd w:val="clear" w:color="auto" w:fill="auto"/>
            <w:vAlign w:val="center"/>
          </w:tcPr>
          <w:p w14:paraId="7D4071A4">
            <w:pPr>
              <w:jc w:val="center"/>
              <w:rPr>
                <w:rFonts w:hint="eastAsia" w:ascii="宋体" w:hAnsi="宋体" w:eastAsia="宋体" w:cs="宋体"/>
                <w:i w:val="0"/>
                <w:iCs w:val="0"/>
                <w:color w:val="auto"/>
                <w:sz w:val="22"/>
                <w:szCs w:val="22"/>
                <w:highlight w:val="none"/>
                <w:u w:val="none"/>
              </w:rPr>
            </w:pPr>
          </w:p>
        </w:tc>
        <w:tc>
          <w:tcPr>
            <w:tcW w:w="705" w:type="dxa"/>
            <w:tcBorders>
              <w:top w:val="nil"/>
              <w:left w:val="nil"/>
              <w:bottom w:val="nil"/>
              <w:right w:val="nil"/>
            </w:tcBorders>
            <w:shd w:val="clear" w:color="auto" w:fill="auto"/>
            <w:vAlign w:val="center"/>
          </w:tcPr>
          <w:p w14:paraId="321CE350">
            <w:pPr>
              <w:jc w:val="center"/>
              <w:rPr>
                <w:rFonts w:hint="eastAsia" w:ascii="宋体" w:hAnsi="宋体" w:eastAsia="宋体" w:cs="宋体"/>
                <w:i w:val="0"/>
                <w:iCs w:val="0"/>
                <w:color w:val="auto"/>
                <w:sz w:val="22"/>
                <w:szCs w:val="22"/>
                <w:highlight w:val="none"/>
                <w:u w:val="none"/>
              </w:rPr>
            </w:pPr>
          </w:p>
        </w:tc>
        <w:tc>
          <w:tcPr>
            <w:tcW w:w="705" w:type="dxa"/>
            <w:tcBorders>
              <w:top w:val="nil"/>
              <w:left w:val="nil"/>
              <w:bottom w:val="nil"/>
              <w:right w:val="nil"/>
            </w:tcBorders>
            <w:shd w:val="clear" w:color="auto" w:fill="auto"/>
            <w:vAlign w:val="center"/>
          </w:tcPr>
          <w:p w14:paraId="7603E633">
            <w:pPr>
              <w:jc w:val="center"/>
              <w:rPr>
                <w:rFonts w:hint="eastAsia" w:ascii="宋体" w:hAnsi="宋体" w:eastAsia="宋体" w:cs="宋体"/>
                <w:i w:val="0"/>
                <w:iCs w:val="0"/>
                <w:color w:val="auto"/>
                <w:sz w:val="22"/>
                <w:szCs w:val="22"/>
                <w:highlight w:val="none"/>
                <w:u w:val="none"/>
              </w:rPr>
            </w:pPr>
          </w:p>
        </w:tc>
        <w:tc>
          <w:tcPr>
            <w:tcW w:w="705" w:type="dxa"/>
            <w:tcBorders>
              <w:top w:val="nil"/>
              <w:left w:val="nil"/>
              <w:bottom w:val="nil"/>
              <w:right w:val="nil"/>
            </w:tcBorders>
            <w:shd w:val="clear" w:color="auto" w:fill="auto"/>
            <w:vAlign w:val="center"/>
          </w:tcPr>
          <w:p w14:paraId="64013278">
            <w:pPr>
              <w:jc w:val="center"/>
              <w:rPr>
                <w:rFonts w:hint="eastAsia" w:ascii="宋体" w:hAnsi="宋体" w:eastAsia="宋体" w:cs="宋体"/>
                <w:i w:val="0"/>
                <w:iCs w:val="0"/>
                <w:color w:val="auto"/>
                <w:sz w:val="22"/>
                <w:szCs w:val="22"/>
                <w:highlight w:val="none"/>
                <w:u w:val="none"/>
              </w:rPr>
            </w:pPr>
          </w:p>
        </w:tc>
        <w:tc>
          <w:tcPr>
            <w:tcW w:w="705" w:type="dxa"/>
            <w:tcBorders>
              <w:top w:val="nil"/>
              <w:left w:val="nil"/>
              <w:bottom w:val="nil"/>
              <w:right w:val="nil"/>
            </w:tcBorders>
            <w:shd w:val="clear" w:color="auto" w:fill="auto"/>
            <w:vAlign w:val="center"/>
          </w:tcPr>
          <w:p w14:paraId="36E15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登记人：</w:t>
            </w:r>
          </w:p>
        </w:tc>
        <w:tc>
          <w:tcPr>
            <w:tcW w:w="705" w:type="dxa"/>
            <w:tcBorders>
              <w:top w:val="nil"/>
              <w:left w:val="nil"/>
              <w:bottom w:val="nil"/>
              <w:right w:val="nil"/>
            </w:tcBorders>
            <w:shd w:val="clear" w:color="auto" w:fill="auto"/>
            <w:vAlign w:val="center"/>
          </w:tcPr>
          <w:p w14:paraId="0B9F4C09">
            <w:pPr>
              <w:jc w:val="center"/>
              <w:rPr>
                <w:rFonts w:hint="eastAsia" w:ascii="宋体" w:hAnsi="宋体" w:eastAsia="宋体" w:cs="宋体"/>
                <w:i w:val="0"/>
                <w:iCs w:val="0"/>
                <w:color w:val="auto"/>
                <w:sz w:val="22"/>
                <w:szCs w:val="22"/>
                <w:highlight w:val="none"/>
                <w:u w:val="none"/>
              </w:rPr>
            </w:pPr>
          </w:p>
        </w:tc>
        <w:tc>
          <w:tcPr>
            <w:tcW w:w="705" w:type="dxa"/>
            <w:tcBorders>
              <w:top w:val="nil"/>
              <w:left w:val="nil"/>
              <w:bottom w:val="nil"/>
              <w:right w:val="nil"/>
            </w:tcBorders>
            <w:shd w:val="clear" w:color="auto" w:fill="auto"/>
            <w:vAlign w:val="center"/>
          </w:tcPr>
          <w:p w14:paraId="09D12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w:t>
            </w:r>
          </w:p>
        </w:tc>
        <w:tc>
          <w:tcPr>
            <w:tcW w:w="705" w:type="dxa"/>
            <w:tcBorders>
              <w:top w:val="nil"/>
              <w:left w:val="nil"/>
              <w:bottom w:val="nil"/>
              <w:right w:val="nil"/>
            </w:tcBorders>
            <w:shd w:val="clear" w:color="auto" w:fill="auto"/>
            <w:vAlign w:val="center"/>
          </w:tcPr>
          <w:p w14:paraId="4357BC50">
            <w:pPr>
              <w:jc w:val="center"/>
              <w:rPr>
                <w:rFonts w:hint="eastAsia" w:ascii="宋体" w:hAnsi="宋体" w:eastAsia="宋体" w:cs="宋体"/>
                <w:i w:val="0"/>
                <w:iCs w:val="0"/>
                <w:color w:val="auto"/>
                <w:sz w:val="22"/>
                <w:szCs w:val="22"/>
                <w:highlight w:val="none"/>
                <w:u w:val="none"/>
              </w:rPr>
            </w:pPr>
          </w:p>
        </w:tc>
        <w:tc>
          <w:tcPr>
            <w:tcW w:w="705" w:type="dxa"/>
            <w:tcBorders>
              <w:top w:val="nil"/>
              <w:left w:val="nil"/>
              <w:bottom w:val="nil"/>
              <w:right w:val="nil"/>
            </w:tcBorders>
            <w:shd w:val="clear" w:color="auto" w:fill="auto"/>
            <w:vAlign w:val="center"/>
          </w:tcPr>
          <w:p w14:paraId="55CF7005">
            <w:pPr>
              <w:jc w:val="center"/>
              <w:rPr>
                <w:rFonts w:hint="eastAsia" w:ascii="宋体" w:hAnsi="宋体" w:eastAsia="宋体" w:cs="宋体"/>
                <w:i w:val="0"/>
                <w:iCs w:val="0"/>
                <w:color w:val="auto"/>
                <w:sz w:val="22"/>
                <w:szCs w:val="22"/>
                <w:highlight w:val="none"/>
                <w:u w:val="none"/>
              </w:rPr>
            </w:pPr>
          </w:p>
        </w:tc>
      </w:tr>
      <w:tr w14:paraId="3F54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5F6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001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时间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69C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3D5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9C7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D50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等级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56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E09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E2E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材质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C27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施工人员签字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8FD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监理人员签字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235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358B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17CF">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5006">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9282">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8A60">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0F56">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35C8">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2DF2">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BDE8">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BF5B">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1928">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BABE">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66E1">
            <w:pPr>
              <w:jc w:val="center"/>
              <w:rPr>
                <w:rFonts w:hint="eastAsia" w:ascii="宋体" w:hAnsi="宋体" w:eastAsia="宋体" w:cs="宋体"/>
                <w:i w:val="0"/>
                <w:iCs w:val="0"/>
                <w:color w:val="auto"/>
                <w:sz w:val="22"/>
                <w:szCs w:val="22"/>
                <w:highlight w:val="none"/>
                <w:u w:val="none"/>
              </w:rPr>
            </w:pPr>
          </w:p>
        </w:tc>
      </w:tr>
      <w:tr w14:paraId="0D0F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46FF">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E60C">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6CF7">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7BA6">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BF71">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88D3">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BD02">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ED4B">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5B5E">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32EF">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017C">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D4E4">
            <w:pPr>
              <w:jc w:val="center"/>
              <w:rPr>
                <w:rFonts w:hint="eastAsia" w:ascii="宋体" w:hAnsi="宋体" w:eastAsia="宋体" w:cs="宋体"/>
                <w:i w:val="0"/>
                <w:iCs w:val="0"/>
                <w:color w:val="auto"/>
                <w:sz w:val="22"/>
                <w:szCs w:val="22"/>
                <w:highlight w:val="none"/>
                <w:u w:val="none"/>
              </w:rPr>
            </w:pPr>
          </w:p>
        </w:tc>
      </w:tr>
      <w:tr w14:paraId="03439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500F">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5C4A">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9BA8">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5DB9">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A3FD">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6AFF">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5899">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925C">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FD92">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FB2F">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BAFB">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5BEC">
            <w:pPr>
              <w:jc w:val="center"/>
              <w:rPr>
                <w:rFonts w:hint="eastAsia" w:ascii="宋体" w:hAnsi="宋体" w:eastAsia="宋体" w:cs="宋体"/>
                <w:i w:val="0"/>
                <w:iCs w:val="0"/>
                <w:color w:val="auto"/>
                <w:sz w:val="22"/>
                <w:szCs w:val="22"/>
                <w:highlight w:val="none"/>
                <w:u w:val="none"/>
              </w:rPr>
            </w:pPr>
          </w:p>
        </w:tc>
      </w:tr>
      <w:tr w14:paraId="5C2C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1A72">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6A65">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B43D">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BEAB">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1AF0">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5F8C">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7EB3">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C863">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336C">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39D1">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E7CE">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2EFB">
            <w:pPr>
              <w:jc w:val="center"/>
              <w:rPr>
                <w:rFonts w:hint="eastAsia" w:ascii="宋体" w:hAnsi="宋体" w:eastAsia="宋体" w:cs="宋体"/>
                <w:i w:val="0"/>
                <w:iCs w:val="0"/>
                <w:color w:val="auto"/>
                <w:sz w:val="22"/>
                <w:szCs w:val="22"/>
                <w:highlight w:val="none"/>
                <w:u w:val="none"/>
              </w:rPr>
            </w:pPr>
          </w:p>
        </w:tc>
      </w:tr>
      <w:tr w14:paraId="460E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487F">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9513">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FD90">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7595">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4192">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0193">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2666">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C346">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07F7">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5B1A">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C307">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3906">
            <w:pPr>
              <w:jc w:val="center"/>
              <w:rPr>
                <w:rFonts w:hint="eastAsia" w:ascii="宋体" w:hAnsi="宋体" w:eastAsia="宋体" w:cs="宋体"/>
                <w:i w:val="0"/>
                <w:iCs w:val="0"/>
                <w:color w:val="auto"/>
                <w:sz w:val="22"/>
                <w:szCs w:val="22"/>
                <w:highlight w:val="none"/>
                <w:u w:val="none"/>
              </w:rPr>
            </w:pPr>
          </w:p>
        </w:tc>
      </w:tr>
      <w:tr w14:paraId="38FD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D9D0">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D647">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0FE9">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5083">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C5FA">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210B">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71B5">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FB7F">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362E">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4924">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71FA">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99F7">
            <w:pPr>
              <w:jc w:val="center"/>
              <w:rPr>
                <w:rFonts w:hint="eastAsia" w:ascii="宋体" w:hAnsi="宋体" w:eastAsia="宋体" w:cs="宋体"/>
                <w:i w:val="0"/>
                <w:iCs w:val="0"/>
                <w:color w:val="auto"/>
                <w:sz w:val="22"/>
                <w:szCs w:val="22"/>
                <w:highlight w:val="none"/>
                <w:u w:val="none"/>
              </w:rPr>
            </w:pPr>
          </w:p>
        </w:tc>
      </w:tr>
      <w:tr w14:paraId="4176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93DE">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1B9F">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488C">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BC43">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E403">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60E2">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1CED">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DA9B">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9768">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9DB9">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ACE">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3D63">
            <w:pPr>
              <w:jc w:val="center"/>
              <w:rPr>
                <w:rFonts w:hint="eastAsia" w:ascii="宋体" w:hAnsi="宋体" w:eastAsia="宋体" w:cs="宋体"/>
                <w:i w:val="0"/>
                <w:iCs w:val="0"/>
                <w:color w:val="auto"/>
                <w:sz w:val="22"/>
                <w:szCs w:val="22"/>
                <w:highlight w:val="none"/>
                <w:u w:val="none"/>
              </w:rPr>
            </w:pPr>
          </w:p>
        </w:tc>
      </w:tr>
      <w:tr w14:paraId="1E76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E5BC">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3B02">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7B67">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800">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51EE">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4421">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227D">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4968">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7A32">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2613">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19DE">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C5A1">
            <w:pPr>
              <w:jc w:val="center"/>
              <w:rPr>
                <w:rFonts w:hint="eastAsia" w:ascii="宋体" w:hAnsi="宋体" w:eastAsia="宋体" w:cs="宋体"/>
                <w:i w:val="0"/>
                <w:iCs w:val="0"/>
                <w:color w:val="auto"/>
                <w:sz w:val="22"/>
                <w:szCs w:val="22"/>
                <w:highlight w:val="none"/>
                <w:u w:val="none"/>
              </w:rPr>
            </w:pPr>
          </w:p>
        </w:tc>
      </w:tr>
      <w:tr w14:paraId="2BE5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08DD">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BC8F">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4BDA">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F527">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C827">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F4D6">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4923">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E4A5">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5DD2">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2CCD">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378A">
            <w:pPr>
              <w:jc w:val="center"/>
              <w:rPr>
                <w:rFonts w:hint="eastAsia" w:ascii="宋体" w:hAnsi="宋体" w:eastAsia="宋体" w:cs="宋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EAB3">
            <w:pPr>
              <w:jc w:val="center"/>
              <w:rPr>
                <w:rFonts w:hint="eastAsia" w:ascii="宋体" w:hAnsi="宋体" w:eastAsia="宋体" w:cs="宋体"/>
                <w:i w:val="0"/>
                <w:iCs w:val="0"/>
                <w:color w:val="auto"/>
                <w:sz w:val="22"/>
                <w:szCs w:val="22"/>
                <w:highlight w:val="none"/>
                <w:u w:val="none"/>
              </w:rPr>
            </w:pPr>
          </w:p>
        </w:tc>
      </w:tr>
      <w:tr w14:paraId="1D1D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460" w:type="dxa"/>
            <w:gridSpan w:val="12"/>
            <w:tcBorders>
              <w:top w:val="nil"/>
              <w:left w:val="nil"/>
              <w:bottom w:val="nil"/>
              <w:right w:val="nil"/>
            </w:tcBorders>
            <w:shd w:val="clear" w:color="auto" w:fill="auto"/>
            <w:vAlign w:val="center"/>
          </w:tcPr>
          <w:p w14:paraId="57851DC4">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注：该表作为工程款申请附件，与请款函一并提交1</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施工方原材料进场要提前通知监理方、现场监督管理员。2.施工方要提供原材料相关合格证、采购单、出货单等，将以上资料发给</w:t>
            </w:r>
            <w:r>
              <w:rPr>
                <w:rFonts w:hint="eastAsia" w:ascii="宋体" w:hAnsi="宋体" w:cs="宋体"/>
                <w:i w:val="0"/>
                <w:iCs w:val="0"/>
                <w:color w:val="auto"/>
                <w:kern w:val="0"/>
                <w:sz w:val="22"/>
                <w:szCs w:val="22"/>
                <w:highlight w:val="none"/>
                <w:u w:val="none"/>
                <w:lang w:val="en-US" w:eastAsia="zh-CN" w:bidi="ar"/>
              </w:rPr>
              <w:t>发包人</w:t>
            </w:r>
            <w:r>
              <w:rPr>
                <w:rFonts w:hint="eastAsia" w:ascii="宋体" w:hAnsi="宋体" w:eastAsia="宋体" w:cs="宋体"/>
                <w:i w:val="0"/>
                <w:iCs w:val="0"/>
                <w:color w:val="auto"/>
                <w:kern w:val="0"/>
                <w:sz w:val="22"/>
                <w:szCs w:val="22"/>
                <w:highlight w:val="none"/>
                <w:u w:val="none"/>
                <w:lang w:val="en-US" w:eastAsia="zh-CN" w:bidi="ar"/>
              </w:rPr>
              <w:t>审核存档。3.</w:t>
            </w:r>
            <w:r>
              <w:rPr>
                <w:rFonts w:hint="eastAsia"/>
                <w:color w:val="auto"/>
                <w:highlight w:val="none"/>
                <w:lang w:val="en-US" w:eastAsia="zh-CN"/>
              </w:rPr>
              <w:t>监理单位负有审核责任，因监理不到位按合同相关条款约定追究责任。</w:t>
            </w:r>
            <w:r>
              <w:rPr>
                <w:rFonts w:hint="eastAsia" w:ascii="宋体" w:hAnsi="宋体" w:eastAsia="宋体" w:cs="宋体"/>
                <w:i w:val="0"/>
                <w:iCs w:val="0"/>
                <w:color w:val="auto"/>
                <w:kern w:val="0"/>
                <w:sz w:val="22"/>
                <w:szCs w:val="22"/>
                <w:highlight w:val="none"/>
                <w:u w:val="none"/>
                <w:lang w:val="en-US" w:eastAsia="zh-CN" w:bidi="ar"/>
              </w:rPr>
              <w:t>4.施工单位对该表的真实性负责，因弄虚作假后果自负。</w:t>
            </w:r>
          </w:p>
        </w:tc>
      </w:tr>
    </w:tbl>
    <w:p w14:paraId="2D0CD1F7">
      <w:pPr>
        <w:rPr>
          <w:color w:val="auto"/>
          <w:highlight w:val="none"/>
        </w:rPr>
      </w:pPr>
    </w:p>
    <w:p w14:paraId="409C2601">
      <w:pPr>
        <w:rPr>
          <w:color w:val="auto"/>
          <w:highlight w:val="none"/>
        </w:rPr>
      </w:pPr>
    </w:p>
    <w:p w14:paraId="5D89FF6A">
      <w:pPr>
        <w:rPr>
          <w:color w:val="auto"/>
          <w:highlight w:val="none"/>
        </w:rPr>
      </w:pPr>
    </w:p>
    <w:p w14:paraId="7E6ECD83">
      <w:pPr>
        <w:rPr>
          <w:color w:val="auto"/>
          <w:highlight w:val="none"/>
        </w:rPr>
      </w:pPr>
    </w:p>
    <w:p w14:paraId="3D5A3BEE">
      <w:pPr>
        <w:rPr>
          <w:color w:val="auto"/>
          <w:highlight w:val="none"/>
        </w:rPr>
      </w:pPr>
    </w:p>
    <w:p w14:paraId="5C809A55">
      <w:pPr>
        <w:rPr>
          <w:color w:val="auto"/>
          <w:highlight w:val="none"/>
        </w:rPr>
      </w:pPr>
    </w:p>
    <w:p w14:paraId="51007521">
      <w:pPr>
        <w:rPr>
          <w:color w:val="auto"/>
          <w:highlight w:val="none"/>
        </w:rPr>
      </w:pPr>
    </w:p>
    <w:p w14:paraId="165D69D9">
      <w:pPr>
        <w:rPr>
          <w:color w:val="auto"/>
          <w:highlight w:val="none"/>
        </w:rPr>
      </w:pPr>
    </w:p>
    <w:p w14:paraId="5AB75DF1">
      <w:pPr>
        <w:ind w:firstLine="420" w:firstLineChars="200"/>
        <w:rPr>
          <w:rFonts w:hint="default" w:eastAsia="宋体"/>
          <w:color w:val="auto"/>
          <w:sz w:val="30"/>
          <w:szCs w:val="30"/>
          <w:highlight w:val="none"/>
          <w:lang w:val="en-US" w:eastAsia="zh-CN"/>
        </w:rPr>
      </w:pPr>
      <w:r>
        <w:rPr>
          <w:rFonts w:hint="eastAsia"/>
          <w:color w:val="auto"/>
          <w:highlight w:val="none"/>
          <w:lang w:val="en-US" w:eastAsia="zh-CN"/>
        </w:rPr>
        <w:t>附件18：</w:t>
      </w:r>
    </w:p>
    <w:tbl>
      <w:tblPr>
        <w:tblStyle w:val="22"/>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380"/>
        <w:gridCol w:w="1080"/>
        <w:gridCol w:w="1080"/>
        <w:gridCol w:w="1080"/>
        <w:gridCol w:w="1080"/>
        <w:gridCol w:w="1080"/>
        <w:gridCol w:w="1245"/>
        <w:gridCol w:w="630"/>
      </w:tblGrid>
      <w:tr w14:paraId="62A1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85" w:type="dxa"/>
            <w:gridSpan w:val="9"/>
            <w:tcBorders>
              <w:top w:val="nil"/>
              <w:left w:val="nil"/>
              <w:bottom w:val="nil"/>
              <w:right w:val="nil"/>
            </w:tcBorders>
            <w:shd w:val="clear" w:color="auto" w:fill="auto"/>
            <w:vAlign w:val="center"/>
          </w:tcPr>
          <w:p w14:paraId="7B2C2338">
            <w:pPr>
              <w:keepNext w:val="0"/>
              <w:keepLines w:val="0"/>
              <w:widowControl/>
              <w:suppressLineNumbers w:val="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single"/>
                <w:lang w:val="en-US" w:eastAsia="zh-CN" w:bidi="ar"/>
              </w:rPr>
              <w:t xml:space="preserve">                    </w:t>
            </w:r>
            <w:r>
              <w:rPr>
                <w:rFonts w:hint="eastAsia" w:ascii="宋体" w:hAnsi="宋体" w:eastAsia="宋体" w:cs="宋体"/>
                <w:i w:val="0"/>
                <w:iCs w:val="0"/>
                <w:color w:val="auto"/>
                <w:kern w:val="0"/>
                <w:sz w:val="30"/>
                <w:szCs w:val="30"/>
                <w:highlight w:val="none"/>
                <w:u w:val="none"/>
                <w:lang w:val="en-US" w:eastAsia="zh-CN" w:bidi="ar"/>
              </w:rPr>
              <w:t xml:space="preserve"> 项目农民工工资发放登记表</w:t>
            </w:r>
          </w:p>
        </w:tc>
      </w:tr>
      <w:tr w14:paraId="27BF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285" w:type="dxa"/>
            <w:gridSpan w:val="9"/>
            <w:tcBorders>
              <w:top w:val="nil"/>
              <w:left w:val="nil"/>
              <w:bottom w:val="nil"/>
              <w:right w:val="nil"/>
            </w:tcBorders>
            <w:shd w:val="clear" w:color="auto" w:fill="auto"/>
            <w:vAlign w:val="center"/>
          </w:tcPr>
          <w:p w14:paraId="2EEA3D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施工单位（盖章）</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填表人：               日期：</w:t>
            </w:r>
          </w:p>
        </w:tc>
      </w:tr>
      <w:tr w14:paraId="3A78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66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D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农民工姓名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11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电话号码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51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4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做工时间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0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应付工钱（元）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90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已付工钱（元）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AE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农民工签字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3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1A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AD72">
            <w:pPr>
              <w:jc w:val="center"/>
              <w:rPr>
                <w:rFonts w:hint="eastAsia" w:ascii="宋体" w:hAnsi="宋体" w:eastAsia="宋体" w:cs="宋体"/>
                <w:i w:val="0"/>
                <w:iCs w:val="0"/>
                <w:color w:val="auto"/>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FCC7">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A173">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5201">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C891">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3600">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4EA7">
            <w:pPr>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39A7">
            <w:pPr>
              <w:jc w:val="center"/>
              <w:rPr>
                <w:rFonts w:hint="eastAsia" w:ascii="宋体" w:hAnsi="宋体" w:eastAsia="宋体" w:cs="宋体"/>
                <w:i w:val="0"/>
                <w:iCs w:val="0"/>
                <w:color w:val="auto"/>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6F69">
            <w:pPr>
              <w:jc w:val="center"/>
              <w:rPr>
                <w:rFonts w:hint="eastAsia" w:ascii="宋体" w:hAnsi="宋体" w:eastAsia="宋体" w:cs="宋体"/>
                <w:i w:val="0"/>
                <w:iCs w:val="0"/>
                <w:color w:val="auto"/>
                <w:sz w:val="22"/>
                <w:szCs w:val="22"/>
                <w:highlight w:val="none"/>
                <w:u w:val="none"/>
              </w:rPr>
            </w:pPr>
          </w:p>
        </w:tc>
      </w:tr>
      <w:tr w14:paraId="7621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AB74">
            <w:pPr>
              <w:jc w:val="center"/>
              <w:rPr>
                <w:rFonts w:hint="eastAsia" w:ascii="宋体" w:hAnsi="宋体" w:eastAsia="宋体" w:cs="宋体"/>
                <w:i w:val="0"/>
                <w:iCs w:val="0"/>
                <w:color w:val="auto"/>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018D">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56FC">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83B0">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C290">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E290">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D5D9">
            <w:pPr>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DCC8">
            <w:pPr>
              <w:jc w:val="center"/>
              <w:rPr>
                <w:rFonts w:hint="eastAsia" w:ascii="宋体" w:hAnsi="宋体" w:eastAsia="宋体" w:cs="宋体"/>
                <w:i w:val="0"/>
                <w:iCs w:val="0"/>
                <w:color w:val="auto"/>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FF26">
            <w:pPr>
              <w:jc w:val="center"/>
              <w:rPr>
                <w:rFonts w:hint="eastAsia" w:ascii="宋体" w:hAnsi="宋体" w:eastAsia="宋体" w:cs="宋体"/>
                <w:i w:val="0"/>
                <w:iCs w:val="0"/>
                <w:color w:val="auto"/>
                <w:sz w:val="22"/>
                <w:szCs w:val="22"/>
                <w:highlight w:val="none"/>
                <w:u w:val="none"/>
              </w:rPr>
            </w:pPr>
          </w:p>
        </w:tc>
      </w:tr>
      <w:tr w14:paraId="492C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3087">
            <w:pPr>
              <w:jc w:val="center"/>
              <w:rPr>
                <w:rFonts w:hint="eastAsia" w:ascii="宋体" w:hAnsi="宋体" w:eastAsia="宋体" w:cs="宋体"/>
                <w:i w:val="0"/>
                <w:iCs w:val="0"/>
                <w:color w:val="auto"/>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3E45">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13B9">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5813">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C8B6">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B8E8">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3906">
            <w:pPr>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5042">
            <w:pPr>
              <w:jc w:val="center"/>
              <w:rPr>
                <w:rFonts w:hint="eastAsia" w:ascii="宋体" w:hAnsi="宋体" w:eastAsia="宋体" w:cs="宋体"/>
                <w:i w:val="0"/>
                <w:iCs w:val="0"/>
                <w:color w:val="auto"/>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44CE">
            <w:pPr>
              <w:jc w:val="center"/>
              <w:rPr>
                <w:rFonts w:hint="eastAsia" w:ascii="宋体" w:hAnsi="宋体" w:eastAsia="宋体" w:cs="宋体"/>
                <w:i w:val="0"/>
                <w:iCs w:val="0"/>
                <w:color w:val="auto"/>
                <w:sz w:val="22"/>
                <w:szCs w:val="22"/>
                <w:highlight w:val="none"/>
                <w:u w:val="none"/>
              </w:rPr>
            </w:pPr>
          </w:p>
        </w:tc>
      </w:tr>
      <w:tr w14:paraId="0020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BDBD">
            <w:pPr>
              <w:jc w:val="center"/>
              <w:rPr>
                <w:rFonts w:hint="eastAsia" w:ascii="宋体" w:hAnsi="宋体" w:eastAsia="宋体" w:cs="宋体"/>
                <w:i w:val="0"/>
                <w:iCs w:val="0"/>
                <w:color w:val="auto"/>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5397">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62E3">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72A9">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F722">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C25D">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196A">
            <w:pPr>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004A">
            <w:pPr>
              <w:jc w:val="center"/>
              <w:rPr>
                <w:rFonts w:hint="eastAsia" w:ascii="宋体" w:hAnsi="宋体" w:eastAsia="宋体" w:cs="宋体"/>
                <w:i w:val="0"/>
                <w:iCs w:val="0"/>
                <w:color w:val="auto"/>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B3BD">
            <w:pPr>
              <w:jc w:val="center"/>
              <w:rPr>
                <w:rFonts w:hint="eastAsia" w:ascii="宋体" w:hAnsi="宋体" w:eastAsia="宋体" w:cs="宋体"/>
                <w:i w:val="0"/>
                <w:iCs w:val="0"/>
                <w:color w:val="auto"/>
                <w:sz w:val="22"/>
                <w:szCs w:val="22"/>
                <w:highlight w:val="none"/>
                <w:u w:val="none"/>
              </w:rPr>
            </w:pPr>
          </w:p>
        </w:tc>
      </w:tr>
      <w:tr w14:paraId="7D6F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DA63">
            <w:pPr>
              <w:jc w:val="center"/>
              <w:rPr>
                <w:rFonts w:hint="eastAsia" w:ascii="宋体" w:hAnsi="宋体" w:eastAsia="宋体" w:cs="宋体"/>
                <w:i w:val="0"/>
                <w:iCs w:val="0"/>
                <w:color w:val="auto"/>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4F6F">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B78B">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BBAB">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49D0">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7ADD">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C2AD">
            <w:pPr>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96EF">
            <w:pPr>
              <w:jc w:val="center"/>
              <w:rPr>
                <w:rFonts w:hint="eastAsia" w:ascii="宋体" w:hAnsi="宋体" w:eastAsia="宋体" w:cs="宋体"/>
                <w:i w:val="0"/>
                <w:iCs w:val="0"/>
                <w:color w:val="auto"/>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8C14">
            <w:pPr>
              <w:jc w:val="center"/>
              <w:rPr>
                <w:rFonts w:hint="eastAsia" w:ascii="宋体" w:hAnsi="宋体" w:eastAsia="宋体" w:cs="宋体"/>
                <w:i w:val="0"/>
                <w:iCs w:val="0"/>
                <w:color w:val="auto"/>
                <w:sz w:val="22"/>
                <w:szCs w:val="22"/>
                <w:highlight w:val="none"/>
                <w:u w:val="none"/>
              </w:rPr>
            </w:pPr>
          </w:p>
        </w:tc>
      </w:tr>
      <w:tr w14:paraId="7CF4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FAEF">
            <w:pPr>
              <w:jc w:val="center"/>
              <w:rPr>
                <w:rFonts w:hint="eastAsia" w:ascii="宋体" w:hAnsi="宋体" w:eastAsia="宋体" w:cs="宋体"/>
                <w:i w:val="0"/>
                <w:iCs w:val="0"/>
                <w:color w:val="auto"/>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089F">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DE2C">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2AF0">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14F9">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54E8">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2722">
            <w:pPr>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F0A3">
            <w:pPr>
              <w:jc w:val="center"/>
              <w:rPr>
                <w:rFonts w:hint="eastAsia" w:ascii="宋体" w:hAnsi="宋体" w:eastAsia="宋体" w:cs="宋体"/>
                <w:i w:val="0"/>
                <w:iCs w:val="0"/>
                <w:color w:val="auto"/>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414C">
            <w:pPr>
              <w:jc w:val="center"/>
              <w:rPr>
                <w:rFonts w:hint="eastAsia" w:ascii="宋体" w:hAnsi="宋体" w:eastAsia="宋体" w:cs="宋体"/>
                <w:i w:val="0"/>
                <w:iCs w:val="0"/>
                <w:color w:val="auto"/>
                <w:sz w:val="22"/>
                <w:szCs w:val="22"/>
                <w:highlight w:val="none"/>
                <w:u w:val="none"/>
              </w:rPr>
            </w:pPr>
          </w:p>
        </w:tc>
      </w:tr>
      <w:tr w14:paraId="26A1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76E">
            <w:pPr>
              <w:jc w:val="center"/>
              <w:rPr>
                <w:rFonts w:hint="eastAsia" w:ascii="宋体" w:hAnsi="宋体" w:eastAsia="宋体" w:cs="宋体"/>
                <w:i w:val="0"/>
                <w:iCs w:val="0"/>
                <w:color w:val="auto"/>
                <w:sz w:val="22"/>
                <w:szCs w:val="22"/>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22F9">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BAFF">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6C8D">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A6FE">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3BEE">
            <w:pPr>
              <w:jc w:val="center"/>
              <w:rPr>
                <w:rFonts w:hint="eastAsia" w:ascii="宋体" w:hAnsi="宋体" w:eastAsia="宋体" w:cs="宋体"/>
                <w:i w:val="0"/>
                <w:iCs w:val="0"/>
                <w:color w:val="auto"/>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EAF6">
            <w:pPr>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F5AF">
            <w:pPr>
              <w:jc w:val="center"/>
              <w:rPr>
                <w:rFonts w:hint="eastAsia" w:ascii="宋体" w:hAnsi="宋体" w:eastAsia="宋体" w:cs="宋体"/>
                <w:i w:val="0"/>
                <w:iCs w:val="0"/>
                <w:color w:val="auto"/>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2ED7">
            <w:pPr>
              <w:jc w:val="center"/>
              <w:rPr>
                <w:rFonts w:hint="eastAsia" w:ascii="宋体" w:hAnsi="宋体" w:eastAsia="宋体" w:cs="宋体"/>
                <w:i w:val="0"/>
                <w:iCs w:val="0"/>
                <w:color w:val="auto"/>
                <w:sz w:val="22"/>
                <w:szCs w:val="22"/>
                <w:highlight w:val="none"/>
                <w:u w:val="none"/>
              </w:rPr>
            </w:pPr>
          </w:p>
        </w:tc>
      </w:tr>
      <w:tr w14:paraId="02501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9285" w:type="dxa"/>
            <w:gridSpan w:val="9"/>
            <w:tcBorders>
              <w:top w:val="nil"/>
              <w:left w:val="nil"/>
              <w:bottom w:val="nil"/>
              <w:right w:val="nil"/>
            </w:tcBorders>
            <w:shd w:val="clear" w:color="auto" w:fill="auto"/>
            <w:vAlign w:val="center"/>
          </w:tcPr>
          <w:p w14:paraId="376DD3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注：1.该表与请款函一并提交。2.请款函要分列材料费和人工费，所列人工费要足额按时发放。3.工资发放凭证一并提交。4.</w:t>
            </w:r>
            <w:r>
              <w:rPr>
                <w:rFonts w:hint="eastAsia"/>
                <w:color w:val="auto"/>
                <w:highlight w:val="none"/>
                <w:lang w:val="en-US" w:eastAsia="zh-CN"/>
              </w:rPr>
              <w:t>监理单位负有审核责任，因监理不到位按合同相关条款约定追究责任。5.</w:t>
            </w:r>
            <w:r>
              <w:rPr>
                <w:rFonts w:hint="eastAsia" w:ascii="宋体" w:hAnsi="宋体" w:eastAsia="宋体" w:cs="宋体"/>
                <w:i w:val="0"/>
                <w:iCs w:val="0"/>
                <w:color w:val="auto"/>
                <w:kern w:val="0"/>
                <w:sz w:val="22"/>
                <w:szCs w:val="22"/>
                <w:highlight w:val="none"/>
                <w:u w:val="none"/>
                <w:lang w:val="en-US" w:eastAsia="zh-CN" w:bidi="ar"/>
              </w:rPr>
              <w:t>施工单位对该表的真实性负责，因弄虚作假后果自负。</w:t>
            </w:r>
          </w:p>
        </w:tc>
      </w:tr>
    </w:tbl>
    <w:p w14:paraId="18E7545F">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1B463F5A">
      <w:pPr>
        <w:shd w:val="clear" w:color="auto" w:fill="FFFFFF"/>
        <w:spacing w:line="600" w:lineRule="exact"/>
        <w:ind w:firstLine="723" w:firstLineChars="200"/>
        <w:jc w:val="center"/>
        <w:outlineLvl w:val="0"/>
        <w:rPr>
          <w:rFonts w:hint="eastAsia" w:ascii="宋体" w:hAnsi="宋体" w:eastAsia="宋体" w:cs="宋体"/>
          <w:b/>
          <w:bCs/>
          <w:color w:val="auto"/>
          <w:sz w:val="36"/>
          <w:szCs w:val="36"/>
          <w:highlight w:val="none"/>
        </w:rPr>
      </w:pPr>
      <w:bookmarkStart w:id="1177" w:name="_Toc13291"/>
      <w:r>
        <w:rPr>
          <w:rFonts w:hint="eastAsia" w:ascii="宋体" w:hAnsi="宋体" w:eastAsia="宋体" w:cs="宋体"/>
          <w:b/>
          <w:bCs/>
          <w:color w:val="auto"/>
          <w:sz w:val="36"/>
          <w:szCs w:val="36"/>
          <w:highlight w:val="none"/>
        </w:rPr>
        <w:t>第五章 响应文件格式</w:t>
      </w:r>
      <w:bookmarkEnd w:id="1177"/>
    </w:p>
    <w:p w14:paraId="19656483">
      <w:pPr>
        <w:spacing w:line="480" w:lineRule="auto"/>
        <w:ind w:left="361" w:leftChars="172" w:firstLine="960" w:firstLineChars="200"/>
        <w:jc w:val="center"/>
        <w:rPr>
          <w:rFonts w:hint="eastAsia" w:ascii="宋体" w:hAnsi="宋体" w:eastAsia="宋体" w:cs="宋体"/>
          <w:color w:val="auto"/>
          <w:sz w:val="48"/>
          <w:szCs w:val="48"/>
          <w:highlight w:val="none"/>
        </w:rPr>
      </w:pPr>
    </w:p>
    <w:p w14:paraId="16C9C052">
      <w:pPr>
        <w:spacing w:line="480" w:lineRule="auto"/>
        <w:ind w:left="361" w:leftChars="172" w:firstLine="960" w:firstLineChars="20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响应文件</w:t>
      </w:r>
    </w:p>
    <w:p w14:paraId="3256F149">
      <w:pPr>
        <w:snapToGrid w:val="0"/>
        <w:spacing w:before="156" w:beforeLines="50" w:after="50"/>
        <w:ind w:firstLine="420" w:firstLineChars="200"/>
        <w:jc w:val="center"/>
        <w:rPr>
          <w:rFonts w:hint="eastAsia" w:ascii="宋体" w:hAnsi="宋体"/>
          <w:bCs/>
          <w:color w:val="auto"/>
          <w:highlight w:val="none"/>
        </w:rPr>
      </w:pPr>
    </w:p>
    <w:p w14:paraId="3CBA8763">
      <w:pPr>
        <w:snapToGrid w:val="0"/>
        <w:spacing w:before="156" w:beforeLines="50" w:after="50"/>
        <w:ind w:firstLine="420" w:firstLineChars="200"/>
        <w:jc w:val="center"/>
        <w:rPr>
          <w:rFonts w:hint="eastAsia" w:ascii="宋体" w:hAnsi="宋体"/>
          <w:color w:val="auto"/>
          <w:sz w:val="24"/>
          <w:szCs w:val="20"/>
          <w:highlight w:val="none"/>
        </w:rPr>
      </w:pPr>
      <w:r>
        <w:rPr>
          <w:rFonts w:hint="eastAsia" w:ascii="宋体" w:hAnsi="宋体"/>
          <w:bCs/>
          <w:color w:val="auto"/>
          <w:highlight w:val="none"/>
        </w:rPr>
        <w:t>全流程电子文件</w:t>
      </w:r>
    </w:p>
    <w:p w14:paraId="2534C74A">
      <w:pPr>
        <w:pStyle w:val="12"/>
        <w:spacing w:line="480" w:lineRule="auto"/>
        <w:ind w:firstLine="600" w:firstLineChars="200"/>
        <w:rPr>
          <w:rFonts w:hint="eastAsia" w:ascii="宋体" w:hAnsi="宋体" w:eastAsia="宋体" w:cs="宋体"/>
          <w:color w:val="auto"/>
          <w:sz w:val="30"/>
          <w:szCs w:val="30"/>
          <w:highlight w:val="none"/>
        </w:rPr>
      </w:pPr>
    </w:p>
    <w:p w14:paraId="630EE403">
      <w:pPr>
        <w:pStyle w:val="12"/>
        <w:spacing w:line="480" w:lineRule="auto"/>
        <w:ind w:firstLine="600" w:firstLineChars="200"/>
        <w:rPr>
          <w:rFonts w:hint="eastAsia" w:ascii="宋体" w:hAnsi="宋体" w:eastAsia="宋体" w:cs="宋体"/>
          <w:color w:val="auto"/>
          <w:sz w:val="30"/>
          <w:szCs w:val="30"/>
          <w:highlight w:val="none"/>
        </w:rPr>
      </w:pPr>
    </w:p>
    <w:p w14:paraId="3B9C0315">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79370046">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740CCC1E">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供应商名称：</w:t>
      </w:r>
    </w:p>
    <w:p w14:paraId="39D41A03">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      年   月   日</w:t>
      </w:r>
    </w:p>
    <w:p w14:paraId="309AD5FB">
      <w:pPr>
        <w:pStyle w:val="31"/>
        <w:ind w:firstLine="680" w:firstLineChars="200"/>
        <w:jc w:val="center"/>
        <w:rPr>
          <w:rFonts w:hint="eastAsia" w:ascii="宋体" w:hAnsi="宋体" w:cs="仿宋_GB2312"/>
          <w:bCs/>
          <w:color w:val="auto"/>
          <w:sz w:val="32"/>
          <w:szCs w:val="32"/>
          <w:highlight w:val="none"/>
        </w:rPr>
      </w:pPr>
    </w:p>
    <w:p w14:paraId="78CB57D9">
      <w:pPr>
        <w:pStyle w:val="31"/>
        <w:ind w:firstLine="680" w:firstLineChars="200"/>
        <w:jc w:val="center"/>
        <w:rPr>
          <w:rFonts w:hint="eastAsia" w:ascii="宋体" w:hAnsi="宋体" w:cs="仿宋_GB2312"/>
          <w:bCs/>
          <w:color w:val="auto"/>
          <w:sz w:val="32"/>
          <w:szCs w:val="32"/>
          <w:highlight w:val="none"/>
        </w:rPr>
      </w:pPr>
    </w:p>
    <w:p w14:paraId="78B4D17D">
      <w:pPr>
        <w:pStyle w:val="31"/>
        <w:ind w:firstLine="680" w:firstLineChars="200"/>
        <w:jc w:val="center"/>
        <w:rPr>
          <w:rFonts w:hint="eastAsia" w:ascii="宋体" w:hAnsi="宋体" w:eastAsia="宋体" w:cs="宋体"/>
          <w:color w:val="auto"/>
          <w:szCs w:val="21"/>
          <w:highlight w:val="none"/>
          <w:lang w:val="en-US" w:eastAsia="zh-CN"/>
        </w:rPr>
      </w:pPr>
      <w:r>
        <w:rPr>
          <w:rFonts w:hint="eastAsia" w:ascii="宋体" w:hAnsi="宋体" w:cs="仿宋_GB2312"/>
          <w:bCs/>
          <w:color w:val="auto"/>
          <w:sz w:val="32"/>
          <w:szCs w:val="32"/>
          <w:highlight w:val="none"/>
        </w:rPr>
        <w:t>首次响应文件提交截止时间前不得解密</w:t>
      </w:r>
    </w:p>
    <w:p w14:paraId="3D9A1E6B">
      <w:pPr>
        <w:spacing w:line="480" w:lineRule="auto"/>
        <w:ind w:left="361" w:leftChars="172" w:firstLine="960" w:firstLineChars="200"/>
        <w:jc w:val="center"/>
        <w:rPr>
          <w:rFonts w:hint="eastAsia" w:ascii="宋体" w:hAnsi="宋体" w:eastAsia="宋体" w:cs="宋体"/>
          <w:color w:val="auto"/>
          <w:sz w:val="48"/>
          <w:szCs w:val="48"/>
          <w:highlight w:val="none"/>
        </w:rPr>
      </w:pPr>
    </w:p>
    <w:p w14:paraId="6A00188E">
      <w:pPr>
        <w:spacing w:line="480" w:lineRule="auto"/>
        <w:ind w:left="361" w:leftChars="172" w:firstLine="960" w:firstLineChars="200"/>
        <w:jc w:val="center"/>
        <w:rPr>
          <w:rFonts w:hint="eastAsia" w:ascii="宋体" w:hAnsi="宋体" w:eastAsia="宋体" w:cs="宋体"/>
          <w:color w:val="auto"/>
          <w:sz w:val="48"/>
          <w:szCs w:val="48"/>
          <w:highlight w:val="none"/>
        </w:rPr>
      </w:pPr>
    </w:p>
    <w:p w14:paraId="77CB463C">
      <w:pPr>
        <w:spacing w:line="480" w:lineRule="auto"/>
        <w:ind w:left="361" w:leftChars="172" w:firstLine="960" w:firstLineChars="200"/>
        <w:jc w:val="center"/>
        <w:rPr>
          <w:rFonts w:hint="eastAsia" w:ascii="宋体" w:hAnsi="宋体" w:eastAsia="宋体" w:cs="宋体"/>
          <w:color w:val="auto"/>
          <w:sz w:val="48"/>
          <w:szCs w:val="48"/>
          <w:highlight w:val="none"/>
        </w:rPr>
      </w:pPr>
    </w:p>
    <w:p w14:paraId="7351101B">
      <w:pPr>
        <w:spacing w:line="480" w:lineRule="auto"/>
        <w:ind w:left="361" w:leftChars="172" w:firstLine="960" w:firstLineChars="200"/>
        <w:jc w:val="center"/>
        <w:rPr>
          <w:rFonts w:hint="eastAsia" w:ascii="宋体" w:hAnsi="宋体" w:eastAsia="宋体" w:cs="宋体"/>
          <w:color w:val="auto"/>
          <w:sz w:val="48"/>
          <w:szCs w:val="48"/>
          <w:highlight w:val="none"/>
        </w:rPr>
      </w:pPr>
    </w:p>
    <w:p w14:paraId="4E8A414C">
      <w:pPr>
        <w:spacing w:line="480" w:lineRule="auto"/>
        <w:ind w:left="361" w:leftChars="172" w:firstLine="960" w:firstLineChars="200"/>
        <w:jc w:val="center"/>
        <w:rPr>
          <w:rFonts w:hint="eastAsia" w:ascii="宋体" w:hAnsi="宋体" w:eastAsia="宋体" w:cs="宋体"/>
          <w:color w:val="auto"/>
          <w:sz w:val="48"/>
          <w:szCs w:val="48"/>
          <w:highlight w:val="none"/>
        </w:rPr>
      </w:pPr>
    </w:p>
    <w:p w14:paraId="3AB85232">
      <w:pPr>
        <w:spacing w:line="480" w:lineRule="auto"/>
        <w:ind w:left="361" w:leftChars="172" w:firstLine="960" w:firstLineChars="200"/>
        <w:jc w:val="center"/>
        <w:rPr>
          <w:rFonts w:hint="eastAsia" w:ascii="宋体" w:hAnsi="宋体" w:eastAsia="宋体" w:cs="宋体"/>
          <w:color w:val="auto"/>
          <w:sz w:val="48"/>
          <w:szCs w:val="48"/>
          <w:highlight w:val="none"/>
        </w:rPr>
      </w:pPr>
    </w:p>
    <w:p w14:paraId="1CB67005">
      <w:pPr>
        <w:spacing w:line="480" w:lineRule="auto"/>
        <w:jc w:val="both"/>
        <w:rPr>
          <w:rFonts w:hint="eastAsia" w:ascii="宋体" w:hAnsi="宋体" w:eastAsia="宋体" w:cs="宋体"/>
          <w:color w:val="auto"/>
          <w:sz w:val="48"/>
          <w:szCs w:val="48"/>
          <w:highlight w:val="none"/>
        </w:rPr>
      </w:pPr>
    </w:p>
    <w:p w14:paraId="04465580">
      <w:pPr>
        <w:spacing w:line="480" w:lineRule="auto"/>
        <w:ind w:left="361" w:leftChars="172" w:firstLine="960" w:firstLineChars="200"/>
        <w:jc w:val="center"/>
        <w:rPr>
          <w:rFonts w:hint="eastAsia" w:ascii="宋体" w:hAnsi="宋体" w:eastAsia="宋体" w:cs="宋体"/>
          <w:color w:val="auto"/>
          <w:sz w:val="48"/>
          <w:szCs w:val="48"/>
          <w:highlight w:val="none"/>
        </w:rPr>
      </w:pPr>
    </w:p>
    <w:p w14:paraId="68ADC1CF">
      <w:pPr>
        <w:spacing w:line="480" w:lineRule="auto"/>
        <w:ind w:left="361" w:leftChars="172" w:firstLine="960" w:firstLineChars="20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响应文件</w:t>
      </w:r>
    </w:p>
    <w:p w14:paraId="2708D376">
      <w:pPr>
        <w:spacing w:line="480" w:lineRule="auto"/>
        <w:ind w:left="361" w:leftChars="172" w:firstLine="720" w:firstLineChars="200"/>
        <w:jc w:val="center"/>
        <w:rPr>
          <w:rFonts w:hint="eastAsia" w:ascii="宋体" w:hAnsi="宋体" w:eastAsia="宋体" w:cs="宋体"/>
          <w:color w:val="auto"/>
          <w:sz w:val="36"/>
          <w:szCs w:val="36"/>
          <w:highlight w:val="none"/>
          <w:lang w:val="en-US" w:eastAsia="zh-CN"/>
        </w:rPr>
      </w:pPr>
    </w:p>
    <w:p w14:paraId="627AA771">
      <w:pPr>
        <w:spacing w:line="480" w:lineRule="auto"/>
        <w:ind w:left="361" w:leftChars="172" w:firstLine="720" w:firstLineChars="200"/>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资格审查</w:t>
      </w:r>
      <w:r>
        <w:rPr>
          <w:rFonts w:hint="eastAsia" w:ascii="宋体" w:hAnsi="宋体" w:cs="宋体"/>
          <w:color w:val="auto"/>
          <w:sz w:val="36"/>
          <w:szCs w:val="36"/>
          <w:highlight w:val="none"/>
          <w:lang w:val="en-US" w:eastAsia="zh-CN"/>
        </w:rPr>
        <w:t>文件</w:t>
      </w:r>
    </w:p>
    <w:p w14:paraId="5497DDE2">
      <w:pPr>
        <w:pStyle w:val="12"/>
        <w:spacing w:line="480" w:lineRule="auto"/>
        <w:ind w:firstLine="600" w:firstLineChars="200"/>
        <w:rPr>
          <w:rFonts w:hint="eastAsia" w:ascii="宋体" w:hAnsi="宋体" w:eastAsia="宋体" w:cs="宋体"/>
          <w:color w:val="auto"/>
          <w:sz w:val="30"/>
          <w:szCs w:val="30"/>
          <w:highlight w:val="none"/>
        </w:rPr>
      </w:pPr>
    </w:p>
    <w:p w14:paraId="2B1DC7C7">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FFA3BDF">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47755C8D">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供应商名称：</w:t>
      </w:r>
    </w:p>
    <w:p w14:paraId="5B025A45">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      年   月   日</w:t>
      </w:r>
    </w:p>
    <w:p w14:paraId="5564B0F8">
      <w:pPr>
        <w:pStyle w:val="31"/>
        <w:ind w:firstLine="680" w:firstLineChars="200"/>
        <w:jc w:val="center"/>
        <w:rPr>
          <w:rFonts w:hint="eastAsia" w:ascii="宋体" w:hAnsi="宋体" w:cs="仿宋_GB2312"/>
          <w:bCs/>
          <w:color w:val="auto"/>
          <w:sz w:val="32"/>
          <w:szCs w:val="32"/>
          <w:highlight w:val="none"/>
        </w:rPr>
      </w:pPr>
    </w:p>
    <w:p w14:paraId="73248B8E">
      <w:pPr>
        <w:pStyle w:val="31"/>
        <w:ind w:firstLine="680" w:firstLineChars="200"/>
        <w:jc w:val="center"/>
        <w:rPr>
          <w:rFonts w:hint="eastAsia" w:ascii="宋体" w:hAnsi="宋体" w:eastAsia="宋体" w:cs="宋体"/>
          <w:b/>
          <w:color w:val="auto"/>
          <w:sz w:val="24"/>
          <w:szCs w:val="24"/>
          <w:highlight w:val="none"/>
        </w:rPr>
      </w:pPr>
      <w:r>
        <w:rPr>
          <w:rFonts w:hint="eastAsia" w:ascii="宋体" w:hAnsi="宋体" w:cs="仿宋_GB2312"/>
          <w:bCs/>
          <w:color w:val="auto"/>
          <w:sz w:val="32"/>
          <w:szCs w:val="32"/>
          <w:highlight w:val="none"/>
        </w:rPr>
        <w:t>首次响应文件提交截止时间前不得解密</w:t>
      </w:r>
    </w:p>
    <w:p w14:paraId="08A0A560">
      <w:pPr>
        <w:spacing w:line="360" w:lineRule="auto"/>
        <w:ind w:firstLine="643" w:firstLineChars="200"/>
        <w:jc w:val="center"/>
        <w:rPr>
          <w:rFonts w:hint="eastAsia" w:ascii="宋体" w:hAnsi="宋体"/>
          <w:b/>
          <w:bCs w:val="0"/>
          <w:color w:val="auto"/>
          <w:sz w:val="32"/>
          <w:szCs w:val="32"/>
          <w:highlight w:val="none"/>
          <w:lang w:val="en-US" w:eastAsia="zh-CN"/>
        </w:rPr>
      </w:pPr>
    </w:p>
    <w:p w14:paraId="651ABA06">
      <w:pPr>
        <w:spacing w:line="360" w:lineRule="auto"/>
        <w:ind w:firstLine="643" w:firstLineChars="200"/>
        <w:jc w:val="center"/>
        <w:rPr>
          <w:rFonts w:hint="eastAsia" w:ascii="宋体" w:hAnsi="宋体"/>
          <w:b/>
          <w:bCs w:val="0"/>
          <w:color w:val="auto"/>
          <w:sz w:val="32"/>
          <w:szCs w:val="32"/>
          <w:highlight w:val="none"/>
          <w:lang w:val="en-US" w:eastAsia="zh-CN"/>
        </w:rPr>
      </w:pPr>
    </w:p>
    <w:p w14:paraId="4DE130E4">
      <w:pPr>
        <w:spacing w:line="360" w:lineRule="auto"/>
        <w:ind w:firstLine="643" w:firstLineChars="200"/>
        <w:jc w:val="center"/>
        <w:rPr>
          <w:rFonts w:hint="eastAsia" w:ascii="宋体" w:hAnsi="宋体"/>
          <w:b/>
          <w:bCs w:val="0"/>
          <w:color w:val="auto"/>
          <w:sz w:val="32"/>
          <w:szCs w:val="32"/>
          <w:highlight w:val="none"/>
          <w:lang w:val="en-US" w:eastAsia="zh-CN"/>
        </w:rPr>
      </w:pPr>
    </w:p>
    <w:p w14:paraId="1D839432">
      <w:pPr>
        <w:spacing w:line="360" w:lineRule="auto"/>
        <w:ind w:firstLine="643" w:firstLineChars="200"/>
        <w:jc w:val="center"/>
        <w:rPr>
          <w:rFonts w:hint="eastAsia" w:ascii="宋体" w:hAnsi="宋体"/>
          <w:b/>
          <w:bCs w:val="0"/>
          <w:color w:val="auto"/>
          <w:sz w:val="32"/>
          <w:szCs w:val="32"/>
          <w:highlight w:val="none"/>
          <w:lang w:val="en-US" w:eastAsia="zh-CN"/>
        </w:rPr>
      </w:pPr>
    </w:p>
    <w:p w14:paraId="6A0EB1D8">
      <w:pPr>
        <w:spacing w:line="360" w:lineRule="auto"/>
        <w:jc w:val="both"/>
        <w:rPr>
          <w:rFonts w:hint="eastAsia" w:ascii="宋体" w:hAnsi="宋体"/>
          <w:b/>
          <w:bCs w:val="0"/>
          <w:color w:val="auto"/>
          <w:sz w:val="32"/>
          <w:szCs w:val="32"/>
          <w:highlight w:val="none"/>
          <w:lang w:val="en-US" w:eastAsia="zh-CN"/>
        </w:rPr>
      </w:pPr>
    </w:p>
    <w:p w14:paraId="3A4F6B95">
      <w:pPr>
        <w:spacing w:line="360" w:lineRule="auto"/>
        <w:ind w:firstLine="643" w:firstLineChars="200"/>
        <w:jc w:val="both"/>
        <w:rPr>
          <w:rFonts w:hint="eastAsia" w:ascii="宋体" w:hAnsi="宋体"/>
          <w:b/>
          <w:bCs w:val="0"/>
          <w:color w:val="auto"/>
          <w:sz w:val="32"/>
          <w:szCs w:val="32"/>
          <w:highlight w:val="none"/>
        </w:rPr>
      </w:pPr>
      <w:r>
        <w:rPr>
          <w:rFonts w:hint="eastAsia" w:ascii="宋体" w:hAnsi="宋体"/>
          <w:b/>
          <w:bCs w:val="0"/>
          <w:color w:val="auto"/>
          <w:sz w:val="32"/>
          <w:szCs w:val="32"/>
          <w:highlight w:val="none"/>
          <w:lang w:val="en-US" w:eastAsia="zh-CN"/>
        </w:rPr>
        <w:t>资格审查文件</w:t>
      </w:r>
      <w:r>
        <w:rPr>
          <w:rFonts w:hint="eastAsia" w:ascii="宋体" w:hAnsi="宋体"/>
          <w:b/>
          <w:bCs w:val="0"/>
          <w:color w:val="auto"/>
          <w:sz w:val="32"/>
          <w:szCs w:val="32"/>
          <w:highlight w:val="none"/>
        </w:rPr>
        <w:t>目录自拟</w:t>
      </w:r>
    </w:p>
    <w:p w14:paraId="2E99D486">
      <w:pPr>
        <w:pStyle w:val="12"/>
        <w:shd w:val="clear" w:color="auto" w:fill="FFFFFF"/>
        <w:spacing w:before="160" w:beforeLines="50" w:line="360" w:lineRule="exact"/>
        <w:ind w:firstLine="482" w:firstLineChars="200"/>
        <w:rPr>
          <w:rFonts w:hint="eastAsia" w:ascii="宋体" w:hAnsi="宋体" w:eastAsia="宋体" w:cs="宋体"/>
          <w:b/>
          <w:color w:val="auto"/>
          <w:sz w:val="24"/>
          <w:szCs w:val="24"/>
          <w:highlight w:val="none"/>
        </w:rPr>
      </w:pPr>
    </w:p>
    <w:p w14:paraId="08EABF1A">
      <w:pPr>
        <w:shd w:val="clear" w:color="auto" w:fill="FFFFFF"/>
        <w:spacing w:before="160" w:beforeLines="50"/>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2BCB5D6A">
      <w:pPr>
        <w:pStyle w:val="12"/>
        <w:shd w:val="clear" w:color="auto" w:fill="FFFFFF"/>
        <w:spacing w:before="160" w:beforeLines="50" w:line="3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1.法定代表人身份证明书（格式）</w:t>
      </w:r>
    </w:p>
    <w:p w14:paraId="577F117A">
      <w:pPr>
        <w:shd w:val="clear" w:color="auto" w:fill="FFFFFF"/>
        <w:spacing w:line="360" w:lineRule="exact"/>
        <w:ind w:firstLine="420" w:firstLineChars="200"/>
        <w:rPr>
          <w:rFonts w:hint="eastAsia" w:ascii="宋体" w:hAnsi="宋体" w:eastAsia="宋体" w:cs="宋体"/>
          <w:color w:val="auto"/>
          <w:szCs w:val="21"/>
          <w:highlight w:val="none"/>
        </w:rPr>
      </w:pPr>
    </w:p>
    <w:p w14:paraId="01435D31">
      <w:pPr>
        <w:shd w:val="clear" w:color="auto" w:fill="FFFFFF"/>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p>
    <w:p w14:paraId="2F9FE1A1">
      <w:pPr>
        <w:shd w:val="clear" w:color="auto" w:fill="FFFFFF"/>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4933077E">
      <w:pPr>
        <w:shd w:val="clear" w:color="auto" w:fill="FFFFFF"/>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2050BDD2">
      <w:pPr>
        <w:shd w:val="clear" w:color="auto" w:fill="FFFFFF"/>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6242C2A">
      <w:pPr>
        <w:shd w:val="clear" w:color="auto" w:fill="FFFFFF"/>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0BDA3AE0">
      <w:pPr>
        <w:shd w:val="clear" w:color="auto" w:fill="FFFFFF"/>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    别：</w:t>
      </w:r>
      <w:r>
        <w:rPr>
          <w:rFonts w:hint="eastAsia" w:ascii="宋体" w:hAnsi="宋体" w:eastAsia="宋体" w:cs="宋体"/>
          <w:color w:val="auto"/>
          <w:szCs w:val="21"/>
          <w:highlight w:val="none"/>
          <w:u w:val="single"/>
        </w:rPr>
        <w:t xml:space="preserve">             </w:t>
      </w:r>
    </w:p>
    <w:p w14:paraId="191AFEB2">
      <w:pPr>
        <w:shd w:val="clear" w:color="auto" w:fill="FFFFFF"/>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年    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p>
    <w:p w14:paraId="5C39A98D">
      <w:pPr>
        <w:shd w:val="clear" w:color="auto" w:fill="FFFFFF"/>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1B97E23E">
      <w:pPr>
        <w:shd w:val="clear" w:color="auto" w:fill="FFFFFF"/>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w:t>
      </w:r>
    </w:p>
    <w:p w14:paraId="2D891F1D">
      <w:pPr>
        <w:pStyle w:val="12"/>
        <w:shd w:val="clear" w:color="auto" w:fill="FFFFFF"/>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643EF615">
      <w:pPr>
        <w:pStyle w:val="12"/>
        <w:shd w:val="clear" w:color="auto" w:fill="FFFFFF"/>
        <w:spacing w:line="360" w:lineRule="exact"/>
        <w:ind w:firstLine="420" w:firstLineChars="200"/>
        <w:jc w:val="right"/>
        <w:rPr>
          <w:rFonts w:hint="eastAsia" w:ascii="宋体" w:hAnsi="宋体" w:eastAsia="宋体" w:cs="宋体"/>
          <w:color w:val="auto"/>
          <w:highlight w:val="none"/>
        </w:rPr>
      </w:pPr>
    </w:p>
    <w:p w14:paraId="7CFB880B">
      <w:pPr>
        <w:pStyle w:val="12"/>
        <w:shd w:val="clear" w:color="auto" w:fill="FFFFFF"/>
        <w:spacing w:line="360" w:lineRule="exact"/>
        <w:ind w:firstLine="420" w:firstLineChars="200"/>
        <w:jc w:val="right"/>
        <w:rPr>
          <w:rFonts w:hint="eastAsia" w:ascii="宋体" w:hAnsi="宋体" w:eastAsia="宋体" w:cs="宋体"/>
          <w:color w:val="auto"/>
          <w:highlight w:val="none"/>
        </w:rPr>
      </w:pPr>
    </w:p>
    <w:p w14:paraId="0EF8DED8">
      <w:pPr>
        <w:pStyle w:val="12"/>
        <w:shd w:val="clear" w:color="auto" w:fill="FFFFFF"/>
        <w:spacing w:line="360" w:lineRule="exact"/>
        <w:ind w:firstLine="420" w:firstLineChars="200"/>
        <w:jc w:val="right"/>
        <w:rPr>
          <w:rFonts w:hint="eastAsia" w:ascii="宋体" w:hAnsi="宋体" w:eastAsia="宋体" w:cs="宋体"/>
          <w:color w:val="auto"/>
          <w:highlight w:val="none"/>
        </w:rPr>
      </w:pPr>
    </w:p>
    <w:p w14:paraId="7CC65DF4">
      <w:pPr>
        <w:pStyle w:val="12"/>
        <w:shd w:val="clear" w:color="auto" w:fill="FFFFFF"/>
        <w:spacing w:line="360" w:lineRule="exact"/>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（电子</w:t>
      </w:r>
      <w:r>
        <w:rPr>
          <w:rFonts w:hint="eastAsia" w:hAnsi="宋体" w:cs="宋体"/>
          <w:color w:val="auto"/>
          <w:highlight w:val="none"/>
          <w:lang w:val="en-US" w:eastAsia="zh-CN"/>
        </w:rPr>
        <w:t>印</w:t>
      </w:r>
      <w:r>
        <w:rPr>
          <w:rFonts w:hint="eastAsia" w:ascii="宋体" w:hAnsi="宋体" w:eastAsia="宋体" w:cs="宋体"/>
          <w:color w:val="auto"/>
          <w:highlight w:val="none"/>
        </w:rPr>
        <w:t>章）</w:t>
      </w:r>
    </w:p>
    <w:p w14:paraId="7DDF4E93">
      <w:pPr>
        <w:pStyle w:val="12"/>
        <w:shd w:val="clear" w:color="auto" w:fill="FFFFFF"/>
        <w:spacing w:line="360" w:lineRule="exact"/>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76D7273D">
      <w:pPr>
        <w:pStyle w:val="12"/>
        <w:shd w:val="clear" w:color="auto" w:fill="FFFFFF"/>
        <w:spacing w:line="360" w:lineRule="exact"/>
        <w:ind w:firstLine="602" w:firstLineChars="200"/>
        <w:jc w:val="center"/>
        <w:rPr>
          <w:rFonts w:hint="eastAsia" w:ascii="宋体" w:hAnsi="宋体" w:eastAsia="宋体" w:cs="宋体"/>
          <w:b/>
          <w:color w:val="auto"/>
          <w:sz w:val="30"/>
          <w:szCs w:val="30"/>
          <w:highlight w:val="none"/>
        </w:rPr>
      </w:pPr>
    </w:p>
    <w:p w14:paraId="2C354FB7">
      <w:pPr>
        <w:pStyle w:val="12"/>
        <w:shd w:val="clear" w:color="auto" w:fill="FFFFFF"/>
        <w:spacing w:line="360" w:lineRule="exact"/>
        <w:ind w:firstLine="602" w:firstLineChars="200"/>
        <w:jc w:val="center"/>
        <w:rPr>
          <w:rFonts w:hint="eastAsia" w:ascii="宋体" w:hAnsi="宋体" w:eastAsia="宋体" w:cs="宋体"/>
          <w:b/>
          <w:color w:val="auto"/>
          <w:sz w:val="30"/>
          <w:szCs w:val="30"/>
          <w:highlight w:val="none"/>
        </w:rPr>
      </w:pPr>
    </w:p>
    <w:p w14:paraId="2E01024A">
      <w:pPr>
        <w:pStyle w:val="12"/>
        <w:shd w:val="clear" w:color="auto" w:fill="FFFFFF"/>
        <w:spacing w:line="360" w:lineRule="exact"/>
        <w:ind w:firstLine="602" w:firstLineChars="200"/>
        <w:jc w:val="center"/>
        <w:rPr>
          <w:rFonts w:hint="eastAsia" w:ascii="宋体" w:hAnsi="宋体" w:eastAsia="宋体" w:cs="宋体"/>
          <w:b/>
          <w:color w:val="auto"/>
          <w:sz w:val="30"/>
          <w:szCs w:val="30"/>
          <w:highlight w:val="none"/>
        </w:rPr>
      </w:pPr>
    </w:p>
    <w:p w14:paraId="681D1486">
      <w:pPr>
        <w:pStyle w:val="12"/>
        <w:shd w:val="clear" w:color="auto" w:fill="FFFFFF"/>
        <w:spacing w:line="360" w:lineRule="exact"/>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法定代表人有效身份证正反面复印件</w:t>
      </w:r>
    </w:p>
    <w:p w14:paraId="58F103B0">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41DC9240">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4A824258">
      <w:pPr>
        <w:pStyle w:val="12"/>
        <w:shd w:val="clear" w:color="auto" w:fill="FFFFFF"/>
        <w:spacing w:line="360" w:lineRule="exact"/>
        <w:rPr>
          <w:rFonts w:hint="eastAsia" w:ascii="宋体" w:hAnsi="宋体" w:eastAsia="宋体" w:cs="宋体"/>
          <w:b/>
          <w:color w:val="auto"/>
          <w:sz w:val="24"/>
          <w:szCs w:val="24"/>
          <w:highlight w:val="none"/>
        </w:rPr>
      </w:pPr>
    </w:p>
    <w:p w14:paraId="73F1F972">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4BD62965">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08BE983A">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00A88A8F">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600C88AF">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590E1DA9">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27EA284D">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354EE54D">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2F7B9750">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0508A1C7">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4402B116">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p>
    <w:p w14:paraId="7B50E212">
      <w:pPr>
        <w:pStyle w:val="12"/>
        <w:shd w:val="clear" w:color="auto" w:fill="FFFFFF"/>
        <w:spacing w:line="360" w:lineRule="exact"/>
        <w:rPr>
          <w:rFonts w:hint="eastAsia" w:ascii="宋体" w:hAnsi="宋体" w:eastAsia="宋体" w:cs="宋体"/>
          <w:b/>
          <w:color w:val="auto"/>
          <w:sz w:val="24"/>
          <w:szCs w:val="24"/>
          <w:highlight w:val="none"/>
        </w:rPr>
      </w:pPr>
    </w:p>
    <w:p w14:paraId="44BCE537">
      <w:pPr>
        <w:shd w:val="clear" w:color="auto" w:fill="FFFFFF"/>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4054CAC5">
      <w:pPr>
        <w:pStyle w:val="12"/>
        <w:shd w:val="clear" w:color="auto" w:fill="FFFFFF"/>
        <w:spacing w:line="3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2.授权委托书（格式）</w:t>
      </w:r>
    </w:p>
    <w:p w14:paraId="1130CA7C">
      <w:pPr>
        <w:pStyle w:val="12"/>
        <w:shd w:val="clear" w:color="auto" w:fill="FFFFFF"/>
        <w:spacing w:line="360" w:lineRule="exact"/>
        <w:ind w:firstLine="420" w:firstLineChars="200"/>
        <w:rPr>
          <w:rFonts w:hint="eastAsia" w:ascii="宋体" w:hAnsi="宋体" w:eastAsia="宋体" w:cs="宋体"/>
          <w:color w:val="auto"/>
          <w:highlight w:val="none"/>
        </w:rPr>
      </w:pPr>
    </w:p>
    <w:p w14:paraId="31450FB1">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本授权委托书声明：我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(供应商名称)的法定代表人，现授权委托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(姓名)为我单位代理人，以本单位的名义参加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代理的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hAnsi="宋体" w:cs="宋体"/>
          <w:color w:val="auto"/>
          <w:highlight w:val="none"/>
          <w:lang w:eastAsia="zh-CN"/>
        </w:rPr>
        <w:t>磋商</w:t>
      </w:r>
      <w:r>
        <w:rPr>
          <w:rFonts w:hint="eastAsia" w:ascii="宋体" w:hAnsi="宋体" w:eastAsia="宋体" w:cs="宋体"/>
          <w:color w:val="auto"/>
          <w:highlight w:val="none"/>
        </w:rPr>
        <w:t>活动，代理人在</w:t>
      </w:r>
      <w:r>
        <w:rPr>
          <w:rFonts w:hint="eastAsia" w:hAnsi="宋体" w:cs="宋体"/>
          <w:color w:val="auto"/>
          <w:highlight w:val="none"/>
          <w:lang w:eastAsia="zh-CN"/>
        </w:rPr>
        <w:t>磋商</w:t>
      </w:r>
      <w:r>
        <w:rPr>
          <w:rFonts w:hint="eastAsia" w:ascii="宋体" w:hAnsi="宋体" w:eastAsia="宋体" w:cs="宋体"/>
          <w:color w:val="auto"/>
          <w:highlight w:val="none"/>
        </w:rPr>
        <w:t>过程中所签署的一切文件和处理与之有关的一切事务，我均予以承认。</w:t>
      </w:r>
    </w:p>
    <w:p w14:paraId="6669FCF1">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代理人无转委权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特此委托。</w:t>
      </w:r>
    </w:p>
    <w:p w14:paraId="22626660">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附：代理人有效身份证正反面复印件</w:t>
      </w:r>
    </w:p>
    <w:p w14:paraId="78E53B46">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rPr>
        <w:t>代理人：</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(签字)</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 xml:space="preserve">      性别：</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 xml:space="preserve">      年龄：</w:t>
      </w:r>
      <w:r>
        <w:rPr>
          <w:rFonts w:hint="eastAsia" w:hAnsi="宋体" w:cs="宋体"/>
          <w:color w:val="auto"/>
          <w:highlight w:val="none"/>
          <w:u w:val="none"/>
          <w:lang w:val="en-US" w:eastAsia="zh-CN"/>
        </w:rPr>
        <w:t xml:space="preserve">       </w:t>
      </w:r>
    </w:p>
    <w:p w14:paraId="25094C03">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部门：</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 xml:space="preserve">      职务：</w:t>
      </w:r>
      <w:r>
        <w:rPr>
          <w:rFonts w:hint="eastAsia" w:hAnsi="宋体" w:cs="宋体"/>
          <w:color w:val="auto"/>
          <w:highlight w:val="none"/>
          <w:u w:val="single"/>
          <w:lang w:val="en-US" w:eastAsia="zh-CN"/>
        </w:rPr>
        <w:t xml:space="preserve">       </w:t>
      </w:r>
    </w:p>
    <w:p w14:paraId="08112424">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rPr>
        <w:t>身份证号码：</w:t>
      </w:r>
      <w:r>
        <w:rPr>
          <w:rFonts w:hint="eastAsia" w:hAnsi="宋体" w:cs="宋体"/>
          <w:color w:val="auto"/>
          <w:highlight w:val="none"/>
          <w:u w:val="none"/>
          <w:lang w:val="en-US" w:eastAsia="zh-CN"/>
        </w:rPr>
        <w:t xml:space="preserve">       </w:t>
      </w:r>
    </w:p>
    <w:p w14:paraId="619F2EE1">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供应商：(电子</w:t>
      </w:r>
      <w:r>
        <w:rPr>
          <w:rFonts w:hint="eastAsia" w:hAnsi="宋体" w:cs="宋体"/>
          <w:color w:val="auto"/>
          <w:highlight w:val="none"/>
          <w:lang w:val="en-US" w:eastAsia="zh-CN"/>
        </w:rPr>
        <w:t>印</w:t>
      </w:r>
      <w:r>
        <w:rPr>
          <w:rFonts w:hint="eastAsia" w:ascii="宋体" w:hAnsi="宋体" w:eastAsia="宋体" w:cs="宋体"/>
          <w:color w:val="auto"/>
          <w:highlight w:val="none"/>
        </w:rPr>
        <w:t>章)</w:t>
      </w:r>
      <w:r>
        <w:rPr>
          <w:rFonts w:hint="eastAsia" w:hAnsi="宋体" w:cs="宋体"/>
          <w:color w:val="auto"/>
          <w:highlight w:val="none"/>
          <w:u w:val="single"/>
          <w:lang w:val="en-US" w:eastAsia="zh-CN"/>
        </w:rPr>
        <w:t xml:space="preserve">       </w:t>
      </w:r>
    </w:p>
    <w:p w14:paraId="0B2F801A">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(签字)</w:t>
      </w:r>
      <w:r>
        <w:rPr>
          <w:rFonts w:hint="eastAsia" w:hAnsi="宋体" w:cs="宋体"/>
          <w:color w:val="auto"/>
          <w:highlight w:val="none"/>
          <w:u w:val="single"/>
          <w:lang w:val="en-US" w:eastAsia="zh-CN"/>
        </w:rPr>
        <w:t xml:space="preserve">       </w:t>
      </w:r>
    </w:p>
    <w:p w14:paraId="70008D5D">
      <w:pPr>
        <w:pStyle w:val="12"/>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color w:val="auto"/>
          <w:highlight w:val="none"/>
          <w:u w:val="single"/>
        </w:rPr>
        <w:t xml:space="preserve">     年  月  日</w:t>
      </w:r>
      <w:r>
        <w:rPr>
          <w:rFonts w:hint="eastAsia" w:ascii="宋体" w:hAnsi="宋体" w:eastAsia="宋体" w:cs="宋体"/>
          <w:color w:val="auto"/>
          <w:highlight w:val="none"/>
        </w:rPr>
        <w:t xml:space="preserve"> 至</w:t>
      </w:r>
      <w:r>
        <w:rPr>
          <w:rFonts w:hint="eastAsia" w:ascii="宋体" w:hAnsi="宋体" w:eastAsia="宋体" w:cs="宋体"/>
          <w:color w:val="auto"/>
          <w:highlight w:val="none"/>
          <w:u w:val="single"/>
        </w:rPr>
        <w:t xml:space="preserve">     年  月  日</w:t>
      </w:r>
    </w:p>
    <w:p w14:paraId="039C9B18">
      <w:pPr>
        <w:pStyle w:val="12"/>
        <w:shd w:val="clear" w:color="auto" w:fill="FFFFFF"/>
        <w:spacing w:line="360" w:lineRule="exact"/>
        <w:ind w:firstLine="5250" w:firstLineChars="2500"/>
        <w:jc w:val="left"/>
        <w:rPr>
          <w:rFonts w:hint="eastAsia" w:ascii="宋体" w:hAnsi="宋体" w:eastAsia="宋体" w:cs="宋体"/>
          <w:color w:val="auto"/>
          <w:highlight w:val="none"/>
        </w:rPr>
      </w:pPr>
    </w:p>
    <w:p w14:paraId="793F45EA">
      <w:pPr>
        <w:pStyle w:val="12"/>
        <w:shd w:val="clear" w:color="auto" w:fill="FFFFFF"/>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5D33FCB2">
      <w:pPr>
        <w:pStyle w:val="12"/>
        <w:shd w:val="clear" w:color="auto" w:fill="FFFFFF"/>
        <w:spacing w:line="360" w:lineRule="exact"/>
        <w:ind w:firstLine="643" w:firstLineChars="200"/>
        <w:jc w:val="center"/>
        <w:rPr>
          <w:rFonts w:hint="eastAsia" w:ascii="宋体" w:hAnsi="宋体" w:eastAsia="宋体" w:cs="宋体"/>
          <w:b/>
          <w:bCs/>
          <w:color w:val="auto"/>
          <w:sz w:val="32"/>
          <w:szCs w:val="32"/>
          <w:highlight w:val="none"/>
        </w:rPr>
      </w:pPr>
    </w:p>
    <w:p w14:paraId="0F0D5E7F">
      <w:pPr>
        <w:pStyle w:val="12"/>
        <w:shd w:val="clear" w:color="auto" w:fill="FFFFFF"/>
        <w:spacing w:line="360" w:lineRule="exact"/>
        <w:ind w:firstLine="643" w:firstLineChars="200"/>
        <w:jc w:val="center"/>
        <w:rPr>
          <w:rFonts w:hint="eastAsia" w:ascii="宋体" w:hAnsi="宋体" w:eastAsia="宋体" w:cs="宋体"/>
          <w:b/>
          <w:bCs/>
          <w:color w:val="auto"/>
          <w:sz w:val="32"/>
          <w:szCs w:val="32"/>
          <w:highlight w:val="none"/>
        </w:rPr>
      </w:pPr>
    </w:p>
    <w:p w14:paraId="60B99085">
      <w:pPr>
        <w:pStyle w:val="12"/>
        <w:shd w:val="clear" w:color="auto" w:fill="FFFFFF"/>
        <w:spacing w:line="36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授权委托代理人有效身份证正反面复印件</w:t>
      </w:r>
    </w:p>
    <w:p w14:paraId="19232DE2">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42FBEEE1">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708132CD">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30513C97">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21A1BD64">
      <w:pPr>
        <w:pStyle w:val="12"/>
        <w:shd w:val="clear" w:color="auto" w:fill="FFFFFF"/>
        <w:spacing w:before="160" w:beforeLines="50" w:line="360" w:lineRule="exact"/>
        <w:ind w:firstLine="482" w:firstLineChars="200"/>
        <w:rPr>
          <w:rFonts w:hint="eastAsia"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.有效营业执照、资质证书、企业安全生产许可证复印件</w:t>
      </w:r>
    </w:p>
    <w:p w14:paraId="13EB9EAA">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387A729C">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673A1215">
      <w:pPr>
        <w:pStyle w:val="12"/>
        <w:shd w:val="clear" w:color="auto" w:fill="FFFFFF"/>
        <w:spacing w:before="160" w:beforeLines="50" w:line="360" w:lineRule="exact"/>
        <w:ind w:firstLine="482" w:firstLineChars="200"/>
        <w:rPr>
          <w:rFonts w:hint="eastAsia"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项目经理资格：拟投入</w:t>
      </w:r>
      <w:bookmarkStart w:id="1178" w:name="OLE_LINK37"/>
      <w:r>
        <w:rPr>
          <w:rFonts w:hint="eastAsia" w:ascii="宋体" w:hAnsi="宋体" w:eastAsia="宋体" w:cs="宋体"/>
          <w:b/>
          <w:color w:val="auto"/>
          <w:sz w:val="24"/>
          <w:szCs w:val="24"/>
          <w:highlight w:val="none"/>
          <w:lang w:val="en-US" w:eastAsia="zh-CN"/>
        </w:rPr>
        <w:t>本项目的项目经理的有效第二代</w:t>
      </w:r>
      <w:bookmarkEnd w:id="1178"/>
      <w:r>
        <w:rPr>
          <w:rFonts w:hint="eastAsia" w:ascii="宋体" w:hAnsi="宋体" w:eastAsia="宋体" w:cs="宋体"/>
          <w:b/>
          <w:color w:val="auto"/>
          <w:sz w:val="24"/>
          <w:szCs w:val="24"/>
          <w:highlight w:val="none"/>
          <w:lang w:val="en-US" w:eastAsia="zh-CN"/>
        </w:rPr>
        <w:t>身份证正反面复印件、注册建造师证书复印件及安全生产考核合格证（B证）证件复印件</w:t>
      </w:r>
    </w:p>
    <w:p w14:paraId="4F8E6D86">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5222DE09">
      <w:pPr>
        <w:pStyle w:val="12"/>
        <w:shd w:val="clear" w:color="auto" w:fill="FFFFFF"/>
        <w:spacing w:before="160" w:beforeLines="50" w:line="360" w:lineRule="exact"/>
        <w:ind w:firstLine="482" w:firstLineChars="200"/>
        <w:rPr>
          <w:rFonts w:hint="eastAsia" w:hAnsi="宋体" w:cs="宋体"/>
          <w:b/>
          <w:color w:val="auto"/>
          <w:sz w:val="24"/>
          <w:szCs w:val="24"/>
          <w:highlight w:val="none"/>
          <w:lang w:val="en-US" w:eastAsia="zh-CN"/>
        </w:rPr>
      </w:pPr>
    </w:p>
    <w:p w14:paraId="7418D892">
      <w:pPr>
        <w:pStyle w:val="12"/>
        <w:shd w:val="clear" w:color="auto" w:fill="FFFFFF"/>
        <w:spacing w:before="160" w:beforeLines="50" w:line="360" w:lineRule="exact"/>
        <w:rPr>
          <w:rFonts w:hint="eastAsia" w:hAnsi="宋体" w:cs="宋体"/>
          <w:b/>
          <w:color w:val="auto"/>
          <w:sz w:val="24"/>
          <w:szCs w:val="24"/>
          <w:highlight w:val="none"/>
          <w:lang w:val="en-US" w:eastAsia="zh-CN"/>
        </w:rPr>
      </w:pPr>
    </w:p>
    <w:p w14:paraId="4CC3C9D2">
      <w:pPr>
        <w:pStyle w:val="8"/>
        <w:shd w:val="clear" w:color="auto" w:fill="FFFFFF"/>
        <w:overflowPunct w:val="0"/>
        <w:spacing w:line="360" w:lineRule="exact"/>
        <w:ind w:left="0" w:leftChars="0" w:firstLine="482" w:firstLineChars="200"/>
        <w:rPr>
          <w:rFonts w:hint="eastAsia" w:ascii="宋体" w:hAnsi="宋体" w:cs="宋体"/>
          <w:b/>
          <w:color w:val="auto"/>
          <w:sz w:val="24"/>
          <w:szCs w:val="24"/>
          <w:highlight w:val="none"/>
          <w:lang w:val="en-US" w:eastAsia="zh-CN"/>
        </w:rPr>
      </w:pPr>
    </w:p>
    <w:p w14:paraId="5D1C4470">
      <w:pPr>
        <w:spacing w:line="240" w:lineRule="auto"/>
        <w:ind w:firstLine="482" w:firstLineChars="200"/>
        <w:rPr>
          <w:rFonts w:ascii="宋体" w:eastAsia="宋体" w:cs="宋体"/>
          <w:b/>
          <w:color w:val="auto"/>
          <w:kern w:val="0"/>
          <w:sz w:val="28"/>
          <w:szCs w:val="28"/>
          <w:highlight w:val="none"/>
        </w:rPr>
      </w:pPr>
      <w:r>
        <w:rPr>
          <w:rFonts w:hint="eastAsia" w:ascii="宋体" w:hAnsi="宋体" w:cs="宋体"/>
          <w:b/>
          <w:color w:val="auto"/>
          <w:sz w:val="24"/>
          <w:szCs w:val="24"/>
          <w:highlight w:val="none"/>
          <w:lang w:val="en-US" w:eastAsia="zh-CN"/>
        </w:rPr>
        <w:br w:type="page"/>
      </w: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w:t>
      </w:r>
      <w:r>
        <w:rPr>
          <w:rFonts w:hint="eastAsia" w:ascii="宋体" w:eastAsia="宋体" w:cs="宋体"/>
          <w:b/>
          <w:color w:val="auto"/>
          <w:kern w:val="0"/>
          <w:sz w:val="28"/>
          <w:szCs w:val="28"/>
          <w:highlight w:val="none"/>
        </w:rPr>
        <w:t>防城港市政府采购供应商信用承诺函（格式）</w:t>
      </w:r>
    </w:p>
    <w:p w14:paraId="22D4E08D">
      <w:pPr>
        <w:spacing w:line="520" w:lineRule="exact"/>
        <w:jc w:val="center"/>
        <w:rPr>
          <w:rFonts w:ascii="宋体" w:eastAsia="宋体" w:cs="宋体"/>
          <w:b/>
          <w:color w:val="auto"/>
          <w:kern w:val="0"/>
          <w:sz w:val="28"/>
          <w:szCs w:val="28"/>
          <w:highlight w:val="none"/>
        </w:rPr>
      </w:pPr>
    </w:p>
    <w:p w14:paraId="4B5CE9BE">
      <w:pPr>
        <w:spacing w:line="520" w:lineRule="exact"/>
        <w:jc w:val="center"/>
        <w:rPr>
          <w:rFonts w:ascii="方正小标宋简体" w:eastAsia="方正小标宋简体"/>
          <w:color w:val="auto"/>
          <w:sz w:val="36"/>
          <w:szCs w:val="36"/>
          <w:highlight w:val="none"/>
        </w:rPr>
      </w:pPr>
    </w:p>
    <w:p w14:paraId="7FC5FD7C">
      <w:pPr>
        <w:spacing w:line="520" w:lineRule="exact"/>
        <w:ind w:firstLine="720" w:firstLineChars="200"/>
        <w:jc w:val="center"/>
        <w:rPr>
          <w:rFonts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防城港市政府采购供应商信用承诺函（格式</w:t>
      </w:r>
      <w:r>
        <w:rPr>
          <w:rFonts w:ascii="方正小标宋简体" w:eastAsia="方正小标宋简体"/>
          <w:color w:val="auto"/>
          <w:sz w:val="36"/>
          <w:szCs w:val="36"/>
          <w:highlight w:val="none"/>
        </w:rPr>
        <w:t>）</w:t>
      </w:r>
    </w:p>
    <w:p w14:paraId="3A86E868">
      <w:pPr>
        <w:spacing w:line="520" w:lineRule="exact"/>
        <w:ind w:firstLine="640" w:firstLineChars="200"/>
        <w:rPr>
          <w:rFonts w:ascii="仿宋_GB2312" w:eastAsia="仿宋_GB2312"/>
          <w:color w:val="auto"/>
          <w:sz w:val="32"/>
          <w:szCs w:val="32"/>
          <w:highlight w:val="none"/>
        </w:rPr>
      </w:pPr>
    </w:p>
    <w:p w14:paraId="261070B1">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致（采购人或采购代理机构）</w:t>
      </w:r>
      <w:r>
        <w:rPr>
          <w:rFonts w:ascii="仿宋_GB2312" w:eastAsia="仿宋_GB2312"/>
          <w:color w:val="auto"/>
          <w:sz w:val="28"/>
          <w:szCs w:val="28"/>
          <w:highlight w:val="none"/>
        </w:rPr>
        <w:t xml:space="preserve"> ：</w:t>
      </w:r>
    </w:p>
    <w:p w14:paraId="36233CFA">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我方自愿参加</w:t>
      </w:r>
      <w:r>
        <w:rPr>
          <w:rFonts w:hint="eastAsia" w:ascii="仿宋_GB2312" w:eastAsia="仿宋_GB2312"/>
          <w:color w:val="auto"/>
          <w:sz w:val="28"/>
          <w:szCs w:val="28"/>
          <w:highlight w:val="none"/>
          <w:u w:val="single"/>
        </w:rPr>
        <w:t xml:space="preserve"> （项目名称） </w:t>
      </w:r>
      <w:r>
        <w:rPr>
          <w:rFonts w:hint="eastAsia" w:ascii="仿宋_GB2312" w:eastAsia="仿宋_GB2312"/>
          <w:color w:val="auto"/>
          <w:sz w:val="28"/>
          <w:szCs w:val="28"/>
          <w:highlight w:val="none"/>
        </w:rPr>
        <w:t>项目（</w:t>
      </w:r>
      <w:r>
        <w:rPr>
          <w:rFonts w:hint="eastAsia" w:ascii="仿宋_GB2312" w:eastAsia="仿宋_GB2312"/>
          <w:color w:val="auto"/>
          <w:sz w:val="28"/>
          <w:szCs w:val="28"/>
          <w:highlight w:val="none"/>
          <w:u w:val="single"/>
        </w:rPr>
        <w:t xml:space="preserve">项目编号：         </w:t>
      </w:r>
      <w:r>
        <w:rPr>
          <w:rFonts w:hint="eastAsia" w:ascii="仿宋_GB2312" w:eastAsia="仿宋_GB2312"/>
          <w:color w:val="auto"/>
          <w:sz w:val="28"/>
          <w:szCs w:val="28"/>
          <w:highlight w:val="none"/>
        </w:rPr>
        <w:t xml:space="preserve">）的政府采购活动，严格遵守《中华人民共和国政府采购法》及相关法律法规，依法诚信经营，无条件遵守本次政府采购活动的各项规定，并郑重承诺： </w:t>
      </w:r>
    </w:p>
    <w:p w14:paraId="0DD91B4B">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1.我方具有符合采购文件资格要求的财务状况报告。 </w:t>
      </w:r>
    </w:p>
    <w:p w14:paraId="443CD829">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2.我方具有符合采购文件资格要求的依法缴纳税收和社会保障资金的良好记录。 </w:t>
      </w:r>
    </w:p>
    <w:p w14:paraId="3F753F47">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3.我方参加政府采购活动前三年内在经营活动中没有重大违法记录。 </w:t>
      </w:r>
    </w:p>
    <w:p w14:paraId="70795560">
      <w:pPr>
        <w:spacing w:line="520" w:lineRule="exact"/>
        <w:ind w:firstLine="560" w:firstLineChars="200"/>
        <w:rPr>
          <w:color w:val="auto"/>
          <w:sz w:val="20"/>
          <w:szCs w:val="21"/>
          <w:highlight w:val="none"/>
        </w:rPr>
      </w:pPr>
      <w:r>
        <w:rPr>
          <w:rFonts w:hint="eastAsia" w:ascii="仿宋_GB2312" w:eastAsia="仿宋_GB2312"/>
          <w:color w:val="auto"/>
          <w:sz w:val="28"/>
          <w:szCs w:val="28"/>
          <w:highlight w:val="none"/>
        </w:rPr>
        <w:t>我方对以上承诺内容的真实性负责。如有虚假，将依法承担相应责任。</w:t>
      </w:r>
    </w:p>
    <w:p w14:paraId="387E3770">
      <w:pPr>
        <w:spacing w:line="520" w:lineRule="exact"/>
        <w:ind w:firstLine="3220" w:firstLineChars="1150"/>
        <w:rPr>
          <w:rFonts w:ascii="仿宋_GB2312" w:eastAsia="仿宋_GB2312"/>
          <w:color w:val="auto"/>
          <w:sz w:val="28"/>
          <w:szCs w:val="28"/>
          <w:highlight w:val="none"/>
        </w:rPr>
      </w:pPr>
    </w:p>
    <w:p w14:paraId="458A2E96">
      <w:pPr>
        <w:spacing w:line="520" w:lineRule="exact"/>
        <w:ind w:firstLine="3220" w:firstLineChars="1150"/>
        <w:rPr>
          <w:rFonts w:ascii="仿宋_GB2312" w:eastAsia="仿宋_GB2312"/>
          <w:color w:val="auto"/>
          <w:sz w:val="28"/>
          <w:szCs w:val="28"/>
          <w:highlight w:val="none"/>
        </w:rPr>
      </w:pPr>
    </w:p>
    <w:p w14:paraId="58FC3D85">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供应商名称（公章）：</w:t>
      </w:r>
    </w:p>
    <w:p w14:paraId="39F201D1">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统一社会信用代码：</w:t>
      </w:r>
    </w:p>
    <w:p w14:paraId="4369AC96">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法定代表人或授权代表</w:t>
      </w:r>
      <w:r>
        <w:rPr>
          <w:rFonts w:hint="eastAsia" w:ascii="仿宋_GB2312" w:eastAsia="仿宋_GB2312"/>
          <w:color w:val="auto"/>
          <w:sz w:val="28"/>
          <w:szCs w:val="28"/>
          <w:highlight w:val="none"/>
          <w:lang w:eastAsia="zh-CN"/>
        </w:rPr>
        <w:t>（</w:t>
      </w:r>
      <w:r>
        <w:rPr>
          <w:rFonts w:ascii="仿宋_GB2312" w:eastAsia="仿宋_GB2312"/>
          <w:color w:val="auto"/>
          <w:sz w:val="28"/>
          <w:szCs w:val="28"/>
          <w:highlight w:val="none"/>
        </w:rPr>
        <w:t>签</w:t>
      </w:r>
      <w:r>
        <w:rPr>
          <w:rFonts w:hint="eastAsia" w:ascii="仿宋_GB2312" w:eastAsia="仿宋_GB2312"/>
          <w:color w:val="auto"/>
          <w:sz w:val="28"/>
          <w:szCs w:val="28"/>
          <w:highlight w:val="none"/>
        </w:rPr>
        <w:t>名</w:t>
      </w:r>
      <w:r>
        <w:rPr>
          <w:rFonts w:hint="eastAsia" w:ascii="仿宋_GB2312" w:eastAsia="仿宋_GB2312"/>
          <w:color w:val="auto"/>
          <w:sz w:val="28"/>
          <w:szCs w:val="28"/>
          <w:highlight w:val="none"/>
          <w:lang w:eastAsia="zh-CN"/>
        </w:rPr>
        <w:t>）</w:t>
      </w:r>
      <w:r>
        <w:rPr>
          <w:rFonts w:ascii="仿宋_GB2312" w:eastAsia="仿宋_GB2312"/>
          <w:color w:val="auto"/>
          <w:sz w:val="28"/>
          <w:szCs w:val="28"/>
          <w:highlight w:val="none"/>
        </w:rPr>
        <w:t>：</w:t>
      </w:r>
    </w:p>
    <w:p w14:paraId="4D2876C1">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日期：</w:t>
      </w:r>
      <w:r>
        <w:rPr>
          <w:rFonts w:ascii="仿宋_GB2312" w:eastAsia="仿宋_GB2312"/>
          <w:color w:val="auto"/>
          <w:sz w:val="28"/>
          <w:szCs w:val="28"/>
          <w:highlight w:val="none"/>
        </w:rPr>
        <w:t xml:space="preserve"> 年 月 日</w:t>
      </w:r>
    </w:p>
    <w:p w14:paraId="5E101802">
      <w:pPr>
        <w:spacing w:line="600" w:lineRule="exact"/>
        <w:ind w:firstLine="560" w:firstLineChars="200"/>
        <w:rPr>
          <w:rFonts w:ascii="仿宋_GB2312" w:eastAsia="仿宋_GB2312"/>
          <w:color w:val="auto"/>
          <w:sz w:val="28"/>
          <w:szCs w:val="28"/>
          <w:highlight w:val="none"/>
        </w:rPr>
      </w:pPr>
    </w:p>
    <w:p w14:paraId="35908A7D">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注：</w:t>
      </w:r>
      <w:r>
        <w:rPr>
          <w:rFonts w:ascii="仿宋_GB2312" w:eastAsia="仿宋_GB2312"/>
          <w:color w:val="auto"/>
          <w:sz w:val="28"/>
          <w:szCs w:val="28"/>
          <w:highlight w:val="none"/>
        </w:rPr>
        <w:t>1.供应商须在投标</w:t>
      </w:r>
      <w:r>
        <w:rPr>
          <w:rFonts w:hint="eastAsia" w:ascii="仿宋_GB2312" w:eastAsia="仿宋_GB2312"/>
          <w:color w:val="auto"/>
          <w:sz w:val="28"/>
          <w:szCs w:val="28"/>
          <w:highlight w:val="none"/>
        </w:rPr>
        <w:t>（响应）</w:t>
      </w:r>
      <w:r>
        <w:rPr>
          <w:rFonts w:ascii="仿宋_GB2312" w:eastAsia="仿宋_GB2312"/>
          <w:color w:val="auto"/>
          <w:sz w:val="28"/>
          <w:szCs w:val="28"/>
          <w:highlight w:val="none"/>
        </w:rPr>
        <w:t>文件中按此模板提供承诺函，未提供</w:t>
      </w:r>
      <w:r>
        <w:rPr>
          <w:rFonts w:hint="eastAsia" w:ascii="仿宋_GB2312" w:eastAsia="仿宋_GB2312"/>
          <w:color w:val="auto"/>
          <w:sz w:val="28"/>
          <w:szCs w:val="28"/>
          <w:highlight w:val="none"/>
        </w:rPr>
        <w:t>视为未实质性响应招标（采购）文件要求，按无效投标（响应）处理。</w:t>
      </w:r>
    </w:p>
    <w:p w14:paraId="4CC76D9E">
      <w:pPr>
        <w:spacing w:line="600" w:lineRule="exact"/>
        <w:ind w:firstLine="560" w:firstLineChars="200"/>
        <w:rPr>
          <w:color w:val="auto"/>
          <w:highlight w:val="none"/>
        </w:rPr>
      </w:pPr>
      <w:r>
        <w:rPr>
          <w:rFonts w:ascii="仿宋_GB2312" w:eastAsia="仿宋_GB2312"/>
          <w:color w:val="auto"/>
          <w:sz w:val="28"/>
          <w:szCs w:val="28"/>
          <w:highlight w:val="none"/>
        </w:rPr>
        <w:t>2.供应商的法定代表人（其他组织的为负责人）或者授</w:t>
      </w:r>
      <w:r>
        <w:rPr>
          <w:rFonts w:hint="eastAsia" w:ascii="仿宋_GB2312" w:eastAsia="仿宋_GB2312"/>
          <w:color w:val="auto"/>
          <w:sz w:val="28"/>
          <w:szCs w:val="28"/>
          <w:highlight w:val="none"/>
        </w:rPr>
        <w:t>权代表的签名或盖章应真实、有效，如由授权代表签名或盖章的，应提供“法定代表人授权书”。</w:t>
      </w:r>
    </w:p>
    <w:p w14:paraId="05D47586">
      <w:pPr>
        <w:numPr>
          <w:ilvl w:val="0"/>
          <w:numId w:val="0"/>
        </w:numPr>
        <w:shd w:val="clear" w:color="auto" w:fill="FFFFFF"/>
        <w:spacing w:before="160" w:beforeLines="50" w:line="360" w:lineRule="auto"/>
        <w:rPr>
          <w:rFonts w:hint="eastAsia" w:ascii="宋体" w:hAnsi="宋体" w:eastAsia="宋体" w:cs="宋体"/>
          <w:b/>
          <w:bCs w:val="0"/>
          <w:color w:val="auto"/>
          <w:spacing w:val="0"/>
          <w:kern w:val="2"/>
          <w:sz w:val="24"/>
          <w:szCs w:val="24"/>
          <w:highlight w:val="none"/>
          <w:lang w:val="en-US" w:eastAsia="zh-CN" w:bidi="ar-SA"/>
        </w:rPr>
      </w:pPr>
    </w:p>
    <w:p w14:paraId="1638B7A8">
      <w:pPr>
        <w:numPr>
          <w:ilvl w:val="0"/>
          <w:numId w:val="0"/>
        </w:numPr>
        <w:shd w:val="clear" w:color="auto" w:fill="FFFFFF"/>
        <w:spacing w:before="160" w:beforeLines="50" w:line="360" w:lineRule="auto"/>
        <w:ind w:firstLine="482" w:firstLineChars="200"/>
        <w:rPr>
          <w:rFonts w:hint="eastAsia" w:ascii="宋体" w:hAnsi="宋体" w:eastAsia="宋体" w:cs="宋体"/>
          <w:b/>
          <w:bCs w:val="0"/>
          <w:color w:val="auto"/>
          <w:spacing w:val="0"/>
          <w:kern w:val="2"/>
          <w:sz w:val="24"/>
          <w:szCs w:val="24"/>
          <w:highlight w:val="none"/>
          <w:lang w:val="en-US" w:eastAsia="zh-CN" w:bidi="ar-SA"/>
        </w:rPr>
      </w:pPr>
      <w:r>
        <w:rPr>
          <w:rFonts w:hint="eastAsia" w:ascii="宋体" w:hAnsi="宋体" w:cs="宋体"/>
          <w:b/>
          <w:bCs w:val="0"/>
          <w:color w:val="auto"/>
          <w:spacing w:val="0"/>
          <w:kern w:val="2"/>
          <w:sz w:val="24"/>
          <w:szCs w:val="24"/>
          <w:highlight w:val="none"/>
          <w:lang w:val="en-US" w:eastAsia="zh-CN" w:bidi="ar-SA"/>
        </w:rPr>
        <w:t>6</w:t>
      </w:r>
      <w:r>
        <w:rPr>
          <w:rFonts w:hint="eastAsia" w:ascii="宋体" w:hAnsi="宋体" w:eastAsia="宋体" w:cs="宋体"/>
          <w:b/>
          <w:bCs w:val="0"/>
          <w:color w:val="auto"/>
          <w:spacing w:val="0"/>
          <w:kern w:val="2"/>
          <w:sz w:val="24"/>
          <w:szCs w:val="24"/>
          <w:highlight w:val="none"/>
          <w:lang w:val="en-US" w:eastAsia="zh-CN" w:bidi="ar-SA"/>
        </w:rPr>
        <w:t>.中小企业声明函或者残疾人福利性单位声明函或者</w:t>
      </w:r>
      <w:r>
        <w:rPr>
          <w:rFonts w:hint="eastAsia" w:ascii="宋体" w:hAnsi="宋体" w:cs="宋体"/>
          <w:b/>
          <w:bCs w:val="0"/>
          <w:color w:val="auto"/>
          <w:spacing w:val="0"/>
          <w:kern w:val="2"/>
          <w:sz w:val="24"/>
          <w:szCs w:val="24"/>
          <w:highlight w:val="none"/>
          <w:lang w:val="en-US" w:eastAsia="zh-CN" w:bidi="ar-SA"/>
        </w:rPr>
        <w:t>供应商</w:t>
      </w:r>
      <w:r>
        <w:rPr>
          <w:rFonts w:hint="eastAsia" w:ascii="宋体" w:hAnsi="宋体" w:eastAsia="宋体" w:cs="宋体"/>
          <w:b/>
          <w:bCs w:val="0"/>
          <w:color w:val="auto"/>
          <w:spacing w:val="0"/>
          <w:kern w:val="2"/>
          <w:sz w:val="24"/>
          <w:szCs w:val="24"/>
          <w:highlight w:val="none"/>
          <w:lang w:val="en-US" w:eastAsia="zh-CN" w:bidi="ar-SA"/>
        </w:rPr>
        <w:t>属于监狱企业的证明材料原件复印件（格式）</w:t>
      </w:r>
    </w:p>
    <w:p w14:paraId="249DF4EE">
      <w:pPr>
        <w:pStyle w:val="19"/>
        <w:widowControl w:val="0"/>
        <w:shd w:val="clear" w:color="auto" w:fill="FFFFFF"/>
        <w:adjustRightInd w:val="0"/>
        <w:snapToGrid w:val="0"/>
        <w:spacing w:before="160" w:beforeLines="50" w:beforeAutospacing="0" w:after="0" w:afterAutospacing="0" w:line="360" w:lineRule="exact"/>
        <w:ind w:firstLine="675" w:firstLineChars="20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spacing w:val="8"/>
          <w:kern w:val="2"/>
          <w:sz w:val="32"/>
          <w:highlight w:val="none"/>
        </w:rPr>
        <w:t>中小企业声明函</w:t>
      </w:r>
    </w:p>
    <w:p w14:paraId="7C38403B">
      <w:pPr>
        <w:keepNext w:val="0"/>
        <w:keepLines w:val="0"/>
        <w:pageBreakBefore w:val="0"/>
        <w:widowControl w:val="0"/>
        <w:kinsoku/>
        <w:wordWrap/>
        <w:overflowPunct/>
        <w:topLinePunct w:val="0"/>
        <w:autoSpaceDE/>
        <w:autoSpaceDN/>
        <w:bidi w:val="0"/>
        <w:adjustRightInd/>
        <w:snapToGrid/>
        <w:spacing w:line="420" w:lineRule="exact"/>
        <w:ind w:firstLine="512" w:firstLineChars="200"/>
        <w:jc w:val="left"/>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pacing w:val="8"/>
          <w:sz w:val="24"/>
          <w:szCs w:val="24"/>
          <w:highlight w:val="none"/>
        </w:rPr>
        <w:t>郑重声明，根据《政府采购促进中小企业发展管理办法》（财库﹝2020﹞46号）的规定，本公司</w:t>
      </w:r>
      <w:r>
        <w:rPr>
          <w:rFonts w:hint="eastAsia" w:ascii="宋体" w:hAnsi="宋体" w:eastAsia="宋体" w:cs="宋体"/>
          <w:color w:val="auto"/>
          <w:sz w:val="24"/>
          <w:szCs w:val="24"/>
          <w:highlight w:val="none"/>
          <w:u w:val="single"/>
        </w:rPr>
        <w:t>（联合体）</w:t>
      </w:r>
      <w:r>
        <w:rPr>
          <w:rFonts w:hint="eastAsia" w:ascii="宋体" w:hAnsi="宋体" w:eastAsia="宋体" w:cs="宋体"/>
          <w:color w:val="auto"/>
          <w:spacing w:val="8"/>
          <w:sz w:val="24"/>
          <w:szCs w:val="24"/>
          <w:highlight w:val="none"/>
        </w:rPr>
        <w:t>参加</w:t>
      </w:r>
      <w:r>
        <w:rPr>
          <w:rFonts w:hint="eastAsia" w:ascii="宋体" w:hAnsi="宋体" w:eastAsia="宋体" w:cs="宋体"/>
          <w:color w:val="auto"/>
          <w:spacing w:val="8"/>
          <w:sz w:val="24"/>
          <w:szCs w:val="24"/>
          <w:highlight w:val="none"/>
          <w:u w:val="single"/>
        </w:rPr>
        <w:t>（单位名称）</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8"/>
          <w:sz w:val="24"/>
          <w:szCs w:val="24"/>
          <w:highlight w:val="none"/>
          <w:u w:val="single"/>
        </w:rPr>
        <w:t>（项目名称）</w:t>
      </w:r>
      <w:r>
        <w:rPr>
          <w:rFonts w:hint="eastAsia" w:ascii="宋体" w:hAnsi="宋体" w:cs="宋体"/>
          <w:color w:val="auto"/>
          <w:spacing w:val="8"/>
          <w:sz w:val="24"/>
          <w:szCs w:val="24"/>
          <w:highlight w:val="none"/>
          <w:lang w:val="en-US" w:eastAsia="zh-CN"/>
        </w:rPr>
        <w:t>采购</w:t>
      </w:r>
      <w:r>
        <w:rPr>
          <w:rFonts w:hint="eastAsia" w:ascii="宋体" w:hAnsi="宋体" w:eastAsia="宋体" w:cs="宋体"/>
          <w:color w:val="auto"/>
          <w:spacing w:val="8"/>
          <w:sz w:val="24"/>
          <w:szCs w:val="24"/>
          <w:highlight w:val="none"/>
        </w:rPr>
        <w:t>活动，工程的施工单位全部为符合政策要求的中小企业（或者：服务全部由符合政策要求的中小企业承接）。相关企业（含联合体中的中小企业、签订分包意向协议的中小企业）的具体情况如下：</w:t>
      </w:r>
    </w:p>
    <w:p w14:paraId="087E8332">
      <w:pPr>
        <w:keepNext w:val="0"/>
        <w:keepLines w:val="0"/>
        <w:pageBreakBefore w:val="0"/>
        <w:widowControl w:val="0"/>
        <w:kinsoku/>
        <w:wordWrap/>
        <w:overflowPunct/>
        <w:topLinePunct w:val="0"/>
        <w:autoSpaceDE/>
        <w:autoSpaceDN/>
        <w:bidi w:val="0"/>
        <w:adjustRightInd/>
        <w:snapToGrid/>
        <w:spacing w:line="420" w:lineRule="exact"/>
        <w:ind w:firstLine="512" w:firstLineChars="200"/>
        <w:jc w:val="left"/>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8"/>
          <w:sz w:val="24"/>
          <w:szCs w:val="24"/>
          <w:highlight w:val="none"/>
          <w:u w:val="single"/>
        </w:rPr>
        <w:t>（</w:t>
      </w:r>
      <w:r>
        <w:rPr>
          <w:rFonts w:hint="eastAsia" w:ascii="宋体" w:hAnsi="宋体" w:eastAsia="宋体" w:cs="宋体"/>
          <w:color w:val="auto"/>
          <w:spacing w:val="8"/>
          <w:sz w:val="24"/>
          <w:szCs w:val="24"/>
          <w:highlight w:val="none"/>
          <w:u w:val="single"/>
          <w:lang w:val="en-US" w:eastAsia="zh-CN"/>
        </w:rPr>
        <w:t>项目</w:t>
      </w:r>
      <w:r>
        <w:rPr>
          <w:rFonts w:hint="eastAsia" w:ascii="宋体" w:hAnsi="宋体" w:eastAsia="宋体" w:cs="宋体"/>
          <w:color w:val="auto"/>
          <w:spacing w:val="8"/>
          <w:sz w:val="24"/>
          <w:szCs w:val="24"/>
          <w:highlight w:val="none"/>
          <w:u w:val="single"/>
        </w:rPr>
        <w:t>名称）</w:t>
      </w:r>
      <w:r>
        <w:rPr>
          <w:rFonts w:hint="eastAsia" w:ascii="宋体" w:hAnsi="宋体" w:eastAsia="宋体" w:cs="宋体"/>
          <w:color w:val="auto"/>
          <w:spacing w:val="8"/>
          <w:sz w:val="24"/>
          <w:szCs w:val="24"/>
          <w:highlight w:val="none"/>
        </w:rPr>
        <w:t>，属于</w:t>
      </w:r>
      <w:r>
        <w:rPr>
          <w:rFonts w:hint="eastAsia" w:ascii="宋体" w:hAnsi="宋体" w:eastAsia="宋体" w:cs="宋体"/>
          <w:color w:val="auto"/>
          <w:spacing w:val="8"/>
          <w:sz w:val="24"/>
          <w:szCs w:val="24"/>
          <w:highlight w:val="none"/>
          <w:u w:val="single"/>
        </w:rPr>
        <w:t>（</w:t>
      </w:r>
      <w:r>
        <w:rPr>
          <w:rFonts w:hint="eastAsia" w:ascii="宋体" w:hAnsi="宋体" w:eastAsia="宋体" w:cs="宋体"/>
          <w:color w:val="auto"/>
          <w:spacing w:val="8"/>
          <w:sz w:val="24"/>
          <w:szCs w:val="24"/>
          <w:highlight w:val="none"/>
          <w:u w:val="single"/>
          <w:lang w:val="en-US" w:eastAsia="zh-CN"/>
        </w:rPr>
        <w:t>采购</w:t>
      </w:r>
      <w:r>
        <w:rPr>
          <w:rFonts w:hint="eastAsia" w:ascii="宋体" w:hAnsi="宋体" w:eastAsia="宋体" w:cs="宋体"/>
          <w:color w:val="auto"/>
          <w:spacing w:val="8"/>
          <w:sz w:val="24"/>
          <w:szCs w:val="24"/>
          <w:highlight w:val="none"/>
          <w:u w:val="single"/>
        </w:rPr>
        <w:t>文件中明确的所属行业）</w:t>
      </w:r>
      <w:r>
        <w:rPr>
          <w:rFonts w:hint="eastAsia" w:ascii="宋体" w:hAnsi="宋体" w:eastAsia="宋体" w:cs="宋体"/>
          <w:color w:val="auto"/>
          <w:spacing w:val="8"/>
          <w:sz w:val="24"/>
          <w:szCs w:val="24"/>
          <w:highlight w:val="none"/>
        </w:rPr>
        <w:t>；承建（承接）企业为</w:t>
      </w:r>
      <w:r>
        <w:rPr>
          <w:rFonts w:hint="eastAsia" w:ascii="宋体" w:hAnsi="宋体" w:eastAsia="宋体" w:cs="宋体"/>
          <w:color w:val="auto"/>
          <w:spacing w:val="8"/>
          <w:sz w:val="24"/>
          <w:szCs w:val="24"/>
          <w:highlight w:val="none"/>
          <w:u w:val="single"/>
        </w:rPr>
        <w:t>（企业名称），</w:t>
      </w:r>
      <w:r>
        <w:rPr>
          <w:rFonts w:hint="eastAsia" w:ascii="宋体" w:hAnsi="宋体" w:eastAsia="宋体" w:cs="宋体"/>
          <w:color w:val="auto"/>
          <w:spacing w:val="8"/>
          <w:sz w:val="24"/>
          <w:szCs w:val="24"/>
          <w:highlight w:val="none"/>
        </w:rPr>
        <w:t>从业人员</w:t>
      </w:r>
      <w:r>
        <w:rPr>
          <w:rFonts w:hint="eastAsia" w:ascii="宋体" w:hAnsi="宋体" w:eastAsia="宋体" w:cs="宋体"/>
          <w:color w:val="auto"/>
          <w:spacing w:val="8"/>
          <w:sz w:val="24"/>
          <w:szCs w:val="24"/>
          <w:highlight w:val="none"/>
          <w:u w:val="single"/>
        </w:rPr>
        <w:tab/>
      </w:r>
      <w:r>
        <w:rPr>
          <w:rFonts w:hint="eastAsia" w:ascii="宋体" w:hAnsi="宋体" w:eastAsia="宋体" w:cs="宋体"/>
          <w:color w:val="auto"/>
          <w:spacing w:val="8"/>
          <w:sz w:val="24"/>
          <w:szCs w:val="24"/>
          <w:highlight w:val="none"/>
        </w:rPr>
        <w:t>人，营业收入为</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万元，资产总额为</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万元，属于</w:t>
      </w:r>
      <w:r>
        <w:rPr>
          <w:rFonts w:hint="eastAsia" w:ascii="宋体" w:hAnsi="宋体" w:eastAsia="宋体" w:cs="宋体"/>
          <w:color w:val="auto"/>
          <w:spacing w:val="8"/>
          <w:sz w:val="24"/>
          <w:szCs w:val="24"/>
          <w:highlight w:val="none"/>
          <w:u w:val="single"/>
        </w:rPr>
        <w:t>（中型企业、小型企业、微型企业）</w:t>
      </w:r>
      <w:r>
        <w:rPr>
          <w:rFonts w:hint="eastAsia" w:ascii="宋体" w:hAnsi="宋体" w:eastAsia="宋体" w:cs="宋体"/>
          <w:color w:val="auto"/>
          <w:spacing w:val="8"/>
          <w:sz w:val="24"/>
          <w:szCs w:val="24"/>
          <w:highlight w:val="none"/>
        </w:rPr>
        <w:t>；</w:t>
      </w:r>
    </w:p>
    <w:p w14:paraId="3D6DA916">
      <w:pPr>
        <w:keepNext w:val="0"/>
        <w:keepLines w:val="0"/>
        <w:pageBreakBefore w:val="0"/>
        <w:widowControl w:val="0"/>
        <w:kinsoku/>
        <w:wordWrap/>
        <w:overflowPunct/>
        <w:topLinePunct w:val="0"/>
        <w:autoSpaceDE/>
        <w:autoSpaceDN/>
        <w:bidi w:val="0"/>
        <w:adjustRightInd/>
        <w:snapToGrid/>
        <w:spacing w:line="420" w:lineRule="exact"/>
        <w:ind w:firstLine="512" w:firstLineChars="200"/>
        <w:jc w:val="left"/>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w:t>
      </w:r>
    </w:p>
    <w:p w14:paraId="5338B33A">
      <w:pPr>
        <w:keepNext w:val="0"/>
        <w:keepLines w:val="0"/>
        <w:pageBreakBefore w:val="0"/>
        <w:widowControl w:val="0"/>
        <w:kinsoku/>
        <w:wordWrap/>
        <w:overflowPunct/>
        <w:topLinePunct w:val="0"/>
        <w:autoSpaceDE/>
        <w:autoSpaceDN/>
        <w:bidi w:val="0"/>
        <w:adjustRightInd/>
        <w:snapToGrid/>
        <w:spacing w:line="420" w:lineRule="exact"/>
        <w:ind w:firstLine="512" w:firstLineChars="200"/>
        <w:jc w:val="left"/>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以上企业，不属于大企业的分支机构，不存在控股股东为大企业的情形，也不存在与大企业的负责人为同一人的情形。</w:t>
      </w:r>
    </w:p>
    <w:p w14:paraId="089AA2FE">
      <w:pPr>
        <w:keepNext w:val="0"/>
        <w:keepLines w:val="0"/>
        <w:pageBreakBefore w:val="0"/>
        <w:widowControl w:val="0"/>
        <w:kinsoku/>
        <w:wordWrap/>
        <w:overflowPunct/>
        <w:topLinePunct w:val="0"/>
        <w:autoSpaceDE/>
        <w:autoSpaceDN/>
        <w:bidi w:val="0"/>
        <w:adjustRightInd/>
        <w:snapToGrid/>
        <w:spacing w:line="420" w:lineRule="exact"/>
        <w:ind w:firstLine="512" w:firstLineChars="200"/>
        <w:jc w:val="left"/>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本企业对上述声明内容的真实性负责。如有虚假，将依法承担相应责任。</w:t>
      </w:r>
    </w:p>
    <w:p w14:paraId="40D084EE">
      <w:pPr>
        <w:spacing w:before="46" w:line="276" w:lineRule="auto"/>
        <w:ind w:right="2499" w:firstLine="512" w:firstLineChars="200"/>
        <w:jc w:val="right"/>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企业名称（电子</w:t>
      </w:r>
      <w:r>
        <w:rPr>
          <w:rFonts w:hint="eastAsia" w:ascii="宋体" w:hAnsi="宋体" w:eastAsia="宋体" w:cs="宋体"/>
          <w:color w:val="auto"/>
          <w:spacing w:val="8"/>
          <w:sz w:val="24"/>
          <w:szCs w:val="24"/>
          <w:highlight w:val="none"/>
          <w:lang w:val="en-US" w:eastAsia="zh-CN"/>
        </w:rPr>
        <w:t>印</w:t>
      </w:r>
      <w:r>
        <w:rPr>
          <w:rFonts w:hint="eastAsia" w:ascii="宋体" w:hAnsi="宋体" w:eastAsia="宋体" w:cs="宋体"/>
          <w:color w:val="auto"/>
          <w:spacing w:val="8"/>
          <w:sz w:val="24"/>
          <w:szCs w:val="24"/>
          <w:highlight w:val="none"/>
        </w:rPr>
        <w:t>章）：</w:t>
      </w:r>
    </w:p>
    <w:p w14:paraId="4839CFC3">
      <w:pPr>
        <w:spacing w:before="46" w:line="276" w:lineRule="auto"/>
        <w:ind w:right="2499" w:firstLine="512" w:firstLineChars="200"/>
        <w:jc w:val="right"/>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日期:</w:t>
      </w:r>
    </w:p>
    <w:p w14:paraId="0BC73BE5">
      <w:pPr>
        <w:numPr>
          <w:ilvl w:val="0"/>
          <w:numId w:val="0"/>
        </w:numPr>
        <w:shd w:val="clear" w:color="auto" w:fill="FFFFFF"/>
        <w:spacing w:before="160" w:beforeLines="50" w:line="360" w:lineRule="auto"/>
        <w:ind w:firstLine="512" w:firstLineChars="200"/>
        <w:rPr>
          <w:rFonts w:hint="default" w:ascii="宋体" w:hAnsi="宋体" w:cs="宋体"/>
          <w:b/>
          <w:bCs w:val="0"/>
          <w:color w:val="auto"/>
          <w:spacing w:val="0"/>
          <w:kern w:val="2"/>
          <w:sz w:val="24"/>
          <w:szCs w:val="24"/>
          <w:highlight w:val="none"/>
          <w:lang w:val="en-US" w:eastAsia="zh-CN" w:bidi="ar-SA"/>
        </w:rPr>
      </w:pPr>
      <w:r>
        <w:rPr>
          <w:rFonts w:hint="eastAsia" w:ascii="宋体" w:hAnsi="宋体" w:eastAsia="宋体" w:cs="宋体"/>
          <w:color w:val="auto"/>
          <w:spacing w:val="8"/>
          <w:sz w:val="24"/>
          <w:szCs w:val="24"/>
          <w:highlight w:val="none"/>
        </w:rPr>
        <w:t>注：</w:t>
      </w:r>
      <w:r>
        <w:rPr>
          <w:rFonts w:hint="eastAsia" w:ascii="宋体" w:hAnsi="宋体" w:eastAsia="宋体" w:cs="宋体"/>
          <w:color w:val="auto"/>
          <w:spacing w:val="8"/>
          <w:sz w:val="24"/>
          <w:szCs w:val="24"/>
          <w:highlight w:val="none"/>
          <w:lang w:val="en-US" w:eastAsia="zh-CN"/>
        </w:rPr>
        <w:t>（1）</w:t>
      </w:r>
      <w:r>
        <w:rPr>
          <w:rFonts w:hint="eastAsia" w:ascii="宋体" w:hAnsi="宋体" w:eastAsia="宋体" w:cs="宋体"/>
          <w:color w:val="auto"/>
          <w:kern w:val="0"/>
          <w:sz w:val="24"/>
          <w:szCs w:val="24"/>
          <w:highlight w:val="none"/>
        </w:rPr>
        <w:t>从业人员、营业收入、资产总额填报上一年度数据，无上一年度数据的新成立企业可不填报。</w:t>
      </w:r>
    </w:p>
    <w:p w14:paraId="199B9439">
      <w:pPr>
        <w:numPr>
          <w:ilvl w:val="0"/>
          <w:numId w:val="0"/>
        </w:numPr>
        <w:shd w:val="clear" w:color="auto" w:fill="FFFFFF"/>
        <w:spacing w:before="160" w:beforeLines="50" w:line="360" w:lineRule="auto"/>
        <w:ind w:firstLine="482" w:firstLineChars="200"/>
        <w:rPr>
          <w:rFonts w:hint="eastAsia" w:ascii="宋体" w:hAnsi="宋体" w:cs="宋体"/>
          <w:b/>
          <w:bCs w:val="0"/>
          <w:color w:val="auto"/>
          <w:spacing w:val="0"/>
          <w:kern w:val="2"/>
          <w:sz w:val="24"/>
          <w:szCs w:val="24"/>
          <w:highlight w:val="none"/>
          <w:lang w:val="en-US" w:eastAsia="zh-CN" w:bidi="ar-SA"/>
        </w:rPr>
      </w:pP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本项目</w:t>
      </w:r>
      <w:r>
        <w:rPr>
          <w:rFonts w:hint="eastAsia" w:ascii="宋体" w:hAnsi="宋体" w:eastAsia="宋体" w:cs="宋体"/>
          <w:b/>
          <w:bCs/>
          <w:color w:val="auto"/>
          <w:kern w:val="0"/>
          <w:sz w:val="24"/>
          <w:szCs w:val="24"/>
          <w:highlight w:val="none"/>
          <w:lang w:eastAsia="zh-CN"/>
        </w:rPr>
        <w:t>对应的中小企业划分标准所属行业</w:t>
      </w:r>
      <w:r>
        <w:rPr>
          <w:rFonts w:hint="eastAsia" w:ascii="宋体" w:hAnsi="宋体" w:eastAsia="宋体" w:cs="宋体"/>
          <w:b/>
          <w:bCs/>
          <w:color w:val="auto"/>
          <w:kern w:val="0"/>
          <w:sz w:val="24"/>
          <w:szCs w:val="24"/>
          <w:highlight w:val="none"/>
        </w:rPr>
        <w:t>为</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u w:val="single"/>
          <w:lang w:val="en-US" w:eastAsia="zh-CN"/>
        </w:rPr>
        <w:t>建筑业</w:t>
      </w:r>
      <w:r>
        <w:rPr>
          <w:rFonts w:hint="eastAsia" w:ascii="宋体" w:hAnsi="宋体" w:eastAsia="宋体" w:cs="宋体"/>
          <w:b/>
          <w:bCs/>
          <w:color w:val="auto"/>
          <w:kern w:val="0"/>
          <w:sz w:val="24"/>
          <w:szCs w:val="24"/>
          <w:highlight w:val="none"/>
        </w:rPr>
        <w:t>。</w:t>
      </w:r>
    </w:p>
    <w:p w14:paraId="2B670262">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6294C7C7">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6314F3BF">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69914BF1">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582FB9B9">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25A18394">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6D7231A6">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299CA044">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47B61DE1">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65026DE1">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16670A36">
      <w:pPr>
        <w:snapToGrid w:val="0"/>
        <w:spacing w:before="120" w:beforeLines="50" w:after="50"/>
        <w:ind w:left="142" w:firstLine="482" w:firstLineChars="200"/>
        <w:jc w:val="left"/>
        <w:rPr>
          <w:rFonts w:hint="eastAsia" w:ascii="宋体" w:hAnsi="宋体" w:eastAsia="宋体" w:cs="宋体"/>
          <w:b/>
          <w:color w:val="auto"/>
          <w:sz w:val="24"/>
          <w:highlight w:val="none"/>
        </w:rPr>
      </w:pPr>
    </w:p>
    <w:p w14:paraId="6802FC42">
      <w:pPr>
        <w:snapToGrid w:val="0"/>
        <w:spacing w:before="120" w:beforeLines="50" w:after="50"/>
        <w:ind w:left="142"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残疾人福利性单位声明函格式</w:t>
      </w:r>
    </w:p>
    <w:p w14:paraId="59127F9F">
      <w:pPr>
        <w:spacing w:line="588" w:lineRule="exact"/>
        <w:ind w:firstLine="667" w:firstLineChars="200"/>
        <w:jc w:val="center"/>
        <w:rPr>
          <w:rFonts w:hint="eastAsia" w:ascii="宋体" w:hAnsi="宋体" w:eastAsia="宋体" w:cs="宋体"/>
          <w:b/>
          <w:color w:val="auto"/>
          <w:spacing w:val="6"/>
          <w:sz w:val="32"/>
          <w:szCs w:val="32"/>
          <w:highlight w:val="none"/>
        </w:rPr>
      </w:pPr>
      <w:bookmarkStart w:id="1179" w:name="OLE_LINK13"/>
      <w:bookmarkStart w:id="1180" w:name="OLE_LINK14"/>
      <w:r>
        <w:rPr>
          <w:rFonts w:hint="eastAsia" w:ascii="宋体" w:hAnsi="宋体" w:eastAsia="宋体" w:cs="宋体"/>
          <w:b/>
          <w:color w:val="auto"/>
          <w:spacing w:val="6"/>
          <w:sz w:val="32"/>
          <w:szCs w:val="32"/>
          <w:highlight w:val="none"/>
        </w:rPr>
        <w:t>残疾人福利性单位声明函</w:t>
      </w:r>
    </w:p>
    <w:bookmarkEnd w:id="1179"/>
    <w:bookmarkEnd w:id="1180"/>
    <w:p w14:paraId="6370C499">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号）的规定，本单位为符合条件的残疾人福利性单位，且本单位参加______单位的______项目</w:t>
      </w:r>
      <w:r>
        <w:rPr>
          <w:rFonts w:hint="eastAsia" w:ascii="宋体" w:hAnsi="宋体" w:cs="宋体"/>
          <w:color w:val="auto"/>
          <w:spacing w:val="6"/>
          <w:sz w:val="24"/>
          <w:highlight w:val="none"/>
          <w:lang w:val="en-US" w:eastAsia="zh-CN"/>
        </w:rPr>
        <w:t>采购</w:t>
      </w:r>
      <w:r>
        <w:rPr>
          <w:rFonts w:hint="eastAsia" w:ascii="宋体" w:hAnsi="宋体" w:eastAsia="宋体" w:cs="宋体"/>
          <w:color w:val="auto"/>
          <w:spacing w:val="6"/>
          <w:sz w:val="24"/>
          <w:highlight w:val="none"/>
        </w:rPr>
        <w:t>活动由本单位承担工程</w:t>
      </w:r>
      <w:r>
        <w:rPr>
          <w:rFonts w:hint="eastAsia" w:ascii="宋体" w:hAnsi="宋体" w:eastAsia="宋体" w:cs="宋体"/>
          <w:color w:val="auto"/>
          <w:spacing w:val="-6"/>
          <w:sz w:val="24"/>
          <w:highlight w:val="none"/>
        </w:rPr>
        <w:t>。</w:t>
      </w:r>
    </w:p>
    <w:p w14:paraId="5DC855A2">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0C6D9DAF">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单位名称（电子</w:t>
      </w:r>
      <w:r>
        <w:rPr>
          <w:rFonts w:hint="eastAsia" w:ascii="宋体" w:hAnsi="宋体" w:eastAsia="宋体" w:cs="宋体"/>
          <w:color w:val="auto"/>
          <w:spacing w:val="6"/>
          <w:sz w:val="24"/>
          <w:highlight w:val="none"/>
          <w:lang w:val="en-US" w:eastAsia="zh-CN"/>
        </w:rPr>
        <w:t>印</w:t>
      </w:r>
      <w:r>
        <w:rPr>
          <w:rFonts w:hint="eastAsia" w:ascii="宋体" w:hAnsi="宋体" w:eastAsia="宋体" w:cs="宋体"/>
          <w:color w:val="auto"/>
          <w:spacing w:val="6"/>
          <w:sz w:val="24"/>
          <w:highlight w:val="none"/>
        </w:rPr>
        <w:t>章）：</w:t>
      </w:r>
    </w:p>
    <w:p w14:paraId="07AF40D0">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日  期：</w:t>
      </w:r>
    </w:p>
    <w:p w14:paraId="53B4FDFA">
      <w:pPr>
        <w:ind w:firstLine="480" w:firstLineChars="200"/>
        <w:rPr>
          <w:rFonts w:hint="eastAsia" w:ascii="宋体" w:hAnsi="宋体" w:eastAsia="宋体" w:cs="宋体"/>
          <w:color w:val="auto"/>
          <w:sz w:val="24"/>
          <w:highlight w:val="none"/>
        </w:rPr>
      </w:pPr>
    </w:p>
    <w:p w14:paraId="759886B8">
      <w:pPr>
        <w:ind w:firstLine="480" w:firstLineChars="200"/>
        <w:rPr>
          <w:rFonts w:hint="eastAsia" w:ascii="宋体" w:hAnsi="宋体" w:cs="宋体"/>
          <w:b/>
          <w:bCs w:val="0"/>
          <w:color w:val="auto"/>
          <w:spacing w:val="0"/>
          <w:kern w:val="2"/>
          <w:sz w:val="24"/>
          <w:szCs w:val="24"/>
          <w:highlight w:val="none"/>
          <w:lang w:val="en-US" w:eastAsia="zh-CN" w:bidi="ar-SA"/>
        </w:rPr>
      </w:pPr>
      <w:r>
        <w:rPr>
          <w:rFonts w:hint="eastAsia" w:ascii="宋体" w:hAnsi="宋体" w:eastAsia="宋体" w:cs="宋体"/>
          <w:color w:val="auto"/>
          <w:sz w:val="24"/>
          <w:highlight w:val="none"/>
        </w:rPr>
        <w:t>注：请根据自己的真实情况出具《残疾人福利性单位声明函》。依法享受中小企业</w:t>
      </w:r>
      <w:r>
        <w:rPr>
          <w:rFonts w:hint="eastAsia" w:ascii="宋体" w:hAnsi="宋体" w:cs="宋体"/>
          <w:color w:val="auto"/>
          <w:sz w:val="24"/>
          <w:highlight w:val="none"/>
          <w:lang w:val="en-US" w:eastAsia="zh-CN"/>
        </w:rPr>
        <w:t>扶持</w:t>
      </w:r>
      <w:r>
        <w:rPr>
          <w:rFonts w:hint="eastAsia" w:ascii="宋体" w:hAnsi="宋体" w:eastAsia="宋体" w:cs="宋体"/>
          <w:color w:val="auto"/>
          <w:sz w:val="24"/>
          <w:highlight w:val="none"/>
        </w:rPr>
        <w:t>政策的，</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或者</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代理机构在公告</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rPr>
        <w:t>结果时，同时公告其《残疾人福利性单位声明函》，接受社会监督。</w:t>
      </w:r>
    </w:p>
    <w:p w14:paraId="4CF3EB8F">
      <w:pPr>
        <w:numPr>
          <w:ilvl w:val="0"/>
          <w:numId w:val="0"/>
        </w:numPr>
        <w:shd w:val="clear" w:color="auto" w:fill="FFFFFF"/>
        <w:spacing w:before="160" w:beforeLines="50" w:line="360" w:lineRule="auto"/>
        <w:ind w:firstLine="482" w:firstLineChars="200"/>
        <w:rPr>
          <w:rFonts w:hint="eastAsia" w:ascii="宋体" w:hAnsi="宋体" w:cs="宋体"/>
          <w:b/>
          <w:bCs w:val="0"/>
          <w:color w:val="auto"/>
          <w:spacing w:val="0"/>
          <w:kern w:val="2"/>
          <w:sz w:val="24"/>
          <w:szCs w:val="24"/>
          <w:highlight w:val="none"/>
          <w:lang w:val="en-US" w:eastAsia="zh-CN" w:bidi="ar-SA"/>
        </w:rPr>
      </w:pPr>
    </w:p>
    <w:p w14:paraId="390614FD">
      <w:pPr>
        <w:numPr>
          <w:ilvl w:val="0"/>
          <w:numId w:val="0"/>
        </w:numPr>
        <w:shd w:val="clear" w:color="auto" w:fill="FFFFFF"/>
        <w:spacing w:before="160" w:beforeLines="50" w:line="360" w:lineRule="auto"/>
        <w:ind w:firstLine="482" w:firstLineChars="200"/>
        <w:rPr>
          <w:rFonts w:hint="eastAsia" w:ascii="宋体" w:hAnsi="宋体" w:cs="宋体"/>
          <w:b/>
          <w:bCs w:val="0"/>
          <w:color w:val="auto"/>
          <w:spacing w:val="0"/>
          <w:kern w:val="2"/>
          <w:sz w:val="24"/>
          <w:szCs w:val="24"/>
          <w:highlight w:val="none"/>
          <w:lang w:val="en-US" w:eastAsia="zh-CN" w:bidi="ar-SA"/>
        </w:rPr>
      </w:pPr>
    </w:p>
    <w:p w14:paraId="0193CBEA">
      <w:pPr>
        <w:numPr>
          <w:ilvl w:val="0"/>
          <w:numId w:val="0"/>
        </w:numPr>
        <w:shd w:val="clear" w:color="auto" w:fill="FFFFFF"/>
        <w:spacing w:before="160" w:beforeLines="50" w:line="360" w:lineRule="auto"/>
        <w:ind w:firstLine="482" w:firstLineChars="200"/>
        <w:rPr>
          <w:rFonts w:hint="eastAsia" w:ascii="宋体" w:hAnsi="宋体" w:eastAsia="宋体" w:cs="宋体"/>
          <w:b/>
          <w:bCs w:val="0"/>
          <w:color w:val="auto"/>
          <w:spacing w:val="0"/>
          <w:kern w:val="2"/>
          <w:sz w:val="24"/>
          <w:szCs w:val="24"/>
          <w:highlight w:val="none"/>
          <w:lang w:val="en-US" w:eastAsia="zh-CN" w:bidi="ar-SA"/>
        </w:rPr>
      </w:pPr>
      <w:r>
        <w:rPr>
          <w:rFonts w:hint="eastAsia" w:ascii="宋体" w:hAnsi="宋体" w:cs="宋体"/>
          <w:b/>
          <w:bCs w:val="0"/>
          <w:color w:val="auto"/>
          <w:spacing w:val="0"/>
          <w:kern w:val="2"/>
          <w:sz w:val="24"/>
          <w:szCs w:val="24"/>
          <w:highlight w:val="none"/>
          <w:lang w:val="en-US" w:eastAsia="zh-CN" w:bidi="ar-SA"/>
        </w:rPr>
        <w:t>7.</w:t>
      </w:r>
      <w:r>
        <w:rPr>
          <w:rFonts w:hint="eastAsia" w:ascii="宋体" w:hAnsi="宋体" w:eastAsia="宋体" w:cs="宋体"/>
          <w:b/>
          <w:bCs w:val="0"/>
          <w:color w:val="auto"/>
          <w:spacing w:val="0"/>
          <w:kern w:val="2"/>
          <w:sz w:val="24"/>
          <w:szCs w:val="24"/>
          <w:highlight w:val="none"/>
          <w:lang w:val="en-US" w:eastAsia="zh-CN" w:bidi="ar-SA"/>
        </w:rPr>
        <w:t>除磋商文件规定必须提供以外，供应商认为需要提供的其他证明材料</w:t>
      </w:r>
    </w:p>
    <w:p w14:paraId="2222E396">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778A6BB8">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056BC7CD">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22401D74">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16A3B3A1">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392E8CA7">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1E90EA4E">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21566157">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629367FF">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282CB5FB">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7B8B03DB">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57A11F0F">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29716050">
      <w:pPr>
        <w:spacing w:line="480" w:lineRule="auto"/>
        <w:ind w:left="361" w:leftChars="172" w:firstLine="964" w:firstLineChars="20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响应文件</w:t>
      </w:r>
    </w:p>
    <w:p w14:paraId="5E34B13D">
      <w:pPr>
        <w:spacing w:line="480" w:lineRule="auto"/>
        <w:ind w:left="361" w:leftChars="172" w:firstLine="723" w:firstLineChars="200"/>
        <w:jc w:val="center"/>
        <w:rPr>
          <w:rFonts w:hint="eastAsia" w:ascii="宋体" w:hAnsi="宋体" w:eastAsia="宋体" w:cs="宋体"/>
          <w:b/>
          <w:bCs/>
          <w:color w:val="auto"/>
          <w:sz w:val="36"/>
          <w:szCs w:val="36"/>
          <w:highlight w:val="none"/>
          <w:lang w:val="en-US" w:eastAsia="zh-CN"/>
        </w:rPr>
      </w:pPr>
    </w:p>
    <w:p w14:paraId="5541426C">
      <w:pPr>
        <w:spacing w:line="480" w:lineRule="auto"/>
        <w:ind w:left="361" w:leftChars="172" w:firstLine="723" w:firstLineChars="200"/>
        <w:jc w:val="center"/>
        <w:rPr>
          <w:rFonts w:hint="eastAsia" w:ascii="宋体" w:hAnsi="宋体" w:eastAsia="宋体" w:cs="宋体"/>
          <w:b/>
          <w:bCs/>
          <w:color w:val="auto"/>
          <w:sz w:val="36"/>
          <w:szCs w:val="36"/>
          <w:highlight w:val="none"/>
          <w:lang w:val="en-US" w:eastAsia="zh-CN"/>
        </w:rPr>
      </w:pPr>
    </w:p>
    <w:p w14:paraId="464AF669">
      <w:pPr>
        <w:spacing w:line="480" w:lineRule="auto"/>
        <w:ind w:left="361" w:leftChars="172" w:firstLine="723" w:firstLineChars="200"/>
        <w:jc w:val="center"/>
        <w:rPr>
          <w:rFonts w:hint="default"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报价文件</w:t>
      </w:r>
    </w:p>
    <w:p w14:paraId="10556EA2">
      <w:pPr>
        <w:pStyle w:val="12"/>
        <w:spacing w:line="480" w:lineRule="auto"/>
        <w:ind w:firstLine="600" w:firstLineChars="200"/>
        <w:rPr>
          <w:rFonts w:hint="eastAsia" w:ascii="宋体" w:hAnsi="宋体" w:eastAsia="宋体" w:cs="宋体"/>
          <w:b w:val="0"/>
          <w:bCs w:val="0"/>
          <w:color w:val="auto"/>
          <w:sz w:val="30"/>
          <w:szCs w:val="30"/>
          <w:highlight w:val="none"/>
        </w:rPr>
      </w:pPr>
    </w:p>
    <w:p w14:paraId="461D6EED">
      <w:pPr>
        <w:pStyle w:val="12"/>
        <w:spacing w:line="480" w:lineRule="auto"/>
        <w:ind w:firstLine="600" w:firstLineChars="200"/>
        <w:rPr>
          <w:rFonts w:hint="eastAsia" w:ascii="宋体" w:hAnsi="宋体" w:eastAsia="宋体" w:cs="宋体"/>
          <w:b w:val="0"/>
          <w:bCs w:val="0"/>
          <w:color w:val="auto"/>
          <w:sz w:val="30"/>
          <w:szCs w:val="30"/>
          <w:highlight w:val="none"/>
        </w:rPr>
      </w:pPr>
    </w:p>
    <w:p w14:paraId="398BE8C5">
      <w:pPr>
        <w:pStyle w:val="12"/>
        <w:spacing w:line="480" w:lineRule="auto"/>
        <w:ind w:firstLine="600" w:firstLineChars="200"/>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项目名称：</w:t>
      </w:r>
    </w:p>
    <w:p w14:paraId="2EA2FC76">
      <w:pPr>
        <w:pStyle w:val="12"/>
        <w:spacing w:line="480" w:lineRule="auto"/>
        <w:ind w:firstLine="600" w:firstLineChars="200"/>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项目编号：</w:t>
      </w:r>
    </w:p>
    <w:p w14:paraId="04CE6B09">
      <w:pPr>
        <w:pStyle w:val="12"/>
        <w:spacing w:line="480" w:lineRule="auto"/>
        <w:ind w:firstLine="600" w:firstLineChars="200"/>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供应商名称：</w:t>
      </w:r>
    </w:p>
    <w:p w14:paraId="14B778F9">
      <w:pPr>
        <w:pStyle w:val="12"/>
        <w:spacing w:line="480" w:lineRule="auto"/>
        <w:ind w:firstLine="600" w:firstLineChars="200"/>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日     期：      年   月   日</w:t>
      </w:r>
    </w:p>
    <w:p w14:paraId="0EE861D2">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bookmarkStart w:id="1181" w:name="_Toc424307759"/>
      <w:bookmarkStart w:id="1182" w:name="_Toc424307488"/>
    </w:p>
    <w:p w14:paraId="10502553">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6E7BEDF7">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2E349073">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3A77738C">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2B14C325">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2A649E2B">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54F7AC50">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3B7148B4">
      <w:pPr>
        <w:shd w:val="clear" w:color="auto" w:fill="FFFFFF"/>
        <w:ind w:firstLine="643" w:firstLineChars="200"/>
        <w:jc w:val="center"/>
        <w:rPr>
          <w:rFonts w:hint="eastAsia" w:ascii="宋体" w:hAnsi="宋体" w:eastAsia="宋体"/>
          <w:b/>
          <w:bCs w:val="0"/>
          <w:color w:val="auto"/>
          <w:sz w:val="32"/>
          <w:szCs w:val="32"/>
          <w:highlight w:val="none"/>
          <w:lang w:val="en-US" w:eastAsia="zh-CN"/>
        </w:rPr>
      </w:pPr>
    </w:p>
    <w:p w14:paraId="13BBD6C6">
      <w:pPr>
        <w:shd w:val="clear" w:color="auto" w:fill="FFFFFF"/>
        <w:jc w:val="both"/>
        <w:rPr>
          <w:rFonts w:hint="eastAsia" w:ascii="宋体" w:hAnsi="宋体" w:eastAsia="宋体"/>
          <w:b/>
          <w:bCs w:val="0"/>
          <w:color w:val="auto"/>
          <w:sz w:val="32"/>
          <w:szCs w:val="32"/>
          <w:highlight w:val="none"/>
          <w:lang w:val="en-US" w:eastAsia="zh-CN"/>
        </w:rPr>
      </w:pPr>
    </w:p>
    <w:p w14:paraId="57B5A983">
      <w:pPr>
        <w:shd w:val="clear" w:color="auto" w:fill="FFFFFF"/>
        <w:ind w:firstLine="643" w:firstLineChars="200"/>
        <w:jc w:val="both"/>
        <w:rPr>
          <w:rFonts w:hint="eastAsia" w:ascii="宋体" w:hAnsi="宋体" w:eastAsia="宋体" w:cs="宋体"/>
          <w:color w:val="auto"/>
          <w:spacing w:val="8"/>
          <w:sz w:val="32"/>
          <w:highlight w:val="none"/>
        </w:rPr>
      </w:pPr>
      <w:r>
        <w:rPr>
          <w:rFonts w:hint="eastAsia" w:ascii="宋体" w:hAnsi="宋体" w:eastAsia="宋体"/>
          <w:b/>
          <w:bCs w:val="0"/>
          <w:color w:val="auto"/>
          <w:sz w:val="32"/>
          <w:szCs w:val="32"/>
          <w:highlight w:val="none"/>
          <w:lang w:val="en-US" w:eastAsia="zh-CN"/>
        </w:rPr>
        <w:t>报价文件</w:t>
      </w:r>
      <w:r>
        <w:rPr>
          <w:rFonts w:hint="eastAsia" w:ascii="宋体" w:hAnsi="宋体" w:eastAsia="宋体"/>
          <w:b/>
          <w:bCs w:val="0"/>
          <w:color w:val="auto"/>
          <w:sz w:val="32"/>
          <w:szCs w:val="32"/>
          <w:highlight w:val="none"/>
        </w:rPr>
        <w:t>目录自</w:t>
      </w:r>
      <w:r>
        <w:rPr>
          <w:rFonts w:hint="eastAsia" w:ascii="宋体" w:hAnsi="宋体"/>
          <w:b/>
          <w:bCs w:val="0"/>
          <w:color w:val="auto"/>
          <w:sz w:val="32"/>
          <w:szCs w:val="32"/>
          <w:highlight w:val="none"/>
        </w:rPr>
        <w:t>拟</w:t>
      </w:r>
    </w:p>
    <w:p w14:paraId="7E978B25">
      <w:pPr>
        <w:numPr>
          <w:ilvl w:val="0"/>
          <w:numId w:val="0"/>
        </w:numPr>
        <w:shd w:val="clear" w:color="auto" w:fill="FFFFFF"/>
        <w:spacing w:before="160" w:beforeLines="50" w:line="360" w:lineRule="auto"/>
        <w:ind w:firstLine="482" w:firstLineChars="200"/>
        <w:rPr>
          <w:rFonts w:hint="eastAsia" w:ascii="宋体" w:hAnsi="宋体" w:eastAsia="宋体" w:cs="宋体"/>
          <w:b/>
          <w:bCs w:val="0"/>
          <w:color w:val="auto"/>
          <w:spacing w:val="0"/>
          <w:kern w:val="2"/>
          <w:sz w:val="24"/>
          <w:szCs w:val="24"/>
          <w:highlight w:val="none"/>
          <w:lang w:val="en-US" w:eastAsia="zh-CN" w:bidi="ar-SA"/>
        </w:rPr>
      </w:pPr>
      <w:r>
        <w:rPr>
          <w:rFonts w:hint="eastAsia" w:ascii="宋体" w:hAnsi="宋体" w:cs="宋体"/>
          <w:b/>
          <w:color w:val="auto"/>
          <w:spacing w:val="0"/>
          <w:sz w:val="24"/>
          <w:highlight w:val="none"/>
          <w:lang w:val="en-US" w:eastAsia="zh-CN"/>
        </w:rPr>
        <w:t>1.</w:t>
      </w:r>
      <w:r>
        <w:rPr>
          <w:rFonts w:hint="eastAsia" w:ascii="宋体" w:hAnsi="宋体" w:eastAsia="宋体" w:cs="宋体"/>
          <w:b/>
          <w:bCs w:val="0"/>
          <w:color w:val="auto"/>
          <w:spacing w:val="0"/>
          <w:kern w:val="2"/>
          <w:sz w:val="24"/>
          <w:szCs w:val="24"/>
          <w:highlight w:val="none"/>
          <w:lang w:val="en-US" w:eastAsia="zh-CN" w:bidi="ar-SA"/>
        </w:rPr>
        <w:t>磋商</w:t>
      </w:r>
      <w:bookmarkEnd w:id="1181"/>
      <w:bookmarkEnd w:id="1182"/>
      <w:r>
        <w:rPr>
          <w:rFonts w:hint="eastAsia" w:ascii="宋体" w:hAnsi="宋体" w:eastAsia="宋体" w:cs="宋体"/>
          <w:b/>
          <w:bCs w:val="0"/>
          <w:color w:val="auto"/>
          <w:spacing w:val="0"/>
          <w:kern w:val="2"/>
          <w:sz w:val="24"/>
          <w:szCs w:val="24"/>
          <w:highlight w:val="none"/>
          <w:lang w:val="en-US" w:eastAsia="zh-CN" w:bidi="ar-SA"/>
        </w:rPr>
        <w:t>函</w:t>
      </w:r>
    </w:p>
    <w:p w14:paraId="7B3EF174">
      <w:pPr>
        <w:spacing w:line="400" w:lineRule="exact"/>
        <w:ind w:firstLine="420" w:firstLineChars="200"/>
        <w:rPr>
          <w:rFonts w:hint="eastAsia" w:ascii="宋体" w:hAnsi="宋体" w:eastAsia="宋体" w:cs="宋体"/>
          <w:color w:val="auto"/>
          <w:highlight w:val="none"/>
          <w:u w:val="single"/>
          <w:lang w:eastAsia="zh-CN"/>
        </w:rPr>
      </w:pPr>
      <w:bookmarkStart w:id="1183" w:name="_Toc424307760"/>
      <w:bookmarkStart w:id="1184" w:name="_Toc424307489"/>
      <w:r>
        <w:rPr>
          <w:rFonts w:hint="eastAsia" w:ascii="宋体" w:hAnsi="宋体" w:cs="宋体"/>
          <w:color w:val="auto"/>
          <w:highlight w:val="none"/>
        </w:rPr>
        <w:t>致：</w:t>
      </w:r>
      <w:r>
        <w:rPr>
          <w:rFonts w:hint="eastAsia" w:ascii="宋体" w:hAnsi="宋体" w:cs="宋体"/>
          <w:color w:val="auto"/>
          <w:highlight w:val="none"/>
          <w:u w:val="single"/>
          <w:lang w:eastAsia="zh-CN"/>
        </w:rPr>
        <w:t>广西德元工程项目管理有限责任公司</w:t>
      </w:r>
    </w:p>
    <w:p w14:paraId="46F27680">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根据已收到的</w:t>
      </w:r>
      <w:r>
        <w:rPr>
          <w:rFonts w:hint="eastAsia" w:ascii="宋体" w:hAnsi="宋体" w:eastAsia="宋体" w:cs="宋体"/>
          <w:color w:val="auto"/>
          <w:szCs w:val="21"/>
          <w:highlight w:val="none"/>
          <w:u w:val="single"/>
        </w:rPr>
        <w:t xml:space="preserve">        （工程名称）                      </w:t>
      </w:r>
      <w:r>
        <w:rPr>
          <w:rFonts w:hint="eastAsia" w:ascii="宋体" w:hAnsi="宋体" w:eastAsia="宋体" w:cs="宋体"/>
          <w:color w:val="auto"/>
          <w:szCs w:val="21"/>
          <w:highlight w:val="none"/>
        </w:rPr>
        <w:t>工程的竞争性</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文件，我方经考察现场和研究贵方的竞争性</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文件后</w:t>
      </w:r>
      <w:r>
        <w:rPr>
          <w:rFonts w:hint="eastAsia" w:ascii="宋体" w:hAnsi="宋体" w:eastAsia="宋体" w:cs="宋体"/>
          <w:color w:val="auto"/>
          <w:highlight w:val="none"/>
        </w:rPr>
        <w:t>，</w:t>
      </w:r>
      <w:r>
        <w:rPr>
          <w:rFonts w:hint="eastAsia" w:ascii="宋体" w:hAnsi="宋体" w:eastAsia="宋体" w:cs="宋体"/>
          <w:color w:val="auto"/>
          <w:szCs w:val="21"/>
          <w:highlight w:val="none"/>
        </w:rPr>
        <w:t>我方愿以</w:t>
      </w:r>
      <w:r>
        <w:rPr>
          <w:rFonts w:hint="eastAsia" w:ascii="宋体" w:hAnsi="宋体" w:eastAsia="宋体" w:cs="宋体"/>
          <w:color w:val="auto"/>
          <w:highlight w:val="none"/>
        </w:rPr>
        <w:t>：</w:t>
      </w:r>
      <w:r>
        <w:rPr>
          <w:rFonts w:hint="eastAsia" w:ascii="宋体" w:hAnsi="宋体" w:cs="宋体"/>
          <w:b/>
          <w:color w:val="auto"/>
          <w:highlight w:val="none"/>
          <w:lang w:eastAsia="zh-CN"/>
        </w:rPr>
        <w:t>磋商</w:t>
      </w:r>
      <w:r>
        <w:rPr>
          <w:rFonts w:hint="eastAsia" w:ascii="宋体" w:hAnsi="宋体" w:eastAsia="宋体" w:cs="宋体"/>
          <w:b/>
          <w:color w:val="auto"/>
          <w:highlight w:val="none"/>
        </w:rPr>
        <w:t>总报价为：</w:t>
      </w:r>
      <w:r>
        <w:rPr>
          <w:rFonts w:hint="eastAsia" w:ascii="宋体" w:hAnsi="宋体" w:eastAsia="宋体" w:cs="宋体"/>
          <w:color w:val="auto"/>
          <w:highlight w:val="none"/>
          <w:u w:val="single"/>
        </w:rPr>
        <w:t>人民币(大写)</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rPr>
        <w:t>RMB</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报价并按上述合同条款、工程建设标准的条件要求承包上述工程的施工、竣工，并承担任何质量缺陷保修责任。我方保证工程质量达到国家质量标准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等级。</w:t>
      </w:r>
    </w:p>
    <w:p w14:paraId="31645C0A">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right="97" w:rightChars="46"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我方已详细审核全部</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文件，包括修改文件（如有时）及有关附件。</w:t>
      </w:r>
    </w:p>
    <w:p w14:paraId="06323BE6">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right="97" w:rightChars="46"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一旦我方成交，我方保证按合同协议书中规定的工期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日历天内完成并移交全部工程。</w:t>
      </w:r>
    </w:p>
    <w:p w14:paraId="3D51180E">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right="97" w:rightChars="46"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我方同意所提交的响应文件在</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文件的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须知规定的</w:t>
      </w:r>
      <w:r>
        <w:rPr>
          <w:rFonts w:hint="eastAsia" w:ascii="宋体" w:hAnsi="宋体" w:cs="宋体"/>
          <w:color w:val="auto"/>
          <w:szCs w:val="21"/>
          <w:highlight w:val="none"/>
          <w:lang w:eastAsia="zh-CN"/>
        </w:rPr>
        <w:t>竞标有效期</w:t>
      </w:r>
      <w:r>
        <w:rPr>
          <w:rFonts w:hint="eastAsia" w:ascii="宋体" w:hAnsi="宋体" w:eastAsia="宋体" w:cs="宋体"/>
          <w:color w:val="auto"/>
          <w:szCs w:val="21"/>
          <w:highlight w:val="none"/>
        </w:rPr>
        <w:t>内有效，在此期间内如果成交，我方将受此约束。</w:t>
      </w:r>
    </w:p>
    <w:p w14:paraId="481DF6C7">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right="97" w:rightChars="46"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除非另外达成协议并生效，你方的成交通知书和本响应文件将成为约束双方的合同文件的组成部分。</w:t>
      </w:r>
    </w:p>
    <w:p w14:paraId="35982E35">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我方将与本</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函一起，提交人民币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元作为</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 xml:space="preserve">担保。     </w:t>
      </w:r>
    </w:p>
    <w:p w14:paraId="6F60FE4D">
      <w:pPr>
        <w:numPr>
          <w:ilvl w:val="0"/>
          <w:numId w:val="0"/>
        </w:numPr>
        <w:spacing w:line="4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据此函，</w:t>
      </w:r>
      <w:r>
        <w:rPr>
          <w:rFonts w:hint="eastAsia" w:ascii="宋体" w:hAnsi="宋体" w:cs="宋体"/>
          <w:color w:val="auto"/>
          <w:szCs w:val="21"/>
          <w:highlight w:val="none"/>
          <w:lang w:val="en-US" w:eastAsia="zh-CN"/>
        </w:rPr>
        <w:t>我方</w:t>
      </w:r>
      <w:r>
        <w:rPr>
          <w:rFonts w:hint="eastAsia" w:ascii="宋体" w:hAnsi="宋体" w:eastAsia="宋体" w:cs="宋体"/>
          <w:color w:val="auto"/>
          <w:szCs w:val="21"/>
          <w:highlight w:val="none"/>
        </w:rPr>
        <w:t>宣布同意如下</w:t>
      </w:r>
      <w:r>
        <w:rPr>
          <w:rFonts w:hint="eastAsia" w:ascii="宋体" w:hAnsi="宋体" w:eastAsia="宋体" w:cs="宋体"/>
          <w:color w:val="auto"/>
          <w:szCs w:val="21"/>
          <w:highlight w:val="none"/>
          <w:lang w:eastAsia="zh-CN"/>
        </w:rPr>
        <w:t>：</w:t>
      </w:r>
    </w:p>
    <w:p w14:paraId="38675288">
      <w:pPr>
        <w:numPr>
          <w:ilvl w:val="0"/>
          <w:numId w:val="0"/>
        </w:num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我方在此声明，所递交的</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文件及有关资料内容完整、真实和准确。</w:t>
      </w:r>
    </w:p>
    <w:p w14:paraId="3E19199C">
      <w:pPr>
        <w:pStyle w:val="12"/>
        <w:numPr>
          <w:ilvl w:val="0"/>
          <w:numId w:val="0"/>
        </w:num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我方承诺已经具备《中华人民共和国政府采购法》中规定的参加政府采购活动的供应商应当具备的条件：</w:t>
      </w:r>
    </w:p>
    <w:p w14:paraId="6FC8A0C0">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具有独立承担民事责任的能力；</w:t>
      </w:r>
    </w:p>
    <w:p w14:paraId="2B61DEB6">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具有良好的商业信誉和健全的财务会计制度；</w:t>
      </w:r>
    </w:p>
    <w:p w14:paraId="4726791B">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具有履行合同所必需的设备和专业技术能力；</w:t>
      </w:r>
    </w:p>
    <w:p w14:paraId="469BDB78">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有依法缴纳税收和社会保障资金的良好记录；</w:t>
      </w:r>
    </w:p>
    <w:p w14:paraId="69F22AA6">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参加政府采购活动前三年内，在经营活动中没有重大违法记录；</w:t>
      </w:r>
    </w:p>
    <w:p w14:paraId="6E0745A2">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法律、行政法规规定的其他条件。</w:t>
      </w:r>
    </w:p>
    <w:p w14:paraId="36DF108D">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szCs w:val="21"/>
          <w:highlight w:val="none"/>
        </w:rPr>
        <w:t>如本项目采购内容涉及须符合国家强制规定的，我方承诺我方本次</w:t>
      </w:r>
      <w:r>
        <w:rPr>
          <w:rFonts w:hint="eastAsia" w:hAnsi="宋体" w:cs="宋体"/>
          <w:color w:val="auto"/>
          <w:szCs w:val="21"/>
          <w:highlight w:val="none"/>
          <w:lang w:eastAsia="zh-CN"/>
        </w:rPr>
        <w:t>磋商</w:t>
      </w:r>
      <w:r>
        <w:rPr>
          <w:rFonts w:hint="eastAsia" w:ascii="宋体" w:hAnsi="宋体" w:eastAsia="宋体" w:cs="宋体"/>
          <w:color w:val="auto"/>
          <w:szCs w:val="21"/>
          <w:highlight w:val="none"/>
        </w:rPr>
        <w:t>（包括资格条件和所</w:t>
      </w:r>
      <w:r>
        <w:rPr>
          <w:rFonts w:hint="eastAsia" w:hAnsi="宋体" w:cs="宋体"/>
          <w:color w:val="auto"/>
          <w:szCs w:val="21"/>
          <w:highlight w:val="none"/>
          <w:lang w:eastAsia="zh-CN"/>
        </w:rPr>
        <w:t>磋商</w:t>
      </w:r>
      <w:r>
        <w:rPr>
          <w:rFonts w:hint="eastAsia" w:ascii="宋体" w:hAnsi="宋体" w:eastAsia="宋体" w:cs="宋体"/>
          <w:color w:val="auto"/>
          <w:szCs w:val="21"/>
          <w:highlight w:val="none"/>
        </w:rPr>
        <w:t>产品）均符合国家有关强制规定。</w:t>
      </w:r>
    </w:p>
    <w:p w14:paraId="7B072C6F">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如我方</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，我方承诺在收到</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通知书后，在</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通知书规定的期限内，根据</w:t>
      </w:r>
      <w:r>
        <w:rPr>
          <w:rFonts w:hint="eastAsia" w:ascii="宋体" w:hAnsi="宋体" w:eastAsia="宋体" w:cs="宋体"/>
          <w:color w:val="auto"/>
          <w:highlight w:val="none"/>
          <w:lang w:eastAsia="zh-CN"/>
        </w:rPr>
        <w:t>竞争性</w:t>
      </w:r>
      <w:r>
        <w:rPr>
          <w:rFonts w:hint="eastAsia" w:hAnsi="宋体" w:cs="宋体"/>
          <w:color w:val="auto"/>
          <w:highlight w:val="none"/>
          <w:lang w:eastAsia="zh-CN"/>
        </w:rPr>
        <w:t>磋商</w:t>
      </w:r>
      <w:r>
        <w:rPr>
          <w:rFonts w:hint="eastAsia" w:ascii="宋体" w:hAnsi="宋体" w:eastAsia="宋体" w:cs="宋体"/>
          <w:color w:val="auto"/>
          <w:highlight w:val="none"/>
        </w:rPr>
        <w:t>文件、我方的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文件及有关澄清承诺书的要求按第</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章“合同条款及格式”与采购人订立书面合同，并按照合同约定承担完成合同的责任和义务。</w:t>
      </w:r>
    </w:p>
    <w:p w14:paraId="682E706A">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我方已详细审核</w:t>
      </w:r>
      <w:r>
        <w:rPr>
          <w:rFonts w:hint="eastAsia" w:ascii="宋体" w:hAnsi="宋体" w:eastAsia="宋体" w:cs="宋体"/>
          <w:color w:val="auto"/>
          <w:highlight w:val="none"/>
          <w:lang w:eastAsia="zh-CN"/>
        </w:rPr>
        <w:t>竞争性</w:t>
      </w:r>
      <w:r>
        <w:rPr>
          <w:rFonts w:hint="eastAsia" w:hAnsi="宋体" w:cs="宋体"/>
          <w:color w:val="auto"/>
          <w:highlight w:val="none"/>
          <w:lang w:eastAsia="zh-CN"/>
        </w:rPr>
        <w:t>磋商</w:t>
      </w:r>
      <w:r>
        <w:rPr>
          <w:rFonts w:hint="eastAsia" w:ascii="宋体" w:hAnsi="宋体" w:eastAsia="宋体" w:cs="宋体"/>
          <w:color w:val="auto"/>
          <w:highlight w:val="none"/>
        </w:rPr>
        <w:t>文件，我方知道必须放弃提出含糊不清或误解问题的权利。</w:t>
      </w:r>
    </w:p>
    <w:p w14:paraId="3551EF12">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我方同意应贵方要求提供与本</w:t>
      </w:r>
      <w:r>
        <w:rPr>
          <w:rFonts w:hint="eastAsia" w:hAnsi="宋体" w:cs="宋体"/>
          <w:color w:val="auto"/>
          <w:highlight w:val="none"/>
          <w:lang w:eastAsia="zh-CN"/>
        </w:rPr>
        <w:t>磋商</w:t>
      </w:r>
      <w:r>
        <w:rPr>
          <w:rFonts w:hint="eastAsia" w:ascii="宋体" w:hAnsi="宋体" w:eastAsia="宋体" w:cs="宋体"/>
          <w:color w:val="auto"/>
          <w:highlight w:val="none"/>
        </w:rPr>
        <w:t>有关的任何数据或资料。若贵方需要，我方愿意提供我方作出的一切承诺的证明材料。</w:t>
      </w:r>
    </w:p>
    <w:p w14:paraId="621B28CD">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8F55EB">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提供虚假材料谋取中标、成交的；</w:t>
      </w:r>
    </w:p>
    <w:p w14:paraId="0EF6E743">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采取不正当手段诋毁、排挤其他供应商的；</w:t>
      </w:r>
    </w:p>
    <w:p w14:paraId="4E18ACCA">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与采购人、其他供应商或者采购代理机构恶意串通的；</w:t>
      </w:r>
    </w:p>
    <w:p w14:paraId="7C327479">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向采购人、采购代理机构行贿或者提供其他不正当利益的；</w:t>
      </w:r>
    </w:p>
    <w:p w14:paraId="1DF0883C">
      <w:pPr>
        <w:pStyle w:val="12"/>
        <w:numPr>
          <w:ilvl w:val="0"/>
          <w:numId w:val="0"/>
        </w:numPr>
        <w:spacing w:line="400" w:lineRule="exact"/>
        <w:ind w:left="42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在招标采购过程中与采购人进行协商</w:t>
      </w:r>
      <w:r>
        <w:rPr>
          <w:rFonts w:hint="eastAsia" w:hAnsi="宋体" w:cs="宋体"/>
          <w:color w:val="auto"/>
          <w:highlight w:val="none"/>
          <w:lang w:eastAsia="zh-CN"/>
        </w:rPr>
        <w:t>磋商</w:t>
      </w:r>
      <w:r>
        <w:rPr>
          <w:rFonts w:hint="eastAsia" w:ascii="宋体" w:hAnsi="宋体" w:eastAsia="宋体" w:cs="宋体"/>
          <w:color w:val="auto"/>
          <w:highlight w:val="none"/>
        </w:rPr>
        <w:t>的；</w:t>
      </w:r>
    </w:p>
    <w:p w14:paraId="687AAAFF">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6）拒绝有关部门监督检查或提供虚假情况的。</w:t>
      </w:r>
    </w:p>
    <w:p w14:paraId="536B9C90">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以上事项如有虚假或隐瞒，我方愿意承担一切后果，并不再寻求任何旨在减轻或免除法律责任的辩解。</w:t>
      </w:r>
    </w:p>
    <w:p w14:paraId="6E7B2C4D">
      <w:pPr>
        <w:snapToGrid w:val="0"/>
        <w:spacing w:line="37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（9）</w:t>
      </w:r>
      <w:r>
        <w:rPr>
          <w:rFonts w:hint="eastAsia" w:ascii="宋体" w:hAnsi="宋体" w:eastAsia="宋体" w:cs="宋体"/>
          <w:color w:val="auto"/>
          <w:highlight w:val="none"/>
        </w:rPr>
        <w:t>我方</w:t>
      </w:r>
      <w:r>
        <w:rPr>
          <w:rFonts w:hint="eastAsia" w:ascii="宋体" w:hAnsi="宋体" w:eastAsia="宋体" w:cs="宋体"/>
          <w:b w:val="0"/>
          <w:bCs/>
          <w:color w:val="auto"/>
          <w:szCs w:val="21"/>
          <w:highlight w:val="none"/>
        </w:rPr>
        <w:t>同意本</w:t>
      </w:r>
      <w:r>
        <w:rPr>
          <w:rFonts w:hint="eastAsia" w:ascii="宋体" w:hAnsi="宋体" w:eastAsia="宋体" w:cs="宋体"/>
          <w:b w:val="0"/>
          <w:bCs/>
          <w:color w:val="auto"/>
          <w:szCs w:val="21"/>
          <w:highlight w:val="none"/>
          <w:lang w:eastAsia="zh-CN"/>
        </w:rPr>
        <w:t>响应</w:t>
      </w:r>
      <w:r>
        <w:rPr>
          <w:rFonts w:hint="eastAsia" w:ascii="宋体" w:hAnsi="宋体" w:eastAsia="宋体" w:cs="宋体"/>
          <w:b w:val="0"/>
          <w:bCs/>
          <w:color w:val="auto"/>
          <w:szCs w:val="21"/>
          <w:highlight w:val="none"/>
        </w:rPr>
        <w:t>文件中</w:t>
      </w:r>
      <w:r>
        <w:rPr>
          <w:rFonts w:hint="eastAsia" w:ascii="宋体" w:hAnsi="宋体" w:eastAsia="宋体" w:cs="宋体"/>
          <w:b w:val="0"/>
          <w:bCs/>
          <w:color w:val="auto"/>
          <w:szCs w:val="21"/>
          <w:highlight w:val="none"/>
          <w:lang w:eastAsia="zh-CN"/>
        </w:rPr>
        <w:t>报价文件</w:t>
      </w:r>
      <w:r>
        <w:rPr>
          <w:rFonts w:hint="eastAsia" w:ascii="宋体" w:hAnsi="宋体" w:eastAsia="宋体" w:cs="宋体"/>
          <w:b w:val="0"/>
          <w:bCs/>
          <w:color w:val="auto"/>
          <w:szCs w:val="21"/>
          <w:highlight w:val="none"/>
        </w:rPr>
        <w:t>和</w:t>
      </w:r>
      <w:r>
        <w:rPr>
          <w:rFonts w:hint="eastAsia" w:ascii="宋体" w:hAnsi="宋体" w:eastAsia="宋体" w:cs="宋体"/>
          <w:b w:val="0"/>
          <w:bCs/>
          <w:color w:val="auto"/>
          <w:szCs w:val="21"/>
          <w:highlight w:val="none"/>
          <w:lang w:eastAsia="zh-CN"/>
        </w:rPr>
        <w:t>成交</w:t>
      </w:r>
      <w:r>
        <w:rPr>
          <w:rFonts w:hint="eastAsia" w:ascii="宋体" w:hAnsi="宋体" w:eastAsia="宋体" w:cs="宋体"/>
          <w:b w:val="0"/>
          <w:bCs/>
          <w:color w:val="auto"/>
          <w:szCs w:val="21"/>
          <w:highlight w:val="none"/>
        </w:rPr>
        <w:t>后签订的采购合同可用于公示，其中所有内容不涉及</w:t>
      </w:r>
      <w:r>
        <w:rPr>
          <w:rFonts w:hint="eastAsia" w:ascii="宋体" w:hAnsi="宋体" w:eastAsia="宋体" w:cs="宋体"/>
          <w:b w:val="0"/>
          <w:bCs/>
          <w:color w:val="auto"/>
          <w:szCs w:val="21"/>
          <w:highlight w:val="none"/>
          <w:lang w:eastAsia="zh-CN"/>
        </w:rPr>
        <w:t>供应商</w:t>
      </w:r>
      <w:r>
        <w:rPr>
          <w:rFonts w:hint="eastAsia" w:ascii="宋体" w:hAnsi="宋体" w:eastAsia="宋体" w:cs="宋体"/>
          <w:b w:val="0"/>
          <w:bCs/>
          <w:color w:val="auto"/>
          <w:szCs w:val="21"/>
          <w:highlight w:val="none"/>
        </w:rPr>
        <w:t>商业秘密，并承诺可向</w:t>
      </w:r>
      <w:r>
        <w:rPr>
          <w:rFonts w:hint="eastAsia" w:ascii="宋体" w:hAnsi="宋体" w:eastAsia="宋体" w:cs="宋体"/>
          <w:b w:val="0"/>
          <w:bCs/>
          <w:color w:val="auto"/>
          <w:szCs w:val="21"/>
          <w:highlight w:val="none"/>
          <w:lang w:eastAsia="zh-CN"/>
        </w:rPr>
        <w:t>采购代理机构</w:t>
      </w:r>
      <w:r>
        <w:rPr>
          <w:rFonts w:hint="eastAsia" w:ascii="宋体" w:hAnsi="宋体" w:eastAsia="宋体" w:cs="宋体"/>
          <w:b w:val="0"/>
          <w:bCs/>
          <w:color w:val="auto"/>
          <w:szCs w:val="21"/>
          <w:highlight w:val="none"/>
        </w:rPr>
        <w:t>提供相关电子文档。</w:t>
      </w:r>
    </w:p>
    <w:p w14:paraId="5977FB94">
      <w:pPr>
        <w:numPr>
          <w:ilvl w:val="0"/>
          <w:numId w:val="0"/>
        </w:numPr>
        <w:spacing w:line="460" w:lineRule="exact"/>
        <w:ind w:left="420" w:leftChars="0"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highlight w:val="none"/>
          <w:lang w:val="en-US" w:eastAsia="zh-CN"/>
        </w:rPr>
        <w:t>（10）</w:t>
      </w:r>
      <w:r>
        <w:rPr>
          <w:rFonts w:hint="eastAsia" w:ascii="宋体" w:hAnsi="宋体" w:eastAsia="宋体" w:cs="宋体"/>
          <w:color w:val="auto"/>
          <w:szCs w:val="21"/>
          <w:highlight w:val="none"/>
        </w:rPr>
        <w:t>与本</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有关的一切正式往来信函请寄：</w:t>
      </w:r>
      <w:r>
        <w:rPr>
          <w:rFonts w:hint="eastAsia" w:ascii="宋体" w:hAnsi="宋体" w:eastAsia="宋体" w:cs="宋体"/>
          <w:color w:val="auto"/>
          <w:szCs w:val="21"/>
          <w:highlight w:val="none"/>
          <w:u w:val="single"/>
        </w:rPr>
        <w:t xml:space="preserve">                                 </w:t>
      </w:r>
    </w:p>
    <w:p w14:paraId="7D65FDBF">
      <w:pPr>
        <w:snapToGrid w:val="0"/>
        <w:spacing w:line="37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5CDD3AE8">
      <w:pPr>
        <w:spacing w:line="400" w:lineRule="exact"/>
        <w:ind w:left="0"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eastAsia="zh-CN"/>
        </w:rPr>
        <w:t>电子邮箱：</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BECCB4D">
      <w:pPr>
        <w:spacing w:line="400" w:lineRule="exact"/>
        <w:ind w:left="0"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eastAsia="zh-CN"/>
        </w:rPr>
        <w:t>供应商</w:t>
      </w:r>
      <w:r>
        <w:rPr>
          <w:rFonts w:hint="eastAsia" w:ascii="宋体" w:hAnsi="宋体" w:eastAsia="宋体" w:cs="宋体"/>
          <w:color w:val="auto"/>
          <w:szCs w:val="21"/>
          <w:highlight w:val="none"/>
        </w:rPr>
        <w:t>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25E219F0">
      <w:pPr>
        <w:spacing w:line="400" w:lineRule="exact"/>
        <w:ind w:left="0"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（全称）                             （电子</w:t>
      </w:r>
      <w:r>
        <w:rPr>
          <w:rFonts w:hint="eastAsia" w:ascii="宋体" w:hAnsi="宋体" w:cs="宋体"/>
          <w:color w:val="auto"/>
          <w:highlight w:val="none"/>
          <w:u w:val="single"/>
          <w:lang w:val="en-US" w:eastAsia="zh-CN"/>
        </w:rPr>
        <w:t>印</w:t>
      </w:r>
      <w:r>
        <w:rPr>
          <w:rFonts w:hint="eastAsia" w:ascii="宋体" w:hAnsi="宋体" w:eastAsia="宋体" w:cs="宋体"/>
          <w:color w:val="auto"/>
          <w:highlight w:val="none"/>
          <w:u w:val="single"/>
        </w:rPr>
        <w:t>章）</w:t>
      </w:r>
    </w:p>
    <w:p w14:paraId="003BBC75">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统一社会信用代码：</w:t>
      </w:r>
      <w:r>
        <w:rPr>
          <w:rFonts w:hint="eastAsia" w:ascii="宋体" w:hAnsi="宋体" w:eastAsia="宋体" w:cs="宋体"/>
          <w:color w:val="auto"/>
          <w:szCs w:val="21"/>
          <w:highlight w:val="none"/>
          <w:u w:val="single"/>
        </w:rPr>
        <w:t xml:space="preserve">                                    </w:t>
      </w:r>
    </w:p>
    <w:p w14:paraId="7275E075">
      <w:pPr>
        <w:spacing w:line="400" w:lineRule="exact"/>
        <w:ind w:left="0"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单位地址：</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44A058C1">
      <w:pPr>
        <w:snapToGrid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开票信息：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（填“专票”或“普票”）</w:t>
      </w:r>
      <w:r>
        <w:rPr>
          <w:rFonts w:hint="eastAsia" w:ascii="宋体" w:hAnsi="宋体" w:eastAsia="宋体" w:cs="宋体"/>
          <w:color w:val="auto"/>
          <w:szCs w:val="21"/>
          <w:highlight w:val="none"/>
          <w:u w:val="single"/>
        </w:rPr>
        <w:t xml:space="preserve">                                </w:t>
      </w:r>
    </w:p>
    <w:p w14:paraId="6448F97F">
      <w:pPr>
        <w:snapToGrid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w:t>
      </w:r>
      <w:r>
        <w:rPr>
          <w:rFonts w:hint="eastAsia" w:ascii="宋体" w:hAnsi="宋体" w:eastAsia="宋体" w:cs="宋体"/>
          <w:color w:val="auto"/>
          <w:szCs w:val="21"/>
          <w:highlight w:val="none"/>
          <w:u w:val="single"/>
        </w:rPr>
        <w:t xml:space="preserve">                               </w:t>
      </w:r>
    </w:p>
    <w:p w14:paraId="02E6203C">
      <w:pPr>
        <w:spacing w:line="400" w:lineRule="exact"/>
        <w:ind w:left="0"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开户银行名称：</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70932F44">
      <w:pPr>
        <w:spacing w:line="400" w:lineRule="exact"/>
        <w:ind w:left="0" w:firstLine="420" w:firstLineChars="20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开户银行账号：</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lang w:val="en-US" w:eastAsia="zh-CN"/>
        </w:rPr>
        <w:t xml:space="preserve">    </w:t>
      </w:r>
    </w:p>
    <w:p w14:paraId="79D47D70">
      <w:pPr>
        <w:spacing w:line="400" w:lineRule="exact"/>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开户银行地址：</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6AFAFB42">
      <w:pPr>
        <w:spacing w:line="400" w:lineRule="exact"/>
        <w:ind w:left="0"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开户银行电话：</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081A9101">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法定代表人姓名：</w:t>
      </w:r>
      <w:r>
        <w:rPr>
          <w:rFonts w:hint="eastAsia" w:ascii="宋体" w:hAnsi="宋体" w:eastAsia="宋体" w:cs="宋体"/>
          <w:color w:val="auto"/>
          <w:szCs w:val="21"/>
          <w:highlight w:val="none"/>
          <w:u w:val="single"/>
        </w:rPr>
        <w:t xml:space="preserve">         　　　　　　　　　  　      </w:t>
      </w:r>
    </w:p>
    <w:p w14:paraId="1A5297A0">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法定代表人身份证号码：</w:t>
      </w:r>
      <w:r>
        <w:rPr>
          <w:rFonts w:hint="eastAsia" w:ascii="宋体" w:hAnsi="宋体" w:eastAsia="宋体" w:cs="宋体"/>
          <w:color w:val="auto"/>
          <w:szCs w:val="21"/>
          <w:highlight w:val="none"/>
          <w:u w:val="single"/>
        </w:rPr>
        <w:t xml:space="preserve">               　　　　        </w:t>
      </w:r>
    </w:p>
    <w:p w14:paraId="2D33B28E">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授权委托代理人姓名：</w:t>
      </w:r>
      <w:r>
        <w:rPr>
          <w:rFonts w:hint="eastAsia" w:ascii="宋体" w:hAnsi="宋体" w:eastAsia="宋体" w:cs="宋体"/>
          <w:color w:val="auto"/>
          <w:szCs w:val="21"/>
          <w:highlight w:val="none"/>
          <w:u w:val="single"/>
        </w:rPr>
        <w:t xml:space="preserve">        　　　　　　　　　　     </w:t>
      </w:r>
    </w:p>
    <w:p w14:paraId="23CA9210">
      <w:pPr>
        <w:snapToGrid w:val="0"/>
        <w:spacing w:line="420" w:lineRule="exact"/>
        <w:ind w:left="0" w:firstLine="420" w:firstLineChars="200"/>
        <w:rPr>
          <w:rFonts w:hint="eastAsia" w:ascii="宋体" w:hAnsi="宋体" w:eastAsia="宋体" w:cs="宋体"/>
          <w:color w:val="auto"/>
          <w:highlight w:val="none"/>
          <w:u w:val="single"/>
        </w:rPr>
      </w:pPr>
      <w:r>
        <w:rPr>
          <w:rFonts w:hint="eastAsia" w:ascii="宋体" w:hAnsi="宋体" w:eastAsia="宋体" w:cs="宋体"/>
          <w:color w:val="auto"/>
          <w:szCs w:val="21"/>
          <w:highlight w:val="none"/>
        </w:rPr>
        <w:t>授权委托代理人身份证号码：</w:t>
      </w:r>
      <w:r>
        <w:rPr>
          <w:rFonts w:hint="eastAsia" w:ascii="宋体" w:hAnsi="宋体" w:eastAsia="宋体" w:cs="宋体"/>
          <w:color w:val="auto"/>
          <w:szCs w:val="21"/>
          <w:highlight w:val="none"/>
          <w:u w:val="single"/>
        </w:rPr>
        <w:t xml:space="preserve">             　            </w:t>
      </w:r>
    </w:p>
    <w:p w14:paraId="660A13F2">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w:t>
      </w:r>
    </w:p>
    <w:p w14:paraId="3545922D">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62FF9E4C">
      <w:pPr>
        <w:spacing w:line="400" w:lineRule="exact"/>
        <w:rPr>
          <w:rFonts w:hint="eastAsia" w:ascii="宋体" w:hAnsi="宋体" w:eastAsia="宋体" w:cs="宋体"/>
          <w:b/>
          <w:bCs w:val="0"/>
          <w:color w:val="auto"/>
          <w:spacing w:val="0"/>
          <w:kern w:val="2"/>
          <w:sz w:val="24"/>
          <w:szCs w:val="24"/>
          <w:highlight w:val="none"/>
          <w:lang w:val="en-US" w:eastAsia="zh-CN" w:bidi="ar-SA"/>
        </w:rPr>
      </w:pPr>
    </w:p>
    <w:p w14:paraId="3ABF4942">
      <w:pPr>
        <w:spacing w:line="400" w:lineRule="exact"/>
        <w:rPr>
          <w:rFonts w:hint="eastAsia" w:ascii="宋体" w:hAnsi="宋体" w:eastAsia="宋体" w:cs="宋体"/>
          <w:b/>
          <w:bCs w:val="0"/>
          <w:color w:val="auto"/>
          <w:spacing w:val="0"/>
          <w:kern w:val="2"/>
          <w:sz w:val="24"/>
          <w:szCs w:val="24"/>
          <w:highlight w:val="none"/>
          <w:lang w:val="en-US" w:eastAsia="zh-CN" w:bidi="ar-SA"/>
        </w:rPr>
      </w:pPr>
    </w:p>
    <w:p w14:paraId="728CD15F">
      <w:pPr>
        <w:spacing w:line="400" w:lineRule="exact"/>
        <w:rPr>
          <w:rFonts w:hint="eastAsia" w:ascii="宋体" w:hAnsi="宋体" w:eastAsia="宋体" w:cs="宋体"/>
          <w:b/>
          <w:bCs w:val="0"/>
          <w:color w:val="auto"/>
          <w:spacing w:val="0"/>
          <w:kern w:val="2"/>
          <w:sz w:val="24"/>
          <w:szCs w:val="24"/>
          <w:highlight w:val="none"/>
          <w:lang w:val="en-US" w:eastAsia="zh-CN" w:bidi="ar-SA"/>
        </w:rPr>
      </w:pPr>
    </w:p>
    <w:bookmarkEnd w:id="1183"/>
    <w:bookmarkEnd w:id="1184"/>
    <w:p w14:paraId="25684CED">
      <w:pPr>
        <w:shd w:val="clear" w:color="auto" w:fill="FFFFFF"/>
        <w:spacing w:after="96" w:afterLines="30"/>
        <w:ind w:firstLine="482" w:firstLineChars="200"/>
        <w:rPr>
          <w:rFonts w:hint="eastAsia" w:ascii="宋体" w:hAnsi="宋体" w:eastAsia="宋体" w:cs="宋体"/>
          <w:b/>
          <w:bCs/>
          <w:color w:val="auto"/>
          <w:sz w:val="24"/>
          <w:szCs w:val="24"/>
          <w:highlight w:val="none"/>
        </w:rPr>
      </w:pPr>
      <w:bookmarkStart w:id="1185" w:name="_Toc349558044"/>
      <w:bookmarkStart w:id="1186" w:name="_Toc349639687"/>
      <w:bookmarkStart w:id="1187" w:name="_Toc349215560"/>
      <w:bookmarkStart w:id="1188" w:name="_Toc349640339"/>
      <w:bookmarkStart w:id="1189" w:name="_Toc349555832"/>
      <w:bookmarkStart w:id="1190" w:name="_Toc349557654"/>
      <w:bookmarkStart w:id="1191" w:name="_Toc389065358"/>
      <w:bookmarkStart w:id="1192" w:name="_Toc424307761"/>
      <w:bookmarkStart w:id="1193" w:name="_Toc424307490"/>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.已标价工程量清单报价</w:t>
      </w:r>
    </w:p>
    <w:p w14:paraId="54EC7264">
      <w:pPr>
        <w:pStyle w:val="3"/>
        <w:pageBreakBefore w:val="0"/>
        <w:widowControl w:val="0"/>
        <w:kinsoku/>
        <w:wordWrap/>
        <w:overflowPunct/>
        <w:topLinePunct w:val="0"/>
        <w:autoSpaceDE/>
        <w:autoSpaceDN/>
        <w:bidi w:val="0"/>
        <w:adjustRightInd/>
        <w:snapToGrid/>
        <w:spacing w:before="0" w:after="0" w:line="240" w:lineRule="auto"/>
        <w:ind w:firstLine="596"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w w:val="99"/>
          <w:kern w:val="0"/>
          <w:sz w:val="30"/>
          <w:szCs w:val="32"/>
          <w:highlight w:val="none"/>
        </w:rPr>
        <w:t>已标价的工程量清单（含报价编制说明、分项报价表等）（必须提供）</w:t>
      </w:r>
    </w:p>
    <w:p w14:paraId="63FD56B6">
      <w:pPr>
        <w:pStyle w:val="3"/>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bCs/>
          <w:color w:val="auto"/>
          <w:kern w:val="2"/>
          <w:sz w:val="24"/>
          <w:szCs w:val="24"/>
          <w:highlight w:val="none"/>
          <w:lang w:val="en-US" w:eastAsia="zh-CN" w:bidi="ar-SA"/>
        </w:rPr>
      </w:pPr>
    </w:p>
    <w:p w14:paraId="4D14D15D">
      <w:pPr>
        <w:pStyle w:val="3"/>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bCs/>
          <w:color w:val="auto"/>
          <w:kern w:val="2"/>
          <w:sz w:val="24"/>
          <w:szCs w:val="24"/>
          <w:highlight w:val="none"/>
          <w:lang w:val="en-US" w:eastAsia="zh-CN" w:bidi="ar-SA"/>
        </w:rPr>
      </w:pPr>
    </w:p>
    <w:p w14:paraId="57562E9B">
      <w:pPr>
        <w:pStyle w:val="3"/>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bCs/>
          <w:color w:val="auto"/>
          <w:kern w:val="2"/>
          <w:sz w:val="24"/>
          <w:szCs w:val="24"/>
          <w:highlight w:val="none"/>
          <w:lang w:val="en-US" w:eastAsia="zh-CN" w:bidi="ar-SA"/>
        </w:rPr>
      </w:pPr>
    </w:p>
    <w:p w14:paraId="4B0DB6D0">
      <w:pPr>
        <w:shd w:val="clear" w:color="auto" w:fill="FFFFFF"/>
        <w:spacing w:after="96" w:afterLines="30"/>
        <w:rPr>
          <w:rFonts w:hint="eastAsia" w:ascii="宋体" w:hAnsi="宋体" w:eastAsia="宋体" w:cs="宋体"/>
          <w:b/>
          <w:bCs/>
          <w:color w:val="auto"/>
          <w:szCs w:val="21"/>
          <w:highlight w:val="none"/>
          <w:lang w:val="en-US" w:eastAsia="zh-CN"/>
        </w:rPr>
      </w:pPr>
    </w:p>
    <w:bookmarkEnd w:id="1185"/>
    <w:bookmarkEnd w:id="1186"/>
    <w:bookmarkEnd w:id="1187"/>
    <w:bookmarkEnd w:id="1188"/>
    <w:bookmarkEnd w:id="1189"/>
    <w:bookmarkEnd w:id="1190"/>
    <w:bookmarkEnd w:id="1191"/>
    <w:p w14:paraId="3E6BDDF3">
      <w:pPr>
        <w:pStyle w:val="14"/>
        <w:rPr>
          <w:rFonts w:hint="eastAsia"/>
          <w:color w:val="auto"/>
          <w:highlight w:val="none"/>
          <w:lang w:val="en-US" w:eastAsia="zh-CN"/>
        </w:rPr>
      </w:pPr>
    </w:p>
    <w:p w14:paraId="1C497CB9">
      <w:pPr>
        <w:shd w:val="clear" w:color="auto" w:fill="FFFFFF"/>
        <w:spacing w:after="96" w:afterLines="30"/>
        <w:ind w:firstLine="422" w:firstLineChars="200"/>
        <w:rPr>
          <w:rFonts w:hint="eastAsia" w:ascii="宋体" w:hAnsi="宋体" w:cs="宋体"/>
          <w:b/>
          <w:bCs/>
          <w:color w:val="auto"/>
          <w:szCs w:val="21"/>
          <w:highlight w:val="none"/>
          <w:lang w:val="en-US" w:eastAsia="zh-CN"/>
        </w:rPr>
      </w:pPr>
    </w:p>
    <w:p w14:paraId="217867FC">
      <w:pPr>
        <w:shd w:val="clear" w:color="auto" w:fill="FFFFFF"/>
        <w:spacing w:after="96" w:afterLines="30"/>
        <w:ind w:firstLine="422" w:firstLineChars="200"/>
        <w:rPr>
          <w:rFonts w:hint="eastAsia" w:ascii="宋体" w:hAnsi="宋体" w:cs="宋体"/>
          <w:b/>
          <w:bCs/>
          <w:color w:val="auto"/>
          <w:szCs w:val="21"/>
          <w:highlight w:val="none"/>
          <w:lang w:val="en-US" w:eastAsia="zh-CN"/>
        </w:rPr>
      </w:pPr>
    </w:p>
    <w:p w14:paraId="6DE6B2C8">
      <w:pPr>
        <w:shd w:val="clear" w:color="auto" w:fill="FFFFFF"/>
        <w:spacing w:after="96" w:afterLines="30"/>
        <w:ind w:firstLine="422" w:firstLineChars="200"/>
        <w:rPr>
          <w:rFonts w:hint="eastAsia" w:ascii="宋体" w:hAnsi="宋体" w:cs="宋体"/>
          <w:b/>
          <w:bCs/>
          <w:color w:val="auto"/>
          <w:szCs w:val="21"/>
          <w:highlight w:val="none"/>
          <w:lang w:val="en-US" w:eastAsia="zh-CN"/>
        </w:rPr>
      </w:pPr>
    </w:p>
    <w:p w14:paraId="0803504B">
      <w:pPr>
        <w:shd w:val="clear" w:color="auto" w:fill="FFFFFF"/>
        <w:spacing w:after="96" w:afterLines="30"/>
        <w:ind w:firstLine="0" w:firstLineChars="0"/>
        <w:rPr>
          <w:rFonts w:hint="eastAsia" w:ascii="宋体" w:hAnsi="宋体" w:cs="宋体"/>
          <w:b/>
          <w:bCs/>
          <w:color w:val="auto"/>
          <w:szCs w:val="21"/>
          <w:highlight w:val="none"/>
          <w:lang w:val="en-US" w:eastAsia="zh-CN"/>
        </w:rPr>
      </w:pPr>
    </w:p>
    <w:bookmarkEnd w:id="1192"/>
    <w:bookmarkEnd w:id="1193"/>
    <w:p w14:paraId="776085F0">
      <w:pPr>
        <w:shd w:val="clear" w:color="auto" w:fill="FFFFFF"/>
        <w:spacing w:after="96" w:afterLines="30"/>
        <w:ind w:firstLine="482" w:firstLineChars="200"/>
        <w:rPr>
          <w:rFonts w:hint="eastAsia" w:ascii="宋体" w:hAnsi="宋体" w:cs="宋体"/>
          <w:b/>
          <w:bCs/>
          <w:color w:val="auto"/>
          <w:sz w:val="24"/>
          <w:szCs w:val="24"/>
          <w:highlight w:val="none"/>
          <w:lang w:val="en-US" w:eastAsia="zh-CN"/>
        </w:rPr>
        <w:sectPr>
          <w:pgSz w:w="11906" w:h="16838"/>
          <w:pgMar w:top="1020" w:right="1191" w:bottom="1021" w:left="1304" w:header="1247" w:footer="850" w:gutter="0"/>
          <w:pgNumType w:fmt="decimal"/>
          <w:cols w:space="720" w:num="1"/>
          <w:docGrid w:type="lines" w:linePitch="320" w:charSpace="0"/>
        </w:sectPr>
      </w:pPr>
    </w:p>
    <w:p w14:paraId="51C8F4CA">
      <w:pPr>
        <w:spacing w:line="360" w:lineRule="auto"/>
        <w:jc w:val="both"/>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竞标报价表</w:t>
      </w:r>
    </w:p>
    <w:p w14:paraId="0198979C">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
          <w:bCs/>
          <w:color w:val="auto"/>
          <w:sz w:val="32"/>
          <w:szCs w:val="32"/>
          <w:highlight w:val="none"/>
        </w:rPr>
        <w:t>竞标报价表</w:t>
      </w:r>
    </w:p>
    <w:p w14:paraId="680CEFDB">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37A7056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79852E24">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分标（如有）：</w:t>
      </w:r>
    </w:p>
    <w:p w14:paraId="60BA1CA2">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14:paraId="01146360">
      <w:pPr>
        <w:ind w:left="-178" w:leftChars="-85" w:right="-512" w:rightChars="-244"/>
        <w:jc w:val="left"/>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 币种：人民币</w:t>
      </w:r>
    </w:p>
    <w:tbl>
      <w:tblPr>
        <w:tblStyle w:val="22"/>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3312"/>
        <w:gridCol w:w="2112"/>
        <w:gridCol w:w="1809"/>
      </w:tblGrid>
      <w:tr w14:paraId="238E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421" w:type="dxa"/>
            <w:gridSpan w:val="2"/>
            <w:tcBorders>
              <w:top w:val="single" w:color="auto" w:sz="4" w:space="0"/>
              <w:left w:val="single" w:color="auto" w:sz="4" w:space="0"/>
              <w:bottom w:val="single" w:color="auto" w:sz="4" w:space="0"/>
              <w:right w:val="single" w:color="auto" w:sz="4" w:space="0"/>
            </w:tcBorders>
            <w:vAlign w:val="center"/>
          </w:tcPr>
          <w:p w14:paraId="5C0ACC5E">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竞标总价</w:t>
            </w:r>
          </w:p>
        </w:tc>
        <w:tc>
          <w:tcPr>
            <w:tcW w:w="2112" w:type="dxa"/>
            <w:tcBorders>
              <w:top w:val="single" w:color="auto" w:sz="4" w:space="0"/>
              <w:left w:val="single" w:color="auto" w:sz="4" w:space="0"/>
              <w:bottom w:val="single" w:color="auto" w:sz="4" w:space="0"/>
              <w:right w:val="single" w:color="auto" w:sz="4" w:space="0"/>
            </w:tcBorders>
            <w:vAlign w:val="center"/>
          </w:tcPr>
          <w:p w14:paraId="2E1B4C87">
            <w:pPr>
              <w:widowControl/>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1809" w:type="dxa"/>
            <w:tcBorders>
              <w:top w:val="single" w:color="auto" w:sz="4" w:space="0"/>
              <w:left w:val="single" w:color="auto" w:sz="4" w:space="0"/>
              <w:bottom w:val="single" w:color="auto" w:sz="4" w:space="0"/>
              <w:right w:val="single" w:color="auto" w:sz="4" w:space="0"/>
            </w:tcBorders>
            <w:vAlign w:val="center"/>
          </w:tcPr>
          <w:p w14:paraId="0FA4B9D9">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659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09" w:type="dxa"/>
            <w:vMerge w:val="restart"/>
            <w:tcBorders>
              <w:top w:val="nil"/>
              <w:left w:val="single" w:color="auto" w:sz="4" w:space="0"/>
              <w:bottom w:val="single" w:color="auto" w:sz="4" w:space="0"/>
              <w:right w:val="single" w:color="auto" w:sz="4" w:space="0"/>
            </w:tcBorders>
            <w:vAlign w:val="center"/>
          </w:tcPr>
          <w:p w14:paraId="673314D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tc>
        <w:tc>
          <w:tcPr>
            <w:tcW w:w="3312" w:type="dxa"/>
            <w:tcBorders>
              <w:top w:val="single" w:color="auto" w:sz="4" w:space="0"/>
              <w:left w:val="single" w:color="auto" w:sz="4" w:space="0"/>
              <w:bottom w:val="single" w:color="auto" w:sz="4" w:space="0"/>
              <w:right w:val="single" w:color="auto" w:sz="4" w:space="0"/>
            </w:tcBorders>
            <w:vAlign w:val="center"/>
          </w:tcPr>
          <w:p w14:paraId="2F068C6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安全文明施工费</w:t>
            </w:r>
          </w:p>
        </w:tc>
        <w:tc>
          <w:tcPr>
            <w:tcW w:w="2112" w:type="dxa"/>
            <w:tcBorders>
              <w:top w:val="single" w:color="auto" w:sz="4" w:space="0"/>
              <w:left w:val="single" w:color="auto" w:sz="4" w:space="0"/>
              <w:bottom w:val="single" w:color="auto" w:sz="4" w:space="0"/>
              <w:right w:val="single" w:color="auto" w:sz="4" w:space="0"/>
            </w:tcBorders>
            <w:vAlign w:val="center"/>
          </w:tcPr>
          <w:p w14:paraId="71331AF0">
            <w:pPr>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1809" w:type="dxa"/>
            <w:tcBorders>
              <w:top w:val="single" w:color="auto" w:sz="4" w:space="0"/>
              <w:left w:val="single" w:color="auto" w:sz="4" w:space="0"/>
              <w:bottom w:val="single" w:color="auto" w:sz="4" w:space="0"/>
              <w:right w:val="single" w:color="auto" w:sz="4" w:space="0"/>
            </w:tcBorders>
            <w:vAlign w:val="center"/>
          </w:tcPr>
          <w:p w14:paraId="19895858">
            <w:pPr>
              <w:jc w:val="center"/>
              <w:rPr>
                <w:rFonts w:hint="eastAsia" w:ascii="宋体" w:hAnsi="宋体" w:eastAsia="宋体" w:cs="宋体"/>
                <w:color w:val="auto"/>
                <w:sz w:val="24"/>
                <w:highlight w:val="none"/>
              </w:rPr>
            </w:pPr>
          </w:p>
        </w:tc>
      </w:tr>
      <w:tr w14:paraId="0A0F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09" w:type="dxa"/>
            <w:vMerge w:val="continue"/>
            <w:tcBorders>
              <w:top w:val="nil"/>
              <w:left w:val="single" w:color="auto" w:sz="4" w:space="0"/>
              <w:bottom w:val="single" w:color="auto" w:sz="4" w:space="0"/>
              <w:right w:val="single" w:color="auto" w:sz="4" w:space="0"/>
            </w:tcBorders>
            <w:vAlign w:val="center"/>
          </w:tcPr>
          <w:p w14:paraId="5103E7AA">
            <w:pPr>
              <w:widowControl/>
              <w:jc w:val="left"/>
              <w:rPr>
                <w:rFonts w:hint="eastAsia" w:ascii="宋体" w:hAnsi="宋体" w:eastAsia="宋体" w:cs="宋体"/>
                <w:color w:val="auto"/>
                <w:sz w:val="24"/>
                <w:highlight w:val="none"/>
              </w:rPr>
            </w:pPr>
          </w:p>
        </w:tc>
        <w:tc>
          <w:tcPr>
            <w:tcW w:w="3312" w:type="dxa"/>
            <w:tcBorders>
              <w:top w:val="single" w:color="auto" w:sz="4" w:space="0"/>
              <w:left w:val="single" w:color="auto" w:sz="4" w:space="0"/>
              <w:bottom w:val="single" w:color="auto" w:sz="4" w:space="0"/>
              <w:right w:val="single" w:color="auto" w:sz="4" w:space="0"/>
            </w:tcBorders>
            <w:vAlign w:val="center"/>
          </w:tcPr>
          <w:p w14:paraId="1B10FCB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发包人提供材料（设备）暂估价（如有）</w:t>
            </w:r>
          </w:p>
        </w:tc>
        <w:tc>
          <w:tcPr>
            <w:tcW w:w="2112" w:type="dxa"/>
            <w:tcBorders>
              <w:top w:val="single" w:color="auto" w:sz="4" w:space="0"/>
              <w:left w:val="single" w:color="auto" w:sz="4" w:space="0"/>
              <w:bottom w:val="single" w:color="auto" w:sz="4" w:space="0"/>
              <w:right w:val="single" w:color="auto" w:sz="4" w:space="0"/>
            </w:tcBorders>
            <w:vAlign w:val="center"/>
          </w:tcPr>
          <w:p w14:paraId="401DD811">
            <w:pPr>
              <w:widowControl/>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1809" w:type="dxa"/>
            <w:tcBorders>
              <w:top w:val="single" w:color="auto" w:sz="4" w:space="0"/>
              <w:left w:val="single" w:color="auto" w:sz="4" w:space="0"/>
              <w:bottom w:val="single" w:color="auto" w:sz="4" w:space="0"/>
              <w:right w:val="single" w:color="auto" w:sz="4" w:space="0"/>
            </w:tcBorders>
            <w:vAlign w:val="top"/>
          </w:tcPr>
          <w:p w14:paraId="090715D4">
            <w:pPr>
              <w:widowControl/>
              <w:ind w:right="480"/>
              <w:rPr>
                <w:rFonts w:hint="eastAsia" w:ascii="宋体" w:hAnsi="宋体" w:eastAsia="宋体" w:cs="宋体"/>
                <w:color w:val="auto"/>
                <w:sz w:val="24"/>
                <w:highlight w:val="none"/>
              </w:rPr>
            </w:pPr>
          </w:p>
        </w:tc>
      </w:tr>
      <w:tr w14:paraId="6770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09" w:type="dxa"/>
            <w:vMerge w:val="continue"/>
            <w:tcBorders>
              <w:top w:val="nil"/>
              <w:left w:val="single" w:color="auto" w:sz="4" w:space="0"/>
              <w:bottom w:val="single" w:color="auto" w:sz="4" w:space="0"/>
              <w:right w:val="single" w:color="auto" w:sz="4" w:space="0"/>
            </w:tcBorders>
            <w:vAlign w:val="center"/>
          </w:tcPr>
          <w:p w14:paraId="12811512">
            <w:pPr>
              <w:widowControl/>
              <w:jc w:val="left"/>
              <w:rPr>
                <w:rFonts w:hint="eastAsia" w:ascii="宋体" w:hAnsi="宋体" w:eastAsia="宋体" w:cs="宋体"/>
                <w:color w:val="auto"/>
                <w:sz w:val="24"/>
                <w:highlight w:val="none"/>
              </w:rPr>
            </w:pPr>
          </w:p>
        </w:tc>
        <w:tc>
          <w:tcPr>
            <w:tcW w:w="3312" w:type="dxa"/>
            <w:tcBorders>
              <w:top w:val="single" w:color="auto" w:sz="4" w:space="0"/>
              <w:left w:val="single" w:color="auto" w:sz="4" w:space="0"/>
              <w:bottom w:val="single" w:color="auto" w:sz="4" w:space="0"/>
              <w:right w:val="single" w:color="auto" w:sz="4" w:space="0"/>
            </w:tcBorders>
            <w:vAlign w:val="center"/>
          </w:tcPr>
          <w:p w14:paraId="60FEA8E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专业工程暂估价（如有）</w:t>
            </w:r>
          </w:p>
        </w:tc>
        <w:tc>
          <w:tcPr>
            <w:tcW w:w="2112" w:type="dxa"/>
            <w:tcBorders>
              <w:top w:val="single" w:color="auto" w:sz="4" w:space="0"/>
              <w:left w:val="single" w:color="auto" w:sz="4" w:space="0"/>
              <w:bottom w:val="single" w:color="auto" w:sz="4" w:space="0"/>
              <w:right w:val="single" w:color="auto" w:sz="4" w:space="0"/>
            </w:tcBorders>
            <w:vAlign w:val="center"/>
          </w:tcPr>
          <w:p w14:paraId="554EBB10">
            <w:pPr>
              <w:widowControl/>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1809" w:type="dxa"/>
            <w:tcBorders>
              <w:top w:val="single" w:color="auto" w:sz="4" w:space="0"/>
              <w:left w:val="single" w:color="auto" w:sz="4" w:space="0"/>
              <w:bottom w:val="single" w:color="auto" w:sz="4" w:space="0"/>
              <w:right w:val="single" w:color="auto" w:sz="4" w:space="0"/>
            </w:tcBorders>
            <w:vAlign w:val="top"/>
          </w:tcPr>
          <w:p w14:paraId="096BDE00">
            <w:pPr>
              <w:widowControl/>
              <w:ind w:right="480"/>
              <w:rPr>
                <w:rFonts w:hint="eastAsia" w:ascii="宋体" w:hAnsi="宋体" w:eastAsia="宋体" w:cs="宋体"/>
                <w:color w:val="auto"/>
                <w:sz w:val="24"/>
                <w:highlight w:val="none"/>
              </w:rPr>
            </w:pPr>
          </w:p>
        </w:tc>
      </w:tr>
      <w:tr w14:paraId="7DB4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09" w:type="dxa"/>
            <w:vMerge w:val="continue"/>
            <w:tcBorders>
              <w:top w:val="nil"/>
              <w:left w:val="single" w:color="auto" w:sz="4" w:space="0"/>
              <w:bottom w:val="single" w:color="auto" w:sz="4" w:space="0"/>
              <w:right w:val="single" w:color="auto" w:sz="4" w:space="0"/>
            </w:tcBorders>
            <w:vAlign w:val="center"/>
          </w:tcPr>
          <w:p w14:paraId="37FDC8C7">
            <w:pPr>
              <w:widowControl/>
              <w:jc w:val="left"/>
              <w:rPr>
                <w:rFonts w:hint="eastAsia" w:ascii="宋体" w:hAnsi="宋体" w:eastAsia="宋体" w:cs="宋体"/>
                <w:color w:val="auto"/>
                <w:sz w:val="24"/>
                <w:highlight w:val="none"/>
              </w:rPr>
            </w:pPr>
          </w:p>
        </w:tc>
        <w:tc>
          <w:tcPr>
            <w:tcW w:w="3312" w:type="dxa"/>
            <w:tcBorders>
              <w:top w:val="single" w:color="auto" w:sz="4" w:space="0"/>
              <w:left w:val="single" w:color="auto" w:sz="4" w:space="0"/>
              <w:bottom w:val="single" w:color="auto" w:sz="4" w:space="0"/>
              <w:right w:val="single" w:color="auto" w:sz="4" w:space="0"/>
            </w:tcBorders>
            <w:vAlign w:val="center"/>
          </w:tcPr>
          <w:p w14:paraId="5A1DD897">
            <w:pPr>
              <w:widowControl/>
              <w:rPr>
                <w:rFonts w:hint="eastAsia" w:ascii="宋体" w:hAnsi="宋体" w:eastAsia="宋体" w:cs="宋体"/>
                <w:color w:val="auto"/>
                <w:sz w:val="24"/>
                <w:highlight w:val="none"/>
              </w:rPr>
            </w:pPr>
            <w:r>
              <w:rPr>
                <w:rFonts w:hint="eastAsia" w:ascii="宋体" w:hAnsi="宋体" w:eastAsia="宋体" w:cs="宋体"/>
                <w:color w:val="auto"/>
                <w:sz w:val="24"/>
                <w:highlight w:val="none"/>
              </w:rPr>
              <w:t>暂列金额（如有）</w:t>
            </w:r>
          </w:p>
        </w:tc>
        <w:tc>
          <w:tcPr>
            <w:tcW w:w="2112" w:type="dxa"/>
            <w:tcBorders>
              <w:top w:val="single" w:color="auto" w:sz="4" w:space="0"/>
              <w:left w:val="single" w:color="auto" w:sz="4" w:space="0"/>
              <w:bottom w:val="single" w:color="auto" w:sz="4" w:space="0"/>
              <w:right w:val="single" w:color="auto" w:sz="4" w:space="0"/>
            </w:tcBorders>
            <w:vAlign w:val="center"/>
          </w:tcPr>
          <w:p w14:paraId="78EBEF14">
            <w:pPr>
              <w:widowControl/>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1809" w:type="dxa"/>
            <w:tcBorders>
              <w:top w:val="single" w:color="auto" w:sz="4" w:space="0"/>
              <w:left w:val="single" w:color="auto" w:sz="4" w:space="0"/>
              <w:bottom w:val="single" w:color="auto" w:sz="4" w:space="0"/>
              <w:right w:val="single" w:color="auto" w:sz="4" w:space="0"/>
            </w:tcBorders>
            <w:vAlign w:val="top"/>
          </w:tcPr>
          <w:p w14:paraId="4AA49E73">
            <w:pPr>
              <w:widowControl/>
              <w:ind w:right="480"/>
              <w:rPr>
                <w:rFonts w:hint="eastAsia" w:ascii="宋体" w:hAnsi="宋体" w:eastAsia="宋体" w:cs="宋体"/>
                <w:color w:val="auto"/>
                <w:sz w:val="24"/>
                <w:highlight w:val="none"/>
              </w:rPr>
            </w:pPr>
          </w:p>
        </w:tc>
      </w:tr>
      <w:tr w14:paraId="3416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09" w:type="dxa"/>
            <w:vMerge w:val="continue"/>
            <w:tcBorders>
              <w:top w:val="nil"/>
              <w:left w:val="single" w:color="auto" w:sz="4" w:space="0"/>
              <w:bottom w:val="single" w:color="auto" w:sz="4" w:space="0"/>
              <w:right w:val="single" w:color="auto" w:sz="4" w:space="0"/>
            </w:tcBorders>
            <w:vAlign w:val="center"/>
          </w:tcPr>
          <w:p w14:paraId="493A69F9">
            <w:pPr>
              <w:widowControl/>
              <w:jc w:val="left"/>
              <w:rPr>
                <w:rFonts w:hint="eastAsia" w:ascii="宋体" w:hAnsi="宋体" w:eastAsia="宋体" w:cs="宋体"/>
                <w:color w:val="auto"/>
                <w:sz w:val="24"/>
                <w:highlight w:val="none"/>
              </w:rPr>
            </w:pPr>
          </w:p>
        </w:tc>
        <w:tc>
          <w:tcPr>
            <w:tcW w:w="3312" w:type="dxa"/>
            <w:tcBorders>
              <w:top w:val="single" w:color="auto" w:sz="4" w:space="0"/>
              <w:left w:val="single" w:color="auto" w:sz="4" w:space="0"/>
              <w:bottom w:val="single" w:color="auto" w:sz="4" w:space="0"/>
              <w:right w:val="single" w:color="auto" w:sz="4" w:space="0"/>
            </w:tcBorders>
            <w:vAlign w:val="center"/>
          </w:tcPr>
          <w:p w14:paraId="35EA4D81">
            <w:pPr>
              <w:widowControl/>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安全生产责任保险费暂估价</w:t>
            </w:r>
          </w:p>
        </w:tc>
        <w:tc>
          <w:tcPr>
            <w:tcW w:w="2112" w:type="dxa"/>
            <w:tcBorders>
              <w:top w:val="single" w:color="auto" w:sz="4" w:space="0"/>
              <w:left w:val="single" w:color="auto" w:sz="4" w:space="0"/>
              <w:bottom w:val="single" w:color="auto" w:sz="4" w:space="0"/>
              <w:right w:val="single" w:color="auto" w:sz="4" w:space="0"/>
            </w:tcBorders>
            <w:vAlign w:val="center"/>
          </w:tcPr>
          <w:p w14:paraId="0C30405A">
            <w:pPr>
              <w:widowControl/>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1809" w:type="dxa"/>
            <w:tcBorders>
              <w:top w:val="single" w:color="auto" w:sz="4" w:space="0"/>
              <w:left w:val="single" w:color="auto" w:sz="4" w:space="0"/>
              <w:bottom w:val="single" w:color="auto" w:sz="4" w:space="0"/>
              <w:right w:val="single" w:color="auto" w:sz="4" w:space="0"/>
            </w:tcBorders>
            <w:vAlign w:val="top"/>
          </w:tcPr>
          <w:p w14:paraId="7E1AC663">
            <w:pPr>
              <w:widowControl/>
              <w:ind w:right="480"/>
              <w:rPr>
                <w:rFonts w:hint="eastAsia" w:ascii="宋体" w:hAnsi="宋体" w:eastAsia="宋体" w:cs="宋体"/>
                <w:color w:val="auto"/>
                <w:sz w:val="24"/>
                <w:highlight w:val="none"/>
              </w:rPr>
            </w:pPr>
          </w:p>
        </w:tc>
      </w:tr>
      <w:tr w14:paraId="1D89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09" w:type="dxa"/>
            <w:vMerge w:val="restart"/>
            <w:tcBorders>
              <w:top w:val="nil"/>
              <w:left w:val="single" w:color="auto" w:sz="4" w:space="0"/>
              <w:bottom w:val="single" w:color="auto" w:sz="4" w:space="0"/>
              <w:right w:val="single" w:color="auto" w:sz="4" w:space="0"/>
            </w:tcBorders>
            <w:vAlign w:val="center"/>
          </w:tcPr>
          <w:p w14:paraId="7E4BD175">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主要材料</w:t>
            </w:r>
          </w:p>
        </w:tc>
        <w:tc>
          <w:tcPr>
            <w:tcW w:w="3312" w:type="dxa"/>
            <w:tcBorders>
              <w:top w:val="single" w:color="auto" w:sz="4" w:space="0"/>
              <w:left w:val="single" w:color="auto" w:sz="4" w:space="0"/>
              <w:bottom w:val="single" w:color="auto" w:sz="4" w:space="0"/>
              <w:right w:val="single" w:color="auto" w:sz="4" w:space="0"/>
            </w:tcBorders>
            <w:vAlign w:val="center"/>
          </w:tcPr>
          <w:p w14:paraId="2BB7EEE0">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钢筋</w:t>
            </w:r>
          </w:p>
        </w:tc>
        <w:tc>
          <w:tcPr>
            <w:tcW w:w="2112" w:type="dxa"/>
            <w:tcBorders>
              <w:top w:val="single" w:color="auto" w:sz="4" w:space="0"/>
              <w:left w:val="single" w:color="auto" w:sz="4" w:space="0"/>
              <w:bottom w:val="single" w:color="auto" w:sz="4" w:space="0"/>
              <w:right w:val="single" w:color="auto" w:sz="4" w:space="0"/>
            </w:tcBorders>
            <w:vAlign w:val="center"/>
          </w:tcPr>
          <w:p w14:paraId="2CAD797C">
            <w:pPr>
              <w:widowControl/>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吨</w:t>
            </w:r>
          </w:p>
        </w:tc>
        <w:tc>
          <w:tcPr>
            <w:tcW w:w="1809" w:type="dxa"/>
            <w:tcBorders>
              <w:top w:val="single" w:color="auto" w:sz="4" w:space="0"/>
              <w:left w:val="single" w:color="auto" w:sz="4" w:space="0"/>
              <w:bottom w:val="single" w:color="auto" w:sz="4" w:space="0"/>
              <w:right w:val="single" w:color="auto" w:sz="4" w:space="0"/>
            </w:tcBorders>
            <w:vAlign w:val="top"/>
          </w:tcPr>
          <w:p w14:paraId="4C62E4FE">
            <w:pPr>
              <w:widowControl/>
              <w:jc w:val="right"/>
              <w:rPr>
                <w:rFonts w:hint="eastAsia" w:ascii="宋体" w:hAnsi="宋体" w:eastAsia="宋体" w:cs="宋体"/>
                <w:color w:val="auto"/>
                <w:sz w:val="24"/>
                <w:highlight w:val="none"/>
              </w:rPr>
            </w:pPr>
          </w:p>
        </w:tc>
      </w:tr>
      <w:tr w14:paraId="2961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09" w:type="dxa"/>
            <w:vMerge w:val="continue"/>
            <w:tcBorders>
              <w:top w:val="nil"/>
              <w:left w:val="single" w:color="auto" w:sz="4" w:space="0"/>
              <w:bottom w:val="single" w:color="auto" w:sz="4" w:space="0"/>
              <w:right w:val="single" w:color="auto" w:sz="4" w:space="0"/>
            </w:tcBorders>
            <w:vAlign w:val="center"/>
          </w:tcPr>
          <w:p w14:paraId="48B82608">
            <w:pPr>
              <w:widowControl/>
              <w:jc w:val="left"/>
              <w:rPr>
                <w:rFonts w:hint="eastAsia" w:ascii="宋体" w:hAnsi="宋体" w:eastAsia="宋体" w:cs="宋体"/>
                <w:color w:val="auto"/>
                <w:sz w:val="24"/>
                <w:highlight w:val="none"/>
              </w:rPr>
            </w:pPr>
          </w:p>
        </w:tc>
        <w:tc>
          <w:tcPr>
            <w:tcW w:w="3312" w:type="dxa"/>
            <w:tcBorders>
              <w:top w:val="single" w:color="auto" w:sz="4" w:space="0"/>
              <w:left w:val="single" w:color="auto" w:sz="4" w:space="0"/>
              <w:bottom w:val="single" w:color="auto" w:sz="4" w:space="0"/>
              <w:right w:val="single" w:color="auto" w:sz="4" w:space="0"/>
            </w:tcBorders>
            <w:vAlign w:val="center"/>
          </w:tcPr>
          <w:p w14:paraId="4CAD22BB">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水泥（不含商品混凝土用量）</w:t>
            </w:r>
          </w:p>
        </w:tc>
        <w:tc>
          <w:tcPr>
            <w:tcW w:w="2112" w:type="dxa"/>
            <w:tcBorders>
              <w:top w:val="single" w:color="auto" w:sz="4" w:space="0"/>
              <w:left w:val="single" w:color="auto" w:sz="4" w:space="0"/>
              <w:bottom w:val="single" w:color="auto" w:sz="4" w:space="0"/>
              <w:right w:val="single" w:color="auto" w:sz="4" w:space="0"/>
            </w:tcBorders>
            <w:vAlign w:val="center"/>
          </w:tcPr>
          <w:p w14:paraId="514B2E39">
            <w:pPr>
              <w:widowControl/>
              <w:tabs>
                <w:tab w:val="left" w:pos="2398"/>
              </w:tabs>
              <w:ind w:right="18"/>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吨</w:t>
            </w:r>
          </w:p>
        </w:tc>
        <w:tc>
          <w:tcPr>
            <w:tcW w:w="1809" w:type="dxa"/>
            <w:tcBorders>
              <w:top w:val="single" w:color="auto" w:sz="4" w:space="0"/>
              <w:left w:val="single" w:color="auto" w:sz="4" w:space="0"/>
              <w:bottom w:val="single" w:color="auto" w:sz="4" w:space="0"/>
              <w:right w:val="single" w:color="auto" w:sz="4" w:space="0"/>
            </w:tcBorders>
            <w:vAlign w:val="top"/>
          </w:tcPr>
          <w:p w14:paraId="0302E385">
            <w:pPr>
              <w:widowControl/>
              <w:jc w:val="right"/>
              <w:rPr>
                <w:rFonts w:hint="eastAsia" w:ascii="宋体" w:hAnsi="宋体" w:eastAsia="宋体" w:cs="宋体"/>
                <w:color w:val="auto"/>
                <w:sz w:val="24"/>
                <w:highlight w:val="none"/>
              </w:rPr>
            </w:pPr>
          </w:p>
        </w:tc>
      </w:tr>
      <w:tr w14:paraId="6335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109" w:type="dxa"/>
            <w:vMerge w:val="continue"/>
            <w:tcBorders>
              <w:top w:val="nil"/>
              <w:left w:val="single" w:color="auto" w:sz="4" w:space="0"/>
              <w:bottom w:val="single" w:color="auto" w:sz="4" w:space="0"/>
              <w:right w:val="single" w:color="auto" w:sz="4" w:space="0"/>
            </w:tcBorders>
            <w:vAlign w:val="center"/>
          </w:tcPr>
          <w:p w14:paraId="28D5EB37">
            <w:pPr>
              <w:widowControl/>
              <w:jc w:val="left"/>
              <w:rPr>
                <w:rFonts w:hint="eastAsia" w:ascii="宋体" w:hAnsi="宋体" w:eastAsia="宋体" w:cs="宋体"/>
                <w:color w:val="auto"/>
                <w:sz w:val="24"/>
                <w:highlight w:val="none"/>
              </w:rPr>
            </w:pPr>
          </w:p>
        </w:tc>
        <w:tc>
          <w:tcPr>
            <w:tcW w:w="3312" w:type="dxa"/>
            <w:tcBorders>
              <w:top w:val="single" w:color="auto" w:sz="4" w:space="0"/>
              <w:left w:val="single" w:color="auto" w:sz="4" w:space="0"/>
              <w:bottom w:val="single" w:color="auto" w:sz="4" w:space="0"/>
              <w:right w:val="single" w:color="auto" w:sz="4" w:space="0"/>
            </w:tcBorders>
            <w:vAlign w:val="center"/>
          </w:tcPr>
          <w:p w14:paraId="5F826939">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商品混凝土</w:t>
            </w:r>
          </w:p>
        </w:tc>
        <w:tc>
          <w:tcPr>
            <w:tcW w:w="2112" w:type="dxa"/>
            <w:tcBorders>
              <w:top w:val="single" w:color="auto" w:sz="4" w:space="0"/>
              <w:left w:val="single" w:color="auto" w:sz="4" w:space="0"/>
              <w:bottom w:val="single" w:color="auto" w:sz="4" w:space="0"/>
              <w:right w:val="single" w:color="auto" w:sz="4" w:space="0"/>
            </w:tcBorders>
            <w:vAlign w:val="center"/>
          </w:tcPr>
          <w:p w14:paraId="6E1FFC6D">
            <w:pPr>
              <w:widowControl/>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3</w:t>
            </w:r>
          </w:p>
        </w:tc>
        <w:tc>
          <w:tcPr>
            <w:tcW w:w="1809" w:type="dxa"/>
            <w:tcBorders>
              <w:top w:val="single" w:color="auto" w:sz="4" w:space="0"/>
              <w:left w:val="single" w:color="auto" w:sz="4" w:space="0"/>
              <w:bottom w:val="single" w:color="auto" w:sz="4" w:space="0"/>
              <w:right w:val="single" w:color="auto" w:sz="4" w:space="0"/>
            </w:tcBorders>
            <w:vAlign w:val="top"/>
          </w:tcPr>
          <w:p w14:paraId="13FE29F9">
            <w:pPr>
              <w:widowControl/>
              <w:jc w:val="right"/>
              <w:rPr>
                <w:rFonts w:hint="eastAsia" w:ascii="宋体" w:hAnsi="宋体" w:eastAsia="宋体" w:cs="宋体"/>
                <w:color w:val="auto"/>
                <w:sz w:val="24"/>
                <w:highlight w:val="none"/>
              </w:rPr>
            </w:pPr>
          </w:p>
        </w:tc>
      </w:tr>
    </w:tbl>
    <w:p w14:paraId="0A95DE0B">
      <w:pPr>
        <w:spacing w:line="360" w:lineRule="auto"/>
        <w:contextualSpacing/>
        <w:rPr>
          <w:rFonts w:hint="eastAsia" w:ascii="宋体" w:hAnsi="宋体" w:eastAsia="宋体" w:cs="宋体"/>
          <w:color w:val="auto"/>
          <w:sz w:val="24"/>
          <w:highlight w:val="none"/>
        </w:rPr>
      </w:pPr>
    </w:p>
    <w:p w14:paraId="2DE41E42">
      <w:pPr>
        <w:spacing w:line="360" w:lineRule="auto"/>
        <w:contextualSpacing/>
        <w:rPr>
          <w:rFonts w:hint="eastAsia" w:ascii="宋体" w:hAnsi="宋体" w:eastAsia="宋体" w:cs="宋体"/>
          <w:color w:val="auto"/>
          <w:sz w:val="24"/>
          <w:highlight w:val="none"/>
        </w:rPr>
      </w:pPr>
      <w:r>
        <w:rPr>
          <w:rFonts w:hint="eastAsia" w:ascii="宋体" w:hAnsi="宋体" w:eastAsia="宋体" w:cs="宋体"/>
          <w:b/>
          <w:color w:val="auto"/>
          <w:sz w:val="24"/>
          <w:highlight w:val="none"/>
        </w:rPr>
        <w:t>提醒：根据(桂建价(2024)2号)《自治区住房城乡建设厅关于进一步明确广西壮族自治区房屋建筑和市政基础设施工程安全生产责任保险费计价规定的通知》的要求，本工程安全生产责任保险费暂估价不可调整。供应商提供已标价的工程量不能调整或改变该金额。</w:t>
      </w:r>
    </w:p>
    <w:p w14:paraId="3BC55086">
      <w:pPr>
        <w:spacing w:line="360" w:lineRule="auto"/>
        <w:contextualSpacing/>
        <w:jc w:val="left"/>
        <w:rPr>
          <w:rFonts w:hint="eastAsia" w:ascii="宋体" w:hAnsi="宋体" w:eastAsia="宋体" w:cs="宋体"/>
          <w:color w:val="auto"/>
          <w:sz w:val="24"/>
          <w:highlight w:val="none"/>
        </w:rPr>
      </w:pPr>
    </w:p>
    <w:p w14:paraId="1295A3D6">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AD6407F">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供应商的报价表必须加盖供应商电子签章并由法定代表人或者委托代理人签字或者电子签名，</w:t>
      </w:r>
      <w:r>
        <w:rPr>
          <w:rFonts w:hint="eastAsia" w:ascii="宋体" w:hAnsi="宋体" w:eastAsia="宋体" w:cs="宋体"/>
          <w:b/>
          <w:color w:val="auto"/>
          <w:sz w:val="24"/>
          <w:highlight w:val="none"/>
        </w:rPr>
        <w:t>否则其响应文件按无效处理</w:t>
      </w:r>
      <w:r>
        <w:rPr>
          <w:rFonts w:hint="eastAsia" w:ascii="宋体" w:hAnsi="宋体" w:eastAsia="宋体" w:cs="宋体"/>
          <w:color w:val="auto"/>
          <w:sz w:val="24"/>
          <w:highlight w:val="none"/>
        </w:rPr>
        <w:t>。</w:t>
      </w:r>
    </w:p>
    <w:p w14:paraId="649D34D4">
      <w:pPr>
        <w:spacing w:line="360" w:lineRule="auto"/>
        <w:ind w:firstLine="480" w:firstLineChars="200"/>
        <w:contextualSpacing/>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sz w:val="24"/>
          <w:highlight w:val="none"/>
        </w:rPr>
        <w:t xml:space="preserve"> 报价一经涂改，应在涂改处加盖供应商公章或者加盖电子签章或者由法定代表人或者授权委托人签字（或者电子签名）</w:t>
      </w:r>
      <w:r>
        <w:rPr>
          <w:rFonts w:hint="eastAsia" w:ascii="宋体" w:hAnsi="宋体" w:eastAsia="宋体" w:cs="宋体"/>
          <w:b/>
          <w:color w:val="auto"/>
          <w:sz w:val="24"/>
          <w:highlight w:val="none"/>
        </w:rPr>
        <w:t>，否则其响应文件按无效处理。</w:t>
      </w:r>
    </w:p>
    <w:p w14:paraId="5EE7EA6F">
      <w:pPr>
        <w:spacing w:line="360" w:lineRule="auto"/>
        <w:ind w:firstLine="480" w:firstLineChars="200"/>
        <w:contextualSpacing/>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3.如为联合体竞标，“供应商名称”处必须列明联合体各方名称，标注联合体牵头人名称，</w:t>
      </w:r>
      <w:r>
        <w:rPr>
          <w:rFonts w:hint="eastAsia" w:ascii="宋体" w:hAnsi="宋体" w:eastAsia="宋体" w:cs="宋体"/>
          <w:b/>
          <w:color w:val="auto"/>
          <w:sz w:val="24"/>
          <w:highlight w:val="none"/>
        </w:rPr>
        <w:t>否则其响应文件按无效处理。</w:t>
      </w:r>
    </w:p>
    <w:p w14:paraId="573492DB">
      <w:pPr>
        <w:spacing w:line="360" w:lineRule="auto"/>
        <w:ind w:firstLine="480" w:firstLineChars="200"/>
        <w:contextualSpacing/>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4. 如为联合体竞标，</w:t>
      </w:r>
      <w:r>
        <w:rPr>
          <w:rFonts w:hint="eastAsia" w:ascii="宋体" w:hAnsi="宋体" w:eastAsia="宋体" w:cs="宋体"/>
          <w:color w:val="auto"/>
          <w:spacing w:val="-6"/>
          <w:sz w:val="24"/>
          <w:highlight w:val="none"/>
        </w:rPr>
        <w:t xml:space="preserve"> 盖章处须加盖联合体牵头人电子签章</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否则其响应文件按无效处理。</w:t>
      </w:r>
    </w:p>
    <w:p w14:paraId="7769D3B7">
      <w:pPr>
        <w:spacing w:line="360" w:lineRule="auto"/>
        <w:ind w:firstLine="482" w:firstLineChars="200"/>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5.保留小数点的两位。</w:t>
      </w:r>
    </w:p>
    <w:p w14:paraId="7929DEE2">
      <w:pPr>
        <w:spacing w:line="360" w:lineRule="auto"/>
        <w:ind w:firstLine="480" w:firstLineChars="200"/>
        <w:contextualSpacing/>
        <w:jc w:val="left"/>
        <w:rPr>
          <w:rFonts w:hint="eastAsia" w:ascii="宋体" w:hAnsi="宋体" w:eastAsia="宋体" w:cs="宋体"/>
          <w:color w:val="auto"/>
          <w:sz w:val="24"/>
          <w:highlight w:val="none"/>
        </w:rPr>
      </w:pPr>
    </w:p>
    <w:p w14:paraId="1154CB07">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4B4E06F0">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63AABB97">
      <w:pPr>
        <w:spacing w:line="360" w:lineRule="auto"/>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0260A44">
      <w:pPr>
        <w:shd w:val="clear" w:color="auto" w:fill="FFFFFF"/>
        <w:spacing w:after="96" w:afterLines="30"/>
        <w:ind w:firstLine="482" w:firstLineChars="200"/>
        <w:rPr>
          <w:rFonts w:hint="eastAsia" w:ascii="宋体" w:hAnsi="宋体" w:cs="宋体"/>
          <w:b/>
          <w:bCs/>
          <w:color w:val="auto"/>
          <w:sz w:val="24"/>
          <w:szCs w:val="24"/>
          <w:highlight w:val="none"/>
          <w:lang w:val="en-US" w:eastAsia="zh-CN"/>
        </w:rPr>
      </w:pPr>
    </w:p>
    <w:p w14:paraId="267B5320">
      <w:pPr>
        <w:shd w:val="clear" w:color="auto" w:fill="FFFFFF"/>
        <w:spacing w:after="96" w:afterLines="30"/>
        <w:ind w:firstLine="482" w:firstLineChars="200"/>
        <w:rPr>
          <w:rFonts w:hint="eastAsia" w:ascii="宋体" w:hAnsi="宋体" w:cs="宋体"/>
          <w:b/>
          <w:bCs/>
          <w:color w:val="auto"/>
          <w:sz w:val="24"/>
          <w:szCs w:val="24"/>
          <w:highlight w:val="none"/>
          <w:lang w:val="en-US" w:eastAsia="zh-CN"/>
        </w:rPr>
      </w:pPr>
    </w:p>
    <w:p w14:paraId="137FE67B">
      <w:pPr>
        <w:shd w:val="clear" w:color="auto" w:fill="FFFFFF"/>
        <w:spacing w:after="96" w:afterLines="30"/>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除</w:t>
      </w:r>
      <w:r>
        <w:rPr>
          <w:rFonts w:hint="eastAsia" w:ascii="宋体" w:hAnsi="宋体" w:cs="宋体"/>
          <w:b/>
          <w:bCs/>
          <w:color w:val="auto"/>
          <w:sz w:val="24"/>
          <w:szCs w:val="24"/>
          <w:highlight w:val="none"/>
          <w:lang w:val="en-US" w:eastAsia="zh-CN"/>
        </w:rPr>
        <w:t>竞争性</w:t>
      </w:r>
      <w:r>
        <w:rPr>
          <w:rFonts w:hint="eastAsia" w:ascii="宋体" w:hAnsi="宋体" w:eastAsia="宋体" w:cs="宋体"/>
          <w:b/>
          <w:bCs/>
          <w:color w:val="auto"/>
          <w:sz w:val="24"/>
          <w:szCs w:val="24"/>
          <w:highlight w:val="none"/>
        </w:rPr>
        <w:t>磋商文件规定必须提供以外，供应商认为需要提供的</w:t>
      </w:r>
      <w:r>
        <w:rPr>
          <w:rFonts w:hint="eastAsia" w:ascii="宋体" w:hAnsi="宋体" w:eastAsia="宋体" w:cs="宋体"/>
          <w:b/>
          <w:bCs/>
          <w:color w:val="auto"/>
          <w:sz w:val="24"/>
          <w:szCs w:val="24"/>
          <w:highlight w:val="none"/>
          <w:lang w:eastAsia="zh-CN"/>
        </w:rPr>
        <w:t>其他</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eastAsia="zh-CN"/>
        </w:rPr>
        <w:t>。</w:t>
      </w:r>
    </w:p>
    <w:p w14:paraId="4F0F2767">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0C0ACF45">
      <w:pPr>
        <w:spacing w:line="480" w:lineRule="auto"/>
        <w:jc w:val="both"/>
        <w:rPr>
          <w:rFonts w:hint="eastAsia" w:ascii="宋体" w:hAnsi="宋体" w:eastAsia="宋体" w:cs="宋体"/>
          <w:b/>
          <w:bCs/>
          <w:color w:val="auto"/>
          <w:sz w:val="48"/>
          <w:szCs w:val="48"/>
          <w:highlight w:val="none"/>
        </w:rPr>
      </w:pPr>
    </w:p>
    <w:p w14:paraId="79E1793E">
      <w:pPr>
        <w:spacing w:line="480" w:lineRule="auto"/>
        <w:jc w:val="both"/>
        <w:rPr>
          <w:rFonts w:hint="eastAsia" w:ascii="宋体" w:hAnsi="宋体" w:eastAsia="宋体" w:cs="宋体"/>
          <w:b/>
          <w:bCs/>
          <w:color w:val="auto"/>
          <w:sz w:val="48"/>
          <w:szCs w:val="48"/>
          <w:highlight w:val="none"/>
        </w:rPr>
      </w:pPr>
    </w:p>
    <w:p w14:paraId="6482D0C7">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5B1ECFDF">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56CF1C54">
      <w:pPr>
        <w:spacing w:line="480" w:lineRule="auto"/>
        <w:ind w:left="361" w:leftChars="172" w:firstLine="964" w:firstLineChars="200"/>
        <w:jc w:val="center"/>
        <w:rPr>
          <w:rFonts w:hint="eastAsia" w:ascii="宋体" w:hAnsi="宋体" w:eastAsia="宋体" w:cs="宋体"/>
          <w:b/>
          <w:bCs/>
          <w:color w:val="auto"/>
          <w:sz w:val="48"/>
          <w:szCs w:val="48"/>
          <w:highlight w:val="none"/>
        </w:rPr>
      </w:pPr>
    </w:p>
    <w:p w14:paraId="41C5ACB4">
      <w:pPr>
        <w:spacing w:line="240" w:lineRule="auto"/>
        <w:ind w:left="0" w:leftChars="0" w:firstLine="964" w:firstLineChars="200"/>
        <w:jc w:val="left"/>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71E76C2">
      <w:pPr>
        <w:spacing w:line="480" w:lineRule="auto"/>
        <w:ind w:left="361" w:leftChars="172" w:firstLine="964" w:firstLineChars="20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响应文件</w:t>
      </w:r>
    </w:p>
    <w:p w14:paraId="2A1E0022">
      <w:pPr>
        <w:spacing w:line="480" w:lineRule="auto"/>
        <w:ind w:left="361" w:leftChars="172" w:firstLine="723" w:firstLineChars="200"/>
        <w:jc w:val="center"/>
        <w:rPr>
          <w:rFonts w:hint="eastAsia" w:ascii="宋体" w:hAnsi="宋体" w:eastAsia="宋体" w:cs="宋体"/>
          <w:b/>
          <w:bCs/>
          <w:color w:val="auto"/>
          <w:sz w:val="36"/>
          <w:szCs w:val="36"/>
          <w:highlight w:val="none"/>
        </w:rPr>
      </w:pPr>
    </w:p>
    <w:p w14:paraId="74707CA8">
      <w:pPr>
        <w:spacing w:line="480" w:lineRule="auto"/>
        <w:ind w:left="361" w:leftChars="172" w:firstLine="723" w:firstLineChars="200"/>
        <w:jc w:val="center"/>
        <w:rPr>
          <w:rFonts w:hint="eastAsia" w:ascii="宋体" w:hAnsi="宋体" w:eastAsia="宋体" w:cs="宋体"/>
          <w:b/>
          <w:bCs/>
          <w:color w:val="auto"/>
          <w:sz w:val="36"/>
          <w:szCs w:val="36"/>
          <w:highlight w:val="none"/>
        </w:rPr>
      </w:pPr>
    </w:p>
    <w:p w14:paraId="46A0AD48">
      <w:pPr>
        <w:spacing w:line="480" w:lineRule="auto"/>
        <w:ind w:left="361" w:leftChars="172" w:firstLine="723" w:firstLineChars="200"/>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商务</w:t>
      </w:r>
      <w:r>
        <w:rPr>
          <w:rFonts w:hint="eastAsia" w:ascii="宋体" w:hAnsi="宋体" w:eastAsia="宋体" w:cs="宋体"/>
          <w:b/>
          <w:bCs/>
          <w:color w:val="auto"/>
          <w:sz w:val="36"/>
          <w:szCs w:val="36"/>
          <w:highlight w:val="none"/>
        </w:rPr>
        <w:t>技术</w:t>
      </w:r>
      <w:r>
        <w:rPr>
          <w:rFonts w:hint="eastAsia" w:ascii="宋体" w:hAnsi="宋体" w:cs="宋体"/>
          <w:b/>
          <w:bCs/>
          <w:color w:val="auto"/>
          <w:sz w:val="36"/>
          <w:szCs w:val="36"/>
          <w:highlight w:val="none"/>
          <w:lang w:val="en-US" w:eastAsia="zh-CN"/>
        </w:rPr>
        <w:t>标文件</w:t>
      </w:r>
    </w:p>
    <w:p w14:paraId="44F32FA5">
      <w:pPr>
        <w:pStyle w:val="12"/>
        <w:spacing w:line="480" w:lineRule="auto"/>
        <w:ind w:firstLine="600" w:firstLineChars="200"/>
        <w:rPr>
          <w:rFonts w:hint="eastAsia" w:ascii="宋体" w:hAnsi="宋体" w:eastAsia="宋体" w:cs="宋体"/>
          <w:color w:val="auto"/>
          <w:sz w:val="30"/>
          <w:szCs w:val="30"/>
          <w:highlight w:val="none"/>
        </w:rPr>
      </w:pPr>
    </w:p>
    <w:p w14:paraId="33DE47DA">
      <w:pPr>
        <w:pStyle w:val="12"/>
        <w:spacing w:line="480" w:lineRule="auto"/>
        <w:ind w:firstLine="600" w:firstLineChars="200"/>
        <w:rPr>
          <w:rFonts w:hint="eastAsia" w:ascii="宋体" w:hAnsi="宋体" w:eastAsia="宋体" w:cs="宋体"/>
          <w:color w:val="auto"/>
          <w:sz w:val="30"/>
          <w:szCs w:val="30"/>
          <w:highlight w:val="none"/>
        </w:rPr>
      </w:pPr>
    </w:p>
    <w:p w14:paraId="788238C3">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0EEF36D0">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7699A61">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供应商名称：</w:t>
      </w:r>
    </w:p>
    <w:p w14:paraId="243D1965">
      <w:pPr>
        <w:pStyle w:val="12"/>
        <w:spacing w:line="48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      年   月   日</w:t>
      </w:r>
    </w:p>
    <w:p w14:paraId="6F8B9247">
      <w:pPr>
        <w:shd w:val="clear" w:color="auto" w:fill="FFFFFF"/>
        <w:spacing w:line="440" w:lineRule="exact"/>
        <w:jc w:val="both"/>
        <w:rPr>
          <w:rFonts w:hint="eastAsia" w:ascii="宋体" w:hAnsi="宋体" w:eastAsia="宋体" w:cs="宋体"/>
          <w:b/>
          <w:bCs/>
          <w:color w:val="auto"/>
          <w:sz w:val="24"/>
          <w:szCs w:val="24"/>
          <w:highlight w:val="none"/>
        </w:rPr>
        <w:sectPr>
          <w:pgSz w:w="11906" w:h="16838"/>
          <w:pgMar w:top="1020" w:right="1191" w:bottom="1021" w:left="1304" w:header="1247" w:footer="850" w:gutter="0"/>
          <w:pgNumType w:fmt="decimal"/>
          <w:cols w:space="720" w:num="1"/>
          <w:docGrid w:type="lines" w:linePitch="320" w:charSpace="0"/>
        </w:sectPr>
      </w:pPr>
      <w:bookmarkStart w:id="1194" w:name="_Toc424307492"/>
      <w:bookmarkStart w:id="1195" w:name="_Toc424307764"/>
    </w:p>
    <w:bookmarkEnd w:id="1194"/>
    <w:bookmarkEnd w:id="1195"/>
    <w:p w14:paraId="05E834CA">
      <w:pPr>
        <w:numPr>
          <w:ilvl w:val="-1"/>
          <w:numId w:val="0"/>
        </w:numPr>
        <w:shd w:val="clear" w:color="auto" w:fill="FFFFFF"/>
        <w:spacing w:after="96" w:afterLines="30"/>
        <w:ind w:firstLine="482" w:firstLineChars="200"/>
        <w:rPr>
          <w:rFonts w:hint="eastAsia" w:ascii="宋体" w:hAnsi="宋体" w:eastAsia="宋体" w:cs="宋体"/>
          <w:b/>
          <w:bCs/>
          <w:color w:val="auto"/>
          <w:sz w:val="24"/>
          <w:szCs w:val="24"/>
          <w:highlight w:val="none"/>
          <w:lang w:val="en-US" w:eastAsia="zh-CN"/>
        </w:rPr>
      </w:pPr>
      <w:bookmarkStart w:id="1196" w:name="_Toc424307769"/>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农民工工资保障承诺书（格式自拟）</w:t>
      </w:r>
    </w:p>
    <w:p w14:paraId="7640D75C">
      <w:pPr>
        <w:spacing w:line="400" w:lineRule="exact"/>
        <w:rPr>
          <w:rFonts w:hint="eastAsia" w:ascii="宋体" w:hAnsi="宋体" w:cs="宋体"/>
          <w:b/>
          <w:bCs/>
          <w:color w:val="auto"/>
          <w:sz w:val="24"/>
          <w:szCs w:val="24"/>
          <w:highlight w:val="none"/>
          <w:lang w:val="en-US" w:eastAsia="zh-CN"/>
        </w:rPr>
      </w:pPr>
    </w:p>
    <w:p w14:paraId="72085FC9">
      <w:pPr>
        <w:spacing w:line="400" w:lineRule="exact"/>
        <w:ind w:firstLine="482" w:firstLineChars="200"/>
        <w:rPr>
          <w:rFonts w:hint="eastAsia" w:ascii="宋体" w:hAnsi="宋体" w:eastAsia="宋体" w:cs="宋体"/>
          <w:b/>
          <w:bCs w:val="0"/>
          <w:color w:val="auto"/>
          <w:spacing w:val="0"/>
          <w:kern w:val="2"/>
          <w:sz w:val="24"/>
          <w:szCs w:val="24"/>
          <w:highlight w:val="none"/>
          <w:lang w:val="en-US" w:eastAsia="zh-CN" w:bidi="ar-SA"/>
        </w:rPr>
      </w:pPr>
      <w:r>
        <w:rPr>
          <w:rFonts w:hint="eastAsia" w:ascii="宋体" w:hAnsi="宋体" w:cs="宋体"/>
          <w:b/>
          <w:bCs/>
          <w:color w:val="auto"/>
          <w:sz w:val="24"/>
          <w:szCs w:val="24"/>
          <w:highlight w:val="none"/>
          <w:lang w:val="en-US" w:eastAsia="zh-CN"/>
        </w:rPr>
        <w:t>2.</w:t>
      </w:r>
      <w:r>
        <w:rPr>
          <w:rFonts w:hint="eastAsia" w:ascii="宋体" w:hAnsi="宋体" w:eastAsia="宋体" w:cs="宋体"/>
          <w:b/>
          <w:bCs w:val="0"/>
          <w:color w:val="auto"/>
          <w:spacing w:val="0"/>
          <w:kern w:val="2"/>
          <w:sz w:val="24"/>
          <w:szCs w:val="24"/>
          <w:highlight w:val="none"/>
          <w:lang w:val="en-US" w:eastAsia="zh-CN" w:bidi="ar-SA"/>
        </w:rPr>
        <w:t>磋商函附录</w:t>
      </w:r>
    </w:p>
    <w:p w14:paraId="68E7D48E">
      <w:pPr>
        <w:shd w:val="clear" w:color="auto" w:fill="FFFFFF"/>
        <w:spacing w:after="96" w:afterLines="30"/>
        <w:ind w:firstLine="420" w:firstLineChars="200"/>
        <w:rPr>
          <w:rFonts w:hint="eastAsia" w:ascii="宋体" w:hAnsi="宋体" w:eastAsia="宋体" w:cs="宋体"/>
          <w:color w:val="auto"/>
          <w:szCs w:val="21"/>
          <w:highlight w:val="none"/>
        </w:rPr>
      </w:pPr>
    </w:p>
    <w:p w14:paraId="2A158396">
      <w:pPr>
        <w:shd w:val="clear" w:color="auto" w:fill="FFFFFF"/>
        <w:spacing w:after="96" w:afterLines="3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工程名称：</w:t>
      </w:r>
      <w:r>
        <w:rPr>
          <w:rFonts w:hint="eastAsia" w:ascii="宋体" w:hAnsi="宋体" w:eastAsia="宋体" w:cs="宋体"/>
          <w:color w:val="auto"/>
          <w:szCs w:val="21"/>
          <w:highlight w:val="none"/>
          <w:u w:val="single"/>
        </w:rPr>
        <w:t xml:space="preserve">                                            </w:t>
      </w:r>
    </w:p>
    <w:tbl>
      <w:tblPr>
        <w:tblStyle w:val="2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143"/>
        <w:gridCol w:w="2295"/>
        <w:gridCol w:w="2142"/>
        <w:gridCol w:w="1989"/>
      </w:tblGrid>
      <w:tr w14:paraId="3772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5B29BEF8">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 号</w:t>
            </w:r>
          </w:p>
        </w:tc>
        <w:tc>
          <w:tcPr>
            <w:tcW w:w="2143" w:type="dxa"/>
            <w:vAlign w:val="center"/>
          </w:tcPr>
          <w:p w14:paraId="23E19A13">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条款内容</w:t>
            </w:r>
          </w:p>
        </w:tc>
        <w:tc>
          <w:tcPr>
            <w:tcW w:w="2295" w:type="dxa"/>
            <w:vAlign w:val="center"/>
          </w:tcPr>
          <w:p w14:paraId="17196296">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合同条款号</w:t>
            </w:r>
          </w:p>
        </w:tc>
        <w:tc>
          <w:tcPr>
            <w:tcW w:w="2142" w:type="dxa"/>
            <w:vAlign w:val="center"/>
          </w:tcPr>
          <w:p w14:paraId="330B0B58">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约定内容</w:t>
            </w:r>
          </w:p>
        </w:tc>
        <w:tc>
          <w:tcPr>
            <w:tcW w:w="1989" w:type="dxa"/>
            <w:vAlign w:val="center"/>
          </w:tcPr>
          <w:p w14:paraId="7B8B02C6">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A8A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3D88DA8E">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43" w:type="dxa"/>
            <w:vAlign w:val="center"/>
          </w:tcPr>
          <w:p w14:paraId="5DD8C455">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2295" w:type="dxa"/>
            <w:tcMar>
              <w:left w:w="170" w:type="dxa"/>
            </w:tcMar>
            <w:vAlign w:val="center"/>
          </w:tcPr>
          <w:p w14:paraId="408BAA1B">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专用条款</w:t>
            </w:r>
          </w:p>
        </w:tc>
        <w:tc>
          <w:tcPr>
            <w:tcW w:w="2142" w:type="dxa"/>
            <w:vAlign w:val="center"/>
          </w:tcPr>
          <w:p w14:paraId="238AD9C7">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p>
        </w:tc>
        <w:tc>
          <w:tcPr>
            <w:tcW w:w="1989" w:type="dxa"/>
            <w:vAlign w:val="center"/>
          </w:tcPr>
          <w:p w14:paraId="5F19C2B0">
            <w:pPr>
              <w:shd w:val="clear" w:color="auto" w:fill="FFFFFF"/>
              <w:jc w:val="center"/>
              <w:rPr>
                <w:rFonts w:hint="eastAsia" w:ascii="宋体" w:hAnsi="宋体" w:eastAsia="宋体" w:cs="宋体"/>
                <w:color w:val="auto"/>
                <w:szCs w:val="21"/>
                <w:highlight w:val="none"/>
              </w:rPr>
            </w:pPr>
          </w:p>
        </w:tc>
      </w:tr>
      <w:tr w14:paraId="43BA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79ABAA0E">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43" w:type="dxa"/>
            <w:vAlign w:val="center"/>
          </w:tcPr>
          <w:p w14:paraId="621CAE01">
            <w:pPr>
              <w:shd w:val="clear" w:color="auto" w:fill="FFFFFF"/>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竞标有效期</w:t>
            </w:r>
          </w:p>
        </w:tc>
        <w:tc>
          <w:tcPr>
            <w:tcW w:w="2295" w:type="dxa"/>
            <w:tcMar>
              <w:left w:w="170" w:type="dxa"/>
            </w:tcMar>
            <w:vAlign w:val="center"/>
          </w:tcPr>
          <w:p w14:paraId="287A9FCD">
            <w:pPr>
              <w:shd w:val="clear" w:color="auto" w:fill="FFFFFF"/>
              <w:rPr>
                <w:rFonts w:hint="eastAsia" w:ascii="宋体" w:hAnsi="宋体" w:eastAsia="宋体" w:cs="宋体"/>
                <w:color w:val="auto"/>
                <w:szCs w:val="21"/>
                <w:highlight w:val="none"/>
              </w:rPr>
            </w:pPr>
          </w:p>
        </w:tc>
        <w:tc>
          <w:tcPr>
            <w:tcW w:w="2142" w:type="dxa"/>
            <w:vAlign w:val="center"/>
          </w:tcPr>
          <w:p w14:paraId="5A22021B">
            <w:pPr>
              <w:shd w:val="clear" w:color="auto" w:fill="FFFFFF"/>
              <w:jc w:val="center"/>
              <w:rPr>
                <w:rFonts w:hint="eastAsia" w:ascii="宋体" w:hAnsi="宋体" w:eastAsia="宋体" w:cs="宋体"/>
                <w:color w:val="auto"/>
                <w:szCs w:val="21"/>
                <w:highlight w:val="none"/>
                <w:u w:val="single"/>
                <w:lang w:eastAsia="zh-CN"/>
              </w:rPr>
            </w:pPr>
          </w:p>
        </w:tc>
        <w:tc>
          <w:tcPr>
            <w:tcW w:w="1989" w:type="dxa"/>
            <w:vAlign w:val="center"/>
          </w:tcPr>
          <w:p w14:paraId="5930EABD">
            <w:pPr>
              <w:shd w:val="clear" w:color="auto" w:fill="FFFFFF"/>
              <w:jc w:val="center"/>
              <w:rPr>
                <w:rFonts w:hint="eastAsia" w:ascii="宋体" w:hAnsi="宋体" w:eastAsia="宋体" w:cs="宋体"/>
                <w:color w:val="auto"/>
                <w:szCs w:val="21"/>
                <w:highlight w:val="none"/>
              </w:rPr>
            </w:pPr>
          </w:p>
        </w:tc>
      </w:tr>
      <w:tr w14:paraId="4CD5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42C88E17">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43" w:type="dxa"/>
            <w:vAlign w:val="center"/>
          </w:tcPr>
          <w:p w14:paraId="3FB19056">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2295" w:type="dxa"/>
            <w:tcMar>
              <w:left w:w="170" w:type="dxa"/>
            </w:tcMar>
            <w:vAlign w:val="center"/>
          </w:tcPr>
          <w:p w14:paraId="6F699DDA">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vAlign w:val="center"/>
          </w:tcPr>
          <w:p w14:paraId="17597E22">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日历天</w:t>
            </w:r>
          </w:p>
        </w:tc>
        <w:tc>
          <w:tcPr>
            <w:tcW w:w="1989" w:type="dxa"/>
            <w:vAlign w:val="center"/>
          </w:tcPr>
          <w:p w14:paraId="15A968F0">
            <w:pPr>
              <w:shd w:val="clear" w:color="auto" w:fill="FFFFFF"/>
              <w:jc w:val="center"/>
              <w:rPr>
                <w:rFonts w:hint="eastAsia" w:ascii="宋体" w:hAnsi="宋体" w:eastAsia="宋体" w:cs="宋体"/>
                <w:color w:val="auto"/>
                <w:szCs w:val="21"/>
                <w:highlight w:val="none"/>
              </w:rPr>
            </w:pPr>
          </w:p>
        </w:tc>
      </w:tr>
      <w:tr w14:paraId="59CA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2BBD6795">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43" w:type="dxa"/>
            <w:vAlign w:val="center"/>
          </w:tcPr>
          <w:p w14:paraId="176079CA">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w:t>
            </w:r>
          </w:p>
        </w:tc>
        <w:tc>
          <w:tcPr>
            <w:tcW w:w="2295" w:type="dxa"/>
            <w:tcMar>
              <w:left w:w="170" w:type="dxa"/>
            </w:tcMar>
            <w:vAlign w:val="center"/>
          </w:tcPr>
          <w:p w14:paraId="64564721">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vAlign w:val="center"/>
          </w:tcPr>
          <w:p w14:paraId="22A7A60F">
            <w:pPr>
              <w:shd w:val="clear" w:color="auto" w:fill="FFFFFF"/>
              <w:jc w:val="center"/>
              <w:rPr>
                <w:rFonts w:hint="eastAsia" w:ascii="宋体" w:hAnsi="宋体" w:eastAsia="宋体" w:cs="宋体"/>
                <w:color w:val="auto"/>
                <w:szCs w:val="21"/>
                <w:highlight w:val="none"/>
              </w:rPr>
            </w:pPr>
          </w:p>
        </w:tc>
        <w:tc>
          <w:tcPr>
            <w:tcW w:w="1989" w:type="dxa"/>
            <w:vAlign w:val="center"/>
          </w:tcPr>
          <w:p w14:paraId="6B36C5D7">
            <w:pPr>
              <w:shd w:val="clear" w:color="auto" w:fill="FFFFFF"/>
              <w:jc w:val="center"/>
              <w:rPr>
                <w:rFonts w:hint="eastAsia" w:ascii="宋体" w:hAnsi="宋体" w:eastAsia="宋体" w:cs="宋体"/>
                <w:color w:val="auto"/>
                <w:szCs w:val="21"/>
                <w:highlight w:val="none"/>
              </w:rPr>
            </w:pPr>
          </w:p>
        </w:tc>
      </w:tr>
      <w:tr w14:paraId="0B3D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68CD3047">
            <w:pPr>
              <w:shd w:val="clear" w:color="auto" w:fill="FFFFFF"/>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2143" w:type="dxa"/>
            <w:vAlign w:val="center"/>
          </w:tcPr>
          <w:p w14:paraId="7ABAAE24">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2295" w:type="dxa"/>
            <w:tcMar>
              <w:left w:w="170" w:type="dxa"/>
            </w:tcMar>
            <w:vAlign w:val="center"/>
          </w:tcPr>
          <w:p w14:paraId="066FFE62">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vAlign w:val="center"/>
          </w:tcPr>
          <w:p w14:paraId="7BDCA0A5">
            <w:pPr>
              <w:shd w:val="clear" w:color="auto" w:fill="FFFFFF"/>
              <w:jc w:val="center"/>
              <w:rPr>
                <w:rFonts w:hint="eastAsia" w:ascii="宋体" w:hAnsi="宋体" w:eastAsia="宋体" w:cs="宋体"/>
                <w:color w:val="auto"/>
                <w:szCs w:val="21"/>
                <w:highlight w:val="none"/>
              </w:rPr>
            </w:pPr>
          </w:p>
        </w:tc>
        <w:tc>
          <w:tcPr>
            <w:tcW w:w="1989" w:type="dxa"/>
            <w:vAlign w:val="center"/>
          </w:tcPr>
          <w:p w14:paraId="5105A682">
            <w:pPr>
              <w:shd w:val="clear" w:color="auto" w:fill="FFFFFF"/>
              <w:jc w:val="center"/>
              <w:rPr>
                <w:rFonts w:hint="eastAsia" w:ascii="宋体" w:hAnsi="宋体" w:eastAsia="宋体" w:cs="宋体"/>
                <w:color w:val="auto"/>
                <w:szCs w:val="21"/>
                <w:highlight w:val="none"/>
              </w:rPr>
            </w:pPr>
          </w:p>
        </w:tc>
      </w:tr>
      <w:tr w14:paraId="4E46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456B8755">
            <w:pPr>
              <w:shd w:val="clear" w:color="auto" w:fill="FFFFFF"/>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2143" w:type="dxa"/>
            <w:vAlign w:val="center"/>
          </w:tcPr>
          <w:p w14:paraId="346EFC0C">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逾期竣工违约金</w:t>
            </w:r>
          </w:p>
        </w:tc>
        <w:tc>
          <w:tcPr>
            <w:tcW w:w="2295" w:type="dxa"/>
            <w:tcMar>
              <w:left w:w="170" w:type="dxa"/>
            </w:tcMar>
            <w:vAlign w:val="center"/>
          </w:tcPr>
          <w:p w14:paraId="3FD7A82D">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vAlign w:val="center"/>
          </w:tcPr>
          <w:p w14:paraId="7A7A5C36">
            <w:pPr>
              <w:shd w:val="clear" w:color="auto" w:fill="FFFFFF"/>
              <w:rPr>
                <w:rFonts w:hint="eastAsia" w:ascii="宋体" w:hAnsi="宋体" w:eastAsia="宋体" w:cs="宋体"/>
                <w:color w:val="auto"/>
                <w:szCs w:val="21"/>
                <w:highlight w:val="none"/>
                <w:lang w:val="en-US" w:eastAsia="zh-CN"/>
              </w:rPr>
            </w:pPr>
          </w:p>
        </w:tc>
        <w:tc>
          <w:tcPr>
            <w:tcW w:w="1989" w:type="dxa"/>
            <w:vAlign w:val="center"/>
          </w:tcPr>
          <w:p w14:paraId="5D82112B">
            <w:pPr>
              <w:shd w:val="clear" w:color="auto" w:fill="FFFFFF"/>
              <w:jc w:val="center"/>
              <w:rPr>
                <w:rFonts w:hint="eastAsia" w:ascii="宋体" w:hAnsi="宋体" w:eastAsia="宋体" w:cs="宋体"/>
                <w:color w:val="auto"/>
                <w:szCs w:val="21"/>
                <w:highlight w:val="none"/>
              </w:rPr>
            </w:pPr>
          </w:p>
        </w:tc>
      </w:tr>
      <w:tr w14:paraId="40CE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166DC4FE">
            <w:pPr>
              <w:shd w:val="clear" w:color="auto" w:fill="FFFFFF"/>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143" w:type="dxa"/>
            <w:vAlign w:val="center"/>
          </w:tcPr>
          <w:p w14:paraId="58FD435F">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逾期竣工违约金最高限额</w:t>
            </w:r>
          </w:p>
        </w:tc>
        <w:tc>
          <w:tcPr>
            <w:tcW w:w="2295" w:type="dxa"/>
            <w:tcMar>
              <w:left w:w="170" w:type="dxa"/>
            </w:tcMar>
            <w:vAlign w:val="center"/>
          </w:tcPr>
          <w:p w14:paraId="10BE95FD">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vAlign w:val="center"/>
          </w:tcPr>
          <w:p w14:paraId="22B66DD3">
            <w:pPr>
              <w:shd w:val="clear" w:color="auto" w:fill="FFFFFF"/>
              <w:rPr>
                <w:rFonts w:hint="eastAsia" w:ascii="宋体" w:hAnsi="宋体" w:eastAsia="宋体" w:cs="宋体"/>
                <w:color w:val="auto"/>
                <w:szCs w:val="21"/>
                <w:highlight w:val="none"/>
              </w:rPr>
            </w:pPr>
          </w:p>
        </w:tc>
        <w:tc>
          <w:tcPr>
            <w:tcW w:w="1989" w:type="dxa"/>
            <w:vAlign w:val="center"/>
          </w:tcPr>
          <w:p w14:paraId="4F425990">
            <w:pPr>
              <w:shd w:val="clear" w:color="auto" w:fill="FFFFFF"/>
              <w:jc w:val="center"/>
              <w:rPr>
                <w:rFonts w:hint="eastAsia" w:ascii="宋体" w:hAnsi="宋体" w:eastAsia="宋体" w:cs="宋体"/>
                <w:color w:val="auto"/>
                <w:szCs w:val="21"/>
                <w:highlight w:val="none"/>
              </w:rPr>
            </w:pPr>
          </w:p>
        </w:tc>
      </w:tr>
      <w:tr w14:paraId="4A8D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1364BA52">
            <w:pPr>
              <w:shd w:val="clear" w:color="auto" w:fill="FFFFFF"/>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143" w:type="dxa"/>
            <w:vAlign w:val="center"/>
          </w:tcPr>
          <w:p w14:paraId="5F9BA75B">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2295" w:type="dxa"/>
            <w:tcMar>
              <w:left w:w="170" w:type="dxa"/>
            </w:tcMar>
            <w:vAlign w:val="center"/>
          </w:tcPr>
          <w:p w14:paraId="23AF63DB">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vAlign w:val="center"/>
          </w:tcPr>
          <w:p w14:paraId="03D45F26">
            <w:pPr>
              <w:shd w:val="clear" w:color="auto" w:fill="FFFFFF"/>
              <w:jc w:val="center"/>
              <w:rPr>
                <w:rFonts w:hint="eastAsia" w:ascii="宋体" w:hAnsi="宋体" w:eastAsia="宋体" w:cs="宋体"/>
                <w:color w:val="auto"/>
                <w:szCs w:val="21"/>
                <w:highlight w:val="none"/>
              </w:rPr>
            </w:pPr>
          </w:p>
        </w:tc>
        <w:tc>
          <w:tcPr>
            <w:tcW w:w="1989" w:type="dxa"/>
            <w:vAlign w:val="center"/>
          </w:tcPr>
          <w:p w14:paraId="39CD579A">
            <w:pPr>
              <w:shd w:val="clear" w:color="auto" w:fill="FFFFFF"/>
              <w:jc w:val="center"/>
              <w:rPr>
                <w:rFonts w:hint="eastAsia" w:ascii="宋体" w:hAnsi="宋体" w:eastAsia="宋体" w:cs="宋体"/>
                <w:color w:val="auto"/>
                <w:szCs w:val="21"/>
                <w:highlight w:val="none"/>
              </w:rPr>
            </w:pPr>
          </w:p>
        </w:tc>
      </w:tr>
      <w:tr w14:paraId="388C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143A7529">
            <w:pPr>
              <w:shd w:val="clear" w:color="auto" w:fill="FFFFFF"/>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143" w:type="dxa"/>
            <w:vAlign w:val="center"/>
          </w:tcPr>
          <w:p w14:paraId="6898E976">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预付款额度</w:t>
            </w:r>
          </w:p>
        </w:tc>
        <w:tc>
          <w:tcPr>
            <w:tcW w:w="2295" w:type="dxa"/>
            <w:tcMar>
              <w:left w:w="170" w:type="dxa"/>
            </w:tcMar>
            <w:vAlign w:val="center"/>
          </w:tcPr>
          <w:p w14:paraId="6C574EFC">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vAlign w:val="center"/>
          </w:tcPr>
          <w:p w14:paraId="7656AFC3">
            <w:pPr>
              <w:shd w:val="clear" w:color="auto" w:fill="FFFFFF"/>
              <w:jc w:val="center"/>
              <w:rPr>
                <w:rFonts w:hint="default" w:ascii="宋体" w:hAnsi="宋体" w:eastAsia="宋体" w:cs="宋体"/>
                <w:color w:val="auto"/>
                <w:szCs w:val="21"/>
                <w:highlight w:val="none"/>
                <w:lang w:val="en-US" w:eastAsia="zh-CN"/>
              </w:rPr>
            </w:pPr>
          </w:p>
        </w:tc>
        <w:tc>
          <w:tcPr>
            <w:tcW w:w="1989" w:type="dxa"/>
            <w:vAlign w:val="center"/>
          </w:tcPr>
          <w:p w14:paraId="42A32088">
            <w:pPr>
              <w:shd w:val="clear" w:color="auto" w:fill="FFFFFF"/>
              <w:jc w:val="center"/>
              <w:rPr>
                <w:rFonts w:hint="eastAsia" w:ascii="宋体" w:hAnsi="宋体" w:eastAsia="宋体" w:cs="宋体"/>
                <w:color w:val="auto"/>
                <w:szCs w:val="21"/>
                <w:highlight w:val="none"/>
              </w:rPr>
            </w:pPr>
          </w:p>
        </w:tc>
      </w:tr>
      <w:tr w14:paraId="3AC1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73197B6C">
            <w:pPr>
              <w:shd w:val="clear" w:color="auto" w:fill="FFFFFF"/>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p>
        </w:tc>
        <w:tc>
          <w:tcPr>
            <w:tcW w:w="2143" w:type="dxa"/>
            <w:vAlign w:val="center"/>
          </w:tcPr>
          <w:p w14:paraId="5D84C8C7">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预付款保函金额</w:t>
            </w:r>
          </w:p>
        </w:tc>
        <w:tc>
          <w:tcPr>
            <w:tcW w:w="2295" w:type="dxa"/>
            <w:tcMar>
              <w:left w:w="170" w:type="dxa"/>
            </w:tcMar>
            <w:vAlign w:val="center"/>
          </w:tcPr>
          <w:p w14:paraId="103F1877">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vAlign w:val="center"/>
          </w:tcPr>
          <w:p w14:paraId="0A462205">
            <w:pPr>
              <w:shd w:val="clear" w:color="auto" w:fill="FFFFFF"/>
              <w:jc w:val="center"/>
              <w:rPr>
                <w:rFonts w:hint="eastAsia" w:ascii="宋体" w:hAnsi="宋体" w:eastAsia="宋体" w:cs="宋体"/>
                <w:color w:val="auto"/>
                <w:szCs w:val="21"/>
                <w:highlight w:val="none"/>
                <w:lang w:val="en-US" w:eastAsia="zh-CN"/>
              </w:rPr>
            </w:pPr>
          </w:p>
        </w:tc>
        <w:tc>
          <w:tcPr>
            <w:tcW w:w="1989" w:type="dxa"/>
            <w:vAlign w:val="center"/>
          </w:tcPr>
          <w:p w14:paraId="007FBFE9">
            <w:pPr>
              <w:shd w:val="clear" w:color="auto" w:fill="FFFFFF"/>
              <w:jc w:val="center"/>
              <w:rPr>
                <w:rFonts w:hint="eastAsia" w:ascii="宋体" w:hAnsi="宋体" w:eastAsia="宋体" w:cs="宋体"/>
                <w:color w:val="auto"/>
                <w:szCs w:val="21"/>
                <w:highlight w:val="none"/>
              </w:rPr>
            </w:pPr>
          </w:p>
        </w:tc>
      </w:tr>
      <w:tr w14:paraId="2813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3F916E03">
            <w:pPr>
              <w:shd w:val="clear" w:color="auto" w:fill="FFFFFF"/>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2143" w:type="dxa"/>
            <w:vAlign w:val="center"/>
          </w:tcPr>
          <w:p w14:paraId="30D20532">
            <w:pPr>
              <w:shd w:val="clear" w:color="auto" w:fill="FFFFFF"/>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质量保证金额度</w:t>
            </w:r>
          </w:p>
        </w:tc>
        <w:tc>
          <w:tcPr>
            <w:tcW w:w="2295" w:type="dxa"/>
            <w:tcMar>
              <w:left w:w="170" w:type="dxa"/>
            </w:tcMar>
            <w:vAlign w:val="center"/>
          </w:tcPr>
          <w:p w14:paraId="55122678">
            <w:pPr>
              <w:shd w:val="clear" w:color="auto" w:fill="FFFFFF"/>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2142" w:type="dxa"/>
            <w:vAlign w:val="center"/>
          </w:tcPr>
          <w:p w14:paraId="70CA1601">
            <w:pPr>
              <w:shd w:val="clear" w:color="auto" w:fill="FFFFFF"/>
              <w:jc w:val="center"/>
              <w:rPr>
                <w:rFonts w:hint="eastAsia" w:ascii="宋体" w:hAnsi="宋体" w:eastAsia="宋体" w:cs="宋体"/>
                <w:color w:val="auto"/>
                <w:szCs w:val="21"/>
                <w:highlight w:val="none"/>
              </w:rPr>
            </w:pPr>
          </w:p>
        </w:tc>
        <w:tc>
          <w:tcPr>
            <w:tcW w:w="1989" w:type="dxa"/>
            <w:vAlign w:val="center"/>
          </w:tcPr>
          <w:p w14:paraId="21435CAB">
            <w:pPr>
              <w:shd w:val="clear" w:color="auto" w:fill="FFFFFF"/>
              <w:jc w:val="center"/>
              <w:rPr>
                <w:rFonts w:hint="eastAsia" w:ascii="宋体" w:hAnsi="宋体" w:eastAsia="宋体" w:cs="宋体"/>
                <w:color w:val="auto"/>
                <w:szCs w:val="21"/>
                <w:highlight w:val="none"/>
              </w:rPr>
            </w:pPr>
          </w:p>
        </w:tc>
      </w:tr>
      <w:tr w14:paraId="20B1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14:paraId="4E5B3DFC">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43" w:type="dxa"/>
            <w:vAlign w:val="center"/>
          </w:tcPr>
          <w:p w14:paraId="01A45DE9">
            <w:pPr>
              <w:shd w:val="clear" w:color="auto" w:fill="FFFFFF"/>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95" w:type="dxa"/>
            <w:tcMar>
              <w:left w:w="170" w:type="dxa"/>
            </w:tcMar>
            <w:vAlign w:val="center"/>
          </w:tcPr>
          <w:p w14:paraId="152F653E">
            <w:pPr>
              <w:shd w:val="clear" w:color="auto" w:fill="FFFFFF"/>
              <w:rPr>
                <w:rFonts w:hint="eastAsia" w:ascii="宋体" w:hAnsi="宋体" w:eastAsia="宋体" w:cs="宋体"/>
                <w:color w:val="auto"/>
                <w:szCs w:val="21"/>
                <w:highlight w:val="none"/>
              </w:rPr>
            </w:pPr>
          </w:p>
        </w:tc>
        <w:tc>
          <w:tcPr>
            <w:tcW w:w="2142" w:type="dxa"/>
            <w:vAlign w:val="center"/>
          </w:tcPr>
          <w:p w14:paraId="090558B8">
            <w:pPr>
              <w:shd w:val="clear" w:color="auto" w:fill="FFFFFF"/>
              <w:jc w:val="center"/>
              <w:rPr>
                <w:rFonts w:hint="eastAsia" w:ascii="宋体" w:hAnsi="宋体" w:eastAsia="宋体" w:cs="宋体"/>
                <w:color w:val="auto"/>
                <w:szCs w:val="21"/>
                <w:highlight w:val="none"/>
              </w:rPr>
            </w:pPr>
          </w:p>
        </w:tc>
        <w:tc>
          <w:tcPr>
            <w:tcW w:w="1989" w:type="dxa"/>
            <w:vAlign w:val="center"/>
          </w:tcPr>
          <w:p w14:paraId="5992F802">
            <w:pPr>
              <w:shd w:val="clear" w:color="auto" w:fill="FFFFFF"/>
              <w:jc w:val="center"/>
              <w:rPr>
                <w:rFonts w:hint="eastAsia" w:ascii="宋体" w:hAnsi="宋体" w:eastAsia="宋体" w:cs="宋体"/>
                <w:color w:val="auto"/>
                <w:szCs w:val="21"/>
                <w:highlight w:val="none"/>
              </w:rPr>
            </w:pPr>
          </w:p>
        </w:tc>
      </w:tr>
      <w:tr w14:paraId="048C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639" w:type="dxa"/>
            <w:gridSpan w:val="5"/>
            <w:vAlign w:val="center"/>
          </w:tcPr>
          <w:p w14:paraId="5EAC19D8">
            <w:pPr>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备注：供应商在响应</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文件中规定的实质性要求和条件的基础上，可做出其他有利于采购人的承诺。此类承诺可在本表中予以补充填写。</w:t>
            </w:r>
          </w:p>
        </w:tc>
      </w:tr>
    </w:tbl>
    <w:p w14:paraId="3F2D2F49">
      <w:pPr>
        <w:pStyle w:val="31"/>
        <w:ind w:firstLine="460" w:firstLineChars="200"/>
        <w:jc w:val="left"/>
        <w:rPr>
          <w:rFonts w:hint="eastAsia" w:ascii="宋体" w:hAnsi="宋体" w:cs="宋体"/>
          <w:color w:val="auto"/>
          <w:sz w:val="21"/>
          <w:szCs w:val="21"/>
          <w:highlight w:val="none"/>
        </w:rPr>
      </w:pPr>
    </w:p>
    <w:p w14:paraId="633E64A3">
      <w:pPr>
        <w:pStyle w:val="31"/>
        <w:ind w:firstLine="460" w:firstLineChars="200"/>
        <w:jc w:val="left"/>
        <w:rPr>
          <w:rFonts w:hint="eastAsia" w:ascii="宋体" w:hAnsi="宋体" w:eastAsia="宋体" w:cs="宋体"/>
          <w:color w:val="auto"/>
          <w:szCs w:val="21"/>
          <w:highlight w:val="none"/>
          <w:u w:val="single"/>
        </w:rPr>
      </w:pPr>
      <w:r>
        <w:rPr>
          <w:rFonts w:hint="eastAsia" w:ascii="宋体" w:hAnsi="宋体" w:cs="宋体"/>
          <w:color w:val="auto"/>
          <w:sz w:val="21"/>
          <w:szCs w:val="21"/>
          <w:highlight w:val="none"/>
        </w:rPr>
        <w:t>注：供应商可提出优于竞争性</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文件要求的承诺</w:t>
      </w:r>
    </w:p>
    <w:p w14:paraId="2D91D948">
      <w:pPr>
        <w:shd w:val="clear" w:color="auto" w:fill="FFFFFF"/>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pacing w:val="8"/>
          <w:highlight w:val="none"/>
        </w:rPr>
        <w:t>电子</w:t>
      </w:r>
      <w:r>
        <w:rPr>
          <w:rFonts w:hint="eastAsia" w:ascii="宋体" w:hAnsi="宋体" w:cs="宋体"/>
          <w:color w:val="auto"/>
          <w:spacing w:val="8"/>
          <w:highlight w:val="none"/>
          <w:lang w:val="en-US" w:eastAsia="zh-CN"/>
        </w:rPr>
        <w:t>印</w:t>
      </w:r>
      <w:r>
        <w:rPr>
          <w:rFonts w:hint="eastAsia" w:ascii="宋体" w:hAnsi="宋体" w:eastAsia="宋体" w:cs="宋体"/>
          <w:color w:val="auto"/>
          <w:spacing w:val="8"/>
          <w:highlight w:val="none"/>
        </w:rPr>
        <w:t>章</w:t>
      </w:r>
      <w:r>
        <w:rPr>
          <w:rFonts w:hint="eastAsia" w:ascii="宋体" w:hAnsi="宋体" w:eastAsia="宋体" w:cs="宋体"/>
          <w:color w:val="auto"/>
          <w:szCs w:val="21"/>
          <w:highlight w:val="none"/>
        </w:rPr>
        <w:t>）：</w:t>
      </w:r>
    </w:p>
    <w:p w14:paraId="43485735">
      <w:pPr>
        <w:shd w:val="clear" w:color="auto" w:fill="FFFFFF"/>
        <w:spacing w:line="4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7820C3">
      <w:pPr>
        <w:numPr>
          <w:ilvl w:val="-1"/>
          <w:numId w:val="0"/>
        </w:numPr>
        <w:shd w:val="clear" w:color="auto" w:fill="FFFFFF"/>
        <w:spacing w:after="96" w:afterLines="30"/>
        <w:ind w:firstLine="0" w:firstLineChars="0"/>
        <w:rPr>
          <w:rFonts w:hint="default" w:ascii="宋体" w:hAnsi="宋体" w:eastAsia="宋体" w:cs="宋体"/>
          <w:b/>
          <w:bCs/>
          <w:color w:val="auto"/>
          <w:szCs w:val="21"/>
          <w:highlight w:val="none"/>
          <w:lang w:val="en-US" w:eastAsia="zh-CN"/>
        </w:rPr>
      </w:pPr>
    </w:p>
    <w:p w14:paraId="189636AA">
      <w:pPr>
        <w:shd w:val="clear" w:color="auto" w:fill="FFFFFF"/>
        <w:spacing w:after="96" w:afterLines="30"/>
        <w:ind w:firstLine="422" w:firstLineChars="200"/>
        <w:rPr>
          <w:rFonts w:hint="eastAsia" w:ascii="宋体" w:hAnsi="宋体" w:eastAsia="宋体" w:cs="宋体"/>
          <w:b/>
          <w:bCs/>
          <w:color w:val="auto"/>
          <w:szCs w:val="21"/>
          <w:highlight w:val="none"/>
        </w:rPr>
      </w:pPr>
    </w:p>
    <w:p w14:paraId="27D078E6">
      <w:pPr>
        <w:shd w:val="clear" w:color="auto" w:fill="FFFFFF"/>
        <w:spacing w:after="96" w:afterLines="30"/>
        <w:ind w:firstLine="0" w:firstLineChars="0"/>
        <w:rPr>
          <w:rFonts w:hint="eastAsia" w:ascii="宋体" w:hAnsi="宋体" w:eastAsia="宋体" w:cs="宋体"/>
          <w:b/>
          <w:bCs/>
          <w:color w:val="auto"/>
          <w:szCs w:val="21"/>
          <w:highlight w:val="none"/>
        </w:rPr>
      </w:pPr>
    </w:p>
    <w:p w14:paraId="7EA87D1A">
      <w:pPr>
        <w:shd w:val="clear" w:color="auto" w:fill="FFFFFF"/>
        <w:spacing w:after="96" w:afterLines="30"/>
        <w:ind w:firstLine="0" w:firstLineChars="0"/>
        <w:rPr>
          <w:rFonts w:hint="eastAsia" w:ascii="宋体" w:hAnsi="宋体" w:eastAsia="宋体" w:cs="宋体"/>
          <w:b/>
          <w:bCs/>
          <w:color w:val="auto"/>
          <w:szCs w:val="21"/>
          <w:highlight w:val="none"/>
        </w:rPr>
      </w:pPr>
    </w:p>
    <w:p w14:paraId="70461DCB">
      <w:pPr>
        <w:shd w:val="clear" w:color="auto" w:fill="FFFFFF"/>
        <w:spacing w:after="96" w:afterLines="30"/>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施工组织设计</w:t>
      </w:r>
    </w:p>
    <w:p w14:paraId="3D2FD011">
      <w:pPr>
        <w:spacing w:after="50" w:afterLines="0"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供应商应编制施工组织设计。编制具体要求是：编制时应采用文字并结合图表形式说明施工方法；拟投入的主要施工机械设备情况、劳动力计划等；结合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14:paraId="770D1555">
      <w:pPr>
        <w:spacing w:after="50" w:afterLines="0"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施工组织设计除采用文字表述外可附下列图表，图表及格式要求附后，表格可扩展。</w:t>
      </w:r>
    </w:p>
    <w:p w14:paraId="413C878F">
      <w:pPr>
        <w:spacing w:after="50" w:afterLines="0"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附表一  拟投入的主要施工设备表</w:t>
      </w:r>
    </w:p>
    <w:p w14:paraId="620211A0">
      <w:pPr>
        <w:spacing w:after="50" w:afterLines="0"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附表二  劳动力计划表</w:t>
      </w:r>
    </w:p>
    <w:p w14:paraId="3C96652E">
      <w:pPr>
        <w:spacing w:after="50" w:afterLines="0"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附表三  计划开、竣工日期和施工进度横道图</w:t>
      </w:r>
    </w:p>
    <w:p w14:paraId="1617AD1B">
      <w:pPr>
        <w:spacing w:after="50" w:afterLines="0"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附表四  施工总平面图</w:t>
      </w:r>
    </w:p>
    <w:p w14:paraId="279F9724">
      <w:pPr>
        <w:spacing w:after="50" w:afterLines="0" w:line="440" w:lineRule="exact"/>
        <w:ind w:firstLine="420" w:firstLineChars="200"/>
        <w:rPr>
          <w:rFonts w:hint="eastAsia" w:ascii="宋体" w:hAnsi="宋体" w:cs="宋体"/>
          <w:color w:val="auto"/>
          <w:sz w:val="24"/>
          <w:highlight w:val="none"/>
        </w:rPr>
      </w:pPr>
      <w:r>
        <w:rPr>
          <w:rFonts w:hint="eastAsia" w:ascii="宋体" w:hAnsi="宋体" w:cs="宋体"/>
          <w:color w:val="auto"/>
          <w:highlight w:val="none"/>
        </w:rPr>
        <w:t>附表五  临时用地表</w:t>
      </w:r>
    </w:p>
    <w:p w14:paraId="5942C59D">
      <w:pPr>
        <w:spacing w:after="50" w:afterLines="0" w:line="400" w:lineRule="exact"/>
        <w:ind w:firstLine="482" w:firstLineChars="200"/>
        <w:rPr>
          <w:rFonts w:hint="eastAsia" w:ascii="宋体" w:hAnsi="宋体" w:cs="宋体"/>
          <w:b/>
          <w:bCs/>
          <w:color w:val="auto"/>
          <w:sz w:val="24"/>
          <w:highlight w:val="none"/>
        </w:rPr>
      </w:pPr>
    </w:p>
    <w:p w14:paraId="0D38D3DE">
      <w:pPr>
        <w:spacing w:after="50" w:afterLines="0"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附表一  ⑴拟投入的主要施工机械设备表</w:t>
      </w:r>
    </w:p>
    <w:p w14:paraId="634BA56A">
      <w:pPr>
        <w:ind w:firstLine="482" w:firstLineChars="200"/>
        <w:jc w:val="center"/>
        <w:rPr>
          <w:rFonts w:hint="eastAsia" w:ascii="宋体" w:hAnsi="宋体" w:cs="宋体"/>
          <w:b/>
          <w:bCs/>
          <w:color w:val="auto"/>
          <w:sz w:val="24"/>
          <w:highlight w:val="none"/>
        </w:rPr>
      </w:pPr>
      <w:r>
        <w:rPr>
          <w:rFonts w:hint="eastAsia" w:ascii="宋体" w:hAnsi="宋体" w:cs="宋体"/>
          <w:b/>
          <w:bCs/>
          <w:color w:val="auto"/>
          <w:sz w:val="24"/>
          <w:highlight w:val="none"/>
        </w:rPr>
        <w:t>拟投入的主要施工机械设备表（格式）</w:t>
      </w:r>
    </w:p>
    <w:tbl>
      <w:tblPr>
        <w:tblStyle w:val="22"/>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84"/>
        <w:gridCol w:w="1154"/>
        <w:gridCol w:w="735"/>
        <w:gridCol w:w="1154"/>
        <w:gridCol w:w="735"/>
        <w:gridCol w:w="1102"/>
        <w:gridCol w:w="1104"/>
        <w:gridCol w:w="840"/>
      </w:tblGrid>
      <w:tr w14:paraId="621B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6" w:type="dxa"/>
            <w:vAlign w:val="center"/>
          </w:tcPr>
          <w:p w14:paraId="19DCBE97">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序号</w:t>
            </w:r>
          </w:p>
        </w:tc>
        <w:tc>
          <w:tcPr>
            <w:tcW w:w="1784" w:type="dxa"/>
            <w:vAlign w:val="center"/>
          </w:tcPr>
          <w:p w14:paraId="31EDBEB4">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机械或设备名称</w:t>
            </w:r>
          </w:p>
        </w:tc>
        <w:tc>
          <w:tcPr>
            <w:tcW w:w="1154" w:type="dxa"/>
            <w:vAlign w:val="center"/>
          </w:tcPr>
          <w:p w14:paraId="17B65B80">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型号规格</w:t>
            </w:r>
          </w:p>
        </w:tc>
        <w:tc>
          <w:tcPr>
            <w:tcW w:w="735" w:type="dxa"/>
            <w:vAlign w:val="center"/>
          </w:tcPr>
          <w:p w14:paraId="1DE97E96">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数量</w:t>
            </w:r>
          </w:p>
        </w:tc>
        <w:tc>
          <w:tcPr>
            <w:tcW w:w="1154" w:type="dxa"/>
            <w:vAlign w:val="center"/>
          </w:tcPr>
          <w:p w14:paraId="48AF59B1">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国别产地</w:t>
            </w:r>
          </w:p>
        </w:tc>
        <w:tc>
          <w:tcPr>
            <w:tcW w:w="735" w:type="dxa"/>
            <w:vAlign w:val="center"/>
          </w:tcPr>
          <w:p w14:paraId="7050DF82">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制造年份</w:t>
            </w:r>
          </w:p>
        </w:tc>
        <w:tc>
          <w:tcPr>
            <w:tcW w:w="1102" w:type="dxa"/>
            <w:vAlign w:val="center"/>
          </w:tcPr>
          <w:p w14:paraId="4E8843A8">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额定功率（KW）</w:t>
            </w:r>
          </w:p>
        </w:tc>
        <w:tc>
          <w:tcPr>
            <w:tcW w:w="1104" w:type="dxa"/>
            <w:vAlign w:val="center"/>
          </w:tcPr>
          <w:p w14:paraId="20CBC756">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生产能力</w:t>
            </w:r>
          </w:p>
        </w:tc>
        <w:tc>
          <w:tcPr>
            <w:tcW w:w="840" w:type="dxa"/>
            <w:tcBorders>
              <w:left w:val="single" w:color="auto" w:sz="4" w:space="0"/>
            </w:tcBorders>
            <w:vAlign w:val="center"/>
          </w:tcPr>
          <w:p w14:paraId="45040DC4">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备注</w:t>
            </w:r>
          </w:p>
        </w:tc>
      </w:tr>
      <w:tr w14:paraId="5D84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6" w:type="dxa"/>
            <w:vAlign w:val="top"/>
          </w:tcPr>
          <w:p w14:paraId="7C055AAC">
            <w:pPr>
              <w:spacing w:after="50" w:afterLines="0" w:line="400" w:lineRule="exact"/>
              <w:rPr>
                <w:rFonts w:hint="eastAsia" w:ascii="宋体" w:hAnsi="宋体" w:cs="宋体"/>
                <w:color w:val="auto"/>
                <w:highlight w:val="none"/>
              </w:rPr>
            </w:pPr>
          </w:p>
        </w:tc>
        <w:tc>
          <w:tcPr>
            <w:tcW w:w="1784" w:type="dxa"/>
            <w:vAlign w:val="top"/>
          </w:tcPr>
          <w:p w14:paraId="0F2DB80D">
            <w:pPr>
              <w:spacing w:after="50" w:afterLines="0" w:line="400" w:lineRule="exact"/>
              <w:rPr>
                <w:rFonts w:hint="eastAsia" w:ascii="宋体" w:hAnsi="宋体" w:cs="宋体"/>
                <w:color w:val="auto"/>
                <w:highlight w:val="none"/>
              </w:rPr>
            </w:pPr>
          </w:p>
        </w:tc>
        <w:tc>
          <w:tcPr>
            <w:tcW w:w="1154" w:type="dxa"/>
            <w:vAlign w:val="top"/>
          </w:tcPr>
          <w:p w14:paraId="45A9106B">
            <w:pPr>
              <w:spacing w:after="50" w:afterLines="0" w:line="400" w:lineRule="exact"/>
              <w:rPr>
                <w:rFonts w:hint="eastAsia" w:ascii="宋体" w:hAnsi="宋体" w:cs="宋体"/>
                <w:color w:val="auto"/>
                <w:highlight w:val="none"/>
              </w:rPr>
            </w:pPr>
          </w:p>
        </w:tc>
        <w:tc>
          <w:tcPr>
            <w:tcW w:w="735" w:type="dxa"/>
            <w:vAlign w:val="top"/>
          </w:tcPr>
          <w:p w14:paraId="39F607E3">
            <w:pPr>
              <w:spacing w:after="50" w:afterLines="0" w:line="400" w:lineRule="exact"/>
              <w:rPr>
                <w:rFonts w:hint="eastAsia" w:ascii="宋体" w:hAnsi="宋体" w:cs="宋体"/>
                <w:color w:val="auto"/>
                <w:highlight w:val="none"/>
              </w:rPr>
            </w:pPr>
          </w:p>
        </w:tc>
        <w:tc>
          <w:tcPr>
            <w:tcW w:w="1154" w:type="dxa"/>
            <w:vAlign w:val="top"/>
          </w:tcPr>
          <w:p w14:paraId="0EEAA6FA">
            <w:pPr>
              <w:spacing w:after="50" w:afterLines="0" w:line="400" w:lineRule="exact"/>
              <w:rPr>
                <w:rFonts w:hint="eastAsia" w:ascii="宋体" w:hAnsi="宋体" w:cs="宋体"/>
                <w:color w:val="auto"/>
                <w:highlight w:val="none"/>
              </w:rPr>
            </w:pPr>
          </w:p>
        </w:tc>
        <w:tc>
          <w:tcPr>
            <w:tcW w:w="735" w:type="dxa"/>
            <w:vAlign w:val="top"/>
          </w:tcPr>
          <w:p w14:paraId="55D84244">
            <w:pPr>
              <w:spacing w:after="50" w:afterLines="0" w:line="400" w:lineRule="exact"/>
              <w:rPr>
                <w:rFonts w:hint="eastAsia" w:ascii="宋体" w:hAnsi="宋体" w:cs="宋体"/>
                <w:color w:val="auto"/>
                <w:highlight w:val="none"/>
              </w:rPr>
            </w:pPr>
          </w:p>
        </w:tc>
        <w:tc>
          <w:tcPr>
            <w:tcW w:w="1102" w:type="dxa"/>
            <w:vAlign w:val="top"/>
          </w:tcPr>
          <w:p w14:paraId="733F5D80">
            <w:pPr>
              <w:spacing w:after="50" w:afterLines="0" w:line="400" w:lineRule="exact"/>
              <w:rPr>
                <w:rFonts w:hint="eastAsia" w:ascii="宋体" w:hAnsi="宋体" w:cs="宋体"/>
                <w:color w:val="auto"/>
                <w:highlight w:val="none"/>
              </w:rPr>
            </w:pPr>
          </w:p>
        </w:tc>
        <w:tc>
          <w:tcPr>
            <w:tcW w:w="1104" w:type="dxa"/>
            <w:vAlign w:val="top"/>
          </w:tcPr>
          <w:p w14:paraId="247961F9">
            <w:pPr>
              <w:spacing w:after="50" w:afterLines="0" w:line="400" w:lineRule="exact"/>
              <w:rPr>
                <w:rFonts w:hint="eastAsia" w:ascii="宋体" w:hAnsi="宋体" w:cs="宋体"/>
                <w:color w:val="auto"/>
                <w:highlight w:val="none"/>
              </w:rPr>
            </w:pPr>
          </w:p>
        </w:tc>
        <w:tc>
          <w:tcPr>
            <w:tcW w:w="840" w:type="dxa"/>
            <w:tcBorders>
              <w:left w:val="single" w:color="auto" w:sz="4" w:space="0"/>
            </w:tcBorders>
            <w:vAlign w:val="top"/>
          </w:tcPr>
          <w:p w14:paraId="14F97089">
            <w:pPr>
              <w:spacing w:after="50" w:afterLines="0" w:line="400" w:lineRule="exact"/>
              <w:rPr>
                <w:rFonts w:hint="eastAsia" w:ascii="宋体" w:hAnsi="宋体" w:cs="宋体"/>
                <w:color w:val="auto"/>
                <w:highlight w:val="none"/>
              </w:rPr>
            </w:pPr>
          </w:p>
        </w:tc>
      </w:tr>
      <w:tr w14:paraId="034C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6" w:type="dxa"/>
            <w:vAlign w:val="top"/>
          </w:tcPr>
          <w:p w14:paraId="19E5BD94">
            <w:pPr>
              <w:spacing w:after="50" w:afterLines="0" w:line="400" w:lineRule="exact"/>
              <w:rPr>
                <w:rFonts w:hint="eastAsia" w:ascii="宋体" w:hAnsi="宋体" w:cs="宋体"/>
                <w:color w:val="auto"/>
                <w:highlight w:val="none"/>
              </w:rPr>
            </w:pPr>
          </w:p>
        </w:tc>
        <w:tc>
          <w:tcPr>
            <w:tcW w:w="1784" w:type="dxa"/>
            <w:vAlign w:val="top"/>
          </w:tcPr>
          <w:p w14:paraId="7F7E2AF1">
            <w:pPr>
              <w:spacing w:after="50" w:afterLines="0" w:line="400" w:lineRule="exact"/>
              <w:rPr>
                <w:rFonts w:hint="eastAsia" w:ascii="宋体" w:hAnsi="宋体" w:cs="宋体"/>
                <w:color w:val="auto"/>
                <w:highlight w:val="none"/>
              </w:rPr>
            </w:pPr>
          </w:p>
        </w:tc>
        <w:tc>
          <w:tcPr>
            <w:tcW w:w="1154" w:type="dxa"/>
            <w:vAlign w:val="top"/>
          </w:tcPr>
          <w:p w14:paraId="520F44A4">
            <w:pPr>
              <w:spacing w:after="50" w:afterLines="0" w:line="400" w:lineRule="exact"/>
              <w:rPr>
                <w:rFonts w:hint="eastAsia" w:ascii="宋体" w:hAnsi="宋体" w:cs="宋体"/>
                <w:color w:val="auto"/>
                <w:highlight w:val="none"/>
              </w:rPr>
            </w:pPr>
          </w:p>
        </w:tc>
        <w:tc>
          <w:tcPr>
            <w:tcW w:w="735" w:type="dxa"/>
            <w:vAlign w:val="top"/>
          </w:tcPr>
          <w:p w14:paraId="78F86A75">
            <w:pPr>
              <w:spacing w:after="50" w:afterLines="0" w:line="400" w:lineRule="exact"/>
              <w:rPr>
                <w:rFonts w:hint="eastAsia" w:ascii="宋体" w:hAnsi="宋体" w:cs="宋体"/>
                <w:color w:val="auto"/>
                <w:highlight w:val="none"/>
              </w:rPr>
            </w:pPr>
          </w:p>
        </w:tc>
        <w:tc>
          <w:tcPr>
            <w:tcW w:w="1154" w:type="dxa"/>
            <w:vAlign w:val="top"/>
          </w:tcPr>
          <w:p w14:paraId="653B5024">
            <w:pPr>
              <w:spacing w:after="50" w:afterLines="0" w:line="400" w:lineRule="exact"/>
              <w:rPr>
                <w:rFonts w:hint="eastAsia" w:ascii="宋体" w:hAnsi="宋体" w:cs="宋体"/>
                <w:color w:val="auto"/>
                <w:highlight w:val="none"/>
              </w:rPr>
            </w:pPr>
          </w:p>
        </w:tc>
        <w:tc>
          <w:tcPr>
            <w:tcW w:w="735" w:type="dxa"/>
            <w:vAlign w:val="top"/>
          </w:tcPr>
          <w:p w14:paraId="62B7356E">
            <w:pPr>
              <w:spacing w:after="50" w:afterLines="0" w:line="400" w:lineRule="exact"/>
              <w:rPr>
                <w:rFonts w:hint="eastAsia" w:ascii="宋体" w:hAnsi="宋体" w:cs="宋体"/>
                <w:color w:val="auto"/>
                <w:highlight w:val="none"/>
              </w:rPr>
            </w:pPr>
          </w:p>
        </w:tc>
        <w:tc>
          <w:tcPr>
            <w:tcW w:w="1102" w:type="dxa"/>
            <w:vAlign w:val="top"/>
          </w:tcPr>
          <w:p w14:paraId="1B216329">
            <w:pPr>
              <w:spacing w:after="50" w:afterLines="0" w:line="400" w:lineRule="exact"/>
              <w:rPr>
                <w:rFonts w:hint="eastAsia" w:ascii="宋体" w:hAnsi="宋体" w:cs="宋体"/>
                <w:color w:val="auto"/>
                <w:highlight w:val="none"/>
              </w:rPr>
            </w:pPr>
          </w:p>
        </w:tc>
        <w:tc>
          <w:tcPr>
            <w:tcW w:w="1104" w:type="dxa"/>
            <w:vAlign w:val="top"/>
          </w:tcPr>
          <w:p w14:paraId="7024248A">
            <w:pPr>
              <w:spacing w:after="50" w:afterLines="0" w:line="400" w:lineRule="exact"/>
              <w:rPr>
                <w:rFonts w:hint="eastAsia" w:ascii="宋体" w:hAnsi="宋体" w:cs="宋体"/>
                <w:color w:val="auto"/>
                <w:highlight w:val="none"/>
              </w:rPr>
            </w:pPr>
          </w:p>
        </w:tc>
        <w:tc>
          <w:tcPr>
            <w:tcW w:w="840" w:type="dxa"/>
            <w:tcBorders>
              <w:left w:val="single" w:color="auto" w:sz="4" w:space="0"/>
            </w:tcBorders>
            <w:vAlign w:val="top"/>
          </w:tcPr>
          <w:p w14:paraId="102662DE">
            <w:pPr>
              <w:spacing w:after="50" w:afterLines="0" w:line="400" w:lineRule="exact"/>
              <w:rPr>
                <w:rFonts w:hint="eastAsia" w:ascii="宋体" w:hAnsi="宋体" w:cs="宋体"/>
                <w:color w:val="auto"/>
                <w:highlight w:val="none"/>
              </w:rPr>
            </w:pPr>
          </w:p>
        </w:tc>
      </w:tr>
      <w:tr w14:paraId="1E25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6" w:type="dxa"/>
            <w:vAlign w:val="top"/>
          </w:tcPr>
          <w:p w14:paraId="4FA10707">
            <w:pPr>
              <w:spacing w:after="50" w:afterLines="0" w:line="400" w:lineRule="exact"/>
              <w:rPr>
                <w:rFonts w:hint="eastAsia" w:ascii="宋体" w:hAnsi="宋体" w:cs="宋体"/>
                <w:color w:val="auto"/>
                <w:highlight w:val="none"/>
              </w:rPr>
            </w:pPr>
          </w:p>
        </w:tc>
        <w:tc>
          <w:tcPr>
            <w:tcW w:w="1784" w:type="dxa"/>
            <w:vAlign w:val="top"/>
          </w:tcPr>
          <w:p w14:paraId="6738312D">
            <w:pPr>
              <w:spacing w:after="50" w:afterLines="0" w:line="400" w:lineRule="exact"/>
              <w:rPr>
                <w:rFonts w:hint="eastAsia" w:ascii="宋体" w:hAnsi="宋体" w:cs="宋体"/>
                <w:color w:val="auto"/>
                <w:highlight w:val="none"/>
              </w:rPr>
            </w:pPr>
          </w:p>
        </w:tc>
        <w:tc>
          <w:tcPr>
            <w:tcW w:w="1154" w:type="dxa"/>
            <w:vAlign w:val="top"/>
          </w:tcPr>
          <w:p w14:paraId="70D6B607">
            <w:pPr>
              <w:spacing w:after="50" w:afterLines="0" w:line="400" w:lineRule="exact"/>
              <w:rPr>
                <w:rFonts w:hint="eastAsia" w:ascii="宋体" w:hAnsi="宋体" w:cs="宋体"/>
                <w:color w:val="auto"/>
                <w:highlight w:val="none"/>
              </w:rPr>
            </w:pPr>
          </w:p>
        </w:tc>
        <w:tc>
          <w:tcPr>
            <w:tcW w:w="735" w:type="dxa"/>
            <w:vAlign w:val="top"/>
          </w:tcPr>
          <w:p w14:paraId="1334B4D7">
            <w:pPr>
              <w:spacing w:after="50" w:afterLines="0" w:line="400" w:lineRule="exact"/>
              <w:rPr>
                <w:rFonts w:hint="eastAsia" w:ascii="宋体" w:hAnsi="宋体" w:cs="宋体"/>
                <w:color w:val="auto"/>
                <w:highlight w:val="none"/>
              </w:rPr>
            </w:pPr>
          </w:p>
        </w:tc>
        <w:tc>
          <w:tcPr>
            <w:tcW w:w="1154" w:type="dxa"/>
            <w:vAlign w:val="top"/>
          </w:tcPr>
          <w:p w14:paraId="0A90AFDA">
            <w:pPr>
              <w:spacing w:after="50" w:afterLines="0" w:line="400" w:lineRule="exact"/>
              <w:rPr>
                <w:rFonts w:hint="eastAsia" w:ascii="宋体" w:hAnsi="宋体" w:cs="宋体"/>
                <w:color w:val="auto"/>
                <w:highlight w:val="none"/>
              </w:rPr>
            </w:pPr>
          </w:p>
        </w:tc>
        <w:tc>
          <w:tcPr>
            <w:tcW w:w="735" w:type="dxa"/>
            <w:vAlign w:val="top"/>
          </w:tcPr>
          <w:p w14:paraId="72CCC09C">
            <w:pPr>
              <w:spacing w:after="50" w:afterLines="0" w:line="400" w:lineRule="exact"/>
              <w:rPr>
                <w:rFonts w:hint="eastAsia" w:ascii="宋体" w:hAnsi="宋体" w:cs="宋体"/>
                <w:color w:val="auto"/>
                <w:highlight w:val="none"/>
              </w:rPr>
            </w:pPr>
          </w:p>
        </w:tc>
        <w:tc>
          <w:tcPr>
            <w:tcW w:w="1102" w:type="dxa"/>
            <w:vAlign w:val="top"/>
          </w:tcPr>
          <w:p w14:paraId="1B7B6B6E">
            <w:pPr>
              <w:pStyle w:val="48"/>
              <w:spacing w:after="50" w:afterLines="0" w:line="400" w:lineRule="exact"/>
              <w:rPr>
                <w:rFonts w:hint="eastAsia" w:hAnsi="宋体" w:cs="宋体"/>
                <w:color w:val="auto"/>
                <w:szCs w:val="24"/>
                <w:highlight w:val="none"/>
              </w:rPr>
            </w:pPr>
          </w:p>
        </w:tc>
        <w:tc>
          <w:tcPr>
            <w:tcW w:w="1104" w:type="dxa"/>
            <w:vAlign w:val="top"/>
          </w:tcPr>
          <w:p w14:paraId="454543C2">
            <w:pPr>
              <w:spacing w:after="50" w:afterLines="0" w:line="400" w:lineRule="exact"/>
              <w:rPr>
                <w:rFonts w:hint="eastAsia" w:ascii="宋体" w:hAnsi="宋体" w:cs="宋体"/>
                <w:color w:val="auto"/>
                <w:highlight w:val="none"/>
              </w:rPr>
            </w:pPr>
          </w:p>
        </w:tc>
        <w:tc>
          <w:tcPr>
            <w:tcW w:w="840" w:type="dxa"/>
            <w:tcBorders>
              <w:left w:val="single" w:color="auto" w:sz="4" w:space="0"/>
            </w:tcBorders>
            <w:vAlign w:val="top"/>
          </w:tcPr>
          <w:p w14:paraId="2EEC2330">
            <w:pPr>
              <w:spacing w:after="50" w:afterLines="0" w:line="400" w:lineRule="exact"/>
              <w:rPr>
                <w:rFonts w:hint="eastAsia" w:ascii="宋体" w:hAnsi="宋体" w:cs="宋体"/>
                <w:color w:val="auto"/>
                <w:highlight w:val="none"/>
              </w:rPr>
            </w:pPr>
          </w:p>
        </w:tc>
      </w:tr>
      <w:tr w14:paraId="4A07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6" w:type="dxa"/>
            <w:vAlign w:val="top"/>
          </w:tcPr>
          <w:p w14:paraId="510039CB">
            <w:pPr>
              <w:spacing w:after="50" w:afterLines="0" w:line="400" w:lineRule="exact"/>
              <w:rPr>
                <w:rFonts w:hint="eastAsia" w:ascii="宋体" w:hAnsi="宋体" w:cs="宋体"/>
                <w:color w:val="auto"/>
                <w:highlight w:val="none"/>
              </w:rPr>
            </w:pPr>
          </w:p>
        </w:tc>
        <w:tc>
          <w:tcPr>
            <w:tcW w:w="1784" w:type="dxa"/>
            <w:vAlign w:val="top"/>
          </w:tcPr>
          <w:p w14:paraId="4DEDF179">
            <w:pPr>
              <w:spacing w:after="50" w:afterLines="0" w:line="400" w:lineRule="exact"/>
              <w:rPr>
                <w:rFonts w:hint="eastAsia" w:ascii="宋体" w:hAnsi="宋体" w:cs="宋体"/>
                <w:color w:val="auto"/>
                <w:highlight w:val="none"/>
              </w:rPr>
            </w:pPr>
          </w:p>
        </w:tc>
        <w:tc>
          <w:tcPr>
            <w:tcW w:w="1154" w:type="dxa"/>
            <w:vAlign w:val="top"/>
          </w:tcPr>
          <w:p w14:paraId="1DC7A8D3">
            <w:pPr>
              <w:spacing w:after="50" w:afterLines="0" w:line="400" w:lineRule="exact"/>
              <w:rPr>
                <w:rFonts w:hint="eastAsia" w:ascii="宋体" w:hAnsi="宋体" w:cs="宋体"/>
                <w:color w:val="auto"/>
                <w:highlight w:val="none"/>
              </w:rPr>
            </w:pPr>
          </w:p>
        </w:tc>
        <w:tc>
          <w:tcPr>
            <w:tcW w:w="735" w:type="dxa"/>
            <w:vAlign w:val="top"/>
          </w:tcPr>
          <w:p w14:paraId="32143693">
            <w:pPr>
              <w:spacing w:after="50" w:afterLines="0" w:line="400" w:lineRule="exact"/>
              <w:rPr>
                <w:rFonts w:hint="eastAsia" w:ascii="宋体" w:hAnsi="宋体" w:cs="宋体"/>
                <w:color w:val="auto"/>
                <w:highlight w:val="none"/>
              </w:rPr>
            </w:pPr>
          </w:p>
        </w:tc>
        <w:tc>
          <w:tcPr>
            <w:tcW w:w="1154" w:type="dxa"/>
            <w:vAlign w:val="top"/>
          </w:tcPr>
          <w:p w14:paraId="34618364">
            <w:pPr>
              <w:spacing w:after="50" w:afterLines="0" w:line="400" w:lineRule="exact"/>
              <w:rPr>
                <w:rFonts w:hint="eastAsia" w:ascii="宋体" w:hAnsi="宋体" w:cs="宋体"/>
                <w:color w:val="auto"/>
                <w:highlight w:val="none"/>
              </w:rPr>
            </w:pPr>
          </w:p>
        </w:tc>
        <w:tc>
          <w:tcPr>
            <w:tcW w:w="735" w:type="dxa"/>
            <w:vAlign w:val="top"/>
          </w:tcPr>
          <w:p w14:paraId="69F6374D">
            <w:pPr>
              <w:spacing w:after="50" w:afterLines="0" w:line="400" w:lineRule="exact"/>
              <w:rPr>
                <w:rFonts w:hint="eastAsia" w:ascii="宋体" w:hAnsi="宋体" w:cs="宋体"/>
                <w:color w:val="auto"/>
                <w:highlight w:val="none"/>
              </w:rPr>
            </w:pPr>
          </w:p>
        </w:tc>
        <w:tc>
          <w:tcPr>
            <w:tcW w:w="1102" w:type="dxa"/>
            <w:vAlign w:val="top"/>
          </w:tcPr>
          <w:p w14:paraId="65DBA4BC">
            <w:pPr>
              <w:pStyle w:val="48"/>
              <w:spacing w:after="50" w:afterLines="0" w:line="400" w:lineRule="exact"/>
              <w:rPr>
                <w:rFonts w:hint="eastAsia" w:hAnsi="宋体" w:cs="宋体"/>
                <w:color w:val="auto"/>
                <w:szCs w:val="24"/>
                <w:highlight w:val="none"/>
              </w:rPr>
            </w:pPr>
          </w:p>
        </w:tc>
        <w:tc>
          <w:tcPr>
            <w:tcW w:w="1104" w:type="dxa"/>
            <w:vAlign w:val="top"/>
          </w:tcPr>
          <w:p w14:paraId="4243D095">
            <w:pPr>
              <w:spacing w:after="50" w:afterLines="0" w:line="400" w:lineRule="exact"/>
              <w:rPr>
                <w:rFonts w:hint="eastAsia" w:ascii="宋体" w:hAnsi="宋体" w:cs="宋体"/>
                <w:color w:val="auto"/>
                <w:highlight w:val="none"/>
              </w:rPr>
            </w:pPr>
          </w:p>
        </w:tc>
        <w:tc>
          <w:tcPr>
            <w:tcW w:w="840" w:type="dxa"/>
            <w:tcBorders>
              <w:left w:val="single" w:color="auto" w:sz="4" w:space="0"/>
            </w:tcBorders>
            <w:vAlign w:val="top"/>
          </w:tcPr>
          <w:p w14:paraId="24E55957">
            <w:pPr>
              <w:spacing w:after="50" w:afterLines="0" w:line="400" w:lineRule="exact"/>
              <w:rPr>
                <w:rFonts w:hint="eastAsia" w:ascii="宋体" w:hAnsi="宋体" w:cs="宋体"/>
                <w:color w:val="auto"/>
                <w:highlight w:val="none"/>
              </w:rPr>
            </w:pPr>
          </w:p>
        </w:tc>
      </w:tr>
      <w:tr w14:paraId="5E78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6" w:type="dxa"/>
            <w:vAlign w:val="top"/>
          </w:tcPr>
          <w:p w14:paraId="7E5C18C6">
            <w:pPr>
              <w:spacing w:after="50" w:afterLines="0" w:line="400" w:lineRule="exact"/>
              <w:rPr>
                <w:rFonts w:hint="eastAsia" w:ascii="宋体" w:hAnsi="宋体" w:cs="宋体"/>
                <w:color w:val="auto"/>
                <w:highlight w:val="none"/>
              </w:rPr>
            </w:pPr>
          </w:p>
        </w:tc>
        <w:tc>
          <w:tcPr>
            <w:tcW w:w="1784" w:type="dxa"/>
            <w:vAlign w:val="top"/>
          </w:tcPr>
          <w:p w14:paraId="1C761502">
            <w:pPr>
              <w:spacing w:after="50" w:afterLines="0" w:line="400" w:lineRule="exact"/>
              <w:rPr>
                <w:rFonts w:hint="eastAsia" w:ascii="宋体" w:hAnsi="宋体" w:cs="宋体"/>
                <w:color w:val="auto"/>
                <w:highlight w:val="none"/>
              </w:rPr>
            </w:pPr>
          </w:p>
        </w:tc>
        <w:tc>
          <w:tcPr>
            <w:tcW w:w="1154" w:type="dxa"/>
            <w:vAlign w:val="top"/>
          </w:tcPr>
          <w:p w14:paraId="511C4199">
            <w:pPr>
              <w:spacing w:after="50" w:afterLines="0" w:line="400" w:lineRule="exact"/>
              <w:rPr>
                <w:rFonts w:hint="eastAsia" w:ascii="宋体" w:hAnsi="宋体" w:cs="宋体"/>
                <w:color w:val="auto"/>
                <w:highlight w:val="none"/>
              </w:rPr>
            </w:pPr>
          </w:p>
        </w:tc>
        <w:tc>
          <w:tcPr>
            <w:tcW w:w="735" w:type="dxa"/>
            <w:vAlign w:val="top"/>
          </w:tcPr>
          <w:p w14:paraId="70FF34B5">
            <w:pPr>
              <w:spacing w:after="50" w:afterLines="0" w:line="400" w:lineRule="exact"/>
              <w:rPr>
                <w:rFonts w:hint="eastAsia" w:ascii="宋体" w:hAnsi="宋体" w:cs="宋体"/>
                <w:color w:val="auto"/>
                <w:highlight w:val="none"/>
              </w:rPr>
            </w:pPr>
          </w:p>
        </w:tc>
        <w:tc>
          <w:tcPr>
            <w:tcW w:w="1154" w:type="dxa"/>
            <w:vAlign w:val="top"/>
          </w:tcPr>
          <w:p w14:paraId="791EFB1E">
            <w:pPr>
              <w:spacing w:after="50" w:afterLines="0" w:line="400" w:lineRule="exact"/>
              <w:rPr>
                <w:rFonts w:hint="eastAsia" w:ascii="宋体" w:hAnsi="宋体" w:cs="宋体"/>
                <w:color w:val="auto"/>
                <w:highlight w:val="none"/>
              </w:rPr>
            </w:pPr>
          </w:p>
        </w:tc>
        <w:tc>
          <w:tcPr>
            <w:tcW w:w="735" w:type="dxa"/>
            <w:vAlign w:val="top"/>
          </w:tcPr>
          <w:p w14:paraId="0C8FDD12">
            <w:pPr>
              <w:spacing w:after="50" w:afterLines="0" w:line="400" w:lineRule="exact"/>
              <w:rPr>
                <w:rFonts w:hint="eastAsia" w:ascii="宋体" w:hAnsi="宋体" w:cs="宋体"/>
                <w:color w:val="auto"/>
                <w:highlight w:val="none"/>
              </w:rPr>
            </w:pPr>
          </w:p>
        </w:tc>
        <w:tc>
          <w:tcPr>
            <w:tcW w:w="1102" w:type="dxa"/>
            <w:vAlign w:val="top"/>
          </w:tcPr>
          <w:p w14:paraId="6B101E3E">
            <w:pPr>
              <w:pStyle w:val="48"/>
              <w:spacing w:after="50" w:afterLines="0" w:line="400" w:lineRule="exact"/>
              <w:rPr>
                <w:rFonts w:hint="eastAsia" w:hAnsi="宋体" w:cs="宋体"/>
                <w:color w:val="auto"/>
                <w:szCs w:val="24"/>
                <w:highlight w:val="none"/>
              </w:rPr>
            </w:pPr>
          </w:p>
        </w:tc>
        <w:tc>
          <w:tcPr>
            <w:tcW w:w="1104" w:type="dxa"/>
            <w:vAlign w:val="top"/>
          </w:tcPr>
          <w:p w14:paraId="289D6405">
            <w:pPr>
              <w:spacing w:after="50" w:afterLines="0" w:line="400" w:lineRule="exact"/>
              <w:rPr>
                <w:rFonts w:hint="eastAsia" w:ascii="宋体" w:hAnsi="宋体" w:cs="宋体"/>
                <w:color w:val="auto"/>
                <w:highlight w:val="none"/>
              </w:rPr>
            </w:pPr>
          </w:p>
        </w:tc>
        <w:tc>
          <w:tcPr>
            <w:tcW w:w="840" w:type="dxa"/>
            <w:tcBorders>
              <w:left w:val="single" w:color="auto" w:sz="4" w:space="0"/>
            </w:tcBorders>
            <w:vAlign w:val="top"/>
          </w:tcPr>
          <w:p w14:paraId="7909F4E7">
            <w:pPr>
              <w:spacing w:after="50" w:afterLines="0" w:line="400" w:lineRule="exact"/>
              <w:rPr>
                <w:rFonts w:hint="eastAsia" w:ascii="宋体" w:hAnsi="宋体" w:cs="宋体"/>
                <w:color w:val="auto"/>
                <w:highlight w:val="none"/>
              </w:rPr>
            </w:pPr>
          </w:p>
        </w:tc>
      </w:tr>
    </w:tbl>
    <w:p w14:paraId="22E3F251">
      <w:pPr>
        <w:spacing w:after="50" w:afterLines="0" w:line="400" w:lineRule="exact"/>
        <w:ind w:firstLine="482" w:firstLineChars="200"/>
        <w:rPr>
          <w:rFonts w:hint="eastAsia" w:ascii="宋体" w:hAnsi="宋体" w:cs="宋体"/>
          <w:b/>
          <w:bCs/>
          <w:color w:val="auto"/>
          <w:sz w:val="24"/>
          <w:highlight w:val="none"/>
        </w:rPr>
      </w:pPr>
    </w:p>
    <w:p w14:paraId="7A88BB95">
      <w:pPr>
        <w:spacing w:after="50" w:afterLines="0"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附表二  ⑵劳动力计划表</w:t>
      </w:r>
    </w:p>
    <w:p w14:paraId="707C850B">
      <w:pPr>
        <w:ind w:firstLine="482" w:firstLineChars="200"/>
        <w:jc w:val="center"/>
        <w:rPr>
          <w:rFonts w:hint="eastAsia" w:ascii="宋体" w:hAnsi="宋体" w:cs="宋体"/>
          <w:b/>
          <w:color w:val="auto"/>
          <w:sz w:val="24"/>
          <w:highlight w:val="none"/>
        </w:rPr>
      </w:pPr>
      <w:r>
        <w:rPr>
          <w:rFonts w:hint="eastAsia" w:ascii="宋体" w:hAnsi="宋体" w:cs="宋体"/>
          <w:b/>
          <w:color w:val="auto"/>
          <w:sz w:val="24"/>
          <w:highlight w:val="none"/>
        </w:rPr>
        <w:t>劳动力计划表（格式）</w:t>
      </w:r>
    </w:p>
    <w:p w14:paraId="50ABDA4A">
      <w:pPr>
        <w:spacing w:after="50" w:afterLines="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单位： 人  </w:t>
      </w:r>
    </w:p>
    <w:tbl>
      <w:tblPr>
        <w:tblStyle w:val="22"/>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096"/>
        <w:gridCol w:w="1096"/>
        <w:gridCol w:w="1096"/>
        <w:gridCol w:w="1096"/>
        <w:gridCol w:w="1279"/>
        <w:gridCol w:w="1279"/>
        <w:gridCol w:w="1380"/>
      </w:tblGrid>
      <w:tr w14:paraId="3EAD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2" w:type="dxa"/>
            <w:vMerge w:val="restart"/>
            <w:vAlign w:val="center"/>
          </w:tcPr>
          <w:p w14:paraId="7C787264">
            <w:pPr>
              <w:spacing w:after="50" w:afterLines="0" w:line="400" w:lineRule="exact"/>
              <w:rPr>
                <w:rFonts w:hint="eastAsia" w:ascii="宋体" w:hAnsi="宋体" w:cs="宋体"/>
                <w:color w:val="auto"/>
                <w:highlight w:val="none"/>
              </w:rPr>
            </w:pPr>
            <w:r>
              <w:rPr>
                <w:rFonts w:hint="eastAsia" w:ascii="宋体" w:hAnsi="宋体" w:cs="宋体"/>
                <w:color w:val="auto"/>
                <w:highlight w:val="none"/>
              </w:rPr>
              <w:t>工种</w:t>
            </w:r>
          </w:p>
        </w:tc>
        <w:tc>
          <w:tcPr>
            <w:tcW w:w="8322" w:type="dxa"/>
            <w:gridSpan w:val="7"/>
            <w:vAlign w:val="center"/>
          </w:tcPr>
          <w:p w14:paraId="3A4AFA37">
            <w:pPr>
              <w:spacing w:after="50" w:afterLines="0" w:line="400" w:lineRule="exact"/>
              <w:rPr>
                <w:rFonts w:hint="eastAsia" w:ascii="宋体" w:hAnsi="宋体" w:cs="宋体"/>
                <w:color w:val="auto"/>
                <w:highlight w:val="none"/>
              </w:rPr>
            </w:pPr>
            <w:r>
              <w:rPr>
                <w:rFonts w:hint="eastAsia" w:ascii="宋体" w:hAnsi="宋体" w:cs="宋体"/>
                <w:color w:val="auto"/>
                <w:highlight w:val="none"/>
              </w:rPr>
              <w:t>按</w:t>
            </w:r>
            <w:r>
              <w:rPr>
                <w:rFonts w:hint="eastAsia" w:ascii="宋体" w:hAnsi="宋体" w:cs="宋体"/>
                <w:color w:val="auto"/>
                <w:szCs w:val="20"/>
                <w:highlight w:val="none"/>
              </w:rPr>
              <w:t>项目</w:t>
            </w:r>
            <w:r>
              <w:rPr>
                <w:rFonts w:hint="eastAsia" w:ascii="宋体" w:hAnsi="宋体" w:cs="宋体"/>
                <w:color w:val="auto"/>
                <w:highlight w:val="none"/>
              </w:rPr>
              <w:t>施工阶段投入劳动力情况</w:t>
            </w:r>
          </w:p>
        </w:tc>
      </w:tr>
      <w:tr w14:paraId="47F2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2" w:type="dxa"/>
            <w:vMerge w:val="continue"/>
            <w:vAlign w:val="center"/>
          </w:tcPr>
          <w:p w14:paraId="6364BBD0">
            <w:pPr>
              <w:spacing w:after="50" w:afterLines="0" w:line="400" w:lineRule="exact"/>
              <w:rPr>
                <w:rFonts w:hint="eastAsia" w:ascii="宋体" w:hAnsi="宋体" w:cs="宋体"/>
                <w:color w:val="auto"/>
                <w:sz w:val="24"/>
                <w:highlight w:val="none"/>
              </w:rPr>
            </w:pPr>
          </w:p>
        </w:tc>
        <w:tc>
          <w:tcPr>
            <w:tcW w:w="1096" w:type="dxa"/>
            <w:vAlign w:val="center"/>
          </w:tcPr>
          <w:p w14:paraId="684E9BC5">
            <w:pPr>
              <w:spacing w:after="50" w:afterLines="0" w:line="400" w:lineRule="exact"/>
              <w:rPr>
                <w:rFonts w:hint="eastAsia" w:ascii="宋体" w:hAnsi="宋体" w:cs="宋体"/>
                <w:color w:val="auto"/>
                <w:sz w:val="24"/>
                <w:highlight w:val="none"/>
              </w:rPr>
            </w:pPr>
          </w:p>
        </w:tc>
        <w:tc>
          <w:tcPr>
            <w:tcW w:w="1096" w:type="dxa"/>
            <w:vAlign w:val="center"/>
          </w:tcPr>
          <w:p w14:paraId="3E24712C">
            <w:pPr>
              <w:spacing w:after="50" w:afterLines="0" w:line="400" w:lineRule="exact"/>
              <w:rPr>
                <w:rFonts w:hint="eastAsia" w:ascii="宋体" w:hAnsi="宋体" w:cs="宋体"/>
                <w:color w:val="auto"/>
                <w:sz w:val="24"/>
                <w:highlight w:val="none"/>
              </w:rPr>
            </w:pPr>
          </w:p>
        </w:tc>
        <w:tc>
          <w:tcPr>
            <w:tcW w:w="1096" w:type="dxa"/>
            <w:vAlign w:val="center"/>
          </w:tcPr>
          <w:p w14:paraId="4170C6A7">
            <w:pPr>
              <w:spacing w:after="50" w:afterLines="0" w:line="400" w:lineRule="exact"/>
              <w:rPr>
                <w:rFonts w:hint="eastAsia" w:ascii="宋体" w:hAnsi="宋体" w:cs="宋体"/>
                <w:color w:val="auto"/>
                <w:sz w:val="24"/>
                <w:highlight w:val="none"/>
              </w:rPr>
            </w:pPr>
          </w:p>
        </w:tc>
        <w:tc>
          <w:tcPr>
            <w:tcW w:w="1096" w:type="dxa"/>
            <w:vAlign w:val="center"/>
          </w:tcPr>
          <w:p w14:paraId="517EC7BA">
            <w:pPr>
              <w:spacing w:after="50" w:afterLines="0" w:line="400" w:lineRule="exact"/>
              <w:rPr>
                <w:rFonts w:hint="eastAsia" w:ascii="宋体" w:hAnsi="宋体" w:cs="宋体"/>
                <w:color w:val="auto"/>
                <w:sz w:val="24"/>
                <w:highlight w:val="none"/>
              </w:rPr>
            </w:pPr>
          </w:p>
        </w:tc>
        <w:tc>
          <w:tcPr>
            <w:tcW w:w="1279" w:type="dxa"/>
            <w:vAlign w:val="center"/>
          </w:tcPr>
          <w:p w14:paraId="39C83267">
            <w:pPr>
              <w:spacing w:after="50" w:afterLines="0" w:line="400" w:lineRule="exact"/>
              <w:rPr>
                <w:rFonts w:hint="eastAsia" w:ascii="宋体" w:hAnsi="宋体" w:cs="宋体"/>
                <w:color w:val="auto"/>
                <w:sz w:val="24"/>
                <w:highlight w:val="none"/>
              </w:rPr>
            </w:pPr>
          </w:p>
        </w:tc>
        <w:tc>
          <w:tcPr>
            <w:tcW w:w="1279" w:type="dxa"/>
            <w:vAlign w:val="center"/>
          </w:tcPr>
          <w:p w14:paraId="53DE6848">
            <w:pPr>
              <w:spacing w:after="50" w:afterLines="0" w:line="400" w:lineRule="exact"/>
              <w:rPr>
                <w:rFonts w:hint="eastAsia" w:ascii="宋体" w:hAnsi="宋体" w:cs="宋体"/>
                <w:color w:val="auto"/>
                <w:sz w:val="24"/>
                <w:highlight w:val="none"/>
              </w:rPr>
            </w:pPr>
          </w:p>
        </w:tc>
        <w:tc>
          <w:tcPr>
            <w:tcW w:w="1380" w:type="dxa"/>
            <w:vAlign w:val="center"/>
          </w:tcPr>
          <w:p w14:paraId="50210654">
            <w:pPr>
              <w:spacing w:after="50" w:afterLines="0" w:line="400" w:lineRule="exact"/>
              <w:rPr>
                <w:rFonts w:hint="eastAsia" w:ascii="宋体" w:hAnsi="宋体" w:cs="宋体"/>
                <w:color w:val="auto"/>
                <w:sz w:val="24"/>
                <w:highlight w:val="none"/>
              </w:rPr>
            </w:pPr>
          </w:p>
        </w:tc>
      </w:tr>
      <w:tr w14:paraId="2291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top"/>
          </w:tcPr>
          <w:p w14:paraId="55D892E6">
            <w:pPr>
              <w:spacing w:after="50" w:afterLines="0" w:line="400" w:lineRule="exact"/>
              <w:rPr>
                <w:rFonts w:hint="eastAsia" w:ascii="宋体" w:hAnsi="宋体" w:cs="宋体"/>
                <w:color w:val="auto"/>
                <w:sz w:val="24"/>
                <w:highlight w:val="none"/>
              </w:rPr>
            </w:pPr>
          </w:p>
        </w:tc>
        <w:tc>
          <w:tcPr>
            <w:tcW w:w="1096" w:type="dxa"/>
            <w:vAlign w:val="top"/>
          </w:tcPr>
          <w:p w14:paraId="554A5616">
            <w:pPr>
              <w:spacing w:after="50" w:afterLines="0" w:line="400" w:lineRule="exact"/>
              <w:rPr>
                <w:rFonts w:hint="eastAsia" w:ascii="宋体" w:hAnsi="宋体" w:cs="宋体"/>
                <w:color w:val="auto"/>
                <w:sz w:val="24"/>
                <w:highlight w:val="none"/>
              </w:rPr>
            </w:pPr>
          </w:p>
        </w:tc>
        <w:tc>
          <w:tcPr>
            <w:tcW w:w="1096" w:type="dxa"/>
            <w:vAlign w:val="top"/>
          </w:tcPr>
          <w:p w14:paraId="27E0CAFF">
            <w:pPr>
              <w:spacing w:after="50" w:afterLines="0" w:line="400" w:lineRule="exact"/>
              <w:rPr>
                <w:rFonts w:hint="eastAsia" w:ascii="宋体" w:hAnsi="宋体" w:cs="宋体"/>
                <w:color w:val="auto"/>
                <w:sz w:val="24"/>
                <w:highlight w:val="none"/>
              </w:rPr>
            </w:pPr>
          </w:p>
        </w:tc>
        <w:tc>
          <w:tcPr>
            <w:tcW w:w="1096" w:type="dxa"/>
            <w:vAlign w:val="top"/>
          </w:tcPr>
          <w:p w14:paraId="5514D1E8">
            <w:pPr>
              <w:spacing w:after="50" w:afterLines="0" w:line="400" w:lineRule="exact"/>
              <w:rPr>
                <w:rFonts w:hint="eastAsia" w:ascii="宋体" w:hAnsi="宋体" w:cs="宋体"/>
                <w:color w:val="auto"/>
                <w:sz w:val="24"/>
                <w:highlight w:val="none"/>
              </w:rPr>
            </w:pPr>
          </w:p>
        </w:tc>
        <w:tc>
          <w:tcPr>
            <w:tcW w:w="1096" w:type="dxa"/>
            <w:vAlign w:val="top"/>
          </w:tcPr>
          <w:p w14:paraId="0F705370">
            <w:pPr>
              <w:spacing w:after="50" w:afterLines="0" w:line="400" w:lineRule="exact"/>
              <w:rPr>
                <w:rFonts w:hint="eastAsia" w:ascii="宋体" w:hAnsi="宋体" w:cs="宋体"/>
                <w:color w:val="auto"/>
                <w:sz w:val="24"/>
                <w:highlight w:val="none"/>
              </w:rPr>
            </w:pPr>
          </w:p>
        </w:tc>
        <w:tc>
          <w:tcPr>
            <w:tcW w:w="1279" w:type="dxa"/>
            <w:vAlign w:val="top"/>
          </w:tcPr>
          <w:p w14:paraId="3F9FAB00">
            <w:pPr>
              <w:spacing w:after="50" w:afterLines="0" w:line="400" w:lineRule="exact"/>
              <w:rPr>
                <w:rFonts w:hint="eastAsia" w:ascii="宋体" w:hAnsi="宋体" w:cs="宋体"/>
                <w:color w:val="auto"/>
                <w:sz w:val="24"/>
                <w:highlight w:val="none"/>
              </w:rPr>
            </w:pPr>
          </w:p>
        </w:tc>
        <w:tc>
          <w:tcPr>
            <w:tcW w:w="1279" w:type="dxa"/>
            <w:vAlign w:val="top"/>
          </w:tcPr>
          <w:p w14:paraId="1286DC57">
            <w:pPr>
              <w:spacing w:after="50" w:afterLines="0" w:line="400" w:lineRule="exact"/>
              <w:rPr>
                <w:rFonts w:hint="eastAsia" w:ascii="宋体" w:hAnsi="宋体" w:cs="宋体"/>
                <w:color w:val="auto"/>
                <w:sz w:val="24"/>
                <w:highlight w:val="none"/>
              </w:rPr>
            </w:pPr>
          </w:p>
        </w:tc>
        <w:tc>
          <w:tcPr>
            <w:tcW w:w="1380" w:type="dxa"/>
            <w:vAlign w:val="top"/>
          </w:tcPr>
          <w:p w14:paraId="0F2B96F2">
            <w:pPr>
              <w:spacing w:after="50" w:afterLines="0" w:line="400" w:lineRule="exact"/>
              <w:rPr>
                <w:rFonts w:hint="eastAsia" w:ascii="宋体" w:hAnsi="宋体" w:cs="宋体"/>
                <w:color w:val="auto"/>
                <w:sz w:val="24"/>
                <w:highlight w:val="none"/>
              </w:rPr>
            </w:pPr>
          </w:p>
        </w:tc>
      </w:tr>
      <w:tr w14:paraId="2508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top"/>
          </w:tcPr>
          <w:p w14:paraId="476E0914">
            <w:pPr>
              <w:spacing w:after="50" w:afterLines="0" w:line="400" w:lineRule="exact"/>
              <w:rPr>
                <w:rFonts w:hint="eastAsia" w:ascii="宋体" w:hAnsi="宋体" w:cs="宋体"/>
                <w:color w:val="auto"/>
                <w:sz w:val="24"/>
                <w:highlight w:val="none"/>
              </w:rPr>
            </w:pPr>
          </w:p>
        </w:tc>
        <w:tc>
          <w:tcPr>
            <w:tcW w:w="1096" w:type="dxa"/>
            <w:vAlign w:val="top"/>
          </w:tcPr>
          <w:p w14:paraId="38503007">
            <w:pPr>
              <w:spacing w:after="50" w:afterLines="0" w:line="400" w:lineRule="exact"/>
              <w:rPr>
                <w:rFonts w:hint="eastAsia" w:ascii="宋体" w:hAnsi="宋体" w:cs="宋体"/>
                <w:color w:val="auto"/>
                <w:sz w:val="24"/>
                <w:highlight w:val="none"/>
              </w:rPr>
            </w:pPr>
          </w:p>
        </w:tc>
        <w:tc>
          <w:tcPr>
            <w:tcW w:w="1096" w:type="dxa"/>
            <w:vAlign w:val="top"/>
          </w:tcPr>
          <w:p w14:paraId="3FE340C7">
            <w:pPr>
              <w:spacing w:after="50" w:afterLines="0" w:line="400" w:lineRule="exact"/>
              <w:rPr>
                <w:rFonts w:hint="eastAsia" w:ascii="宋体" w:hAnsi="宋体" w:cs="宋体"/>
                <w:color w:val="auto"/>
                <w:sz w:val="24"/>
                <w:highlight w:val="none"/>
              </w:rPr>
            </w:pPr>
          </w:p>
        </w:tc>
        <w:tc>
          <w:tcPr>
            <w:tcW w:w="1096" w:type="dxa"/>
            <w:vAlign w:val="top"/>
          </w:tcPr>
          <w:p w14:paraId="494C1F5A">
            <w:pPr>
              <w:spacing w:after="50" w:afterLines="0" w:line="400" w:lineRule="exact"/>
              <w:rPr>
                <w:rFonts w:hint="eastAsia" w:ascii="宋体" w:hAnsi="宋体" w:cs="宋体"/>
                <w:color w:val="auto"/>
                <w:sz w:val="24"/>
                <w:highlight w:val="none"/>
              </w:rPr>
            </w:pPr>
          </w:p>
        </w:tc>
        <w:tc>
          <w:tcPr>
            <w:tcW w:w="1096" w:type="dxa"/>
            <w:vAlign w:val="top"/>
          </w:tcPr>
          <w:p w14:paraId="35809C53">
            <w:pPr>
              <w:spacing w:after="50" w:afterLines="0" w:line="400" w:lineRule="exact"/>
              <w:rPr>
                <w:rFonts w:hint="eastAsia" w:ascii="宋体" w:hAnsi="宋体" w:cs="宋体"/>
                <w:color w:val="auto"/>
                <w:sz w:val="24"/>
                <w:highlight w:val="none"/>
              </w:rPr>
            </w:pPr>
          </w:p>
        </w:tc>
        <w:tc>
          <w:tcPr>
            <w:tcW w:w="1279" w:type="dxa"/>
            <w:vAlign w:val="top"/>
          </w:tcPr>
          <w:p w14:paraId="61B28689">
            <w:pPr>
              <w:pStyle w:val="17"/>
              <w:tabs>
                <w:tab w:val="right" w:leader="dot" w:pos="9174"/>
              </w:tabs>
              <w:rPr>
                <w:rFonts w:hint="eastAsia" w:ascii="宋体" w:hAnsi="宋体" w:cs="宋体"/>
                <w:color w:val="auto"/>
                <w:highlight w:val="none"/>
              </w:rPr>
            </w:pPr>
          </w:p>
        </w:tc>
        <w:tc>
          <w:tcPr>
            <w:tcW w:w="1279" w:type="dxa"/>
            <w:vAlign w:val="top"/>
          </w:tcPr>
          <w:p w14:paraId="54527B63">
            <w:pPr>
              <w:spacing w:after="50" w:afterLines="0" w:line="400" w:lineRule="exact"/>
              <w:rPr>
                <w:rFonts w:hint="eastAsia" w:ascii="宋体" w:hAnsi="宋体" w:cs="宋体"/>
                <w:color w:val="auto"/>
                <w:sz w:val="24"/>
                <w:highlight w:val="none"/>
              </w:rPr>
            </w:pPr>
          </w:p>
        </w:tc>
        <w:tc>
          <w:tcPr>
            <w:tcW w:w="1380" w:type="dxa"/>
            <w:vAlign w:val="top"/>
          </w:tcPr>
          <w:p w14:paraId="38D7846C">
            <w:pPr>
              <w:spacing w:after="50" w:afterLines="0" w:line="400" w:lineRule="exact"/>
              <w:rPr>
                <w:rFonts w:hint="eastAsia" w:ascii="宋体" w:hAnsi="宋体" w:cs="宋体"/>
                <w:color w:val="auto"/>
                <w:sz w:val="24"/>
                <w:highlight w:val="none"/>
              </w:rPr>
            </w:pPr>
          </w:p>
        </w:tc>
      </w:tr>
      <w:tr w14:paraId="3A0D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top"/>
          </w:tcPr>
          <w:p w14:paraId="2416C7C2">
            <w:pPr>
              <w:spacing w:after="50" w:afterLines="0" w:line="400" w:lineRule="exact"/>
              <w:rPr>
                <w:rFonts w:hint="eastAsia" w:ascii="宋体" w:hAnsi="宋体" w:cs="宋体"/>
                <w:color w:val="auto"/>
                <w:sz w:val="24"/>
                <w:highlight w:val="none"/>
              </w:rPr>
            </w:pPr>
          </w:p>
        </w:tc>
        <w:tc>
          <w:tcPr>
            <w:tcW w:w="1096" w:type="dxa"/>
            <w:vAlign w:val="top"/>
          </w:tcPr>
          <w:p w14:paraId="795D1212">
            <w:pPr>
              <w:spacing w:after="50" w:afterLines="0" w:line="400" w:lineRule="exact"/>
              <w:rPr>
                <w:rFonts w:hint="eastAsia" w:ascii="宋体" w:hAnsi="宋体" w:cs="宋体"/>
                <w:color w:val="auto"/>
                <w:sz w:val="24"/>
                <w:highlight w:val="none"/>
              </w:rPr>
            </w:pPr>
          </w:p>
        </w:tc>
        <w:tc>
          <w:tcPr>
            <w:tcW w:w="1096" w:type="dxa"/>
            <w:vAlign w:val="top"/>
          </w:tcPr>
          <w:p w14:paraId="77A78633">
            <w:pPr>
              <w:spacing w:after="50" w:afterLines="0" w:line="400" w:lineRule="exact"/>
              <w:rPr>
                <w:rFonts w:hint="eastAsia" w:ascii="宋体" w:hAnsi="宋体" w:cs="宋体"/>
                <w:color w:val="auto"/>
                <w:sz w:val="24"/>
                <w:highlight w:val="none"/>
              </w:rPr>
            </w:pPr>
          </w:p>
        </w:tc>
        <w:tc>
          <w:tcPr>
            <w:tcW w:w="1096" w:type="dxa"/>
            <w:vAlign w:val="top"/>
          </w:tcPr>
          <w:p w14:paraId="564529B9">
            <w:pPr>
              <w:spacing w:after="50" w:afterLines="0" w:line="400" w:lineRule="exact"/>
              <w:rPr>
                <w:rFonts w:hint="eastAsia" w:ascii="宋体" w:hAnsi="宋体" w:cs="宋体"/>
                <w:color w:val="auto"/>
                <w:sz w:val="24"/>
                <w:highlight w:val="none"/>
              </w:rPr>
            </w:pPr>
          </w:p>
        </w:tc>
        <w:tc>
          <w:tcPr>
            <w:tcW w:w="1096" w:type="dxa"/>
            <w:vAlign w:val="top"/>
          </w:tcPr>
          <w:p w14:paraId="5E71A116">
            <w:pPr>
              <w:spacing w:after="50" w:afterLines="0" w:line="400" w:lineRule="exact"/>
              <w:rPr>
                <w:rFonts w:hint="eastAsia" w:ascii="宋体" w:hAnsi="宋体" w:cs="宋体"/>
                <w:color w:val="auto"/>
                <w:sz w:val="24"/>
                <w:highlight w:val="none"/>
              </w:rPr>
            </w:pPr>
          </w:p>
        </w:tc>
        <w:tc>
          <w:tcPr>
            <w:tcW w:w="1279" w:type="dxa"/>
            <w:vAlign w:val="top"/>
          </w:tcPr>
          <w:p w14:paraId="173B447A">
            <w:pPr>
              <w:spacing w:after="50" w:afterLines="0" w:line="400" w:lineRule="exact"/>
              <w:rPr>
                <w:rFonts w:hint="eastAsia" w:ascii="宋体" w:hAnsi="宋体" w:cs="宋体"/>
                <w:color w:val="auto"/>
                <w:sz w:val="24"/>
                <w:highlight w:val="none"/>
              </w:rPr>
            </w:pPr>
          </w:p>
        </w:tc>
        <w:tc>
          <w:tcPr>
            <w:tcW w:w="1279" w:type="dxa"/>
            <w:vAlign w:val="top"/>
          </w:tcPr>
          <w:p w14:paraId="75B0B850">
            <w:pPr>
              <w:spacing w:after="50" w:afterLines="0" w:line="400" w:lineRule="exact"/>
              <w:rPr>
                <w:rFonts w:hint="eastAsia" w:ascii="宋体" w:hAnsi="宋体" w:cs="宋体"/>
                <w:color w:val="auto"/>
                <w:sz w:val="24"/>
                <w:highlight w:val="none"/>
              </w:rPr>
            </w:pPr>
          </w:p>
        </w:tc>
        <w:tc>
          <w:tcPr>
            <w:tcW w:w="1380" w:type="dxa"/>
            <w:vAlign w:val="top"/>
          </w:tcPr>
          <w:p w14:paraId="3D2C8406">
            <w:pPr>
              <w:spacing w:after="50" w:afterLines="0" w:line="400" w:lineRule="exact"/>
              <w:rPr>
                <w:rFonts w:hint="eastAsia" w:ascii="宋体" w:hAnsi="宋体" w:cs="宋体"/>
                <w:color w:val="auto"/>
                <w:sz w:val="24"/>
                <w:highlight w:val="none"/>
              </w:rPr>
            </w:pPr>
          </w:p>
        </w:tc>
      </w:tr>
      <w:tr w14:paraId="7C7B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top"/>
          </w:tcPr>
          <w:p w14:paraId="4723F880">
            <w:pPr>
              <w:spacing w:after="50" w:afterLines="0" w:line="400" w:lineRule="exact"/>
              <w:rPr>
                <w:rFonts w:hint="eastAsia" w:ascii="宋体" w:hAnsi="宋体" w:cs="宋体"/>
                <w:color w:val="auto"/>
                <w:sz w:val="24"/>
                <w:highlight w:val="none"/>
              </w:rPr>
            </w:pPr>
          </w:p>
        </w:tc>
        <w:tc>
          <w:tcPr>
            <w:tcW w:w="1096" w:type="dxa"/>
            <w:vAlign w:val="top"/>
          </w:tcPr>
          <w:p w14:paraId="6773C46B">
            <w:pPr>
              <w:spacing w:after="50" w:afterLines="0" w:line="400" w:lineRule="exact"/>
              <w:rPr>
                <w:rFonts w:hint="eastAsia" w:ascii="宋体" w:hAnsi="宋体" w:cs="宋体"/>
                <w:color w:val="auto"/>
                <w:sz w:val="24"/>
                <w:highlight w:val="none"/>
              </w:rPr>
            </w:pPr>
          </w:p>
        </w:tc>
        <w:tc>
          <w:tcPr>
            <w:tcW w:w="1096" w:type="dxa"/>
            <w:vAlign w:val="top"/>
          </w:tcPr>
          <w:p w14:paraId="5CC99711">
            <w:pPr>
              <w:spacing w:after="50" w:afterLines="0" w:line="400" w:lineRule="exact"/>
              <w:rPr>
                <w:rFonts w:hint="eastAsia" w:ascii="宋体" w:hAnsi="宋体" w:cs="宋体"/>
                <w:color w:val="auto"/>
                <w:sz w:val="24"/>
                <w:highlight w:val="none"/>
              </w:rPr>
            </w:pPr>
          </w:p>
        </w:tc>
        <w:tc>
          <w:tcPr>
            <w:tcW w:w="1096" w:type="dxa"/>
            <w:vAlign w:val="top"/>
          </w:tcPr>
          <w:p w14:paraId="25A5F2BB">
            <w:pPr>
              <w:spacing w:after="50" w:afterLines="0" w:line="400" w:lineRule="exact"/>
              <w:rPr>
                <w:rFonts w:hint="eastAsia" w:ascii="宋体" w:hAnsi="宋体" w:cs="宋体"/>
                <w:color w:val="auto"/>
                <w:sz w:val="24"/>
                <w:highlight w:val="none"/>
              </w:rPr>
            </w:pPr>
          </w:p>
        </w:tc>
        <w:tc>
          <w:tcPr>
            <w:tcW w:w="1096" w:type="dxa"/>
            <w:vAlign w:val="top"/>
          </w:tcPr>
          <w:p w14:paraId="6744404A">
            <w:pPr>
              <w:spacing w:after="50" w:afterLines="0" w:line="400" w:lineRule="exact"/>
              <w:rPr>
                <w:rFonts w:hint="eastAsia" w:ascii="宋体" w:hAnsi="宋体" w:cs="宋体"/>
                <w:color w:val="auto"/>
                <w:sz w:val="24"/>
                <w:highlight w:val="none"/>
              </w:rPr>
            </w:pPr>
          </w:p>
        </w:tc>
        <w:tc>
          <w:tcPr>
            <w:tcW w:w="1279" w:type="dxa"/>
            <w:vAlign w:val="top"/>
          </w:tcPr>
          <w:p w14:paraId="6DD4E716">
            <w:pPr>
              <w:spacing w:after="50" w:afterLines="0" w:line="400" w:lineRule="exact"/>
              <w:rPr>
                <w:rFonts w:hint="eastAsia" w:ascii="宋体" w:hAnsi="宋体" w:cs="宋体"/>
                <w:color w:val="auto"/>
                <w:sz w:val="24"/>
                <w:highlight w:val="none"/>
              </w:rPr>
            </w:pPr>
          </w:p>
        </w:tc>
        <w:tc>
          <w:tcPr>
            <w:tcW w:w="1279" w:type="dxa"/>
            <w:vAlign w:val="top"/>
          </w:tcPr>
          <w:p w14:paraId="17F9433C">
            <w:pPr>
              <w:spacing w:after="50" w:afterLines="0" w:line="400" w:lineRule="exact"/>
              <w:rPr>
                <w:rFonts w:hint="eastAsia" w:ascii="宋体" w:hAnsi="宋体" w:cs="宋体"/>
                <w:color w:val="auto"/>
                <w:sz w:val="24"/>
                <w:highlight w:val="none"/>
              </w:rPr>
            </w:pPr>
          </w:p>
        </w:tc>
        <w:tc>
          <w:tcPr>
            <w:tcW w:w="1380" w:type="dxa"/>
            <w:vAlign w:val="top"/>
          </w:tcPr>
          <w:p w14:paraId="51B74E74">
            <w:pPr>
              <w:spacing w:after="50" w:afterLines="0" w:line="400" w:lineRule="exact"/>
              <w:rPr>
                <w:rFonts w:hint="eastAsia" w:ascii="宋体" w:hAnsi="宋体" w:cs="宋体"/>
                <w:color w:val="auto"/>
                <w:sz w:val="24"/>
                <w:highlight w:val="none"/>
              </w:rPr>
            </w:pPr>
          </w:p>
        </w:tc>
      </w:tr>
      <w:tr w14:paraId="3009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top"/>
          </w:tcPr>
          <w:p w14:paraId="1FB3FE8C">
            <w:pPr>
              <w:spacing w:after="50" w:afterLines="0" w:line="400" w:lineRule="exact"/>
              <w:rPr>
                <w:rFonts w:hint="eastAsia" w:ascii="宋体" w:hAnsi="宋体" w:cs="宋体"/>
                <w:color w:val="auto"/>
                <w:sz w:val="24"/>
                <w:highlight w:val="none"/>
              </w:rPr>
            </w:pPr>
          </w:p>
        </w:tc>
        <w:tc>
          <w:tcPr>
            <w:tcW w:w="1096" w:type="dxa"/>
            <w:vAlign w:val="top"/>
          </w:tcPr>
          <w:p w14:paraId="4EC79738">
            <w:pPr>
              <w:spacing w:after="50" w:afterLines="0" w:line="400" w:lineRule="exact"/>
              <w:rPr>
                <w:rFonts w:hint="eastAsia" w:ascii="宋体" w:hAnsi="宋体" w:cs="宋体"/>
                <w:color w:val="auto"/>
                <w:sz w:val="24"/>
                <w:highlight w:val="none"/>
              </w:rPr>
            </w:pPr>
          </w:p>
        </w:tc>
        <w:tc>
          <w:tcPr>
            <w:tcW w:w="1096" w:type="dxa"/>
            <w:vAlign w:val="top"/>
          </w:tcPr>
          <w:p w14:paraId="52C1F915">
            <w:pPr>
              <w:spacing w:after="50" w:afterLines="0" w:line="400" w:lineRule="exact"/>
              <w:rPr>
                <w:rFonts w:hint="eastAsia" w:ascii="宋体" w:hAnsi="宋体" w:cs="宋体"/>
                <w:color w:val="auto"/>
                <w:sz w:val="24"/>
                <w:highlight w:val="none"/>
              </w:rPr>
            </w:pPr>
          </w:p>
        </w:tc>
        <w:tc>
          <w:tcPr>
            <w:tcW w:w="1096" w:type="dxa"/>
            <w:vAlign w:val="top"/>
          </w:tcPr>
          <w:p w14:paraId="0AD8EDA3">
            <w:pPr>
              <w:spacing w:after="50" w:afterLines="0" w:line="400" w:lineRule="exact"/>
              <w:rPr>
                <w:rFonts w:hint="eastAsia" w:ascii="宋体" w:hAnsi="宋体" w:cs="宋体"/>
                <w:color w:val="auto"/>
                <w:sz w:val="24"/>
                <w:highlight w:val="none"/>
              </w:rPr>
            </w:pPr>
          </w:p>
        </w:tc>
        <w:tc>
          <w:tcPr>
            <w:tcW w:w="1096" w:type="dxa"/>
            <w:vAlign w:val="top"/>
          </w:tcPr>
          <w:p w14:paraId="7A80F781">
            <w:pPr>
              <w:spacing w:after="50" w:afterLines="0" w:line="400" w:lineRule="exact"/>
              <w:rPr>
                <w:rFonts w:hint="eastAsia" w:ascii="宋体" w:hAnsi="宋体" w:cs="宋体"/>
                <w:color w:val="auto"/>
                <w:sz w:val="24"/>
                <w:highlight w:val="none"/>
              </w:rPr>
            </w:pPr>
          </w:p>
        </w:tc>
        <w:tc>
          <w:tcPr>
            <w:tcW w:w="1279" w:type="dxa"/>
            <w:vAlign w:val="top"/>
          </w:tcPr>
          <w:p w14:paraId="0898F135">
            <w:pPr>
              <w:spacing w:after="50" w:afterLines="0" w:line="400" w:lineRule="exact"/>
              <w:rPr>
                <w:rFonts w:hint="eastAsia" w:ascii="宋体" w:hAnsi="宋体" w:cs="宋体"/>
                <w:color w:val="auto"/>
                <w:sz w:val="24"/>
                <w:highlight w:val="none"/>
              </w:rPr>
            </w:pPr>
          </w:p>
        </w:tc>
        <w:tc>
          <w:tcPr>
            <w:tcW w:w="1279" w:type="dxa"/>
            <w:vAlign w:val="top"/>
          </w:tcPr>
          <w:p w14:paraId="4999880E">
            <w:pPr>
              <w:spacing w:after="50" w:afterLines="0" w:line="400" w:lineRule="exact"/>
              <w:rPr>
                <w:rFonts w:hint="eastAsia" w:ascii="宋体" w:hAnsi="宋体" w:cs="宋体"/>
                <w:color w:val="auto"/>
                <w:sz w:val="24"/>
                <w:highlight w:val="none"/>
              </w:rPr>
            </w:pPr>
          </w:p>
        </w:tc>
        <w:tc>
          <w:tcPr>
            <w:tcW w:w="1380" w:type="dxa"/>
            <w:vAlign w:val="top"/>
          </w:tcPr>
          <w:p w14:paraId="09D214FE">
            <w:pPr>
              <w:spacing w:after="50" w:afterLines="0" w:line="400" w:lineRule="exact"/>
              <w:rPr>
                <w:rFonts w:hint="eastAsia" w:ascii="宋体" w:hAnsi="宋体" w:cs="宋体"/>
                <w:color w:val="auto"/>
                <w:sz w:val="24"/>
                <w:highlight w:val="none"/>
              </w:rPr>
            </w:pPr>
          </w:p>
        </w:tc>
      </w:tr>
    </w:tbl>
    <w:p w14:paraId="3DF84AEF">
      <w:pPr>
        <w:spacing w:after="50" w:afterLines="0" w:line="400" w:lineRule="exact"/>
        <w:ind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注：1.供应商应按所列格式提交包括分包人在内的估计劳动力计划表。</w:t>
      </w:r>
    </w:p>
    <w:p w14:paraId="4CA7954E">
      <w:pPr>
        <w:numPr>
          <w:ilvl w:val="0"/>
          <w:numId w:val="16"/>
        </w:numPr>
        <w:spacing w:after="50" w:afterLines="0" w:line="400" w:lineRule="exact"/>
        <w:ind w:firstLine="424" w:firstLineChars="200"/>
        <w:rPr>
          <w:rFonts w:hint="eastAsia" w:ascii="宋体" w:hAnsi="宋体" w:cs="宋体"/>
          <w:snapToGrid w:val="0"/>
          <w:color w:val="auto"/>
          <w:highlight w:val="none"/>
        </w:rPr>
      </w:pPr>
      <w:r>
        <w:rPr>
          <w:rFonts w:hint="eastAsia" w:ascii="宋体" w:hAnsi="宋体" w:cs="宋体"/>
          <w:snapToGrid w:val="0"/>
          <w:color w:val="auto"/>
          <w:spacing w:val="1"/>
          <w:highlight w:val="none"/>
        </w:rPr>
        <w:t>本计划表是以每班八小时工作制为基础编制</w:t>
      </w:r>
      <w:r>
        <w:rPr>
          <w:rFonts w:hint="eastAsia" w:ascii="宋体" w:hAnsi="宋体" w:cs="宋体"/>
          <w:snapToGrid w:val="0"/>
          <w:color w:val="auto"/>
          <w:spacing w:val="-7"/>
          <w:highlight w:val="none"/>
        </w:rPr>
        <w:t>的</w:t>
      </w:r>
      <w:r>
        <w:rPr>
          <w:rFonts w:hint="eastAsia" w:ascii="宋体" w:hAnsi="宋体" w:cs="宋体"/>
          <w:snapToGrid w:val="0"/>
          <w:color w:val="auto"/>
          <w:highlight w:val="none"/>
        </w:rPr>
        <w:t>。</w:t>
      </w:r>
    </w:p>
    <w:p w14:paraId="5EC17961">
      <w:pPr>
        <w:spacing w:after="50" w:afterLines="0" w:line="400" w:lineRule="exact"/>
        <w:ind w:firstLine="482" w:firstLineChars="200"/>
        <w:rPr>
          <w:rFonts w:hint="eastAsia" w:ascii="宋体" w:hAnsi="宋体" w:cs="宋体"/>
          <w:b/>
          <w:snapToGrid w:val="0"/>
          <w:color w:val="auto"/>
          <w:sz w:val="24"/>
          <w:highlight w:val="none"/>
        </w:rPr>
      </w:pPr>
    </w:p>
    <w:p w14:paraId="066CD296">
      <w:pPr>
        <w:spacing w:after="50" w:afterLines="0" w:line="400" w:lineRule="exact"/>
        <w:ind w:firstLine="482" w:firstLineChars="200"/>
        <w:rPr>
          <w:rFonts w:hint="eastAsia" w:ascii="宋体" w:hAnsi="宋体" w:cs="宋体"/>
          <w:b/>
          <w:bCs/>
          <w:color w:val="auto"/>
          <w:sz w:val="24"/>
          <w:highlight w:val="none"/>
        </w:rPr>
      </w:pPr>
      <w:r>
        <w:rPr>
          <w:rFonts w:hint="eastAsia" w:ascii="宋体" w:hAnsi="宋体" w:cs="宋体"/>
          <w:b/>
          <w:snapToGrid w:val="0"/>
          <w:color w:val="auto"/>
          <w:sz w:val="24"/>
          <w:highlight w:val="none"/>
        </w:rPr>
        <w:t>附表三  ⑶</w:t>
      </w:r>
      <w:r>
        <w:rPr>
          <w:rFonts w:hint="eastAsia" w:ascii="宋体" w:hAnsi="宋体" w:cs="宋体"/>
          <w:b/>
          <w:bCs/>
          <w:color w:val="auto"/>
          <w:sz w:val="24"/>
          <w:highlight w:val="none"/>
        </w:rPr>
        <w:t>计划开、竣工日期和施工进度横道图</w:t>
      </w:r>
    </w:p>
    <w:p w14:paraId="1FEF32CC">
      <w:pPr>
        <w:spacing w:after="156" w:afterLines="5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1.供应商应提交施工进度横道图或施工进度表，说明按竞争性磋商采购文件要求的工期进行施工的各个关键日期。成交的供应商还应按合同条件有关条款的要求提交详细的施工进度计划。</w:t>
      </w:r>
    </w:p>
    <w:p w14:paraId="5089B519">
      <w:pPr>
        <w:spacing w:after="156" w:afterLines="5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2.施工进度表可采用横道图表示，说明计划开工日期和各分项工程各阶段的完工日期和分包合同签订的日期。</w:t>
      </w:r>
    </w:p>
    <w:p w14:paraId="4F8CC625">
      <w:pPr>
        <w:spacing w:after="156" w:afterLines="50" w:line="400" w:lineRule="exact"/>
        <w:ind w:firstLine="420" w:firstLineChars="200"/>
        <w:rPr>
          <w:rFonts w:hint="eastAsia" w:ascii="宋体" w:hAnsi="宋体" w:cs="宋体"/>
          <w:b/>
          <w:bCs/>
          <w:color w:val="auto"/>
          <w:sz w:val="24"/>
          <w:highlight w:val="none"/>
        </w:rPr>
      </w:pPr>
      <w:r>
        <w:rPr>
          <w:rFonts w:hint="eastAsia" w:ascii="宋体" w:hAnsi="宋体" w:cs="宋体"/>
          <w:color w:val="auto"/>
          <w:highlight w:val="none"/>
        </w:rPr>
        <w:t>3.施工进度计划应与施工组织设计相适应。</w:t>
      </w:r>
    </w:p>
    <w:p w14:paraId="30D718C2">
      <w:pPr>
        <w:spacing w:after="50" w:afterLines="0" w:line="40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附表四  ⑷施工总平面图</w:t>
      </w:r>
    </w:p>
    <w:p w14:paraId="4FA85FA6">
      <w:pPr>
        <w:pStyle w:val="18"/>
        <w:ind w:firstLine="420" w:firstLineChars="200"/>
        <w:rPr>
          <w:rFonts w:hint="eastAsia" w:ascii="宋体" w:hAnsi="宋体" w:cs="宋体"/>
          <w:b/>
          <w:bCs/>
          <w:color w:val="auto"/>
          <w:sz w:val="24"/>
          <w:highlight w:val="none"/>
        </w:rPr>
      </w:pPr>
      <w:r>
        <w:rPr>
          <w:rFonts w:hint="eastAsia" w:hAnsi="宋体" w:cs="宋体"/>
          <w:color w:val="auto"/>
          <w:highlight w:val="none"/>
        </w:rPr>
        <w:t>供应商应提交一份施工总平面图，绘出现场临时设施布置图表并附文字说明，说明临时设施、加工车间、现场办公、设备及仓储、供电、供水、卫生、生活等设施的情况和布置。</w:t>
      </w:r>
    </w:p>
    <w:p w14:paraId="23A65C61">
      <w:pPr>
        <w:spacing w:after="50" w:afterLines="0"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附表五  ⑸临时用地表</w:t>
      </w:r>
    </w:p>
    <w:tbl>
      <w:tblPr>
        <w:tblStyle w:val="22"/>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2366"/>
        <w:gridCol w:w="2336"/>
        <w:gridCol w:w="2336"/>
      </w:tblGrid>
      <w:tr w14:paraId="422B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335" w:type="dxa"/>
            <w:vAlign w:val="center"/>
          </w:tcPr>
          <w:p w14:paraId="60007BA0">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用 途</w:t>
            </w:r>
          </w:p>
        </w:tc>
        <w:tc>
          <w:tcPr>
            <w:tcW w:w="2366" w:type="dxa"/>
            <w:vAlign w:val="center"/>
          </w:tcPr>
          <w:p w14:paraId="2D515786">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面 积（平方米）</w:t>
            </w:r>
          </w:p>
        </w:tc>
        <w:tc>
          <w:tcPr>
            <w:tcW w:w="2336" w:type="dxa"/>
            <w:vAlign w:val="center"/>
          </w:tcPr>
          <w:p w14:paraId="0E267683">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位 置</w:t>
            </w:r>
          </w:p>
        </w:tc>
        <w:tc>
          <w:tcPr>
            <w:tcW w:w="2336" w:type="dxa"/>
            <w:vAlign w:val="center"/>
          </w:tcPr>
          <w:p w14:paraId="579F1BD1">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需用时间</w:t>
            </w:r>
          </w:p>
        </w:tc>
      </w:tr>
      <w:tr w14:paraId="1003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335" w:type="dxa"/>
            <w:vAlign w:val="center"/>
          </w:tcPr>
          <w:p w14:paraId="462F1F3A">
            <w:pPr>
              <w:spacing w:after="50" w:afterLines="0" w:line="400" w:lineRule="exact"/>
              <w:rPr>
                <w:rFonts w:hint="eastAsia" w:ascii="宋体" w:hAnsi="宋体" w:cs="宋体"/>
                <w:color w:val="auto"/>
                <w:highlight w:val="none"/>
              </w:rPr>
            </w:pPr>
          </w:p>
        </w:tc>
        <w:tc>
          <w:tcPr>
            <w:tcW w:w="2366" w:type="dxa"/>
            <w:vAlign w:val="center"/>
          </w:tcPr>
          <w:p w14:paraId="37E1900A">
            <w:pPr>
              <w:spacing w:after="50" w:afterLines="0" w:line="400" w:lineRule="exact"/>
              <w:rPr>
                <w:rFonts w:hint="eastAsia" w:ascii="宋体" w:hAnsi="宋体" w:cs="宋体"/>
                <w:color w:val="auto"/>
                <w:highlight w:val="none"/>
              </w:rPr>
            </w:pPr>
          </w:p>
        </w:tc>
        <w:tc>
          <w:tcPr>
            <w:tcW w:w="2336" w:type="dxa"/>
            <w:vAlign w:val="center"/>
          </w:tcPr>
          <w:p w14:paraId="5F0621B1">
            <w:pPr>
              <w:spacing w:after="50" w:afterLines="0" w:line="400" w:lineRule="exact"/>
              <w:rPr>
                <w:rFonts w:hint="eastAsia" w:ascii="宋体" w:hAnsi="宋体" w:cs="宋体"/>
                <w:color w:val="auto"/>
                <w:highlight w:val="none"/>
              </w:rPr>
            </w:pPr>
          </w:p>
        </w:tc>
        <w:tc>
          <w:tcPr>
            <w:tcW w:w="2336" w:type="dxa"/>
            <w:vAlign w:val="center"/>
          </w:tcPr>
          <w:p w14:paraId="2FDFBE4E">
            <w:pPr>
              <w:spacing w:after="50" w:afterLines="0" w:line="400" w:lineRule="exact"/>
              <w:rPr>
                <w:rFonts w:hint="eastAsia" w:ascii="宋体" w:hAnsi="宋体" w:cs="宋体"/>
                <w:color w:val="auto"/>
                <w:highlight w:val="none"/>
              </w:rPr>
            </w:pPr>
          </w:p>
        </w:tc>
      </w:tr>
      <w:tr w14:paraId="37A6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335" w:type="dxa"/>
            <w:vAlign w:val="center"/>
          </w:tcPr>
          <w:p w14:paraId="45466D1B">
            <w:pPr>
              <w:spacing w:after="50" w:afterLines="0" w:line="400" w:lineRule="exact"/>
              <w:rPr>
                <w:rFonts w:hint="eastAsia" w:ascii="宋体" w:hAnsi="宋体" w:cs="宋体"/>
                <w:color w:val="auto"/>
                <w:highlight w:val="none"/>
              </w:rPr>
            </w:pPr>
          </w:p>
        </w:tc>
        <w:tc>
          <w:tcPr>
            <w:tcW w:w="2366" w:type="dxa"/>
            <w:vAlign w:val="center"/>
          </w:tcPr>
          <w:p w14:paraId="5C5F6F2C">
            <w:pPr>
              <w:spacing w:after="50" w:afterLines="0" w:line="400" w:lineRule="exact"/>
              <w:rPr>
                <w:rFonts w:hint="eastAsia" w:ascii="宋体" w:hAnsi="宋体" w:cs="宋体"/>
                <w:color w:val="auto"/>
                <w:highlight w:val="none"/>
              </w:rPr>
            </w:pPr>
          </w:p>
        </w:tc>
        <w:tc>
          <w:tcPr>
            <w:tcW w:w="2336" w:type="dxa"/>
            <w:vAlign w:val="center"/>
          </w:tcPr>
          <w:p w14:paraId="611DCEB0">
            <w:pPr>
              <w:spacing w:after="50" w:afterLines="0" w:line="400" w:lineRule="exact"/>
              <w:rPr>
                <w:rFonts w:hint="eastAsia" w:ascii="宋体" w:hAnsi="宋体" w:cs="宋体"/>
                <w:color w:val="auto"/>
                <w:highlight w:val="none"/>
              </w:rPr>
            </w:pPr>
          </w:p>
        </w:tc>
        <w:tc>
          <w:tcPr>
            <w:tcW w:w="2336" w:type="dxa"/>
            <w:vAlign w:val="center"/>
          </w:tcPr>
          <w:p w14:paraId="0E9D6907">
            <w:pPr>
              <w:spacing w:after="50" w:afterLines="0" w:line="400" w:lineRule="exact"/>
              <w:rPr>
                <w:rFonts w:hint="eastAsia" w:ascii="宋体" w:hAnsi="宋体" w:cs="宋体"/>
                <w:color w:val="auto"/>
                <w:highlight w:val="none"/>
              </w:rPr>
            </w:pPr>
          </w:p>
        </w:tc>
      </w:tr>
      <w:tr w14:paraId="6B97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335" w:type="dxa"/>
            <w:vAlign w:val="center"/>
          </w:tcPr>
          <w:p w14:paraId="5E56E562">
            <w:pPr>
              <w:spacing w:after="50" w:afterLines="0" w:line="400" w:lineRule="exact"/>
              <w:rPr>
                <w:rFonts w:hint="eastAsia" w:ascii="宋体" w:hAnsi="宋体" w:cs="宋体"/>
                <w:color w:val="auto"/>
                <w:highlight w:val="none"/>
              </w:rPr>
            </w:pPr>
          </w:p>
        </w:tc>
        <w:tc>
          <w:tcPr>
            <w:tcW w:w="2366" w:type="dxa"/>
            <w:vAlign w:val="center"/>
          </w:tcPr>
          <w:p w14:paraId="21F097E3">
            <w:pPr>
              <w:spacing w:after="50" w:afterLines="0" w:line="400" w:lineRule="exact"/>
              <w:rPr>
                <w:rFonts w:hint="eastAsia" w:ascii="宋体" w:hAnsi="宋体" w:cs="宋体"/>
                <w:color w:val="auto"/>
                <w:highlight w:val="none"/>
              </w:rPr>
            </w:pPr>
          </w:p>
        </w:tc>
        <w:tc>
          <w:tcPr>
            <w:tcW w:w="2336" w:type="dxa"/>
            <w:vAlign w:val="center"/>
          </w:tcPr>
          <w:p w14:paraId="168C111A">
            <w:pPr>
              <w:spacing w:after="50" w:afterLines="0" w:line="400" w:lineRule="exact"/>
              <w:rPr>
                <w:rFonts w:hint="eastAsia" w:ascii="宋体" w:hAnsi="宋体" w:cs="宋体"/>
                <w:color w:val="auto"/>
                <w:highlight w:val="none"/>
              </w:rPr>
            </w:pPr>
          </w:p>
        </w:tc>
        <w:tc>
          <w:tcPr>
            <w:tcW w:w="2336" w:type="dxa"/>
            <w:vAlign w:val="center"/>
          </w:tcPr>
          <w:p w14:paraId="6A3BB66D">
            <w:pPr>
              <w:spacing w:after="50" w:afterLines="0" w:line="400" w:lineRule="exact"/>
              <w:rPr>
                <w:rFonts w:hint="eastAsia" w:ascii="宋体" w:hAnsi="宋体" w:cs="宋体"/>
                <w:color w:val="auto"/>
                <w:highlight w:val="none"/>
              </w:rPr>
            </w:pPr>
          </w:p>
        </w:tc>
      </w:tr>
      <w:tr w14:paraId="0A81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335" w:type="dxa"/>
            <w:vAlign w:val="center"/>
          </w:tcPr>
          <w:p w14:paraId="0D7DE365">
            <w:pPr>
              <w:spacing w:after="50" w:afterLines="0" w:line="400" w:lineRule="exact"/>
              <w:jc w:val="center"/>
              <w:rPr>
                <w:rFonts w:hint="eastAsia" w:ascii="宋体" w:hAnsi="宋体" w:cs="宋体"/>
                <w:color w:val="auto"/>
                <w:highlight w:val="none"/>
              </w:rPr>
            </w:pPr>
            <w:r>
              <w:rPr>
                <w:rFonts w:hint="eastAsia" w:ascii="宋体" w:hAnsi="宋体" w:cs="宋体"/>
                <w:color w:val="auto"/>
                <w:highlight w:val="none"/>
              </w:rPr>
              <w:t>合 计</w:t>
            </w:r>
          </w:p>
        </w:tc>
        <w:tc>
          <w:tcPr>
            <w:tcW w:w="2366" w:type="dxa"/>
            <w:vAlign w:val="center"/>
          </w:tcPr>
          <w:p w14:paraId="775AE198">
            <w:pPr>
              <w:spacing w:after="50" w:afterLines="0" w:line="400" w:lineRule="exact"/>
              <w:rPr>
                <w:rFonts w:hint="eastAsia" w:ascii="宋体" w:hAnsi="宋体" w:cs="宋体"/>
                <w:color w:val="auto"/>
                <w:highlight w:val="none"/>
              </w:rPr>
            </w:pPr>
          </w:p>
        </w:tc>
        <w:tc>
          <w:tcPr>
            <w:tcW w:w="2336" w:type="dxa"/>
            <w:vAlign w:val="center"/>
          </w:tcPr>
          <w:p w14:paraId="7330C00D">
            <w:pPr>
              <w:spacing w:after="50" w:afterLines="0" w:line="400" w:lineRule="exact"/>
              <w:rPr>
                <w:rFonts w:hint="eastAsia" w:ascii="宋体" w:hAnsi="宋体" w:cs="宋体"/>
                <w:color w:val="auto"/>
                <w:highlight w:val="none"/>
              </w:rPr>
            </w:pPr>
          </w:p>
        </w:tc>
        <w:tc>
          <w:tcPr>
            <w:tcW w:w="2336" w:type="dxa"/>
            <w:vAlign w:val="center"/>
          </w:tcPr>
          <w:p w14:paraId="679029C3">
            <w:pPr>
              <w:spacing w:after="50" w:afterLines="0" w:line="400" w:lineRule="exact"/>
              <w:rPr>
                <w:rFonts w:hint="eastAsia" w:ascii="宋体" w:hAnsi="宋体" w:cs="宋体"/>
                <w:color w:val="auto"/>
                <w:highlight w:val="none"/>
              </w:rPr>
            </w:pPr>
          </w:p>
        </w:tc>
      </w:tr>
    </w:tbl>
    <w:p w14:paraId="64A77F2B">
      <w:pPr>
        <w:spacing w:after="156" w:afterLines="5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注：1.供应商应逐项填写本表，指出全部临时设施用地面积以及详细用途。</w:t>
      </w:r>
    </w:p>
    <w:p w14:paraId="4692C0BF">
      <w:pPr>
        <w:spacing w:after="156" w:afterLines="5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2.若本表不够，可加附页。</w:t>
      </w:r>
    </w:p>
    <w:p w14:paraId="100C3D7F">
      <w:pPr>
        <w:shd w:val="clear" w:color="auto" w:fill="FFFFFF"/>
        <w:jc w:val="both"/>
        <w:rPr>
          <w:rFonts w:hint="eastAsia" w:ascii="宋体" w:hAnsi="宋体" w:eastAsia="宋体" w:cs="宋体"/>
          <w:b/>
          <w:bCs/>
          <w:color w:val="auto"/>
          <w:sz w:val="24"/>
          <w:highlight w:val="none"/>
        </w:rPr>
        <w:sectPr>
          <w:headerReference r:id="rId8" w:type="default"/>
          <w:footerReference r:id="rId9" w:type="default"/>
          <w:pgSz w:w="11906" w:h="16838"/>
          <w:pgMar w:top="1758" w:right="1304" w:bottom="1021" w:left="1304" w:header="1247" w:footer="850" w:gutter="0"/>
          <w:pgNumType w:fmt="decimal"/>
          <w:cols w:space="720" w:num="1"/>
          <w:docGrid w:type="lines" w:linePitch="320" w:charSpace="0"/>
        </w:sectPr>
      </w:pPr>
    </w:p>
    <w:p w14:paraId="12568BD1">
      <w:pPr>
        <w:shd w:val="clear" w:color="auto" w:fill="FFFFFF"/>
        <w:ind w:firstLine="482" w:firstLineChars="200"/>
        <w:jc w:val="both"/>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4.项目管理机构及人员配备</w:t>
      </w:r>
    </w:p>
    <w:p w14:paraId="63AF3078">
      <w:pPr>
        <w:ind w:firstLine="482" w:firstLineChars="200"/>
        <w:jc w:val="center"/>
        <w:rPr>
          <w:rFonts w:hint="eastAsia" w:ascii="宋体" w:hAnsi="宋体" w:cs="宋体"/>
          <w:b/>
          <w:color w:val="auto"/>
          <w:sz w:val="24"/>
          <w:highlight w:val="none"/>
        </w:rPr>
      </w:pPr>
    </w:p>
    <w:p w14:paraId="14433160">
      <w:pPr>
        <w:ind w:firstLine="482" w:firstLineChars="200"/>
        <w:jc w:val="center"/>
        <w:rPr>
          <w:rFonts w:hint="eastAsia" w:ascii="宋体" w:hAnsi="宋体" w:cs="宋体"/>
          <w:b/>
          <w:color w:val="auto"/>
          <w:sz w:val="24"/>
          <w:highlight w:val="none"/>
        </w:rPr>
      </w:pPr>
      <w:r>
        <w:rPr>
          <w:rFonts w:hint="eastAsia" w:ascii="宋体" w:hAnsi="宋体" w:cs="宋体"/>
          <w:b/>
          <w:color w:val="auto"/>
          <w:sz w:val="24"/>
          <w:highlight w:val="none"/>
        </w:rPr>
        <w:t>项目管理机构配备情况表（格式）</w:t>
      </w:r>
    </w:p>
    <w:tbl>
      <w:tblPr>
        <w:tblStyle w:val="22"/>
        <w:tblW w:w="9345" w:type="dxa"/>
        <w:jc w:val="center"/>
        <w:tblLayout w:type="fixed"/>
        <w:tblCellMar>
          <w:top w:w="0" w:type="dxa"/>
          <w:left w:w="0" w:type="dxa"/>
          <w:bottom w:w="0" w:type="dxa"/>
          <w:right w:w="0" w:type="dxa"/>
        </w:tblCellMar>
      </w:tblPr>
      <w:tblGrid>
        <w:gridCol w:w="2835"/>
        <w:gridCol w:w="899"/>
        <w:gridCol w:w="751"/>
        <w:gridCol w:w="619"/>
        <w:gridCol w:w="708"/>
        <w:gridCol w:w="744"/>
        <w:gridCol w:w="1173"/>
        <w:gridCol w:w="735"/>
        <w:gridCol w:w="881"/>
      </w:tblGrid>
      <w:tr w14:paraId="661F41A9">
        <w:tblPrEx>
          <w:tblCellMar>
            <w:top w:w="0" w:type="dxa"/>
            <w:left w:w="0" w:type="dxa"/>
            <w:bottom w:w="0" w:type="dxa"/>
            <w:right w:w="0" w:type="dxa"/>
          </w:tblCellMar>
        </w:tblPrEx>
        <w:trPr>
          <w:trHeight w:val="1419" w:hRule="exact"/>
          <w:jc w:val="center"/>
        </w:trPr>
        <w:tc>
          <w:tcPr>
            <w:tcW w:w="28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7F718C">
            <w:pPr>
              <w:adjustRightIn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工作岗位名称</w:t>
            </w:r>
          </w:p>
        </w:tc>
        <w:tc>
          <w:tcPr>
            <w:tcW w:w="89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1A29ABE">
            <w:pPr>
              <w:adjustRightIn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75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4097D07">
            <w:pPr>
              <w:adjustRightIn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61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7CE7468">
            <w:pPr>
              <w:adjustRightIn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工作职责</w:t>
            </w:r>
          </w:p>
        </w:tc>
        <w:tc>
          <w:tcPr>
            <w:tcW w:w="70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76158A1">
            <w:pPr>
              <w:adjustRightIn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职  称</w:t>
            </w:r>
          </w:p>
        </w:tc>
        <w:tc>
          <w:tcPr>
            <w:tcW w:w="74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457C980">
            <w:pPr>
              <w:adjustRightIn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专  业</w:t>
            </w:r>
          </w:p>
        </w:tc>
        <w:tc>
          <w:tcPr>
            <w:tcW w:w="117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2225281">
            <w:pPr>
              <w:adjustRightInd w:val="0"/>
              <w:spacing w:line="320" w:lineRule="exact"/>
              <w:jc w:val="center"/>
              <w:rPr>
                <w:rFonts w:hint="eastAsia" w:ascii="宋体" w:hAnsi="宋体" w:cs="宋体"/>
                <w:color w:val="auto"/>
                <w:szCs w:val="21"/>
                <w:highlight w:val="none"/>
              </w:rPr>
            </w:pPr>
            <w:r>
              <w:rPr>
                <w:rFonts w:hint="eastAsia" w:ascii="宋体" w:hAnsi="宋体" w:cs="宋体"/>
                <w:bCs/>
                <w:color w:val="auto"/>
                <w:szCs w:val="21"/>
                <w:highlight w:val="none"/>
              </w:rPr>
              <w:t>相关证书名称及编号</w:t>
            </w:r>
          </w:p>
        </w:tc>
        <w:tc>
          <w:tcPr>
            <w:tcW w:w="7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A10FAA9">
            <w:pPr>
              <w:adjustRightInd w:val="0"/>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相关工作年限</w:t>
            </w:r>
          </w:p>
        </w:tc>
        <w:tc>
          <w:tcPr>
            <w:tcW w:w="88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37D70B">
            <w:pPr>
              <w:adjustRightInd w:val="0"/>
              <w:spacing w:line="320" w:lineRule="exact"/>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工作</w:t>
            </w:r>
          </w:p>
          <w:p w14:paraId="178874C6">
            <w:pPr>
              <w:adjustRightInd w:val="0"/>
              <w:spacing w:line="320" w:lineRule="exact"/>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简历</w:t>
            </w:r>
          </w:p>
        </w:tc>
      </w:tr>
      <w:tr w14:paraId="6584384B">
        <w:tblPrEx>
          <w:tblCellMar>
            <w:top w:w="0" w:type="dxa"/>
            <w:left w:w="0" w:type="dxa"/>
            <w:bottom w:w="0" w:type="dxa"/>
            <w:right w:w="0" w:type="dxa"/>
          </w:tblCellMar>
        </w:tblPrEx>
        <w:trPr>
          <w:trHeight w:val="698" w:hRule="exact"/>
          <w:jc w:val="center"/>
        </w:trPr>
        <w:tc>
          <w:tcPr>
            <w:tcW w:w="28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56CADCA">
            <w:pPr>
              <w:adjustRightIn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1、项目经理</w:t>
            </w:r>
          </w:p>
        </w:tc>
        <w:tc>
          <w:tcPr>
            <w:tcW w:w="899" w:type="dxa"/>
            <w:tcBorders>
              <w:top w:val="nil"/>
              <w:left w:val="nil"/>
              <w:bottom w:val="single" w:color="auto" w:sz="4" w:space="0"/>
              <w:right w:val="single" w:color="auto" w:sz="4" w:space="0"/>
            </w:tcBorders>
            <w:tcMar>
              <w:top w:w="15" w:type="dxa"/>
              <w:left w:w="15" w:type="dxa"/>
              <w:bottom w:w="0" w:type="dxa"/>
              <w:right w:w="15" w:type="dxa"/>
            </w:tcMar>
            <w:vAlign w:val="center"/>
          </w:tcPr>
          <w:p w14:paraId="0B7F6E7F">
            <w:pPr>
              <w:adjustRightInd w:val="0"/>
              <w:spacing w:line="320" w:lineRule="exact"/>
              <w:rPr>
                <w:rFonts w:hint="eastAsia" w:ascii="宋体" w:hAnsi="宋体" w:cs="宋体"/>
                <w:color w:val="auto"/>
                <w:szCs w:val="21"/>
                <w:highlight w:val="none"/>
              </w:rPr>
            </w:pPr>
          </w:p>
        </w:tc>
        <w:tc>
          <w:tcPr>
            <w:tcW w:w="751" w:type="dxa"/>
            <w:tcBorders>
              <w:top w:val="nil"/>
              <w:left w:val="nil"/>
              <w:bottom w:val="single" w:color="auto" w:sz="4" w:space="0"/>
              <w:right w:val="single" w:color="auto" w:sz="4" w:space="0"/>
            </w:tcBorders>
            <w:tcMar>
              <w:top w:w="15" w:type="dxa"/>
              <w:left w:w="15" w:type="dxa"/>
              <w:bottom w:w="0" w:type="dxa"/>
              <w:right w:w="15" w:type="dxa"/>
            </w:tcMar>
            <w:vAlign w:val="center"/>
          </w:tcPr>
          <w:p w14:paraId="30D9E163">
            <w:pPr>
              <w:adjustRightInd w:val="0"/>
              <w:spacing w:line="320" w:lineRule="exact"/>
              <w:rPr>
                <w:rFonts w:hint="eastAsia" w:ascii="宋体" w:hAnsi="宋体" w:cs="宋体"/>
                <w:color w:val="auto"/>
                <w:szCs w:val="21"/>
                <w:highlight w:val="none"/>
              </w:rPr>
            </w:pPr>
          </w:p>
        </w:tc>
        <w:tc>
          <w:tcPr>
            <w:tcW w:w="619" w:type="dxa"/>
            <w:tcBorders>
              <w:top w:val="nil"/>
              <w:left w:val="nil"/>
              <w:bottom w:val="single" w:color="auto" w:sz="4" w:space="0"/>
              <w:right w:val="single" w:color="auto" w:sz="4" w:space="0"/>
            </w:tcBorders>
            <w:tcMar>
              <w:top w:w="15" w:type="dxa"/>
              <w:left w:w="15" w:type="dxa"/>
              <w:bottom w:w="0" w:type="dxa"/>
              <w:right w:w="15" w:type="dxa"/>
            </w:tcMar>
            <w:vAlign w:val="center"/>
          </w:tcPr>
          <w:p w14:paraId="204245EB">
            <w:pPr>
              <w:adjustRightInd w:val="0"/>
              <w:spacing w:line="320" w:lineRule="exact"/>
              <w:rPr>
                <w:rFonts w:hint="eastAsia" w:ascii="宋体" w:hAnsi="宋体" w:cs="宋体"/>
                <w:color w:val="auto"/>
                <w:szCs w:val="21"/>
                <w:highlight w:val="none"/>
              </w:rPr>
            </w:pPr>
          </w:p>
        </w:tc>
        <w:tc>
          <w:tcPr>
            <w:tcW w:w="708" w:type="dxa"/>
            <w:tcBorders>
              <w:top w:val="nil"/>
              <w:left w:val="nil"/>
              <w:bottom w:val="single" w:color="auto" w:sz="4" w:space="0"/>
              <w:right w:val="single" w:color="auto" w:sz="4" w:space="0"/>
            </w:tcBorders>
            <w:tcMar>
              <w:top w:w="15" w:type="dxa"/>
              <w:left w:w="15" w:type="dxa"/>
              <w:bottom w:w="0" w:type="dxa"/>
              <w:right w:w="15" w:type="dxa"/>
            </w:tcMar>
            <w:vAlign w:val="center"/>
          </w:tcPr>
          <w:p w14:paraId="3E44F2A7">
            <w:pPr>
              <w:adjustRightInd w:val="0"/>
              <w:spacing w:line="320" w:lineRule="exact"/>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tcMar>
              <w:top w:w="15" w:type="dxa"/>
              <w:left w:w="15" w:type="dxa"/>
              <w:bottom w:w="0" w:type="dxa"/>
              <w:right w:w="15" w:type="dxa"/>
            </w:tcMar>
            <w:vAlign w:val="center"/>
          </w:tcPr>
          <w:p w14:paraId="1FD550BF">
            <w:pPr>
              <w:adjustRightInd w:val="0"/>
              <w:spacing w:line="320" w:lineRule="exact"/>
              <w:rPr>
                <w:rFonts w:hint="eastAsia" w:ascii="宋体" w:hAnsi="宋体" w:cs="宋体"/>
                <w:color w:val="auto"/>
                <w:szCs w:val="21"/>
                <w:highlight w:val="none"/>
              </w:rPr>
            </w:pPr>
          </w:p>
        </w:tc>
        <w:tc>
          <w:tcPr>
            <w:tcW w:w="1173" w:type="dxa"/>
            <w:tcBorders>
              <w:top w:val="nil"/>
              <w:left w:val="nil"/>
              <w:bottom w:val="single" w:color="auto" w:sz="4" w:space="0"/>
              <w:right w:val="single" w:color="auto" w:sz="4" w:space="0"/>
            </w:tcBorders>
            <w:tcMar>
              <w:top w:w="15" w:type="dxa"/>
              <w:left w:w="15" w:type="dxa"/>
              <w:bottom w:w="0" w:type="dxa"/>
              <w:right w:w="15" w:type="dxa"/>
            </w:tcMar>
            <w:vAlign w:val="center"/>
          </w:tcPr>
          <w:p w14:paraId="68879270">
            <w:pPr>
              <w:adjustRightInd w:val="0"/>
              <w:spacing w:line="320" w:lineRule="exact"/>
              <w:rPr>
                <w:rFonts w:hint="eastAsia" w:ascii="宋体" w:hAnsi="宋体" w:cs="宋体"/>
                <w:color w:val="auto"/>
                <w:szCs w:val="21"/>
                <w:highlight w:val="none"/>
              </w:rPr>
            </w:pPr>
          </w:p>
        </w:tc>
        <w:tc>
          <w:tcPr>
            <w:tcW w:w="735" w:type="dxa"/>
            <w:tcBorders>
              <w:top w:val="nil"/>
              <w:left w:val="nil"/>
              <w:bottom w:val="single" w:color="auto" w:sz="4" w:space="0"/>
              <w:right w:val="single" w:color="auto" w:sz="4" w:space="0"/>
            </w:tcBorders>
            <w:tcMar>
              <w:top w:w="15" w:type="dxa"/>
              <w:left w:w="15" w:type="dxa"/>
              <w:bottom w:w="0" w:type="dxa"/>
              <w:right w:w="15" w:type="dxa"/>
            </w:tcMar>
            <w:vAlign w:val="center"/>
          </w:tcPr>
          <w:p w14:paraId="25AAF904">
            <w:pPr>
              <w:adjustRightInd w:val="0"/>
              <w:spacing w:line="320" w:lineRule="exact"/>
              <w:rPr>
                <w:rFonts w:hint="eastAsia" w:ascii="宋体" w:hAnsi="宋体" w:cs="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28DDCB">
            <w:pPr>
              <w:adjustRightInd w:val="0"/>
              <w:spacing w:line="320" w:lineRule="exact"/>
              <w:rPr>
                <w:rFonts w:hint="eastAsia" w:ascii="宋体" w:hAnsi="宋体" w:cs="宋体"/>
                <w:color w:val="auto"/>
                <w:szCs w:val="21"/>
                <w:highlight w:val="none"/>
              </w:rPr>
            </w:pPr>
          </w:p>
        </w:tc>
      </w:tr>
      <w:tr w14:paraId="01F249F7">
        <w:tblPrEx>
          <w:tblCellMar>
            <w:top w:w="0" w:type="dxa"/>
            <w:left w:w="0" w:type="dxa"/>
            <w:bottom w:w="0" w:type="dxa"/>
            <w:right w:w="0" w:type="dxa"/>
          </w:tblCellMar>
        </w:tblPrEx>
        <w:trPr>
          <w:trHeight w:val="698" w:hRule="exact"/>
          <w:jc w:val="center"/>
        </w:trPr>
        <w:tc>
          <w:tcPr>
            <w:tcW w:w="28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29C3EA4">
            <w:pPr>
              <w:adjustRightIn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w:t>
            </w:r>
          </w:p>
        </w:tc>
        <w:tc>
          <w:tcPr>
            <w:tcW w:w="899" w:type="dxa"/>
            <w:tcBorders>
              <w:top w:val="nil"/>
              <w:left w:val="nil"/>
              <w:bottom w:val="single" w:color="auto" w:sz="4" w:space="0"/>
              <w:right w:val="single" w:color="auto" w:sz="4" w:space="0"/>
            </w:tcBorders>
            <w:tcMar>
              <w:top w:w="15" w:type="dxa"/>
              <w:left w:w="15" w:type="dxa"/>
              <w:bottom w:w="0" w:type="dxa"/>
              <w:right w:w="15" w:type="dxa"/>
            </w:tcMar>
            <w:vAlign w:val="center"/>
          </w:tcPr>
          <w:p w14:paraId="2900AD32">
            <w:pPr>
              <w:adjustRightInd w:val="0"/>
              <w:spacing w:line="320" w:lineRule="exact"/>
              <w:rPr>
                <w:rFonts w:hint="eastAsia" w:ascii="宋体" w:hAnsi="宋体" w:cs="宋体"/>
                <w:color w:val="auto"/>
                <w:szCs w:val="21"/>
                <w:highlight w:val="none"/>
              </w:rPr>
            </w:pPr>
          </w:p>
        </w:tc>
        <w:tc>
          <w:tcPr>
            <w:tcW w:w="751" w:type="dxa"/>
            <w:tcBorders>
              <w:top w:val="nil"/>
              <w:left w:val="nil"/>
              <w:bottom w:val="single" w:color="auto" w:sz="4" w:space="0"/>
              <w:right w:val="single" w:color="auto" w:sz="4" w:space="0"/>
            </w:tcBorders>
            <w:tcMar>
              <w:top w:w="15" w:type="dxa"/>
              <w:left w:w="15" w:type="dxa"/>
              <w:bottom w:w="0" w:type="dxa"/>
              <w:right w:w="15" w:type="dxa"/>
            </w:tcMar>
            <w:vAlign w:val="center"/>
          </w:tcPr>
          <w:p w14:paraId="2391A9C8">
            <w:pPr>
              <w:adjustRightInd w:val="0"/>
              <w:spacing w:line="320" w:lineRule="exact"/>
              <w:rPr>
                <w:rFonts w:hint="eastAsia" w:ascii="宋体" w:hAnsi="宋体" w:cs="宋体"/>
                <w:color w:val="auto"/>
                <w:szCs w:val="21"/>
                <w:highlight w:val="none"/>
              </w:rPr>
            </w:pPr>
          </w:p>
        </w:tc>
        <w:tc>
          <w:tcPr>
            <w:tcW w:w="619" w:type="dxa"/>
            <w:tcBorders>
              <w:top w:val="nil"/>
              <w:left w:val="nil"/>
              <w:bottom w:val="single" w:color="auto" w:sz="4" w:space="0"/>
              <w:right w:val="single" w:color="auto" w:sz="4" w:space="0"/>
            </w:tcBorders>
            <w:tcMar>
              <w:top w:w="15" w:type="dxa"/>
              <w:left w:w="15" w:type="dxa"/>
              <w:bottom w:w="0" w:type="dxa"/>
              <w:right w:w="15" w:type="dxa"/>
            </w:tcMar>
            <w:vAlign w:val="center"/>
          </w:tcPr>
          <w:p w14:paraId="21933A90">
            <w:pPr>
              <w:adjustRightInd w:val="0"/>
              <w:spacing w:line="320" w:lineRule="exact"/>
              <w:rPr>
                <w:rFonts w:hint="eastAsia" w:ascii="宋体" w:hAnsi="宋体" w:cs="宋体"/>
                <w:color w:val="auto"/>
                <w:szCs w:val="21"/>
                <w:highlight w:val="none"/>
              </w:rPr>
            </w:pPr>
          </w:p>
        </w:tc>
        <w:tc>
          <w:tcPr>
            <w:tcW w:w="708" w:type="dxa"/>
            <w:tcBorders>
              <w:top w:val="nil"/>
              <w:left w:val="nil"/>
              <w:bottom w:val="single" w:color="auto" w:sz="4" w:space="0"/>
              <w:right w:val="single" w:color="auto" w:sz="4" w:space="0"/>
            </w:tcBorders>
            <w:tcMar>
              <w:top w:w="15" w:type="dxa"/>
              <w:left w:w="15" w:type="dxa"/>
              <w:bottom w:w="0" w:type="dxa"/>
              <w:right w:w="15" w:type="dxa"/>
            </w:tcMar>
            <w:vAlign w:val="center"/>
          </w:tcPr>
          <w:p w14:paraId="526BD8C8">
            <w:pPr>
              <w:adjustRightInd w:val="0"/>
              <w:spacing w:line="320" w:lineRule="exact"/>
              <w:rPr>
                <w:rFonts w:hint="eastAsia" w:ascii="宋体" w:hAnsi="宋体" w:cs="宋体"/>
                <w:color w:val="auto"/>
                <w:szCs w:val="21"/>
                <w:highlight w:val="none"/>
              </w:rPr>
            </w:pPr>
          </w:p>
        </w:tc>
        <w:tc>
          <w:tcPr>
            <w:tcW w:w="744" w:type="dxa"/>
            <w:tcBorders>
              <w:top w:val="nil"/>
              <w:left w:val="nil"/>
              <w:bottom w:val="single" w:color="auto" w:sz="4" w:space="0"/>
              <w:right w:val="single" w:color="auto" w:sz="4" w:space="0"/>
            </w:tcBorders>
            <w:tcMar>
              <w:top w:w="15" w:type="dxa"/>
              <w:left w:w="15" w:type="dxa"/>
              <w:bottom w:w="0" w:type="dxa"/>
              <w:right w:w="15" w:type="dxa"/>
            </w:tcMar>
            <w:vAlign w:val="center"/>
          </w:tcPr>
          <w:p w14:paraId="417C4AD6">
            <w:pPr>
              <w:adjustRightInd w:val="0"/>
              <w:spacing w:line="320" w:lineRule="exact"/>
              <w:rPr>
                <w:rFonts w:hint="eastAsia" w:ascii="宋体" w:hAnsi="宋体" w:cs="宋体"/>
                <w:color w:val="auto"/>
                <w:szCs w:val="21"/>
                <w:highlight w:val="none"/>
              </w:rPr>
            </w:pPr>
          </w:p>
        </w:tc>
        <w:tc>
          <w:tcPr>
            <w:tcW w:w="1173" w:type="dxa"/>
            <w:tcBorders>
              <w:top w:val="nil"/>
              <w:left w:val="nil"/>
              <w:bottom w:val="single" w:color="auto" w:sz="4" w:space="0"/>
              <w:right w:val="single" w:color="auto" w:sz="4" w:space="0"/>
            </w:tcBorders>
            <w:tcMar>
              <w:top w:w="15" w:type="dxa"/>
              <w:left w:w="15" w:type="dxa"/>
              <w:bottom w:w="0" w:type="dxa"/>
              <w:right w:w="15" w:type="dxa"/>
            </w:tcMar>
            <w:vAlign w:val="center"/>
          </w:tcPr>
          <w:p w14:paraId="577A1017">
            <w:pPr>
              <w:adjustRightInd w:val="0"/>
              <w:spacing w:line="320" w:lineRule="exact"/>
              <w:rPr>
                <w:rFonts w:hint="eastAsia" w:ascii="宋体" w:hAnsi="宋体" w:cs="宋体"/>
                <w:color w:val="auto"/>
                <w:szCs w:val="21"/>
                <w:highlight w:val="none"/>
              </w:rPr>
            </w:pPr>
          </w:p>
        </w:tc>
        <w:tc>
          <w:tcPr>
            <w:tcW w:w="735" w:type="dxa"/>
            <w:tcBorders>
              <w:top w:val="nil"/>
              <w:left w:val="nil"/>
              <w:bottom w:val="single" w:color="auto" w:sz="4" w:space="0"/>
              <w:right w:val="single" w:color="auto" w:sz="4" w:space="0"/>
            </w:tcBorders>
            <w:tcMar>
              <w:top w:w="15" w:type="dxa"/>
              <w:left w:w="15" w:type="dxa"/>
              <w:bottom w:w="0" w:type="dxa"/>
              <w:right w:w="15" w:type="dxa"/>
            </w:tcMar>
            <w:vAlign w:val="center"/>
          </w:tcPr>
          <w:p w14:paraId="6A2599D1">
            <w:pPr>
              <w:adjustRightInd w:val="0"/>
              <w:spacing w:line="320" w:lineRule="exact"/>
              <w:rPr>
                <w:rFonts w:hint="eastAsia" w:ascii="宋体" w:hAnsi="宋体" w:cs="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9DA20B">
            <w:pPr>
              <w:adjustRightInd w:val="0"/>
              <w:spacing w:line="320" w:lineRule="exact"/>
              <w:rPr>
                <w:rFonts w:hint="eastAsia" w:ascii="宋体" w:hAnsi="宋体" w:cs="宋体"/>
                <w:color w:val="auto"/>
                <w:szCs w:val="21"/>
                <w:highlight w:val="none"/>
              </w:rPr>
            </w:pPr>
          </w:p>
        </w:tc>
      </w:tr>
      <w:tr w14:paraId="24DB1464">
        <w:tblPrEx>
          <w:tblCellMar>
            <w:top w:w="0" w:type="dxa"/>
            <w:left w:w="0" w:type="dxa"/>
            <w:bottom w:w="0" w:type="dxa"/>
            <w:right w:w="0" w:type="dxa"/>
          </w:tblCellMar>
        </w:tblPrEx>
        <w:trPr>
          <w:trHeight w:val="702" w:hRule="exact"/>
          <w:jc w:val="center"/>
        </w:trPr>
        <w:tc>
          <w:tcPr>
            <w:tcW w:w="28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9C4735">
            <w:pPr>
              <w:adjustRightInd w:val="0"/>
              <w:spacing w:line="3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8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7E2369">
            <w:pPr>
              <w:adjustRightInd w:val="0"/>
              <w:spacing w:line="320" w:lineRule="exact"/>
              <w:rPr>
                <w:rFonts w:hint="eastAsia" w:ascii="宋体" w:hAnsi="宋体" w:cs="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F4F689">
            <w:pPr>
              <w:adjustRightInd w:val="0"/>
              <w:spacing w:line="320" w:lineRule="exact"/>
              <w:rPr>
                <w:rFonts w:hint="eastAsia" w:ascii="宋体" w:hAnsi="宋体" w:cs="宋体"/>
                <w:color w:val="auto"/>
                <w:szCs w:val="21"/>
                <w:highlight w:val="none"/>
              </w:rPr>
            </w:pPr>
          </w:p>
        </w:tc>
        <w:tc>
          <w:tcPr>
            <w:tcW w:w="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CC1D380">
            <w:pPr>
              <w:adjustRightInd w:val="0"/>
              <w:spacing w:line="320" w:lineRule="exact"/>
              <w:rPr>
                <w:rFonts w:hint="eastAsia" w:ascii="宋体" w:hAnsi="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568B53">
            <w:pPr>
              <w:adjustRightInd w:val="0"/>
              <w:spacing w:line="320" w:lineRule="exact"/>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64F1BE">
            <w:pPr>
              <w:adjustRightInd w:val="0"/>
              <w:spacing w:line="320" w:lineRule="exact"/>
              <w:rPr>
                <w:rFonts w:hint="eastAsia" w:ascii="宋体" w:hAnsi="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CBDB54">
            <w:pPr>
              <w:adjustRightInd w:val="0"/>
              <w:spacing w:line="320" w:lineRule="exact"/>
              <w:rPr>
                <w:rFonts w:hint="eastAsia" w:ascii="宋体" w:hAnsi="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94CA43">
            <w:pPr>
              <w:adjustRightInd w:val="0"/>
              <w:spacing w:line="320" w:lineRule="exact"/>
              <w:rPr>
                <w:rFonts w:hint="eastAsia" w:ascii="宋体" w:hAnsi="宋体" w:cs="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53CCF4">
            <w:pPr>
              <w:adjustRightInd w:val="0"/>
              <w:spacing w:line="320" w:lineRule="exact"/>
              <w:rPr>
                <w:rFonts w:hint="eastAsia" w:ascii="宋体" w:hAnsi="宋体" w:cs="宋体"/>
                <w:color w:val="auto"/>
                <w:szCs w:val="21"/>
                <w:highlight w:val="none"/>
              </w:rPr>
            </w:pPr>
          </w:p>
        </w:tc>
      </w:tr>
      <w:tr w14:paraId="2B2D960B">
        <w:tblPrEx>
          <w:tblCellMar>
            <w:top w:w="0" w:type="dxa"/>
            <w:left w:w="0" w:type="dxa"/>
            <w:bottom w:w="0" w:type="dxa"/>
            <w:right w:w="0" w:type="dxa"/>
          </w:tblCellMar>
        </w:tblPrEx>
        <w:trPr>
          <w:trHeight w:val="733" w:hRule="exact"/>
          <w:jc w:val="center"/>
        </w:trPr>
        <w:tc>
          <w:tcPr>
            <w:tcW w:w="28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3CC9CF">
            <w:pPr>
              <w:adjustRightInd w:val="0"/>
              <w:spacing w:line="320" w:lineRule="exact"/>
              <w:rPr>
                <w:rFonts w:hint="eastAsia" w:ascii="宋体" w:hAnsi="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237832">
            <w:pPr>
              <w:adjustRightInd w:val="0"/>
              <w:spacing w:line="320" w:lineRule="exact"/>
              <w:rPr>
                <w:rFonts w:hint="eastAsia" w:ascii="宋体" w:hAnsi="宋体" w:cs="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DA6D49">
            <w:pPr>
              <w:adjustRightInd w:val="0"/>
              <w:spacing w:line="320" w:lineRule="exact"/>
              <w:rPr>
                <w:rFonts w:hint="eastAsia" w:ascii="宋体" w:hAnsi="宋体" w:cs="宋体"/>
                <w:color w:val="auto"/>
                <w:szCs w:val="21"/>
                <w:highlight w:val="none"/>
              </w:rPr>
            </w:pPr>
          </w:p>
        </w:tc>
        <w:tc>
          <w:tcPr>
            <w:tcW w:w="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32A2D1">
            <w:pPr>
              <w:adjustRightInd w:val="0"/>
              <w:spacing w:line="320" w:lineRule="exact"/>
              <w:rPr>
                <w:rFonts w:hint="eastAsia" w:ascii="宋体" w:hAnsi="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5FC537">
            <w:pPr>
              <w:adjustRightInd w:val="0"/>
              <w:spacing w:line="320" w:lineRule="exact"/>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08F755">
            <w:pPr>
              <w:adjustRightInd w:val="0"/>
              <w:spacing w:line="320" w:lineRule="exact"/>
              <w:rPr>
                <w:rFonts w:hint="eastAsia" w:ascii="宋体" w:hAnsi="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94443D">
            <w:pPr>
              <w:adjustRightInd w:val="0"/>
              <w:spacing w:line="320" w:lineRule="exact"/>
              <w:rPr>
                <w:rFonts w:hint="eastAsia" w:ascii="宋体" w:hAnsi="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EE75BA">
            <w:pPr>
              <w:adjustRightInd w:val="0"/>
              <w:spacing w:line="320" w:lineRule="exact"/>
              <w:rPr>
                <w:rFonts w:hint="eastAsia" w:ascii="宋体" w:hAnsi="宋体" w:cs="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332FF4">
            <w:pPr>
              <w:adjustRightInd w:val="0"/>
              <w:spacing w:line="320" w:lineRule="exact"/>
              <w:rPr>
                <w:rFonts w:hint="eastAsia" w:ascii="宋体" w:hAnsi="宋体" w:cs="宋体"/>
                <w:color w:val="auto"/>
                <w:szCs w:val="21"/>
                <w:highlight w:val="none"/>
              </w:rPr>
            </w:pPr>
          </w:p>
        </w:tc>
      </w:tr>
      <w:tr w14:paraId="1146656A">
        <w:tblPrEx>
          <w:tblCellMar>
            <w:top w:w="0" w:type="dxa"/>
            <w:left w:w="0" w:type="dxa"/>
            <w:bottom w:w="0" w:type="dxa"/>
            <w:right w:w="0" w:type="dxa"/>
          </w:tblCellMar>
        </w:tblPrEx>
        <w:trPr>
          <w:trHeight w:val="679" w:hRule="exact"/>
          <w:jc w:val="center"/>
        </w:trPr>
        <w:tc>
          <w:tcPr>
            <w:tcW w:w="28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D6584E">
            <w:pPr>
              <w:adjustRightInd w:val="0"/>
              <w:spacing w:line="320" w:lineRule="exact"/>
              <w:rPr>
                <w:rFonts w:hint="eastAsia" w:ascii="宋体" w:hAnsi="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1A5E5E">
            <w:pPr>
              <w:adjustRightInd w:val="0"/>
              <w:spacing w:line="320" w:lineRule="exact"/>
              <w:rPr>
                <w:rFonts w:hint="eastAsia" w:ascii="宋体" w:hAnsi="宋体" w:cs="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BB5710">
            <w:pPr>
              <w:adjustRightInd w:val="0"/>
              <w:spacing w:line="320" w:lineRule="exact"/>
              <w:rPr>
                <w:rFonts w:hint="eastAsia" w:ascii="宋体" w:hAnsi="宋体" w:cs="宋体"/>
                <w:color w:val="auto"/>
                <w:szCs w:val="21"/>
                <w:highlight w:val="none"/>
              </w:rPr>
            </w:pPr>
          </w:p>
        </w:tc>
        <w:tc>
          <w:tcPr>
            <w:tcW w:w="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1F5A28">
            <w:pPr>
              <w:adjustRightInd w:val="0"/>
              <w:spacing w:line="320" w:lineRule="exact"/>
              <w:rPr>
                <w:rFonts w:hint="eastAsia" w:ascii="宋体" w:hAnsi="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BF85F0">
            <w:pPr>
              <w:pStyle w:val="47"/>
              <w:widowControl w:val="0"/>
              <w:overflowPunct/>
              <w:autoSpaceDE/>
              <w:autoSpaceDN/>
              <w:spacing w:before="0" w:beforeLines="0" w:line="320" w:lineRule="exact"/>
              <w:textAlignment w:val="auto"/>
              <w:rPr>
                <w:rFonts w:hint="eastAsia" w:ascii="宋体" w:hAnsi="宋体" w:cs="宋体"/>
                <w:color w:val="auto"/>
                <w:kern w:val="2"/>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A4CD7E">
            <w:pPr>
              <w:adjustRightInd w:val="0"/>
              <w:spacing w:line="320" w:lineRule="exact"/>
              <w:rPr>
                <w:rFonts w:hint="eastAsia" w:ascii="宋体" w:hAnsi="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5E85A4">
            <w:pPr>
              <w:adjustRightInd w:val="0"/>
              <w:spacing w:line="320" w:lineRule="exact"/>
              <w:rPr>
                <w:rFonts w:hint="eastAsia" w:ascii="宋体" w:hAnsi="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CD1B9F">
            <w:pPr>
              <w:adjustRightInd w:val="0"/>
              <w:spacing w:line="320" w:lineRule="exact"/>
              <w:rPr>
                <w:rFonts w:hint="eastAsia" w:ascii="宋体" w:hAnsi="宋体" w:cs="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0D7C5B">
            <w:pPr>
              <w:adjustRightInd w:val="0"/>
              <w:spacing w:line="320" w:lineRule="exact"/>
              <w:rPr>
                <w:rFonts w:hint="eastAsia" w:ascii="宋体" w:hAnsi="宋体" w:cs="宋体"/>
                <w:color w:val="auto"/>
                <w:szCs w:val="21"/>
                <w:highlight w:val="none"/>
              </w:rPr>
            </w:pPr>
          </w:p>
        </w:tc>
      </w:tr>
      <w:tr w14:paraId="22217CD1">
        <w:tblPrEx>
          <w:tblCellMar>
            <w:top w:w="0" w:type="dxa"/>
            <w:left w:w="0" w:type="dxa"/>
            <w:bottom w:w="0" w:type="dxa"/>
            <w:right w:w="0" w:type="dxa"/>
          </w:tblCellMar>
        </w:tblPrEx>
        <w:trPr>
          <w:trHeight w:val="725" w:hRule="exact"/>
          <w:jc w:val="center"/>
        </w:trPr>
        <w:tc>
          <w:tcPr>
            <w:tcW w:w="28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D3CD8F">
            <w:pPr>
              <w:adjustRightInd w:val="0"/>
              <w:spacing w:line="320" w:lineRule="exact"/>
              <w:rPr>
                <w:rFonts w:hint="eastAsia" w:ascii="宋体" w:hAnsi="宋体" w:cs="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D2AA59">
            <w:pPr>
              <w:adjustRightInd w:val="0"/>
              <w:spacing w:line="320" w:lineRule="exact"/>
              <w:rPr>
                <w:rFonts w:hint="eastAsia" w:ascii="宋体" w:hAnsi="宋体" w:cs="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30F429">
            <w:pPr>
              <w:adjustRightInd w:val="0"/>
              <w:spacing w:line="320" w:lineRule="exact"/>
              <w:rPr>
                <w:rFonts w:hint="eastAsia" w:ascii="宋体" w:hAnsi="宋体" w:cs="宋体"/>
                <w:color w:val="auto"/>
                <w:szCs w:val="21"/>
                <w:highlight w:val="none"/>
              </w:rPr>
            </w:pPr>
          </w:p>
        </w:tc>
        <w:tc>
          <w:tcPr>
            <w:tcW w:w="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634736">
            <w:pPr>
              <w:adjustRightInd w:val="0"/>
              <w:spacing w:line="320" w:lineRule="exact"/>
              <w:rPr>
                <w:rFonts w:hint="eastAsia" w:ascii="宋体" w:hAnsi="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17D719">
            <w:pPr>
              <w:adjustRightInd w:val="0"/>
              <w:spacing w:line="320" w:lineRule="exact"/>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DE5A73">
            <w:pPr>
              <w:adjustRightInd w:val="0"/>
              <w:spacing w:line="320" w:lineRule="exact"/>
              <w:rPr>
                <w:rFonts w:hint="eastAsia" w:ascii="宋体" w:hAnsi="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2392DC">
            <w:pPr>
              <w:adjustRightInd w:val="0"/>
              <w:spacing w:line="320" w:lineRule="exact"/>
              <w:rPr>
                <w:rFonts w:hint="eastAsia" w:ascii="宋体" w:hAnsi="宋体" w:cs="宋体"/>
                <w:color w:val="auto"/>
                <w:szCs w:val="21"/>
                <w:highlight w:val="none"/>
              </w:rPr>
            </w:pPr>
          </w:p>
        </w:tc>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F06692">
            <w:pPr>
              <w:adjustRightInd w:val="0"/>
              <w:spacing w:line="320" w:lineRule="exact"/>
              <w:rPr>
                <w:rFonts w:hint="eastAsia" w:ascii="宋体" w:hAnsi="宋体" w:cs="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C1F15E">
            <w:pPr>
              <w:adjustRightInd w:val="0"/>
              <w:spacing w:line="320" w:lineRule="exact"/>
              <w:rPr>
                <w:rFonts w:hint="eastAsia" w:ascii="宋体" w:hAnsi="宋体" w:cs="宋体"/>
                <w:color w:val="auto"/>
                <w:szCs w:val="21"/>
                <w:highlight w:val="none"/>
              </w:rPr>
            </w:pPr>
          </w:p>
        </w:tc>
      </w:tr>
    </w:tbl>
    <w:p w14:paraId="22FEEC8E">
      <w:pPr>
        <w:shd w:val="clear" w:color="auto" w:fill="FFFFFF"/>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pacing w:val="8"/>
          <w:highlight w:val="none"/>
        </w:rPr>
        <w:t>电子</w:t>
      </w:r>
      <w:r>
        <w:rPr>
          <w:rFonts w:hint="eastAsia" w:ascii="宋体" w:hAnsi="宋体" w:cs="宋体"/>
          <w:color w:val="auto"/>
          <w:spacing w:val="8"/>
          <w:highlight w:val="none"/>
          <w:lang w:val="en-US" w:eastAsia="zh-CN"/>
        </w:rPr>
        <w:t>印</w:t>
      </w:r>
      <w:r>
        <w:rPr>
          <w:rFonts w:hint="eastAsia" w:ascii="宋体" w:hAnsi="宋体" w:eastAsia="宋体" w:cs="宋体"/>
          <w:color w:val="auto"/>
          <w:spacing w:val="8"/>
          <w:highlight w:val="none"/>
        </w:rPr>
        <w:t>章</w:t>
      </w:r>
      <w:r>
        <w:rPr>
          <w:rFonts w:hint="eastAsia" w:ascii="宋体" w:hAnsi="宋体" w:eastAsia="宋体" w:cs="宋体"/>
          <w:color w:val="auto"/>
          <w:szCs w:val="21"/>
          <w:highlight w:val="none"/>
        </w:rPr>
        <w:t>）：</w:t>
      </w:r>
    </w:p>
    <w:p w14:paraId="1C974DD7">
      <w:pPr>
        <w:shd w:val="clear" w:color="auto" w:fill="FFFFFF"/>
        <w:spacing w:line="4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E6C210F">
      <w:pPr>
        <w:adjustRightInd w:val="0"/>
        <w:spacing w:line="320" w:lineRule="exact"/>
        <w:ind w:firstLine="361" w:firstLineChars="200"/>
        <w:rPr>
          <w:rFonts w:hint="eastAsia" w:ascii="宋体" w:hAnsi="宋体" w:cs="宋体"/>
          <w:b/>
          <w:color w:val="auto"/>
          <w:sz w:val="18"/>
          <w:szCs w:val="18"/>
          <w:highlight w:val="none"/>
        </w:rPr>
      </w:pPr>
      <w:r>
        <w:rPr>
          <w:rFonts w:hint="eastAsia" w:ascii="宋体" w:hAnsi="宋体" w:cs="宋体"/>
          <w:b/>
          <w:color w:val="auto"/>
          <w:sz w:val="18"/>
          <w:szCs w:val="18"/>
          <w:highlight w:val="none"/>
        </w:rPr>
        <w:t>说明：</w:t>
      </w:r>
    </w:p>
    <w:p w14:paraId="546D5748">
      <w:pPr>
        <w:adjustRightInd w:val="0"/>
        <w:spacing w:line="320" w:lineRule="exact"/>
        <w:ind w:firstLine="361" w:firstLineChars="200"/>
        <w:jc w:val="left"/>
        <w:rPr>
          <w:rFonts w:hint="eastAsia" w:ascii="宋体" w:hAnsi="宋体" w:cs="宋体"/>
          <w:b/>
          <w:color w:val="auto"/>
          <w:sz w:val="18"/>
          <w:szCs w:val="18"/>
          <w:highlight w:val="none"/>
        </w:rPr>
      </w:pPr>
      <w:r>
        <w:rPr>
          <w:rFonts w:hint="eastAsia" w:ascii="宋体" w:hAnsi="宋体" w:cs="宋体"/>
          <w:b/>
          <w:color w:val="auto"/>
          <w:sz w:val="18"/>
          <w:szCs w:val="18"/>
          <w:highlight w:val="none"/>
        </w:rPr>
        <w:t>1、本表所列岗位的所有管理人员的情况均应如实填写。可按以上格式扩展为多页填写，每一页均应加盖供应商单位</w:t>
      </w:r>
      <w:r>
        <w:rPr>
          <w:rFonts w:hint="eastAsia" w:ascii="宋体" w:hAnsi="宋体" w:cs="宋体"/>
          <w:b/>
          <w:color w:val="auto"/>
          <w:sz w:val="18"/>
          <w:szCs w:val="18"/>
          <w:highlight w:val="none"/>
          <w:lang w:val="en-US" w:eastAsia="zh-CN"/>
        </w:rPr>
        <w:t>电子印章</w:t>
      </w:r>
      <w:r>
        <w:rPr>
          <w:rFonts w:hint="eastAsia" w:ascii="宋体" w:hAnsi="宋体" w:cs="宋体"/>
          <w:b/>
          <w:color w:val="auto"/>
          <w:sz w:val="18"/>
          <w:szCs w:val="18"/>
          <w:highlight w:val="none"/>
        </w:rPr>
        <w:t>。</w:t>
      </w:r>
    </w:p>
    <w:p w14:paraId="1A50698B">
      <w:pPr>
        <w:shd w:val="clear" w:color="auto" w:fill="FFFFFF"/>
        <w:ind w:firstLine="361" w:firstLineChars="200"/>
        <w:jc w:val="left"/>
        <w:rPr>
          <w:rFonts w:hint="eastAsia" w:ascii="宋体" w:hAnsi="宋体" w:cs="宋体"/>
          <w:b/>
          <w:bCs/>
          <w:color w:val="auto"/>
          <w:sz w:val="24"/>
          <w:highlight w:val="none"/>
          <w:lang w:val="en-US" w:eastAsia="zh-CN"/>
        </w:rPr>
      </w:pPr>
      <w:r>
        <w:rPr>
          <w:rFonts w:hint="eastAsia" w:ascii="宋体" w:hAnsi="宋体" w:cs="宋体"/>
          <w:b/>
          <w:color w:val="auto"/>
          <w:sz w:val="18"/>
          <w:szCs w:val="18"/>
          <w:highlight w:val="none"/>
        </w:rPr>
        <w:t>2、本表后应附本表所列岗位的所有管理人员的身份证、相关证书</w:t>
      </w:r>
      <w:r>
        <w:rPr>
          <w:rFonts w:hint="eastAsia" w:ascii="宋体" w:hAnsi="宋体" w:cs="宋体"/>
          <w:b/>
          <w:color w:val="auto"/>
          <w:sz w:val="18"/>
          <w:szCs w:val="18"/>
          <w:highlight w:val="none"/>
          <w:lang w:eastAsia="zh-CN"/>
        </w:rPr>
        <w:t>（</w:t>
      </w:r>
      <w:r>
        <w:rPr>
          <w:rFonts w:hint="eastAsia" w:ascii="宋体" w:hAnsi="宋体" w:cs="宋体"/>
          <w:b/>
          <w:color w:val="auto"/>
          <w:sz w:val="18"/>
          <w:szCs w:val="18"/>
          <w:highlight w:val="none"/>
          <w:lang w:val="en-US" w:eastAsia="zh-CN"/>
        </w:rPr>
        <w:t>如有</w:t>
      </w:r>
      <w:r>
        <w:rPr>
          <w:rFonts w:hint="eastAsia" w:ascii="宋体" w:hAnsi="宋体" w:cs="宋体"/>
          <w:b/>
          <w:color w:val="auto"/>
          <w:sz w:val="18"/>
          <w:szCs w:val="18"/>
          <w:highlight w:val="none"/>
          <w:lang w:eastAsia="zh-CN"/>
        </w:rPr>
        <w:t>）</w:t>
      </w:r>
      <w:r>
        <w:rPr>
          <w:rFonts w:hint="eastAsia" w:ascii="宋体" w:hAnsi="宋体" w:cs="宋体"/>
          <w:b/>
          <w:color w:val="auto"/>
          <w:sz w:val="18"/>
          <w:szCs w:val="18"/>
          <w:highlight w:val="none"/>
        </w:rPr>
        <w:t>的复印件，项目经理还须附上资格审查条件所要求其他相关证书（如建造师注册证书、安全生产考核合格证书等）的复印件，复印件均需加盖供应商</w:t>
      </w:r>
      <w:r>
        <w:rPr>
          <w:rFonts w:hint="eastAsia" w:ascii="宋体" w:hAnsi="宋体" w:cs="宋体"/>
          <w:b/>
          <w:color w:val="auto"/>
          <w:sz w:val="18"/>
          <w:szCs w:val="18"/>
          <w:highlight w:val="none"/>
          <w:lang w:val="en-US" w:eastAsia="zh-CN"/>
        </w:rPr>
        <w:t>电子印章</w:t>
      </w:r>
      <w:r>
        <w:rPr>
          <w:rFonts w:hint="eastAsia" w:ascii="宋体" w:hAnsi="宋体" w:cs="宋体"/>
          <w:b/>
          <w:color w:val="auto"/>
          <w:sz w:val="18"/>
          <w:szCs w:val="18"/>
          <w:highlight w:val="none"/>
        </w:rPr>
        <w:t>。</w:t>
      </w:r>
    </w:p>
    <w:p w14:paraId="553B275D">
      <w:pPr>
        <w:shd w:val="clear" w:color="auto" w:fill="FFFFFF"/>
        <w:ind w:firstLine="482" w:firstLineChars="200"/>
        <w:jc w:val="center"/>
        <w:rPr>
          <w:rFonts w:hint="eastAsia" w:ascii="宋体" w:hAnsi="宋体" w:eastAsia="宋体" w:cs="宋体"/>
          <w:b/>
          <w:bCs/>
          <w:color w:val="auto"/>
          <w:sz w:val="24"/>
          <w:highlight w:val="none"/>
        </w:rPr>
      </w:pPr>
    </w:p>
    <w:p w14:paraId="360D23E4">
      <w:pPr>
        <w:shd w:val="clear" w:color="auto" w:fill="FFFFFF"/>
        <w:ind w:firstLine="482" w:firstLineChars="200"/>
        <w:jc w:val="center"/>
        <w:rPr>
          <w:rFonts w:hint="eastAsia" w:ascii="宋体" w:hAnsi="宋体" w:eastAsia="宋体" w:cs="宋体"/>
          <w:b/>
          <w:bCs/>
          <w:color w:val="auto"/>
          <w:sz w:val="24"/>
          <w:highlight w:val="none"/>
        </w:rPr>
      </w:pPr>
    </w:p>
    <w:p w14:paraId="2AEFEC7F">
      <w:pPr>
        <w:shd w:val="clear" w:color="auto" w:fill="FFFFFF"/>
        <w:ind w:firstLine="482" w:firstLineChars="200"/>
        <w:jc w:val="center"/>
        <w:rPr>
          <w:rFonts w:hint="eastAsia" w:ascii="宋体" w:hAnsi="宋体" w:eastAsia="宋体" w:cs="宋体"/>
          <w:b/>
          <w:bCs/>
          <w:color w:val="auto"/>
          <w:sz w:val="24"/>
          <w:highlight w:val="none"/>
        </w:rPr>
      </w:pPr>
    </w:p>
    <w:p w14:paraId="193D649F">
      <w:pPr>
        <w:shd w:val="clear" w:color="auto" w:fill="FFFFFF"/>
        <w:ind w:firstLine="482" w:firstLineChars="200"/>
        <w:jc w:val="both"/>
        <w:rPr>
          <w:rFonts w:hint="eastAsia" w:ascii="宋体" w:hAnsi="宋体" w:eastAsia="宋体" w:cs="宋体"/>
          <w:b/>
          <w:bCs/>
          <w:color w:val="auto"/>
          <w:sz w:val="24"/>
          <w:highlight w:val="none"/>
        </w:rPr>
      </w:pPr>
    </w:p>
    <w:p w14:paraId="7AF3180F">
      <w:pPr>
        <w:shd w:val="clear" w:color="auto" w:fill="FFFFFF"/>
        <w:ind w:firstLine="482" w:firstLineChars="200"/>
        <w:jc w:val="both"/>
        <w:rPr>
          <w:rFonts w:hint="eastAsia" w:ascii="宋体" w:hAnsi="宋体" w:eastAsia="宋体" w:cs="宋体"/>
          <w:b/>
          <w:bCs/>
          <w:color w:val="auto"/>
          <w:sz w:val="24"/>
          <w:highlight w:val="none"/>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除</w:t>
      </w:r>
      <w:r>
        <w:rPr>
          <w:rFonts w:hint="eastAsia" w:ascii="宋体" w:hAnsi="宋体" w:cs="宋体"/>
          <w:b/>
          <w:bCs/>
          <w:color w:val="auto"/>
          <w:sz w:val="24"/>
          <w:szCs w:val="24"/>
          <w:highlight w:val="none"/>
          <w:lang w:val="en-US" w:eastAsia="zh-CN"/>
        </w:rPr>
        <w:t>竞争性磋商</w:t>
      </w:r>
      <w:r>
        <w:rPr>
          <w:rFonts w:hint="eastAsia" w:ascii="宋体" w:hAnsi="宋体" w:cs="宋体"/>
          <w:b/>
          <w:bCs/>
          <w:color w:val="auto"/>
          <w:sz w:val="24"/>
          <w:szCs w:val="24"/>
          <w:highlight w:val="none"/>
        </w:rPr>
        <w:t>文件规定必须提供以外，供应商认为需要提供的</w:t>
      </w:r>
      <w:r>
        <w:rPr>
          <w:rFonts w:hint="eastAsia" w:ascii="宋体" w:hAnsi="宋体" w:cs="宋体"/>
          <w:b/>
          <w:bCs/>
          <w:color w:val="auto"/>
          <w:sz w:val="24"/>
          <w:szCs w:val="24"/>
          <w:highlight w:val="none"/>
          <w:lang w:eastAsia="zh-CN"/>
        </w:rPr>
        <w:t>其他</w:t>
      </w:r>
      <w:r>
        <w:rPr>
          <w:rFonts w:hint="eastAsia" w:ascii="宋体" w:hAnsi="宋体" w:cs="宋体"/>
          <w:b/>
          <w:bCs/>
          <w:color w:val="auto"/>
          <w:sz w:val="24"/>
          <w:szCs w:val="24"/>
          <w:highlight w:val="none"/>
        </w:rPr>
        <w:t>证明材料</w:t>
      </w:r>
      <w:r>
        <w:rPr>
          <w:rFonts w:hint="eastAsia" w:ascii="宋体" w:hAnsi="宋体" w:cs="宋体"/>
          <w:b/>
          <w:bCs/>
          <w:color w:val="auto"/>
          <w:sz w:val="24"/>
          <w:szCs w:val="24"/>
          <w:highlight w:val="none"/>
          <w:lang w:eastAsia="zh-CN"/>
        </w:rPr>
        <w:t>。</w:t>
      </w:r>
    </w:p>
    <w:p w14:paraId="71770F2D">
      <w:pPr>
        <w:shd w:val="clear" w:color="auto" w:fill="FFFFFF"/>
        <w:ind w:firstLine="482" w:firstLineChars="200"/>
        <w:jc w:val="center"/>
        <w:rPr>
          <w:rFonts w:hint="eastAsia" w:ascii="宋体" w:hAnsi="宋体" w:eastAsia="宋体" w:cs="宋体"/>
          <w:b/>
          <w:bCs/>
          <w:color w:val="auto"/>
          <w:sz w:val="24"/>
          <w:highlight w:val="none"/>
        </w:rPr>
      </w:pPr>
    </w:p>
    <w:p w14:paraId="7AAF4DBD">
      <w:pPr>
        <w:shd w:val="clear" w:color="auto" w:fill="FFFFFF"/>
        <w:ind w:firstLine="482" w:firstLineChars="200"/>
        <w:jc w:val="center"/>
        <w:rPr>
          <w:rFonts w:hint="eastAsia" w:ascii="宋体" w:hAnsi="宋体" w:eastAsia="宋体" w:cs="宋体"/>
          <w:b/>
          <w:bCs/>
          <w:color w:val="auto"/>
          <w:sz w:val="24"/>
          <w:highlight w:val="none"/>
        </w:rPr>
      </w:pPr>
    </w:p>
    <w:p w14:paraId="24362B64">
      <w:pPr>
        <w:shd w:val="clear" w:color="auto" w:fill="FFFFFF"/>
        <w:ind w:firstLine="482" w:firstLineChars="200"/>
        <w:jc w:val="center"/>
        <w:rPr>
          <w:rFonts w:hint="eastAsia" w:ascii="宋体" w:hAnsi="宋体" w:eastAsia="宋体" w:cs="宋体"/>
          <w:b/>
          <w:bCs/>
          <w:color w:val="auto"/>
          <w:sz w:val="24"/>
          <w:highlight w:val="none"/>
        </w:rPr>
      </w:pPr>
    </w:p>
    <w:p w14:paraId="39B8C77E">
      <w:pPr>
        <w:shd w:val="clear" w:color="auto" w:fill="FFFFFF"/>
        <w:ind w:firstLine="482" w:firstLineChars="200"/>
        <w:jc w:val="center"/>
        <w:rPr>
          <w:rFonts w:hint="eastAsia" w:ascii="宋体" w:hAnsi="宋体" w:eastAsia="宋体" w:cs="宋体"/>
          <w:b/>
          <w:bCs/>
          <w:color w:val="auto"/>
          <w:sz w:val="24"/>
          <w:highlight w:val="none"/>
        </w:rPr>
      </w:pPr>
    </w:p>
    <w:p w14:paraId="5459DBAB">
      <w:pPr>
        <w:shd w:val="clear" w:color="auto" w:fill="FFFFFF"/>
        <w:ind w:firstLine="482" w:firstLineChars="200"/>
        <w:jc w:val="center"/>
        <w:rPr>
          <w:rFonts w:hint="eastAsia" w:ascii="宋体" w:hAnsi="宋体" w:eastAsia="宋体" w:cs="宋体"/>
          <w:b/>
          <w:bCs/>
          <w:color w:val="auto"/>
          <w:sz w:val="24"/>
          <w:highlight w:val="none"/>
        </w:rPr>
      </w:pPr>
    </w:p>
    <w:p w14:paraId="77635FFD">
      <w:pPr>
        <w:shd w:val="clear" w:color="auto" w:fill="FFFFFF"/>
        <w:ind w:firstLine="482" w:firstLineChars="200"/>
        <w:jc w:val="center"/>
        <w:rPr>
          <w:rFonts w:hint="eastAsia" w:ascii="宋体" w:hAnsi="宋体" w:eastAsia="宋体" w:cs="宋体"/>
          <w:b/>
          <w:bCs/>
          <w:color w:val="auto"/>
          <w:sz w:val="24"/>
          <w:highlight w:val="none"/>
        </w:rPr>
      </w:pPr>
    </w:p>
    <w:p w14:paraId="47A6554C">
      <w:pPr>
        <w:shd w:val="clear" w:color="auto" w:fill="FFFFFF"/>
        <w:ind w:firstLine="482" w:firstLineChars="200"/>
        <w:jc w:val="center"/>
        <w:rPr>
          <w:rFonts w:hint="eastAsia" w:ascii="宋体" w:hAnsi="宋体" w:eastAsia="宋体" w:cs="宋体"/>
          <w:b/>
          <w:bCs/>
          <w:color w:val="auto"/>
          <w:sz w:val="24"/>
          <w:highlight w:val="none"/>
        </w:rPr>
      </w:pPr>
    </w:p>
    <w:p w14:paraId="4D02B394">
      <w:pPr>
        <w:shd w:val="clear" w:color="auto" w:fill="FFFFFF"/>
        <w:ind w:firstLine="482" w:firstLineChars="200"/>
        <w:jc w:val="center"/>
        <w:rPr>
          <w:rFonts w:hint="eastAsia" w:ascii="宋体" w:hAnsi="宋体" w:eastAsia="宋体" w:cs="宋体"/>
          <w:b/>
          <w:bCs/>
          <w:color w:val="auto"/>
          <w:sz w:val="24"/>
          <w:highlight w:val="none"/>
        </w:rPr>
      </w:pPr>
    </w:p>
    <w:p w14:paraId="2D986E16">
      <w:pPr>
        <w:shd w:val="clear" w:color="auto" w:fill="FFFFFF"/>
        <w:ind w:firstLine="482" w:firstLineChars="200"/>
        <w:jc w:val="center"/>
        <w:rPr>
          <w:rFonts w:hint="eastAsia" w:ascii="宋体" w:hAnsi="宋体" w:eastAsia="宋体" w:cs="宋体"/>
          <w:b/>
          <w:bCs/>
          <w:color w:val="auto"/>
          <w:sz w:val="24"/>
          <w:highlight w:val="none"/>
        </w:rPr>
      </w:pPr>
    </w:p>
    <w:p w14:paraId="0F1CAEEB">
      <w:pPr>
        <w:shd w:val="clear" w:color="auto" w:fill="FFFFFF"/>
        <w:jc w:val="both"/>
        <w:rPr>
          <w:rFonts w:hint="eastAsia" w:ascii="宋体" w:hAnsi="宋体" w:eastAsia="宋体" w:cs="宋体"/>
          <w:b/>
          <w:bCs/>
          <w:color w:val="auto"/>
          <w:sz w:val="24"/>
          <w:highlight w:val="none"/>
        </w:rPr>
      </w:pPr>
    </w:p>
    <w:p w14:paraId="5312CED6">
      <w:pPr>
        <w:shd w:val="clear" w:color="auto" w:fill="FFFFFF"/>
        <w:ind w:firstLine="482" w:firstLineChars="200"/>
        <w:jc w:val="center"/>
        <w:rPr>
          <w:rFonts w:hint="eastAsia" w:ascii="宋体" w:hAnsi="宋体" w:eastAsia="宋体" w:cs="宋体"/>
          <w:b/>
          <w:bCs/>
          <w:color w:val="auto"/>
          <w:sz w:val="24"/>
          <w:highlight w:val="none"/>
        </w:rPr>
      </w:pPr>
    </w:p>
    <w:p w14:paraId="6232141E">
      <w:pPr>
        <w:shd w:val="clear" w:color="auto" w:fill="FFFFFF"/>
        <w:ind w:firstLine="482" w:firstLineChars="20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（桂建质【2015】16号文附件一）</w:t>
      </w:r>
    </w:p>
    <w:p w14:paraId="059392B7">
      <w:pPr>
        <w:shd w:val="clear" w:color="auto" w:fill="FFFFFF"/>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广西壮族自治区建筑工程安全防护、文明施工措施项目清单内容</w:t>
      </w:r>
    </w:p>
    <w:tbl>
      <w:tblPr>
        <w:tblStyle w:val="22"/>
        <w:tblW w:w="945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167A6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vAlign w:val="center"/>
          </w:tcPr>
          <w:p w14:paraId="377FEABE">
            <w:pPr>
              <w:pStyle w:val="44"/>
              <w:shd w:val="clear" w:color="auto" w:fill="FFFFFF"/>
              <w:spacing w:line="3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2070" w:type="dxa"/>
            <w:gridSpan w:val="2"/>
            <w:vAlign w:val="center"/>
          </w:tcPr>
          <w:p w14:paraId="2682AF3C">
            <w:pPr>
              <w:pStyle w:val="44"/>
              <w:shd w:val="clear" w:color="auto" w:fill="FFFFFF"/>
              <w:spacing w:line="3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645" w:type="dxa"/>
            <w:vAlign w:val="center"/>
          </w:tcPr>
          <w:p w14:paraId="6323D2E0">
            <w:pPr>
              <w:pStyle w:val="44"/>
              <w:shd w:val="clear" w:color="auto" w:fill="FFFFFF"/>
              <w:spacing w:line="3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主要内容和要求</w:t>
            </w:r>
          </w:p>
        </w:tc>
      </w:tr>
      <w:tr w14:paraId="72121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7E771F19">
            <w:pPr>
              <w:pStyle w:val="44"/>
              <w:shd w:val="clear" w:color="auto" w:fill="FFFFFF"/>
              <w:spacing w:line="30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文明</w:t>
            </w:r>
          </w:p>
          <w:p w14:paraId="676C2246">
            <w:pPr>
              <w:pStyle w:val="44"/>
              <w:shd w:val="clear" w:color="auto" w:fill="FFFFFF"/>
              <w:spacing w:line="30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w:t>
            </w:r>
          </w:p>
          <w:p w14:paraId="4283D576">
            <w:pPr>
              <w:pStyle w:val="44"/>
              <w:shd w:val="clear" w:color="auto" w:fill="FFFFFF"/>
              <w:spacing w:line="30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w:t>
            </w:r>
          </w:p>
          <w:p w14:paraId="7BE377F5">
            <w:pPr>
              <w:pStyle w:val="44"/>
              <w:shd w:val="clear" w:color="auto" w:fill="FFFFFF"/>
              <w:spacing w:line="30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保护</w:t>
            </w:r>
          </w:p>
        </w:tc>
        <w:tc>
          <w:tcPr>
            <w:tcW w:w="2070" w:type="dxa"/>
            <w:gridSpan w:val="2"/>
            <w:vAlign w:val="center"/>
          </w:tcPr>
          <w:p w14:paraId="71EA4C73">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安全警示</w:t>
            </w:r>
          </w:p>
          <w:p w14:paraId="044142B6">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标志牌</w:t>
            </w:r>
          </w:p>
        </w:tc>
        <w:tc>
          <w:tcPr>
            <w:tcW w:w="6645" w:type="dxa"/>
            <w:vAlign w:val="center"/>
          </w:tcPr>
          <w:p w14:paraId="60FC080C">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在易发伤亡事故（或危险）处设置明显的、符合国家标准要求的安全警示标志牌。</w:t>
            </w:r>
          </w:p>
        </w:tc>
      </w:tr>
      <w:tr w14:paraId="5D9D1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2B2C6DA">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vAlign w:val="center"/>
          </w:tcPr>
          <w:p w14:paraId="3405A7AF">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现场围挡</w:t>
            </w:r>
          </w:p>
        </w:tc>
        <w:tc>
          <w:tcPr>
            <w:tcW w:w="6645" w:type="dxa"/>
            <w:vAlign w:val="center"/>
          </w:tcPr>
          <w:p w14:paraId="7B5053DC">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现场采用封闭围挡，高度不小于1.8m。</w:t>
            </w:r>
          </w:p>
          <w:p w14:paraId="1878A2DC">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围挡材料可用彩色、定型钢板，砌块等墙体。</w:t>
            </w:r>
          </w:p>
        </w:tc>
      </w:tr>
      <w:tr w14:paraId="68EAA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7F53005">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vAlign w:val="center"/>
          </w:tcPr>
          <w:p w14:paraId="203042BC">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七牌二图</w:t>
            </w:r>
          </w:p>
        </w:tc>
        <w:tc>
          <w:tcPr>
            <w:tcW w:w="6645" w:type="dxa"/>
            <w:vAlign w:val="center"/>
          </w:tcPr>
          <w:p w14:paraId="77832F1D">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6972B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vAlign w:val="center"/>
          </w:tcPr>
          <w:p w14:paraId="0587BF63">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vAlign w:val="center"/>
          </w:tcPr>
          <w:p w14:paraId="756DD569">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企业标志</w:t>
            </w:r>
          </w:p>
        </w:tc>
        <w:tc>
          <w:tcPr>
            <w:tcW w:w="6645" w:type="dxa"/>
            <w:vAlign w:val="center"/>
          </w:tcPr>
          <w:p w14:paraId="538BCAD6">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现场出入的大门应设有本企业标志或企业标识。</w:t>
            </w:r>
          </w:p>
        </w:tc>
      </w:tr>
      <w:tr w14:paraId="4BF5E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ED09DEF">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vAlign w:val="center"/>
          </w:tcPr>
          <w:p w14:paraId="6675F398">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场容场貌</w:t>
            </w:r>
          </w:p>
        </w:tc>
        <w:tc>
          <w:tcPr>
            <w:tcW w:w="6645" w:type="dxa"/>
            <w:vAlign w:val="center"/>
          </w:tcPr>
          <w:p w14:paraId="259FF3BA">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道路畅通。</w:t>
            </w:r>
          </w:p>
          <w:p w14:paraId="6C378360">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排水设施齐全畅通。</w:t>
            </w:r>
          </w:p>
          <w:p w14:paraId="5D9EDD9F">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工地地面硬化处理（办公区、生活区、现场道路、材料堆放、混凝土搅拌、砂浆搅拌、钢筋加工等场地和外脚手架基础等）。</w:t>
            </w:r>
          </w:p>
        </w:tc>
      </w:tr>
      <w:tr w14:paraId="2DC5E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71852D5D">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vAlign w:val="center"/>
          </w:tcPr>
          <w:p w14:paraId="5571BEB7">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材料堆放</w:t>
            </w:r>
          </w:p>
        </w:tc>
        <w:tc>
          <w:tcPr>
            <w:tcW w:w="6645" w:type="dxa"/>
            <w:vAlign w:val="center"/>
          </w:tcPr>
          <w:p w14:paraId="31C76712">
            <w:pPr>
              <w:pStyle w:val="44"/>
              <w:numPr>
                <w:ilvl w:val="0"/>
                <w:numId w:val="17"/>
              </w:numPr>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材料、构件、料具等堆放时，应有名称、品种、规格等标牌。</w:t>
            </w:r>
          </w:p>
          <w:p w14:paraId="1504A625">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水泥和其它易飞扬细颗粒建筑材料应封闭存放或采取覆盖等措施。</w:t>
            </w:r>
          </w:p>
          <w:p w14:paraId="1B13F618">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易燃、易爆和有毒有害物品分类存放。</w:t>
            </w:r>
          </w:p>
        </w:tc>
      </w:tr>
      <w:tr w14:paraId="1ABDE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172EDFC1">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vAlign w:val="center"/>
          </w:tcPr>
          <w:p w14:paraId="14BE202F">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现场防火</w:t>
            </w:r>
          </w:p>
        </w:tc>
        <w:tc>
          <w:tcPr>
            <w:tcW w:w="6645" w:type="dxa"/>
            <w:vAlign w:val="center"/>
          </w:tcPr>
          <w:p w14:paraId="6948CBA9">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消防器材配置合理，符合消防要求。</w:t>
            </w:r>
          </w:p>
        </w:tc>
      </w:tr>
      <w:tr w14:paraId="5C6E2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5F40156">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vAlign w:val="center"/>
          </w:tcPr>
          <w:p w14:paraId="589FAEF9">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垃圾清运</w:t>
            </w:r>
          </w:p>
        </w:tc>
        <w:tc>
          <w:tcPr>
            <w:tcW w:w="6645" w:type="dxa"/>
            <w:vAlign w:val="center"/>
          </w:tcPr>
          <w:p w14:paraId="5F67A020">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施工现场应设置密闭式垃圾站，施工垃圾、生活垃圾应分类存放。</w:t>
            </w:r>
          </w:p>
          <w:p w14:paraId="4D2336A5">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施工垃圾必须采用相应容器或管道运输。</w:t>
            </w:r>
          </w:p>
        </w:tc>
      </w:tr>
      <w:tr w14:paraId="3E664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75DC29E0">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vAlign w:val="center"/>
          </w:tcPr>
          <w:p w14:paraId="400312DF">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宣传栏、环保及不扰民措施</w:t>
            </w:r>
          </w:p>
        </w:tc>
        <w:tc>
          <w:tcPr>
            <w:tcW w:w="6645" w:type="dxa"/>
            <w:vAlign w:val="center"/>
          </w:tcPr>
          <w:p w14:paraId="01C0E85C">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宣传栏、安全宣传标语等，洗车（防止污染市区道路）、粉尘、噪声控制和排污（污水、废气）措施等。</w:t>
            </w:r>
          </w:p>
        </w:tc>
      </w:tr>
      <w:tr w14:paraId="19FBF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42026441">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临时设施</w:t>
            </w:r>
          </w:p>
        </w:tc>
        <w:tc>
          <w:tcPr>
            <w:tcW w:w="2070" w:type="dxa"/>
            <w:gridSpan w:val="2"/>
            <w:vAlign w:val="center"/>
          </w:tcPr>
          <w:p w14:paraId="207641B8">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现场办公</w:t>
            </w:r>
          </w:p>
          <w:p w14:paraId="21D4B7BB">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生活设施</w:t>
            </w:r>
          </w:p>
        </w:tc>
        <w:tc>
          <w:tcPr>
            <w:tcW w:w="6645" w:type="dxa"/>
            <w:vAlign w:val="center"/>
          </w:tcPr>
          <w:p w14:paraId="3F444FF5">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施工现场办公、生活区与作业区分开设置，保持安全距离。</w:t>
            </w:r>
          </w:p>
          <w:p w14:paraId="772AEDBE">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工地办公室、现场宿舍、食堂、厕所、饮水、沐浴、休息场所等符合卫生、消防安全要求。</w:t>
            </w:r>
          </w:p>
        </w:tc>
      </w:tr>
      <w:tr w14:paraId="06FD7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D6F0718">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restart"/>
            <w:vAlign w:val="center"/>
          </w:tcPr>
          <w:p w14:paraId="5285989D">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w:t>
            </w:r>
          </w:p>
          <w:p w14:paraId="112B2971">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临时用电</w:t>
            </w:r>
          </w:p>
        </w:tc>
        <w:tc>
          <w:tcPr>
            <w:tcW w:w="1545" w:type="dxa"/>
            <w:vAlign w:val="center"/>
          </w:tcPr>
          <w:p w14:paraId="57B27FC4">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配电线路</w:t>
            </w:r>
          </w:p>
        </w:tc>
        <w:tc>
          <w:tcPr>
            <w:tcW w:w="6645" w:type="dxa"/>
            <w:vAlign w:val="center"/>
          </w:tcPr>
          <w:p w14:paraId="74D65C79">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按照TN-S系统要求配备五芯电缆、四芯电缆和三芯电缆。</w:t>
            </w:r>
          </w:p>
          <w:p w14:paraId="4AA04AF2">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按要求架设临时用电线路的电杆、横担、瓷夹、瓷瓶等，或电缆埋地的地沟。</w:t>
            </w:r>
          </w:p>
          <w:p w14:paraId="64441D48">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对靠近施工现场的外电线路，设置木质、塑料等绝缘体的防护设施。</w:t>
            </w:r>
          </w:p>
        </w:tc>
      </w:tr>
      <w:tr w14:paraId="284D9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66A8B1D">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vAlign w:val="center"/>
          </w:tcPr>
          <w:p w14:paraId="1ACF5D41">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vAlign w:val="center"/>
          </w:tcPr>
          <w:p w14:paraId="06562C6E">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配电箱</w:t>
            </w:r>
          </w:p>
          <w:p w14:paraId="1CCB6BBC">
            <w:pPr>
              <w:pStyle w:val="44"/>
              <w:shd w:val="clear" w:color="auto" w:fill="FFFFFF"/>
              <w:spacing w:line="3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开关箱</w:t>
            </w:r>
          </w:p>
        </w:tc>
        <w:tc>
          <w:tcPr>
            <w:tcW w:w="6645" w:type="dxa"/>
            <w:vAlign w:val="center"/>
          </w:tcPr>
          <w:p w14:paraId="345D8DCC">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按三级配电要求，配备总配电箱、分配电箱、开关箱三类（铁质）标准电箱，开关箱应符合“一机、一箱、一闸、一漏”，三类电箱中的各类电器应是合格品。</w:t>
            </w:r>
          </w:p>
          <w:p w14:paraId="50A8D3D2">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按两级保护的要求，选取符合容量要求和质量合格的总配电箱和开关箱中的漏电保护器。</w:t>
            </w:r>
          </w:p>
          <w:p w14:paraId="4499F3E7">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对大型、落地式分配电箱、开关箱设置防护棚和通透式围挡。</w:t>
            </w:r>
          </w:p>
        </w:tc>
      </w:tr>
      <w:tr w14:paraId="62E1A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vAlign w:val="center"/>
          </w:tcPr>
          <w:p w14:paraId="62DF0515">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vAlign w:val="center"/>
          </w:tcPr>
          <w:p w14:paraId="24F27BAB">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vAlign w:val="center"/>
          </w:tcPr>
          <w:p w14:paraId="77D200D1">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接地装置</w:t>
            </w:r>
          </w:p>
        </w:tc>
        <w:tc>
          <w:tcPr>
            <w:tcW w:w="6645" w:type="dxa"/>
            <w:vAlign w:val="center"/>
          </w:tcPr>
          <w:p w14:paraId="2AD31DB5">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施工现场应设置不少于三处的重复接地装置。</w:t>
            </w:r>
          </w:p>
        </w:tc>
      </w:tr>
      <w:tr w14:paraId="52872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vAlign w:val="center"/>
          </w:tcPr>
          <w:p w14:paraId="218C6524">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vAlign w:val="center"/>
          </w:tcPr>
          <w:p w14:paraId="052C3EEE">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vAlign w:val="center"/>
          </w:tcPr>
          <w:p w14:paraId="49158C36">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现场变配电装置</w:t>
            </w:r>
          </w:p>
        </w:tc>
        <w:tc>
          <w:tcPr>
            <w:tcW w:w="6645" w:type="dxa"/>
            <w:vAlign w:val="center"/>
          </w:tcPr>
          <w:p w14:paraId="377204D2">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总配电房建筑材料必须达到消防防火要求，室内做硬地坪、电缆沟。</w:t>
            </w:r>
          </w:p>
        </w:tc>
      </w:tr>
      <w:tr w14:paraId="06B35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vAlign w:val="center"/>
          </w:tcPr>
          <w:p w14:paraId="23CCDDA6">
            <w:pPr>
              <w:pStyle w:val="44"/>
              <w:shd w:val="clear" w:color="auto" w:fill="FFFFFF"/>
              <w:spacing w:line="3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2070" w:type="dxa"/>
            <w:gridSpan w:val="2"/>
            <w:vAlign w:val="center"/>
          </w:tcPr>
          <w:p w14:paraId="16F8C560">
            <w:pPr>
              <w:pStyle w:val="44"/>
              <w:shd w:val="clear" w:color="auto" w:fill="FFFFFF"/>
              <w:spacing w:line="3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645" w:type="dxa"/>
            <w:vAlign w:val="center"/>
          </w:tcPr>
          <w:p w14:paraId="43C87CB8">
            <w:pPr>
              <w:pStyle w:val="44"/>
              <w:shd w:val="clear" w:color="auto" w:fill="FFFFFF"/>
              <w:spacing w:line="3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主要内容和要求</w:t>
            </w:r>
          </w:p>
        </w:tc>
      </w:tr>
      <w:tr w14:paraId="5555F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791037C2">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安全施工</w:t>
            </w:r>
          </w:p>
        </w:tc>
        <w:tc>
          <w:tcPr>
            <w:tcW w:w="525" w:type="dxa"/>
            <w:vMerge w:val="restart"/>
            <w:vAlign w:val="center"/>
          </w:tcPr>
          <w:p w14:paraId="209A27F1">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高处作业防护</w:t>
            </w:r>
          </w:p>
        </w:tc>
        <w:tc>
          <w:tcPr>
            <w:tcW w:w="1545" w:type="dxa"/>
            <w:vAlign w:val="center"/>
          </w:tcPr>
          <w:p w14:paraId="29A6BB1D">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楼层、屋面、阳台等临边</w:t>
            </w:r>
          </w:p>
        </w:tc>
        <w:tc>
          <w:tcPr>
            <w:tcW w:w="6645" w:type="dxa"/>
            <w:vAlign w:val="center"/>
          </w:tcPr>
          <w:p w14:paraId="09CE0E62">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设两道防护栏杆和18cm高的踢脚板，用密目式安全立网全封闭。</w:t>
            </w:r>
          </w:p>
        </w:tc>
      </w:tr>
      <w:tr w14:paraId="68DB9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2A4F88AD">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vAlign w:val="center"/>
          </w:tcPr>
          <w:p w14:paraId="1D63EB21">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vAlign w:val="center"/>
          </w:tcPr>
          <w:p w14:paraId="7BEF43A2">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通道口</w:t>
            </w:r>
          </w:p>
        </w:tc>
        <w:tc>
          <w:tcPr>
            <w:tcW w:w="6645" w:type="dxa"/>
            <w:vAlign w:val="center"/>
          </w:tcPr>
          <w:p w14:paraId="08547B0A">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设防护棚，防护棚应为不小于5cm厚的木板或两道相距50cm的竹笆。两侧应沿栏杆架用密目式安全网封闭。</w:t>
            </w:r>
          </w:p>
        </w:tc>
      </w:tr>
      <w:tr w14:paraId="17E69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1E9C9D8">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vAlign w:val="center"/>
          </w:tcPr>
          <w:p w14:paraId="4342A0B2">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vAlign w:val="center"/>
          </w:tcPr>
          <w:p w14:paraId="25AEEE39">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预留洞口</w:t>
            </w:r>
          </w:p>
        </w:tc>
        <w:tc>
          <w:tcPr>
            <w:tcW w:w="6645" w:type="dxa"/>
            <w:vAlign w:val="center"/>
          </w:tcPr>
          <w:p w14:paraId="10EC48D4">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用硬质材料全封闭，短边超过1.5m长的洞口，除封闭外四周还应设有防护栏杆。</w:t>
            </w:r>
          </w:p>
        </w:tc>
      </w:tr>
      <w:tr w14:paraId="57C31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vAlign w:val="center"/>
          </w:tcPr>
          <w:p w14:paraId="7BBEC842">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vAlign w:val="center"/>
          </w:tcPr>
          <w:p w14:paraId="7716D81E">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vAlign w:val="center"/>
          </w:tcPr>
          <w:p w14:paraId="188A9F9D">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电梯井口</w:t>
            </w:r>
          </w:p>
        </w:tc>
        <w:tc>
          <w:tcPr>
            <w:tcW w:w="6645" w:type="dxa"/>
            <w:vAlign w:val="center"/>
          </w:tcPr>
          <w:p w14:paraId="490F3E8F">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设置定型化、工具化的防护门，在电梯井内每隔2层（不大于10m）设置一道水平防护。</w:t>
            </w:r>
          </w:p>
        </w:tc>
      </w:tr>
      <w:tr w14:paraId="0B51D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E0D3EE2">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vAlign w:val="center"/>
          </w:tcPr>
          <w:p w14:paraId="0B90573D">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vAlign w:val="center"/>
          </w:tcPr>
          <w:p w14:paraId="0F9A062E">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楼梯边</w:t>
            </w:r>
          </w:p>
        </w:tc>
        <w:tc>
          <w:tcPr>
            <w:tcW w:w="6645" w:type="dxa"/>
            <w:vAlign w:val="center"/>
          </w:tcPr>
          <w:p w14:paraId="3F0E0913">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设1.2m高的定型化、工具化的防护栏，18cm高的踢脚板。</w:t>
            </w:r>
          </w:p>
        </w:tc>
      </w:tr>
      <w:tr w14:paraId="442C8A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D109DB2">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vAlign w:val="center"/>
          </w:tcPr>
          <w:p w14:paraId="402F91FA">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vAlign w:val="center"/>
          </w:tcPr>
          <w:p w14:paraId="07B95378">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垂直方向交叉作业</w:t>
            </w:r>
          </w:p>
        </w:tc>
        <w:tc>
          <w:tcPr>
            <w:tcW w:w="6645" w:type="dxa"/>
            <w:vAlign w:val="center"/>
          </w:tcPr>
          <w:p w14:paraId="55BB3460">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设置防护隔离棚或其它设施。</w:t>
            </w:r>
          </w:p>
        </w:tc>
      </w:tr>
      <w:tr w14:paraId="7B269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74A3091">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vAlign w:val="center"/>
          </w:tcPr>
          <w:p w14:paraId="4726E273">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vAlign w:val="center"/>
          </w:tcPr>
          <w:p w14:paraId="37A210E1">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高处作业</w:t>
            </w:r>
          </w:p>
        </w:tc>
        <w:tc>
          <w:tcPr>
            <w:tcW w:w="6645" w:type="dxa"/>
            <w:vAlign w:val="center"/>
          </w:tcPr>
          <w:p w14:paraId="5F9E2E52">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有悬挂安全带的悬索或其它设施，有操作平台，有上下的梯子或其它形式的通道。</w:t>
            </w:r>
          </w:p>
        </w:tc>
      </w:tr>
      <w:tr w14:paraId="73DAB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32491D0">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vAlign w:val="center"/>
          </w:tcPr>
          <w:p w14:paraId="5AE7F544">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vAlign w:val="center"/>
          </w:tcPr>
          <w:p w14:paraId="084D7BB5">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基坑、物料平台</w:t>
            </w:r>
          </w:p>
        </w:tc>
        <w:tc>
          <w:tcPr>
            <w:tcW w:w="6645" w:type="dxa"/>
            <w:vAlign w:val="center"/>
          </w:tcPr>
          <w:p w14:paraId="7D59CC50">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设1.2m高标准化的防护栏，用密目式安全立网封闭，悬挂标识。</w:t>
            </w:r>
          </w:p>
        </w:tc>
      </w:tr>
      <w:tr w14:paraId="22F224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6F04CD9">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vAlign w:val="center"/>
          </w:tcPr>
          <w:p w14:paraId="7D081260">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安全防护用品</w:t>
            </w:r>
          </w:p>
        </w:tc>
        <w:tc>
          <w:tcPr>
            <w:tcW w:w="6645" w:type="dxa"/>
            <w:vAlign w:val="center"/>
          </w:tcPr>
          <w:p w14:paraId="1573BC3B">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安全帽、安全带、特种作业人员（电工、焊工、架子工等）防护服装、用品等。</w:t>
            </w:r>
          </w:p>
        </w:tc>
      </w:tr>
      <w:tr w14:paraId="42A73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vAlign w:val="center"/>
          </w:tcPr>
          <w:p w14:paraId="735DBE82">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w:t>
            </w:r>
          </w:p>
        </w:tc>
        <w:tc>
          <w:tcPr>
            <w:tcW w:w="525" w:type="dxa"/>
            <w:vMerge w:val="restart"/>
            <w:vAlign w:val="center"/>
          </w:tcPr>
          <w:p w14:paraId="5C5B8806">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机械设备防护</w:t>
            </w:r>
          </w:p>
        </w:tc>
        <w:tc>
          <w:tcPr>
            <w:tcW w:w="1545" w:type="dxa"/>
            <w:vAlign w:val="center"/>
          </w:tcPr>
          <w:p w14:paraId="0CDBCC52">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中小型机械</w:t>
            </w:r>
          </w:p>
        </w:tc>
        <w:tc>
          <w:tcPr>
            <w:tcW w:w="6645" w:type="dxa"/>
            <w:vAlign w:val="center"/>
          </w:tcPr>
          <w:p w14:paraId="4F246193">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设防护棚（同通道口防护并有防雨措施）。</w:t>
            </w:r>
          </w:p>
        </w:tc>
      </w:tr>
      <w:tr w14:paraId="0C4A6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D531E3E">
            <w:pPr>
              <w:pStyle w:val="44"/>
              <w:shd w:val="clear" w:color="auto" w:fill="FFFFFF"/>
              <w:spacing w:line="300" w:lineRule="exact"/>
              <w:jc w:val="center"/>
              <w:rPr>
                <w:rFonts w:hint="eastAsia" w:ascii="宋体" w:hAnsi="宋体" w:eastAsia="宋体" w:cs="宋体"/>
                <w:color w:val="auto"/>
                <w:szCs w:val="21"/>
                <w:highlight w:val="none"/>
              </w:rPr>
            </w:pPr>
          </w:p>
        </w:tc>
        <w:tc>
          <w:tcPr>
            <w:tcW w:w="525" w:type="dxa"/>
            <w:vMerge w:val="continue"/>
            <w:vAlign w:val="center"/>
          </w:tcPr>
          <w:p w14:paraId="587E1E38">
            <w:pPr>
              <w:pStyle w:val="44"/>
              <w:shd w:val="clear" w:color="auto" w:fill="FFFFFF"/>
              <w:spacing w:line="300" w:lineRule="exact"/>
              <w:jc w:val="center"/>
              <w:rPr>
                <w:rFonts w:hint="eastAsia" w:ascii="宋体" w:hAnsi="宋体" w:eastAsia="宋体" w:cs="宋体"/>
                <w:color w:val="auto"/>
                <w:szCs w:val="21"/>
                <w:highlight w:val="none"/>
              </w:rPr>
            </w:pPr>
          </w:p>
        </w:tc>
        <w:tc>
          <w:tcPr>
            <w:tcW w:w="1545" w:type="dxa"/>
            <w:vAlign w:val="center"/>
          </w:tcPr>
          <w:p w14:paraId="6CA490B9">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垂直运输设备</w:t>
            </w:r>
          </w:p>
        </w:tc>
        <w:tc>
          <w:tcPr>
            <w:tcW w:w="6645" w:type="dxa"/>
            <w:vAlign w:val="center"/>
          </w:tcPr>
          <w:p w14:paraId="0BDF7A2D">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垂直运输设备检测、检验、日常维护、保养等。</w:t>
            </w:r>
          </w:p>
          <w:p w14:paraId="6496B7BB">
            <w:pPr>
              <w:pStyle w:val="44"/>
              <w:shd w:val="clear" w:color="auto" w:fill="FFFFFF"/>
              <w:spacing w:line="3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物料提升机、施工电梯等物料平台搭设、外侧用密目式安全立网全封闭，有安全通道、安全防护门、防护棚等。</w:t>
            </w:r>
          </w:p>
        </w:tc>
      </w:tr>
      <w:tr w14:paraId="23C20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64C2DF74">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vAlign w:val="center"/>
          </w:tcPr>
          <w:p w14:paraId="78F8652E">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专家论证审查</w:t>
            </w:r>
          </w:p>
        </w:tc>
        <w:tc>
          <w:tcPr>
            <w:tcW w:w="6645" w:type="dxa"/>
            <w:vAlign w:val="center"/>
          </w:tcPr>
          <w:p w14:paraId="4031032C">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超过一定规模的危险性较大分部分项工程专家论证审查。</w:t>
            </w:r>
          </w:p>
        </w:tc>
      </w:tr>
      <w:tr w14:paraId="372E7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450A7B63">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vAlign w:val="center"/>
          </w:tcPr>
          <w:p w14:paraId="240D897C">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应急救援预案</w:t>
            </w:r>
          </w:p>
        </w:tc>
        <w:tc>
          <w:tcPr>
            <w:tcW w:w="6645" w:type="dxa"/>
            <w:vAlign w:val="center"/>
          </w:tcPr>
          <w:p w14:paraId="3ABC8AA6">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救援器材准备及演练等。</w:t>
            </w:r>
          </w:p>
        </w:tc>
      </w:tr>
      <w:tr w14:paraId="56937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2CB3B5F">
            <w:pPr>
              <w:pStyle w:val="44"/>
              <w:shd w:val="clear" w:color="auto" w:fill="FFFFFF"/>
              <w:spacing w:line="300" w:lineRule="exact"/>
              <w:jc w:val="center"/>
              <w:rPr>
                <w:rFonts w:hint="eastAsia" w:ascii="宋体" w:hAnsi="宋体" w:eastAsia="宋体" w:cs="宋体"/>
                <w:color w:val="auto"/>
                <w:szCs w:val="21"/>
                <w:highlight w:val="none"/>
              </w:rPr>
            </w:pPr>
          </w:p>
        </w:tc>
        <w:tc>
          <w:tcPr>
            <w:tcW w:w="2070" w:type="dxa"/>
            <w:gridSpan w:val="2"/>
            <w:vAlign w:val="center"/>
          </w:tcPr>
          <w:p w14:paraId="08F47A19">
            <w:pPr>
              <w:pStyle w:val="44"/>
              <w:shd w:val="clear" w:color="auto" w:fill="FFFFFF"/>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非正常情况施工</w:t>
            </w:r>
          </w:p>
        </w:tc>
        <w:tc>
          <w:tcPr>
            <w:tcW w:w="6645" w:type="dxa"/>
            <w:vAlign w:val="center"/>
          </w:tcPr>
          <w:p w14:paraId="668F4F81">
            <w:pPr>
              <w:pStyle w:val="44"/>
              <w:shd w:val="clear" w:color="auto" w:fill="FFFFFF"/>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其它特殊情况下的防护费用，如：城市主干道、人流密集、河边等处施工及文物、古建筑、古树保护等。</w:t>
            </w:r>
          </w:p>
        </w:tc>
      </w:tr>
    </w:tbl>
    <w:p w14:paraId="0DCCC067">
      <w:pPr>
        <w:pStyle w:val="12"/>
        <w:shd w:val="clear" w:color="auto" w:fill="FFFFFF"/>
        <w:ind w:firstLine="422" w:firstLineChars="200"/>
        <w:jc w:val="center"/>
        <w:rPr>
          <w:rFonts w:hint="eastAsia" w:ascii="宋体" w:hAnsi="宋体" w:eastAsia="宋体" w:cs="宋体"/>
          <w:b/>
          <w:color w:val="auto"/>
          <w:highlight w:val="none"/>
        </w:rPr>
      </w:pPr>
      <w:r>
        <w:rPr>
          <w:rFonts w:hint="eastAsia" w:ascii="宋体" w:hAnsi="宋体" w:eastAsia="宋体" w:cs="宋体"/>
          <w:b/>
          <w:color w:val="auto"/>
          <w:highlight w:val="none"/>
        </w:rPr>
        <w:t>注：本表所列建筑工程安全防护、文明施工措施项目，是依据现行法律法规及标准规范确定的。如法律法规和标准规范修订，本表所列项目应按照修订后的法律法规和标准规范进行调整。</w:t>
      </w:r>
    </w:p>
    <w:p w14:paraId="05048463">
      <w:pPr>
        <w:rPr>
          <w:rFonts w:hint="eastAsia" w:ascii="宋体" w:hAnsi="宋体" w:eastAsia="宋体" w:cs="宋体"/>
          <w:b/>
          <w:color w:val="auto"/>
          <w:highlight w:val="none"/>
        </w:rPr>
      </w:pPr>
    </w:p>
    <w:p w14:paraId="47F14193">
      <w:pPr>
        <w:pStyle w:val="14"/>
        <w:rPr>
          <w:rFonts w:hint="eastAsia" w:ascii="宋体" w:hAnsi="宋体" w:eastAsia="宋体" w:cs="宋体"/>
          <w:b/>
          <w:color w:val="auto"/>
          <w:highlight w:val="none"/>
        </w:rPr>
      </w:pPr>
    </w:p>
    <w:p w14:paraId="06EE4486">
      <w:pPr>
        <w:rPr>
          <w:rFonts w:hint="eastAsia" w:ascii="宋体" w:hAnsi="宋体" w:eastAsia="宋体" w:cs="宋体"/>
          <w:b/>
          <w:color w:val="auto"/>
          <w:highlight w:val="none"/>
        </w:rPr>
      </w:pPr>
    </w:p>
    <w:p w14:paraId="66B6F3CB">
      <w:pPr>
        <w:pStyle w:val="14"/>
        <w:rPr>
          <w:rFonts w:hint="eastAsia" w:ascii="宋体" w:hAnsi="宋体" w:eastAsia="宋体" w:cs="宋体"/>
          <w:b/>
          <w:color w:val="auto"/>
          <w:highlight w:val="none"/>
        </w:rPr>
      </w:pPr>
    </w:p>
    <w:p w14:paraId="0713A5BD">
      <w:pPr>
        <w:rPr>
          <w:rFonts w:hint="eastAsia" w:ascii="宋体" w:hAnsi="宋体" w:eastAsia="宋体" w:cs="宋体"/>
          <w:b/>
          <w:color w:val="auto"/>
          <w:highlight w:val="none"/>
        </w:rPr>
      </w:pPr>
    </w:p>
    <w:p w14:paraId="4309B730">
      <w:pPr>
        <w:pStyle w:val="14"/>
        <w:rPr>
          <w:rFonts w:hint="eastAsia" w:ascii="宋体" w:hAnsi="宋体" w:eastAsia="宋体" w:cs="宋体"/>
          <w:b/>
          <w:color w:val="auto"/>
          <w:highlight w:val="none"/>
        </w:rPr>
      </w:pPr>
    </w:p>
    <w:p w14:paraId="7FD29411">
      <w:pPr>
        <w:rPr>
          <w:rFonts w:hint="eastAsia" w:ascii="宋体" w:hAnsi="宋体" w:eastAsia="宋体" w:cs="宋体"/>
          <w:b/>
          <w:color w:val="auto"/>
          <w:highlight w:val="none"/>
        </w:rPr>
      </w:pPr>
    </w:p>
    <w:p w14:paraId="377B5DB8">
      <w:pPr>
        <w:pStyle w:val="14"/>
        <w:rPr>
          <w:rFonts w:hint="eastAsia" w:ascii="宋体" w:hAnsi="宋体" w:eastAsia="宋体" w:cs="宋体"/>
          <w:b/>
          <w:color w:val="auto"/>
          <w:highlight w:val="none"/>
        </w:rPr>
      </w:pPr>
    </w:p>
    <w:p w14:paraId="6EE2BB1A">
      <w:pPr>
        <w:rPr>
          <w:rFonts w:hint="eastAsia"/>
          <w:color w:val="auto"/>
          <w:highlight w:val="none"/>
        </w:rPr>
      </w:pPr>
    </w:p>
    <w:p w14:paraId="47AC7AA9">
      <w:pPr>
        <w:pStyle w:val="14"/>
        <w:rPr>
          <w:rFonts w:hint="eastAsia"/>
          <w:color w:val="auto"/>
          <w:highlight w:val="none"/>
        </w:rPr>
      </w:pPr>
    </w:p>
    <w:p w14:paraId="28D67778">
      <w:pPr>
        <w:numPr>
          <w:ilvl w:val="0"/>
          <w:numId w:val="0"/>
        </w:numPr>
        <w:shd w:val="clear" w:color="auto" w:fill="FFFFFF"/>
        <w:spacing w:line="600" w:lineRule="exact"/>
        <w:ind w:firstLine="723" w:firstLineChars="200"/>
        <w:jc w:val="center"/>
        <w:outlineLvl w:val="0"/>
        <w:rPr>
          <w:rFonts w:hint="eastAsia" w:ascii="宋体" w:hAnsi="宋体" w:eastAsia="宋体" w:cs="宋体"/>
          <w:b/>
          <w:color w:val="auto"/>
          <w:sz w:val="36"/>
          <w:szCs w:val="36"/>
          <w:highlight w:val="none"/>
        </w:rPr>
      </w:pPr>
      <w:bookmarkStart w:id="1197" w:name="_Toc2422"/>
      <w:bookmarkStart w:id="1198" w:name="OLE_LINK24"/>
      <w:r>
        <w:rPr>
          <w:rFonts w:hint="eastAsia" w:ascii="宋体" w:hAnsi="宋体" w:eastAsia="宋体" w:cs="宋体"/>
          <w:b/>
          <w:color w:val="auto"/>
          <w:kern w:val="2"/>
          <w:sz w:val="36"/>
          <w:szCs w:val="36"/>
          <w:highlight w:val="none"/>
          <w:lang w:val="en-US" w:eastAsia="zh-CN" w:bidi="ar-SA"/>
        </w:rPr>
        <w:t>第六章</w:t>
      </w:r>
      <w:r>
        <w:rPr>
          <w:rFonts w:hint="eastAsia" w:ascii="宋体" w:hAnsi="宋体" w:eastAsia="宋体" w:cs="宋体"/>
          <w:b/>
          <w:color w:val="auto"/>
          <w:sz w:val="36"/>
          <w:szCs w:val="36"/>
          <w:highlight w:val="none"/>
        </w:rPr>
        <w:t>工程量清单</w:t>
      </w:r>
      <w:bookmarkEnd w:id="1197"/>
    </w:p>
    <w:bookmarkEnd w:id="1198"/>
    <w:p w14:paraId="07D70F8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jc w:val="both"/>
        <w:textAlignment w:val="auto"/>
        <w:outlineLvl w:val="0"/>
        <w:rPr>
          <w:rFonts w:hint="eastAsia" w:ascii="宋体" w:hAnsi="宋体" w:cs="宋体"/>
          <w:color w:val="auto"/>
          <w:sz w:val="24"/>
          <w:highlight w:val="none"/>
          <w:lang w:val="en-US" w:eastAsia="zh-CN"/>
        </w:rPr>
      </w:pPr>
      <w:bookmarkStart w:id="1199" w:name="_Toc29999"/>
    </w:p>
    <w:bookmarkEnd w:id="1199"/>
    <w:p w14:paraId="562F057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643" w:firstLineChars="200"/>
        <w:jc w:val="center"/>
        <w:textAlignment w:val="auto"/>
        <w:outlineLvl w:val="0"/>
        <w:rPr>
          <w:rFonts w:hint="eastAsia" w:ascii="宋体" w:hAnsi="宋体" w:cs="宋体"/>
          <w:color w:val="auto"/>
          <w:sz w:val="24"/>
          <w:highlight w:val="none"/>
          <w:lang w:val="en-US" w:eastAsia="zh-CN"/>
        </w:rPr>
      </w:pP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另附</w:t>
      </w:r>
      <w:r>
        <w:rPr>
          <w:rFonts w:hint="eastAsia" w:ascii="宋体" w:hAnsi="宋体" w:eastAsia="宋体" w:cs="宋体"/>
          <w:b/>
          <w:color w:val="auto"/>
          <w:sz w:val="32"/>
          <w:szCs w:val="32"/>
          <w:highlight w:val="none"/>
          <w:lang w:eastAsia="zh-CN"/>
        </w:rPr>
        <w:t>）</w:t>
      </w:r>
    </w:p>
    <w:p w14:paraId="5D37A36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jc w:val="both"/>
        <w:textAlignment w:val="auto"/>
        <w:outlineLvl w:val="0"/>
        <w:rPr>
          <w:rFonts w:hint="eastAsia" w:ascii="宋体" w:hAnsi="宋体" w:cs="宋体"/>
          <w:color w:val="auto"/>
          <w:sz w:val="24"/>
          <w:highlight w:val="none"/>
          <w:lang w:val="en-US" w:eastAsia="zh-CN"/>
        </w:rPr>
      </w:pPr>
    </w:p>
    <w:p w14:paraId="364A8335">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bookmarkStart w:id="1200" w:name="_Toc2377"/>
      <w:r>
        <w:rPr>
          <w:rFonts w:hint="eastAsia" w:ascii="宋体" w:hAnsi="宋体" w:eastAsia="宋体" w:cs="宋体"/>
          <w:b/>
          <w:color w:val="auto"/>
          <w:sz w:val="32"/>
          <w:szCs w:val="32"/>
          <w:highlight w:val="none"/>
          <w:lang w:val="en-US" w:eastAsia="zh-CN"/>
        </w:rPr>
        <w:t xml:space="preserve">第七章 </w:t>
      </w:r>
      <w:r>
        <w:rPr>
          <w:rFonts w:hint="eastAsia" w:ascii="宋体" w:hAnsi="宋体" w:eastAsia="宋体" w:cs="宋体"/>
          <w:b/>
          <w:color w:val="auto"/>
          <w:sz w:val="32"/>
          <w:szCs w:val="32"/>
          <w:highlight w:val="none"/>
        </w:rPr>
        <w:t>图纸</w:t>
      </w:r>
      <w:bookmarkEnd w:id="1200"/>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另附</w:t>
      </w:r>
      <w:r>
        <w:rPr>
          <w:rFonts w:hint="eastAsia" w:ascii="宋体" w:hAnsi="宋体" w:eastAsia="宋体" w:cs="宋体"/>
          <w:b/>
          <w:color w:val="auto"/>
          <w:sz w:val="32"/>
          <w:szCs w:val="32"/>
          <w:highlight w:val="none"/>
          <w:lang w:eastAsia="zh-CN"/>
        </w:rPr>
        <w:t>）</w:t>
      </w:r>
    </w:p>
    <w:p w14:paraId="668FC0E0">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bookmarkStart w:id="1201" w:name="_Toc29181"/>
    </w:p>
    <w:p w14:paraId="4F051849">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77B7DA9C">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00AF5C67">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4BE28B04">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32495FA7">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7A481700">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739E08FC">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54165006">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2ABF9913">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3D7A30BA">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45C94EDA">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4786E932">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p>
    <w:p w14:paraId="07D8A118">
      <w:pPr>
        <w:rPr>
          <w:rFonts w:hint="eastAsia" w:ascii="宋体" w:hAnsi="宋体" w:eastAsia="宋体" w:cs="宋体"/>
          <w:b/>
          <w:color w:val="auto"/>
          <w:sz w:val="32"/>
          <w:szCs w:val="32"/>
          <w:highlight w:val="none"/>
        </w:rPr>
      </w:pPr>
    </w:p>
    <w:p w14:paraId="7C90CDD9">
      <w:pPr>
        <w:pStyle w:val="14"/>
        <w:rPr>
          <w:rFonts w:hint="eastAsia" w:ascii="宋体" w:hAnsi="宋体" w:eastAsia="宋体" w:cs="宋体"/>
          <w:b/>
          <w:color w:val="auto"/>
          <w:sz w:val="32"/>
          <w:szCs w:val="32"/>
          <w:highlight w:val="none"/>
        </w:rPr>
      </w:pPr>
    </w:p>
    <w:p w14:paraId="3ED4DA88">
      <w:pPr>
        <w:pStyle w:val="3"/>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eastAsia="zh-CN"/>
        </w:rPr>
        <w:t>八</w:t>
      </w:r>
      <w:r>
        <w:rPr>
          <w:rFonts w:hint="eastAsia" w:ascii="宋体" w:hAnsi="宋体" w:eastAsia="宋体" w:cs="宋体"/>
          <w:b/>
          <w:color w:val="auto"/>
          <w:sz w:val="32"/>
          <w:szCs w:val="32"/>
          <w:highlight w:val="none"/>
        </w:rPr>
        <w:t>章  评定标准</w:t>
      </w:r>
      <w:bookmarkEnd w:id="1196"/>
      <w:bookmarkEnd w:id="1201"/>
    </w:p>
    <w:p w14:paraId="6EE08A44">
      <w:pPr>
        <w:spacing w:line="360" w:lineRule="auto"/>
        <w:ind w:firstLine="643" w:firstLineChars="200"/>
        <w:jc w:val="center"/>
        <w:rPr>
          <w:rFonts w:hint="eastAsia" w:ascii="宋体" w:hAnsi="宋体" w:cs="Times New Roman"/>
          <w:b/>
          <w:color w:val="auto"/>
          <w:sz w:val="32"/>
          <w:szCs w:val="32"/>
          <w:highlight w:val="none"/>
        </w:rPr>
      </w:pPr>
      <w:bookmarkStart w:id="1202" w:name="_Toc80886938"/>
      <w:bookmarkStart w:id="1203" w:name="_Toc6051"/>
      <w:bookmarkStart w:id="1204" w:name="_Toc29067"/>
      <w:r>
        <w:rPr>
          <w:rFonts w:hint="eastAsia" w:ascii="宋体" w:hAnsi="宋体" w:cs="Times New Roman"/>
          <w:b/>
          <w:color w:val="auto"/>
          <w:sz w:val="32"/>
          <w:szCs w:val="32"/>
          <w:highlight w:val="none"/>
        </w:rPr>
        <w:t>第一节 评审程序和评审方法</w:t>
      </w:r>
      <w:bookmarkEnd w:id="1202"/>
      <w:bookmarkEnd w:id="1203"/>
      <w:bookmarkEnd w:id="1204"/>
    </w:p>
    <w:p w14:paraId="77CD247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14:paraId="14F617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由磋商小组确认磋商文件。</w:t>
      </w:r>
    </w:p>
    <w:p w14:paraId="2B56CFF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2EA8D28D">
      <w:pPr>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响应文件开启后，磋商小组依法对供应商的资格证明文件进行审查。</w:t>
      </w:r>
    </w:p>
    <w:p w14:paraId="757E24A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41238B4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eastAsia="宋体" w:cs="宋体"/>
          <w:b w:val="0"/>
          <w:bCs w:val="0"/>
          <w:color w:val="auto"/>
          <w:sz w:val="21"/>
          <w:szCs w:val="21"/>
          <w:highlight w:val="none"/>
          <w:lang w:val="en-US" w:eastAsia="zh-CN"/>
        </w:rPr>
        <w:t>广西政府采购云平台“信用中国”网站(</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"http://www.creditchina.gov.cn"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www.creditchina.gov.cn</w:t>
      </w:r>
      <w:r>
        <w:rPr>
          <w:rFonts w:hint="eastAsia" w:ascii="宋体" w:hAnsi="宋体" w:eastAsia="宋体" w:cs="宋体"/>
          <w:b w:val="0"/>
          <w:bCs w:val="0"/>
          <w:color w:val="auto"/>
          <w:sz w:val="21"/>
          <w:szCs w:val="21"/>
          <w:highlight w:val="none"/>
          <w:lang w:val="en-US" w:eastAsia="zh-CN"/>
        </w:rPr>
        <w:fldChar w:fldCharType="end"/>
      </w:r>
      <w:r>
        <w:rPr>
          <w:rFonts w:hint="eastAsia" w:ascii="宋体" w:hAnsi="宋体" w:eastAsia="宋体" w:cs="宋体"/>
          <w:b w:val="0"/>
          <w:bCs w:val="0"/>
          <w:color w:val="auto"/>
          <w:sz w:val="21"/>
          <w:szCs w:val="21"/>
          <w:highlight w:val="none"/>
          <w:lang w:val="en-US" w:eastAsia="zh-CN"/>
        </w:rPr>
        <w:t>)、中国政府采购网(</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"http://www.ccgp.gov.cn"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www.ccgp.gov.cn</w:t>
      </w:r>
      <w:r>
        <w:rPr>
          <w:rFonts w:hint="eastAsia" w:ascii="宋体" w:hAnsi="宋体" w:eastAsia="宋体" w:cs="宋体"/>
          <w:b w:val="0"/>
          <w:bCs w:val="0"/>
          <w:color w:val="auto"/>
          <w:sz w:val="21"/>
          <w:szCs w:val="21"/>
          <w:highlight w:val="none"/>
          <w:lang w:val="en-US" w:eastAsia="zh-CN"/>
        </w:rPr>
        <w:fldChar w:fldCharType="end"/>
      </w:r>
      <w:r>
        <w:rPr>
          <w:rFonts w:hint="eastAsia" w:ascii="宋体" w:hAnsi="宋体" w:eastAsia="宋体" w:cs="宋体"/>
          <w:b w:val="0"/>
          <w:bCs w:val="0"/>
          <w:color w:val="auto"/>
          <w:sz w:val="21"/>
          <w:szCs w:val="21"/>
          <w:highlight w:val="none"/>
          <w:lang w:val="en-US" w:eastAsia="zh-CN"/>
        </w:rPr>
        <w:t>)链接入口</w:t>
      </w:r>
      <w:r>
        <w:rPr>
          <w:rFonts w:hint="eastAsia" w:ascii="宋体" w:hAnsi="宋体" w:cs="宋体"/>
          <w:color w:val="auto"/>
          <w:szCs w:val="21"/>
          <w:highlight w:val="none"/>
        </w:rPr>
        <w:t>。</w:t>
      </w:r>
    </w:p>
    <w:p w14:paraId="2B16586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3A6009C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查询记录和证据留存方式：在查询网站中直接查询记录，截图另存为电子文档作为评审资料保存。</w:t>
      </w:r>
    </w:p>
    <w:p w14:paraId="22CE434E">
      <w:pPr>
        <w:snapToGrid w:val="0"/>
        <w:spacing w:line="360" w:lineRule="auto"/>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（3）信用信息使用规则：对在“信用中国”网站(www.creditchina.gov.cn) 、中国政府采购网(www.ccgp.gov.cn)被列入失信被执行人、</w:t>
      </w:r>
      <w:r>
        <w:rPr>
          <w:rFonts w:hint="eastAsia" w:ascii="宋体" w:hAnsi="宋体" w:cs="Times New Roman"/>
          <w:color w:val="auto"/>
          <w:szCs w:val="21"/>
          <w:highlight w:val="none"/>
          <w:lang w:eastAsia="zh-CN"/>
        </w:rPr>
        <w:t>重大税收违法失信主体名单</w:t>
      </w:r>
      <w:r>
        <w:rPr>
          <w:rFonts w:hint="eastAsia" w:ascii="宋体" w:hAnsi="宋体" w:cs="Times New Roman"/>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BD684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7C85C6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8C0A3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4D215902">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（2）响应文件未按磋商文件要求签署、盖章</w:t>
      </w:r>
      <w:r>
        <w:rPr>
          <w:rFonts w:hint="eastAsia" w:ascii="宋体" w:hAnsi="宋体" w:cs="宋体"/>
          <w:color w:val="auto"/>
          <w:szCs w:val="21"/>
          <w:highlight w:val="none"/>
          <w:lang w:eastAsia="zh-CN"/>
        </w:rPr>
        <w:t>；</w:t>
      </w:r>
    </w:p>
    <w:p w14:paraId="796D89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响应文件未提供任一项“供应商须知</w:t>
      </w:r>
      <w:r>
        <w:rPr>
          <w:rFonts w:hint="eastAsia" w:ascii="宋体" w:hAnsi="宋体" w:cs="宋体"/>
          <w:color w:val="auto"/>
          <w:szCs w:val="21"/>
          <w:highlight w:val="none"/>
          <w:lang w:val="en-US" w:eastAsia="zh-CN"/>
        </w:rPr>
        <w:t>正文</w:t>
      </w:r>
      <w:r>
        <w:rPr>
          <w:rFonts w:hint="eastAsia" w:ascii="宋体" w:hAnsi="宋体" w:cs="宋体"/>
          <w:color w:val="auto"/>
          <w:szCs w:val="21"/>
          <w:highlight w:val="none"/>
        </w:rPr>
        <w:t>”资格证明文件规定的“必须提供”或者“委托时必须提供”的文件资料的；</w:t>
      </w:r>
    </w:p>
    <w:p w14:paraId="71AF1CC5">
      <w:pPr>
        <w:spacing w:line="360" w:lineRule="auto"/>
        <w:ind w:firstLine="420" w:firstLineChars="200"/>
        <w:rPr>
          <w:rFonts w:hint="eastAsia" w:ascii="宋体" w:hAnsi="宋体" w:cs="宋体"/>
          <w:color w:val="auto"/>
          <w:szCs w:val="21"/>
          <w:highlight w:val="none"/>
        </w:rPr>
      </w:pPr>
      <w:bookmarkStart w:id="1205" w:name="_Hlk68601553"/>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委托代理人未能出具有效身份证明或者出具的身份证明与授权委托书中的信息不符； </w:t>
      </w:r>
    </w:p>
    <w:p w14:paraId="7CD0A9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供应商不按要求提交农民工工资保障承诺书的；</w:t>
      </w:r>
    </w:p>
    <w:p w14:paraId="6AE4CE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）提供虚假的项目负责人或者主要技术人员简历、劳动关系证明、社保证明等；</w:t>
      </w:r>
    </w:p>
    <w:p w14:paraId="08021539">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）响应文件提供的资格证明文件出现任一项不符合“供应商须知</w:t>
      </w:r>
      <w:r>
        <w:rPr>
          <w:rFonts w:hint="eastAsia" w:ascii="宋体" w:hAnsi="宋体" w:cs="宋体"/>
          <w:color w:val="auto"/>
          <w:szCs w:val="21"/>
          <w:highlight w:val="none"/>
          <w:lang w:val="en-US" w:eastAsia="zh-CN"/>
        </w:rPr>
        <w:t>正文</w:t>
      </w:r>
      <w:r>
        <w:rPr>
          <w:rFonts w:hint="eastAsia" w:ascii="宋体" w:hAnsi="宋体" w:cs="宋体"/>
          <w:color w:val="auto"/>
          <w:szCs w:val="21"/>
          <w:highlight w:val="none"/>
        </w:rPr>
        <w:t>”资格证明文件规定的“必须提供”或者“委托时必须提供”的文件资料要求或者无效的</w:t>
      </w:r>
      <w:r>
        <w:rPr>
          <w:rFonts w:hint="eastAsia" w:ascii="宋体" w:hAnsi="宋体" w:cs="宋体"/>
          <w:color w:val="auto"/>
          <w:szCs w:val="21"/>
          <w:highlight w:val="none"/>
          <w:lang w:eastAsia="zh-CN"/>
        </w:rPr>
        <w:t>；</w:t>
      </w:r>
    </w:p>
    <w:p w14:paraId="61FF46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）属于“供应商须知正文”第</w:t>
      </w:r>
      <w:r>
        <w:rPr>
          <w:rFonts w:hint="eastAsia" w:ascii="宋体" w:hAnsi="宋体" w:cs="宋体"/>
          <w:color w:val="auto"/>
          <w:szCs w:val="21"/>
          <w:highlight w:val="none"/>
          <w:lang w:val="en-US" w:eastAsia="zh-CN"/>
        </w:rPr>
        <w:t>24.5、24.6</w:t>
      </w:r>
      <w:r>
        <w:rPr>
          <w:rFonts w:hint="eastAsia" w:ascii="宋体" w:hAnsi="宋体" w:cs="宋体"/>
          <w:color w:val="auto"/>
          <w:szCs w:val="21"/>
          <w:highlight w:val="none"/>
        </w:rPr>
        <w:t>条情形；</w:t>
      </w:r>
    </w:p>
    <w:p w14:paraId="1A0924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w:t>
      </w:r>
      <w:bookmarkEnd w:id="1205"/>
    </w:p>
    <w:p w14:paraId="1E8411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应当重新开展采购活动。</w:t>
      </w:r>
    </w:p>
    <w:p w14:paraId="26CD9B1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427EDB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由磋商小组</w:t>
      </w:r>
      <w:r>
        <w:rPr>
          <w:rFonts w:hint="eastAsia" w:ascii="宋体" w:hAnsi="宋体" w:eastAsia="宋体" w:cs="宋体"/>
          <w:color w:val="auto"/>
          <w:sz w:val="21"/>
          <w:szCs w:val="21"/>
          <w:highlight w:val="none"/>
        </w:rPr>
        <w:t>对符合资格的</w:t>
      </w:r>
      <w:r>
        <w:rPr>
          <w:rFonts w:hint="eastAsia" w:ascii="宋体" w:hAnsi="宋体"/>
          <w:color w:val="auto"/>
          <w:szCs w:val="21"/>
          <w:highlight w:val="none"/>
        </w:rPr>
        <w:t>供应商</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r>
        <w:rPr>
          <w:rFonts w:hint="eastAsia" w:ascii="宋体" w:hAnsi="宋体" w:eastAsia="宋体" w:cs="宋体"/>
          <w:color w:val="auto"/>
          <w:sz w:val="21"/>
          <w:szCs w:val="21"/>
          <w:highlight w:val="none"/>
        </w:rPr>
        <w:t>进行竞标报价、商务、技术等实质性要求符合性审查</w:t>
      </w:r>
      <w:r>
        <w:rPr>
          <w:rFonts w:hint="eastAsia" w:ascii="宋体" w:hAnsi="宋体" w:cs="宋体"/>
          <w:color w:val="auto"/>
          <w:szCs w:val="21"/>
          <w:highlight w:val="none"/>
        </w:rPr>
        <w:t>，以确定其是否满足磋商文件的实质性要求。</w:t>
      </w:r>
    </w:p>
    <w:p w14:paraId="375DE5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685897F">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w:t>
      </w:r>
      <w:r>
        <w:rPr>
          <w:rFonts w:hint="eastAsia" w:ascii="宋体" w:hAnsi="宋体" w:cs="宋体"/>
          <w:color w:val="auto"/>
          <w:szCs w:val="21"/>
          <w:highlight w:val="none"/>
          <w:lang w:eastAsia="zh-CN"/>
        </w:rPr>
        <w:t>电子印章</w:t>
      </w:r>
      <w:r>
        <w:rPr>
          <w:rFonts w:hint="eastAsia" w:ascii="宋体" w:hAnsi="宋体" w:cs="宋体"/>
          <w:color w:val="auto"/>
          <w:spacing w:val="-6"/>
          <w:szCs w:val="21"/>
          <w:highlight w:val="none"/>
        </w:rPr>
        <w:t>。供应商为自然人的，必须由本人签字并附身份证明。</w:t>
      </w:r>
    </w:p>
    <w:p w14:paraId="3C23C65C">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w:t>
      </w:r>
      <w:r>
        <w:rPr>
          <w:rFonts w:ascii="宋体" w:hAnsi="宋体" w:cs="宋体"/>
          <w:color w:val="auto"/>
          <w:spacing w:val="-6"/>
          <w:szCs w:val="21"/>
          <w:highlight w:val="none"/>
        </w:rPr>
        <w:t>.4</w:t>
      </w:r>
      <w:r>
        <w:rPr>
          <w:rFonts w:hint="eastAsia" w:ascii="宋体" w:hAnsi="宋体" w:cs="宋体"/>
          <w:color w:val="auto"/>
          <w:szCs w:val="21"/>
          <w:highlight w:val="none"/>
        </w:rPr>
        <w:t xml:space="preserve">首次响应文件报价出现前后不一致的，按照下列规定修正： </w:t>
      </w:r>
    </w:p>
    <w:p w14:paraId="7EF1DB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报价表内容与响应文件中相应内容不一致的，以</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报价表为准；</w:t>
      </w:r>
    </w:p>
    <w:p w14:paraId="3EA193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4E1C6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报价表的总价为准，并修改单价；</w:t>
      </w:r>
    </w:p>
    <w:p w14:paraId="6895F2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BCB36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BFF34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r>
        <w:rPr>
          <w:rFonts w:hint="eastAsia" w:ascii="宋体" w:hAnsi="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商务技术评审</w:t>
      </w:r>
    </w:p>
    <w:p w14:paraId="704CB1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44BD3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w:t>
      </w:r>
    </w:p>
    <w:p w14:paraId="641F85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7B200F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2）工程量清单</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总价（封面）</w:t>
      </w:r>
      <w:r>
        <w:rPr>
          <w:rFonts w:hint="eastAsia" w:ascii="宋体" w:hAnsi="宋体" w:eastAsia="宋体" w:cs="宋体"/>
          <w:color w:val="auto"/>
          <w:szCs w:val="21"/>
          <w:highlight w:val="none"/>
          <w:lang w:val="en-US" w:eastAsia="zh-CN"/>
        </w:rPr>
        <w:t>没有按规定盖章</w:t>
      </w:r>
      <w:r>
        <w:rPr>
          <w:rFonts w:hint="eastAsia" w:ascii="宋体" w:hAnsi="宋体" w:eastAsia="宋体" w:cs="宋体"/>
          <w:color w:val="auto"/>
          <w:szCs w:val="21"/>
          <w:highlight w:val="none"/>
        </w:rPr>
        <w:t>；</w:t>
      </w:r>
    </w:p>
    <w:p w14:paraId="490F5C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）未采用人民币报价或者未按照磋商文件标明的币种报价；</w:t>
      </w:r>
    </w:p>
    <w:p w14:paraId="17BAF4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供应商未就</w:t>
      </w:r>
      <w:r>
        <w:rPr>
          <w:rFonts w:hint="eastAsia" w:ascii="宋体" w:hAnsi="宋体" w:eastAsia="宋体" w:cs="宋体"/>
          <w:color w:val="auto"/>
          <w:szCs w:val="21"/>
          <w:highlight w:val="none"/>
          <w:lang w:eastAsia="zh-CN"/>
        </w:rPr>
        <w:t>所竞标项目</w:t>
      </w:r>
      <w:r>
        <w:rPr>
          <w:rFonts w:hint="eastAsia" w:ascii="宋体" w:hAnsi="宋体" w:eastAsia="宋体" w:cs="宋体"/>
          <w:color w:val="auto"/>
          <w:szCs w:val="21"/>
          <w:highlight w:val="none"/>
        </w:rPr>
        <w:t>进行报价或者存在漏项报价；供应商未就</w:t>
      </w:r>
      <w:r>
        <w:rPr>
          <w:rFonts w:hint="eastAsia" w:ascii="宋体" w:hAnsi="宋体" w:eastAsia="宋体" w:cs="宋体"/>
          <w:color w:val="auto"/>
          <w:szCs w:val="21"/>
          <w:highlight w:val="none"/>
          <w:lang w:eastAsia="zh-CN"/>
        </w:rPr>
        <w:t>所竞标项目</w:t>
      </w:r>
      <w:r>
        <w:rPr>
          <w:rFonts w:hint="eastAsia" w:ascii="宋体" w:hAnsi="宋体" w:eastAsia="宋体" w:cs="宋体"/>
          <w:color w:val="auto"/>
          <w:szCs w:val="21"/>
          <w:highlight w:val="none"/>
        </w:rPr>
        <w:t>的单项内容作唯一报价；供应商未就</w:t>
      </w:r>
      <w:r>
        <w:rPr>
          <w:rFonts w:hint="eastAsia" w:ascii="宋体" w:hAnsi="宋体" w:eastAsia="宋体" w:cs="宋体"/>
          <w:color w:val="auto"/>
          <w:szCs w:val="21"/>
          <w:highlight w:val="none"/>
          <w:lang w:eastAsia="zh-CN"/>
        </w:rPr>
        <w:t>所竞标项目</w:t>
      </w:r>
      <w:r>
        <w:rPr>
          <w:rFonts w:hint="eastAsia" w:ascii="宋体" w:hAnsi="宋体" w:eastAsia="宋体" w:cs="宋体"/>
          <w:color w:val="auto"/>
          <w:szCs w:val="21"/>
          <w:highlight w:val="none"/>
        </w:rPr>
        <w:t>的全部内容作唯一总价报价；供应商响应文件中存在有选择、有条件报价的（磋商文件允许有备选方案或者其他约定的除外）；</w:t>
      </w:r>
    </w:p>
    <w:p w14:paraId="662CDB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报价（包含首次报价、最后报价）超过</w:t>
      </w:r>
      <w:r>
        <w:rPr>
          <w:rFonts w:hint="eastAsia" w:ascii="宋体" w:hAnsi="宋体" w:cs="宋体"/>
          <w:color w:val="auto"/>
          <w:szCs w:val="21"/>
          <w:highlight w:val="none"/>
          <w:lang w:eastAsia="zh-CN"/>
        </w:rPr>
        <w:t>所竞标项目</w:t>
      </w:r>
      <w:r>
        <w:rPr>
          <w:rFonts w:hint="eastAsia" w:ascii="宋体" w:hAnsi="宋体" w:cs="宋体"/>
          <w:color w:val="auto"/>
          <w:szCs w:val="21"/>
          <w:highlight w:val="none"/>
        </w:rPr>
        <w:t>规定的采购预算金额或者最高限价的（如本项目公布了最高限价）；</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报价（包含首次报价、最后报价）超过磋商文件分项采购预算金额或者最高限价的（如本项目公布了最高限价）；</w:t>
      </w:r>
    </w:p>
    <w:p w14:paraId="2B808D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）修正后的报价，供应商不确认的；或者经供应商确认修正后的</w:t>
      </w:r>
      <w:r>
        <w:rPr>
          <w:rFonts w:hint="eastAsia" w:ascii="宋体" w:hAnsi="宋体" w:cs="宋体"/>
          <w:color w:val="auto"/>
          <w:szCs w:val="21"/>
          <w:highlight w:val="none"/>
          <w:lang w:eastAsia="zh-CN"/>
        </w:rPr>
        <w:t>竞标报价</w:t>
      </w:r>
      <w:r>
        <w:rPr>
          <w:rFonts w:hint="eastAsia" w:ascii="宋体" w:hAnsi="宋体" w:cs="宋体"/>
          <w:color w:val="auto"/>
          <w:szCs w:val="21"/>
          <w:highlight w:val="none"/>
        </w:rPr>
        <w:t>（包含首次报价、最后报价）超过</w:t>
      </w:r>
      <w:r>
        <w:rPr>
          <w:rFonts w:hint="eastAsia" w:ascii="宋体" w:hAnsi="宋体" w:cs="宋体"/>
          <w:color w:val="auto"/>
          <w:szCs w:val="21"/>
          <w:highlight w:val="none"/>
          <w:lang w:eastAsia="zh-CN"/>
        </w:rPr>
        <w:t>所竞标项目</w:t>
      </w:r>
      <w:r>
        <w:rPr>
          <w:rFonts w:hint="eastAsia" w:ascii="宋体" w:hAnsi="宋体" w:cs="宋体"/>
          <w:color w:val="auto"/>
          <w:szCs w:val="21"/>
          <w:highlight w:val="none"/>
        </w:rPr>
        <w:t>规定的采购预算金额或者最高限价（如本项目公布了最高限价）；或者经供应商确认修正后</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报价（包含首次报价、最后报价）超过磋商文件分项采购预算金额或者最高限价的（如本项目公布了最高限价）。</w:t>
      </w:r>
    </w:p>
    <w:p w14:paraId="09DE2EB4">
      <w:pPr>
        <w:spacing w:line="360" w:lineRule="auto"/>
        <w:ind w:firstLine="420" w:firstLineChars="200"/>
        <w:rPr>
          <w:rFonts w:hint="eastAsia" w:cs="宋体"/>
          <w:color w:val="auto"/>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cs="宋体"/>
          <w:color w:val="auto"/>
          <w:highlight w:val="none"/>
        </w:rPr>
        <w:t>投标文件的关键内容字迹模糊、辨认不清的</w:t>
      </w:r>
      <w:r>
        <w:rPr>
          <w:rFonts w:hint="eastAsia" w:cs="宋体"/>
          <w:color w:val="auto"/>
          <w:highlight w:val="none"/>
          <w:lang w:eastAsia="zh-CN"/>
        </w:rPr>
        <w:t>。</w:t>
      </w:r>
    </w:p>
    <w:p w14:paraId="5819865C">
      <w:pPr>
        <w:spacing w:line="360" w:lineRule="auto"/>
        <w:ind w:firstLine="420" w:firstLineChars="200"/>
        <w:rPr>
          <w:rFonts w:hint="eastAsia" w:cs="宋体"/>
          <w:color w:val="auto"/>
          <w:highlight w:val="none"/>
          <w:lang w:eastAsia="zh-CN"/>
        </w:rPr>
      </w:pPr>
      <w:r>
        <w:rPr>
          <w:rFonts w:hint="eastAsia" w:cs="宋体"/>
          <w:color w:val="auto"/>
          <w:highlight w:val="none"/>
        </w:rPr>
        <w:t>投标人不具备独立法人资格或作为独立法人资格但就本工程提交一个以上的投标文件的</w:t>
      </w:r>
      <w:r>
        <w:rPr>
          <w:rFonts w:hint="eastAsia" w:cs="宋体"/>
          <w:color w:val="auto"/>
          <w:highlight w:val="none"/>
          <w:lang w:eastAsia="zh-CN"/>
        </w:rPr>
        <w:t>。</w:t>
      </w:r>
    </w:p>
    <w:p w14:paraId="30F6884F">
      <w:pPr>
        <w:numPr>
          <w:ilvl w:val="0"/>
          <w:numId w:val="0"/>
        </w:numPr>
        <w:spacing w:line="360" w:lineRule="auto"/>
        <w:ind w:left="420" w:leftChars="0"/>
        <w:rPr>
          <w:color w:val="auto"/>
          <w:highlight w:val="none"/>
        </w:rPr>
      </w:pPr>
      <w:r>
        <w:rPr>
          <w:rFonts w:hint="eastAsia"/>
          <w:color w:val="auto"/>
          <w:highlight w:val="none"/>
          <w:lang w:eastAsia="zh-CN"/>
        </w:rPr>
        <w:t>（</w:t>
      </w:r>
      <w:r>
        <w:rPr>
          <w:rFonts w:hint="eastAsia"/>
          <w:color w:val="auto"/>
          <w:highlight w:val="none"/>
          <w:lang w:val="en-US" w:eastAsia="zh-CN"/>
        </w:rPr>
        <w:t>8</w:t>
      </w:r>
      <w:r>
        <w:rPr>
          <w:rFonts w:hint="eastAsia" w:ascii="宋体" w:hAnsi="宋体" w:cs="宋体"/>
          <w:color w:val="auto"/>
          <w:szCs w:val="21"/>
          <w:highlight w:val="none"/>
        </w:rPr>
        <w:t>）</w:t>
      </w:r>
      <w:r>
        <w:rPr>
          <w:rFonts w:hint="eastAsia" w:cs="宋体"/>
          <w:color w:val="auto"/>
          <w:highlight w:val="none"/>
        </w:rPr>
        <w:t>在单价合同工程中投标人采用总价优惠或以总价百分比优惠的方式进行投标报价的；</w:t>
      </w:r>
    </w:p>
    <w:p w14:paraId="01A8F8E0">
      <w:pPr>
        <w:spacing w:line="360" w:lineRule="auto"/>
        <w:ind w:firstLine="420" w:firstLineChars="200"/>
        <w:rPr>
          <w:color w:val="auto"/>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cs="宋体"/>
          <w:color w:val="auto"/>
          <w:highlight w:val="none"/>
        </w:rPr>
        <w:t>安全文明施工费和规费、增值税不按我区费用定额及造价管理相关文件规定报价的（园林绿化及仿古建筑工程除外）；</w:t>
      </w:r>
    </w:p>
    <w:p w14:paraId="4740AC9D">
      <w:pPr>
        <w:spacing w:line="360" w:lineRule="auto"/>
        <w:ind w:firstLine="420" w:firstLineChars="200"/>
        <w:rPr>
          <w:color w:val="auto"/>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color w:val="auto"/>
          <w:highlight w:val="none"/>
        </w:rPr>
        <w:t xml:space="preserve"> </w:t>
      </w:r>
      <w:r>
        <w:rPr>
          <w:rFonts w:hint="eastAsia" w:cs="宋体"/>
          <w:color w:val="auto"/>
          <w:highlight w:val="none"/>
        </w:rPr>
        <w:t>投标人已标价工程量清单的项目编码（</w:t>
      </w:r>
      <w:r>
        <w:rPr>
          <w:rFonts w:cs="宋体"/>
          <w:color w:val="auto"/>
          <w:highlight w:val="none"/>
        </w:rPr>
        <w:t>12</w:t>
      </w:r>
      <w:r>
        <w:rPr>
          <w:rFonts w:hint="eastAsia" w:cs="宋体"/>
          <w:color w:val="auto"/>
          <w:highlight w:val="none"/>
        </w:rPr>
        <w:t>位）、计量单位、工程量任何一处与招标工程量清单不一致的；</w:t>
      </w:r>
    </w:p>
    <w:p w14:paraId="61E83739">
      <w:pPr>
        <w:spacing w:line="360" w:lineRule="auto"/>
        <w:ind w:firstLine="420" w:firstLineChars="200"/>
        <w:rPr>
          <w:color w:val="auto"/>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w:t>
      </w:r>
      <w:r>
        <w:rPr>
          <w:rFonts w:hint="eastAsia" w:cs="宋体"/>
          <w:color w:val="auto"/>
          <w:highlight w:val="none"/>
        </w:rPr>
        <w:t>投标人已标价工程量清单的项目名称或项目特征与招标工程量清单不一致，评标委员会要求澄清、说明或补正，但投标人拒绝澄清、说明或补正的；</w:t>
      </w:r>
    </w:p>
    <w:p w14:paraId="223BEBB9">
      <w:pPr>
        <w:spacing w:line="360" w:lineRule="auto"/>
        <w:ind w:firstLine="420" w:firstLineChars="200"/>
        <w:rPr>
          <w:color w:val="auto"/>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w:t>
      </w:r>
      <w:r>
        <w:rPr>
          <w:rFonts w:hint="eastAsia" w:cs="宋体"/>
          <w:color w:val="auto"/>
          <w:highlight w:val="none"/>
        </w:rPr>
        <w:t>投标函中的报价与已标价的工程量清单汇总表不一致的；</w:t>
      </w:r>
    </w:p>
    <w:p w14:paraId="6B7E3E83">
      <w:pPr>
        <w:spacing w:line="360" w:lineRule="auto"/>
        <w:ind w:firstLine="420" w:firstLineChars="200"/>
        <w:rPr>
          <w:rFonts w:hint="eastAsia" w:cs="宋体"/>
          <w:color w:val="auto"/>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w:t>
      </w:r>
      <w:r>
        <w:rPr>
          <w:color w:val="auto"/>
          <w:highlight w:val="none"/>
        </w:rPr>
        <w:t xml:space="preserve"> </w:t>
      </w:r>
      <w:r>
        <w:rPr>
          <w:rFonts w:hint="eastAsia" w:cs="宋体"/>
          <w:color w:val="auto"/>
          <w:highlight w:val="none"/>
        </w:rPr>
        <w:t>设有暂估价、暂列金额的，投标时未按招标人工程量清单给出的暂估价总价、暂列金额总价计入投标总报价中的；</w:t>
      </w:r>
    </w:p>
    <w:p w14:paraId="16DAB3FC">
      <w:pPr>
        <w:spacing w:line="360" w:lineRule="auto"/>
        <w:ind w:firstLine="420" w:firstLineChars="200"/>
        <w:rPr>
          <w:rFonts w:hint="eastAsia" w:cs="宋体"/>
          <w:color w:val="auto"/>
          <w:highlight w:val="none"/>
          <w:lang w:eastAsia="zh-CN"/>
        </w:rPr>
      </w:pPr>
      <w:r>
        <w:rPr>
          <w:rFonts w:hint="eastAsia" w:cs="宋体"/>
          <w:color w:val="auto"/>
          <w:highlight w:val="none"/>
        </w:rPr>
        <w:t>投标人对招标工程量清单内容进行增减或对招标范围进行调整的</w:t>
      </w:r>
    </w:p>
    <w:p w14:paraId="3176BF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）响应文件未提供任一项“供应商须知</w:t>
      </w:r>
      <w:r>
        <w:rPr>
          <w:rFonts w:hint="eastAsia" w:ascii="宋体" w:hAnsi="宋体" w:cs="宋体"/>
          <w:color w:val="auto"/>
          <w:szCs w:val="21"/>
          <w:highlight w:val="none"/>
          <w:lang w:val="en-US" w:eastAsia="zh-CN"/>
        </w:rPr>
        <w:t>正文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文件中 “必须提供”的文件资料；响应文件提供的</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文件出现任一项不符合“供应商须知前附表”</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文件中 “必须提供”文件资料要求的规定或者提供的</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文件无效。</w:t>
      </w:r>
    </w:p>
    <w:p w14:paraId="79B2BB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未对竞标有效期作出响应或者响应文件承诺的竞标有效期不满足磋商文件要求；</w:t>
      </w:r>
    </w:p>
    <w:p w14:paraId="23761F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）响应文件的实质性内容未使用中文表述、使用计量单位不符合磋商文件要求；</w:t>
      </w:r>
    </w:p>
    <w:p w14:paraId="0102AD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）响应文件中的文件资料因填写不齐全或者内容虚假或者出现其他情形而导致被磋商小组认定无效；</w:t>
      </w:r>
    </w:p>
    <w:p w14:paraId="549E68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）响应文件含有采购人不能接受的附加条件；</w:t>
      </w:r>
    </w:p>
    <w:p w14:paraId="6B50D3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）属于“供应商须知正文”第</w:t>
      </w:r>
      <w:r>
        <w:rPr>
          <w:rFonts w:hint="eastAsia" w:ascii="宋体" w:hAnsi="宋体" w:cs="宋体"/>
          <w:color w:val="auto"/>
          <w:szCs w:val="21"/>
          <w:highlight w:val="none"/>
          <w:lang w:val="en-US" w:eastAsia="zh-CN"/>
        </w:rPr>
        <w:t>24.5、24.6</w:t>
      </w:r>
      <w:r>
        <w:rPr>
          <w:rFonts w:hint="eastAsia" w:ascii="宋体" w:hAnsi="宋体" w:cs="宋体"/>
          <w:color w:val="auto"/>
          <w:szCs w:val="21"/>
          <w:highlight w:val="none"/>
        </w:rPr>
        <w:t>条情形；</w:t>
      </w:r>
    </w:p>
    <w:p w14:paraId="1882F7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）虚假竞标，或者出现其他情形而导致被磋商小组认定无效；</w:t>
      </w:r>
    </w:p>
    <w:p w14:paraId="3243DF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）响应文件标注的项目名称或者项目编号与竞争性磋商文件标注的项目名称或者项目编号不一致的；</w:t>
      </w:r>
    </w:p>
    <w:p w14:paraId="2C07BD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）未响应磋商文件实质性要求；</w:t>
      </w:r>
    </w:p>
    <w:p w14:paraId="519192CF">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w:t>
      </w:r>
      <w:r>
        <w:rPr>
          <w:rFonts w:hint="eastAsia" w:ascii="宋体" w:hAnsi="宋体" w:eastAsia="宋体" w:cs="宋体"/>
          <w:color w:val="auto"/>
          <w:szCs w:val="21"/>
          <w:highlight w:val="none"/>
        </w:rPr>
        <w:t>提交的磋商保证金无效的或者未按照磋商文件的规定提交磋商保证金；</w:t>
      </w:r>
    </w:p>
    <w:p w14:paraId="4C293C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）法律、法规和磋商文件规定的其他无效情形。</w:t>
      </w:r>
    </w:p>
    <w:p w14:paraId="2C64FF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商务技术</w:t>
      </w:r>
      <w:r>
        <w:rPr>
          <w:rFonts w:hint="eastAsia" w:ascii="宋体" w:hAnsi="宋体" w:cs="宋体"/>
          <w:color w:val="auto"/>
          <w:szCs w:val="21"/>
          <w:highlight w:val="none"/>
        </w:rPr>
        <w:t>评审</w:t>
      </w:r>
    </w:p>
    <w:p w14:paraId="78DAB0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响应文件未按磋商文件要求签署、盖章；</w:t>
      </w:r>
    </w:p>
    <w:p w14:paraId="3002BA6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2）响应文件未提供任一项“供应商须知</w:t>
      </w:r>
      <w:r>
        <w:rPr>
          <w:rFonts w:hint="eastAsia" w:ascii="宋体" w:hAnsi="宋体" w:cs="宋体"/>
          <w:color w:val="auto"/>
          <w:szCs w:val="21"/>
          <w:highlight w:val="none"/>
          <w:lang w:val="en-US" w:eastAsia="zh-CN"/>
        </w:rPr>
        <w:t>正文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商务技术</w:t>
      </w:r>
      <w:r>
        <w:rPr>
          <w:rFonts w:hint="eastAsia" w:ascii="宋体" w:hAnsi="宋体" w:cs="宋体"/>
          <w:color w:val="auto"/>
          <w:szCs w:val="21"/>
          <w:highlight w:val="none"/>
        </w:rPr>
        <w:t>文件中 “必须提供”的文件资料；响应文件提供的</w:t>
      </w:r>
      <w:r>
        <w:rPr>
          <w:rFonts w:hint="eastAsia" w:ascii="宋体" w:hAnsi="宋体" w:cs="宋体"/>
          <w:color w:val="auto"/>
          <w:szCs w:val="21"/>
          <w:highlight w:val="none"/>
          <w:lang w:val="en-US" w:eastAsia="zh-CN"/>
        </w:rPr>
        <w:t>商务技术</w:t>
      </w:r>
      <w:r>
        <w:rPr>
          <w:rFonts w:hint="eastAsia" w:ascii="宋体" w:hAnsi="宋体" w:cs="宋体"/>
          <w:color w:val="auto"/>
          <w:szCs w:val="21"/>
          <w:highlight w:val="none"/>
        </w:rPr>
        <w:t>文件出现任一项不符合“供应商须知前附表”</w:t>
      </w:r>
      <w:r>
        <w:rPr>
          <w:rFonts w:hint="eastAsia" w:ascii="宋体" w:hAnsi="宋体" w:cs="宋体"/>
          <w:color w:val="auto"/>
          <w:szCs w:val="21"/>
          <w:highlight w:val="none"/>
          <w:lang w:val="en-US" w:eastAsia="zh-CN"/>
        </w:rPr>
        <w:t>商务技术</w:t>
      </w:r>
      <w:r>
        <w:rPr>
          <w:rFonts w:hint="eastAsia" w:ascii="宋体" w:hAnsi="宋体" w:cs="宋体"/>
          <w:color w:val="auto"/>
          <w:szCs w:val="21"/>
          <w:highlight w:val="none"/>
        </w:rPr>
        <w:t>文件中 “必须提供”文件资料要求的规定或者提供的</w:t>
      </w:r>
      <w:r>
        <w:rPr>
          <w:rFonts w:hint="eastAsia" w:ascii="宋体" w:hAnsi="宋体" w:cs="宋体"/>
          <w:color w:val="auto"/>
          <w:szCs w:val="21"/>
          <w:highlight w:val="none"/>
          <w:lang w:val="en-US" w:eastAsia="zh-CN"/>
        </w:rPr>
        <w:t>商务技术</w:t>
      </w:r>
      <w:r>
        <w:rPr>
          <w:rFonts w:hint="eastAsia" w:ascii="宋体" w:hAnsi="宋体" w:cs="宋体"/>
          <w:color w:val="auto"/>
          <w:szCs w:val="21"/>
          <w:highlight w:val="none"/>
        </w:rPr>
        <w:t>文件无效</w:t>
      </w:r>
      <w:r>
        <w:rPr>
          <w:rFonts w:hint="eastAsia" w:ascii="宋体" w:hAnsi="宋体" w:cs="宋体"/>
          <w:color w:val="auto"/>
          <w:szCs w:val="21"/>
          <w:highlight w:val="none"/>
          <w:lang w:eastAsia="zh-CN"/>
        </w:rPr>
        <w:t>；</w:t>
      </w:r>
    </w:p>
    <w:p w14:paraId="530164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）响应文件中的文件资料因填写不齐全或者内容虚假或者出现其他情形而导致被磋商小组认定无效；</w:t>
      </w:r>
    </w:p>
    <w:p w14:paraId="0417CD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）响应文件含有采购人不能接受的附加条件；</w:t>
      </w:r>
    </w:p>
    <w:p w14:paraId="0756B4D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属于“供应商须知正文”第</w:t>
      </w:r>
      <w:r>
        <w:rPr>
          <w:rFonts w:hint="eastAsia" w:ascii="宋体" w:hAnsi="宋体" w:cs="宋体"/>
          <w:color w:val="auto"/>
          <w:szCs w:val="21"/>
          <w:highlight w:val="none"/>
          <w:lang w:val="en-US" w:eastAsia="zh-CN"/>
        </w:rPr>
        <w:t>24.5、24.6</w:t>
      </w:r>
      <w:r>
        <w:rPr>
          <w:rFonts w:hint="eastAsia" w:ascii="宋体" w:hAnsi="宋体" w:cs="宋体"/>
          <w:color w:val="auto"/>
          <w:szCs w:val="21"/>
          <w:highlight w:val="none"/>
        </w:rPr>
        <w:t>条情形</w:t>
      </w:r>
      <w:r>
        <w:rPr>
          <w:rFonts w:hint="eastAsia" w:ascii="宋体" w:hAnsi="宋体" w:cs="宋体"/>
          <w:color w:val="auto"/>
          <w:szCs w:val="21"/>
          <w:highlight w:val="none"/>
          <w:lang w:eastAsia="zh-CN"/>
        </w:rPr>
        <w:t>；</w:t>
      </w:r>
    </w:p>
    <w:p w14:paraId="628B53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虚假竞标，或者出现其他情形而导致被磋商小组认定无效；</w:t>
      </w:r>
    </w:p>
    <w:p w14:paraId="62EFBE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5D2AE3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）响应文件标注的项目名称或者项目编号与竞争性磋商文件标注的项目名称或者项目编号不一致的；</w:t>
      </w:r>
    </w:p>
    <w:p w14:paraId="36B38B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）未响应磋商文件实质性要求；</w:t>
      </w:r>
    </w:p>
    <w:p w14:paraId="347170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）法律、法规和磋商文件规定的其他无效情形。</w:t>
      </w:r>
    </w:p>
    <w:p w14:paraId="255838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9C10D97">
      <w:pPr>
        <w:spacing w:line="360" w:lineRule="auto"/>
        <w:ind w:firstLine="420" w:firstLineChars="200"/>
        <w:rPr>
          <w:rFonts w:hint="eastAsia" w:ascii="黑体" w:hAnsi="黑体" w:eastAsia="黑体" w:cs="宋体"/>
          <w:b/>
          <w:bCs/>
          <w:color w:val="auto"/>
          <w:sz w:val="24"/>
          <w:highlight w:val="none"/>
        </w:rPr>
      </w:pPr>
      <w:bookmarkStart w:id="1206" w:name="OLE_LINK40"/>
      <w:r>
        <w:rPr>
          <w:rFonts w:hint="eastAsia" w:ascii="宋体" w:hAnsi="宋体" w:cs="宋体"/>
          <w:color w:val="auto"/>
          <w:szCs w:val="21"/>
          <w:highlight w:val="none"/>
        </w:rPr>
        <w:t>3</w:t>
      </w:r>
      <w:r>
        <w:rPr>
          <w:rFonts w:ascii="宋体" w:hAnsi="宋体" w:cs="宋体"/>
          <w:color w:val="auto"/>
          <w:szCs w:val="21"/>
          <w:highlight w:val="none"/>
        </w:rPr>
        <w:t>.7</w:t>
      </w:r>
      <w:bookmarkEnd w:id="1206"/>
      <w:r>
        <w:rPr>
          <w:rFonts w:hint="eastAsia" w:ascii="宋体" w:hAnsi="宋体" w:cs="宋体"/>
          <w:color w:val="auto"/>
          <w:szCs w:val="21"/>
          <w:highlight w:val="none"/>
        </w:rPr>
        <w:t>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E468901">
      <w:pPr>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4.磋商程序</w:t>
      </w:r>
    </w:p>
    <w:p w14:paraId="3BBDDDC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85B20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在磋商过程中，磋商小组可以根据磋商文件和磋商情况实质性变动</w:t>
      </w:r>
      <w:r>
        <w:rPr>
          <w:rFonts w:hint="eastAsia" w:ascii="宋体" w:hAnsi="宋体" w:cs="宋体"/>
          <w:color w:val="auto"/>
          <w:szCs w:val="21"/>
          <w:highlight w:val="none"/>
          <w:lang w:val="en-US" w:eastAsia="zh-CN"/>
        </w:rPr>
        <w:t>磋商文件</w:t>
      </w:r>
      <w:r>
        <w:rPr>
          <w:rFonts w:hint="eastAsia" w:ascii="宋体" w:hAnsi="宋体" w:cs="宋体"/>
          <w:color w:val="auto"/>
          <w:szCs w:val="21"/>
          <w:highlight w:val="none"/>
        </w:rPr>
        <w:t>中的技术、服务要求以及合同草案条款，但不得变动磋商文件中的其他内容。实质性变动的内容，须经采购人代表确认。可能实质性变动的内容为采购需求中的技术、服务要求以及合同草案条款。</w:t>
      </w:r>
    </w:p>
    <w:p w14:paraId="715494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1CDEBE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.4</w:t>
      </w:r>
      <w:r>
        <w:rPr>
          <w:rFonts w:hint="eastAsia" w:ascii="宋体" w:hAnsi="宋体" w:cs="宋体"/>
          <w:color w:val="auto"/>
          <w:szCs w:val="21"/>
          <w:highlight w:val="none"/>
        </w:rPr>
        <w:t>供应商必须按照磋商文件的变动情况和磋商小组的要求以回函的形式重新提交响应文件，并加盖</w:t>
      </w:r>
      <w:r>
        <w:rPr>
          <w:rFonts w:hint="eastAsia" w:ascii="宋体" w:hAnsi="宋体" w:cs="宋体"/>
          <w:color w:val="auto"/>
          <w:szCs w:val="21"/>
          <w:highlight w:val="none"/>
          <w:lang w:eastAsia="zh-CN"/>
        </w:rPr>
        <w:t>电子印章</w:t>
      </w:r>
      <w:r>
        <w:rPr>
          <w:rFonts w:hint="eastAsia" w:ascii="宋体" w:hAnsi="宋体" w:cs="宋体"/>
          <w:color w:val="auto"/>
          <w:szCs w:val="21"/>
          <w:highlight w:val="none"/>
        </w:rPr>
        <w:t>。供应商为自然人的，必须由本人签字并附身份证明。参加磋商的供应商未在规定时间内重新提交响应文件的，视同退出磋商。</w:t>
      </w:r>
    </w:p>
    <w:p w14:paraId="5295F8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545E2B9A">
      <w:pPr>
        <w:widowControl/>
        <w:tabs>
          <w:tab w:val="left" w:pos="540"/>
        </w:tabs>
        <w:spacing w:line="360" w:lineRule="auto"/>
        <w:ind w:firstLine="420" w:firstLineChars="200"/>
        <w:jc w:val="left"/>
        <w:rPr>
          <w:rFonts w:hint="eastAsia" w:ascii="仿宋" w:hAnsi="仿宋" w:eastAsia="仿宋" w:cs="仿宋_GB2312"/>
          <w:b/>
          <w:color w:val="auto"/>
          <w:highlight w:val="none"/>
        </w:rPr>
      </w:pPr>
      <w:r>
        <w:rPr>
          <w:rFonts w:hint="eastAsia" w:ascii="宋体" w:hAnsi="宋体" w:cs="宋体"/>
          <w:color w:val="auto"/>
          <w:szCs w:val="21"/>
          <w:highlight w:val="none"/>
        </w:rPr>
        <w:t>4</w:t>
      </w:r>
      <w:r>
        <w:rPr>
          <w:rFonts w:ascii="宋体" w:hAnsi="宋体" w:cs="宋体"/>
          <w:color w:val="auto"/>
          <w:szCs w:val="21"/>
          <w:highlight w:val="none"/>
        </w:rPr>
        <w:t>.6</w:t>
      </w:r>
      <w:r>
        <w:rPr>
          <w:rFonts w:hint="eastAsia" w:ascii="宋体" w:hAnsi="宋体" w:cs="宋体"/>
          <w:color w:val="auto"/>
          <w:szCs w:val="21"/>
          <w:highlight w:val="none"/>
        </w:rPr>
        <w:t>磋商小组应对磋商过程和重要磋商内容进行记录，作为评标报告一部分，磋商小组在记录上签字确认。</w:t>
      </w:r>
      <w:r>
        <w:rPr>
          <w:rFonts w:hint="eastAsia" w:ascii="仿宋" w:hAnsi="仿宋" w:eastAsia="仿宋" w:cs="仿宋_GB2312"/>
          <w:b/>
          <w:color w:val="auto"/>
          <w:highlight w:val="none"/>
        </w:rPr>
        <w:t>主要内容包括：</w:t>
      </w:r>
    </w:p>
    <w:p w14:paraId="4BB4C248">
      <w:pPr>
        <w:pStyle w:val="45"/>
        <w:spacing w:before="0"/>
        <w:ind w:firstLine="396" w:firstLineChars="200"/>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026BC73E">
      <w:pPr>
        <w:pStyle w:val="45"/>
        <w:spacing w:before="0"/>
        <w:ind w:firstLine="396" w:firstLineChars="200"/>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3B62936A">
      <w:pPr>
        <w:pStyle w:val="45"/>
        <w:spacing w:before="0"/>
        <w:ind w:firstLine="396" w:firstLineChars="200"/>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74FF1647">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7</w:t>
      </w:r>
      <w:r>
        <w:rPr>
          <w:rFonts w:hint="eastAsia" w:ascii="宋体" w:hAnsi="宋体" w:cs="宋体"/>
          <w:color w:val="auto"/>
          <w:szCs w:val="21"/>
          <w:highlight w:val="none"/>
        </w:rPr>
        <w:t>磋商过程中重新提交的响应文件，供应商可以在开启前补充、修改。</w:t>
      </w:r>
    </w:p>
    <w:p w14:paraId="71772F04">
      <w:pPr>
        <w:tabs>
          <w:tab w:val="left" w:pos="2835"/>
        </w:tabs>
        <w:spacing w:line="360" w:lineRule="auto"/>
        <w:ind w:firstLine="420" w:firstLineChars="200"/>
        <w:rPr>
          <w:rFonts w:hint="eastAsia" w:ascii="黑体" w:hAnsi="黑体" w:eastAsia="黑体" w:cs="宋体"/>
          <w:b/>
          <w:bCs/>
          <w:color w:val="auto"/>
          <w:sz w:val="24"/>
          <w:highlight w:val="none"/>
        </w:rPr>
      </w:pPr>
      <w:r>
        <w:rPr>
          <w:rFonts w:hint="eastAsia" w:ascii="宋体" w:hAnsi="宋体" w:cs="宋体"/>
          <w:color w:val="auto"/>
          <w:szCs w:val="21"/>
          <w:highlight w:val="none"/>
        </w:rPr>
        <w:t>4</w:t>
      </w:r>
      <w:r>
        <w:rPr>
          <w:rFonts w:ascii="宋体" w:hAnsi="宋体" w:cs="宋体"/>
          <w:color w:val="auto"/>
          <w:szCs w:val="21"/>
          <w:highlight w:val="none"/>
        </w:rPr>
        <w:t>.8</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354E906F">
      <w:pPr>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 最后报价</w:t>
      </w:r>
    </w:p>
    <w:p w14:paraId="00CB45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eastAsia="宋体" w:cs="宋体"/>
          <w:color w:val="auto"/>
          <w:szCs w:val="21"/>
          <w:highlight w:val="none"/>
        </w:rPr>
        <w:t>磋商结束后，由磋商小组要求所有继续参加磋商的供应商在规定时间内</w:t>
      </w:r>
      <w:r>
        <w:rPr>
          <w:rFonts w:hint="eastAsia" w:ascii="宋体" w:hAnsi="宋体" w:cs="宋体"/>
          <w:color w:val="auto"/>
          <w:szCs w:val="21"/>
          <w:highlight w:val="none"/>
          <w:lang w:val="en-US" w:eastAsia="zh-CN"/>
        </w:rPr>
        <w:t>加密在线</w:t>
      </w:r>
      <w:r>
        <w:rPr>
          <w:rFonts w:hint="eastAsia" w:ascii="宋体" w:hAnsi="宋体" w:cs="宋体"/>
          <w:color w:val="auto"/>
          <w:szCs w:val="21"/>
          <w:highlight w:val="none"/>
        </w:rPr>
        <w:t>提交最后报价</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eastAsia="zh-CN"/>
        </w:rPr>
        <w:t>最后</w:t>
      </w:r>
      <w:r>
        <w:rPr>
          <w:rFonts w:hint="eastAsia" w:ascii="宋体" w:hAnsi="宋体" w:eastAsia="宋体" w:cs="宋体"/>
          <w:b/>
          <w:bCs/>
          <w:color w:val="auto"/>
          <w:szCs w:val="21"/>
          <w:highlight w:val="none"/>
        </w:rPr>
        <w:t>报价如有变动必须按工程量清单报价文件的要求及格式编制</w:t>
      </w:r>
      <w:r>
        <w:rPr>
          <w:rFonts w:hint="eastAsia" w:ascii="宋体" w:hAnsi="宋体" w:cs="宋体"/>
          <w:b/>
          <w:bCs/>
          <w:color w:val="auto"/>
          <w:szCs w:val="21"/>
          <w:highlight w:val="none"/>
          <w:lang w:val="en-US" w:eastAsia="zh-CN"/>
        </w:rPr>
        <w:t>并加盖供应商电子印章及相关编制人员（如有要求）签字或盖章（此处所指“签字或盖章”为手写签字或盖章后扫描上传）</w:t>
      </w:r>
      <w:r>
        <w:rPr>
          <w:rFonts w:hint="eastAsia" w:ascii="宋体" w:hAnsi="宋体" w:eastAsia="宋体" w:cs="宋体"/>
          <w:b/>
          <w:bCs/>
          <w:color w:val="auto"/>
          <w:szCs w:val="21"/>
          <w:highlight w:val="none"/>
        </w:rPr>
        <w:t>，不得以总价下浮的方式做</w:t>
      </w:r>
      <w:r>
        <w:rPr>
          <w:rFonts w:hint="eastAsia" w:ascii="宋体" w:hAnsi="宋体" w:eastAsia="宋体" w:cs="宋体"/>
          <w:b/>
          <w:bCs/>
          <w:color w:val="auto"/>
          <w:szCs w:val="21"/>
          <w:highlight w:val="none"/>
          <w:lang w:eastAsia="zh-CN"/>
        </w:rPr>
        <w:t>最后</w:t>
      </w:r>
      <w:r>
        <w:rPr>
          <w:rFonts w:hint="eastAsia" w:ascii="宋体" w:hAnsi="宋体" w:eastAsia="宋体" w:cs="宋体"/>
          <w:b/>
          <w:bCs/>
          <w:color w:val="auto"/>
          <w:szCs w:val="21"/>
          <w:highlight w:val="none"/>
        </w:rPr>
        <w:t>报价，否则，作无效</w:t>
      </w:r>
      <w:r>
        <w:rPr>
          <w:rFonts w:hint="eastAsia" w:ascii="宋体" w:hAnsi="宋体" w:cs="宋体"/>
          <w:b/>
          <w:bCs/>
          <w:color w:val="auto"/>
          <w:szCs w:val="21"/>
          <w:highlight w:val="none"/>
          <w:lang w:val="en-US" w:eastAsia="zh-CN"/>
        </w:rPr>
        <w:t>磋商</w:t>
      </w:r>
      <w:r>
        <w:rPr>
          <w:rFonts w:hint="eastAsia" w:ascii="宋体" w:hAnsi="宋体" w:eastAsia="宋体" w:cs="宋体"/>
          <w:b/>
          <w:bCs/>
          <w:color w:val="auto"/>
          <w:szCs w:val="21"/>
          <w:highlight w:val="none"/>
        </w:rPr>
        <w:t>处理，供应商须提前做好相关准备并按时递交</w:t>
      </w:r>
      <w:r>
        <w:rPr>
          <w:rFonts w:hint="eastAsia" w:ascii="宋体" w:hAnsi="宋体" w:eastAsia="宋体" w:cs="宋体"/>
          <w:b/>
          <w:bCs/>
          <w:color w:val="auto"/>
          <w:szCs w:val="21"/>
          <w:highlight w:val="none"/>
          <w:lang w:eastAsia="zh-CN"/>
        </w:rPr>
        <w:t>最后</w:t>
      </w:r>
      <w:r>
        <w:rPr>
          <w:rFonts w:hint="eastAsia" w:ascii="宋体" w:hAnsi="宋体" w:eastAsia="宋体" w:cs="宋体"/>
          <w:b/>
          <w:bCs/>
          <w:color w:val="auto"/>
          <w:szCs w:val="21"/>
          <w:highlight w:val="none"/>
        </w:rPr>
        <w:t>报价文件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以附件的方式上传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最后</w:t>
      </w:r>
      <w:r>
        <w:rPr>
          <w:rFonts w:hint="eastAsia" w:ascii="宋体" w:hAnsi="宋体" w:eastAsia="宋体" w:cs="宋体"/>
          <w:b/>
          <w:bCs/>
          <w:color w:val="auto"/>
          <w:szCs w:val="21"/>
          <w:highlight w:val="none"/>
        </w:rPr>
        <w:t>报价高于采购预算控制价的响应文件将被拒绝。</w:t>
      </w:r>
      <w:r>
        <w:rPr>
          <w:rFonts w:hint="eastAsia" w:ascii="宋体" w:hAnsi="宋体" w:cs="宋体"/>
          <w:color w:val="auto"/>
          <w:szCs w:val="21"/>
          <w:highlight w:val="none"/>
        </w:rPr>
        <w:t>除本章第5</w:t>
      </w:r>
      <w:r>
        <w:rPr>
          <w:rFonts w:ascii="宋体" w:hAnsi="宋体" w:cs="宋体"/>
          <w:color w:val="auto"/>
          <w:szCs w:val="21"/>
          <w:highlight w:val="none"/>
        </w:rPr>
        <w:t>.3</w:t>
      </w:r>
      <w:r>
        <w:rPr>
          <w:rFonts w:hint="eastAsia" w:ascii="宋体" w:hAnsi="宋体" w:cs="宋体"/>
          <w:color w:val="auto"/>
          <w:szCs w:val="21"/>
          <w:highlight w:val="none"/>
        </w:rPr>
        <w:t>条外，提交最后报价的供应商不得少于3家，否则必须重新采购。</w:t>
      </w:r>
    </w:p>
    <w:p w14:paraId="7CA8DA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w:t>
      </w:r>
      <w:r>
        <w:rPr>
          <w:rFonts w:hint="eastAsia" w:ascii="宋体" w:hAnsi="宋体" w:cs="宋体"/>
          <w:color w:val="auto"/>
          <w:szCs w:val="21"/>
          <w:highlight w:val="none"/>
          <w:lang w:val="en-US" w:eastAsia="zh-CN"/>
        </w:rPr>
        <w:t>在线</w:t>
      </w:r>
      <w:r>
        <w:rPr>
          <w:rFonts w:hint="eastAsia" w:ascii="宋体" w:hAnsi="宋体" w:cs="宋体"/>
          <w:color w:val="auto"/>
          <w:szCs w:val="21"/>
          <w:highlight w:val="none"/>
        </w:rPr>
        <w:t>提交最后报价。</w:t>
      </w:r>
    </w:p>
    <w:p w14:paraId="753866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.3</w:t>
      </w:r>
      <w:r>
        <w:rPr>
          <w:rFonts w:hint="eastAsia" w:ascii="宋体" w:hAnsi="宋体" w:cs="宋体"/>
          <w:color w:val="auto"/>
          <w:szCs w:val="21"/>
          <w:highlight w:val="none"/>
        </w:rPr>
        <w:t xml:space="preserve"> </w:t>
      </w:r>
      <w:bookmarkStart w:id="1207" w:name="OLE_LINK66"/>
      <w:r>
        <w:rPr>
          <w:rFonts w:hint="eastAsia" w:ascii="宋体" w:hAnsi="宋体" w:cs="宋体"/>
          <w:color w:val="auto"/>
          <w:szCs w:val="21"/>
          <w:highlight w:val="none"/>
        </w:rPr>
        <w:t>最后报价是供应商响应文件的有效组成部分。符合《政府采购竞争性磋商采购方式管理暂行办法》（财库〔2014〕214号）第三条第四项“市场竞争不充分的科研项目，以及需要扶持的科技成果转化项目</w:t>
      </w:r>
      <w:bookmarkEnd w:id="1207"/>
      <w:r>
        <w:rPr>
          <w:rFonts w:hint="eastAsia" w:ascii="宋体" w:hAnsi="宋体" w:cs="宋体"/>
          <w:color w:val="auto"/>
          <w:szCs w:val="21"/>
          <w:highlight w:val="none"/>
        </w:rPr>
        <w:t>”的</w:t>
      </w:r>
      <w:r>
        <w:rPr>
          <w:rFonts w:hint="eastAsia" w:ascii="宋体" w:hAnsi="宋体"/>
          <w:color w:val="auto"/>
          <w:szCs w:val="21"/>
          <w:highlight w:val="none"/>
          <w:lang w:eastAsia="zh-CN"/>
        </w:rPr>
        <w:t>，</w:t>
      </w:r>
      <w:r>
        <w:rPr>
          <w:rFonts w:hint="eastAsia" w:ascii="宋体" w:hAnsi="宋体" w:cs="宋体"/>
          <w:color w:val="auto"/>
          <w:szCs w:val="21"/>
          <w:highlight w:val="none"/>
        </w:rPr>
        <w:t>提交最后报价的供应商可以为2家。</w:t>
      </w:r>
    </w:p>
    <w:p w14:paraId="7D7F35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w:t>
      </w:r>
    </w:p>
    <w:p w14:paraId="7F7BD0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.5</w:t>
      </w:r>
      <w:r>
        <w:rPr>
          <w:rFonts w:hint="eastAsia" w:ascii="宋体" w:hAnsi="宋体" w:cs="宋体"/>
          <w:color w:val="auto"/>
          <w:szCs w:val="21"/>
          <w:highlight w:val="none"/>
        </w:rPr>
        <w:t>供应商未在规定时间内提交最后报价的，视为退出磋商，其响应文件作无效处理。</w:t>
      </w:r>
    </w:p>
    <w:p w14:paraId="572641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磋商小组收齐</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最后报价后统一开启，磋商小组对最后报价进行有效性、完整性和响应程度的审查。</w:t>
      </w:r>
    </w:p>
    <w:p w14:paraId="697361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.7</w:t>
      </w:r>
      <w:r>
        <w:rPr>
          <w:rFonts w:hint="eastAsia" w:ascii="宋体" w:hAnsi="宋体" w:cs="宋体"/>
          <w:color w:val="auto"/>
          <w:szCs w:val="21"/>
          <w:highlight w:val="none"/>
        </w:rPr>
        <w:t>最终响应文件的报价出现前后不一致的，按照</w:t>
      </w:r>
      <w:bookmarkStart w:id="1208" w:name="OLE_LINK41"/>
      <w:r>
        <w:rPr>
          <w:rFonts w:hint="eastAsia" w:ascii="宋体" w:hAnsi="宋体" w:cs="宋体"/>
          <w:color w:val="auto"/>
          <w:szCs w:val="21"/>
          <w:highlight w:val="none"/>
        </w:rPr>
        <w:t>本章第3</w:t>
      </w:r>
      <w:r>
        <w:rPr>
          <w:rFonts w:ascii="宋体" w:hAnsi="宋体" w:cs="宋体"/>
          <w:color w:val="auto"/>
          <w:szCs w:val="21"/>
          <w:highlight w:val="none"/>
        </w:rPr>
        <w:t>.4</w:t>
      </w:r>
      <w:r>
        <w:rPr>
          <w:rFonts w:hint="eastAsia" w:ascii="宋体" w:hAnsi="宋体" w:cs="宋体"/>
          <w:color w:val="auto"/>
          <w:szCs w:val="21"/>
          <w:highlight w:val="none"/>
        </w:rPr>
        <w:t>条</w:t>
      </w:r>
      <w:bookmarkEnd w:id="1208"/>
      <w:r>
        <w:rPr>
          <w:rFonts w:hint="eastAsia" w:ascii="宋体" w:hAnsi="宋体" w:cs="宋体"/>
          <w:color w:val="auto"/>
          <w:szCs w:val="21"/>
          <w:highlight w:val="none"/>
        </w:rPr>
        <w:t xml:space="preserve">的规定修正。 </w:t>
      </w:r>
    </w:p>
    <w:p w14:paraId="0E61F5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.8</w:t>
      </w:r>
      <w:r>
        <w:rPr>
          <w:rFonts w:hint="eastAsia" w:ascii="宋体" w:hAnsi="宋体" w:cs="宋体"/>
          <w:color w:val="auto"/>
          <w:szCs w:val="21"/>
          <w:highlight w:val="none"/>
        </w:rPr>
        <w:t>修正后的报价出现下列情形的，按无效响应处理：</w:t>
      </w:r>
    </w:p>
    <w:p w14:paraId="363E18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F76F8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w:t>
      </w:r>
      <w:r>
        <w:rPr>
          <w:rFonts w:hint="eastAsia" w:ascii="宋体" w:hAnsi="宋体" w:cs="宋体"/>
          <w:color w:val="auto"/>
          <w:szCs w:val="21"/>
          <w:highlight w:val="none"/>
          <w:lang w:eastAsia="zh-CN"/>
        </w:rPr>
        <w:t>竞标报价</w:t>
      </w:r>
      <w:r>
        <w:rPr>
          <w:rFonts w:hint="eastAsia" w:ascii="宋体" w:hAnsi="宋体" w:cs="宋体"/>
          <w:color w:val="auto"/>
          <w:szCs w:val="21"/>
          <w:highlight w:val="none"/>
        </w:rPr>
        <w:t>（包含首次报价、最后报价）超过</w:t>
      </w:r>
      <w:r>
        <w:rPr>
          <w:rFonts w:hint="eastAsia" w:ascii="宋体" w:hAnsi="宋体" w:cs="宋体"/>
          <w:color w:val="auto"/>
          <w:szCs w:val="21"/>
          <w:highlight w:val="none"/>
          <w:lang w:eastAsia="zh-CN"/>
        </w:rPr>
        <w:t>所竞标项目</w:t>
      </w:r>
      <w:r>
        <w:rPr>
          <w:rFonts w:hint="eastAsia" w:ascii="宋体" w:hAnsi="宋体" w:cs="宋体"/>
          <w:color w:val="auto"/>
          <w:szCs w:val="21"/>
          <w:highlight w:val="none"/>
        </w:rPr>
        <w:t>规定的采购预算金额或者最高限价的（如本项目公布了最高限价）；</w:t>
      </w:r>
    </w:p>
    <w:p w14:paraId="4E9225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w:t>
      </w:r>
      <w:r>
        <w:rPr>
          <w:rFonts w:hint="eastAsia" w:ascii="宋体" w:hAnsi="宋体" w:cs="宋体"/>
          <w:color w:val="auto"/>
          <w:szCs w:val="21"/>
          <w:highlight w:val="none"/>
          <w:lang w:eastAsia="zh-CN"/>
        </w:rPr>
        <w:t>竞标报价</w:t>
      </w:r>
      <w:r>
        <w:rPr>
          <w:rFonts w:hint="eastAsia" w:ascii="宋体" w:hAnsi="宋体" w:cs="宋体"/>
          <w:color w:val="auto"/>
          <w:szCs w:val="21"/>
          <w:highlight w:val="none"/>
        </w:rPr>
        <w:t>（包含首次报价、最后报价）超过分项采购预算金额或者最高限价的（如本项目公布了最高限价）。</w:t>
      </w:r>
    </w:p>
    <w:p w14:paraId="5639C9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.9</w:t>
      </w:r>
      <w:r>
        <w:rPr>
          <w:rFonts w:hint="eastAsia" w:ascii="宋体" w:hAnsi="宋体" w:cs="宋体"/>
          <w:color w:val="auto"/>
          <w:szCs w:val="21"/>
          <w:highlight w:val="none"/>
        </w:rPr>
        <w:t>经供应商确认修正后的最后报价作为评审及签订合同的依据。</w:t>
      </w:r>
    </w:p>
    <w:p w14:paraId="4EAE8D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7876C05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1最后报价结束后，磋商小组不得再与供应商进行任何形式的商谈。</w:t>
      </w:r>
    </w:p>
    <w:p w14:paraId="7331CCC7">
      <w:pPr>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08180F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评审方法：综合评分法。</w:t>
      </w:r>
    </w:p>
    <w:p w14:paraId="5500839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47DB401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35BC68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3E8555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6F74CD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91CB81D">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6.5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hint="eastAsia" w:ascii="宋体" w:hAnsi="宋体"/>
          <w:color w:val="auto"/>
          <w:kern w:val="0"/>
          <w:szCs w:val="21"/>
          <w:highlight w:val="none"/>
          <w:lang w:val="en-US" w:eastAsia="zh-CN"/>
        </w:rPr>
        <w:t>5</w:t>
      </w:r>
      <w:r>
        <w:rPr>
          <w:rFonts w:ascii="宋体" w:hAnsi="宋体"/>
          <w:color w:val="auto"/>
          <w:kern w:val="0"/>
          <w:szCs w:val="21"/>
          <w:highlight w:val="none"/>
        </w:rPr>
        <w:t>.3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r>
        <w:rPr>
          <w:rFonts w:hint="eastAsia" w:ascii="宋体" w:hAnsi="宋体" w:eastAsia="宋体" w:cs="宋体"/>
          <w:bCs/>
          <w:color w:val="auto"/>
          <w:szCs w:val="21"/>
          <w:highlight w:val="none"/>
        </w:rPr>
        <w:t>（按技术得分由高到低排序，技术得分相同的按照</w:t>
      </w:r>
      <w:r>
        <w:rPr>
          <w:rFonts w:hint="eastAsia" w:ascii="宋体" w:hAnsi="宋体" w:eastAsia="宋体" w:cs="宋体"/>
          <w:color w:val="auto"/>
          <w:highlight w:val="none"/>
          <w:lang w:eastAsia="zh-CN"/>
        </w:rPr>
        <w:t>承诺工期</w:t>
      </w:r>
      <w:r>
        <w:rPr>
          <w:rFonts w:hint="eastAsia" w:ascii="宋体" w:hAnsi="宋体" w:eastAsia="宋体" w:cs="宋体"/>
          <w:bCs/>
          <w:color w:val="auto"/>
          <w:szCs w:val="21"/>
          <w:highlight w:val="none"/>
          <w:lang w:eastAsia="zh-CN"/>
        </w:rPr>
        <w:t>优劣</w:t>
      </w:r>
      <w:r>
        <w:rPr>
          <w:rFonts w:hint="eastAsia" w:ascii="宋体" w:hAnsi="宋体" w:eastAsia="宋体" w:cs="宋体"/>
          <w:bCs/>
          <w:color w:val="auto"/>
          <w:szCs w:val="21"/>
          <w:highlight w:val="none"/>
        </w:rPr>
        <w:t>排序）。评审得分、最后报价（不计算价格折扣）、技术得分、</w:t>
      </w:r>
      <w:bookmarkStart w:id="1209" w:name="OLE_LINK42"/>
      <w:r>
        <w:rPr>
          <w:rFonts w:hint="eastAsia" w:ascii="宋体" w:hAnsi="宋体" w:eastAsia="宋体" w:cs="宋体"/>
          <w:color w:val="auto"/>
          <w:highlight w:val="none"/>
          <w:lang w:eastAsia="zh-CN"/>
        </w:rPr>
        <w:t>承诺工期</w:t>
      </w:r>
      <w:bookmarkEnd w:id="1209"/>
      <w:r>
        <w:rPr>
          <w:rFonts w:hint="eastAsia" w:ascii="宋体" w:hAnsi="宋体" w:eastAsia="宋体" w:cs="宋体"/>
          <w:bCs/>
          <w:color w:val="auto"/>
          <w:szCs w:val="21"/>
          <w:highlight w:val="none"/>
        </w:rPr>
        <w:t>均相同的，由磋商小组随机抽取推荐</w:t>
      </w:r>
      <w:r>
        <w:rPr>
          <w:rFonts w:hint="eastAsia" w:ascii="宋体" w:hAnsi="宋体"/>
          <w:color w:val="auto"/>
          <w:kern w:val="0"/>
          <w:szCs w:val="21"/>
          <w:highlight w:val="none"/>
        </w:rPr>
        <w:t>。</w:t>
      </w:r>
    </w:p>
    <w:p w14:paraId="3B8F087D">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6.6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7EB9AE4">
      <w:pPr>
        <w:spacing w:line="360" w:lineRule="auto"/>
        <w:ind w:firstLine="643" w:firstLineChars="200"/>
        <w:jc w:val="center"/>
        <w:rPr>
          <w:rFonts w:hint="eastAsia" w:ascii="宋体" w:hAnsi="宋体"/>
          <w:b/>
          <w:color w:val="auto"/>
          <w:sz w:val="32"/>
          <w:szCs w:val="32"/>
          <w:highlight w:val="none"/>
        </w:rPr>
      </w:pPr>
    </w:p>
    <w:p w14:paraId="3EEDCE9F">
      <w:pPr>
        <w:spacing w:line="360" w:lineRule="auto"/>
        <w:ind w:firstLine="643" w:firstLineChars="200"/>
        <w:jc w:val="center"/>
        <w:rPr>
          <w:rFonts w:hint="eastAsia" w:ascii="宋体" w:hAnsi="宋体"/>
          <w:b/>
          <w:color w:val="auto"/>
          <w:sz w:val="32"/>
          <w:szCs w:val="32"/>
          <w:highlight w:val="none"/>
        </w:rPr>
      </w:pPr>
    </w:p>
    <w:p w14:paraId="74DAC3FB">
      <w:pPr>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1ED2A38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7</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评审依据：磋商小组将以磋商响应文件为评审依据，对供应商的报价、技术等方面内容按百分制打分。（计分方法按四舍五入取至百分位）</w:t>
      </w:r>
    </w:p>
    <w:tbl>
      <w:tblPr>
        <w:tblStyle w:val="22"/>
        <w:tblpPr w:leftFromText="180" w:rightFromText="180" w:vertAnchor="text" w:horzAnchor="page" w:tblpX="1511" w:tblpY="922"/>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2427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dxa"/>
            <w:vAlign w:val="center"/>
          </w:tcPr>
          <w:p w14:paraId="05C5AE27">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418" w:type="dxa"/>
            <w:vAlign w:val="center"/>
          </w:tcPr>
          <w:p w14:paraId="41357D79">
            <w:pPr>
              <w:widowControl/>
              <w:spacing w:line="360" w:lineRule="auto"/>
              <w:jc w:val="center"/>
              <w:rPr>
                <w:rFonts w:hint="eastAsia" w:ascii="宋体" w:hAnsi="宋体" w:eastAsia="宋体" w:cs="宋体"/>
                <w:b/>
                <w:bCs/>
                <w:color w:val="auto"/>
                <w:kern w:val="0"/>
                <w:szCs w:val="21"/>
                <w:highlight w:val="none"/>
              </w:rPr>
            </w:pPr>
            <w:bookmarkStart w:id="1210" w:name="OLE_LINK52"/>
            <w:r>
              <w:rPr>
                <w:rFonts w:hint="eastAsia" w:ascii="宋体" w:hAnsi="宋体" w:eastAsia="宋体" w:cs="宋体"/>
                <w:b/>
                <w:bCs/>
                <w:color w:val="auto"/>
                <w:kern w:val="0"/>
                <w:szCs w:val="21"/>
                <w:highlight w:val="none"/>
              </w:rPr>
              <w:t>评审因素</w:t>
            </w:r>
            <w:bookmarkEnd w:id="1210"/>
          </w:p>
        </w:tc>
        <w:tc>
          <w:tcPr>
            <w:tcW w:w="6288" w:type="dxa"/>
            <w:vAlign w:val="center"/>
          </w:tcPr>
          <w:p w14:paraId="1FAC4CB6">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851" w:type="dxa"/>
            <w:vAlign w:val="center"/>
          </w:tcPr>
          <w:p w14:paraId="16DFC2A1">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2353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dxa"/>
            <w:vAlign w:val="center"/>
          </w:tcPr>
          <w:p w14:paraId="205EE74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18" w:type="dxa"/>
            <w:vAlign w:val="center"/>
          </w:tcPr>
          <w:p w14:paraId="3CFF8DFD">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价格分</w:t>
            </w:r>
            <w:r>
              <w:rPr>
                <w:rFonts w:hint="eastAsia" w:ascii="宋体" w:hAnsi="宋体" w:eastAsia="宋体" w:cs="宋体"/>
                <w:color w:val="auto"/>
                <w:kern w:val="0"/>
                <w:szCs w:val="21"/>
                <w:highlight w:val="none"/>
                <w:lang w:val="en-US" w:eastAsia="zh-CN"/>
              </w:rPr>
              <w:t>30分</w:t>
            </w:r>
          </w:p>
        </w:tc>
        <w:tc>
          <w:tcPr>
            <w:tcW w:w="6288" w:type="dxa"/>
            <w:vAlign w:val="top"/>
          </w:tcPr>
          <w:p w14:paraId="0BB9D9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本项目为</w:t>
            </w:r>
            <w:r>
              <w:rPr>
                <w:rFonts w:hint="eastAsia" w:ascii="宋体" w:hAnsi="宋体" w:cs="宋体"/>
                <w:color w:val="auto"/>
                <w:sz w:val="21"/>
                <w:szCs w:val="21"/>
                <w:highlight w:val="none"/>
                <w:lang w:eastAsia="zh-CN"/>
              </w:rPr>
              <w:t>专门面向小微企业采购的项目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按照《政府采购促进中小企业发展管理办法》（财库〔2020〕46号）的规定</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highlight w:val="none"/>
                <w:lang w:eastAsia="zh-CN"/>
              </w:rPr>
              <w:t>不再执行价格评审优惠的扶持政策</w:t>
            </w:r>
            <w:r>
              <w:rPr>
                <w:rFonts w:hint="eastAsia" w:ascii="宋体" w:hAnsi="宋体" w:eastAsia="宋体" w:cs="宋体"/>
                <w:color w:val="auto"/>
                <w:sz w:val="21"/>
                <w:szCs w:val="21"/>
                <w:highlight w:val="none"/>
              </w:rPr>
              <w:t>。</w:t>
            </w:r>
          </w:p>
          <w:p w14:paraId="3E67E5E6">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2.评审价为供应商的最后报价，评审价只是作为评审时使用。最终成交供应商的成交金额等于最后报价（如有修正，以确认修正后的最后报价为准）</w:t>
            </w:r>
            <w:r>
              <w:rPr>
                <w:rFonts w:hint="eastAsia" w:ascii="宋体" w:hAnsi="宋体" w:eastAsia="宋体" w:cs="宋体"/>
                <w:color w:val="auto"/>
                <w:sz w:val="21"/>
                <w:szCs w:val="21"/>
                <w:highlight w:val="none"/>
                <w:lang w:eastAsia="zh-CN"/>
              </w:rPr>
              <w:t>。</w:t>
            </w:r>
          </w:p>
          <w:p w14:paraId="5C7EEA7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bookmarkStart w:id="1211" w:name="OLE_LINK43"/>
            <w:r>
              <w:rPr>
                <w:rFonts w:hint="eastAsia" w:ascii="宋体" w:hAnsi="宋体" w:eastAsia="宋体" w:cs="宋体"/>
                <w:color w:val="auto"/>
                <w:sz w:val="21"/>
                <w:szCs w:val="21"/>
                <w:highlight w:val="none"/>
              </w:rPr>
              <w:t>评审价</w:t>
            </w:r>
            <w:bookmarkEnd w:id="1211"/>
            <w:r>
              <w:rPr>
                <w:rFonts w:hint="eastAsia" w:ascii="宋体" w:hAnsi="宋体" w:eastAsia="宋体" w:cs="宋体"/>
                <w:color w:val="auto"/>
                <w:sz w:val="21"/>
                <w:szCs w:val="21"/>
                <w:highlight w:val="none"/>
              </w:rPr>
              <w:t>＝最后报价。</w:t>
            </w:r>
          </w:p>
          <w:p w14:paraId="4B352B42">
            <w:pPr>
              <w:pStyle w:val="12"/>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lang w:val="en-US" w:eastAsia="zh-CN"/>
              </w:rPr>
              <w:t>4.</w:t>
            </w:r>
            <w:r>
              <w:rPr>
                <w:rFonts w:hint="eastAsia" w:ascii="宋体" w:hAnsi="宋体" w:eastAsia="宋体" w:cs="宋体"/>
                <w:bCs/>
                <w:color w:val="auto"/>
                <w:kern w:val="2"/>
                <w:sz w:val="21"/>
                <w:highlight w:val="none"/>
              </w:rPr>
              <w:t>以进入比较与评价环节的最低的评审价为基准价，基准价得分为</w:t>
            </w:r>
            <w:r>
              <w:rPr>
                <w:rFonts w:hint="eastAsia" w:ascii="宋体" w:hAnsi="宋体" w:eastAsia="宋体" w:cs="宋体"/>
                <w:bCs/>
                <w:color w:val="auto"/>
                <w:kern w:val="2"/>
                <w:sz w:val="21"/>
                <w:highlight w:val="none"/>
                <w:u w:val="single"/>
                <w:lang w:val="en-US" w:eastAsia="zh-CN"/>
              </w:rPr>
              <w:t>30</w:t>
            </w:r>
            <w:r>
              <w:rPr>
                <w:rFonts w:hint="eastAsia" w:ascii="宋体" w:hAnsi="宋体" w:eastAsia="宋体" w:cs="宋体"/>
                <w:bCs/>
                <w:color w:val="auto"/>
                <w:kern w:val="2"/>
                <w:sz w:val="21"/>
                <w:szCs w:val="21"/>
                <w:highlight w:val="none"/>
                <w:u w:val="none"/>
              </w:rPr>
              <w:t>分</w:t>
            </w:r>
            <w:r>
              <w:rPr>
                <w:rFonts w:hint="eastAsia" w:ascii="宋体" w:hAnsi="宋体" w:eastAsia="宋体" w:cs="宋体"/>
                <w:bCs/>
                <w:color w:val="auto"/>
                <w:kern w:val="2"/>
                <w:sz w:val="21"/>
                <w:highlight w:val="none"/>
              </w:rPr>
              <w:t>。</w:t>
            </w:r>
          </w:p>
          <w:p w14:paraId="41D8E39F">
            <w:pPr>
              <w:pStyle w:val="12"/>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lang w:val="en-US" w:eastAsia="zh-CN"/>
              </w:rPr>
              <w:t>5.</w:t>
            </w:r>
            <w:r>
              <w:rPr>
                <w:rFonts w:hint="eastAsia" w:ascii="宋体" w:hAnsi="宋体" w:eastAsia="宋体" w:cs="宋体"/>
                <w:bCs/>
                <w:color w:val="auto"/>
                <w:kern w:val="2"/>
                <w:sz w:val="21"/>
                <w:highlight w:val="none"/>
              </w:rPr>
              <w:t>价格分计算公式：</w:t>
            </w:r>
          </w:p>
          <w:p w14:paraId="088B0BA9">
            <w:pPr>
              <w:pStyle w:val="12"/>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报价得分=（基准价/</w:t>
            </w:r>
            <w:r>
              <w:rPr>
                <w:rFonts w:hint="eastAsia" w:ascii="宋体" w:hAnsi="宋体" w:eastAsia="宋体" w:cs="宋体"/>
                <w:color w:val="auto"/>
                <w:sz w:val="21"/>
                <w:szCs w:val="21"/>
                <w:highlight w:val="none"/>
              </w:rPr>
              <w:t>评审价</w:t>
            </w:r>
            <w:r>
              <w:rPr>
                <w:rFonts w:hint="eastAsia" w:ascii="宋体" w:hAnsi="宋体" w:eastAsia="宋体" w:cs="宋体"/>
                <w:bCs/>
                <w:color w:val="auto"/>
                <w:kern w:val="2"/>
                <w:sz w:val="21"/>
                <w:highlight w:val="none"/>
              </w:rPr>
              <w:t>）×</w:t>
            </w:r>
            <w:r>
              <w:rPr>
                <w:rFonts w:hint="eastAsia" w:ascii="宋体" w:hAnsi="宋体" w:eastAsia="宋体" w:cs="宋体"/>
                <w:bCs/>
                <w:color w:val="auto"/>
                <w:kern w:val="2"/>
                <w:sz w:val="21"/>
                <w:highlight w:val="none"/>
                <w:u w:val="single"/>
                <w:lang w:val="en-US" w:eastAsia="zh-CN"/>
              </w:rPr>
              <w:t>30</w:t>
            </w:r>
            <w:r>
              <w:rPr>
                <w:rFonts w:hint="eastAsia" w:ascii="宋体" w:hAnsi="宋体" w:eastAsia="宋体" w:cs="宋体"/>
                <w:bCs/>
                <w:color w:val="auto"/>
                <w:kern w:val="2"/>
                <w:sz w:val="21"/>
                <w:highlight w:val="none"/>
                <w:u w:val="single"/>
              </w:rPr>
              <w:t xml:space="preserve"> </w:t>
            </w:r>
            <w:r>
              <w:rPr>
                <w:rFonts w:hint="eastAsia" w:ascii="宋体" w:hAnsi="宋体" w:eastAsia="宋体" w:cs="宋体"/>
                <w:bCs/>
                <w:color w:val="auto"/>
                <w:kern w:val="2"/>
                <w:sz w:val="21"/>
                <w:highlight w:val="none"/>
                <w:u w:val="none"/>
              </w:rPr>
              <w:t>分</w:t>
            </w:r>
          </w:p>
        </w:tc>
        <w:tc>
          <w:tcPr>
            <w:tcW w:w="851" w:type="dxa"/>
            <w:vAlign w:val="center"/>
          </w:tcPr>
          <w:p w14:paraId="7DA91DD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w:t>
            </w:r>
          </w:p>
        </w:tc>
      </w:tr>
      <w:tr w14:paraId="6C71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dxa"/>
            <w:vAlign w:val="center"/>
          </w:tcPr>
          <w:p w14:paraId="1245FD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2</w:t>
            </w:r>
          </w:p>
        </w:tc>
        <w:tc>
          <w:tcPr>
            <w:tcW w:w="1418" w:type="dxa"/>
            <w:vAlign w:val="center"/>
          </w:tcPr>
          <w:p w14:paraId="7BA8B8E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技术分</w:t>
            </w:r>
          </w:p>
        </w:tc>
        <w:tc>
          <w:tcPr>
            <w:tcW w:w="7139" w:type="dxa"/>
            <w:gridSpan w:val="2"/>
            <w:vAlign w:val="top"/>
          </w:tcPr>
          <w:p w14:paraId="37F8876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w:t>
            </w:r>
          </w:p>
        </w:tc>
      </w:tr>
      <w:tr w14:paraId="01A9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dxa"/>
            <w:shd w:val="clear" w:color="auto" w:fill="auto"/>
            <w:vAlign w:val="center"/>
          </w:tcPr>
          <w:p w14:paraId="044F3B55">
            <w:pPr>
              <w:adjustRightInd w:val="0"/>
              <w:spacing w:line="360" w:lineRule="auto"/>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Cs w:val="21"/>
                <w:highlight w:val="none"/>
              </w:rPr>
              <w:t>2.1</w:t>
            </w:r>
          </w:p>
        </w:tc>
        <w:tc>
          <w:tcPr>
            <w:tcW w:w="1418" w:type="dxa"/>
            <w:shd w:val="clear" w:color="auto" w:fill="auto"/>
            <w:vAlign w:val="center"/>
          </w:tcPr>
          <w:p w14:paraId="7FF47732">
            <w:pPr>
              <w:adjustRightInd w:val="0"/>
              <w:spacing w:line="360" w:lineRule="auto"/>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Cs w:val="21"/>
                <w:highlight w:val="none"/>
              </w:rPr>
              <w:t>项目实施方案分</w:t>
            </w:r>
            <w:r>
              <w:rPr>
                <w:rFonts w:hint="eastAsia" w:ascii="宋体" w:hAnsi="宋体" w:eastAsia="宋体" w:cs="宋体"/>
                <w:bCs/>
                <w:color w:val="auto"/>
                <w:kern w:val="0"/>
                <w:szCs w:val="21"/>
                <w:highlight w:val="none"/>
                <w:lang w:eastAsia="zh-CN"/>
              </w:rPr>
              <w:t>（满分</w:t>
            </w:r>
            <w:r>
              <w:rPr>
                <w:rFonts w:hint="eastAsia" w:ascii="宋体" w:hAnsi="宋体" w:cs="宋体"/>
                <w:bCs/>
                <w:color w:val="auto"/>
                <w:kern w:val="0"/>
                <w:szCs w:val="21"/>
                <w:highlight w:val="none"/>
                <w:lang w:val="en-US" w:eastAsia="zh-CN"/>
              </w:rPr>
              <w:t>65</w:t>
            </w:r>
            <w:r>
              <w:rPr>
                <w:rFonts w:hint="eastAsia" w:ascii="宋体" w:hAnsi="宋体" w:eastAsia="宋体" w:cs="宋体"/>
                <w:bCs/>
                <w:color w:val="auto"/>
                <w:kern w:val="0"/>
                <w:szCs w:val="21"/>
                <w:highlight w:val="none"/>
                <w:lang w:val="en-US" w:eastAsia="zh-CN"/>
              </w:rPr>
              <w:t>分</w:t>
            </w:r>
            <w:r>
              <w:rPr>
                <w:rFonts w:hint="eastAsia" w:ascii="宋体" w:hAnsi="宋体" w:eastAsia="宋体" w:cs="宋体"/>
                <w:bCs/>
                <w:color w:val="auto"/>
                <w:kern w:val="0"/>
                <w:szCs w:val="21"/>
                <w:highlight w:val="none"/>
                <w:lang w:eastAsia="zh-CN"/>
              </w:rPr>
              <w:t>）</w:t>
            </w:r>
          </w:p>
        </w:tc>
        <w:tc>
          <w:tcPr>
            <w:tcW w:w="6288" w:type="dxa"/>
            <w:shd w:val="clear" w:color="auto" w:fill="auto"/>
            <w:vAlign w:val="center"/>
          </w:tcPr>
          <w:p w14:paraId="10788729">
            <w:pPr>
              <w:pStyle w:val="12"/>
              <w:spacing w:line="360" w:lineRule="auto"/>
              <w:ind w:firstLine="420" w:firstLineChars="200"/>
              <w:rPr>
                <w:rFonts w:hint="eastAsia" w:ascii="宋体" w:hAnsi="宋体" w:eastAsia="宋体" w:cs="宋体"/>
                <w:b w:val="0"/>
                <w:bCs w:val="0"/>
                <w:color w:val="auto"/>
                <w:sz w:val="21"/>
                <w:highlight w:val="none"/>
              </w:rPr>
            </w:pPr>
            <w:r>
              <w:rPr>
                <w:rFonts w:hint="eastAsia" w:ascii="宋体" w:hAnsi="宋体" w:eastAsia="宋体" w:cs="宋体"/>
                <w:color w:val="auto"/>
                <w:sz w:val="21"/>
                <w:highlight w:val="none"/>
              </w:rPr>
              <w:t>由磋商小组</w:t>
            </w:r>
            <w:r>
              <w:rPr>
                <w:rFonts w:hint="eastAsia" w:ascii="宋体" w:hAnsi="宋体" w:eastAsia="宋体" w:cs="宋体"/>
                <w:color w:val="auto"/>
                <w:sz w:val="21"/>
                <w:highlight w:val="none"/>
                <w:lang w:val="en-US" w:eastAsia="zh-CN"/>
              </w:rPr>
              <w:t>各成员</w:t>
            </w:r>
            <w:r>
              <w:rPr>
                <w:rFonts w:hint="eastAsia" w:ascii="宋体" w:hAnsi="宋体" w:eastAsia="宋体" w:cs="宋体"/>
                <w:color w:val="auto"/>
                <w:sz w:val="21"/>
                <w:highlight w:val="none"/>
              </w:rPr>
              <w:t>根据</w:t>
            </w:r>
            <w:r>
              <w:rPr>
                <w:rFonts w:hint="eastAsia" w:ascii="宋体" w:hAnsi="宋体" w:eastAsia="宋体" w:cs="宋体"/>
                <w:b w:val="0"/>
                <w:bCs w:val="0"/>
                <w:color w:val="auto"/>
                <w:sz w:val="21"/>
                <w:highlight w:val="none"/>
              </w:rPr>
              <w:t>供应商提供的</w:t>
            </w:r>
            <w:r>
              <w:rPr>
                <w:rFonts w:hint="eastAsia" w:hAnsi="宋体" w:cs="宋体"/>
                <w:b w:val="0"/>
                <w:bCs w:val="0"/>
                <w:color w:val="auto"/>
                <w:sz w:val="21"/>
                <w:highlight w:val="none"/>
                <w:lang w:val="en-US" w:eastAsia="zh-CN"/>
              </w:rPr>
              <w:t>商务</w:t>
            </w:r>
            <w:r>
              <w:rPr>
                <w:rFonts w:hint="eastAsia" w:ascii="宋体" w:hAnsi="宋体" w:eastAsia="宋体" w:cs="宋体"/>
                <w:b w:val="0"/>
                <w:bCs w:val="0"/>
                <w:color w:val="auto"/>
                <w:sz w:val="21"/>
                <w:highlight w:val="none"/>
                <w:lang w:val="en-US" w:eastAsia="zh-CN"/>
              </w:rPr>
              <w:t>技术文件，就</w:t>
            </w:r>
            <w:r>
              <w:rPr>
                <w:rFonts w:hint="eastAsia" w:ascii="宋体" w:hAnsi="宋体" w:eastAsia="宋体" w:cs="宋体"/>
                <w:b w:val="0"/>
                <w:bCs w:val="0"/>
                <w:color w:val="auto"/>
                <w:highlight w:val="none"/>
              </w:rPr>
              <w:t>主要施工方法</w:t>
            </w:r>
            <w:r>
              <w:rPr>
                <w:rFonts w:hint="eastAsia" w:ascii="宋体" w:hAnsi="宋体" w:eastAsia="宋体" w:cs="宋体"/>
                <w:b w:val="0"/>
                <w:bCs w:val="0"/>
                <w:color w:val="auto"/>
                <w:sz w:val="21"/>
                <w:highlight w:val="none"/>
                <w:lang w:val="en-US" w:eastAsia="zh-CN"/>
              </w:rPr>
              <w:t>、</w:t>
            </w:r>
            <w:r>
              <w:rPr>
                <w:rFonts w:hint="eastAsia" w:ascii="宋体" w:hAnsi="宋体" w:eastAsia="宋体" w:cs="宋体"/>
                <w:b w:val="0"/>
                <w:bCs w:val="0"/>
                <w:color w:val="auto"/>
                <w:highlight w:val="none"/>
              </w:rPr>
              <w:t>主要物资计划、劳动力安排计划</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确保工程质量的技术组织措施</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确保安全生产的技术组织措施</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确保工期的技术组织措施</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确保文明施工的技术组织措施</w:t>
            </w:r>
            <w:r>
              <w:rPr>
                <w:rFonts w:hint="eastAsia" w:ascii="宋体" w:hAnsi="宋体" w:eastAsia="宋体" w:cs="宋体"/>
                <w:b w:val="0"/>
                <w:bCs w:val="0"/>
                <w:color w:val="auto"/>
                <w:sz w:val="21"/>
                <w:highlight w:val="none"/>
                <w:lang w:val="en-US" w:eastAsia="zh-CN"/>
              </w:rPr>
              <w:t>等内容</w:t>
            </w:r>
            <w:r>
              <w:rPr>
                <w:rFonts w:hint="eastAsia" w:ascii="宋体" w:hAnsi="宋体" w:eastAsia="宋体" w:cs="宋体"/>
                <w:b w:val="0"/>
                <w:bCs w:val="0"/>
                <w:color w:val="auto"/>
                <w:sz w:val="21"/>
                <w:highlight w:val="none"/>
              </w:rPr>
              <w:t>进行独立</w:t>
            </w:r>
            <w:r>
              <w:rPr>
                <w:rFonts w:hint="eastAsia" w:ascii="宋体" w:hAnsi="宋体" w:eastAsia="宋体" w:cs="宋体"/>
                <w:b w:val="0"/>
                <w:bCs w:val="0"/>
                <w:color w:val="auto"/>
                <w:sz w:val="21"/>
                <w:highlight w:val="none"/>
                <w:lang w:val="en-US" w:eastAsia="zh-CN"/>
              </w:rPr>
              <w:t>评审</w:t>
            </w:r>
            <w:r>
              <w:rPr>
                <w:rFonts w:hint="eastAsia" w:ascii="宋体" w:hAnsi="宋体" w:eastAsia="宋体" w:cs="宋体"/>
                <w:b w:val="0"/>
                <w:bCs w:val="0"/>
                <w:color w:val="auto"/>
                <w:sz w:val="21"/>
                <w:highlight w:val="none"/>
              </w:rPr>
              <w:t>打分。</w:t>
            </w:r>
          </w:p>
          <w:p w14:paraId="2BB8A75A">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注：未提供方案或不满足进档要求的不得分。</w:t>
            </w:r>
          </w:p>
          <w:p w14:paraId="2AE2C0FD">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主要施工方法方案分（满分15分）</w:t>
            </w:r>
          </w:p>
          <w:p w14:paraId="550D903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rPr>
              <w:t xml:space="preserve">分）：各主要分部施工方法符合项目需求，有施工技术方案。 </w:t>
            </w:r>
          </w:p>
          <w:p w14:paraId="48118F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7</w:t>
            </w:r>
            <w:r>
              <w:rPr>
                <w:rFonts w:hint="eastAsia" w:ascii="宋体" w:hAnsi="宋体" w:eastAsia="宋体" w:cs="宋体"/>
                <w:color w:val="auto"/>
                <w:highlight w:val="none"/>
              </w:rPr>
              <w:t>分）：各主要分部施工方法符合项目实际，有详</w:t>
            </w:r>
            <w:r>
              <w:rPr>
                <w:rFonts w:hint="eastAsia" w:ascii="宋体" w:hAnsi="宋体" w:cs="宋体"/>
                <w:color w:val="auto"/>
                <w:highlight w:val="none"/>
                <w:lang w:val="en-US" w:eastAsia="zh-CN"/>
              </w:rPr>
              <w:t>细</w:t>
            </w:r>
            <w:r>
              <w:rPr>
                <w:rFonts w:hint="eastAsia" w:ascii="宋体" w:hAnsi="宋体" w:eastAsia="宋体" w:cs="宋体"/>
                <w:color w:val="auto"/>
                <w:highlight w:val="none"/>
              </w:rPr>
              <w:t xml:space="preserve">的施工技术方案，有主要分部工程施工步骤、施工要点，能指导具体施工并确保安全。 </w:t>
            </w:r>
          </w:p>
          <w:p w14:paraId="692A4B33">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三档（1</w:t>
            </w:r>
            <w:r>
              <w:rPr>
                <w:rFonts w:hint="eastAsia" w:ascii="宋体" w:hAnsi="宋体" w:cs="宋体"/>
                <w:color w:val="auto"/>
                <w:highlight w:val="none"/>
                <w:lang w:val="en-US" w:eastAsia="zh-CN"/>
              </w:rPr>
              <w:t>1</w:t>
            </w:r>
            <w:r>
              <w:rPr>
                <w:rFonts w:hint="eastAsia" w:ascii="宋体" w:hAnsi="宋体" w:eastAsia="宋体" w:cs="宋体"/>
                <w:color w:val="auto"/>
                <w:highlight w:val="none"/>
              </w:rPr>
              <w:t>分）：各主要分部施工方法符合项目实际，有详</w:t>
            </w:r>
            <w:r>
              <w:rPr>
                <w:rFonts w:hint="eastAsia" w:ascii="宋体" w:hAnsi="宋体" w:cs="宋体"/>
                <w:color w:val="auto"/>
                <w:highlight w:val="none"/>
                <w:lang w:val="en-US" w:eastAsia="zh-CN"/>
              </w:rPr>
              <w:t>细</w:t>
            </w:r>
            <w:r>
              <w:rPr>
                <w:rFonts w:hint="eastAsia" w:ascii="宋体" w:hAnsi="宋体" w:eastAsia="宋体" w:cs="宋体"/>
                <w:color w:val="auto"/>
                <w:highlight w:val="none"/>
              </w:rPr>
              <w:t>的施工技术方案，</w:t>
            </w:r>
            <w:r>
              <w:rPr>
                <w:rFonts w:hint="eastAsia" w:ascii="宋体" w:hAnsi="宋体" w:cs="宋体"/>
                <w:color w:val="auto"/>
                <w:highlight w:val="none"/>
                <w:lang w:val="en-US" w:eastAsia="zh-CN"/>
              </w:rPr>
              <w:t>有</w:t>
            </w:r>
            <w:r>
              <w:rPr>
                <w:rFonts w:hint="eastAsia" w:ascii="宋体" w:hAnsi="宋体" w:eastAsia="宋体" w:cs="宋体"/>
                <w:color w:val="auto"/>
                <w:highlight w:val="none"/>
              </w:rPr>
              <w:t>主要分部工程施工工序、施工步骤、施工要点、施工工艺方案，施工准备、技术准备或交底、各工种施工配合方案具有</w:t>
            </w:r>
            <w:r>
              <w:rPr>
                <w:rFonts w:hint="eastAsia" w:ascii="宋体" w:hAnsi="宋体" w:cs="宋体"/>
                <w:color w:val="auto"/>
                <w:highlight w:val="none"/>
                <w:lang w:val="en-US" w:eastAsia="zh-CN"/>
              </w:rPr>
              <w:t>一定针对性</w:t>
            </w:r>
            <w:r>
              <w:rPr>
                <w:rFonts w:hint="eastAsia" w:ascii="宋体" w:hAnsi="宋体" w:eastAsia="宋体" w:cs="宋体"/>
                <w:color w:val="auto"/>
                <w:highlight w:val="none"/>
              </w:rPr>
              <w:t>，能指导具体施工并确保安全。</w:t>
            </w:r>
          </w:p>
          <w:p w14:paraId="6721CD01">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val="en-US" w:eastAsia="zh-CN"/>
              </w:rPr>
              <w:t>四</w:t>
            </w:r>
            <w:r>
              <w:rPr>
                <w:rFonts w:hint="eastAsia" w:ascii="宋体" w:hAnsi="宋体" w:eastAsia="宋体" w:cs="宋体"/>
                <w:color w:val="auto"/>
                <w:highlight w:val="none"/>
              </w:rPr>
              <w:t>档（15分）：各主要分部施工方法符合项目实际，有详</w:t>
            </w:r>
            <w:r>
              <w:rPr>
                <w:rFonts w:hint="eastAsia" w:ascii="宋体" w:hAnsi="宋体" w:cs="宋体"/>
                <w:color w:val="auto"/>
                <w:highlight w:val="none"/>
                <w:lang w:val="en-US" w:eastAsia="zh-CN"/>
              </w:rPr>
              <w:t>细</w:t>
            </w:r>
            <w:r>
              <w:rPr>
                <w:rFonts w:hint="eastAsia" w:ascii="宋体" w:hAnsi="宋体" w:eastAsia="宋体" w:cs="宋体"/>
                <w:color w:val="auto"/>
                <w:highlight w:val="none"/>
              </w:rPr>
              <w:t>的施工技术方案，</w:t>
            </w:r>
            <w:r>
              <w:rPr>
                <w:rFonts w:hint="eastAsia" w:ascii="宋体" w:hAnsi="宋体" w:cs="宋体"/>
                <w:color w:val="auto"/>
                <w:highlight w:val="none"/>
                <w:lang w:val="en-US" w:eastAsia="zh-CN"/>
              </w:rPr>
              <w:t>有</w:t>
            </w:r>
            <w:r>
              <w:rPr>
                <w:rFonts w:hint="eastAsia" w:ascii="宋体" w:hAnsi="宋体" w:eastAsia="宋体" w:cs="宋体"/>
                <w:color w:val="auto"/>
                <w:highlight w:val="none"/>
              </w:rPr>
              <w:t>主要分部工程施工工序、施工步骤、施工要点、施工工艺方案，施工准备、技术准备或交底、各工种施工配合方案具有针对性，能高效指导具体施工并确保安全。</w:t>
            </w:r>
          </w:p>
          <w:p w14:paraId="1C4AC692">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拟投入的主要物资计划、劳动力安排计划方案分（满分15分）</w:t>
            </w:r>
          </w:p>
          <w:p w14:paraId="2BC7A3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分）：投入的施工材料有组织计划，基本满足施工需要。各主要施工工序有劳动力安排计划，有各工种劳动力安排计划，基本能满足施工需要。</w:t>
            </w:r>
          </w:p>
          <w:p w14:paraId="10644D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7</w:t>
            </w:r>
            <w:r>
              <w:rPr>
                <w:rFonts w:hint="eastAsia" w:ascii="宋体" w:hAnsi="宋体" w:eastAsia="宋体" w:cs="宋体"/>
                <w:color w:val="auto"/>
                <w:highlight w:val="none"/>
              </w:rPr>
              <w:t>分）：投入的主要物资计划与进度计划呼应，满足施工需要，定量定点堆放物资。各主要施工工序有周密的劳动力安排计划，不窝工，有各工种劳动力安排计划，能满足施工需要。</w:t>
            </w:r>
          </w:p>
          <w:p w14:paraId="3273E264">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三档（1</w:t>
            </w:r>
            <w:r>
              <w:rPr>
                <w:rFonts w:hint="eastAsia" w:ascii="宋体" w:hAnsi="宋体" w:cs="宋体"/>
                <w:color w:val="auto"/>
                <w:highlight w:val="none"/>
                <w:lang w:val="en-US" w:eastAsia="zh-CN"/>
              </w:rPr>
              <w:t>1</w:t>
            </w:r>
            <w:r>
              <w:rPr>
                <w:rFonts w:hint="eastAsia" w:ascii="宋体" w:hAnsi="宋体" w:eastAsia="宋体" w:cs="宋体"/>
                <w:color w:val="auto"/>
                <w:highlight w:val="none"/>
              </w:rPr>
              <w:t>分）：投入的主要物资计划与进度计划呼应，满足施工需要，材料物资采购及供应保证措施，定量定点堆放物资。各主要施工工序有周密的劳动力安排计划，不窝工，各工种劳动力安排</w:t>
            </w:r>
            <w:r>
              <w:rPr>
                <w:rFonts w:hint="eastAsia" w:ascii="宋体" w:hAnsi="宋体" w:cs="宋体"/>
                <w:color w:val="auto"/>
                <w:highlight w:val="none"/>
                <w:lang w:val="en-US" w:eastAsia="zh-CN"/>
              </w:rPr>
              <w:t>合理</w:t>
            </w:r>
            <w:r>
              <w:rPr>
                <w:rFonts w:hint="eastAsia" w:ascii="宋体" w:hAnsi="宋体" w:eastAsia="宋体" w:cs="宋体"/>
                <w:color w:val="auto"/>
                <w:highlight w:val="none"/>
              </w:rPr>
              <w:t>，有劳动力保障措施，能满足施工需要。</w:t>
            </w:r>
          </w:p>
          <w:p w14:paraId="37CE25C6">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val="en-US" w:eastAsia="zh-CN"/>
              </w:rPr>
              <w:t>四</w:t>
            </w:r>
            <w:r>
              <w:rPr>
                <w:rFonts w:hint="eastAsia" w:ascii="宋体" w:hAnsi="宋体" w:eastAsia="宋体" w:cs="宋体"/>
                <w:color w:val="auto"/>
                <w:highlight w:val="none"/>
              </w:rPr>
              <w:t>档（15分）：投入的主要物资计划与进度计划呼应，满足施工需要，材料物资采购及供应保证措施，定量定点堆放物资。各主要施工工序有周密的劳动力安排计划，不窝工，各工种劳动力安排计划切实高效，有切实有效的劳动力保障措施，能满足施工需要且衔接得当。</w:t>
            </w:r>
          </w:p>
          <w:p w14:paraId="46A8A6F3">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highlight w:val="none"/>
              </w:rPr>
              <w:t>确保工程质量的技术组织措施方案分（满分1</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分）</w:t>
            </w:r>
          </w:p>
          <w:p w14:paraId="734A81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分）：有质量技术管理班子和制度，主要工序有质量技术保证措施和手段。</w:t>
            </w:r>
          </w:p>
          <w:p w14:paraId="64F0E0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分）：有质量技术管理班子和制度，主要工序有质量技术保证措施和手段，</w:t>
            </w:r>
            <w:r>
              <w:rPr>
                <w:rFonts w:hint="eastAsia" w:ascii="宋体" w:hAnsi="宋体" w:eastAsia="宋体" w:cs="宋体"/>
                <w:color w:val="auto"/>
                <w:szCs w:val="21"/>
                <w:highlight w:val="none"/>
                <w:lang w:eastAsia="zh-CN"/>
              </w:rPr>
              <w:t>质量管理</w:t>
            </w:r>
            <w:r>
              <w:rPr>
                <w:rFonts w:hint="eastAsia" w:ascii="宋体" w:hAnsi="宋体" w:eastAsia="宋体" w:cs="宋体"/>
                <w:color w:val="auto"/>
                <w:szCs w:val="21"/>
                <w:highlight w:val="none"/>
              </w:rPr>
              <w:t>体系</w:t>
            </w:r>
            <w:r>
              <w:rPr>
                <w:rFonts w:hint="eastAsia" w:ascii="宋体" w:hAnsi="宋体" w:eastAsia="宋体" w:cs="宋体"/>
                <w:color w:val="auto"/>
                <w:szCs w:val="21"/>
                <w:highlight w:val="none"/>
                <w:lang w:val="en-US" w:eastAsia="zh-CN"/>
              </w:rPr>
              <w:t>内容详细</w:t>
            </w:r>
            <w:r>
              <w:rPr>
                <w:rFonts w:hint="eastAsia" w:ascii="宋体" w:hAnsi="宋体" w:eastAsia="宋体" w:cs="宋体"/>
                <w:color w:val="auto"/>
                <w:szCs w:val="21"/>
                <w:highlight w:val="none"/>
              </w:rPr>
              <w:t>，有施工准备阶段和施工过程质量控制措施，能保证技术质量，满足采购需求的质量要求及验收规范要求。</w:t>
            </w:r>
          </w:p>
          <w:p w14:paraId="2043D4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分）：有质量技术管理班子和制度，明确管理班子质量责任，主要工序有质量技术保证措施和手段，</w:t>
            </w:r>
            <w:r>
              <w:rPr>
                <w:rFonts w:hint="eastAsia" w:ascii="宋体" w:hAnsi="宋体" w:eastAsia="宋体" w:cs="宋体"/>
                <w:color w:val="auto"/>
                <w:szCs w:val="21"/>
                <w:highlight w:val="none"/>
                <w:lang w:eastAsia="zh-CN"/>
              </w:rPr>
              <w:t>质量管理</w:t>
            </w:r>
            <w:r>
              <w:rPr>
                <w:rFonts w:hint="eastAsia" w:ascii="宋体" w:hAnsi="宋体" w:eastAsia="宋体" w:cs="宋体"/>
                <w:color w:val="auto"/>
                <w:szCs w:val="21"/>
                <w:highlight w:val="none"/>
              </w:rPr>
              <w:t>体系</w:t>
            </w:r>
            <w:r>
              <w:rPr>
                <w:rFonts w:hint="eastAsia" w:ascii="宋体" w:hAnsi="宋体" w:eastAsia="宋体" w:cs="宋体"/>
                <w:color w:val="auto"/>
                <w:szCs w:val="21"/>
                <w:highlight w:val="none"/>
                <w:lang w:val="en-US" w:eastAsia="zh-CN"/>
              </w:rPr>
              <w:t>内容详细、清晰</w:t>
            </w:r>
            <w:r>
              <w:rPr>
                <w:rFonts w:hint="eastAsia" w:ascii="宋体" w:hAnsi="宋体" w:eastAsia="宋体" w:cs="宋体"/>
                <w:color w:val="auto"/>
                <w:szCs w:val="21"/>
                <w:highlight w:val="none"/>
              </w:rPr>
              <w:t>，有施工准备阶段、施工过程、竣工验收方案，能有效保证技术质量，达到采购需求的质量要求及验收规范要求。</w:t>
            </w:r>
          </w:p>
          <w:p w14:paraId="4FA168E7">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档（</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分）：有专门的质量技术管理班子和制度，明确管理班子质量责任，主要工序有质量技术保证措施和手段，</w:t>
            </w:r>
            <w:r>
              <w:rPr>
                <w:rFonts w:hint="eastAsia" w:ascii="宋体" w:hAnsi="宋体" w:eastAsia="宋体" w:cs="宋体"/>
                <w:color w:val="auto"/>
                <w:szCs w:val="21"/>
                <w:highlight w:val="none"/>
                <w:lang w:eastAsia="zh-CN"/>
              </w:rPr>
              <w:t>质量管理</w:t>
            </w:r>
            <w:r>
              <w:rPr>
                <w:rFonts w:hint="eastAsia" w:ascii="宋体" w:hAnsi="宋体" w:eastAsia="宋体" w:cs="宋体"/>
                <w:color w:val="auto"/>
                <w:szCs w:val="21"/>
                <w:highlight w:val="none"/>
              </w:rPr>
              <w:t>体系</w:t>
            </w:r>
            <w:r>
              <w:rPr>
                <w:rFonts w:hint="eastAsia" w:ascii="宋体" w:hAnsi="宋体" w:eastAsia="宋体" w:cs="宋体"/>
                <w:color w:val="auto"/>
                <w:szCs w:val="21"/>
                <w:highlight w:val="none"/>
                <w:lang w:val="en-US" w:eastAsia="zh-CN"/>
              </w:rPr>
              <w:t>内容详细、清晰</w:t>
            </w:r>
            <w:r>
              <w:rPr>
                <w:rFonts w:hint="eastAsia" w:ascii="宋体" w:hAnsi="宋体" w:eastAsia="宋体" w:cs="宋体"/>
                <w:color w:val="auto"/>
                <w:szCs w:val="21"/>
                <w:highlight w:val="none"/>
              </w:rPr>
              <w:t>，有施工准备阶段、施工过程、竣工验收及交工阶段质量控制措施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隐蔽工程检查制度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有施工质量验收制度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工程质量保修方案，能有效保证技术质量，达到承诺的质量标准及验收规范要求。</w:t>
            </w:r>
          </w:p>
          <w:p w14:paraId="6D5272B1">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highlight w:val="none"/>
              </w:rPr>
              <w:t>确保安全生产的技术组织措施方案分（满分10分）</w:t>
            </w:r>
          </w:p>
          <w:p w14:paraId="5C8BDE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eastAsia="宋体" w:cs="宋体"/>
                <w:color w:val="auto"/>
                <w:szCs w:val="21"/>
                <w:highlight w:val="none"/>
              </w:rPr>
              <w:t>有专门的安全管理人员和制度，有各道工序安全技术措施。</w:t>
            </w:r>
          </w:p>
          <w:p w14:paraId="703A04B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eastAsia="宋体" w:cs="宋体"/>
                <w:color w:val="auto"/>
                <w:szCs w:val="21"/>
                <w:highlight w:val="none"/>
              </w:rPr>
              <w:t>有专门的安全管理人员和制度，有各道工序安全技术措施，确保</w:t>
            </w:r>
            <w:r>
              <w:rPr>
                <w:rFonts w:hint="eastAsia" w:ascii="宋体" w:hAnsi="宋体" w:eastAsia="宋体" w:cs="宋体"/>
                <w:bCs/>
                <w:color w:val="auto"/>
                <w:highlight w:val="none"/>
              </w:rPr>
              <w:t>工程质量的技术组织措施符合实际且满足有关安全技术标准要求。有现场防火、应急救援、社会治安安全措施。</w:t>
            </w:r>
          </w:p>
          <w:p w14:paraId="19D25F42">
            <w:pPr>
              <w:widowControl/>
              <w:spacing w:line="360" w:lineRule="auto"/>
              <w:ind w:firstLine="420" w:firstLineChars="200"/>
              <w:jc w:val="left"/>
              <w:rPr>
                <w:rFonts w:hint="eastAsia" w:ascii="宋体" w:hAnsi="宋体" w:eastAsia="宋体" w:cs="宋体"/>
                <w:bCs/>
                <w:color w:val="auto"/>
                <w:highlight w:val="none"/>
              </w:rPr>
            </w:pPr>
            <w:r>
              <w:rPr>
                <w:rFonts w:hint="eastAsia" w:ascii="宋体" w:hAnsi="宋体" w:eastAsia="宋体" w:cs="宋体"/>
                <w:bCs/>
                <w:color w:val="auto"/>
                <w:highlight w:val="none"/>
              </w:rPr>
              <w:t>三档（</w:t>
            </w:r>
            <w:r>
              <w:rPr>
                <w:rFonts w:hint="eastAsia" w:ascii="宋体" w:hAnsi="宋体" w:cs="宋体"/>
                <w:bCs/>
                <w:color w:val="auto"/>
                <w:highlight w:val="none"/>
                <w:lang w:val="en-US" w:eastAsia="zh-CN"/>
              </w:rPr>
              <w:t>8</w:t>
            </w:r>
            <w:r>
              <w:rPr>
                <w:rFonts w:hint="eastAsia" w:ascii="宋体" w:hAnsi="宋体" w:eastAsia="宋体" w:cs="宋体"/>
                <w:bCs/>
                <w:color w:val="auto"/>
                <w:highlight w:val="none"/>
              </w:rPr>
              <w:t>分）：有专门的安全管理人员和制度，各道工序安全技术措施，确保工程质量的技术组织措施切合实际且优于有关安全技术标准要求。有现场防火、应急救援、社会治安安全措施。有安全生产责任、安全生产教育培训制度、施工现场临时用电方案及安全用电措施、安全管理目标。</w:t>
            </w:r>
          </w:p>
          <w:p w14:paraId="697FF267">
            <w:pPr>
              <w:widowControl/>
              <w:spacing w:line="360" w:lineRule="auto"/>
              <w:ind w:firstLine="420" w:firstLineChars="200"/>
              <w:jc w:val="left"/>
              <w:rPr>
                <w:rFonts w:hint="eastAsia" w:ascii="宋体" w:hAnsi="宋体" w:eastAsia="宋体" w:cs="宋体"/>
                <w:bCs/>
                <w:color w:val="auto"/>
                <w:highlight w:val="none"/>
              </w:rPr>
            </w:pPr>
            <w:r>
              <w:rPr>
                <w:rFonts w:hint="eastAsia" w:ascii="宋体" w:hAnsi="宋体" w:cs="宋体"/>
                <w:bCs/>
                <w:color w:val="auto"/>
                <w:highlight w:val="none"/>
                <w:lang w:val="en-US" w:eastAsia="zh-CN"/>
              </w:rPr>
              <w:t>四</w:t>
            </w:r>
            <w:r>
              <w:rPr>
                <w:rFonts w:hint="eastAsia" w:ascii="宋体" w:hAnsi="宋体" w:eastAsia="宋体" w:cs="宋体"/>
                <w:bCs/>
                <w:color w:val="auto"/>
                <w:highlight w:val="none"/>
              </w:rPr>
              <w:t>档（10分）：有专门的安全管理人员和制度，各道工序安全技术措施具有针对性，确保工程质量的技术组织措施切合实际且优于有关安全技术标准要求。有</w:t>
            </w:r>
            <w:r>
              <w:rPr>
                <w:rFonts w:hint="eastAsia" w:ascii="宋体" w:hAnsi="宋体" w:cs="宋体"/>
                <w:bCs/>
                <w:color w:val="auto"/>
                <w:highlight w:val="none"/>
                <w:lang w:val="en-US" w:eastAsia="zh-CN"/>
              </w:rPr>
              <w:t>有保障性</w:t>
            </w:r>
            <w:r>
              <w:rPr>
                <w:rFonts w:hint="eastAsia" w:ascii="宋体" w:hAnsi="宋体" w:eastAsia="宋体" w:cs="宋体"/>
                <w:bCs/>
                <w:color w:val="auto"/>
                <w:highlight w:val="none"/>
              </w:rPr>
              <w:t>的现场防火、应急救援、社会治安安全措施。有安全生产责任、安全生产教育培训制度、施工现场临时用电方案及安全用电措施、安全管理目标。</w:t>
            </w:r>
          </w:p>
          <w:p w14:paraId="03AF8492">
            <w:pPr>
              <w:widowControl/>
              <w:spacing w:line="360" w:lineRule="auto"/>
              <w:ind w:firstLine="422"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highlight w:val="none"/>
              </w:rPr>
              <w:t>确保工期的技术组织措施方案</w:t>
            </w:r>
            <w:r>
              <w:rPr>
                <w:rFonts w:hint="eastAsia" w:ascii="宋体" w:hAnsi="宋体" w:eastAsia="宋体" w:cs="宋体"/>
                <w:b/>
                <w:bCs/>
                <w:color w:val="auto"/>
                <w:szCs w:val="21"/>
                <w:highlight w:val="none"/>
                <w:lang w:eastAsia="zh-CN"/>
              </w:rPr>
              <w:t>（满分</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eastAsia="zh-CN"/>
              </w:rPr>
              <w:t>分）</w:t>
            </w:r>
          </w:p>
          <w:p w14:paraId="687A59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2</w:t>
            </w:r>
            <w:r>
              <w:rPr>
                <w:rFonts w:hint="eastAsia" w:ascii="宋体" w:hAnsi="宋体" w:eastAsia="宋体" w:cs="宋体"/>
                <w:color w:val="auto"/>
                <w:highlight w:val="none"/>
              </w:rPr>
              <w:t>分）：在施工工艺、施工方法、材料选用、劳动力安排、技术方面有保证工期的措施。有控制工期的施工进度计划。</w:t>
            </w:r>
          </w:p>
          <w:p w14:paraId="04CE81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4</w:t>
            </w:r>
            <w:r>
              <w:rPr>
                <w:rFonts w:hint="eastAsia" w:ascii="宋体" w:hAnsi="宋体" w:eastAsia="宋体" w:cs="宋体"/>
                <w:color w:val="auto"/>
                <w:highlight w:val="none"/>
              </w:rPr>
              <w:t>分）：在施工工艺、施工方法、材料选用、劳动力安排、技术方面有保证工期的措施。有控制工期的施工进度计划。有施工总进度表或施工网络图。</w:t>
            </w:r>
          </w:p>
          <w:p w14:paraId="3014D677">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cs="宋体"/>
                <w:color w:val="auto"/>
                <w:highlight w:val="none"/>
                <w:lang w:val="en-US" w:eastAsia="zh-CN"/>
              </w:rPr>
              <w:t>6</w:t>
            </w:r>
            <w:r>
              <w:rPr>
                <w:rFonts w:hint="eastAsia" w:ascii="宋体" w:hAnsi="宋体" w:eastAsia="宋体" w:cs="宋体"/>
                <w:color w:val="auto"/>
                <w:highlight w:val="none"/>
              </w:rPr>
              <w:t>分）：在施工工艺、施工方法、材料选用、劳动力安排、技术方面有保证工期的措施切实符合项目需求。有控制工期的施工进度计划</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施工进度计划的执行与控制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进度偏差管理措施。有施工总进度表或施工网络图。</w:t>
            </w:r>
          </w:p>
          <w:p w14:paraId="09C711EF">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val="en-US" w:eastAsia="zh-CN"/>
              </w:rPr>
              <w:t>四</w:t>
            </w:r>
            <w:r>
              <w:rPr>
                <w:rFonts w:hint="eastAsia" w:ascii="宋体" w:hAnsi="宋体" w:eastAsia="宋体" w:cs="宋体"/>
                <w:color w:val="auto"/>
                <w:highlight w:val="none"/>
              </w:rPr>
              <w:t>档（</w:t>
            </w:r>
            <w:r>
              <w:rPr>
                <w:rFonts w:hint="eastAsia" w:ascii="宋体" w:hAnsi="宋体" w:cs="宋体"/>
                <w:color w:val="auto"/>
                <w:highlight w:val="none"/>
                <w:lang w:val="en-US" w:eastAsia="zh-CN"/>
              </w:rPr>
              <w:t>8</w:t>
            </w:r>
            <w:r>
              <w:rPr>
                <w:rFonts w:hint="eastAsia" w:ascii="宋体" w:hAnsi="宋体" w:eastAsia="宋体" w:cs="宋体"/>
                <w:color w:val="auto"/>
                <w:highlight w:val="none"/>
              </w:rPr>
              <w:t>分）：在施工工艺、施工方法、材料选用、劳动力安排、技术方面有保证工期的措施切实符合项目需求，具有针对性。有控制工期的施工进度计划</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施工进度计划的执行与控制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进度偏差管理措施。有施工总进度表或施工网络图，各项计划图表编制</w:t>
            </w:r>
            <w:r>
              <w:rPr>
                <w:rFonts w:hint="eastAsia" w:ascii="宋体" w:hAnsi="宋体" w:eastAsia="宋体" w:cs="宋体"/>
                <w:color w:val="auto"/>
                <w:highlight w:val="none"/>
                <w:lang w:val="en-US" w:eastAsia="zh-CN"/>
              </w:rPr>
              <w:t>详细</w:t>
            </w:r>
            <w:r>
              <w:rPr>
                <w:rFonts w:hint="eastAsia" w:ascii="宋体" w:hAnsi="宋体" w:eastAsia="宋体" w:cs="宋体"/>
                <w:color w:val="auto"/>
                <w:highlight w:val="none"/>
              </w:rPr>
              <w:t>。</w:t>
            </w:r>
          </w:p>
          <w:p w14:paraId="4298EBE4">
            <w:pPr>
              <w:widowControl/>
              <w:spacing w:line="360" w:lineRule="auto"/>
              <w:ind w:firstLine="422"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highlight w:val="none"/>
              </w:rPr>
              <w:t>确保文明施工的技术组织措施方案分</w:t>
            </w:r>
            <w:r>
              <w:rPr>
                <w:rFonts w:hint="eastAsia" w:ascii="宋体" w:hAnsi="宋体" w:eastAsia="宋体" w:cs="宋体"/>
                <w:b/>
                <w:bCs/>
                <w:color w:val="auto"/>
                <w:szCs w:val="21"/>
                <w:highlight w:val="none"/>
                <w:lang w:eastAsia="zh-CN"/>
              </w:rPr>
              <w:t>（满分</w:t>
            </w: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lang w:eastAsia="zh-CN"/>
              </w:rPr>
              <w:t>分）</w:t>
            </w:r>
          </w:p>
          <w:p w14:paraId="6F99FB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1</w:t>
            </w:r>
            <w:r>
              <w:rPr>
                <w:rFonts w:hint="eastAsia" w:ascii="宋体" w:hAnsi="宋体" w:eastAsia="宋体" w:cs="宋体"/>
                <w:color w:val="auto"/>
                <w:highlight w:val="none"/>
              </w:rPr>
              <w:t>分）：文明施工方案达到《建筑施工安全检查标准》（JGJ59-2011）合格标准。</w:t>
            </w:r>
          </w:p>
          <w:p w14:paraId="4DB4E7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分）：有现场文明施工措施，达到 《建筑施工安全检查标准》 （JGJ59-2011） 合格标准并符合《广西壮族自治区建筑工程文明施工导则》要求。</w:t>
            </w:r>
          </w:p>
          <w:p w14:paraId="0C7C5071">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cs="宋体"/>
                <w:color w:val="auto"/>
                <w:highlight w:val="none"/>
                <w:lang w:val="en-US" w:eastAsia="zh-CN"/>
              </w:rPr>
              <w:t>5</w:t>
            </w:r>
            <w:r>
              <w:rPr>
                <w:rFonts w:hint="eastAsia" w:ascii="宋体" w:hAnsi="宋体" w:eastAsia="宋体" w:cs="宋体"/>
                <w:color w:val="auto"/>
                <w:highlight w:val="none"/>
              </w:rPr>
              <w:t>分）：针对本工程项目特点，有现场文明施工、环境保护措施，且措施内容达到《建筑施工安全检查标准》（JGJ59-2011）合格标准并符合《广西壮族自治区建筑工程文明施工导则》要求。各项措施切合项目需求。</w:t>
            </w:r>
          </w:p>
          <w:p w14:paraId="663E31E9">
            <w:pPr>
              <w:widowControl/>
              <w:spacing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四</w:t>
            </w:r>
            <w:r>
              <w:rPr>
                <w:rFonts w:hint="eastAsia" w:ascii="宋体" w:hAnsi="宋体" w:eastAsia="宋体" w:cs="宋体"/>
                <w:color w:val="auto"/>
                <w:highlight w:val="none"/>
              </w:rPr>
              <w:t>档（</w:t>
            </w:r>
            <w:r>
              <w:rPr>
                <w:rFonts w:hint="eastAsia" w:ascii="宋体" w:hAnsi="宋体" w:cs="宋体"/>
                <w:color w:val="auto"/>
                <w:highlight w:val="none"/>
                <w:lang w:val="en-US" w:eastAsia="zh-CN"/>
              </w:rPr>
              <w:t>7</w:t>
            </w:r>
            <w:r>
              <w:rPr>
                <w:rFonts w:hint="eastAsia" w:ascii="宋体" w:hAnsi="宋体" w:eastAsia="宋体" w:cs="宋体"/>
                <w:color w:val="auto"/>
                <w:highlight w:val="none"/>
              </w:rPr>
              <w:t>分）：针对本工程项目特点，有现场文明施工、环境保护措施，且措施内容达到《建筑施工安全检查标准》（JGJ59-2011）合格标准并符合《广西壮族自治区建筑工程文明施工导则》要求。各项措施切合项目需求，具有针对性。</w:t>
            </w:r>
          </w:p>
        </w:tc>
        <w:tc>
          <w:tcPr>
            <w:tcW w:w="851" w:type="dxa"/>
            <w:shd w:val="clear" w:color="auto" w:fill="auto"/>
            <w:vAlign w:val="center"/>
          </w:tcPr>
          <w:p w14:paraId="27FB5E6A">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65</w:t>
            </w:r>
            <w:r>
              <w:rPr>
                <w:rFonts w:hint="eastAsia" w:ascii="宋体" w:hAnsi="宋体" w:eastAsia="宋体" w:cs="宋体"/>
                <w:color w:val="auto"/>
                <w:kern w:val="0"/>
                <w:szCs w:val="21"/>
                <w:highlight w:val="none"/>
                <w:lang w:eastAsia="zh-CN"/>
              </w:rPr>
              <w:t>分</w:t>
            </w:r>
          </w:p>
        </w:tc>
      </w:tr>
      <w:tr w14:paraId="26C5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33" w:type="dxa"/>
            <w:vAlign w:val="center"/>
          </w:tcPr>
          <w:p w14:paraId="11430320">
            <w:pPr>
              <w:adjustRightInd w:val="0"/>
              <w:spacing w:line="360" w:lineRule="auto"/>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w:t>
            </w:r>
          </w:p>
        </w:tc>
        <w:tc>
          <w:tcPr>
            <w:tcW w:w="1418" w:type="dxa"/>
            <w:vAlign w:val="center"/>
          </w:tcPr>
          <w:p w14:paraId="4C2A2A7A">
            <w:pPr>
              <w:adjustRightInd w:val="0"/>
              <w:spacing w:line="360" w:lineRule="auto"/>
              <w:jc w:val="center"/>
              <w:textAlignment w:val="baseline"/>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lang w:eastAsia="zh-CN"/>
              </w:rPr>
              <w:t>业绩分（</w:t>
            </w:r>
            <w:r>
              <w:rPr>
                <w:rFonts w:hint="eastAsia" w:ascii="宋体" w:hAnsi="宋体" w:cs="宋体"/>
                <w:bCs/>
                <w:color w:val="auto"/>
                <w:kern w:val="0"/>
                <w:szCs w:val="21"/>
                <w:highlight w:val="none"/>
                <w:lang w:val="en-US" w:eastAsia="zh-CN"/>
              </w:rPr>
              <w:t>5分</w:t>
            </w:r>
            <w:r>
              <w:rPr>
                <w:rFonts w:hint="eastAsia" w:ascii="宋体" w:hAnsi="宋体" w:cs="宋体"/>
                <w:bCs/>
                <w:color w:val="auto"/>
                <w:kern w:val="0"/>
                <w:szCs w:val="21"/>
                <w:highlight w:val="none"/>
                <w:lang w:eastAsia="zh-CN"/>
              </w:rPr>
              <w:t>）</w:t>
            </w:r>
          </w:p>
        </w:tc>
        <w:tc>
          <w:tcPr>
            <w:tcW w:w="6288" w:type="dxa"/>
            <w:vAlign w:val="center"/>
          </w:tcPr>
          <w:p w14:paraId="5213EE97">
            <w:pPr>
              <w:widowControl/>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供应商提供2022年9月至提交响应文件截止之日，完成过且竣工验收合格的建筑工程项目的业绩，每有一个得</w:t>
            </w:r>
            <w:r>
              <w:rPr>
                <w:rFonts w:hint="eastAsia" w:ascii="宋体" w:hAnsi="宋体" w:cs="宋体"/>
                <w:color w:val="auto"/>
                <w:highlight w:val="none"/>
                <w:lang w:val="en-US" w:eastAsia="zh-CN"/>
              </w:rPr>
              <w:t>2.5</w:t>
            </w:r>
            <w:r>
              <w:rPr>
                <w:rFonts w:hint="eastAsia" w:ascii="宋体" w:hAnsi="宋体" w:eastAsia="宋体" w:cs="宋体"/>
                <w:color w:val="auto"/>
                <w:highlight w:val="none"/>
                <w:lang w:eastAsia="zh-CN"/>
              </w:rPr>
              <w:t>分，此项满分</w:t>
            </w:r>
            <w:r>
              <w:rPr>
                <w:rFonts w:hint="eastAsia" w:ascii="宋体" w:hAnsi="宋体" w:cs="宋体"/>
                <w:color w:val="auto"/>
                <w:highlight w:val="none"/>
                <w:lang w:val="en-US" w:eastAsia="zh-CN"/>
              </w:rPr>
              <w:t>5</w:t>
            </w:r>
            <w:r>
              <w:rPr>
                <w:rFonts w:hint="eastAsia" w:ascii="宋体" w:hAnsi="宋体" w:eastAsia="宋体" w:cs="宋体"/>
                <w:color w:val="auto"/>
                <w:highlight w:val="none"/>
                <w:lang w:eastAsia="zh-CN"/>
              </w:rPr>
              <w:t>分（响应文件需提供项目合同关键页复印件及竣工验收报告复印件并加盖单位电子公章，否则不得分）。</w:t>
            </w:r>
          </w:p>
        </w:tc>
        <w:tc>
          <w:tcPr>
            <w:tcW w:w="851" w:type="dxa"/>
            <w:vAlign w:val="center"/>
          </w:tcPr>
          <w:p w14:paraId="0350653B">
            <w:pPr>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0EBA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239" w:type="dxa"/>
            <w:gridSpan w:val="3"/>
            <w:vAlign w:val="top"/>
          </w:tcPr>
          <w:p w14:paraId="4E138A23">
            <w:pPr>
              <w:pStyle w:val="12"/>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总得分＝1＋2</w:t>
            </w:r>
          </w:p>
        </w:tc>
        <w:tc>
          <w:tcPr>
            <w:tcW w:w="851" w:type="dxa"/>
            <w:vAlign w:val="center"/>
          </w:tcPr>
          <w:p w14:paraId="22400B14">
            <w:pPr>
              <w:widowControl/>
              <w:spacing w:line="360" w:lineRule="auto"/>
              <w:jc w:val="center"/>
              <w:rPr>
                <w:rFonts w:hint="eastAsia" w:ascii="宋体" w:hAnsi="宋体" w:eastAsia="宋体" w:cs="宋体"/>
                <w:color w:val="auto"/>
                <w:kern w:val="0"/>
                <w:szCs w:val="21"/>
                <w:highlight w:val="none"/>
              </w:rPr>
            </w:pPr>
          </w:p>
        </w:tc>
      </w:tr>
    </w:tbl>
    <w:p w14:paraId="6B64EB62">
      <w:pPr>
        <w:spacing w:line="480" w:lineRule="auto"/>
        <w:ind w:firstLine="420" w:firstLineChars="200"/>
        <w:rPr>
          <w:rFonts w:hint="eastAsia" w:ascii="宋体" w:hAnsi="宋体" w:eastAsia="宋体" w:cs="宋体"/>
          <w:color w:val="auto"/>
          <w:szCs w:val="21"/>
          <w:highlight w:val="none"/>
        </w:rPr>
      </w:pPr>
    </w:p>
    <w:p w14:paraId="2DE08132">
      <w:pPr>
        <w:spacing w:line="480" w:lineRule="auto"/>
        <w:ind w:firstLine="420" w:firstLineChars="200"/>
        <w:rPr>
          <w:rFonts w:hint="eastAsia"/>
          <w:b/>
          <w:bCs/>
          <w:color w:val="auto"/>
          <w:sz w:val="32"/>
          <w:szCs w:val="32"/>
          <w:highlight w:val="none"/>
        </w:rPr>
      </w:pPr>
      <w:r>
        <w:rPr>
          <w:rFonts w:hint="eastAsia" w:ascii="宋体" w:hAnsi="宋体" w:eastAsia="宋体" w:cs="宋体"/>
          <w:color w:val="auto"/>
          <w:szCs w:val="21"/>
          <w:highlight w:val="none"/>
        </w:rPr>
        <w:t>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w:t>
      </w:r>
      <w:r>
        <w:rPr>
          <w:rFonts w:hint="eastAsia" w:ascii="宋体" w:hAnsi="宋体" w:cs="宋体"/>
          <w:color w:val="auto"/>
          <w:kern w:val="0"/>
          <w:szCs w:val="21"/>
          <w:highlight w:val="none"/>
          <w:lang w:val="en-US" w:eastAsia="zh-CN"/>
        </w:rPr>
        <w:t>5.3</w:t>
      </w:r>
      <w:r>
        <w:rPr>
          <w:rFonts w:hint="eastAsia" w:ascii="宋体" w:hAnsi="宋体" w:eastAsia="宋体" w:cs="宋体"/>
          <w:color w:val="auto"/>
          <w:kern w:val="0"/>
          <w:szCs w:val="21"/>
          <w:highlight w:val="none"/>
        </w:rPr>
        <w:t>条情形的，可以推荐2家成交候选供应商。</w:t>
      </w:r>
      <w:r>
        <w:rPr>
          <w:rFonts w:hint="eastAsia" w:ascii="宋体" w:hAnsi="宋体" w:eastAsia="宋体" w:cs="宋体"/>
          <w:bCs/>
          <w:color w:val="auto"/>
          <w:szCs w:val="21"/>
          <w:highlight w:val="none"/>
        </w:rPr>
        <w:t>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eastAsia="宋体" w:cs="宋体"/>
          <w:color w:val="auto"/>
          <w:highlight w:val="none"/>
          <w:lang w:eastAsia="zh-CN"/>
        </w:rPr>
        <w:t>承</w:t>
      </w:r>
      <w:bookmarkStart w:id="1212" w:name="OLE_LINK49"/>
      <w:r>
        <w:rPr>
          <w:rFonts w:hint="eastAsia" w:ascii="宋体" w:hAnsi="宋体" w:eastAsia="宋体" w:cs="宋体"/>
          <w:color w:val="auto"/>
          <w:highlight w:val="none"/>
          <w:lang w:eastAsia="zh-CN"/>
        </w:rPr>
        <w:t>诺工期</w:t>
      </w:r>
      <w:r>
        <w:rPr>
          <w:rFonts w:hint="eastAsia" w:ascii="宋体" w:hAnsi="宋体" w:eastAsia="宋体" w:cs="宋体"/>
          <w:bCs/>
          <w:color w:val="auto"/>
          <w:szCs w:val="21"/>
          <w:highlight w:val="none"/>
          <w:lang w:eastAsia="zh-CN"/>
        </w:rPr>
        <w:t>优劣</w:t>
      </w:r>
      <w:bookmarkEnd w:id="1212"/>
      <w:r>
        <w:rPr>
          <w:rFonts w:hint="eastAsia" w:ascii="宋体" w:hAnsi="宋体" w:eastAsia="宋体" w:cs="宋体"/>
          <w:bCs/>
          <w:color w:val="auto"/>
          <w:szCs w:val="21"/>
          <w:highlight w:val="none"/>
        </w:rPr>
        <w:t>排序）。评审得分、最后报价（不计算价格折扣）、技术得分、</w:t>
      </w:r>
      <w:r>
        <w:rPr>
          <w:rFonts w:hint="eastAsia" w:ascii="宋体" w:hAnsi="宋体" w:eastAsia="宋体" w:cs="宋体"/>
          <w:color w:val="auto"/>
          <w:highlight w:val="none"/>
          <w:lang w:eastAsia="zh-CN"/>
        </w:rPr>
        <w:t>承诺工期</w:t>
      </w:r>
      <w:r>
        <w:rPr>
          <w:rFonts w:hint="eastAsia" w:ascii="宋体" w:hAnsi="宋体" w:eastAsia="宋体" w:cs="宋体"/>
          <w:bCs/>
          <w:color w:val="auto"/>
          <w:szCs w:val="21"/>
          <w:highlight w:val="none"/>
        </w:rPr>
        <w:t>均相同的，由磋商小组随机抽取推荐。</w:t>
      </w:r>
    </w:p>
    <w:p w14:paraId="2B936CF9">
      <w:pPr>
        <w:spacing w:line="360" w:lineRule="auto"/>
        <w:jc w:val="both"/>
        <w:rPr>
          <w:rFonts w:hint="eastAsia"/>
          <w:b/>
          <w:bCs/>
          <w:color w:val="auto"/>
          <w:sz w:val="32"/>
          <w:szCs w:val="32"/>
          <w:highlight w:val="none"/>
        </w:rPr>
      </w:pPr>
    </w:p>
    <w:p w14:paraId="5F45C3A2">
      <w:pPr>
        <w:spacing w:line="360" w:lineRule="auto"/>
        <w:jc w:val="both"/>
        <w:rPr>
          <w:rFonts w:hint="eastAsia"/>
          <w:b/>
          <w:bCs/>
          <w:color w:val="auto"/>
          <w:sz w:val="32"/>
          <w:szCs w:val="32"/>
          <w:highlight w:val="none"/>
        </w:rPr>
      </w:pPr>
    </w:p>
    <w:p w14:paraId="7E9BBC93">
      <w:pPr>
        <w:spacing w:line="360" w:lineRule="auto"/>
        <w:jc w:val="both"/>
        <w:rPr>
          <w:rFonts w:hint="eastAsia"/>
          <w:b/>
          <w:bCs/>
          <w:color w:val="auto"/>
          <w:sz w:val="32"/>
          <w:szCs w:val="32"/>
          <w:highlight w:val="none"/>
        </w:rPr>
      </w:pPr>
    </w:p>
    <w:p w14:paraId="1A3C8B8E">
      <w:pPr>
        <w:spacing w:line="240" w:lineRule="auto"/>
        <w:ind w:firstLine="643" w:firstLineChars="200"/>
        <w:jc w:val="left"/>
        <w:rPr>
          <w:rFonts w:hint="eastAsia"/>
          <w:b/>
          <w:bCs/>
          <w:color w:val="auto"/>
          <w:sz w:val="32"/>
          <w:szCs w:val="32"/>
          <w:highlight w:val="none"/>
          <w:lang w:val="en-US" w:eastAsia="zh-CN"/>
        </w:rPr>
      </w:pPr>
      <w:r>
        <w:rPr>
          <w:rFonts w:hint="eastAsia"/>
          <w:b/>
          <w:bCs/>
          <w:color w:val="auto"/>
          <w:sz w:val="32"/>
          <w:szCs w:val="32"/>
          <w:highlight w:val="none"/>
          <w:lang w:val="en-US" w:eastAsia="zh-CN"/>
        </w:rPr>
        <w:br w:type="page"/>
      </w:r>
    </w:p>
    <w:p w14:paraId="2C91709E">
      <w:pPr>
        <w:numPr>
          <w:ilvl w:val="0"/>
          <w:numId w:val="0"/>
        </w:numPr>
        <w:shd w:val="clear" w:color="auto" w:fill="FFFFFF"/>
        <w:spacing w:line="600" w:lineRule="exact"/>
        <w:ind w:firstLine="723" w:firstLineChars="200"/>
        <w:jc w:val="center"/>
        <w:outlineLvl w:val="0"/>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kern w:val="2"/>
          <w:sz w:val="36"/>
          <w:szCs w:val="36"/>
          <w:highlight w:val="none"/>
          <w:lang w:val="en-US" w:eastAsia="zh-CN" w:bidi="ar-SA"/>
        </w:rPr>
        <w:t>第九章</w:t>
      </w:r>
      <w:r>
        <w:rPr>
          <w:rFonts w:hint="eastAsia" w:ascii="宋体" w:hAnsi="宋体" w:eastAsia="宋体" w:cs="宋体"/>
          <w:b/>
          <w:color w:val="auto"/>
          <w:sz w:val="36"/>
          <w:szCs w:val="36"/>
          <w:highlight w:val="none"/>
          <w:lang w:val="en-US" w:eastAsia="zh-CN"/>
        </w:rPr>
        <w:t xml:space="preserve"> 质疑、投诉材料</w:t>
      </w:r>
    </w:p>
    <w:p w14:paraId="39C80380">
      <w:pPr>
        <w:spacing w:line="360" w:lineRule="auto"/>
        <w:jc w:val="both"/>
        <w:rPr>
          <w:rFonts w:hint="eastAsia"/>
          <w:b/>
          <w:bCs/>
          <w:color w:val="auto"/>
          <w:sz w:val="32"/>
          <w:szCs w:val="32"/>
          <w:highlight w:val="none"/>
        </w:rPr>
      </w:pPr>
    </w:p>
    <w:p w14:paraId="2349EF68">
      <w:pPr>
        <w:spacing w:line="360" w:lineRule="auto"/>
        <w:ind w:firstLine="643" w:firstLineChars="200"/>
        <w:jc w:val="both"/>
        <w:rPr>
          <w:rFonts w:hint="eastAsia"/>
          <w:b/>
          <w:bCs/>
          <w:color w:val="auto"/>
          <w:sz w:val="32"/>
          <w:szCs w:val="32"/>
          <w:highlight w:val="none"/>
        </w:rPr>
      </w:pPr>
      <w:r>
        <w:rPr>
          <w:rFonts w:hint="eastAsia"/>
          <w:b/>
          <w:bCs/>
          <w:color w:val="auto"/>
          <w:sz w:val="32"/>
          <w:szCs w:val="32"/>
          <w:highlight w:val="none"/>
        </w:rPr>
        <w:t>质疑函（格式）</w:t>
      </w:r>
    </w:p>
    <w:p w14:paraId="7D22C85D">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一、质疑供应商基本信息：</w:t>
      </w:r>
    </w:p>
    <w:p w14:paraId="7ED0FCE2">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质疑供应商：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20B0AFD4">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7E6E9125">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752A0186">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p>
    <w:p w14:paraId="0D570D19">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3B96D378">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B026AE3">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二、质疑项目基本情况：</w:t>
      </w:r>
    </w:p>
    <w:p w14:paraId="2375D3DA">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23067D1A">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3EC6CD53">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0F16A715">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w:t>
      </w:r>
    </w:p>
    <w:p w14:paraId="2C780092">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   采购文件获取日期：</w:t>
      </w:r>
      <w:r>
        <w:rPr>
          <w:rFonts w:hint="eastAsia" w:ascii="宋体" w:hAnsi="宋体" w:eastAsia="宋体" w:cs="宋体"/>
          <w:bCs/>
          <w:color w:val="auto"/>
          <w:kern w:val="0"/>
          <w:sz w:val="24"/>
          <w:highlight w:val="none"/>
          <w:u w:val="single"/>
        </w:rPr>
        <w:t xml:space="preserve">                                   </w:t>
      </w:r>
    </w:p>
    <w:p w14:paraId="6E651A4C">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□采购过程   </w:t>
      </w:r>
    </w:p>
    <w:p w14:paraId="4486DB69">
      <w:pPr>
        <w:spacing w:line="360" w:lineRule="auto"/>
        <w:ind w:left="25" w:leftChars="12"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□成交结果   </w:t>
      </w:r>
    </w:p>
    <w:p w14:paraId="27EB05D0">
      <w:pPr>
        <w:spacing w:line="360" w:lineRule="auto"/>
        <w:ind w:left="25" w:leftChars="12" w:firstLine="482" w:firstLineChars="200"/>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三、质疑事项具体内容</w:t>
      </w:r>
    </w:p>
    <w:p w14:paraId="47000533">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质疑事项1：</w:t>
      </w:r>
      <w:r>
        <w:rPr>
          <w:rFonts w:hint="eastAsia" w:ascii="宋体" w:hAnsi="宋体" w:eastAsia="宋体" w:cs="宋体"/>
          <w:bCs/>
          <w:color w:val="auto"/>
          <w:kern w:val="0"/>
          <w:sz w:val="24"/>
          <w:highlight w:val="none"/>
          <w:u w:val="single"/>
        </w:rPr>
        <w:t xml:space="preserve">                                                                    </w:t>
      </w:r>
    </w:p>
    <w:p w14:paraId="6A625722">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事实依据：</w:t>
      </w:r>
      <w:r>
        <w:rPr>
          <w:rFonts w:hint="eastAsia" w:ascii="宋体" w:hAnsi="宋体" w:eastAsia="宋体" w:cs="宋体"/>
          <w:bCs/>
          <w:color w:val="auto"/>
          <w:kern w:val="0"/>
          <w:sz w:val="24"/>
          <w:highlight w:val="none"/>
          <w:u w:val="single"/>
        </w:rPr>
        <w:t xml:space="preserve">                                                                      </w:t>
      </w:r>
    </w:p>
    <w:p w14:paraId="5F87A42A">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法律依据：</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p>
    <w:p w14:paraId="4DE76E33">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质疑事项2</w:t>
      </w:r>
    </w:p>
    <w:p w14:paraId="4CA492C2">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008A252D">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四、与质疑事项相关的质疑请求：</w:t>
      </w:r>
    </w:p>
    <w:p w14:paraId="2837756E">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1FF82C5E">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00BEC65B">
      <w:pPr>
        <w:spacing w:line="360" w:lineRule="auto"/>
        <w:ind w:left="25" w:leftChars="12"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2CE08D09">
      <w:pPr>
        <w:spacing w:line="360" w:lineRule="auto"/>
        <w:ind w:left="25" w:leftChars="12" w:firstLine="480" w:firstLineChars="200"/>
        <w:contextualSpacing/>
        <w:rPr>
          <w:rFonts w:hint="eastAsia" w:ascii="宋体" w:hAnsi="宋体" w:eastAsia="宋体" w:cs="宋体"/>
          <w:color w:val="auto"/>
          <w:kern w:val="0"/>
          <w:sz w:val="24"/>
          <w:highlight w:val="none"/>
        </w:rPr>
      </w:pPr>
    </w:p>
    <w:p w14:paraId="4781286A">
      <w:pPr>
        <w:spacing w:line="360" w:lineRule="auto"/>
        <w:ind w:firstLine="482" w:firstLineChars="200"/>
        <w:contextualSpacing/>
        <w:rPr>
          <w:rFonts w:hint="eastAsia"/>
          <w:b/>
          <w:color w:val="auto"/>
          <w:kern w:val="0"/>
          <w:sz w:val="24"/>
          <w:highlight w:val="none"/>
        </w:rPr>
      </w:pPr>
      <w:r>
        <w:rPr>
          <w:rFonts w:hint="eastAsia"/>
          <w:b/>
          <w:color w:val="auto"/>
          <w:kern w:val="0"/>
          <w:sz w:val="24"/>
          <w:highlight w:val="none"/>
        </w:rPr>
        <w:t>说明：</w:t>
      </w:r>
    </w:p>
    <w:p w14:paraId="64B6EE4F">
      <w:pPr>
        <w:spacing w:line="360" w:lineRule="auto"/>
        <w:ind w:left="25" w:leftChars="12"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1.供应商提出质疑时，应提交质疑函和必要的证明材料</w:t>
      </w:r>
      <w:r>
        <w:rPr>
          <w:rFonts w:hint="eastAsia" w:ascii="宋体" w:hAnsi="宋体" w:eastAsia="宋体" w:cs="宋体"/>
          <w:b/>
          <w:bCs/>
          <w:color w:val="auto"/>
          <w:kern w:val="0"/>
          <w:sz w:val="24"/>
          <w:highlight w:val="none"/>
        </w:rPr>
        <w:t>。</w:t>
      </w:r>
    </w:p>
    <w:p w14:paraId="17FEC3EB">
      <w:pPr>
        <w:spacing w:line="360" w:lineRule="auto"/>
        <w:ind w:left="25" w:leftChars="12" w:firstLine="482" w:firstLineChars="200"/>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F064BF6">
      <w:pPr>
        <w:spacing w:line="360" w:lineRule="auto"/>
        <w:ind w:left="25" w:leftChars="12" w:firstLine="482" w:firstLineChars="200"/>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3.质疑函的质疑事项应具体、明确，并有必要的事实依据和法律依据。</w:t>
      </w:r>
    </w:p>
    <w:p w14:paraId="221A0375">
      <w:pPr>
        <w:spacing w:line="360" w:lineRule="auto"/>
        <w:ind w:left="25" w:leftChars="12" w:firstLine="482" w:firstLineChars="200"/>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4.质疑函的质疑请求应与质疑事项相关。</w:t>
      </w:r>
    </w:p>
    <w:p w14:paraId="61CCEB64">
      <w:pPr>
        <w:spacing w:line="360" w:lineRule="auto"/>
        <w:ind w:left="25" w:leftChars="12" w:firstLine="482" w:firstLineChars="200"/>
        <w:contextualSpacing/>
        <w:rPr>
          <w:rFonts w:hint="eastAsia" w:ascii="宋体" w:hAnsi="宋体" w:eastAsia="宋体" w:cs="宋体"/>
          <w:b/>
          <w:color w:val="auto"/>
          <w:kern w:val="0"/>
          <w:sz w:val="20"/>
          <w:szCs w:val="21"/>
          <w:highlight w:val="none"/>
        </w:rPr>
      </w:pPr>
      <w:r>
        <w:rPr>
          <w:rFonts w:hint="eastAsia" w:ascii="宋体" w:hAnsi="宋体" w:eastAsia="宋体" w:cs="宋体"/>
          <w:b/>
          <w:color w:val="auto"/>
          <w:kern w:val="0"/>
          <w:sz w:val="24"/>
          <w:highlight w:val="none"/>
        </w:rPr>
        <w:t>5.质疑供应商为法人或者其他组织的，质疑函应由法定代表人、主要负责人，或者其授权代表签字或者盖章，并加盖公章。</w:t>
      </w:r>
    </w:p>
    <w:p w14:paraId="4B838502">
      <w:pPr>
        <w:spacing w:line="460" w:lineRule="exact"/>
        <w:ind w:firstLine="880" w:firstLineChars="200"/>
        <w:jc w:val="center"/>
        <w:rPr>
          <w:rFonts w:hint="eastAsia" w:ascii="Calibri" w:hAnsi="Calibri" w:eastAsia="隶书"/>
          <w:color w:val="auto"/>
          <w:sz w:val="44"/>
          <w:highlight w:val="none"/>
        </w:rPr>
      </w:pPr>
      <w:r>
        <w:rPr>
          <w:rFonts w:ascii="Calibri" w:hAnsi="Calibri" w:eastAsia="隶书"/>
          <w:color w:val="auto"/>
          <w:sz w:val="44"/>
          <w:highlight w:val="none"/>
        </w:rPr>
        <w:br w:type="page"/>
      </w:r>
    </w:p>
    <w:p w14:paraId="47F0BAE3">
      <w:pPr>
        <w:spacing w:line="360" w:lineRule="auto"/>
        <w:ind w:firstLine="643" w:firstLineChars="200"/>
        <w:jc w:val="center"/>
        <w:rPr>
          <w:rFonts w:hint="eastAsia"/>
          <w:b/>
          <w:bCs/>
          <w:color w:val="auto"/>
          <w:sz w:val="32"/>
          <w:szCs w:val="32"/>
          <w:highlight w:val="none"/>
        </w:rPr>
      </w:pPr>
      <w:r>
        <w:rPr>
          <w:rFonts w:hint="eastAsia"/>
          <w:b/>
          <w:bCs/>
          <w:color w:val="auto"/>
          <w:sz w:val="32"/>
          <w:szCs w:val="32"/>
          <w:highlight w:val="none"/>
        </w:rPr>
        <w:t>投诉书（格式）</w:t>
      </w:r>
    </w:p>
    <w:p w14:paraId="05217B86">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一、投诉相关主体基本情况：</w:t>
      </w:r>
    </w:p>
    <w:p w14:paraId="63A25883">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0DED5AB3">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2D5E803">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法定代表人/主要负责人：</w:t>
      </w:r>
      <w:r>
        <w:rPr>
          <w:rFonts w:hint="eastAsia" w:ascii="宋体" w:hAnsi="宋体" w:eastAsia="宋体" w:cs="宋体"/>
          <w:bCs/>
          <w:color w:val="auto"/>
          <w:kern w:val="0"/>
          <w:sz w:val="24"/>
          <w:highlight w:val="none"/>
          <w:u w:val="single"/>
        </w:rPr>
        <w:t xml:space="preserve">                                                         </w:t>
      </w:r>
    </w:p>
    <w:p w14:paraId="0BE506FB">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0B2CF6A6">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1B5A7AAC">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4676FCD8">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55C7D64F">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被投诉人1：</w:t>
      </w:r>
    </w:p>
    <w:p w14:paraId="109625DB">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37FAE06E">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534785FB">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4CE0C85C">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被投诉人2：</w:t>
      </w:r>
    </w:p>
    <w:p w14:paraId="4E86AA60">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13A0AE39">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相关供应商：</w:t>
      </w:r>
      <w:r>
        <w:rPr>
          <w:rFonts w:hint="eastAsia" w:ascii="宋体" w:hAnsi="宋体" w:eastAsia="宋体" w:cs="宋体"/>
          <w:bCs/>
          <w:color w:val="auto"/>
          <w:kern w:val="0"/>
          <w:sz w:val="24"/>
          <w:highlight w:val="none"/>
          <w:u w:val="single"/>
        </w:rPr>
        <w:t xml:space="preserve">                                                                       </w:t>
      </w:r>
    </w:p>
    <w:p w14:paraId="7E04F1E4">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p>
    <w:p w14:paraId="0721063A">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2AE79788">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二、投诉项目基本情况：</w:t>
      </w:r>
    </w:p>
    <w:p w14:paraId="3960EC6E">
      <w:pPr>
        <w:spacing w:line="360" w:lineRule="auto"/>
        <w:ind w:left="25" w:leftChars="12"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7B8B2B93">
      <w:pPr>
        <w:spacing w:line="360" w:lineRule="auto"/>
        <w:ind w:left="25" w:leftChars="12"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7AB974BC">
      <w:pPr>
        <w:spacing w:line="360" w:lineRule="auto"/>
        <w:ind w:left="25" w:leftChars="12"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68BFC5D6">
      <w:pPr>
        <w:spacing w:line="360" w:lineRule="auto"/>
        <w:ind w:left="25" w:leftChars="12"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代理机构名称：</w:t>
      </w:r>
      <w:r>
        <w:rPr>
          <w:rFonts w:hint="eastAsia" w:ascii="宋体" w:hAnsi="宋体" w:eastAsia="宋体" w:cs="宋体"/>
          <w:bCs/>
          <w:color w:val="auto"/>
          <w:kern w:val="0"/>
          <w:sz w:val="24"/>
          <w:highlight w:val="none"/>
          <w:u w:val="single"/>
        </w:rPr>
        <w:t xml:space="preserve">                                                                      </w:t>
      </w:r>
    </w:p>
    <w:p w14:paraId="16100CEB">
      <w:pPr>
        <w:spacing w:line="360" w:lineRule="auto"/>
        <w:ind w:left="25" w:leftChars="12"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lang w:eastAsia="zh-CN"/>
        </w:rPr>
        <w:t>采购</w:t>
      </w:r>
      <w:r>
        <w:rPr>
          <w:rFonts w:hint="eastAsia" w:ascii="宋体" w:hAnsi="宋体" w:eastAsia="宋体" w:cs="宋体"/>
          <w:bCs/>
          <w:color w:val="auto"/>
          <w:kern w:val="0"/>
          <w:sz w:val="24"/>
          <w:highlight w:val="none"/>
        </w:rPr>
        <w:t>文件公告：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27038E9B">
      <w:pPr>
        <w:spacing w:line="360" w:lineRule="auto"/>
        <w:ind w:left="25" w:leftChars="12" w:firstLine="480" w:firstLineChars="200"/>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采购结果公告：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368216C0">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三、质疑基本情况</w:t>
      </w:r>
    </w:p>
    <w:p w14:paraId="1171857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投诉人于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提出质疑，质疑事项为：</w:t>
      </w:r>
    </w:p>
    <w:p w14:paraId="674F92B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采购人/</w:t>
      </w:r>
      <w:r>
        <w:rPr>
          <w:rFonts w:hint="eastAsia" w:ascii="宋体" w:hAnsi="宋体" w:eastAsia="宋体" w:cs="宋体"/>
          <w:bCs/>
          <w:color w:val="auto"/>
          <w:kern w:val="0"/>
          <w:sz w:val="24"/>
          <w:highlight w:val="none"/>
          <w:u w:val="single"/>
          <w:lang w:eastAsia="zh-CN"/>
        </w:rPr>
        <w:t>采购</w:t>
      </w:r>
      <w:r>
        <w:rPr>
          <w:rFonts w:hint="eastAsia" w:ascii="宋体" w:hAnsi="宋体" w:eastAsia="宋体" w:cs="宋体"/>
          <w:bCs/>
          <w:color w:val="auto"/>
          <w:kern w:val="0"/>
          <w:sz w:val="24"/>
          <w:highlight w:val="none"/>
          <w:u w:val="single"/>
        </w:rPr>
        <w:t>代理机构</w:t>
      </w:r>
      <w:r>
        <w:rPr>
          <w:rFonts w:hint="eastAsia" w:ascii="宋体" w:hAnsi="宋体" w:eastAsia="宋体" w:cs="宋体"/>
          <w:bCs/>
          <w:color w:val="auto"/>
          <w:kern w:val="0"/>
          <w:sz w:val="24"/>
          <w:highlight w:val="none"/>
        </w:rPr>
        <w:t>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r>
        <w:rPr>
          <w:rFonts w:hint="eastAsia" w:ascii="宋体" w:hAnsi="宋体" w:eastAsia="宋体" w:cs="宋体"/>
          <w:bCs/>
          <w:color w:val="auto"/>
          <w:kern w:val="0"/>
          <w:sz w:val="24"/>
          <w:highlight w:val="none"/>
        </w:rPr>
        <w:t xml:space="preserve">就质疑事项作出了答复/没有在法定期限内作出答复。                                                                                             </w:t>
      </w:r>
    </w:p>
    <w:p w14:paraId="54A7147F">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四、投诉事项具体内容</w:t>
      </w:r>
    </w:p>
    <w:p w14:paraId="235B3630">
      <w:pPr>
        <w:spacing w:line="360" w:lineRule="auto"/>
        <w:ind w:left="25" w:leftChars="12"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投诉事项1：</w:t>
      </w:r>
      <w:r>
        <w:rPr>
          <w:rFonts w:hint="eastAsia" w:ascii="宋体" w:hAnsi="宋体" w:eastAsia="宋体" w:cs="宋体"/>
          <w:bCs/>
          <w:color w:val="auto"/>
          <w:kern w:val="0"/>
          <w:sz w:val="24"/>
          <w:highlight w:val="none"/>
          <w:u w:val="single"/>
        </w:rPr>
        <w:t xml:space="preserve">                                                                           </w:t>
      </w:r>
    </w:p>
    <w:p w14:paraId="3B8A9CDE">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事实依据：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0BACE986">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法律依据：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6CA635FE">
      <w:pPr>
        <w:spacing w:line="360" w:lineRule="auto"/>
        <w:ind w:left="25" w:leftChars="12" w:firstLine="480" w:firstLineChars="200"/>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 xml:space="preserve">投诉事项2  </w:t>
      </w:r>
      <w:r>
        <w:rPr>
          <w:rFonts w:hint="eastAsia" w:ascii="宋体" w:hAnsi="宋体" w:eastAsia="宋体" w:cs="宋体"/>
          <w:bCs/>
          <w:color w:val="auto"/>
          <w:kern w:val="0"/>
          <w:sz w:val="24"/>
          <w:highlight w:val="none"/>
        </w:rPr>
        <w:t xml:space="preserve">   </w:t>
      </w:r>
    </w:p>
    <w:p w14:paraId="23105047">
      <w:pPr>
        <w:spacing w:line="360" w:lineRule="auto"/>
        <w:ind w:left="25" w:leftChars="12"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0A1837B7">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五、与投诉事项相关的投诉请求：</w:t>
      </w:r>
    </w:p>
    <w:p w14:paraId="36531237">
      <w:pPr>
        <w:spacing w:line="360" w:lineRule="auto"/>
        <w:ind w:left="25" w:leftChars="12"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5EBAF91C">
      <w:pPr>
        <w:spacing w:line="360" w:lineRule="auto"/>
        <w:ind w:left="25" w:leftChars="12"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466966EB">
      <w:pPr>
        <w:spacing w:line="360" w:lineRule="auto"/>
        <w:ind w:left="25" w:leftChars="12"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1B50DC52">
      <w:pPr>
        <w:snapToGrid w:val="0"/>
        <w:spacing w:line="360" w:lineRule="auto"/>
        <w:ind w:firstLine="482" w:firstLineChars="200"/>
        <w:rPr>
          <w:rFonts w:hint="eastAsia" w:ascii="宋体" w:hAnsi="宋体" w:eastAsia="宋体" w:cs="宋体"/>
          <w:b/>
          <w:color w:val="auto"/>
          <w:kern w:val="0"/>
          <w:sz w:val="24"/>
          <w:highlight w:val="none"/>
        </w:rPr>
      </w:pPr>
    </w:p>
    <w:p w14:paraId="02146A98">
      <w:pPr>
        <w:snapToGrid w:val="0"/>
        <w:spacing w:line="360" w:lineRule="auto"/>
        <w:ind w:firstLine="482" w:firstLineChars="200"/>
        <w:rPr>
          <w:rFonts w:hint="eastAsia" w:ascii="宋体" w:hAnsi="宋体" w:eastAsia="宋体" w:cs="宋体"/>
          <w:b/>
          <w:color w:val="auto"/>
          <w:kern w:val="0"/>
          <w:sz w:val="24"/>
          <w:highlight w:val="none"/>
        </w:rPr>
      </w:pPr>
    </w:p>
    <w:p w14:paraId="2490FB27">
      <w:pPr>
        <w:snapToGrid w:val="0"/>
        <w:spacing w:line="360" w:lineRule="auto"/>
        <w:ind w:firstLine="482" w:firstLineChars="200"/>
        <w:rPr>
          <w:rFonts w:hint="eastAsia" w:ascii="宋体" w:hAnsi="宋体" w:eastAsia="宋体" w:cs="宋体"/>
          <w:b/>
          <w:color w:val="auto"/>
          <w:kern w:val="0"/>
          <w:sz w:val="24"/>
          <w:highlight w:val="none"/>
        </w:rPr>
      </w:pPr>
    </w:p>
    <w:p w14:paraId="31E9C0D4">
      <w:pPr>
        <w:snapToGrid w:val="0"/>
        <w:spacing w:line="360" w:lineRule="auto"/>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04270578">
      <w:pPr>
        <w:spacing w:line="360" w:lineRule="auto"/>
        <w:ind w:left="25" w:leftChars="12" w:firstLine="482" w:firstLineChars="200"/>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 w:val="24"/>
          <w:highlight w:val="none"/>
        </w:rPr>
        <w:t>。</w:t>
      </w:r>
    </w:p>
    <w:p w14:paraId="0B9563FA">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AB4225D">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3.投诉书应简要列明质疑事项，质疑函、质疑答复等作为附件材料提供。</w:t>
      </w:r>
    </w:p>
    <w:p w14:paraId="0D90D173">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4.投诉书的投诉事项应具体、明确，并有必要的事实依据和法律依据。</w:t>
      </w:r>
    </w:p>
    <w:p w14:paraId="77CD30F1">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5.投诉书的投诉请求应与投诉事项相关。</w:t>
      </w:r>
    </w:p>
    <w:p w14:paraId="05976322">
      <w:pPr>
        <w:spacing w:line="360" w:lineRule="auto"/>
        <w:ind w:left="25" w:leftChars="12"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6.投诉人为法人或者其他组织的，投诉书应由法定代表人、主要负责人，或者其授权代表签字或者盖章，并加盖公章。</w:t>
      </w:r>
    </w:p>
    <w:p w14:paraId="64DB1ABA">
      <w:pPr>
        <w:pStyle w:val="12"/>
        <w:spacing w:line="320" w:lineRule="exact"/>
        <w:ind w:firstLine="482" w:firstLineChars="200"/>
        <w:rPr>
          <w:rFonts w:hint="eastAsia" w:ascii="宋体" w:hAnsi="宋体" w:eastAsia="宋体" w:cs="宋体"/>
          <w:b/>
          <w:bCs/>
          <w:color w:val="auto"/>
          <w:sz w:val="24"/>
          <w:highlight w:val="none"/>
          <w:lang w:eastAsia="zh-CN"/>
        </w:rPr>
      </w:pPr>
    </w:p>
    <w:p w14:paraId="20686462">
      <w:pPr>
        <w:pStyle w:val="12"/>
        <w:spacing w:line="320" w:lineRule="exact"/>
        <w:ind w:firstLine="482" w:firstLineChars="200"/>
        <w:rPr>
          <w:rFonts w:hint="eastAsia" w:ascii="宋体" w:hAnsi="宋体" w:eastAsia="宋体" w:cs="宋体"/>
          <w:b/>
          <w:bCs/>
          <w:color w:val="auto"/>
          <w:sz w:val="24"/>
          <w:highlight w:val="none"/>
          <w:lang w:eastAsia="zh-CN"/>
        </w:rPr>
      </w:pPr>
    </w:p>
    <w:p w14:paraId="68A80191">
      <w:pPr>
        <w:pStyle w:val="12"/>
        <w:spacing w:line="320" w:lineRule="exact"/>
        <w:ind w:firstLine="482" w:firstLineChars="200"/>
        <w:rPr>
          <w:rFonts w:hint="eastAsia" w:ascii="宋体" w:hAnsi="宋体" w:eastAsia="宋体" w:cs="宋体"/>
          <w:b/>
          <w:bCs/>
          <w:color w:val="auto"/>
          <w:sz w:val="24"/>
          <w:highlight w:val="none"/>
          <w:lang w:eastAsia="zh-CN"/>
        </w:rPr>
      </w:pPr>
    </w:p>
    <w:p w14:paraId="4EEAD757">
      <w:pPr>
        <w:pStyle w:val="12"/>
        <w:spacing w:line="320" w:lineRule="exact"/>
        <w:ind w:firstLine="482" w:firstLineChars="200"/>
        <w:rPr>
          <w:rFonts w:hint="eastAsia" w:ascii="宋体" w:hAnsi="宋体" w:eastAsia="宋体" w:cs="宋体"/>
          <w:b/>
          <w:bCs/>
          <w:color w:val="auto"/>
          <w:sz w:val="24"/>
          <w:highlight w:val="none"/>
          <w:lang w:eastAsia="zh-CN"/>
        </w:rPr>
      </w:pPr>
    </w:p>
    <w:p w14:paraId="235F3549">
      <w:pPr>
        <w:pStyle w:val="12"/>
        <w:spacing w:line="320" w:lineRule="exact"/>
        <w:ind w:firstLine="482" w:firstLineChars="200"/>
        <w:rPr>
          <w:rFonts w:hint="eastAsia" w:ascii="宋体" w:hAnsi="宋体" w:eastAsia="宋体" w:cs="宋体"/>
          <w:b/>
          <w:bCs/>
          <w:color w:val="auto"/>
          <w:sz w:val="24"/>
          <w:highlight w:val="none"/>
          <w:lang w:eastAsia="zh-CN"/>
        </w:rPr>
      </w:pPr>
    </w:p>
    <w:p w14:paraId="47DB02DF">
      <w:pPr>
        <w:pStyle w:val="12"/>
        <w:spacing w:line="320" w:lineRule="exact"/>
        <w:ind w:firstLine="482" w:firstLineChars="200"/>
        <w:rPr>
          <w:rFonts w:hint="eastAsia" w:ascii="宋体" w:hAnsi="宋体" w:eastAsia="宋体" w:cs="宋体"/>
          <w:b/>
          <w:bCs/>
          <w:color w:val="auto"/>
          <w:sz w:val="24"/>
          <w:highlight w:val="none"/>
          <w:lang w:eastAsia="zh-CN"/>
        </w:rPr>
      </w:pPr>
    </w:p>
    <w:p w14:paraId="1417FCEB">
      <w:pPr>
        <w:pStyle w:val="12"/>
        <w:spacing w:line="320" w:lineRule="exact"/>
        <w:rPr>
          <w:rFonts w:hint="eastAsia" w:ascii="宋体" w:hAnsi="宋体" w:eastAsia="宋体" w:cs="宋体"/>
          <w:b/>
          <w:bCs/>
          <w:color w:val="auto"/>
          <w:sz w:val="24"/>
          <w:highlight w:val="none"/>
          <w:lang w:eastAsia="zh-CN"/>
        </w:rPr>
      </w:pPr>
    </w:p>
    <w:p w14:paraId="2D80CBE4">
      <w:pPr>
        <w:pStyle w:val="12"/>
        <w:spacing w:line="3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zh-CN"/>
        </w:rPr>
        <w:t>附件</w:t>
      </w:r>
      <w:r>
        <w:rPr>
          <w:rFonts w:hint="eastAsia" w:hAnsi="宋体" w:cs="宋体"/>
          <w:b/>
          <w:bCs/>
          <w:color w:val="auto"/>
          <w:sz w:val="24"/>
          <w:highlight w:val="none"/>
          <w:lang w:val="en-US" w:eastAsia="zh-CN"/>
        </w:rPr>
        <w:t>二</w:t>
      </w:r>
      <w:r>
        <w:rPr>
          <w:rFonts w:hint="eastAsia" w:ascii="宋体" w:hAnsi="宋体" w:eastAsia="宋体" w:cs="宋体"/>
          <w:color w:val="auto"/>
          <w:sz w:val="24"/>
          <w:highlight w:val="none"/>
        </w:rPr>
        <w:t>：</w:t>
      </w:r>
    </w:p>
    <w:p w14:paraId="76C4567D">
      <w:pPr>
        <w:pStyle w:val="12"/>
        <w:spacing w:line="320" w:lineRule="exact"/>
        <w:ind w:firstLine="482" w:firstLineChars="20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广西壮族自治区政府采购项目合同验收书（格式）</w:t>
      </w:r>
    </w:p>
    <w:p w14:paraId="09EDF5BB">
      <w:pPr>
        <w:snapToGrid w:val="0"/>
        <w:spacing w:before="100" w:beforeAutospacing="1" w:after="100" w:afterAutospacing="1" w:line="320" w:lineRule="exact"/>
        <w:ind w:left="-359" w:leftChars="-17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根据政府采购项目（</w:t>
      </w:r>
      <w:r>
        <w:rPr>
          <w:rFonts w:hint="eastAsia" w:ascii="宋体" w:hAnsi="宋体" w:eastAsia="宋体" w:cs="宋体"/>
          <w:color w:val="auto"/>
          <w:szCs w:val="21"/>
          <w:highlight w:val="none"/>
          <w:u w:val="single"/>
        </w:rPr>
        <w:t>采购合同编号：</w:t>
      </w:r>
      <w:r>
        <w:rPr>
          <w:rFonts w:hint="eastAsia" w:ascii="宋体" w:hAnsi="宋体" w:eastAsia="宋体" w:cs="宋体"/>
          <w:color w:val="auto"/>
          <w:szCs w:val="21"/>
          <w:highlight w:val="none"/>
          <w:u w:val="single"/>
        </w:rPr>
        <w:softHyphen/>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）的约定，我单位对（</w:t>
      </w:r>
      <w:r>
        <w:rPr>
          <w:rFonts w:hint="eastAsia" w:ascii="宋体" w:hAnsi="宋体" w:eastAsia="宋体" w:cs="宋体"/>
          <w:color w:val="auto"/>
          <w:szCs w:val="21"/>
          <w:highlight w:val="none"/>
          <w:u w:val="single"/>
        </w:rPr>
        <w:t xml:space="preserve">  项目名称   ）       </w:t>
      </w:r>
      <w:r>
        <w:rPr>
          <w:rFonts w:hint="eastAsia" w:ascii="宋体" w:hAnsi="宋体" w:eastAsia="宋体" w:cs="宋体"/>
          <w:color w:val="auto"/>
          <w:szCs w:val="21"/>
          <w:highlight w:val="none"/>
        </w:rPr>
        <w:t>政府采购项目中标（或成交）供应商</w:t>
      </w:r>
      <w:r>
        <w:rPr>
          <w:rFonts w:hint="eastAsia" w:ascii="宋体" w:hAnsi="宋体" w:eastAsia="宋体" w:cs="宋体"/>
          <w:color w:val="auto"/>
          <w:szCs w:val="21"/>
          <w:highlight w:val="none"/>
          <w:u w:val="single"/>
        </w:rPr>
        <w:t xml:space="preserve">（            公司名称              ）       </w:t>
      </w:r>
      <w:r>
        <w:rPr>
          <w:rFonts w:hint="eastAsia" w:ascii="宋体" w:hAnsi="宋体" w:eastAsia="宋体" w:cs="宋体"/>
          <w:color w:val="auto"/>
          <w:szCs w:val="21"/>
          <w:highlight w:val="none"/>
        </w:rPr>
        <w:t>提供的工程进行了验收，验收情况如下：</w:t>
      </w:r>
    </w:p>
    <w:tbl>
      <w:tblPr>
        <w:tblStyle w:val="2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2664E6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14:paraId="4A2B08B2">
            <w:pPr>
              <w:snapToGrid w:val="0"/>
              <w:spacing w:before="100" w:beforeAutospacing="1" w:after="100" w:afterAutospacing="1" w:line="320" w:lineRule="exact"/>
              <w:ind w:left="-3" w:firstLine="4" w:firstLineChars="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14:paraId="5E1B45BF">
            <w:pPr>
              <w:snapToGrid w:val="0"/>
              <w:spacing w:before="100" w:beforeAutospacing="1" w:after="100" w:afterAutospacing="1" w:line="320" w:lineRule="exact"/>
              <w:ind w:left="-3"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□自行验收         □委托验收</w:t>
            </w:r>
          </w:p>
        </w:tc>
      </w:tr>
      <w:tr w14:paraId="7D55C2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5922B6C0">
            <w:pPr>
              <w:snapToGrid w:val="0"/>
              <w:spacing w:before="100" w:beforeAutospacing="1" w:after="100" w:afterAutospacing="1" w:line="320" w:lineRule="exact"/>
              <w:ind w:firstLine="2" w:firstLineChars="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20E69669">
            <w:pPr>
              <w:snapToGrid w:val="0"/>
              <w:spacing w:before="100" w:beforeAutospacing="1" w:after="100" w:afterAutospacing="1" w:line="320" w:lineRule="exact"/>
              <w:ind w:left="-3" w:firstLine="2" w:firstLineChars="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00092ADF">
            <w:pPr>
              <w:snapToGrid w:val="0"/>
              <w:spacing w:before="100" w:beforeAutospacing="1" w:after="100" w:afterAutospacing="1" w:line="320" w:lineRule="exact"/>
              <w:ind w:left="-3" w:firstLine="2" w:firstLineChars="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E25F788">
            <w:pPr>
              <w:snapToGrid w:val="0"/>
              <w:spacing w:before="100" w:beforeAutospacing="1" w:after="100" w:afterAutospacing="1"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vAlign w:val="center"/>
          </w:tcPr>
          <w:p w14:paraId="52F6A36B">
            <w:pPr>
              <w:snapToGrid w:val="0"/>
              <w:spacing w:before="100" w:beforeAutospacing="1" w:after="100" w:afterAutospacing="1" w:line="320" w:lineRule="exact"/>
              <w:ind w:left="-3" w:firstLine="2" w:firstLineChars="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  额</w:t>
            </w:r>
          </w:p>
        </w:tc>
      </w:tr>
      <w:tr w14:paraId="51B15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559F596F">
            <w:pPr>
              <w:snapToGrid w:val="0"/>
              <w:spacing w:before="100" w:beforeAutospacing="1" w:after="100" w:afterAutospacing="1" w:line="320" w:lineRule="exact"/>
              <w:ind w:left="-3" w:firstLine="4" w:firstLineChars="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69422B75">
            <w:pPr>
              <w:snapToGrid w:val="0"/>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015DB05C">
            <w:pPr>
              <w:snapToGrid w:val="0"/>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193B9EE">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2AB666DD">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18F79A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4DD18AFB">
            <w:pPr>
              <w:snapToGrid w:val="0"/>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78EBF9A0">
            <w:pPr>
              <w:snapToGrid w:val="0"/>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574C0D70">
            <w:pPr>
              <w:snapToGrid w:val="0"/>
              <w:spacing w:before="100" w:beforeAutospacing="1" w:after="100" w:afterAutospacing="1" w:line="320" w:lineRule="exact"/>
              <w:ind w:left="-3"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4B741DC7">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5041F8F8">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6CF99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14:paraId="67D2E433">
            <w:pPr>
              <w:snapToGrid w:val="0"/>
              <w:spacing w:before="100" w:beforeAutospacing="1" w:after="100" w:afterAutospacing="1" w:line="320" w:lineRule="exact"/>
              <w:ind w:left="-3" w:firstLine="4" w:firstLineChars="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3C5700D">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75E9E808">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90A6C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14:paraId="4A070AD4">
            <w:pPr>
              <w:snapToGrid w:val="0"/>
              <w:spacing w:before="100" w:beforeAutospacing="1" w:after="100" w:afterAutospacing="1" w:line="320" w:lineRule="exact"/>
              <w:ind w:firstLine="2" w:firstLineChars="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合计大写金额：   仟    佰    拾    万    仟    佰    拾    元</w:t>
            </w:r>
          </w:p>
        </w:tc>
      </w:tr>
      <w:tr w14:paraId="04BB69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70ECD752">
            <w:pPr>
              <w:snapToGrid w:val="0"/>
              <w:spacing w:before="100" w:beforeAutospacing="1" w:after="100" w:afterAutospacing="1" w:line="320" w:lineRule="exact"/>
              <w:ind w:firstLine="2" w:firstLineChars="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53CD25C3">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0B12FC46">
            <w:pPr>
              <w:snapToGrid w:val="0"/>
              <w:spacing w:before="100" w:beforeAutospacing="1" w:after="100" w:afterAutospacing="1" w:line="320" w:lineRule="exact"/>
              <w:ind w:firstLine="39" w:firstLine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28B708A8">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p>
        </w:tc>
      </w:tr>
      <w:tr w14:paraId="7B0D5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5E742237">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3BA6C2CB">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7422D839">
            <w:pPr>
              <w:snapToGrid w:val="0"/>
              <w:spacing w:before="100" w:beforeAutospacing="1" w:after="100" w:afterAutospacing="1" w:line="320" w:lineRule="exact"/>
              <w:ind w:left="590" w:firstLine="420" w:firstLineChars="200"/>
              <w:jc w:val="left"/>
              <w:rPr>
                <w:rFonts w:hint="eastAsia" w:ascii="宋体" w:hAnsi="宋体" w:eastAsia="宋体" w:cs="宋体"/>
                <w:color w:val="auto"/>
                <w:szCs w:val="21"/>
                <w:highlight w:val="none"/>
              </w:rPr>
            </w:pP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27318A31">
            <w:pPr>
              <w:snapToGrid w:val="0"/>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p>
        </w:tc>
      </w:tr>
      <w:tr w14:paraId="7B6F25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6E2C4">
            <w:pPr>
              <w:snapToGrid w:val="0"/>
              <w:spacing w:before="100" w:beforeAutospacing="1" w:after="100" w:afterAutospacing="1"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A4E28F">
            <w:pPr>
              <w:snapToGrid w:val="0"/>
              <w:spacing w:before="100" w:beforeAutospacing="1" w:after="100" w:afterAutospacing="1"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按采购合同、采购文件、投标响应文件及验收方案等进行验收；并核对中标或者成交人在安装调试等方面是否违反合同约定或服务规范要求、提供的质量保证证明材料是否齐全、应有的配件及附件是否达到合同约定等。可附件)</w:t>
            </w:r>
          </w:p>
        </w:tc>
      </w:tr>
      <w:tr w14:paraId="0B6727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91"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90EDB0">
            <w:pPr>
              <w:spacing w:before="100" w:beforeAutospacing="1" w:after="100" w:afterAutospacing="1"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0A8B86D4">
            <w:pPr>
              <w:spacing w:before="100" w:beforeAutospacing="1" w:after="100" w:afterAutospacing="1"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验收结论性意见：</w:t>
            </w:r>
          </w:p>
        </w:tc>
      </w:tr>
      <w:tr w14:paraId="63DDB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0"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14:paraId="69F3D4EB">
            <w:pPr>
              <w:spacing w:line="320" w:lineRule="exact"/>
              <w:jc w:val="left"/>
              <w:rPr>
                <w:rFonts w:hint="eastAsia" w:ascii="宋体" w:hAnsi="宋体" w:eastAsia="宋体" w:cs="宋体"/>
                <w:color w:val="auto"/>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2CFD839B">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有异议的意见和说明理由：</w:t>
            </w:r>
          </w:p>
          <w:p w14:paraId="3241AE30">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p>
        </w:tc>
      </w:tr>
      <w:tr w14:paraId="56724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C19E6">
            <w:pPr>
              <w:spacing w:before="100" w:beforeAutospacing="1" w:after="100" w:afterAutospacing="1"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验收小组成员签字：</w:t>
            </w:r>
          </w:p>
        </w:tc>
      </w:tr>
      <w:tr w14:paraId="0FDD3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F35256">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监督人员或其他相关人员签字：</w:t>
            </w:r>
          </w:p>
          <w:p w14:paraId="2B6837BD">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或受邀机构的意见（盖章）：</w:t>
            </w:r>
          </w:p>
        </w:tc>
      </w:tr>
      <w:tr w14:paraId="3117B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75" w:hRule="atLeast"/>
          <w:jc w:val="center"/>
        </w:trPr>
        <w:tc>
          <w:tcPr>
            <w:tcW w:w="4767"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44F9C2FC">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中标或者成交人负责人签字或盖章：</w:t>
            </w:r>
          </w:p>
          <w:p w14:paraId="6C5BA82C">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1E6A7268">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采购人或受托机构的意见（盖章）：</w:t>
            </w:r>
          </w:p>
          <w:p w14:paraId="719D6A7F">
            <w:pPr>
              <w:spacing w:before="100" w:beforeAutospacing="1" w:after="100" w:afterAutospacing="1" w:line="3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                 年   月   日</w:t>
            </w:r>
          </w:p>
        </w:tc>
      </w:tr>
    </w:tbl>
    <w:p w14:paraId="1AB4B581">
      <w:pPr>
        <w:pStyle w:val="14"/>
        <w:rPr>
          <w:rFonts w:hint="eastAsia"/>
          <w:color w:val="auto"/>
          <w:highlight w:val="none"/>
        </w:rPr>
      </w:pPr>
    </w:p>
    <w:sectPr>
      <w:headerReference r:id="rId10" w:type="default"/>
      <w:footerReference r:id="rId11" w:type="default"/>
      <w:footerReference r:id="rId12" w:type="even"/>
      <w:pgSz w:w="11906" w:h="16838"/>
      <w:pgMar w:top="1758" w:right="1304" w:bottom="1021" w:left="1304" w:header="1247" w:footer="85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Ђˎ̥">
    <w:altName w:val="Times New Roman"/>
    <w:panose1 w:val="00000000000000000000"/>
    <w:charset w:val="00"/>
    <w:family w:val="modern"/>
    <w:pitch w:val="default"/>
    <w:sig w:usb0="00000000" w:usb1="00000000" w:usb2="00000000" w:usb3="00000000" w:csb0="00040001" w:csb1="00000000"/>
  </w:font>
  <w:font w:name="Calibri Light">
    <w:panose1 w:val="020F0302020204030204"/>
    <w:charset w:val="00"/>
    <w:family w:val="decorative"/>
    <w:pitch w:val="default"/>
    <w:sig w:usb0="A00002EF" w:usb1="4000207B" w:usb2="00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新宋体">
    <w:panose1 w:val="02010609030101010101"/>
    <w:charset w:val="86"/>
    <w:family w:val="swiss"/>
    <w:pitch w:val="default"/>
    <w:sig w:usb0="00000003" w:usb1="288F0000" w:usb2="00000006" w:usb3="00000000" w:csb0="00040001" w:csb1="00000000"/>
  </w:font>
  <w:font w:name="Tahoma">
    <w:panose1 w:val="020B0604030504040204"/>
    <w:charset w:val="00"/>
    <w:family w:val="decorative"/>
    <w:pitch w:val="default"/>
    <w:sig w:usb0="E1002EFF" w:usb1="C000605B" w:usb2="00000029" w:usb3="00000000" w:csb0="200101FF" w:csb1="20280000"/>
  </w:font>
  <w:font w:name="¿¬Ìå">
    <w:altName w:val="Times New Roman"/>
    <w:panose1 w:val="00000000000000000000"/>
    <w:charset w:val="00"/>
    <w:family w:val="auto"/>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隶书">
    <w:altName w:val="微软雅黑"/>
    <w:panose1 w:val="0201050906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A20A7">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1459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51459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98047">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EEF9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4EEF9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979B">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475D9">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8475D9">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251A">
    <w:pPr>
      <w:pStyle w:val="14"/>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C1192">
                          <w:pPr>
                            <w:pStyle w:val="1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3C1192">
                    <w:pPr>
                      <w:pStyle w:val="1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49DA">
    <w:pPr>
      <w:pStyle w:val="14"/>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77112">
                          <w:pPr>
                            <w:pStyle w:val="14"/>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0F77112">
                    <w:pPr>
                      <w:pStyle w:val="14"/>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48764">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396F1">
                          <w:pPr>
                            <w:pStyle w:val="14"/>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97396F1">
                    <w:pPr>
                      <w:pStyle w:val="14"/>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1E406">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lang w:val="zh-CN"/>
      </w:rPr>
      <w:t>1</w:t>
    </w:r>
    <w:r>
      <w:fldChar w:fldCharType="end"/>
    </w:r>
  </w:p>
  <w:p w14:paraId="7BBB4F0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81491">
    <w:pPr>
      <w:pStyle w:val="16"/>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F1BD0">
    <w:pPr>
      <w:pStyle w:val="16"/>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3A2A3">
    <w:pPr>
      <w:pStyle w:val="16"/>
      <w:pBdr>
        <w:bottom w:val="none" w:color="auto" w:sz="0" w:space="0"/>
      </w:pBdr>
      <w:jc w:val="both"/>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811F6"/>
    <w:multiLevelType w:val="singleLevel"/>
    <w:tmpl w:val="837811F6"/>
    <w:lvl w:ilvl="0" w:tentative="0">
      <w:start w:val="10"/>
      <w:numFmt w:val="chineseCounting"/>
      <w:suff w:val="nothing"/>
      <w:lvlText w:val="%1、"/>
      <w:lvlJc w:val="left"/>
      <w:rPr>
        <w:rFonts w:hint="eastAsia"/>
      </w:rPr>
    </w:lvl>
  </w:abstractNum>
  <w:abstractNum w:abstractNumId="1">
    <w:nsid w:val="E27A63C7"/>
    <w:multiLevelType w:val="singleLevel"/>
    <w:tmpl w:val="E27A63C7"/>
    <w:lvl w:ilvl="0" w:tentative="0">
      <w:start w:val="10"/>
      <w:numFmt w:val="decimal"/>
      <w:suff w:val="nothing"/>
      <w:lvlText w:val="（%1）"/>
      <w:lvlJc w:val="left"/>
    </w:lvl>
  </w:abstractNum>
  <w:abstractNum w:abstractNumId="2">
    <w:nsid w:val="00000007"/>
    <w:multiLevelType w:val="multilevel"/>
    <w:tmpl w:val="00000007"/>
    <w:lvl w:ilvl="0" w:tentative="0">
      <w:start w:val="1"/>
      <w:numFmt w:val="decimal"/>
      <w:pStyle w:val="52"/>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2"/>
      <w:numFmt w:val="decimal"/>
      <w:suff w:val="nothing"/>
      <w:lvlText w:val="%1."/>
      <w:lvlJc w:val="left"/>
    </w:lvl>
  </w:abstractNum>
  <w:abstractNum w:abstractNumId="4">
    <w:nsid w:val="174D14CB"/>
    <w:multiLevelType w:val="singleLevel"/>
    <w:tmpl w:val="174D14CB"/>
    <w:lvl w:ilvl="0" w:tentative="0">
      <w:start w:val="1"/>
      <w:numFmt w:val="chineseCounting"/>
      <w:suff w:val="space"/>
      <w:lvlText w:val="第%1章"/>
      <w:lvlJc w:val="left"/>
      <w:rPr>
        <w:rFonts w:hint="eastAsia"/>
      </w:rPr>
    </w:lvl>
  </w:abstractNum>
  <w:abstractNum w:abstractNumId="5">
    <w:nsid w:val="3E5E7BC9"/>
    <w:multiLevelType w:val="singleLevel"/>
    <w:tmpl w:val="3E5E7BC9"/>
    <w:lvl w:ilvl="0" w:tentative="0">
      <w:start w:val="1"/>
      <w:numFmt w:val="decimal"/>
      <w:suff w:val="nothing"/>
      <w:lvlText w:val="（%1）"/>
      <w:lvlJc w:val="left"/>
    </w:lvl>
  </w:abstractNum>
  <w:abstractNum w:abstractNumId="6">
    <w:nsid w:val="55E62055"/>
    <w:multiLevelType w:val="singleLevel"/>
    <w:tmpl w:val="55E62055"/>
    <w:lvl w:ilvl="0" w:tentative="0">
      <w:start w:val="3"/>
      <w:numFmt w:val="chineseCounting"/>
      <w:suff w:val="space"/>
      <w:lvlText w:val="第%1章"/>
      <w:lvlJc w:val="left"/>
      <w:rPr>
        <w:rFonts w:hint="eastAsia"/>
      </w:rPr>
    </w:lvl>
  </w:abstractNum>
  <w:abstractNum w:abstractNumId="7">
    <w:nsid w:val="6EDD6596"/>
    <w:multiLevelType w:val="singleLevel"/>
    <w:tmpl w:val="6EDD6596"/>
    <w:lvl w:ilvl="0" w:tentative="0">
      <w:start w:val="1"/>
      <w:numFmt w:val="decimal"/>
      <w:suff w:val="space"/>
      <w:lvlText w:val="%1."/>
      <w:lvlJc w:val="left"/>
    </w:lvl>
  </w:abstractNum>
  <w:abstractNum w:abstractNumId="8">
    <w:nsid w:val="6EDD6597"/>
    <w:multiLevelType w:val="singleLevel"/>
    <w:tmpl w:val="6EDD6597"/>
    <w:lvl w:ilvl="0" w:tentative="0">
      <w:start w:val="1"/>
      <w:numFmt w:val="decimal"/>
      <w:suff w:val="nothing"/>
      <w:lvlText w:val="(%1)"/>
      <w:lvlJc w:val="left"/>
    </w:lvl>
  </w:abstractNum>
  <w:abstractNum w:abstractNumId="9">
    <w:nsid w:val="6EDD6598"/>
    <w:multiLevelType w:val="singleLevel"/>
    <w:tmpl w:val="6EDD6598"/>
    <w:lvl w:ilvl="0" w:tentative="0">
      <w:start w:val="11"/>
      <w:numFmt w:val="decimal"/>
      <w:suff w:val="space"/>
      <w:lvlText w:val="%1."/>
      <w:lvlJc w:val="left"/>
    </w:lvl>
  </w:abstractNum>
  <w:abstractNum w:abstractNumId="10">
    <w:nsid w:val="6EDD6599"/>
    <w:multiLevelType w:val="multilevel"/>
    <w:tmpl w:val="6EDD659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EDD659A"/>
    <w:multiLevelType w:val="multilevel"/>
    <w:tmpl w:val="6EDD659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EDD659B"/>
    <w:multiLevelType w:val="multilevel"/>
    <w:tmpl w:val="6EDD659B"/>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EDD659C"/>
    <w:multiLevelType w:val="multilevel"/>
    <w:tmpl w:val="6EDD659C"/>
    <w:lvl w:ilvl="0" w:tentative="0">
      <w:start w:val="1"/>
      <w:numFmt w:val="decimal"/>
      <w:lvlText w:val="（%1）"/>
      <w:lvlJc w:val="left"/>
      <w:pPr>
        <w:ind w:left="1560" w:hanging="720"/>
      </w:pPr>
      <w:rPr>
        <w:rFonts w:hint="default"/>
      </w:rPr>
    </w:lvl>
    <w:lvl w:ilvl="1" w:tentative="0">
      <w:start w:val="1"/>
      <w:numFmt w:val="decimal"/>
      <w:lvlText w:val="%2)"/>
      <w:lvlJc w:val="left"/>
      <w:pPr>
        <w:ind w:left="1260" w:hanging="420"/>
      </w:pPr>
      <w:rPr>
        <w:rFonts w:hint="default"/>
      </w:rPr>
    </w:lvl>
    <w:lvl w:ilvl="2" w:tentative="0">
      <w:start w:val="1"/>
      <w:numFmt w:val="decimal"/>
      <w:lvlText w:val="%3、"/>
      <w:lvlJc w:val="left"/>
      <w:pPr>
        <w:ind w:left="1620" w:hanging="36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EDD659D"/>
    <w:multiLevelType w:val="multilevel"/>
    <w:tmpl w:val="6EDD659D"/>
    <w:lvl w:ilvl="0" w:tentative="0">
      <w:start w:val="1"/>
      <w:numFmt w:val="decimal"/>
      <w:lvlText w:val="%1)"/>
      <w:lvlJc w:val="left"/>
      <w:pPr>
        <w:ind w:left="82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6EDD659E"/>
    <w:multiLevelType w:val="multilevel"/>
    <w:tmpl w:val="6EDD659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6EDD659F"/>
    <w:multiLevelType w:val="multilevel"/>
    <w:tmpl w:val="6EDD659F"/>
    <w:lvl w:ilvl="0" w:tentative="0">
      <w:start w:val="1"/>
      <w:numFmt w:val="upperLetter"/>
      <w:lvlText w:val="%1."/>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4"/>
  </w:num>
  <w:num w:numId="3">
    <w:abstractNumId w:val="0"/>
  </w:num>
  <w:num w:numId="4">
    <w:abstractNumId w:val="6"/>
  </w:num>
  <w:num w:numId="5">
    <w:abstractNumId w:val="1"/>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5"/>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s>
  <w:rsids>
    <w:rsidRoot w:val="16344B64"/>
    <w:rsid w:val="000769C6"/>
    <w:rsid w:val="001D58C3"/>
    <w:rsid w:val="00292E98"/>
    <w:rsid w:val="00391CF2"/>
    <w:rsid w:val="00755DF0"/>
    <w:rsid w:val="00876B84"/>
    <w:rsid w:val="008C2C82"/>
    <w:rsid w:val="00B5103D"/>
    <w:rsid w:val="013363E4"/>
    <w:rsid w:val="01435D27"/>
    <w:rsid w:val="014B09B3"/>
    <w:rsid w:val="015330AB"/>
    <w:rsid w:val="0165313D"/>
    <w:rsid w:val="01703541"/>
    <w:rsid w:val="019451CC"/>
    <w:rsid w:val="019A117A"/>
    <w:rsid w:val="01A52705"/>
    <w:rsid w:val="01D41215"/>
    <w:rsid w:val="01D42121"/>
    <w:rsid w:val="01E50228"/>
    <w:rsid w:val="01E85CB8"/>
    <w:rsid w:val="01F64D0F"/>
    <w:rsid w:val="0200481C"/>
    <w:rsid w:val="02057DBE"/>
    <w:rsid w:val="02224369"/>
    <w:rsid w:val="02333E82"/>
    <w:rsid w:val="023B4DEC"/>
    <w:rsid w:val="02453514"/>
    <w:rsid w:val="02460EB6"/>
    <w:rsid w:val="028A0DA9"/>
    <w:rsid w:val="02C63AF5"/>
    <w:rsid w:val="02D169DB"/>
    <w:rsid w:val="03001EE1"/>
    <w:rsid w:val="035E59F6"/>
    <w:rsid w:val="036F4D79"/>
    <w:rsid w:val="038A7BB5"/>
    <w:rsid w:val="03972500"/>
    <w:rsid w:val="039F67AA"/>
    <w:rsid w:val="03A9358B"/>
    <w:rsid w:val="03C449CC"/>
    <w:rsid w:val="03D251CE"/>
    <w:rsid w:val="03E219EE"/>
    <w:rsid w:val="03EB220E"/>
    <w:rsid w:val="03ED7190"/>
    <w:rsid w:val="040E0AFD"/>
    <w:rsid w:val="041616A2"/>
    <w:rsid w:val="04304467"/>
    <w:rsid w:val="043D01D6"/>
    <w:rsid w:val="043E6C3C"/>
    <w:rsid w:val="044E20D8"/>
    <w:rsid w:val="045D2E23"/>
    <w:rsid w:val="0469012C"/>
    <w:rsid w:val="04781A0B"/>
    <w:rsid w:val="04793104"/>
    <w:rsid w:val="047C0BCC"/>
    <w:rsid w:val="05033049"/>
    <w:rsid w:val="05241A28"/>
    <w:rsid w:val="05266F1A"/>
    <w:rsid w:val="052A45EE"/>
    <w:rsid w:val="056D5429"/>
    <w:rsid w:val="0571302A"/>
    <w:rsid w:val="05B30A98"/>
    <w:rsid w:val="05CE5247"/>
    <w:rsid w:val="05D2338D"/>
    <w:rsid w:val="05F94DCD"/>
    <w:rsid w:val="060D56D1"/>
    <w:rsid w:val="0644195F"/>
    <w:rsid w:val="06556B9B"/>
    <w:rsid w:val="067A36AA"/>
    <w:rsid w:val="068046A5"/>
    <w:rsid w:val="06867C76"/>
    <w:rsid w:val="0687062B"/>
    <w:rsid w:val="06A40442"/>
    <w:rsid w:val="06A55497"/>
    <w:rsid w:val="06B605BA"/>
    <w:rsid w:val="06BF3139"/>
    <w:rsid w:val="06F16788"/>
    <w:rsid w:val="070211A3"/>
    <w:rsid w:val="0733410C"/>
    <w:rsid w:val="07467D48"/>
    <w:rsid w:val="075229E7"/>
    <w:rsid w:val="077D02B2"/>
    <w:rsid w:val="07825BA3"/>
    <w:rsid w:val="07AB560D"/>
    <w:rsid w:val="07B00DB5"/>
    <w:rsid w:val="07EE0856"/>
    <w:rsid w:val="07EF5437"/>
    <w:rsid w:val="082958EE"/>
    <w:rsid w:val="08382DE5"/>
    <w:rsid w:val="08590257"/>
    <w:rsid w:val="086B310B"/>
    <w:rsid w:val="08782A74"/>
    <w:rsid w:val="08EC40D2"/>
    <w:rsid w:val="09026A3E"/>
    <w:rsid w:val="09192DFD"/>
    <w:rsid w:val="09922E2F"/>
    <w:rsid w:val="09B7036B"/>
    <w:rsid w:val="09D73678"/>
    <w:rsid w:val="0A1925F0"/>
    <w:rsid w:val="0A39280F"/>
    <w:rsid w:val="0A3D4A0C"/>
    <w:rsid w:val="0A4B5D54"/>
    <w:rsid w:val="0A57550F"/>
    <w:rsid w:val="0A586566"/>
    <w:rsid w:val="0A6749FB"/>
    <w:rsid w:val="0A6C2012"/>
    <w:rsid w:val="0A6E2124"/>
    <w:rsid w:val="0A733489"/>
    <w:rsid w:val="0A7526BF"/>
    <w:rsid w:val="0A78296A"/>
    <w:rsid w:val="0A7A55CE"/>
    <w:rsid w:val="0A876E4C"/>
    <w:rsid w:val="0A8C6F1B"/>
    <w:rsid w:val="0A912E56"/>
    <w:rsid w:val="0A9A26C8"/>
    <w:rsid w:val="0AAE65CC"/>
    <w:rsid w:val="0AB52C23"/>
    <w:rsid w:val="0AD83CD8"/>
    <w:rsid w:val="0AE16A2B"/>
    <w:rsid w:val="0AE21360"/>
    <w:rsid w:val="0B237BA9"/>
    <w:rsid w:val="0B2C193F"/>
    <w:rsid w:val="0B372620"/>
    <w:rsid w:val="0B3C6B2A"/>
    <w:rsid w:val="0B4934D4"/>
    <w:rsid w:val="0B7A5702"/>
    <w:rsid w:val="0B975623"/>
    <w:rsid w:val="0BC66934"/>
    <w:rsid w:val="0BD04408"/>
    <w:rsid w:val="0BD75F20"/>
    <w:rsid w:val="0C040834"/>
    <w:rsid w:val="0C0E3DC8"/>
    <w:rsid w:val="0C127A9F"/>
    <w:rsid w:val="0C421E03"/>
    <w:rsid w:val="0C4D22BF"/>
    <w:rsid w:val="0C783F77"/>
    <w:rsid w:val="0C8406AF"/>
    <w:rsid w:val="0C8F3EC5"/>
    <w:rsid w:val="0C9845FB"/>
    <w:rsid w:val="0C9E5BEF"/>
    <w:rsid w:val="0CB46FF3"/>
    <w:rsid w:val="0CC03127"/>
    <w:rsid w:val="0CC961F6"/>
    <w:rsid w:val="0CDD71F7"/>
    <w:rsid w:val="0CE53015"/>
    <w:rsid w:val="0CF652A1"/>
    <w:rsid w:val="0D3A6E59"/>
    <w:rsid w:val="0D4D2858"/>
    <w:rsid w:val="0D6D35A4"/>
    <w:rsid w:val="0D881D7B"/>
    <w:rsid w:val="0D8D2972"/>
    <w:rsid w:val="0D8F6463"/>
    <w:rsid w:val="0D903F33"/>
    <w:rsid w:val="0DC161D1"/>
    <w:rsid w:val="0E1235A8"/>
    <w:rsid w:val="0E172295"/>
    <w:rsid w:val="0E1D072F"/>
    <w:rsid w:val="0E323F57"/>
    <w:rsid w:val="0E501BC4"/>
    <w:rsid w:val="0E713147"/>
    <w:rsid w:val="0E835165"/>
    <w:rsid w:val="0E896B1A"/>
    <w:rsid w:val="0E8D122A"/>
    <w:rsid w:val="0EB832CB"/>
    <w:rsid w:val="0EBC4225"/>
    <w:rsid w:val="0EC536A4"/>
    <w:rsid w:val="0EC54DF5"/>
    <w:rsid w:val="0EEB2F22"/>
    <w:rsid w:val="0F0D457E"/>
    <w:rsid w:val="0F137A6E"/>
    <w:rsid w:val="0F152AA6"/>
    <w:rsid w:val="0F166E28"/>
    <w:rsid w:val="0F1F407A"/>
    <w:rsid w:val="0F255D7B"/>
    <w:rsid w:val="0F292C57"/>
    <w:rsid w:val="0F3C72EE"/>
    <w:rsid w:val="0F582B65"/>
    <w:rsid w:val="0F711E78"/>
    <w:rsid w:val="0F7E70A2"/>
    <w:rsid w:val="0F9E4A0D"/>
    <w:rsid w:val="0FA568B9"/>
    <w:rsid w:val="0FA83B24"/>
    <w:rsid w:val="0FB326C7"/>
    <w:rsid w:val="0FCD285F"/>
    <w:rsid w:val="0FE91A0F"/>
    <w:rsid w:val="0FEB1231"/>
    <w:rsid w:val="0FEE7612"/>
    <w:rsid w:val="100B56B6"/>
    <w:rsid w:val="100E76C7"/>
    <w:rsid w:val="102706CA"/>
    <w:rsid w:val="103A1282"/>
    <w:rsid w:val="108D0181"/>
    <w:rsid w:val="10AD6AD9"/>
    <w:rsid w:val="10B178E5"/>
    <w:rsid w:val="10C4368F"/>
    <w:rsid w:val="10C85AC8"/>
    <w:rsid w:val="10C96446"/>
    <w:rsid w:val="110D46FC"/>
    <w:rsid w:val="110F721E"/>
    <w:rsid w:val="111C17C4"/>
    <w:rsid w:val="11242549"/>
    <w:rsid w:val="11350618"/>
    <w:rsid w:val="11704727"/>
    <w:rsid w:val="11797307"/>
    <w:rsid w:val="118B719F"/>
    <w:rsid w:val="11BE0577"/>
    <w:rsid w:val="11C139BB"/>
    <w:rsid w:val="11C15E5E"/>
    <w:rsid w:val="11C70925"/>
    <w:rsid w:val="120174E4"/>
    <w:rsid w:val="12083E84"/>
    <w:rsid w:val="120D0882"/>
    <w:rsid w:val="12305553"/>
    <w:rsid w:val="123251FD"/>
    <w:rsid w:val="126747D0"/>
    <w:rsid w:val="126E0E31"/>
    <w:rsid w:val="12727028"/>
    <w:rsid w:val="12A9357F"/>
    <w:rsid w:val="130612C1"/>
    <w:rsid w:val="130F7236"/>
    <w:rsid w:val="13144FF5"/>
    <w:rsid w:val="13161C63"/>
    <w:rsid w:val="13475083"/>
    <w:rsid w:val="13477178"/>
    <w:rsid w:val="134961F2"/>
    <w:rsid w:val="13632396"/>
    <w:rsid w:val="13913395"/>
    <w:rsid w:val="13950464"/>
    <w:rsid w:val="139C0611"/>
    <w:rsid w:val="13D6674E"/>
    <w:rsid w:val="13E30B42"/>
    <w:rsid w:val="13EA6286"/>
    <w:rsid w:val="13F25D54"/>
    <w:rsid w:val="13F26814"/>
    <w:rsid w:val="14004C93"/>
    <w:rsid w:val="14031EE4"/>
    <w:rsid w:val="14305965"/>
    <w:rsid w:val="143A6CDD"/>
    <w:rsid w:val="1444366F"/>
    <w:rsid w:val="145511F1"/>
    <w:rsid w:val="146076B0"/>
    <w:rsid w:val="147F6DE6"/>
    <w:rsid w:val="14972464"/>
    <w:rsid w:val="149809ED"/>
    <w:rsid w:val="14C1100B"/>
    <w:rsid w:val="14D05F3E"/>
    <w:rsid w:val="14D2035C"/>
    <w:rsid w:val="14D41A3E"/>
    <w:rsid w:val="14EC05ED"/>
    <w:rsid w:val="14F96B98"/>
    <w:rsid w:val="151170E1"/>
    <w:rsid w:val="15364883"/>
    <w:rsid w:val="153B2BB3"/>
    <w:rsid w:val="156469AC"/>
    <w:rsid w:val="156E6948"/>
    <w:rsid w:val="157B5BC9"/>
    <w:rsid w:val="158E235B"/>
    <w:rsid w:val="15977A11"/>
    <w:rsid w:val="15CE60D5"/>
    <w:rsid w:val="15D91999"/>
    <w:rsid w:val="15E41D29"/>
    <w:rsid w:val="15F84C59"/>
    <w:rsid w:val="160E205C"/>
    <w:rsid w:val="16344B64"/>
    <w:rsid w:val="163E6233"/>
    <w:rsid w:val="16457EB7"/>
    <w:rsid w:val="16514A32"/>
    <w:rsid w:val="1651790F"/>
    <w:rsid w:val="16644988"/>
    <w:rsid w:val="167D5C38"/>
    <w:rsid w:val="16AA1A1F"/>
    <w:rsid w:val="16AF1939"/>
    <w:rsid w:val="16BE4B10"/>
    <w:rsid w:val="16C97128"/>
    <w:rsid w:val="16D42C63"/>
    <w:rsid w:val="16D67B4D"/>
    <w:rsid w:val="16E6314C"/>
    <w:rsid w:val="16F16621"/>
    <w:rsid w:val="16F66562"/>
    <w:rsid w:val="17057AB0"/>
    <w:rsid w:val="1722662B"/>
    <w:rsid w:val="1728549D"/>
    <w:rsid w:val="173151C4"/>
    <w:rsid w:val="173C32B6"/>
    <w:rsid w:val="174316CF"/>
    <w:rsid w:val="17705F66"/>
    <w:rsid w:val="178176F0"/>
    <w:rsid w:val="17941A0B"/>
    <w:rsid w:val="17CA2D47"/>
    <w:rsid w:val="17DE7609"/>
    <w:rsid w:val="17E15EFC"/>
    <w:rsid w:val="17E46E8B"/>
    <w:rsid w:val="186326CD"/>
    <w:rsid w:val="189015C1"/>
    <w:rsid w:val="18B43502"/>
    <w:rsid w:val="18B90CB1"/>
    <w:rsid w:val="18DC4A8F"/>
    <w:rsid w:val="18DD46F6"/>
    <w:rsid w:val="18E52696"/>
    <w:rsid w:val="18E733F2"/>
    <w:rsid w:val="18EE6E9D"/>
    <w:rsid w:val="190855FC"/>
    <w:rsid w:val="19235F91"/>
    <w:rsid w:val="19373188"/>
    <w:rsid w:val="194014CF"/>
    <w:rsid w:val="197B401F"/>
    <w:rsid w:val="198729C4"/>
    <w:rsid w:val="19952838"/>
    <w:rsid w:val="19A246EC"/>
    <w:rsid w:val="19B4308D"/>
    <w:rsid w:val="19C812C8"/>
    <w:rsid w:val="19DB12ED"/>
    <w:rsid w:val="1A0A3AD8"/>
    <w:rsid w:val="1A547350"/>
    <w:rsid w:val="1A937147"/>
    <w:rsid w:val="1AA72C3B"/>
    <w:rsid w:val="1AAA0C58"/>
    <w:rsid w:val="1AAA10CE"/>
    <w:rsid w:val="1AB765E6"/>
    <w:rsid w:val="1AC3196F"/>
    <w:rsid w:val="1AC7726A"/>
    <w:rsid w:val="1AD82220"/>
    <w:rsid w:val="1B0D38D7"/>
    <w:rsid w:val="1B0D4C89"/>
    <w:rsid w:val="1B310344"/>
    <w:rsid w:val="1B334C64"/>
    <w:rsid w:val="1B540A26"/>
    <w:rsid w:val="1B6D7998"/>
    <w:rsid w:val="1B96274B"/>
    <w:rsid w:val="1B9F58CE"/>
    <w:rsid w:val="1BD657A9"/>
    <w:rsid w:val="1BFA2FC3"/>
    <w:rsid w:val="1C211E34"/>
    <w:rsid w:val="1C792991"/>
    <w:rsid w:val="1CA7489F"/>
    <w:rsid w:val="1CFF0AC4"/>
    <w:rsid w:val="1D095F63"/>
    <w:rsid w:val="1D2B64AD"/>
    <w:rsid w:val="1D320E6E"/>
    <w:rsid w:val="1D3B1545"/>
    <w:rsid w:val="1D540E0F"/>
    <w:rsid w:val="1D6C6F35"/>
    <w:rsid w:val="1D72263D"/>
    <w:rsid w:val="1D79054E"/>
    <w:rsid w:val="1D7A4260"/>
    <w:rsid w:val="1D965BEF"/>
    <w:rsid w:val="1DA125C3"/>
    <w:rsid w:val="1DB45D52"/>
    <w:rsid w:val="1DBF10E6"/>
    <w:rsid w:val="1DC17C39"/>
    <w:rsid w:val="1E6D4AAE"/>
    <w:rsid w:val="1E8D59FB"/>
    <w:rsid w:val="1E8E1732"/>
    <w:rsid w:val="1E913906"/>
    <w:rsid w:val="1E9B1611"/>
    <w:rsid w:val="1EBD275C"/>
    <w:rsid w:val="1ECA0720"/>
    <w:rsid w:val="1EFE225E"/>
    <w:rsid w:val="1F0F3395"/>
    <w:rsid w:val="1F2E0AC9"/>
    <w:rsid w:val="1F3B6052"/>
    <w:rsid w:val="1F65056F"/>
    <w:rsid w:val="1F8563B1"/>
    <w:rsid w:val="1FA77EFE"/>
    <w:rsid w:val="1FAC7ADB"/>
    <w:rsid w:val="1FB57B5F"/>
    <w:rsid w:val="1FDA574F"/>
    <w:rsid w:val="1FDE32B5"/>
    <w:rsid w:val="2020053C"/>
    <w:rsid w:val="202D34A1"/>
    <w:rsid w:val="20310280"/>
    <w:rsid w:val="20323948"/>
    <w:rsid w:val="203A77D5"/>
    <w:rsid w:val="204408F1"/>
    <w:rsid w:val="20463296"/>
    <w:rsid w:val="2050445F"/>
    <w:rsid w:val="205D447F"/>
    <w:rsid w:val="20656879"/>
    <w:rsid w:val="207F6714"/>
    <w:rsid w:val="20B039D3"/>
    <w:rsid w:val="20BA6A7D"/>
    <w:rsid w:val="20BC4D54"/>
    <w:rsid w:val="20BE2C1F"/>
    <w:rsid w:val="20C12DDC"/>
    <w:rsid w:val="20D53AB5"/>
    <w:rsid w:val="21191420"/>
    <w:rsid w:val="211C0DBB"/>
    <w:rsid w:val="212F26E9"/>
    <w:rsid w:val="21462BEF"/>
    <w:rsid w:val="21495DF5"/>
    <w:rsid w:val="21724C17"/>
    <w:rsid w:val="2172749F"/>
    <w:rsid w:val="21753196"/>
    <w:rsid w:val="217F3D25"/>
    <w:rsid w:val="21B343B3"/>
    <w:rsid w:val="21D72FC6"/>
    <w:rsid w:val="21E64AA1"/>
    <w:rsid w:val="221D798C"/>
    <w:rsid w:val="223324D4"/>
    <w:rsid w:val="226664B7"/>
    <w:rsid w:val="2284740D"/>
    <w:rsid w:val="22A73B3E"/>
    <w:rsid w:val="22AA546F"/>
    <w:rsid w:val="22DA19B2"/>
    <w:rsid w:val="22F92EA7"/>
    <w:rsid w:val="230102B6"/>
    <w:rsid w:val="231B4679"/>
    <w:rsid w:val="23280110"/>
    <w:rsid w:val="234D2500"/>
    <w:rsid w:val="238B62C4"/>
    <w:rsid w:val="238B72AE"/>
    <w:rsid w:val="239756EE"/>
    <w:rsid w:val="23B428FE"/>
    <w:rsid w:val="23CA7445"/>
    <w:rsid w:val="23FF76F8"/>
    <w:rsid w:val="24336DA7"/>
    <w:rsid w:val="243E0123"/>
    <w:rsid w:val="24430D47"/>
    <w:rsid w:val="244A2F6C"/>
    <w:rsid w:val="244E1ECC"/>
    <w:rsid w:val="245628AC"/>
    <w:rsid w:val="24567DD6"/>
    <w:rsid w:val="245B000B"/>
    <w:rsid w:val="247618AC"/>
    <w:rsid w:val="24916FBF"/>
    <w:rsid w:val="24921C2D"/>
    <w:rsid w:val="25070E5D"/>
    <w:rsid w:val="252407DE"/>
    <w:rsid w:val="25413A34"/>
    <w:rsid w:val="25445C0D"/>
    <w:rsid w:val="25535E50"/>
    <w:rsid w:val="255C04C8"/>
    <w:rsid w:val="255D282B"/>
    <w:rsid w:val="25651C1A"/>
    <w:rsid w:val="256576FC"/>
    <w:rsid w:val="256666C5"/>
    <w:rsid w:val="258129BE"/>
    <w:rsid w:val="258D1BD9"/>
    <w:rsid w:val="25994203"/>
    <w:rsid w:val="25AD3484"/>
    <w:rsid w:val="25B016CF"/>
    <w:rsid w:val="261047C5"/>
    <w:rsid w:val="264D1C3A"/>
    <w:rsid w:val="265044EA"/>
    <w:rsid w:val="265C0D35"/>
    <w:rsid w:val="266165C3"/>
    <w:rsid w:val="268D7140"/>
    <w:rsid w:val="269B0243"/>
    <w:rsid w:val="26A06E73"/>
    <w:rsid w:val="26B612F4"/>
    <w:rsid w:val="26BE19EF"/>
    <w:rsid w:val="26D044DE"/>
    <w:rsid w:val="26D91416"/>
    <w:rsid w:val="26F80BAE"/>
    <w:rsid w:val="27274607"/>
    <w:rsid w:val="273D0F55"/>
    <w:rsid w:val="274E0EEF"/>
    <w:rsid w:val="274F2647"/>
    <w:rsid w:val="275545B7"/>
    <w:rsid w:val="275A70B5"/>
    <w:rsid w:val="276A5C79"/>
    <w:rsid w:val="276C144B"/>
    <w:rsid w:val="2771321A"/>
    <w:rsid w:val="277C759E"/>
    <w:rsid w:val="27C1510D"/>
    <w:rsid w:val="27C72DDE"/>
    <w:rsid w:val="27C97ADC"/>
    <w:rsid w:val="27CD54D1"/>
    <w:rsid w:val="27DB2224"/>
    <w:rsid w:val="280160A5"/>
    <w:rsid w:val="280947ED"/>
    <w:rsid w:val="28151036"/>
    <w:rsid w:val="2818512F"/>
    <w:rsid w:val="28243C0D"/>
    <w:rsid w:val="282E2931"/>
    <w:rsid w:val="283B580B"/>
    <w:rsid w:val="28531690"/>
    <w:rsid w:val="287E4328"/>
    <w:rsid w:val="28C3509B"/>
    <w:rsid w:val="29096ABC"/>
    <w:rsid w:val="29131644"/>
    <w:rsid w:val="29422464"/>
    <w:rsid w:val="29496A62"/>
    <w:rsid w:val="29504EF8"/>
    <w:rsid w:val="296D5AAF"/>
    <w:rsid w:val="297211BB"/>
    <w:rsid w:val="29930F11"/>
    <w:rsid w:val="29C93357"/>
    <w:rsid w:val="29D22FED"/>
    <w:rsid w:val="2A215161"/>
    <w:rsid w:val="2A21651D"/>
    <w:rsid w:val="2A486BB9"/>
    <w:rsid w:val="2A653706"/>
    <w:rsid w:val="2A657603"/>
    <w:rsid w:val="2A7D18B9"/>
    <w:rsid w:val="2A9213B0"/>
    <w:rsid w:val="2AC0284D"/>
    <w:rsid w:val="2ADA0D7A"/>
    <w:rsid w:val="2ADE2BED"/>
    <w:rsid w:val="2AE95980"/>
    <w:rsid w:val="2AF05D00"/>
    <w:rsid w:val="2B0143CE"/>
    <w:rsid w:val="2B151462"/>
    <w:rsid w:val="2B18086E"/>
    <w:rsid w:val="2B4D4859"/>
    <w:rsid w:val="2B50164C"/>
    <w:rsid w:val="2B606BD1"/>
    <w:rsid w:val="2B681FF8"/>
    <w:rsid w:val="2B7E372B"/>
    <w:rsid w:val="2B9E2CF3"/>
    <w:rsid w:val="2BA14861"/>
    <w:rsid w:val="2BCA4ACE"/>
    <w:rsid w:val="2BD1187D"/>
    <w:rsid w:val="2BDF21EC"/>
    <w:rsid w:val="2BE133C4"/>
    <w:rsid w:val="2BE25B67"/>
    <w:rsid w:val="2BEA0B91"/>
    <w:rsid w:val="2BF0108D"/>
    <w:rsid w:val="2C445F61"/>
    <w:rsid w:val="2C9B7AB3"/>
    <w:rsid w:val="2CB43860"/>
    <w:rsid w:val="2CD44AF8"/>
    <w:rsid w:val="2CD97A0B"/>
    <w:rsid w:val="2CDA1172"/>
    <w:rsid w:val="2CEE501C"/>
    <w:rsid w:val="2CFB12A7"/>
    <w:rsid w:val="2D0A387C"/>
    <w:rsid w:val="2D20628D"/>
    <w:rsid w:val="2D293BB8"/>
    <w:rsid w:val="2D3C3519"/>
    <w:rsid w:val="2D4B565F"/>
    <w:rsid w:val="2D58023A"/>
    <w:rsid w:val="2D59578F"/>
    <w:rsid w:val="2D65288F"/>
    <w:rsid w:val="2D7543F8"/>
    <w:rsid w:val="2DA859DE"/>
    <w:rsid w:val="2DE51610"/>
    <w:rsid w:val="2DED7A59"/>
    <w:rsid w:val="2DF9330D"/>
    <w:rsid w:val="2E024EC2"/>
    <w:rsid w:val="2E1C2EF5"/>
    <w:rsid w:val="2E404FEA"/>
    <w:rsid w:val="2E4B78A6"/>
    <w:rsid w:val="2E5414BC"/>
    <w:rsid w:val="2E746294"/>
    <w:rsid w:val="2E881533"/>
    <w:rsid w:val="2EBD5A03"/>
    <w:rsid w:val="2ED33CEA"/>
    <w:rsid w:val="2ED420CE"/>
    <w:rsid w:val="2ED51AEB"/>
    <w:rsid w:val="2ED91B2C"/>
    <w:rsid w:val="2EFE48DE"/>
    <w:rsid w:val="2F0E550F"/>
    <w:rsid w:val="2F2E7897"/>
    <w:rsid w:val="2F397563"/>
    <w:rsid w:val="2F3A2C0B"/>
    <w:rsid w:val="2F4176C0"/>
    <w:rsid w:val="2F535070"/>
    <w:rsid w:val="2F5C1DA5"/>
    <w:rsid w:val="2F7E1D1C"/>
    <w:rsid w:val="2F9D575C"/>
    <w:rsid w:val="2FA37312"/>
    <w:rsid w:val="2FA8323D"/>
    <w:rsid w:val="2FDA7AF5"/>
    <w:rsid w:val="2FDC2D07"/>
    <w:rsid w:val="2FF164DD"/>
    <w:rsid w:val="30145DCA"/>
    <w:rsid w:val="3030528B"/>
    <w:rsid w:val="303B19BB"/>
    <w:rsid w:val="30406F9E"/>
    <w:rsid w:val="30456D72"/>
    <w:rsid w:val="30582CC7"/>
    <w:rsid w:val="306B1C3D"/>
    <w:rsid w:val="30714FED"/>
    <w:rsid w:val="30764FE7"/>
    <w:rsid w:val="30821396"/>
    <w:rsid w:val="308235EB"/>
    <w:rsid w:val="3087288E"/>
    <w:rsid w:val="30953B76"/>
    <w:rsid w:val="309612E7"/>
    <w:rsid w:val="30B729DB"/>
    <w:rsid w:val="30BA3228"/>
    <w:rsid w:val="30C101E2"/>
    <w:rsid w:val="30C54BAF"/>
    <w:rsid w:val="30CB0C8C"/>
    <w:rsid w:val="30CB3B9B"/>
    <w:rsid w:val="30CC4D09"/>
    <w:rsid w:val="30CC6F4A"/>
    <w:rsid w:val="30CE282F"/>
    <w:rsid w:val="30D20666"/>
    <w:rsid w:val="30DD371A"/>
    <w:rsid w:val="30ED5B24"/>
    <w:rsid w:val="30EF505A"/>
    <w:rsid w:val="30F027A5"/>
    <w:rsid w:val="30F261AE"/>
    <w:rsid w:val="31166F86"/>
    <w:rsid w:val="312E2E77"/>
    <w:rsid w:val="313A1C72"/>
    <w:rsid w:val="316F5349"/>
    <w:rsid w:val="317E0366"/>
    <w:rsid w:val="31A30A4A"/>
    <w:rsid w:val="31A33AA1"/>
    <w:rsid w:val="31B54688"/>
    <w:rsid w:val="31C21E27"/>
    <w:rsid w:val="31D0106A"/>
    <w:rsid w:val="31E47035"/>
    <w:rsid w:val="31E70E77"/>
    <w:rsid w:val="31F854E1"/>
    <w:rsid w:val="31F93309"/>
    <w:rsid w:val="31FC2FF6"/>
    <w:rsid w:val="31FD78E9"/>
    <w:rsid w:val="32364B30"/>
    <w:rsid w:val="326B110E"/>
    <w:rsid w:val="326C06C8"/>
    <w:rsid w:val="326E0D3B"/>
    <w:rsid w:val="32A712BA"/>
    <w:rsid w:val="32B264A1"/>
    <w:rsid w:val="32B44946"/>
    <w:rsid w:val="32BA479B"/>
    <w:rsid w:val="32C11ADD"/>
    <w:rsid w:val="32CA196C"/>
    <w:rsid w:val="32F10326"/>
    <w:rsid w:val="32FA333F"/>
    <w:rsid w:val="330B7CAD"/>
    <w:rsid w:val="33146C22"/>
    <w:rsid w:val="33211CFA"/>
    <w:rsid w:val="332874AD"/>
    <w:rsid w:val="33533D94"/>
    <w:rsid w:val="33B60F0F"/>
    <w:rsid w:val="33C204A7"/>
    <w:rsid w:val="33D94143"/>
    <w:rsid w:val="33FD3084"/>
    <w:rsid w:val="3413690A"/>
    <w:rsid w:val="34454265"/>
    <w:rsid w:val="345E24D1"/>
    <w:rsid w:val="346A7BCF"/>
    <w:rsid w:val="34814BCF"/>
    <w:rsid w:val="34824778"/>
    <w:rsid w:val="348C4F88"/>
    <w:rsid w:val="34973F47"/>
    <w:rsid w:val="34A33B07"/>
    <w:rsid w:val="34DB376C"/>
    <w:rsid w:val="34E348BE"/>
    <w:rsid w:val="35101668"/>
    <w:rsid w:val="35110CC8"/>
    <w:rsid w:val="351F3659"/>
    <w:rsid w:val="35220001"/>
    <w:rsid w:val="35590374"/>
    <w:rsid w:val="356B2A0F"/>
    <w:rsid w:val="357A3838"/>
    <w:rsid w:val="358A6C10"/>
    <w:rsid w:val="359A3A8C"/>
    <w:rsid w:val="35AC01F2"/>
    <w:rsid w:val="35CE6E2D"/>
    <w:rsid w:val="3613585B"/>
    <w:rsid w:val="36321290"/>
    <w:rsid w:val="36424C3B"/>
    <w:rsid w:val="3647794D"/>
    <w:rsid w:val="3658358C"/>
    <w:rsid w:val="36A56635"/>
    <w:rsid w:val="36A60D62"/>
    <w:rsid w:val="36AD162D"/>
    <w:rsid w:val="36B90A97"/>
    <w:rsid w:val="36C92741"/>
    <w:rsid w:val="36EB4174"/>
    <w:rsid w:val="36FE61AE"/>
    <w:rsid w:val="370F19F3"/>
    <w:rsid w:val="37102263"/>
    <w:rsid w:val="372D3EF5"/>
    <w:rsid w:val="373D2DFA"/>
    <w:rsid w:val="3753434C"/>
    <w:rsid w:val="379F59C1"/>
    <w:rsid w:val="37B46714"/>
    <w:rsid w:val="380946B6"/>
    <w:rsid w:val="380A513E"/>
    <w:rsid w:val="38116B11"/>
    <w:rsid w:val="383028B0"/>
    <w:rsid w:val="383864ED"/>
    <w:rsid w:val="38703B97"/>
    <w:rsid w:val="389E6A5F"/>
    <w:rsid w:val="38CC3AF8"/>
    <w:rsid w:val="38D33B52"/>
    <w:rsid w:val="38D64556"/>
    <w:rsid w:val="391C380C"/>
    <w:rsid w:val="391F2AFD"/>
    <w:rsid w:val="39897C3B"/>
    <w:rsid w:val="398E6FFF"/>
    <w:rsid w:val="39BE465E"/>
    <w:rsid w:val="39C86FD5"/>
    <w:rsid w:val="39CA4E68"/>
    <w:rsid w:val="39EE4294"/>
    <w:rsid w:val="3A031F92"/>
    <w:rsid w:val="3A0C0228"/>
    <w:rsid w:val="3A127ACC"/>
    <w:rsid w:val="3A272246"/>
    <w:rsid w:val="3A2C18CA"/>
    <w:rsid w:val="3A3E06CA"/>
    <w:rsid w:val="3A445846"/>
    <w:rsid w:val="3A557B1D"/>
    <w:rsid w:val="3A68325A"/>
    <w:rsid w:val="3A6957DB"/>
    <w:rsid w:val="3A865F28"/>
    <w:rsid w:val="3AAC06E8"/>
    <w:rsid w:val="3ABA4BA7"/>
    <w:rsid w:val="3AEC11B5"/>
    <w:rsid w:val="3AF03860"/>
    <w:rsid w:val="3B013C77"/>
    <w:rsid w:val="3B0F00F5"/>
    <w:rsid w:val="3B163750"/>
    <w:rsid w:val="3B210E72"/>
    <w:rsid w:val="3B36794F"/>
    <w:rsid w:val="3B6B0250"/>
    <w:rsid w:val="3B702F3D"/>
    <w:rsid w:val="3B822B94"/>
    <w:rsid w:val="3B842323"/>
    <w:rsid w:val="3B8442F2"/>
    <w:rsid w:val="3BBA3BCF"/>
    <w:rsid w:val="3BC02A74"/>
    <w:rsid w:val="3BD77022"/>
    <w:rsid w:val="3BE251FF"/>
    <w:rsid w:val="3BF34A1D"/>
    <w:rsid w:val="3BFF5BE1"/>
    <w:rsid w:val="3C21315F"/>
    <w:rsid w:val="3C2A0477"/>
    <w:rsid w:val="3C4F08ED"/>
    <w:rsid w:val="3C5723FA"/>
    <w:rsid w:val="3C6C2A49"/>
    <w:rsid w:val="3C7A72EF"/>
    <w:rsid w:val="3C8B5A78"/>
    <w:rsid w:val="3CCC056A"/>
    <w:rsid w:val="3CE86A81"/>
    <w:rsid w:val="3CF960EF"/>
    <w:rsid w:val="3D3C4E79"/>
    <w:rsid w:val="3D452CE3"/>
    <w:rsid w:val="3D576BE7"/>
    <w:rsid w:val="3D5E3EE5"/>
    <w:rsid w:val="3DA20451"/>
    <w:rsid w:val="3DA87911"/>
    <w:rsid w:val="3DBF3C2B"/>
    <w:rsid w:val="3DCD548E"/>
    <w:rsid w:val="3DF00289"/>
    <w:rsid w:val="3E102BC8"/>
    <w:rsid w:val="3E285C74"/>
    <w:rsid w:val="3E436645"/>
    <w:rsid w:val="3E443DD0"/>
    <w:rsid w:val="3E5772FE"/>
    <w:rsid w:val="3E787087"/>
    <w:rsid w:val="3E7E4B3D"/>
    <w:rsid w:val="3E80225A"/>
    <w:rsid w:val="3EA4715D"/>
    <w:rsid w:val="3EAA68CD"/>
    <w:rsid w:val="3EE30A30"/>
    <w:rsid w:val="3EEF005D"/>
    <w:rsid w:val="3EF56ECB"/>
    <w:rsid w:val="3EFF0708"/>
    <w:rsid w:val="3F051B12"/>
    <w:rsid w:val="3F0A3424"/>
    <w:rsid w:val="3F0E05B1"/>
    <w:rsid w:val="3F1222A6"/>
    <w:rsid w:val="3F1C007A"/>
    <w:rsid w:val="3F2C4C85"/>
    <w:rsid w:val="3F3F5F1E"/>
    <w:rsid w:val="3F5234C8"/>
    <w:rsid w:val="3F54165D"/>
    <w:rsid w:val="3F874C1D"/>
    <w:rsid w:val="3F966C0E"/>
    <w:rsid w:val="3F9F6718"/>
    <w:rsid w:val="3FA46762"/>
    <w:rsid w:val="3FD36CD7"/>
    <w:rsid w:val="3FD6237F"/>
    <w:rsid w:val="3FF8777C"/>
    <w:rsid w:val="3FFF4F2D"/>
    <w:rsid w:val="40215BD4"/>
    <w:rsid w:val="408348BC"/>
    <w:rsid w:val="40BA6DA3"/>
    <w:rsid w:val="40DC2040"/>
    <w:rsid w:val="40F1294E"/>
    <w:rsid w:val="40F4509D"/>
    <w:rsid w:val="40FF5C23"/>
    <w:rsid w:val="41024717"/>
    <w:rsid w:val="41270465"/>
    <w:rsid w:val="413F4274"/>
    <w:rsid w:val="414C522F"/>
    <w:rsid w:val="417411D1"/>
    <w:rsid w:val="41AF62F6"/>
    <w:rsid w:val="41E04080"/>
    <w:rsid w:val="420F1253"/>
    <w:rsid w:val="424B1F31"/>
    <w:rsid w:val="426E51C1"/>
    <w:rsid w:val="42760BE7"/>
    <w:rsid w:val="427D6F5C"/>
    <w:rsid w:val="4293483E"/>
    <w:rsid w:val="429C4F38"/>
    <w:rsid w:val="42B6049B"/>
    <w:rsid w:val="42B70E39"/>
    <w:rsid w:val="42C2592E"/>
    <w:rsid w:val="42CF2B89"/>
    <w:rsid w:val="42D862E7"/>
    <w:rsid w:val="430F56AE"/>
    <w:rsid w:val="431149D7"/>
    <w:rsid w:val="4316534F"/>
    <w:rsid w:val="434A67A6"/>
    <w:rsid w:val="434D0785"/>
    <w:rsid w:val="435C338F"/>
    <w:rsid w:val="43A53C00"/>
    <w:rsid w:val="43C65E5E"/>
    <w:rsid w:val="43E522F1"/>
    <w:rsid w:val="440A3E06"/>
    <w:rsid w:val="44324DDE"/>
    <w:rsid w:val="4445623B"/>
    <w:rsid w:val="444C3DF3"/>
    <w:rsid w:val="446049E5"/>
    <w:rsid w:val="44660972"/>
    <w:rsid w:val="446C1B10"/>
    <w:rsid w:val="44752BF3"/>
    <w:rsid w:val="449E6563"/>
    <w:rsid w:val="44B040D7"/>
    <w:rsid w:val="44BA2076"/>
    <w:rsid w:val="44D73F50"/>
    <w:rsid w:val="44D822D6"/>
    <w:rsid w:val="44F168F4"/>
    <w:rsid w:val="45085497"/>
    <w:rsid w:val="450D204D"/>
    <w:rsid w:val="45231D5E"/>
    <w:rsid w:val="45240818"/>
    <w:rsid w:val="45321187"/>
    <w:rsid w:val="4533216F"/>
    <w:rsid w:val="453D6C8A"/>
    <w:rsid w:val="45467398"/>
    <w:rsid w:val="45672093"/>
    <w:rsid w:val="456A7A63"/>
    <w:rsid w:val="4588349D"/>
    <w:rsid w:val="45884F7C"/>
    <w:rsid w:val="45A470E5"/>
    <w:rsid w:val="45B23B00"/>
    <w:rsid w:val="45CE61D4"/>
    <w:rsid w:val="45D10D46"/>
    <w:rsid w:val="45DD2BDA"/>
    <w:rsid w:val="45FA2B93"/>
    <w:rsid w:val="460348D1"/>
    <w:rsid w:val="461B60BF"/>
    <w:rsid w:val="461F45F4"/>
    <w:rsid w:val="464B6AB0"/>
    <w:rsid w:val="465F288C"/>
    <w:rsid w:val="46710BCE"/>
    <w:rsid w:val="46746CBB"/>
    <w:rsid w:val="46794B93"/>
    <w:rsid w:val="4687226F"/>
    <w:rsid w:val="46C30911"/>
    <w:rsid w:val="46D631B6"/>
    <w:rsid w:val="46F5183A"/>
    <w:rsid w:val="46F7741A"/>
    <w:rsid w:val="47144B64"/>
    <w:rsid w:val="47176CAE"/>
    <w:rsid w:val="47266AC9"/>
    <w:rsid w:val="47516D0C"/>
    <w:rsid w:val="476E0B50"/>
    <w:rsid w:val="479A72E7"/>
    <w:rsid w:val="47E15B31"/>
    <w:rsid w:val="48037BDA"/>
    <w:rsid w:val="48110DAD"/>
    <w:rsid w:val="48265BAB"/>
    <w:rsid w:val="48376F2A"/>
    <w:rsid w:val="48557286"/>
    <w:rsid w:val="485A27D8"/>
    <w:rsid w:val="485F12D7"/>
    <w:rsid w:val="48720648"/>
    <w:rsid w:val="48937786"/>
    <w:rsid w:val="48A96FD5"/>
    <w:rsid w:val="48C219B3"/>
    <w:rsid w:val="48FB1966"/>
    <w:rsid w:val="490D706B"/>
    <w:rsid w:val="493A7349"/>
    <w:rsid w:val="495913F6"/>
    <w:rsid w:val="49710B97"/>
    <w:rsid w:val="49752A94"/>
    <w:rsid w:val="497D74FE"/>
    <w:rsid w:val="4990049A"/>
    <w:rsid w:val="49A04487"/>
    <w:rsid w:val="49A33E79"/>
    <w:rsid w:val="49AE2F4E"/>
    <w:rsid w:val="49B341B6"/>
    <w:rsid w:val="49D022EA"/>
    <w:rsid w:val="49D927B0"/>
    <w:rsid w:val="49E5343B"/>
    <w:rsid w:val="49FA3056"/>
    <w:rsid w:val="4A486552"/>
    <w:rsid w:val="4A510BD5"/>
    <w:rsid w:val="4A822555"/>
    <w:rsid w:val="4AB81764"/>
    <w:rsid w:val="4AE54BC6"/>
    <w:rsid w:val="4B0A6530"/>
    <w:rsid w:val="4B1D6435"/>
    <w:rsid w:val="4B4E2A92"/>
    <w:rsid w:val="4B5D7098"/>
    <w:rsid w:val="4B761D51"/>
    <w:rsid w:val="4B871835"/>
    <w:rsid w:val="4BA74520"/>
    <w:rsid w:val="4BEF1B80"/>
    <w:rsid w:val="4C1859E4"/>
    <w:rsid w:val="4C3032BC"/>
    <w:rsid w:val="4C943F2C"/>
    <w:rsid w:val="4C9920F5"/>
    <w:rsid w:val="4C9C27E6"/>
    <w:rsid w:val="4CA778DF"/>
    <w:rsid w:val="4CAC7EDE"/>
    <w:rsid w:val="4CC53416"/>
    <w:rsid w:val="4CE54EAA"/>
    <w:rsid w:val="4CF52600"/>
    <w:rsid w:val="4CFE5DF2"/>
    <w:rsid w:val="4D0E24D9"/>
    <w:rsid w:val="4D115085"/>
    <w:rsid w:val="4D1D36CF"/>
    <w:rsid w:val="4D292A26"/>
    <w:rsid w:val="4D374DAA"/>
    <w:rsid w:val="4D7A615F"/>
    <w:rsid w:val="4DA348A5"/>
    <w:rsid w:val="4DA73800"/>
    <w:rsid w:val="4DD9098D"/>
    <w:rsid w:val="4DD9508F"/>
    <w:rsid w:val="4DE566F3"/>
    <w:rsid w:val="4DF70A34"/>
    <w:rsid w:val="4E081392"/>
    <w:rsid w:val="4E102281"/>
    <w:rsid w:val="4E2E504E"/>
    <w:rsid w:val="4E3F13E0"/>
    <w:rsid w:val="4E676348"/>
    <w:rsid w:val="4E6D6F9E"/>
    <w:rsid w:val="4EAF7F93"/>
    <w:rsid w:val="4ED466A8"/>
    <w:rsid w:val="4EE370A0"/>
    <w:rsid w:val="4EEA7805"/>
    <w:rsid w:val="4F4D6230"/>
    <w:rsid w:val="4F523BA7"/>
    <w:rsid w:val="4F811CEE"/>
    <w:rsid w:val="4F886166"/>
    <w:rsid w:val="4F893350"/>
    <w:rsid w:val="4F8A4A15"/>
    <w:rsid w:val="4F8E16AF"/>
    <w:rsid w:val="4FA01D19"/>
    <w:rsid w:val="4FAC4C61"/>
    <w:rsid w:val="4FB12D62"/>
    <w:rsid w:val="4FD70E84"/>
    <w:rsid w:val="4FDD43E5"/>
    <w:rsid w:val="50061F1C"/>
    <w:rsid w:val="500813B6"/>
    <w:rsid w:val="500814FB"/>
    <w:rsid w:val="50093785"/>
    <w:rsid w:val="5046693C"/>
    <w:rsid w:val="504C24BB"/>
    <w:rsid w:val="50574928"/>
    <w:rsid w:val="50613B94"/>
    <w:rsid w:val="50852BD8"/>
    <w:rsid w:val="508F2479"/>
    <w:rsid w:val="509727E6"/>
    <w:rsid w:val="50984C98"/>
    <w:rsid w:val="50A33A98"/>
    <w:rsid w:val="50AE593F"/>
    <w:rsid w:val="50C11611"/>
    <w:rsid w:val="50D17EF7"/>
    <w:rsid w:val="512C7A8E"/>
    <w:rsid w:val="512E314A"/>
    <w:rsid w:val="51331F49"/>
    <w:rsid w:val="51380B46"/>
    <w:rsid w:val="513F302A"/>
    <w:rsid w:val="513F339B"/>
    <w:rsid w:val="514646E8"/>
    <w:rsid w:val="51562A2F"/>
    <w:rsid w:val="518112F3"/>
    <w:rsid w:val="519525A0"/>
    <w:rsid w:val="51CD379C"/>
    <w:rsid w:val="51CF595A"/>
    <w:rsid w:val="51F1174E"/>
    <w:rsid w:val="52000675"/>
    <w:rsid w:val="52031183"/>
    <w:rsid w:val="520A1160"/>
    <w:rsid w:val="520B348B"/>
    <w:rsid w:val="52190F59"/>
    <w:rsid w:val="52603DB4"/>
    <w:rsid w:val="52AC1B5C"/>
    <w:rsid w:val="52C86D6D"/>
    <w:rsid w:val="52CF0A44"/>
    <w:rsid w:val="52D71D3A"/>
    <w:rsid w:val="52DC6BD6"/>
    <w:rsid w:val="52DE177E"/>
    <w:rsid w:val="52E949E7"/>
    <w:rsid w:val="530413B6"/>
    <w:rsid w:val="533F13F6"/>
    <w:rsid w:val="536410A5"/>
    <w:rsid w:val="539002A8"/>
    <w:rsid w:val="53966D85"/>
    <w:rsid w:val="53A935F0"/>
    <w:rsid w:val="53BB6EC7"/>
    <w:rsid w:val="53C11E92"/>
    <w:rsid w:val="53D9122C"/>
    <w:rsid w:val="53DA1367"/>
    <w:rsid w:val="53DE2435"/>
    <w:rsid w:val="540A7A37"/>
    <w:rsid w:val="54111ADD"/>
    <w:rsid w:val="544407AB"/>
    <w:rsid w:val="544A46A5"/>
    <w:rsid w:val="547A3496"/>
    <w:rsid w:val="547E0966"/>
    <w:rsid w:val="547F4C50"/>
    <w:rsid w:val="54834172"/>
    <w:rsid w:val="548B68C9"/>
    <w:rsid w:val="548E73B7"/>
    <w:rsid w:val="54936357"/>
    <w:rsid w:val="54AA4354"/>
    <w:rsid w:val="54E374CE"/>
    <w:rsid w:val="550D249D"/>
    <w:rsid w:val="551B4D39"/>
    <w:rsid w:val="552D6DD8"/>
    <w:rsid w:val="553824CA"/>
    <w:rsid w:val="55484C29"/>
    <w:rsid w:val="5559726C"/>
    <w:rsid w:val="556644E1"/>
    <w:rsid w:val="55A04672"/>
    <w:rsid w:val="55A16D1C"/>
    <w:rsid w:val="55A22D19"/>
    <w:rsid w:val="55C81EEC"/>
    <w:rsid w:val="55EB07FC"/>
    <w:rsid w:val="55F74817"/>
    <w:rsid w:val="561129C4"/>
    <w:rsid w:val="561C39C0"/>
    <w:rsid w:val="5641068D"/>
    <w:rsid w:val="564210CC"/>
    <w:rsid w:val="56427054"/>
    <w:rsid w:val="564B1124"/>
    <w:rsid w:val="566413BC"/>
    <w:rsid w:val="56696900"/>
    <w:rsid w:val="56893FCC"/>
    <w:rsid w:val="568C2568"/>
    <w:rsid w:val="56B15C7D"/>
    <w:rsid w:val="56C9121F"/>
    <w:rsid w:val="56D51F0A"/>
    <w:rsid w:val="573C40E7"/>
    <w:rsid w:val="574B6FEF"/>
    <w:rsid w:val="575603D6"/>
    <w:rsid w:val="57691A9E"/>
    <w:rsid w:val="5778274A"/>
    <w:rsid w:val="57831068"/>
    <w:rsid w:val="57B079EB"/>
    <w:rsid w:val="57BC7D52"/>
    <w:rsid w:val="57CC3CD5"/>
    <w:rsid w:val="57CD70EC"/>
    <w:rsid w:val="57FE5FA5"/>
    <w:rsid w:val="580764A3"/>
    <w:rsid w:val="580C32E9"/>
    <w:rsid w:val="580C4CD1"/>
    <w:rsid w:val="58173245"/>
    <w:rsid w:val="581E5741"/>
    <w:rsid w:val="582809F8"/>
    <w:rsid w:val="58295E6C"/>
    <w:rsid w:val="5834289E"/>
    <w:rsid w:val="58464FA6"/>
    <w:rsid w:val="58493820"/>
    <w:rsid w:val="58666EB9"/>
    <w:rsid w:val="58831FCD"/>
    <w:rsid w:val="589C1452"/>
    <w:rsid w:val="58A60C7F"/>
    <w:rsid w:val="58B905F4"/>
    <w:rsid w:val="58D73C77"/>
    <w:rsid w:val="58E0187E"/>
    <w:rsid w:val="58E4724B"/>
    <w:rsid w:val="58E74B94"/>
    <w:rsid w:val="58EB2CD9"/>
    <w:rsid w:val="58FF1AD9"/>
    <w:rsid w:val="58FF3869"/>
    <w:rsid w:val="590D2CC0"/>
    <w:rsid w:val="59157EF0"/>
    <w:rsid w:val="59296DD7"/>
    <w:rsid w:val="593516B6"/>
    <w:rsid w:val="59920011"/>
    <w:rsid w:val="59B53C22"/>
    <w:rsid w:val="59CD1026"/>
    <w:rsid w:val="59DA1206"/>
    <w:rsid w:val="59E36A9C"/>
    <w:rsid w:val="59EE16C8"/>
    <w:rsid w:val="59F26EC9"/>
    <w:rsid w:val="59FA2DF6"/>
    <w:rsid w:val="5A326C3E"/>
    <w:rsid w:val="5A4E15BC"/>
    <w:rsid w:val="5A530D01"/>
    <w:rsid w:val="5A5A68D3"/>
    <w:rsid w:val="5A743DED"/>
    <w:rsid w:val="5A7C0AF6"/>
    <w:rsid w:val="5A8C0B94"/>
    <w:rsid w:val="5AAD14E0"/>
    <w:rsid w:val="5ADD36EF"/>
    <w:rsid w:val="5AE95B55"/>
    <w:rsid w:val="5AF86E69"/>
    <w:rsid w:val="5B056192"/>
    <w:rsid w:val="5B081AB1"/>
    <w:rsid w:val="5B153001"/>
    <w:rsid w:val="5B1A5B33"/>
    <w:rsid w:val="5B231846"/>
    <w:rsid w:val="5B500B59"/>
    <w:rsid w:val="5B640C96"/>
    <w:rsid w:val="5B7763B9"/>
    <w:rsid w:val="5B810E0B"/>
    <w:rsid w:val="5B812FDC"/>
    <w:rsid w:val="5B8955D8"/>
    <w:rsid w:val="5B911B5A"/>
    <w:rsid w:val="5BA6424D"/>
    <w:rsid w:val="5BA8378D"/>
    <w:rsid w:val="5BBB00A3"/>
    <w:rsid w:val="5BD5525B"/>
    <w:rsid w:val="5BE36C26"/>
    <w:rsid w:val="5BEB5F37"/>
    <w:rsid w:val="5BF1063E"/>
    <w:rsid w:val="5BF43C20"/>
    <w:rsid w:val="5BFE1777"/>
    <w:rsid w:val="5C0C44F2"/>
    <w:rsid w:val="5C2443E2"/>
    <w:rsid w:val="5C313AEE"/>
    <w:rsid w:val="5C65668A"/>
    <w:rsid w:val="5C6F65BF"/>
    <w:rsid w:val="5C702869"/>
    <w:rsid w:val="5C9212C4"/>
    <w:rsid w:val="5CC44887"/>
    <w:rsid w:val="5CD64EEC"/>
    <w:rsid w:val="5CFA284C"/>
    <w:rsid w:val="5D1C1C6E"/>
    <w:rsid w:val="5D680F80"/>
    <w:rsid w:val="5D717F20"/>
    <w:rsid w:val="5D7F6ADB"/>
    <w:rsid w:val="5D8068D9"/>
    <w:rsid w:val="5D84025D"/>
    <w:rsid w:val="5DA42F24"/>
    <w:rsid w:val="5DB46280"/>
    <w:rsid w:val="5DC666FD"/>
    <w:rsid w:val="5DDB3323"/>
    <w:rsid w:val="5DF4238F"/>
    <w:rsid w:val="5E2B7310"/>
    <w:rsid w:val="5E35109B"/>
    <w:rsid w:val="5E3B0012"/>
    <w:rsid w:val="5E3C7C68"/>
    <w:rsid w:val="5E4966A0"/>
    <w:rsid w:val="5E506C8B"/>
    <w:rsid w:val="5E520C3C"/>
    <w:rsid w:val="5E6B0F24"/>
    <w:rsid w:val="5E8659F7"/>
    <w:rsid w:val="5E896645"/>
    <w:rsid w:val="5E8E28E2"/>
    <w:rsid w:val="5EAD2E69"/>
    <w:rsid w:val="5EB12A83"/>
    <w:rsid w:val="5EBA601D"/>
    <w:rsid w:val="5ED864A3"/>
    <w:rsid w:val="5EE07BBC"/>
    <w:rsid w:val="5EE50805"/>
    <w:rsid w:val="5F0F069E"/>
    <w:rsid w:val="5F13572D"/>
    <w:rsid w:val="5F5B4E14"/>
    <w:rsid w:val="5F8B5C0B"/>
    <w:rsid w:val="5FA34D03"/>
    <w:rsid w:val="5FB80CF6"/>
    <w:rsid w:val="5FD61386"/>
    <w:rsid w:val="5FDA7074"/>
    <w:rsid w:val="604240FA"/>
    <w:rsid w:val="604525D2"/>
    <w:rsid w:val="60466D0C"/>
    <w:rsid w:val="604C3E0B"/>
    <w:rsid w:val="60546730"/>
    <w:rsid w:val="60621DCD"/>
    <w:rsid w:val="606269D2"/>
    <w:rsid w:val="60756245"/>
    <w:rsid w:val="60957760"/>
    <w:rsid w:val="60A05F88"/>
    <w:rsid w:val="60CE58E9"/>
    <w:rsid w:val="60D158A0"/>
    <w:rsid w:val="60E9235E"/>
    <w:rsid w:val="610C5FBE"/>
    <w:rsid w:val="611C2FBF"/>
    <w:rsid w:val="612A5A76"/>
    <w:rsid w:val="61321F33"/>
    <w:rsid w:val="61474017"/>
    <w:rsid w:val="615734ED"/>
    <w:rsid w:val="61796912"/>
    <w:rsid w:val="61873935"/>
    <w:rsid w:val="61A43CBB"/>
    <w:rsid w:val="620233A5"/>
    <w:rsid w:val="622C736C"/>
    <w:rsid w:val="623F53EF"/>
    <w:rsid w:val="62630B6D"/>
    <w:rsid w:val="629579D6"/>
    <w:rsid w:val="62A626FF"/>
    <w:rsid w:val="62A928F8"/>
    <w:rsid w:val="62BC7819"/>
    <w:rsid w:val="62BE0498"/>
    <w:rsid w:val="62C03E1E"/>
    <w:rsid w:val="62D71347"/>
    <w:rsid w:val="62EF11BC"/>
    <w:rsid w:val="630158AC"/>
    <w:rsid w:val="630A1CA7"/>
    <w:rsid w:val="6322756F"/>
    <w:rsid w:val="63333538"/>
    <w:rsid w:val="63377425"/>
    <w:rsid w:val="639421FE"/>
    <w:rsid w:val="63955021"/>
    <w:rsid w:val="63A953A9"/>
    <w:rsid w:val="63C42F10"/>
    <w:rsid w:val="63D537D1"/>
    <w:rsid w:val="641928F9"/>
    <w:rsid w:val="643F0903"/>
    <w:rsid w:val="644948BF"/>
    <w:rsid w:val="64520AA6"/>
    <w:rsid w:val="64A7206F"/>
    <w:rsid w:val="64EF09EB"/>
    <w:rsid w:val="651E21F5"/>
    <w:rsid w:val="65256072"/>
    <w:rsid w:val="652B4479"/>
    <w:rsid w:val="65312295"/>
    <w:rsid w:val="65517745"/>
    <w:rsid w:val="65644919"/>
    <w:rsid w:val="65737874"/>
    <w:rsid w:val="65793D01"/>
    <w:rsid w:val="65811949"/>
    <w:rsid w:val="65942F53"/>
    <w:rsid w:val="65A13A93"/>
    <w:rsid w:val="65B71DD9"/>
    <w:rsid w:val="65D33E8A"/>
    <w:rsid w:val="65FD7793"/>
    <w:rsid w:val="66490E35"/>
    <w:rsid w:val="664C7C3C"/>
    <w:rsid w:val="66530429"/>
    <w:rsid w:val="66606EE4"/>
    <w:rsid w:val="66636925"/>
    <w:rsid w:val="6672633E"/>
    <w:rsid w:val="669B2BD8"/>
    <w:rsid w:val="66B3569C"/>
    <w:rsid w:val="66D76C8E"/>
    <w:rsid w:val="66E36E75"/>
    <w:rsid w:val="66EC51E2"/>
    <w:rsid w:val="66FA182D"/>
    <w:rsid w:val="67015827"/>
    <w:rsid w:val="670D4B76"/>
    <w:rsid w:val="67121D97"/>
    <w:rsid w:val="672148B0"/>
    <w:rsid w:val="67294DB6"/>
    <w:rsid w:val="674C5C80"/>
    <w:rsid w:val="67693F7C"/>
    <w:rsid w:val="6775783B"/>
    <w:rsid w:val="677B0220"/>
    <w:rsid w:val="679030DF"/>
    <w:rsid w:val="67923636"/>
    <w:rsid w:val="679E25C6"/>
    <w:rsid w:val="67A97026"/>
    <w:rsid w:val="67BD092C"/>
    <w:rsid w:val="67BE797F"/>
    <w:rsid w:val="67C3669A"/>
    <w:rsid w:val="67E354FC"/>
    <w:rsid w:val="680E0640"/>
    <w:rsid w:val="681275B0"/>
    <w:rsid w:val="68250FEF"/>
    <w:rsid w:val="682A225F"/>
    <w:rsid w:val="682B20B4"/>
    <w:rsid w:val="6895394D"/>
    <w:rsid w:val="689773CF"/>
    <w:rsid w:val="68B06BF9"/>
    <w:rsid w:val="69454135"/>
    <w:rsid w:val="694F27C3"/>
    <w:rsid w:val="69A7339A"/>
    <w:rsid w:val="69AA3796"/>
    <w:rsid w:val="69B37821"/>
    <w:rsid w:val="69B8088F"/>
    <w:rsid w:val="69BC751C"/>
    <w:rsid w:val="69D72179"/>
    <w:rsid w:val="69EE5D15"/>
    <w:rsid w:val="69F02E55"/>
    <w:rsid w:val="69F24FAA"/>
    <w:rsid w:val="69F523FA"/>
    <w:rsid w:val="69F85C4B"/>
    <w:rsid w:val="6A0C2C21"/>
    <w:rsid w:val="6A1D6D2A"/>
    <w:rsid w:val="6A394F59"/>
    <w:rsid w:val="6A3A1933"/>
    <w:rsid w:val="6A3E3C80"/>
    <w:rsid w:val="6A49164F"/>
    <w:rsid w:val="6A6756F6"/>
    <w:rsid w:val="6A90057A"/>
    <w:rsid w:val="6AB47D15"/>
    <w:rsid w:val="6AC34A2B"/>
    <w:rsid w:val="6ACB0346"/>
    <w:rsid w:val="6AD97B8E"/>
    <w:rsid w:val="6B20150E"/>
    <w:rsid w:val="6B3E2D6F"/>
    <w:rsid w:val="6B5B505D"/>
    <w:rsid w:val="6B7F5867"/>
    <w:rsid w:val="6B823440"/>
    <w:rsid w:val="6BA6402E"/>
    <w:rsid w:val="6BAD26B6"/>
    <w:rsid w:val="6BC41038"/>
    <w:rsid w:val="6BC67E6D"/>
    <w:rsid w:val="6BE7241B"/>
    <w:rsid w:val="6BE827B5"/>
    <w:rsid w:val="6BF30BB0"/>
    <w:rsid w:val="6BF87C10"/>
    <w:rsid w:val="6C040D59"/>
    <w:rsid w:val="6C0905E4"/>
    <w:rsid w:val="6C0D16A3"/>
    <w:rsid w:val="6C780605"/>
    <w:rsid w:val="6CC4103A"/>
    <w:rsid w:val="6CCF5389"/>
    <w:rsid w:val="6CDB6004"/>
    <w:rsid w:val="6CE612E6"/>
    <w:rsid w:val="6D3B40D5"/>
    <w:rsid w:val="6D601DB9"/>
    <w:rsid w:val="6D6A50B2"/>
    <w:rsid w:val="6D6E1FFA"/>
    <w:rsid w:val="6D890EF7"/>
    <w:rsid w:val="6DA902A3"/>
    <w:rsid w:val="6DB04422"/>
    <w:rsid w:val="6DC968E5"/>
    <w:rsid w:val="6DE26B1F"/>
    <w:rsid w:val="6DEE34C4"/>
    <w:rsid w:val="6DEE7EE7"/>
    <w:rsid w:val="6DF332FA"/>
    <w:rsid w:val="6E334A3E"/>
    <w:rsid w:val="6E3D4411"/>
    <w:rsid w:val="6E456486"/>
    <w:rsid w:val="6E522C6A"/>
    <w:rsid w:val="6E7F3A9C"/>
    <w:rsid w:val="6EA91C0A"/>
    <w:rsid w:val="6EC35B23"/>
    <w:rsid w:val="6EDB7958"/>
    <w:rsid w:val="6F023E6B"/>
    <w:rsid w:val="6F316A46"/>
    <w:rsid w:val="6F4A6F49"/>
    <w:rsid w:val="6F4E40B7"/>
    <w:rsid w:val="6F6E3BAD"/>
    <w:rsid w:val="6F995775"/>
    <w:rsid w:val="6FA0300D"/>
    <w:rsid w:val="6FCD36D6"/>
    <w:rsid w:val="6FEF2E16"/>
    <w:rsid w:val="70133404"/>
    <w:rsid w:val="701A6E16"/>
    <w:rsid w:val="7023779A"/>
    <w:rsid w:val="702754DC"/>
    <w:rsid w:val="702F613F"/>
    <w:rsid w:val="70416CD5"/>
    <w:rsid w:val="705D2CAC"/>
    <w:rsid w:val="70614013"/>
    <w:rsid w:val="70626E4F"/>
    <w:rsid w:val="70665787"/>
    <w:rsid w:val="707E364B"/>
    <w:rsid w:val="70821CE6"/>
    <w:rsid w:val="709C7ACC"/>
    <w:rsid w:val="70A43855"/>
    <w:rsid w:val="70B43440"/>
    <w:rsid w:val="70BF5715"/>
    <w:rsid w:val="70EC44E1"/>
    <w:rsid w:val="710A1F8A"/>
    <w:rsid w:val="710B7794"/>
    <w:rsid w:val="711F25AE"/>
    <w:rsid w:val="71221911"/>
    <w:rsid w:val="712D3BEC"/>
    <w:rsid w:val="71453E6C"/>
    <w:rsid w:val="7163218B"/>
    <w:rsid w:val="71722787"/>
    <w:rsid w:val="717464B1"/>
    <w:rsid w:val="71826B5A"/>
    <w:rsid w:val="71867A36"/>
    <w:rsid w:val="71867FE1"/>
    <w:rsid w:val="71935BC5"/>
    <w:rsid w:val="71A67C09"/>
    <w:rsid w:val="71CD04CE"/>
    <w:rsid w:val="71F43C81"/>
    <w:rsid w:val="724539F8"/>
    <w:rsid w:val="72547143"/>
    <w:rsid w:val="72772E62"/>
    <w:rsid w:val="72786C16"/>
    <w:rsid w:val="728B2A6E"/>
    <w:rsid w:val="729A1E42"/>
    <w:rsid w:val="729C5F87"/>
    <w:rsid w:val="72A921D9"/>
    <w:rsid w:val="72B63498"/>
    <w:rsid w:val="72C07522"/>
    <w:rsid w:val="72C64E68"/>
    <w:rsid w:val="72CA4C65"/>
    <w:rsid w:val="72D37AAA"/>
    <w:rsid w:val="72F54AAE"/>
    <w:rsid w:val="732064F5"/>
    <w:rsid w:val="732921BC"/>
    <w:rsid w:val="73353307"/>
    <w:rsid w:val="734F5D55"/>
    <w:rsid w:val="737E512D"/>
    <w:rsid w:val="73801F1C"/>
    <w:rsid w:val="73AA78BF"/>
    <w:rsid w:val="73B84014"/>
    <w:rsid w:val="73BB68C1"/>
    <w:rsid w:val="73D03CCD"/>
    <w:rsid w:val="73EA6F03"/>
    <w:rsid w:val="74091F02"/>
    <w:rsid w:val="747129CB"/>
    <w:rsid w:val="747C1AD0"/>
    <w:rsid w:val="74C03C91"/>
    <w:rsid w:val="74DB0C04"/>
    <w:rsid w:val="7508758A"/>
    <w:rsid w:val="751132B1"/>
    <w:rsid w:val="75752846"/>
    <w:rsid w:val="75753492"/>
    <w:rsid w:val="75867CAE"/>
    <w:rsid w:val="75A31DBF"/>
    <w:rsid w:val="75AF3FAA"/>
    <w:rsid w:val="75CB2679"/>
    <w:rsid w:val="76233D33"/>
    <w:rsid w:val="76291BD2"/>
    <w:rsid w:val="763E30F9"/>
    <w:rsid w:val="768156E1"/>
    <w:rsid w:val="76A82028"/>
    <w:rsid w:val="76E3334B"/>
    <w:rsid w:val="76F45827"/>
    <w:rsid w:val="76F55E05"/>
    <w:rsid w:val="76F82B81"/>
    <w:rsid w:val="772C162A"/>
    <w:rsid w:val="772E50FC"/>
    <w:rsid w:val="773E5311"/>
    <w:rsid w:val="77594FF5"/>
    <w:rsid w:val="776C53D2"/>
    <w:rsid w:val="778C4FA8"/>
    <w:rsid w:val="77B87C8B"/>
    <w:rsid w:val="77D91893"/>
    <w:rsid w:val="77F32054"/>
    <w:rsid w:val="77FC0FFD"/>
    <w:rsid w:val="780A1888"/>
    <w:rsid w:val="78206BA3"/>
    <w:rsid w:val="78511348"/>
    <w:rsid w:val="785901FD"/>
    <w:rsid w:val="786D224E"/>
    <w:rsid w:val="78726176"/>
    <w:rsid w:val="7873256A"/>
    <w:rsid w:val="7892370F"/>
    <w:rsid w:val="78A142BA"/>
    <w:rsid w:val="78E44541"/>
    <w:rsid w:val="78E57C1F"/>
    <w:rsid w:val="78FE7F71"/>
    <w:rsid w:val="79050385"/>
    <w:rsid w:val="7921573F"/>
    <w:rsid w:val="793E0522"/>
    <w:rsid w:val="7942061F"/>
    <w:rsid w:val="79466F9B"/>
    <w:rsid w:val="794E1F48"/>
    <w:rsid w:val="7982097E"/>
    <w:rsid w:val="79D30F2A"/>
    <w:rsid w:val="79F07B0C"/>
    <w:rsid w:val="79FE6DF2"/>
    <w:rsid w:val="7A033B5E"/>
    <w:rsid w:val="7A153F30"/>
    <w:rsid w:val="7A1E6533"/>
    <w:rsid w:val="7A23345F"/>
    <w:rsid w:val="7A242A7E"/>
    <w:rsid w:val="7A3E3457"/>
    <w:rsid w:val="7A49775F"/>
    <w:rsid w:val="7A527CB8"/>
    <w:rsid w:val="7A8014AE"/>
    <w:rsid w:val="7A835F11"/>
    <w:rsid w:val="7AAB462C"/>
    <w:rsid w:val="7AB14320"/>
    <w:rsid w:val="7AB23C18"/>
    <w:rsid w:val="7AB3603F"/>
    <w:rsid w:val="7AB94F83"/>
    <w:rsid w:val="7ABE13C2"/>
    <w:rsid w:val="7AC52BDF"/>
    <w:rsid w:val="7ACC4980"/>
    <w:rsid w:val="7B0D52CF"/>
    <w:rsid w:val="7B195CC0"/>
    <w:rsid w:val="7B231D39"/>
    <w:rsid w:val="7B340BB7"/>
    <w:rsid w:val="7B3C5F03"/>
    <w:rsid w:val="7B505CF9"/>
    <w:rsid w:val="7B64348B"/>
    <w:rsid w:val="7B931E08"/>
    <w:rsid w:val="7B950121"/>
    <w:rsid w:val="7BAD40AB"/>
    <w:rsid w:val="7BC66FBB"/>
    <w:rsid w:val="7BDC1277"/>
    <w:rsid w:val="7BF70327"/>
    <w:rsid w:val="7C05113B"/>
    <w:rsid w:val="7C1C16A8"/>
    <w:rsid w:val="7C1E4CB6"/>
    <w:rsid w:val="7C3574C5"/>
    <w:rsid w:val="7C556F2D"/>
    <w:rsid w:val="7C6C1F48"/>
    <w:rsid w:val="7C7B4E8F"/>
    <w:rsid w:val="7CA12173"/>
    <w:rsid w:val="7CB301D6"/>
    <w:rsid w:val="7CB438F4"/>
    <w:rsid w:val="7CBE0071"/>
    <w:rsid w:val="7CC40AA1"/>
    <w:rsid w:val="7CCC7C1A"/>
    <w:rsid w:val="7CDD6860"/>
    <w:rsid w:val="7CE56503"/>
    <w:rsid w:val="7D0C6A16"/>
    <w:rsid w:val="7D141B57"/>
    <w:rsid w:val="7D9849F6"/>
    <w:rsid w:val="7DA43CC8"/>
    <w:rsid w:val="7DAB526F"/>
    <w:rsid w:val="7DAC239D"/>
    <w:rsid w:val="7DBA34EC"/>
    <w:rsid w:val="7DBE2413"/>
    <w:rsid w:val="7DD722F0"/>
    <w:rsid w:val="7DEB6A33"/>
    <w:rsid w:val="7DF32EA2"/>
    <w:rsid w:val="7DFB10E4"/>
    <w:rsid w:val="7E142C45"/>
    <w:rsid w:val="7E1E7F1F"/>
    <w:rsid w:val="7E4A04FA"/>
    <w:rsid w:val="7E4E0F40"/>
    <w:rsid w:val="7E813E59"/>
    <w:rsid w:val="7E8D6E52"/>
    <w:rsid w:val="7E991183"/>
    <w:rsid w:val="7EA0112B"/>
    <w:rsid w:val="7EA92B69"/>
    <w:rsid w:val="7EAF6D66"/>
    <w:rsid w:val="7EC17CD0"/>
    <w:rsid w:val="7EE3607C"/>
    <w:rsid w:val="7F370D75"/>
    <w:rsid w:val="7F57223B"/>
    <w:rsid w:val="7F582404"/>
    <w:rsid w:val="7F6208AB"/>
    <w:rsid w:val="7FAE2491"/>
    <w:rsid w:val="7FCB600D"/>
    <w:rsid w:val="7FDA0473"/>
    <w:rsid w:val="7FF07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5">
    <w:name w:val="heading 3"/>
    <w:basedOn w:val="1"/>
    <w:next w:val="1"/>
    <w:qFormat/>
    <w:uiPriority w:val="0"/>
    <w:pPr>
      <w:keepNext/>
      <w:keepLines/>
      <w:spacing w:line="360" w:lineRule="auto"/>
      <w:outlineLvl w:val="2"/>
    </w:pPr>
    <w:rPr>
      <w:rFonts w:eastAsia="黑体"/>
      <w:b/>
      <w:bCs/>
      <w:szCs w:val="32"/>
    </w:rPr>
  </w:style>
  <w:style w:type="paragraph" w:styleId="6">
    <w:name w:val="heading 4"/>
    <w:basedOn w:val="1"/>
    <w:next w:val="1"/>
    <w:qFormat/>
    <w:uiPriority w:val="9"/>
    <w:pPr>
      <w:keepNext/>
      <w:keepLines/>
      <w:widowControl/>
      <w:spacing w:before="120" w:beforeLines="0" w:after="120" w:afterLines="0" w:line="360" w:lineRule="auto"/>
      <w:jc w:val="center"/>
      <w:outlineLvl w:val="3"/>
    </w:pPr>
    <w:rPr>
      <w:rFonts w:eastAsia="Ђˎ̥"/>
      <w:kern w:val="0"/>
      <w:sz w:val="28"/>
      <w:szCs w:val="20"/>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after="60" w:afterLines="0" w:line="360" w:lineRule="atLeast"/>
      <w:ind w:left="72" w:leftChars="30" w:right="30" w:rightChars="30"/>
      <w:jc w:val="center"/>
      <w:textAlignment w:val="baseline"/>
    </w:pPr>
    <w:rPr>
      <w:rFonts w:ascii="Times New Roman" w:hAnsi="Times New Roman"/>
      <w:kern w:val="0"/>
      <w:sz w:val="20"/>
      <w:szCs w:val="20"/>
    </w:rPr>
  </w:style>
  <w:style w:type="paragraph" w:styleId="7">
    <w:name w:val="index 8"/>
    <w:basedOn w:val="1"/>
    <w:next w:val="1"/>
    <w:qFormat/>
    <w:uiPriority w:val="0"/>
    <w:pPr>
      <w:ind w:left="2940"/>
    </w:pPr>
  </w:style>
  <w:style w:type="paragraph" w:styleId="8">
    <w:name w:val="Normal Indent"/>
    <w:basedOn w:val="1"/>
    <w:qFormat/>
    <w:uiPriority w:val="0"/>
    <w:pPr>
      <w:ind w:firstLine="420"/>
    </w:pPr>
    <w:rPr>
      <w:szCs w:val="20"/>
    </w:rPr>
  </w:style>
  <w:style w:type="paragraph" w:styleId="9">
    <w:name w:val="Document Map"/>
    <w:basedOn w:val="1"/>
    <w:qFormat/>
    <w:uiPriority w:val="0"/>
    <w:rPr>
      <w:rFonts w:ascii="Calibri Light"/>
      <w:sz w:val="18"/>
      <w:szCs w:val="18"/>
    </w:rPr>
  </w:style>
  <w:style w:type="paragraph" w:styleId="10">
    <w:name w:val="annotation text"/>
    <w:basedOn w:val="1"/>
    <w:qFormat/>
    <w:uiPriority w:val="0"/>
    <w:pPr>
      <w:jc w:val="left"/>
    </w:pPr>
  </w:style>
  <w:style w:type="paragraph" w:styleId="11">
    <w:name w:val="Body Text Indent"/>
    <w:basedOn w:val="1"/>
    <w:next w:val="1"/>
    <w:qFormat/>
    <w:uiPriority w:val="0"/>
    <w:pPr>
      <w:ind w:firstLine="830" w:firstLineChars="352"/>
    </w:pPr>
    <w:rPr>
      <w:rFonts w:ascii="仿宋_GB2312" w:eastAsia="仿宋_GB2312"/>
      <w:sz w:val="32"/>
      <w:szCs w:val="20"/>
    </w:rPr>
  </w:style>
  <w:style w:type="paragraph" w:styleId="12">
    <w:name w:val="Plain Text"/>
    <w:basedOn w:val="1"/>
    <w:next w:val="3"/>
    <w:qFormat/>
    <w:uiPriority w:val="0"/>
    <w:rPr>
      <w:rFonts w:ascii="宋体" w:hAnsi="Courier New" w:cs="Courier New"/>
      <w:szCs w:val="21"/>
    </w:rPr>
  </w:style>
  <w:style w:type="paragraph" w:styleId="13">
    <w:name w:val="Body Text Indent 2"/>
    <w:basedOn w:val="1"/>
    <w:qFormat/>
    <w:uiPriority w:val="0"/>
    <w:pPr>
      <w:spacing w:line="420" w:lineRule="exact"/>
      <w:ind w:firstLine="409" w:firstLineChars="195"/>
    </w:pPr>
  </w:style>
  <w:style w:type="paragraph" w:styleId="14">
    <w:name w:val="footer"/>
    <w:basedOn w:val="1"/>
    <w:next w:val="1"/>
    <w:qFormat/>
    <w:uiPriority w:val="0"/>
    <w:pPr>
      <w:tabs>
        <w:tab w:val="center" w:pos="4153"/>
        <w:tab w:val="right" w:pos="8306"/>
      </w:tabs>
      <w:snapToGrid w:val="0"/>
      <w:jc w:val="left"/>
    </w:pPr>
    <w:rPr>
      <w:sz w:val="18"/>
      <w:szCs w:val="18"/>
    </w:rPr>
  </w:style>
  <w:style w:type="paragraph" w:styleId="15">
    <w:name w:val="envelope return"/>
    <w:basedOn w:val="1"/>
    <w:unhideWhenUsed/>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Body Text Indent 3"/>
    <w:basedOn w:val="1"/>
    <w:qFormat/>
    <w:uiPriority w:val="0"/>
    <w:pPr>
      <w:spacing w:line="480" w:lineRule="exact"/>
      <w:ind w:firstLine="420" w:firstLineChars="200"/>
    </w:pPr>
    <w:rPr>
      <w:rFonts w:ascii="宋体" w:hAnsi="Courier New" w:cs="Courier New"/>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2"/>
    <w:basedOn w:val="1"/>
    <w:qFormat/>
    <w:uiPriority w:val="0"/>
    <w:pPr>
      <w:autoSpaceDE w:val="0"/>
      <w:autoSpaceDN w:val="0"/>
      <w:spacing w:after="120" w:line="360" w:lineRule="auto"/>
      <w:ind w:left="420" w:leftChars="200" w:firstLine="420" w:firstLineChars="200"/>
    </w:pPr>
    <w:rPr>
      <w:sz w:val="21"/>
      <w:szCs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FollowedHyperlink"/>
    <w:basedOn w:val="24"/>
    <w:unhideWhenUsed/>
    <w:qFormat/>
    <w:uiPriority w:val="99"/>
    <w:rPr>
      <w:color w:val="800080"/>
      <w:u w:val="single"/>
    </w:rPr>
  </w:style>
  <w:style w:type="character" w:styleId="27">
    <w:name w:val="Hyperlink"/>
    <w:unhideWhenUsed/>
    <w:qFormat/>
    <w:uiPriority w:val="99"/>
    <w:rPr>
      <w:color w:val="0000FF"/>
      <w:u w:val="single"/>
    </w:rPr>
  </w:style>
  <w:style w:type="character" w:styleId="28">
    <w:name w:val="annotation reference"/>
    <w:basedOn w:val="24"/>
    <w:qFormat/>
    <w:uiPriority w:val="0"/>
    <w:rPr>
      <w:sz w:val="21"/>
      <w:szCs w:val="21"/>
    </w:rPr>
  </w:style>
  <w:style w:type="character" w:styleId="29">
    <w:name w:val="HTML Sample"/>
    <w:basedOn w:val="24"/>
    <w:qFormat/>
    <w:uiPriority w:val="0"/>
    <w:rPr>
      <w:rFonts w:ascii="Courier New" w:hAnsi="Courier New"/>
    </w:rPr>
  </w:style>
  <w:style w:type="paragraph" w:customStyle="1" w:styleId="30">
    <w:name w:val="Default"/>
    <w:qFormat/>
    <w:uiPriority w:val="0"/>
    <w:pPr>
      <w:widowControl w:val="0"/>
      <w:autoSpaceDE w:val="0"/>
      <w:autoSpaceDN w:val="0"/>
      <w:adjustRightInd w:val="0"/>
    </w:pPr>
    <w:rPr>
      <w:rFonts w:ascii="新宋体" w:hAnsi="Tahoma" w:eastAsia="宋体" w:cs="新宋体"/>
      <w:color w:val="000000"/>
      <w:sz w:val="24"/>
      <w:szCs w:val="24"/>
      <w:lang w:val="en-US" w:eastAsia="zh-CN" w:bidi="ar-SA"/>
    </w:rPr>
  </w:style>
  <w:style w:type="paragraph" w:customStyle="1" w:styleId="31">
    <w:name w:val="表格文字"/>
    <w:basedOn w:val="11"/>
    <w:next w:val="2"/>
    <w:qFormat/>
    <w:uiPriority w:val="99"/>
    <w:pPr>
      <w:spacing w:before="25" w:after="25" w:line="240" w:lineRule="auto"/>
      <w:ind w:firstLine="0"/>
    </w:pPr>
    <w:rPr>
      <w:bCs/>
      <w:spacing w:val="10"/>
      <w:kern w:val="0"/>
    </w:rPr>
  </w:style>
  <w:style w:type="paragraph" w:customStyle="1" w:styleId="32">
    <w:name w:val="正文段"/>
    <w:basedOn w:val="1"/>
    <w:qFormat/>
    <w:uiPriority w:val="0"/>
    <w:pPr>
      <w:widowControl/>
      <w:snapToGrid w:val="0"/>
      <w:spacing w:after="50" w:afterLines="50"/>
      <w:ind w:firstLine="200" w:firstLineChars="200"/>
    </w:pPr>
    <w:rPr>
      <w:kern w:val="0"/>
      <w:sz w:val="24"/>
      <w:szCs w:val="20"/>
    </w:rPr>
  </w:style>
  <w:style w:type="paragraph" w:customStyle="1" w:styleId="33">
    <w:name w:val="正文小标题"/>
    <w:basedOn w:val="3"/>
    <w:qFormat/>
    <w:uiPriority w:val="0"/>
    <w:pPr>
      <w:spacing w:line="420" w:lineRule="exact"/>
    </w:pPr>
    <w:rPr>
      <w:sz w:val="21"/>
      <w:szCs w:val="21"/>
    </w:rPr>
  </w:style>
  <w:style w:type="paragraph" w:customStyle="1" w:styleId="34">
    <w:name w:val="正文呀2"/>
    <w:basedOn w:val="35"/>
    <w:link w:val="36"/>
    <w:qFormat/>
    <w:uiPriority w:val="0"/>
    <w:rPr>
      <w:rFonts w:ascii="Times New Roman" w:hAnsi="Times New Roman"/>
    </w:rPr>
  </w:style>
  <w:style w:type="paragraph" w:customStyle="1" w:styleId="35">
    <w:name w:val="正文呀"/>
    <w:basedOn w:val="1"/>
    <w:qFormat/>
    <w:uiPriority w:val="0"/>
    <w:pPr>
      <w:spacing w:line="420" w:lineRule="exact"/>
      <w:ind w:firstLine="420" w:firstLineChars="200"/>
    </w:pPr>
    <w:rPr>
      <w:rFonts w:ascii="宋体" w:hAnsi="宋体"/>
    </w:rPr>
  </w:style>
  <w:style w:type="character" w:customStyle="1" w:styleId="36">
    <w:name w:val="正文呀2 Char"/>
    <w:basedOn w:val="24"/>
    <w:link w:val="34"/>
    <w:qFormat/>
    <w:uiPriority w:val="0"/>
    <w:rPr>
      <w:rFonts w:ascii="Times New Roman" w:hAnsi="Times New Roman"/>
    </w:rPr>
  </w:style>
  <w:style w:type="paragraph" w:customStyle="1" w:styleId="3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4_1"/>
    <w:basedOn w:val="37"/>
    <w:next w:val="37"/>
    <w:qFormat/>
    <w:uiPriority w:val="99"/>
    <w:pPr>
      <w:keepNext/>
      <w:keepLines/>
      <w:spacing w:before="280" w:after="290" w:line="376" w:lineRule="auto"/>
      <w:outlineLvl w:val="3"/>
    </w:pPr>
    <w:rPr>
      <w:rFonts w:ascii="Arial" w:hAnsi="Arial" w:eastAsia="黑体"/>
      <w:b/>
      <w:bCs/>
      <w:sz w:val="28"/>
      <w:szCs w:val="28"/>
    </w:rPr>
  </w:style>
  <w:style w:type="paragraph" w:customStyle="1" w:styleId="39">
    <w:name w:val="标题 3_0"/>
    <w:basedOn w:val="37"/>
    <w:next w:val="40"/>
    <w:qFormat/>
    <w:uiPriority w:val="99"/>
    <w:pPr>
      <w:keepNext/>
      <w:keepLines/>
      <w:spacing w:line="360" w:lineRule="auto"/>
      <w:outlineLvl w:val="2"/>
    </w:pPr>
    <w:rPr>
      <w:rFonts w:eastAsia="黑体"/>
      <w:b/>
      <w:bCs/>
      <w:szCs w:val="32"/>
    </w:rPr>
  </w:style>
  <w:style w:type="paragraph" w:customStyle="1" w:styleId="40">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3_0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2"/>
    <w:basedOn w:val="1"/>
    <w:qFormat/>
    <w:uiPriority w:val="0"/>
    <w:pPr>
      <w:adjustRightInd w:val="0"/>
      <w:spacing w:before="156" w:line="360" w:lineRule="auto"/>
      <w:ind w:firstLine="510" w:firstLineChars="200"/>
    </w:pPr>
    <w:rPr>
      <w:kern w:val="0"/>
      <w:sz w:val="24"/>
      <w:szCs w:val="20"/>
    </w:rPr>
  </w:style>
  <w:style w:type="paragraph" w:customStyle="1" w:styleId="46">
    <w:name w:val="样式 标题 2 + Times New Roman 四号 非加粗 段前: 5 磅 段后: 0 磅 行距: 固定值 20..."/>
    <w:basedOn w:val="4"/>
    <w:qFormat/>
    <w:uiPriority w:val="0"/>
    <w:pPr>
      <w:spacing w:before="100" w:line="400" w:lineRule="exact"/>
      <w:jc w:val="both"/>
    </w:pPr>
    <w:rPr>
      <w:rFonts w:ascii="Times New Roman" w:hAnsi="Times New Roman" w:cs="宋体"/>
      <w:bCs w:val="0"/>
      <w:sz w:val="28"/>
      <w:szCs w:val="20"/>
    </w:rPr>
  </w:style>
  <w:style w:type="paragraph" w:customStyle="1" w:styleId="47">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48">
    <w:name w:val="1"/>
    <w:basedOn w:val="1"/>
    <w:next w:val="12"/>
    <w:qFormat/>
    <w:uiPriority w:val="0"/>
    <w:rPr>
      <w:rFonts w:ascii="宋体" w:hAnsi="Courier New"/>
      <w:szCs w:val="20"/>
    </w:rPr>
  </w:style>
  <w:style w:type="paragraph" w:customStyle="1" w:styleId="49">
    <w:name w:val="样式 标题 3 + (中文) 黑体 小四 非加粗 段前: 7.8 磅 段后: 0 磅 行距: 固定值 20 磅"/>
    <w:basedOn w:val="5"/>
    <w:qFormat/>
    <w:uiPriority w:val="0"/>
    <w:pPr>
      <w:spacing w:line="400" w:lineRule="exact"/>
      <w:jc w:val="both"/>
    </w:pPr>
    <w:rPr>
      <w:rFonts w:hint="default" w:ascii="Times New Roman" w:hAnsi="Times New Roman" w:cs="宋体"/>
      <w:bCs w:val="0"/>
      <w:kern w:val="2"/>
      <w:sz w:val="21"/>
      <w:szCs w:val="20"/>
    </w:rPr>
  </w:style>
  <w:style w:type="paragraph" w:customStyle="1" w:styleId="50">
    <w:name w:val="List Paragraph"/>
    <w:basedOn w:val="1"/>
    <w:qFormat/>
    <w:uiPriority w:val="1"/>
    <w:pPr>
      <w:ind w:left="424" w:firstLine="480"/>
    </w:pPr>
    <w:rPr>
      <w:rFonts w:ascii="宋体" w:hAnsi="宋体" w:eastAsia="宋体" w:cs="宋体"/>
      <w:lang w:val="zh-CN" w:eastAsia="zh-CN" w:bidi="zh-CN"/>
    </w:rPr>
  </w:style>
  <w:style w:type="paragraph" w:customStyle="1" w:styleId="51">
    <w:name w:val="BodyText"/>
    <w:basedOn w:val="1"/>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customStyle="1" w:styleId="52">
    <w:name w:val="Char Char Char Char Char Char Char Char Char Char"/>
    <w:basedOn w:val="9"/>
    <w:qFormat/>
    <w:uiPriority w:val="0"/>
    <w:pPr>
      <w:keepNext/>
      <w:numPr>
        <w:ilvl w:val="0"/>
        <w:numId w:val="1"/>
      </w:numPr>
      <w:tabs>
        <w:tab w:val="left" w:pos="360"/>
      </w:tabs>
      <w:spacing w:before="312" w:beforeLines="100"/>
    </w:pPr>
    <w:rPr>
      <w:rFonts w:ascii="Tahoma" w:hAnsi="Tahoma" w:eastAsia="Times New Roman"/>
      <w:kern w:val="0"/>
      <w:sz w:val="24"/>
      <w:szCs w:val="20"/>
    </w:rPr>
  </w:style>
  <w:style w:type="paragraph" w:customStyle="1" w:styleId="53">
    <w:name w:val="正文文本_0"/>
    <w:basedOn w:val="54"/>
    <w:qFormat/>
    <w:uiPriority w:val="0"/>
    <w:pPr>
      <w:adjustRightInd w:val="0"/>
      <w:spacing w:after="60" w:line="360" w:lineRule="atLeast"/>
      <w:ind w:left="30" w:leftChars="30" w:right="30" w:rightChars="30"/>
      <w:jc w:val="center"/>
    </w:pPr>
    <w:rPr>
      <w:rFonts w:ascii="宋体" w:hAnsi="宋体"/>
      <w:kern w:val="0"/>
      <w:sz w:val="20"/>
      <w:szCs w:val="20"/>
    </w:rPr>
  </w:style>
  <w:style w:type="paragraph" w:customStyle="1" w:styleId="54">
    <w:name w:val="正文_4"/>
    <w:next w:val="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页脚_0"/>
    <w:basedOn w:val="54"/>
    <w:unhideWhenUsed/>
    <w:qFormat/>
    <w:uiPriority w:val="99"/>
    <w:pPr>
      <w:tabs>
        <w:tab w:val="center" w:pos="4153"/>
        <w:tab w:val="right" w:pos="8306"/>
      </w:tabs>
      <w:snapToGrid w:val="0"/>
      <w:jc w:val="left"/>
    </w:pPr>
    <w:rPr>
      <w:rFonts w:ascii="Calibri" w:hAnsi="Calibri"/>
      <w:sz w:val="18"/>
      <w:szCs w:val="18"/>
    </w:rPr>
  </w:style>
  <w:style w:type="paragraph" w:customStyle="1" w:styleId="56">
    <w:name w:val="纯文本_0"/>
    <w:basedOn w:val="54"/>
    <w:semiHidden/>
    <w:qFormat/>
    <w:uiPriority w:val="0"/>
    <w:rPr>
      <w:rFonts w:ascii="宋体" w:hAnsi="Courier New"/>
      <w:kern w:val="0"/>
      <w:sz w:val="20"/>
      <w:szCs w:val="24"/>
    </w:rPr>
  </w:style>
  <w:style w:type="paragraph" w:customStyle="1" w:styleId="57">
    <w:name w:val="列出段落_0"/>
    <w:basedOn w:val="58"/>
    <w:qFormat/>
    <w:uiPriority w:val="34"/>
    <w:pPr>
      <w:ind w:firstLine="420" w:firstLineChars="200"/>
    </w:pPr>
    <w:rPr>
      <w:rFonts w:ascii="Calibri" w:hAnsi="Calibri"/>
    </w:rPr>
  </w:style>
  <w:style w:type="paragraph" w:customStyle="1" w:styleId="58">
    <w:name w:val="正文_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标题 1_2"/>
    <w:basedOn w:val="54"/>
    <w:next w:val="54"/>
    <w:semiHidden/>
    <w:qFormat/>
    <w:uiPriority w:val="0"/>
    <w:pPr>
      <w:keepNext/>
      <w:keepLines/>
      <w:spacing w:line="360" w:lineRule="auto"/>
      <w:outlineLvl w:val="0"/>
    </w:pPr>
    <w:rPr>
      <w:b/>
      <w:bCs/>
      <w:kern w:val="44"/>
      <w:sz w:val="32"/>
      <w:szCs w:val="44"/>
    </w:rPr>
  </w:style>
  <w:style w:type="paragraph" w:customStyle="1" w:styleId="60">
    <w:name w:val="正文_2_1"/>
    <w:basedOn w:val="54"/>
    <w:next w:val="61"/>
    <w:qFormat/>
    <w:uiPriority w:val="0"/>
    <w:rPr>
      <w:rFonts w:ascii="Calibri" w:hAnsi="Calibri" w:cs="Calibri"/>
      <w:szCs w:val="21"/>
    </w:rPr>
  </w:style>
  <w:style w:type="paragraph" w:customStyle="1" w:styleId="61">
    <w:name w:val="页脚_1"/>
    <w:basedOn w:val="60"/>
    <w:next w:val="62"/>
    <w:unhideWhenUsed/>
    <w:qFormat/>
    <w:uiPriority w:val="99"/>
    <w:pPr>
      <w:tabs>
        <w:tab w:val="center" w:pos="4153"/>
        <w:tab w:val="right" w:pos="8306"/>
      </w:tabs>
      <w:snapToGrid w:val="0"/>
      <w:jc w:val="left"/>
    </w:pPr>
    <w:rPr>
      <w:sz w:val="18"/>
      <w:szCs w:val="18"/>
    </w:rPr>
  </w:style>
  <w:style w:type="paragraph" w:styleId="62">
    <w:name w:val="Intense Quote"/>
    <w:basedOn w:val="63"/>
    <w:next w:val="63"/>
    <w:qFormat/>
    <w:uiPriority w:val="0"/>
    <w:pPr>
      <w:widowControl/>
      <w:ind w:left="720" w:right="720"/>
      <w:jc w:val="left"/>
    </w:pPr>
    <w:rPr>
      <w:b/>
      <w:i/>
      <w:sz w:val="24"/>
      <w:szCs w:val="20"/>
      <w:lang w:eastAsia="en-US"/>
    </w:rPr>
  </w:style>
  <w:style w:type="paragraph" w:customStyle="1" w:styleId="63">
    <w:name w:val="正文_2_0"/>
    <w:next w:val="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
    <w:name w:val="标题 4_1_0"/>
    <w:basedOn w:val="60"/>
    <w:next w:val="60"/>
    <w:qFormat/>
    <w:uiPriority w:val="0"/>
    <w:pPr>
      <w:keepNext/>
      <w:keepLines/>
      <w:spacing w:before="280" w:after="290" w:line="374" w:lineRule="auto"/>
      <w:outlineLvl w:val="3"/>
    </w:pPr>
    <w:rPr>
      <w:rFonts w:ascii="Arial" w:hAnsi="Arial" w:eastAsia="黑体" w:cs="Arial"/>
      <w:b/>
      <w:bCs/>
      <w:sz w:val="28"/>
      <w:szCs w:val="28"/>
    </w:rPr>
  </w:style>
  <w:style w:type="character" w:customStyle="1" w:styleId="65">
    <w:name w:val="10_1"/>
    <w:qFormat/>
    <w:uiPriority w:val="0"/>
    <w:rPr>
      <w:rFonts w:hint="default" w:ascii="Times New Roman" w:hAnsi="Times New Roman" w:cs="Times New Roman"/>
    </w:rPr>
  </w:style>
  <w:style w:type="paragraph" w:customStyle="1" w:styleId="66">
    <w:name w:val="Default_0"/>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7">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15_0"/>
    <w:qFormat/>
    <w:uiPriority w:val="0"/>
    <w:rPr>
      <w:rFonts w:hint="default" w:ascii="Times New Roman" w:hAnsi="Times New Roman" w:cs="Times New Roman"/>
    </w:rPr>
  </w:style>
  <w:style w:type="character" w:customStyle="1" w:styleId="69">
    <w:name w:val="10_0"/>
    <w:basedOn w:val="24"/>
    <w:qFormat/>
    <w:uiPriority w:val="0"/>
    <w:rPr>
      <w:rFonts w:hint="default" w:ascii="Times New Roman" w:hAnsi="Times New Roman" w:cs="Times New Roman"/>
    </w:rPr>
  </w:style>
  <w:style w:type="paragraph" w:customStyle="1" w:styleId="7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71">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正文_0"/>
    <w:basedOn w:val="37"/>
    <w:next w:val="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标题 2_0_0"/>
    <w:basedOn w:val="40"/>
    <w:next w:val="40"/>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customStyle="1" w:styleId="74">
    <w:name w:val="标题 3_0_0"/>
    <w:basedOn w:val="40"/>
    <w:next w:val="40"/>
    <w:unhideWhenUsed/>
    <w:qFormat/>
    <w:uiPriority w:val="0"/>
    <w:pPr>
      <w:keepNext/>
      <w:keepLines/>
      <w:spacing w:line="360" w:lineRule="auto"/>
      <w:outlineLvl w:val="2"/>
    </w:pPr>
    <w:rPr>
      <w:rFonts w:ascii="Calibri" w:hAnsi="Calibri" w:eastAsia="黑体"/>
      <w:b/>
      <w:bCs/>
      <w:kern w:val="0"/>
      <w:sz w:val="32"/>
      <w:szCs w:val="32"/>
      <w:lang w:val="zh-CN"/>
    </w:rPr>
  </w:style>
  <w:style w:type="paragraph" w:customStyle="1" w:styleId="75">
    <w:name w:val="正文_2_0_0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6">
    <w:name w:val="10"/>
    <w:basedOn w:val="2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10363</Words>
  <Characters>10879</Characters>
  <Lines>0</Lines>
  <Paragraphs>0</Paragraphs>
  <TotalTime>326</TotalTime>
  <ScaleCrop>false</ScaleCrop>
  <LinksUpToDate>false</LinksUpToDate>
  <CharactersWithSpaces>11134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2022-04-29T12:51:00Z</dcterms:created>
  <dc:creator>米格格</dc:creator>
  <cp:lastModifiedBy>DY</cp:lastModifiedBy>
  <cp:lastPrinted>2025-10-24T11:46:00Z</cp:lastPrinted>
  <dcterms:modified xsi:type="dcterms:W3CDTF">2025-10-28T08:10:35Z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6ACDD4793FD44B649D74AB446877FBB1_13</vt:lpwstr>
  </property>
  <property fmtid="{D5CDD505-2E9C-101B-9397-08002B2CF9AE}" pid="4" name="KSOTemplateDocerSaveRecord">
    <vt:lpwstr>eyJoZGlkIjoiYzM5OThlOTJjNTNmMDY2M2YwMzdhMDEyYzcyNTRjNGMiLCJ1c2VySWQiOiI0NjcwNjU3MzcifQ==</vt:lpwstr>
  </property>
</Properties>
</file>