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23BC9">
      <w:pPr>
        <w:ind w:firstLine="964"/>
        <w:jc w:val="center"/>
        <w:rPr>
          <w:rFonts w:hint="eastAsia" w:ascii="宋体" w:hAnsi="宋体"/>
          <w:b/>
          <w:bCs/>
          <w:color w:val="auto"/>
          <w:sz w:val="48"/>
          <w:szCs w:val="48"/>
          <w:highlight w:val="none"/>
        </w:rPr>
      </w:pPr>
    </w:p>
    <w:p w14:paraId="6A5FFB55">
      <w:pPr>
        <w:ind w:firstLine="198" w:firstLineChars="41"/>
        <w:jc w:val="center"/>
        <w:rPr>
          <w:rFonts w:hint="eastAsia" w:ascii="宋体" w:hAnsi="宋体"/>
          <w:b/>
          <w:bCs/>
          <w:color w:val="auto"/>
          <w:sz w:val="48"/>
          <w:szCs w:val="48"/>
          <w:highlight w:val="none"/>
        </w:rPr>
      </w:pPr>
      <w:r>
        <w:rPr>
          <w:rFonts w:hint="eastAsia" w:ascii="宋体" w:hAnsi="宋体"/>
          <w:b/>
          <w:bCs/>
          <w:color w:val="auto"/>
          <w:sz w:val="48"/>
          <w:szCs w:val="48"/>
          <w:highlight w:val="none"/>
        </w:rPr>
        <w:t>广西德元工程项目管理有限责任公司</w:t>
      </w:r>
    </w:p>
    <w:p w14:paraId="07AB7AD5">
      <w:pPr>
        <w:pStyle w:val="2"/>
        <w:ind w:left="5250" w:firstLine="400"/>
        <w:rPr>
          <w:rFonts w:hint="eastAsia" w:ascii="宋体" w:hAnsi="宋体"/>
          <w:color w:val="auto"/>
          <w:szCs w:val="21"/>
          <w:highlight w:val="none"/>
        </w:rPr>
      </w:pPr>
      <w:r>
        <w:rPr>
          <w:rFonts w:ascii="宋体" w:hAnsi="宋体"/>
          <w:color w:val="auto"/>
          <w:sz w:val="20"/>
          <w:highlight w:val="none"/>
          <w:u w:val="single"/>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69215</wp:posOffset>
                </wp:positionV>
                <wp:extent cx="6118860" cy="1079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18860" cy="1079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6pt;margin-top:5.45pt;height:0.85pt;width:481.8pt;z-index:251664384;mso-width-relative:page;mso-height-relative:page;" filled="f" stroked="t" coordsize="21600,21600" o:gfxdata="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YkO0PUAAAABwEAAA8AAAAAAAAAAQAgAAAAIgAAAGRycy9kb3du&#10;cmV2LnhtbFBLAQIUABQAAAAIAIdO4kCCllLCAwIAAAEEAAAOAAAAAAAAAAEAIAAAACMBAABkcnMv&#10;ZTJvRG9jLnhtbFBLBQYAAAAABgAGAFkBAACYBQAAAAA=&#10;">
                <v:fill on="f" focussize="0,0"/>
                <v:stroke weight="2.25pt" color="#000000" joinstyle="round"/>
                <v:imagedata o:title=""/>
                <o:lock v:ext="edit" aspectratio="f"/>
              </v:line>
            </w:pict>
          </mc:Fallback>
        </mc:AlternateContent>
      </w:r>
      <w:r>
        <w:rPr>
          <w:rFonts w:hint="eastAsia" w:ascii="宋体" w:hAnsi="宋体"/>
          <w:b/>
          <w:bCs/>
          <w:color w:val="auto"/>
          <w:sz w:val="10"/>
          <w:highlight w:val="none"/>
        </w:rPr>
        <w:t xml:space="preserve">                                                                                                </w:t>
      </w:r>
    </w:p>
    <w:p w14:paraId="7A6AE57C">
      <w:pPr>
        <w:snapToGrid w:val="0"/>
        <w:jc w:val="center"/>
        <w:rPr>
          <w:rFonts w:hint="eastAsia" w:ascii="宋体" w:hAnsi="宋体"/>
          <w:b/>
          <w:color w:val="auto"/>
          <w:sz w:val="72"/>
          <w:szCs w:val="72"/>
          <w:highlight w:val="none"/>
        </w:rPr>
      </w:pPr>
    </w:p>
    <w:p w14:paraId="03FC1D39">
      <w:pPr>
        <w:shd w:val="clear"/>
        <w:snapToGrid w:val="0"/>
        <w:ind w:left="0" w:leftChars="0" w:firstLine="0" w:firstLineChars="0"/>
        <w:jc w:val="center"/>
        <w:rPr>
          <w:rFonts w:hint="eastAsia" w:ascii="宋体" w:hAnsi="宋体" w:cs="方正小标宋简体"/>
          <w:b/>
          <w:color w:val="auto"/>
          <w:sz w:val="44"/>
          <w:szCs w:val="44"/>
          <w:highlight w:val="none"/>
        </w:rPr>
      </w:pPr>
      <w:r>
        <w:rPr>
          <w:rFonts w:hint="eastAsia" w:ascii="宋体" w:hAnsi="宋体"/>
          <w:b/>
          <w:color w:val="auto"/>
          <w:sz w:val="72"/>
          <w:szCs w:val="72"/>
          <w:highlight w:val="none"/>
          <w:lang w:val="en-US" w:eastAsia="zh-CN"/>
        </w:rPr>
        <w:t>公开招标</w:t>
      </w:r>
      <w:r>
        <w:rPr>
          <w:rFonts w:hint="eastAsia" w:ascii="宋体" w:hAnsi="宋体"/>
          <w:b/>
          <w:color w:val="auto"/>
          <w:sz w:val="72"/>
          <w:szCs w:val="72"/>
          <w:highlight w:val="none"/>
        </w:rPr>
        <w:t>采购文件</w:t>
      </w:r>
    </w:p>
    <w:p w14:paraId="2127FE92">
      <w:pPr>
        <w:shd w:val="clear"/>
        <w:ind w:left="0" w:leftChars="0" w:firstLine="0" w:firstLineChars="0"/>
        <w:jc w:val="center"/>
        <w:rPr>
          <w:rFonts w:hint="eastAsia" w:ascii="宋体" w:hAnsi="宋体"/>
          <w:b/>
          <w:color w:val="auto"/>
          <w:sz w:val="32"/>
          <w:szCs w:val="32"/>
          <w:highlight w:val="none"/>
        </w:rPr>
      </w:pP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货物</w:t>
      </w:r>
      <w:r>
        <w:rPr>
          <w:rFonts w:hint="eastAsia" w:ascii="宋体" w:hAnsi="宋体"/>
          <w:b/>
          <w:color w:val="auto"/>
          <w:sz w:val="32"/>
          <w:szCs w:val="32"/>
          <w:highlight w:val="none"/>
        </w:rPr>
        <w:t>类）</w:t>
      </w:r>
    </w:p>
    <w:p w14:paraId="704DCCB1">
      <w:pPr>
        <w:ind w:left="0" w:leftChars="0" w:firstLine="0" w:firstLineChars="0"/>
        <w:jc w:val="center"/>
        <w:rPr>
          <w:rFonts w:hint="eastAsia" w:ascii="宋体" w:hAnsi="宋体"/>
          <w:b/>
          <w:color w:val="auto"/>
          <w:sz w:val="32"/>
          <w:szCs w:val="32"/>
          <w:highlight w:val="none"/>
        </w:rPr>
      </w:pPr>
      <w:r>
        <w:rPr>
          <w:rFonts w:hint="eastAsia" w:eastAsia="宋体"/>
          <w:highlight w:val="none"/>
          <w:lang w:eastAsia="zh-CN"/>
        </w:rPr>
        <w:drawing>
          <wp:inline distT="0" distB="0" distL="114300" distR="114300">
            <wp:extent cx="1991995" cy="2016760"/>
            <wp:effectExtent l="0" t="0" r="8255" b="2540"/>
            <wp:docPr id="2"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公司logo"/>
                    <pic:cNvPicPr>
                      <a:picLocks noChangeAspect="1"/>
                    </pic:cNvPicPr>
                  </pic:nvPicPr>
                  <pic:blipFill>
                    <a:blip r:embed="rId11"/>
                    <a:stretch>
                      <a:fillRect/>
                    </a:stretch>
                  </pic:blipFill>
                  <pic:spPr>
                    <a:xfrm>
                      <a:off x="0" y="0"/>
                      <a:ext cx="1991995" cy="2016760"/>
                    </a:xfrm>
                    <a:prstGeom prst="rect">
                      <a:avLst/>
                    </a:prstGeom>
                    <a:noFill/>
                    <a:ln>
                      <a:noFill/>
                    </a:ln>
                  </pic:spPr>
                </pic:pic>
              </a:graphicData>
            </a:graphic>
          </wp:inline>
        </w:drawing>
      </w:r>
    </w:p>
    <w:p w14:paraId="2DE94B28">
      <w:pPr>
        <w:spacing w:line="360" w:lineRule="auto"/>
        <w:ind w:left="0" w:leftChars="0" w:firstLine="0" w:firstLineChars="0"/>
        <w:rPr>
          <w:rFonts w:hint="eastAsia" w:ascii="宋体" w:hAnsi="宋体"/>
          <w:b/>
          <w:color w:val="auto"/>
          <w:sz w:val="32"/>
          <w:szCs w:val="32"/>
          <w:highlight w:val="none"/>
        </w:rPr>
      </w:pPr>
    </w:p>
    <w:p w14:paraId="7A49372D">
      <w:pPr>
        <w:spacing w:line="360" w:lineRule="auto"/>
        <w:jc w:val="both"/>
        <w:rPr>
          <w:rFonts w:hint="eastAsia" w:ascii="宋体" w:hAnsi="宋体"/>
          <w:b/>
          <w:color w:val="auto"/>
          <w:sz w:val="32"/>
          <w:szCs w:val="32"/>
          <w:highlight w:val="none"/>
        </w:rPr>
      </w:pPr>
      <w:r>
        <w:rPr>
          <w:rFonts w:hint="eastAsia" w:ascii="宋体" w:hAnsi="宋体"/>
          <w:b/>
          <w:color w:val="auto"/>
          <w:sz w:val="32"/>
          <w:szCs w:val="32"/>
          <w:highlight w:val="none"/>
        </w:rPr>
        <w:t>项目名称：液相色谱串联质谱检测系统及数字PCR仪器采购</w:t>
      </w:r>
    </w:p>
    <w:p w14:paraId="06CC3326">
      <w:pPr>
        <w:spacing w:line="360" w:lineRule="auto"/>
        <w:jc w:val="both"/>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项目编号：GXZC2025-G1-001068-GXDY</w:t>
      </w:r>
    </w:p>
    <w:p w14:paraId="2CABFF8E">
      <w:pPr>
        <w:spacing w:line="360" w:lineRule="auto"/>
        <w:ind w:firstLine="890" w:firstLineChars="445"/>
        <w:rPr>
          <w:rFonts w:hint="eastAsia" w:ascii="宋体" w:hAnsi="宋体"/>
          <w:b/>
          <w:color w:val="auto"/>
          <w:sz w:val="32"/>
          <w:szCs w:val="32"/>
          <w:highlight w:val="none"/>
        </w:rPr>
      </w:pPr>
      <w:r>
        <w:rPr>
          <w:rFonts w:ascii="宋体" w:hAnsi="宋体"/>
          <w:color w:val="auto"/>
          <w:sz w:val="20"/>
          <w:highlight w:val="none"/>
          <w:u w:val="single"/>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160655</wp:posOffset>
                </wp:positionV>
                <wp:extent cx="6134735" cy="508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134735" cy="508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6pt;margin-top:12.65pt;height:0.4pt;width:483.05pt;z-index:251665408;mso-width-relative:page;mso-height-relative:page;" filled="f" stroked="t" coordsize="21600,21600" o:gfxdata="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ZUVt1QAAAAcBAAAPAAAAAAAAAAEAIAAAACIAAABkcnMv&#10;ZG93bnJldi54bWxQSwECFAAUAAAACACHTuJAEcD6CQYCAAAABAAADgAAAAAAAAABACAAAAAkAQAA&#10;ZHJzL2Uyb0RvYy54bWxQSwUGAAAAAAYABgBZAQAAnAUAAAAA&#10;">
                <v:fill on="f" focussize="0,0"/>
                <v:stroke weight="2.25pt" color="#000000" joinstyle="round"/>
                <v:imagedata o:title=""/>
                <o:lock v:ext="edit" aspectratio="f"/>
              </v:line>
            </w:pict>
          </mc:Fallback>
        </mc:AlternateContent>
      </w:r>
    </w:p>
    <w:p w14:paraId="30DAB5E8">
      <w:pPr>
        <w:spacing w:line="360" w:lineRule="auto"/>
        <w:ind w:firstLine="1430" w:firstLineChars="445"/>
        <w:rPr>
          <w:rFonts w:hint="eastAsia" w:ascii="宋体" w:hAnsi="宋体"/>
          <w:b/>
          <w:color w:val="auto"/>
          <w:sz w:val="32"/>
          <w:szCs w:val="32"/>
          <w:highlight w:val="none"/>
        </w:rPr>
      </w:pPr>
    </w:p>
    <w:p w14:paraId="36F1C8B9">
      <w:pPr>
        <w:spacing w:line="360" w:lineRule="auto"/>
        <w:ind w:firstLine="964" w:firstLineChars="300"/>
        <w:rPr>
          <w:rFonts w:hint="eastAsia" w:ascii="宋体" w:hAnsi="宋体"/>
          <w:b/>
          <w:color w:val="auto"/>
          <w:sz w:val="32"/>
          <w:szCs w:val="32"/>
          <w:highlight w:val="none"/>
        </w:rPr>
      </w:pPr>
      <w:r>
        <w:rPr>
          <w:rFonts w:hint="eastAsia" w:ascii="宋体" w:hAnsi="宋体"/>
          <w:b/>
          <w:color w:val="auto"/>
          <w:sz w:val="32"/>
          <w:szCs w:val="32"/>
          <w:highlight w:val="none"/>
        </w:rPr>
        <w:t>采购人：广西壮族自治区人民医院</w:t>
      </w:r>
    </w:p>
    <w:p w14:paraId="5CBC7675">
      <w:pPr>
        <w:spacing w:line="360" w:lineRule="auto"/>
        <w:ind w:firstLine="964" w:firstLineChars="300"/>
        <w:rPr>
          <w:rFonts w:hint="eastAsia" w:ascii="宋体" w:hAnsi="宋体"/>
          <w:b/>
          <w:color w:val="auto"/>
          <w:sz w:val="32"/>
          <w:szCs w:val="32"/>
          <w:highlight w:val="none"/>
        </w:rPr>
      </w:pPr>
      <w:r>
        <w:rPr>
          <w:rFonts w:hint="eastAsia" w:ascii="宋体" w:hAnsi="宋体"/>
          <w:b/>
          <w:color w:val="auto"/>
          <w:sz w:val="32"/>
          <w:szCs w:val="32"/>
          <w:highlight w:val="none"/>
        </w:rPr>
        <w:t>采购代理机构：广西德元工程项目管理有限责任公司</w:t>
      </w:r>
    </w:p>
    <w:p w14:paraId="46904627">
      <w:pPr>
        <w:spacing w:line="360" w:lineRule="auto"/>
        <w:rPr>
          <w:rFonts w:hint="eastAsia" w:ascii="仿宋_GB2312" w:hAnsi="宋体" w:eastAsia="仿宋_GB2312"/>
          <w:b/>
          <w:color w:val="auto"/>
          <w:sz w:val="32"/>
          <w:szCs w:val="32"/>
          <w:highlight w:val="none"/>
        </w:rPr>
      </w:pPr>
    </w:p>
    <w:p w14:paraId="3064F848">
      <w:pPr>
        <w:spacing w:line="400" w:lineRule="exact"/>
        <w:jc w:val="center"/>
        <w:rPr>
          <w:highlight w:val="none"/>
        </w:rPr>
      </w:pPr>
      <w:r>
        <w:rPr>
          <w:rFonts w:hint="eastAsia" w:ascii="仿宋_GB2312" w:hAnsi="宋体" w:eastAsia="仿宋_GB2312"/>
          <w:b/>
          <w:color w:val="auto"/>
          <w:sz w:val="32"/>
          <w:szCs w:val="32"/>
          <w:highlight w:val="none"/>
        </w:rPr>
        <w:t>202</w:t>
      </w:r>
      <w:r>
        <w:rPr>
          <w:rFonts w:hint="eastAsia" w:ascii="仿宋_GB2312" w:hAnsi="宋体" w:eastAsia="仿宋_GB2312"/>
          <w:b/>
          <w:color w:val="auto"/>
          <w:sz w:val="32"/>
          <w:szCs w:val="32"/>
          <w:highlight w:val="none"/>
          <w:lang w:val="en-US" w:eastAsia="zh-CN"/>
        </w:rPr>
        <w:t>5</w:t>
      </w:r>
      <w:r>
        <w:rPr>
          <w:rFonts w:hint="eastAsia" w:ascii="仿宋_GB2312" w:hAnsi="宋体" w:eastAsia="仿宋_GB2312"/>
          <w:b/>
          <w:color w:val="auto"/>
          <w:sz w:val="32"/>
          <w:szCs w:val="32"/>
          <w:highlight w:val="none"/>
        </w:rPr>
        <w:t>年</w:t>
      </w:r>
      <w:r>
        <w:rPr>
          <w:rFonts w:hint="eastAsia" w:ascii="仿宋_GB2312" w:hAnsi="宋体" w:eastAsia="仿宋_GB2312"/>
          <w:b/>
          <w:color w:val="auto"/>
          <w:sz w:val="32"/>
          <w:szCs w:val="32"/>
          <w:highlight w:val="none"/>
          <w:lang w:val="en-US" w:eastAsia="zh-CN"/>
        </w:rPr>
        <w:t>5</w:t>
      </w:r>
      <w:r>
        <w:rPr>
          <w:rFonts w:hint="eastAsia" w:ascii="仿宋_GB2312" w:hAnsi="宋体" w:eastAsia="仿宋_GB2312"/>
          <w:b/>
          <w:color w:val="auto"/>
          <w:sz w:val="32"/>
          <w:szCs w:val="32"/>
          <w:highlight w:val="none"/>
        </w:rPr>
        <w:t>月</w:t>
      </w:r>
    </w:p>
    <w:p w14:paraId="63AA886A">
      <w:pPr>
        <w:pageBreakBefore w:val="0"/>
        <w:kinsoku/>
        <w:wordWrap w:val="0"/>
        <w:overflowPunct/>
        <w:topLinePunct/>
        <w:autoSpaceDE w:val="0"/>
        <w:autoSpaceDN w:val="0"/>
        <w:bidi w:val="0"/>
        <w:spacing w:beforeLines="50"/>
        <w:jc w:val="center"/>
        <w:rPr>
          <w:rFonts w:ascii="宋体" w:hAnsi="宋体"/>
          <w:b/>
          <w:sz w:val="44"/>
          <w:szCs w:val="44"/>
          <w:highlight w:val="none"/>
        </w:rPr>
        <w:sectPr>
          <w:headerReference r:id="rId5" w:type="default"/>
          <w:footerReference r:id="rId6" w:type="default"/>
          <w:pgSz w:w="11906" w:h="16839"/>
          <w:pgMar w:top="400" w:right="994" w:bottom="1156" w:left="1255" w:header="0" w:footer="994" w:gutter="0"/>
          <w:cols w:space="720" w:num="1"/>
        </w:sectPr>
      </w:pPr>
    </w:p>
    <w:p w14:paraId="08A7CD1E">
      <w:pPr>
        <w:pStyle w:val="12"/>
        <w:pageBreakBefore w:val="0"/>
        <w:kinsoku/>
        <w:wordWrap w:val="0"/>
        <w:overflowPunct/>
        <w:topLinePunct/>
        <w:autoSpaceDE w:val="0"/>
        <w:autoSpaceDN w:val="0"/>
        <w:bidi w:val="0"/>
        <w:spacing w:before="120" w:after="120" w:line="360" w:lineRule="auto"/>
        <w:ind w:left="0" w:leftChars="0" w:firstLine="0" w:firstLineChars="0"/>
        <w:jc w:val="center"/>
        <w:rPr>
          <w:rFonts w:hAnsi="宋体"/>
          <w:sz w:val="44"/>
          <w:szCs w:val="44"/>
          <w:highlight w:val="none"/>
        </w:rPr>
      </w:pPr>
      <w:r>
        <w:rPr>
          <w:rFonts w:hint="eastAsia" w:hAnsi="宋体"/>
          <w:sz w:val="44"/>
          <w:szCs w:val="44"/>
          <w:highlight w:val="none"/>
        </w:rPr>
        <w:t>目    录</w:t>
      </w:r>
    </w:p>
    <w:p w14:paraId="58606765">
      <w:pPr>
        <w:pStyle w:val="16"/>
        <w:pageBreakBefore w:val="0"/>
        <w:tabs>
          <w:tab w:val="right" w:leader="dot" w:pos="8398"/>
        </w:tabs>
        <w:kinsoku/>
        <w:wordWrap w:val="0"/>
        <w:overflowPunct/>
        <w:topLinePunct/>
        <w:autoSpaceDE w:val="0"/>
        <w:autoSpaceDN w:val="0"/>
        <w:bidi w:val="0"/>
        <w:ind w:firstLine="301"/>
        <w:rPr>
          <w:b w:val="0"/>
          <w:bCs w:val="0"/>
          <w:caps w:val="0"/>
          <w:sz w:val="28"/>
          <w:szCs w:val="28"/>
          <w:highlight w:val="none"/>
        </w:rPr>
      </w:pPr>
      <w:r>
        <w:rPr>
          <w:rFonts w:hint="eastAsia"/>
          <w:sz w:val="30"/>
          <w:highlight w:val="none"/>
        </w:rPr>
        <w:fldChar w:fldCharType="begin"/>
      </w:r>
      <w:r>
        <w:rPr>
          <w:rFonts w:hint="eastAsia"/>
          <w:sz w:val="30"/>
          <w:highlight w:val="none"/>
        </w:rPr>
        <w:instrText xml:space="preserve"> TOC \o "1-3" \h \z \u </w:instrText>
      </w:r>
      <w:r>
        <w:rPr>
          <w:rFonts w:hint="eastAsia"/>
          <w:sz w:val="30"/>
          <w:highlight w:val="none"/>
        </w:rPr>
        <w:fldChar w:fldCharType="separate"/>
      </w:r>
      <w:r>
        <w:rPr>
          <w:highlight w:val="none"/>
        </w:rPr>
        <w:fldChar w:fldCharType="begin"/>
      </w:r>
      <w:r>
        <w:rPr>
          <w:highlight w:val="none"/>
        </w:rPr>
        <w:instrText xml:space="preserve"> HYPERLINK \l "_Toc291688339" </w:instrText>
      </w:r>
      <w:r>
        <w:rPr>
          <w:highlight w:val="none"/>
        </w:rPr>
        <w:fldChar w:fldCharType="separate"/>
      </w:r>
      <w:r>
        <w:rPr>
          <w:rStyle w:val="29"/>
          <w:rFonts w:hint="eastAsia"/>
          <w:b w:val="0"/>
          <w:color w:val="auto"/>
          <w:sz w:val="28"/>
          <w:szCs w:val="28"/>
          <w:highlight w:val="none"/>
        </w:rPr>
        <w:t>第一章  公开招标采购公告</w:t>
      </w:r>
      <w:r>
        <w:rPr>
          <w:rFonts w:hint="eastAsia"/>
          <w:b w:val="0"/>
          <w:sz w:val="28"/>
          <w:szCs w:val="28"/>
          <w:highlight w:val="none"/>
        </w:rPr>
        <w:tab/>
      </w:r>
      <w:r>
        <w:rPr>
          <w:rFonts w:hint="eastAsia"/>
          <w:b w:val="0"/>
          <w:sz w:val="28"/>
          <w:szCs w:val="28"/>
          <w:highlight w:val="none"/>
        </w:rPr>
        <w:fldChar w:fldCharType="begin"/>
      </w:r>
      <w:r>
        <w:rPr>
          <w:rFonts w:hint="eastAsia"/>
          <w:b w:val="0"/>
          <w:sz w:val="28"/>
          <w:szCs w:val="28"/>
          <w:highlight w:val="none"/>
        </w:rPr>
        <w:instrText xml:space="preserve"> PAGEREF _Toc291688339 \h </w:instrText>
      </w:r>
      <w:r>
        <w:rPr>
          <w:rFonts w:hint="eastAsia"/>
          <w:b w:val="0"/>
          <w:sz w:val="28"/>
          <w:szCs w:val="28"/>
          <w:highlight w:val="none"/>
        </w:rPr>
        <w:fldChar w:fldCharType="separate"/>
      </w:r>
      <w:r>
        <w:rPr>
          <w:rFonts w:hint="eastAsia"/>
          <w:b w:val="0"/>
          <w:sz w:val="28"/>
          <w:szCs w:val="28"/>
          <w:highlight w:val="none"/>
        </w:rPr>
        <w:t>1</w:t>
      </w:r>
      <w:r>
        <w:rPr>
          <w:rFonts w:hint="eastAsia"/>
          <w:b w:val="0"/>
          <w:sz w:val="28"/>
          <w:szCs w:val="28"/>
          <w:highlight w:val="none"/>
        </w:rPr>
        <w:fldChar w:fldCharType="end"/>
      </w:r>
      <w:r>
        <w:rPr>
          <w:rFonts w:hint="eastAsia"/>
          <w:b w:val="0"/>
          <w:sz w:val="28"/>
          <w:szCs w:val="28"/>
          <w:highlight w:val="none"/>
        </w:rPr>
        <w:fldChar w:fldCharType="end"/>
      </w:r>
    </w:p>
    <w:p w14:paraId="3A4B4B05">
      <w:pPr>
        <w:pStyle w:val="16"/>
        <w:pageBreakBefore w:val="0"/>
        <w:tabs>
          <w:tab w:val="right" w:leader="dot" w:pos="8398"/>
        </w:tabs>
        <w:kinsoku/>
        <w:wordWrap w:val="0"/>
        <w:overflowPunct/>
        <w:topLinePunct/>
        <w:autoSpaceDE w:val="0"/>
        <w:autoSpaceDN w:val="0"/>
        <w:bidi w:val="0"/>
        <w:ind w:firstLine="241"/>
        <w:rPr>
          <w:b w:val="0"/>
          <w:bCs w:val="0"/>
          <w:caps w:val="0"/>
          <w:sz w:val="28"/>
          <w:szCs w:val="28"/>
          <w:highlight w:val="none"/>
        </w:rPr>
      </w:pPr>
      <w:r>
        <w:rPr>
          <w:highlight w:val="none"/>
        </w:rPr>
        <w:fldChar w:fldCharType="begin"/>
      </w:r>
      <w:r>
        <w:rPr>
          <w:highlight w:val="none"/>
        </w:rPr>
        <w:instrText xml:space="preserve"> HYPERLINK \l "_Toc291688340" </w:instrText>
      </w:r>
      <w:r>
        <w:rPr>
          <w:highlight w:val="none"/>
        </w:rPr>
        <w:fldChar w:fldCharType="separate"/>
      </w:r>
      <w:r>
        <w:rPr>
          <w:rStyle w:val="29"/>
          <w:rFonts w:hint="eastAsia" w:cs="Courier New"/>
          <w:b w:val="0"/>
          <w:color w:val="auto"/>
          <w:sz w:val="28"/>
          <w:szCs w:val="28"/>
          <w:highlight w:val="none"/>
        </w:rPr>
        <w:t>第二章  招标项目采购需求</w:t>
      </w:r>
      <w:r>
        <w:rPr>
          <w:rFonts w:hint="eastAsia"/>
          <w:b w:val="0"/>
          <w:sz w:val="28"/>
          <w:szCs w:val="28"/>
          <w:highlight w:val="none"/>
        </w:rPr>
        <w:tab/>
      </w:r>
      <w:r>
        <w:rPr>
          <w:rFonts w:hint="eastAsia"/>
          <w:b w:val="0"/>
          <w:sz w:val="28"/>
          <w:szCs w:val="28"/>
          <w:highlight w:val="none"/>
        </w:rPr>
        <w:fldChar w:fldCharType="begin"/>
      </w:r>
      <w:r>
        <w:rPr>
          <w:rFonts w:hint="eastAsia"/>
          <w:b w:val="0"/>
          <w:sz w:val="28"/>
          <w:szCs w:val="28"/>
          <w:highlight w:val="none"/>
        </w:rPr>
        <w:instrText xml:space="preserve"> PAGEREF _Toc291688340 \h </w:instrText>
      </w:r>
      <w:r>
        <w:rPr>
          <w:rFonts w:hint="eastAsia"/>
          <w:b w:val="0"/>
          <w:sz w:val="28"/>
          <w:szCs w:val="28"/>
          <w:highlight w:val="none"/>
        </w:rPr>
        <w:fldChar w:fldCharType="separate"/>
      </w:r>
      <w:r>
        <w:rPr>
          <w:rFonts w:hint="eastAsia"/>
          <w:b w:val="0"/>
          <w:sz w:val="28"/>
          <w:szCs w:val="28"/>
          <w:highlight w:val="none"/>
        </w:rPr>
        <w:t>5</w:t>
      </w:r>
      <w:r>
        <w:rPr>
          <w:rFonts w:hint="eastAsia"/>
          <w:b w:val="0"/>
          <w:sz w:val="28"/>
          <w:szCs w:val="28"/>
          <w:highlight w:val="none"/>
        </w:rPr>
        <w:fldChar w:fldCharType="end"/>
      </w:r>
      <w:r>
        <w:rPr>
          <w:rFonts w:hint="eastAsia"/>
          <w:b w:val="0"/>
          <w:sz w:val="28"/>
          <w:szCs w:val="28"/>
          <w:highlight w:val="none"/>
        </w:rPr>
        <w:fldChar w:fldCharType="end"/>
      </w:r>
    </w:p>
    <w:p w14:paraId="4D4BD27A">
      <w:pPr>
        <w:pStyle w:val="16"/>
        <w:pageBreakBefore w:val="0"/>
        <w:tabs>
          <w:tab w:val="right" w:leader="dot" w:pos="8398"/>
        </w:tabs>
        <w:kinsoku/>
        <w:wordWrap w:val="0"/>
        <w:overflowPunct/>
        <w:topLinePunct/>
        <w:autoSpaceDE w:val="0"/>
        <w:autoSpaceDN w:val="0"/>
        <w:bidi w:val="0"/>
        <w:ind w:firstLine="241"/>
        <w:rPr>
          <w:b w:val="0"/>
          <w:bCs w:val="0"/>
          <w:caps w:val="0"/>
          <w:sz w:val="28"/>
          <w:szCs w:val="28"/>
          <w:highlight w:val="none"/>
        </w:rPr>
      </w:pPr>
      <w:r>
        <w:rPr>
          <w:highlight w:val="none"/>
        </w:rPr>
        <w:fldChar w:fldCharType="begin"/>
      </w:r>
      <w:r>
        <w:rPr>
          <w:highlight w:val="none"/>
        </w:rPr>
        <w:instrText xml:space="preserve"> HYPERLINK \l "_Toc291688341" </w:instrText>
      </w:r>
      <w:r>
        <w:rPr>
          <w:highlight w:val="none"/>
        </w:rPr>
        <w:fldChar w:fldCharType="separate"/>
      </w:r>
      <w:r>
        <w:rPr>
          <w:rStyle w:val="29"/>
          <w:rFonts w:hint="eastAsia"/>
          <w:b w:val="0"/>
          <w:color w:val="auto"/>
          <w:sz w:val="28"/>
          <w:szCs w:val="28"/>
          <w:highlight w:val="none"/>
        </w:rPr>
        <w:t>第三章  投标人须知</w:t>
      </w:r>
      <w:r>
        <w:rPr>
          <w:rFonts w:hint="eastAsia"/>
          <w:b w:val="0"/>
          <w:sz w:val="28"/>
          <w:szCs w:val="28"/>
          <w:highlight w:val="none"/>
        </w:rPr>
        <w:tab/>
      </w:r>
      <w:r>
        <w:rPr>
          <w:rFonts w:hint="eastAsia"/>
          <w:b w:val="0"/>
          <w:sz w:val="28"/>
          <w:szCs w:val="28"/>
          <w:highlight w:val="none"/>
        </w:rPr>
        <w:fldChar w:fldCharType="begin"/>
      </w:r>
      <w:r>
        <w:rPr>
          <w:rFonts w:hint="eastAsia"/>
          <w:b w:val="0"/>
          <w:sz w:val="28"/>
          <w:szCs w:val="28"/>
          <w:highlight w:val="none"/>
        </w:rPr>
        <w:instrText xml:space="preserve"> PAGEREF _Toc291688341 \h </w:instrText>
      </w:r>
      <w:r>
        <w:rPr>
          <w:rFonts w:hint="eastAsia"/>
          <w:b w:val="0"/>
          <w:sz w:val="28"/>
          <w:szCs w:val="28"/>
          <w:highlight w:val="none"/>
        </w:rPr>
        <w:fldChar w:fldCharType="separate"/>
      </w:r>
      <w:r>
        <w:rPr>
          <w:rFonts w:hint="eastAsia"/>
          <w:b w:val="0"/>
          <w:sz w:val="28"/>
          <w:szCs w:val="28"/>
          <w:highlight w:val="none"/>
        </w:rPr>
        <w:t>16</w:t>
      </w:r>
      <w:r>
        <w:rPr>
          <w:rFonts w:hint="eastAsia"/>
          <w:b w:val="0"/>
          <w:sz w:val="28"/>
          <w:szCs w:val="28"/>
          <w:highlight w:val="none"/>
        </w:rPr>
        <w:fldChar w:fldCharType="end"/>
      </w:r>
      <w:r>
        <w:rPr>
          <w:rFonts w:hint="eastAsia"/>
          <w:b w:val="0"/>
          <w:sz w:val="28"/>
          <w:szCs w:val="28"/>
          <w:highlight w:val="none"/>
        </w:rPr>
        <w:fldChar w:fldCharType="end"/>
      </w:r>
    </w:p>
    <w:p w14:paraId="751FAB21">
      <w:pPr>
        <w:pStyle w:val="16"/>
        <w:pageBreakBefore w:val="0"/>
        <w:tabs>
          <w:tab w:val="right" w:leader="dot" w:pos="8398"/>
        </w:tabs>
        <w:kinsoku/>
        <w:wordWrap w:val="0"/>
        <w:overflowPunct/>
        <w:topLinePunct/>
        <w:autoSpaceDE w:val="0"/>
        <w:autoSpaceDN w:val="0"/>
        <w:bidi w:val="0"/>
        <w:ind w:firstLine="241"/>
        <w:rPr>
          <w:b w:val="0"/>
          <w:bCs w:val="0"/>
          <w:caps w:val="0"/>
          <w:sz w:val="28"/>
          <w:szCs w:val="28"/>
          <w:highlight w:val="none"/>
        </w:rPr>
      </w:pPr>
      <w:r>
        <w:rPr>
          <w:highlight w:val="none"/>
        </w:rPr>
        <w:fldChar w:fldCharType="begin"/>
      </w:r>
      <w:r>
        <w:rPr>
          <w:highlight w:val="none"/>
        </w:rPr>
        <w:instrText xml:space="preserve"> HYPERLINK \l "_Toc291688342" </w:instrText>
      </w:r>
      <w:r>
        <w:rPr>
          <w:highlight w:val="none"/>
        </w:rPr>
        <w:fldChar w:fldCharType="separate"/>
      </w:r>
      <w:r>
        <w:rPr>
          <w:rStyle w:val="29"/>
          <w:rFonts w:hint="eastAsia"/>
          <w:b w:val="0"/>
          <w:color w:val="auto"/>
          <w:sz w:val="28"/>
          <w:szCs w:val="28"/>
          <w:highlight w:val="none"/>
        </w:rPr>
        <w:t>第四章 评标方法及评标标准</w:t>
      </w:r>
      <w:r>
        <w:rPr>
          <w:rFonts w:hint="eastAsia"/>
          <w:b w:val="0"/>
          <w:sz w:val="28"/>
          <w:szCs w:val="28"/>
          <w:highlight w:val="none"/>
        </w:rPr>
        <w:tab/>
      </w:r>
      <w:r>
        <w:rPr>
          <w:rFonts w:hint="eastAsia"/>
          <w:b w:val="0"/>
          <w:sz w:val="28"/>
          <w:szCs w:val="28"/>
          <w:highlight w:val="none"/>
        </w:rPr>
        <w:fldChar w:fldCharType="begin"/>
      </w:r>
      <w:r>
        <w:rPr>
          <w:rFonts w:hint="eastAsia"/>
          <w:b w:val="0"/>
          <w:sz w:val="28"/>
          <w:szCs w:val="28"/>
          <w:highlight w:val="none"/>
        </w:rPr>
        <w:instrText xml:space="preserve"> PAGEREF _Toc291688342 \h </w:instrText>
      </w:r>
      <w:r>
        <w:rPr>
          <w:rFonts w:hint="eastAsia"/>
          <w:b w:val="0"/>
          <w:sz w:val="28"/>
          <w:szCs w:val="28"/>
          <w:highlight w:val="none"/>
        </w:rPr>
        <w:fldChar w:fldCharType="separate"/>
      </w:r>
      <w:r>
        <w:rPr>
          <w:rFonts w:hint="eastAsia"/>
          <w:b w:val="0"/>
          <w:sz w:val="28"/>
          <w:szCs w:val="28"/>
          <w:highlight w:val="none"/>
        </w:rPr>
        <w:t>46</w:t>
      </w:r>
      <w:r>
        <w:rPr>
          <w:rFonts w:hint="eastAsia"/>
          <w:b w:val="0"/>
          <w:sz w:val="28"/>
          <w:szCs w:val="28"/>
          <w:highlight w:val="none"/>
        </w:rPr>
        <w:fldChar w:fldCharType="end"/>
      </w:r>
      <w:r>
        <w:rPr>
          <w:rFonts w:hint="eastAsia"/>
          <w:b w:val="0"/>
          <w:sz w:val="28"/>
          <w:szCs w:val="28"/>
          <w:highlight w:val="none"/>
        </w:rPr>
        <w:fldChar w:fldCharType="end"/>
      </w:r>
    </w:p>
    <w:p w14:paraId="4F4ED74B">
      <w:pPr>
        <w:pStyle w:val="16"/>
        <w:pageBreakBefore w:val="0"/>
        <w:tabs>
          <w:tab w:val="right" w:leader="dot" w:pos="8398"/>
        </w:tabs>
        <w:kinsoku/>
        <w:wordWrap w:val="0"/>
        <w:overflowPunct/>
        <w:topLinePunct/>
        <w:autoSpaceDE w:val="0"/>
        <w:autoSpaceDN w:val="0"/>
        <w:bidi w:val="0"/>
        <w:ind w:firstLine="241"/>
        <w:rPr>
          <w:b w:val="0"/>
          <w:bCs w:val="0"/>
          <w:caps w:val="0"/>
          <w:sz w:val="28"/>
          <w:szCs w:val="28"/>
          <w:highlight w:val="none"/>
        </w:rPr>
      </w:pPr>
      <w:r>
        <w:rPr>
          <w:highlight w:val="none"/>
        </w:rPr>
        <w:fldChar w:fldCharType="begin"/>
      </w:r>
      <w:r>
        <w:rPr>
          <w:highlight w:val="none"/>
        </w:rPr>
        <w:instrText xml:space="preserve"> HYPERLINK \l "_Toc291688343" </w:instrText>
      </w:r>
      <w:r>
        <w:rPr>
          <w:highlight w:val="none"/>
        </w:rPr>
        <w:fldChar w:fldCharType="separate"/>
      </w:r>
      <w:r>
        <w:rPr>
          <w:rStyle w:val="29"/>
          <w:rFonts w:hint="eastAsia"/>
          <w:b w:val="0"/>
          <w:color w:val="auto"/>
          <w:sz w:val="28"/>
          <w:szCs w:val="28"/>
          <w:highlight w:val="none"/>
        </w:rPr>
        <w:t>第五章 合同主要条款格式</w:t>
      </w:r>
      <w:r>
        <w:rPr>
          <w:rFonts w:hint="eastAsia"/>
          <w:b w:val="0"/>
          <w:sz w:val="28"/>
          <w:szCs w:val="28"/>
          <w:highlight w:val="none"/>
        </w:rPr>
        <w:tab/>
      </w:r>
      <w:r>
        <w:rPr>
          <w:rFonts w:hint="eastAsia"/>
          <w:b w:val="0"/>
          <w:sz w:val="28"/>
          <w:szCs w:val="28"/>
          <w:highlight w:val="none"/>
        </w:rPr>
        <w:fldChar w:fldCharType="begin"/>
      </w:r>
      <w:r>
        <w:rPr>
          <w:rFonts w:hint="eastAsia"/>
          <w:b w:val="0"/>
          <w:sz w:val="28"/>
          <w:szCs w:val="28"/>
          <w:highlight w:val="none"/>
        </w:rPr>
        <w:instrText xml:space="preserve"> PAGEREF _Toc291688343 \h </w:instrText>
      </w:r>
      <w:r>
        <w:rPr>
          <w:rFonts w:hint="eastAsia"/>
          <w:b w:val="0"/>
          <w:sz w:val="28"/>
          <w:szCs w:val="28"/>
          <w:highlight w:val="none"/>
        </w:rPr>
        <w:fldChar w:fldCharType="separate"/>
      </w:r>
      <w:r>
        <w:rPr>
          <w:rFonts w:hint="eastAsia"/>
          <w:b w:val="0"/>
          <w:sz w:val="28"/>
          <w:szCs w:val="28"/>
          <w:highlight w:val="none"/>
        </w:rPr>
        <w:t>49</w:t>
      </w:r>
      <w:r>
        <w:rPr>
          <w:rFonts w:hint="eastAsia"/>
          <w:b w:val="0"/>
          <w:sz w:val="28"/>
          <w:szCs w:val="28"/>
          <w:highlight w:val="none"/>
        </w:rPr>
        <w:fldChar w:fldCharType="end"/>
      </w:r>
      <w:r>
        <w:rPr>
          <w:rFonts w:hint="eastAsia"/>
          <w:b w:val="0"/>
          <w:sz w:val="28"/>
          <w:szCs w:val="28"/>
          <w:highlight w:val="none"/>
        </w:rPr>
        <w:fldChar w:fldCharType="end"/>
      </w:r>
    </w:p>
    <w:p w14:paraId="3A039D87">
      <w:pPr>
        <w:pStyle w:val="16"/>
        <w:pageBreakBefore w:val="0"/>
        <w:tabs>
          <w:tab w:val="right" w:leader="dot" w:pos="8398"/>
        </w:tabs>
        <w:kinsoku/>
        <w:wordWrap w:val="0"/>
        <w:overflowPunct/>
        <w:topLinePunct/>
        <w:autoSpaceDE w:val="0"/>
        <w:autoSpaceDN w:val="0"/>
        <w:bidi w:val="0"/>
        <w:ind w:firstLine="241"/>
        <w:rPr>
          <w:b w:val="0"/>
          <w:bCs w:val="0"/>
          <w:caps w:val="0"/>
          <w:sz w:val="21"/>
          <w:highlight w:val="none"/>
        </w:rPr>
      </w:pPr>
      <w:r>
        <w:rPr>
          <w:highlight w:val="none"/>
        </w:rPr>
        <w:fldChar w:fldCharType="begin"/>
      </w:r>
      <w:r>
        <w:rPr>
          <w:highlight w:val="none"/>
        </w:rPr>
        <w:instrText xml:space="preserve"> HYPERLINK \l "_Toc291688344" </w:instrText>
      </w:r>
      <w:r>
        <w:rPr>
          <w:highlight w:val="none"/>
        </w:rPr>
        <w:fldChar w:fldCharType="separate"/>
      </w:r>
      <w:r>
        <w:rPr>
          <w:rStyle w:val="29"/>
          <w:rFonts w:hint="eastAsia"/>
          <w:b w:val="0"/>
          <w:color w:val="auto"/>
          <w:sz w:val="28"/>
          <w:szCs w:val="28"/>
          <w:highlight w:val="none"/>
        </w:rPr>
        <w:t>第六章 投标文件格式</w:t>
      </w:r>
      <w:r>
        <w:rPr>
          <w:rFonts w:hint="eastAsia"/>
          <w:b w:val="0"/>
          <w:sz w:val="28"/>
          <w:szCs w:val="28"/>
          <w:highlight w:val="none"/>
        </w:rPr>
        <w:tab/>
      </w:r>
      <w:r>
        <w:rPr>
          <w:rFonts w:hint="eastAsia"/>
          <w:b w:val="0"/>
          <w:sz w:val="28"/>
          <w:szCs w:val="28"/>
          <w:highlight w:val="none"/>
        </w:rPr>
        <w:fldChar w:fldCharType="begin"/>
      </w:r>
      <w:r>
        <w:rPr>
          <w:rFonts w:hint="eastAsia"/>
          <w:b w:val="0"/>
          <w:sz w:val="28"/>
          <w:szCs w:val="28"/>
          <w:highlight w:val="none"/>
        </w:rPr>
        <w:instrText xml:space="preserve"> PAGEREF _Toc291688344 \h </w:instrText>
      </w:r>
      <w:r>
        <w:rPr>
          <w:rFonts w:hint="eastAsia"/>
          <w:b w:val="0"/>
          <w:sz w:val="28"/>
          <w:szCs w:val="28"/>
          <w:highlight w:val="none"/>
        </w:rPr>
        <w:fldChar w:fldCharType="separate"/>
      </w:r>
      <w:r>
        <w:rPr>
          <w:rFonts w:hint="eastAsia"/>
          <w:b w:val="0"/>
          <w:sz w:val="28"/>
          <w:szCs w:val="28"/>
          <w:highlight w:val="none"/>
        </w:rPr>
        <w:t>78</w:t>
      </w:r>
      <w:r>
        <w:rPr>
          <w:rFonts w:hint="eastAsia"/>
          <w:b w:val="0"/>
          <w:sz w:val="28"/>
          <w:szCs w:val="28"/>
          <w:highlight w:val="none"/>
        </w:rPr>
        <w:fldChar w:fldCharType="end"/>
      </w:r>
      <w:r>
        <w:rPr>
          <w:rFonts w:hint="eastAsia"/>
          <w:b w:val="0"/>
          <w:sz w:val="28"/>
          <w:szCs w:val="28"/>
          <w:highlight w:val="none"/>
        </w:rPr>
        <w:fldChar w:fldCharType="end"/>
      </w:r>
    </w:p>
    <w:p w14:paraId="4700F8FD">
      <w:pPr>
        <w:pageBreakBefore w:val="0"/>
        <w:kinsoku/>
        <w:wordWrap w:val="0"/>
        <w:overflowPunct/>
        <w:topLinePunct/>
        <w:autoSpaceDE w:val="0"/>
        <w:autoSpaceDN w:val="0"/>
        <w:bidi w:val="0"/>
        <w:spacing w:beforeLines="50" w:line="480" w:lineRule="exact"/>
        <w:rPr>
          <w:rFonts w:ascii="宋体" w:hAnsi="宋体"/>
          <w:sz w:val="30"/>
          <w:highlight w:val="none"/>
        </w:rPr>
      </w:pPr>
      <w:r>
        <w:rPr>
          <w:rFonts w:hint="eastAsia" w:ascii="宋体" w:hAnsi="宋体"/>
          <w:sz w:val="30"/>
          <w:highlight w:val="none"/>
        </w:rPr>
        <w:fldChar w:fldCharType="end"/>
      </w:r>
    </w:p>
    <w:p w14:paraId="16C2085F">
      <w:pPr>
        <w:pStyle w:val="12"/>
        <w:pageBreakBefore w:val="0"/>
        <w:kinsoku/>
        <w:wordWrap w:val="0"/>
        <w:overflowPunct/>
        <w:topLinePunct/>
        <w:autoSpaceDE w:val="0"/>
        <w:autoSpaceDN w:val="0"/>
        <w:bidi w:val="0"/>
        <w:snapToGrid w:val="0"/>
        <w:spacing w:before="120" w:after="120" w:line="320" w:lineRule="exact"/>
        <w:jc w:val="center"/>
        <w:outlineLvl w:val="0"/>
        <w:rPr>
          <w:rFonts w:hint="eastAsia" w:hAnsi="宋体"/>
          <w:sz w:val="28"/>
          <w:szCs w:val="28"/>
          <w:highlight w:val="none"/>
        </w:rPr>
        <w:sectPr>
          <w:pgSz w:w="11906" w:h="16839"/>
          <w:pgMar w:top="400" w:right="994" w:bottom="1156" w:left="1255" w:header="0" w:footer="994" w:gutter="0"/>
          <w:cols w:space="720" w:num="1"/>
        </w:sectPr>
      </w:pPr>
      <w:bookmarkStart w:id="0" w:name="_Toc254970630"/>
      <w:bookmarkStart w:id="1" w:name="_Toc291688339"/>
      <w:bookmarkStart w:id="2" w:name="_Toc254970489"/>
    </w:p>
    <w:p w14:paraId="57FFF181">
      <w:pPr>
        <w:pStyle w:val="3"/>
        <w:pageBreakBefore w:val="0"/>
        <w:kinsoku/>
        <w:wordWrap w:val="0"/>
        <w:overflowPunct/>
        <w:topLinePunct/>
        <w:autoSpaceDE w:val="0"/>
        <w:autoSpaceDN w:val="0"/>
        <w:bidi w:val="0"/>
        <w:rPr>
          <w:rFonts w:hAnsi="宋体"/>
          <w:szCs w:val="28"/>
          <w:highlight w:val="none"/>
        </w:rPr>
      </w:pPr>
      <w:bookmarkStart w:id="3" w:name="_Toc31790"/>
      <w:r>
        <w:rPr>
          <w:rFonts w:hint="eastAsia"/>
          <w:highlight w:val="none"/>
        </w:rPr>
        <w:t>第一章  公开招标公告</w:t>
      </w:r>
      <w:bookmarkEnd w:id="0"/>
      <w:bookmarkEnd w:id="1"/>
      <w:bookmarkEnd w:id="2"/>
      <w:bookmarkEnd w:id="3"/>
    </w:p>
    <w:p w14:paraId="6D704CCB">
      <w:pPr>
        <w:pageBreakBefore w:val="0"/>
        <w:kinsoku/>
        <w:wordWrap w:val="0"/>
        <w:overflowPunct/>
        <w:topLinePunct/>
        <w:autoSpaceDE w:val="0"/>
        <w:autoSpaceDN w:val="0"/>
        <w:bidi w:val="0"/>
        <w:rPr>
          <w:highlight w:val="none"/>
        </w:rPr>
      </w:pPr>
      <w:r>
        <w:rPr>
          <w:rFonts w:hint="eastAsia"/>
          <w:highlight w:val="none"/>
        </w:rPr>
        <w:t>项目概况：</w:t>
      </w:r>
    </w:p>
    <w:p w14:paraId="1739C355">
      <w:pPr>
        <w:pageBreakBefore w:val="0"/>
        <w:kinsoku/>
        <w:wordWrap w:val="0"/>
        <w:overflowPunct/>
        <w:topLinePunct/>
        <w:autoSpaceDE w:val="0"/>
        <w:autoSpaceDN w:val="0"/>
        <w:bidi w:val="0"/>
        <w:rPr>
          <w:highlight w:val="none"/>
        </w:rPr>
      </w:pPr>
      <w:r>
        <w:rPr>
          <w:rFonts w:hint="eastAsia"/>
          <w:highlight w:val="none"/>
          <w:u w:val="single"/>
        </w:rPr>
        <w:t>液相色谱串联质谱检测系统及数字PCR仪器采购</w:t>
      </w:r>
      <w:r>
        <w:rPr>
          <w:rFonts w:hint="eastAsia"/>
          <w:highlight w:val="none"/>
        </w:rPr>
        <w:t>招标项目的潜在投标人应在“政采云”平台（</w:t>
      </w:r>
      <w:r>
        <w:rPr>
          <w:highlight w:val="none"/>
        </w:rPr>
        <w:t>https://www.zcygov.cn/</w:t>
      </w:r>
      <w:r>
        <w:rPr>
          <w:rFonts w:hint="eastAsia"/>
          <w:highlight w:val="none"/>
        </w:rPr>
        <w:t>）获取（下载）获取招标文件，并于</w:t>
      </w:r>
      <w:r>
        <w:rPr>
          <w:rFonts w:hint="eastAsia"/>
          <w:highlight w:val="none"/>
          <w:lang w:val="en-US" w:eastAsia="zh-CN"/>
        </w:rPr>
        <w:t>2025</w:t>
      </w:r>
      <w:r>
        <w:rPr>
          <w:rFonts w:hint="eastAsia"/>
          <w:highlight w:val="none"/>
        </w:rPr>
        <w:t>年</w:t>
      </w:r>
      <w:r>
        <w:rPr>
          <w:rFonts w:hint="eastAsia"/>
          <w:highlight w:val="none"/>
          <w:lang w:val="en-US" w:eastAsia="zh-CN"/>
        </w:rPr>
        <w:t>07</w:t>
      </w:r>
      <w:r>
        <w:rPr>
          <w:rFonts w:hint="eastAsia"/>
          <w:highlight w:val="none"/>
        </w:rPr>
        <w:t>月</w:t>
      </w:r>
      <w:r>
        <w:rPr>
          <w:rFonts w:hint="eastAsia"/>
          <w:highlight w:val="none"/>
          <w:lang w:val="en-US" w:eastAsia="zh-CN"/>
        </w:rPr>
        <w:t>02</w:t>
      </w:r>
      <w:r>
        <w:rPr>
          <w:rFonts w:hint="eastAsia"/>
          <w:highlight w:val="none"/>
        </w:rPr>
        <w:t xml:space="preserve"> 日</w:t>
      </w:r>
      <w:r>
        <w:rPr>
          <w:rFonts w:hint="eastAsia"/>
          <w:highlight w:val="none"/>
          <w:lang w:val="en-US" w:eastAsia="zh-CN"/>
        </w:rPr>
        <w:t xml:space="preserve">09 </w:t>
      </w:r>
      <w:r>
        <w:rPr>
          <w:rFonts w:hint="eastAsia"/>
          <w:highlight w:val="none"/>
        </w:rPr>
        <w:t>点</w:t>
      </w:r>
      <w:r>
        <w:rPr>
          <w:rFonts w:hint="eastAsia"/>
          <w:highlight w:val="none"/>
          <w:lang w:val="en-US" w:eastAsia="zh-CN"/>
        </w:rPr>
        <w:t>30</w:t>
      </w:r>
      <w:r>
        <w:rPr>
          <w:rFonts w:hint="eastAsia"/>
          <w:highlight w:val="none"/>
        </w:rPr>
        <w:t>分（北京时间）前递交（上传）投标文件。</w:t>
      </w:r>
      <w:bookmarkStart w:id="4" w:name="_Toc28359002"/>
      <w:bookmarkStart w:id="5" w:name="_Toc35393621"/>
      <w:bookmarkStart w:id="6" w:name="_Toc35393790"/>
      <w:bookmarkStart w:id="7" w:name="_Toc28359079"/>
      <w:bookmarkStart w:id="8" w:name="_Hlk24379207"/>
    </w:p>
    <w:p w14:paraId="07EB5AF6">
      <w:pPr>
        <w:pStyle w:val="4"/>
        <w:bidi w:val="0"/>
        <w:rPr>
          <w:highlight w:val="none"/>
        </w:rPr>
      </w:pPr>
      <w:r>
        <w:rPr>
          <w:rFonts w:hint="eastAsia"/>
          <w:highlight w:val="none"/>
        </w:rPr>
        <w:t>一、项目基本情况</w:t>
      </w:r>
      <w:bookmarkEnd w:id="4"/>
      <w:bookmarkEnd w:id="5"/>
      <w:bookmarkEnd w:id="6"/>
      <w:bookmarkEnd w:id="7"/>
    </w:p>
    <w:bookmarkEnd w:id="8"/>
    <w:p w14:paraId="37A105B1">
      <w:pPr>
        <w:pageBreakBefore w:val="0"/>
        <w:kinsoku/>
        <w:wordWrap w:val="0"/>
        <w:overflowPunct/>
        <w:topLinePunct/>
        <w:autoSpaceDE w:val="0"/>
        <w:autoSpaceDN w:val="0"/>
        <w:bidi w:val="0"/>
        <w:rPr>
          <w:rFonts w:hint="eastAsia" w:eastAsia="宋体"/>
          <w:highlight w:val="none"/>
          <w:lang w:eastAsia="zh-CN"/>
        </w:rPr>
      </w:pPr>
      <w:bookmarkStart w:id="9" w:name="_Toc28359003"/>
      <w:bookmarkStart w:id="10" w:name="_Toc35393622"/>
      <w:bookmarkStart w:id="11" w:name="_Toc28359080"/>
      <w:bookmarkStart w:id="12" w:name="_Toc35393791"/>
      <w:r>
        <w:rPr>
          <w:rFonts w:hint="eastAsia"/>
          <w:highlight w:val="none"/>
        </w:rPr>
        <w:t>项目编号：</w:t>
      </w:r>
      <w:r>
        <w:rPr>
          <w:rFonts w:hint="eastAsia" w:cs="Arial"/>
          <w:i w:val="0"/>
          <w:iCs w:val="0"/>
          <w:caps w:val="0"/>
          <w:color w:val="000000"/>
          <w:spacing w:val="0"/>
          <w:sz w:val="24"/>
          <w:szCs w:val="24"/>
          <w:highlight w:val="none"/>
          <w:shd w:val="clear"/>
          <w:lang w:eastAsia="zh-CN"/>
        </w:rPr>
        <w:t>GXZC2025-G1-001068-GXDY</w:t>
      </w:r>
    </w:p>
    <w:p w14:paraId="5EAAD763">
      <w:pPr>
        <w:pageBreakBefore w:val="0"/>
        <w:kinsoku/>
        <w:wordWrap w:val="0"/>
        <w:overflowPunct/>
        <w:topLinePunct/>
        <w:autoSpaceDE w:val="0"/>
        <w:autoSpaceDN w:val="0"/>
        <w:bidi w:val="0"/>
        <w:rPr>
          <w:rFonts w:hint="eastAsia" w:eastAsia="宋体"/>
          <w:highlight w:val="none"/>
          <w:lang w:eastAsia="zh-CN"/>
        </w:rPr>
      </w:pPr>
      <w:r>
        <w:rPr>
          <w:rFonts w:hint="eastAsia"/>
          <w:highlight w:val="none"/>
        </w:rPr>
        <w:t>项目名称：</w:t>
      </w:r>
      <w:r>
        <w:rPr>
          <w:rFonts w:hint="eastAsia"/>
          <w:highlight w:val="none"/>
          <w:u w:val="single"/>
        </w:rPr>
        <w:t>液相色谱串联质谱检测系统及数字PCR仪器采购</w:t>
      </w:r>
      <w:r>
        <w:rPr>
          <w:rFonts w:hint="eastAsia"/>
          <w:highlight w:val="none"/>
          <w:lang w:val="en-US" w:eastAsia="zh-CN"/>
        </w:rPr>
        <w:t xml:space="preserve"> </w:t>
      </w:r>
    </w:p>
    <w:p w14:paraId="332912EA">
      <w:pPr>
        <w:pageBreakBefore w:val="0"/>
        <w:kinsoku/>
        <w:wordWrap w:val="0"/>
        <w:overflowPunct/>
        <w:topLinePunct/>
        <w:autoSpaceDE w:val="0"/>
        <w:autoSpaceDN w:val="0"/>
        <w:bidi w:val="0"/>
        <w:rPr>
          <w:rFonts w:hint="default" w:eastAsia="宋体"/>
          <w:highlight w:val="none"/>
          <w:lang w:val="en-US" w:eastAsia="zh-CN"/>
        </w:rPr>
      </w:pPr>
      <w:r>
        <w:rPr>
          <w:rFonts w:hint="eastAsia"/>
          <w:highlight w:val="none"/>
        </w:rPr>
        <w:t>预算总金额（元）：</w:t>
      </w:r>
      <w:r>
        <w:rPr>
          <w:rFonts w:hint="eastAsia"/>
          <w:highlight w:val="none"/>
          <w:lang w:val="en-US" w:eastAsia="zh-CN"/>
        </w:rPr>
        <w:t xml:space="preserve"> 3700000.00</w:t>
      </w:r>
    </w:p>
    <w:p w14:paraId="6D61B1FE">
      <w:pPr>
        <w:pageBreakBefore w:val="0"/>
        <w:kinsoku/>
        <w:wordWrap w:val="0"/>
        <w:overflowPunct/>
        <w:topLinePunct/>
        <w:autoSpaceDE w:val="0"/>
        <w:autoSpaceDN w:val="0"/>
        <w:bidi w:val="0"/>
        <w:rPr>
          <w:rFonts w:hint="eastAsia"/>
          <w:highlight w:val="none"/>
        </w:rPr>
      </w:pPr>
      <w:r>
        <w:rPr>
          <w:rFonts w:hint="eastAsia"/>
          <w:highlight w:val="none"/>
        </w:rPr>
        <w:t>采购需求：</w:t>
      </w:r>
    </w:p>
    <w:p w14:paraId="2DB438D4">
      <w:pPr>
        <w:pageBreakBefore w:val="0"/>
        <w:kinsoku/>
        <w:wordWrap w:val="0"/>
        <w:overflowPunct/>
        <w:topLinePunct/>
        <w:autoSpaceDE w:val="0"/>
        <w:autoSpaceDN w:val="0"/>
        <w:bidi w:val="0"/>
        <w:rPr>
          <w:rFonts w:hint="eastAsia" w:eastAsia="宋体"/>
          <w:highlight w:val="none"/>
          <w:lang w:eastAsia="zh-CN"/>
        </w:rPr>
      </w:pPr>
      <w:r>
        <w:rPr>
          <w:rFonts w:hint="eastAsia"/>
          <w:highlight w:val="none"/>
          <w:lang w:eastAsia="zh-CN"/>
        </w:rPr>
        <w:t>标项一</w:t>
      </w:r>
    </w:p>
    <w:p w14:paraId="42B69D9D">
      <w:pPr>
        <w:pageBreakBefore w:val="0"/>
        <w:kinsoku/>
        <w:wordWrap w:val="0"/>
        <w:overflowPunct/>
        <w:topLinePunct/>
        <w:autoSpaceDE w:val="0"/>
        <w:autoSpaceDN w:val="0"/>
        <w:bidi w:val="0"/>
        <w:rPr>
          <w:rFonts w:hint="eastAsia" w:eastAsia="宋体"/>
          <w:highlight w:val="none"/>
          <w:lang w:val="en-US" w:eastAsia="zh-CN"/>
        </w:rPr>
      </w:pPr>
      <w:r>
        <w:rPr>
          <w:rFonts w:hint="eastAsia"/>
          <w:highlight w:val="none"/>
        </w:rPr>
        <w:t>标项名称：液相色谱串联质谱检测系统</w:t>
      </w:r>
    </w:p>
    <w:p w14:paraId="71217213">
      <w:pPr>
        <w:pageBreakBefore w:val="0"/>
        <w:kinsoku/>
        <w:wordWrap w:val="0"/>
        <w:overflowPunct/>
        <w:topLinePunct/>
        <w:autoSpaceDE w:val="0"/>
        <w:autoSpaceDN w:val="0"/>
        <w:bidi w:val="0"/>
        <w:rPr>
          <w:rFonts w:hint="eastAsia"/>
          <w:highlight w:val="none"/>
        </w:rPr>
      </w:pPr>
      <w:r>
        <w:rPr>
          <w:rFonts w:hint="eastAsia"/>
          <w:highlight w:val="none"/>
        </w:rPr>
        <w:t>数量：1</w:t>
      </w:r>
    </w:p>
    <w:p w14:paraId="428C34E5">
      <w:pPr>
        <w:pageBreakBefore w:val="0"/>
        <w:kinsoku/>
        <w:wordWrap w:val="0"/>
        <w:overflowPunct/>
        <w:topLinePunct/>
        <w:autoSpaceDE w:val="0"/>
        <w:autoSpaceDN w:val="0"/>
        <w:bidi w:val="0"/>
        <w:rPr>
          <w:rFonts w:hint="default"/>
          <w:highlight w:val="none"/>
          <w:lang w:val="en-US"/>
        </w:rPr>
      </w:pPr>
      <w:r>
        <w:rPr>
          <w:rFonts w:hint="eastAsia"/>
          <w:highlight w:val="none"/>
        </w:rPr>
        <w:t>预算金额（元）：</w:t>
      </w:r>
      <w:r>
        <w:rPr>
          <w:rFonts w:hint="eastAsia"/>
          <w:highlight w:val="none"/>
          <w:lang w:val="en-US" w:eastAsia="zh-CN"/>
        </w:rPr>
        <w:t>2500000.00</w:t>
      </w:r>
    </w:p>
    <w:p w14:paraId="138BF234">
      <w:pPr>
        <w:pageBreakBefore w:val="0"/>
        <w:kinsoku/>
        <w:wordWrap w:val="0"/>
        <w:overflowPunct/>
        <w:topLinePunct/>
        <w:autoSpaceDE w:val="0"/>
        <w:autoSpaceDN w:val="0"/>
        <w:bidi w:val="0"/>
        <w:rPr>
          <w:rFonts w:hint="eastAsia"/>
          <w:highlight w:val="none"/>
        </w:rPr>
      </w:pPr>
      <w:r>
        <w:rPr>
          <w:rFonts w:hint="eastAsia"/>
          <w:highlight w:val="none"/>
        </w:rPr>
        <w:t>简要规格描述或项目基本概况介绍、用途：</w:t>
      </w:r>
      <w:r>
        <w:rPr>
          <w:rFonts w:hint="eastAsia"/>
          <w:highlight w:val="none"/>
          <w:lang w:val="en-US" w:eastAsia="zh-CN"/>
        </w:rPr>
        <w:t>采购</w:t>
      </w:r>
      <w:r>
        <w:rPr>
          <w:rFonts w:hint="eastAsia"/>
          <w:highlight w:val="none"/>
        </w:rPr>
        <w:t>液相色谱串联质谱检测系统1</w:t>
      </w:r>
      <w:r>
        <w:rPr>
          <w:rFonts w:hint="eastAsia"/>
          <w:highlight w:val="none"/>
          <w:lang w:val="en-US" w:eastAsia="zh-CN"/>
        </w:rPr>
        <w:t>套</w:t>
      </w:r>
      <w:r>
        <w:rPr>
          <w:rFonts w:hint="eastAsia"/>
          <w:highlight w:val="none"/>
        </w:rPr>
        <w:t>，具体详见采购需求。</w:t>
      </w:r>
    </w:p>
    <w:p w14:paraId="229CA9C4">
      <w:pPr>
        <w:pageBreakBefore w:val="0"/>
        <w:kinsoku/>
        <w:wordWrap w:val="0"/>
        <w:overflowPunct/>
        <w:topLinePunct/>
        <w:autoSpaceDE w:val="0"/>
        <w:autoSpaceDN w:val="0"/>
        <w:bidi w:val="0"/>
        <w:rPr>
          <w:rFonts w:hint="eastAsia"/>
          <w:highlight w:val="none"/>
        </w:rPr>
      </w:pPr>
      <w:r>
        <w:rPr>
          <w:rFonts w:hint="eastAsia"/>
          <w:highlight w:val="none"/>
        </w:rPr>
        <w:t>合同履约期限：进口产品合同签订后60个日历日内到货并完成安装调试，国产产品合同签订后30个日历日内到货并完成安装调试。</w:t>
      </w:r>
    </w:p>
    <w:p w14:paraId="3B0CFF9D">
      <w:pPr>
        <w:pageBreakBefore w:val="0"/>
        <w:kinsoku/>
        <w:wordWrap w:val="0"/>
        <w:overflowPunct/>
        <w:topLinePunct/>
        <w:autoSpaceDE w:val="0"/>
        <w:autoSpaceDN w:val="0"/>
        <w:bidi w:val="0"/>
        <w:rPr>
          <w:rFonts w:hint="eastAsia"/>
          <w:highlight w:val="none"/>
        </w:rPr>
      </w:pPr>
      <w:r>
        <w:rPr>
          <w:rFonts w:hint="eastAsia"/>
          <w:highlight w:val="none"/>
        </w:rPr>
        <w:t>本标项（否）接受联合体投标</w:t>
      </w:r>
    </w:p>
    <w:p w14:paraId="5D778DFC">
      <w:pPr>
        <w:pageBreakBefore w:val="0"/>
        <w:kinsoku/>
        <w:wordWrap w:val="0"/>
        <w:overflowPunct/>
        <w:topLinePunct/>
        <w:autoSpaceDE w:val="0"/>
        <w:autoSpaceDN w:val="0"/>
        <w:bidi w:val="0"/>
        <w:rPr>
          <w:rFonts w:hint="eastAsia"/>
          <w:highlight w:val="none"/>
        </w:rPr>
      </w:pPr>
      <w:r>
        <w:rPr>
          <w:rFonts w:hint="eastAsia"/>
          <w:highlight w:val="none"/>
        </w:rPr>
        <w:t>备注：</w:t>
      </w:r>
    </w:p>
    <w:p w14:paraId="3E3DDD6E">
      <w:pPr>
        <w:pageBreakBefore w:val="0"/>
        <w:kinsoku/>
        <w:wordWrap w:val="0"/>
        <w:overflowPunct/>
        <w:topLinePunct/>
        <w:autoSpaceDE w:val="0"/>
        <w:autoSpaceDN w:val="0"/>
        <w:bidi w:val="0"/>
        <w:rPr>
          <w:rFonts w:hint="eastAsia" w:eastAsia="宋体"/>
          <w:highlight w:val="none"/>
          <w:lang w:eastAsia="zh-CN"/>
        </w:rPr>
      </w:pPr>
      <w:r>
        <w:rPr>
          <w:rFonts w:hint="eastAsia"/>
          <w:highlight w:val="none"/>
          <w:lang w:eastAsia="zh-CN"/>
        </w:rPr>
        <w:t>标项二</w:t>
      </w:r>
    </w:p>
    <w:p w14:paraId="2BD58E88">
      <w:pPr>
        <w:pageBreakBefore w:val="0"/>
        <w:kinsoku/>
        <w:wordWrap w:val="0"/>
        <w:overflowPunct/>
        <w:topLinePunct/>
        <w:autoSpaceDE w:val="0"/>
        <w:autoSpaceDN w:val="0"/>
        <w:bidi w:val="0"/>
        <w:rPr>
          <w:rFonts w:hint="eastAsia" w:eastAsia="宋体"/>
          <w:highlight w:val="none"/>
          <w:lang w:val="en-US" w:eastAsia="zh-CN"/>
        </w:rPr>
      </w:pPr>
      <w:r>
        <w:rPr>
          <w:rFonts w:hint="eastAsia"/>
          <w:highlight w:val="none"/>
        </w:rPr>
        <w:t>标项名称：数字PCR仪器</w:t>
      </w:r>
    </w:p>
    <w:p w14:paraId="7667E0C7">
      <w:pPr>
        <w:pageBreakBefore w:val="0"/>
        <w:kinsoku/>
        <w:wordWrap w:val="0"/>
        <w:overflowPunct/>
        <w:topLinePunct/>
        <w:autoSpaceDE w:val="0"/>
        <w:autoSpaceDN w:val="0"/>
        <w:bidi w:val="0"/>
        <w:rPr>
          <w:rFonts w:hint="eastAsia"/>
          <w:highlight w:val="none"/>
        </w:rPr>
      </w:pPr>
      <w:r>
        <w:rPr>
          <w:rFonts w:hint="eastAsia"/>
          <w:highlight w:val="none"/>
        </w:rPr>
        <w:t>数量：1</w:t>
      </w:r>
    </w:p>
    <w:p w14:paraId="4B2C492F">
      <w:pPr>
        <w:pageBreakBefore w:val="0"/>
        <w:kinsoku/>
        <w:wordWrap w:val="0"/>
        <w:overflowPunct/>
        <w:topLinePunct/>
        <w:autoSpaceDE w:val="0"/>
        <w:autoSpaceDN w:val="0"/>
        <w:bidi w:val="0"/>
        <w:rPr>
          <w:rFonts w:hint="eastAsia"/>
          <w:highlight w:val="none"/>
        </w:rPr>
      </w:pPr>
      <w:r>
        <w:rPr>
          <w:rFonts w:hint="eastAsia"/>
          <w:highlight w:val="none"/>
        </w:rPr>
        <w:t>预算金额（元）：</w:t>
      </w:r>
      <w:r>
        <w:rPr>
          <w:rFonts w:hint="eastAsia"/>
          <w:highlight w:val="none"/>
          <w:lang w:val="en-US" w:eastAsia="zh-CN"/>
        </w:rPr>
        <w:t>120</w:t>
      </w:r>
      <w:r>
        <w:rPr>
          <w:rFonts w:hint="eastAsia"/>
          <w:highlight w:val="none"/>
        </w:rPr>
        <w:t>0000.00</w:t>
      </w:r>
    </w:p>
    <w:p w14:paraId="60620193">
      <w:pPr>
        <w:pageBreakBefore w:val="0"/>
        <w:kinsoku/>
        <w:wordWrap w:val="0"/>
        <w:overflowPunct/>
        <w:topLinePunct/>
        <w:autoSpaceDE w:val="0"/>
        <w:autoSpaceDN w:val="0"/>
        <w:bidi w:val="0"/>
        <w:rPr>
          <w:rFonts w:hint="eastAsia"/>
          <w:highlight w:val="none"/>
        </w:rPr>
      </w:pPr>
      <w:r>
        <w:rPr>
          <w:rFonts w:hint="eastAsia"/>
          <w:highlight w:val="none"/>
        </w:rPr>
        <w:t>简要规格描述或项目基本概况介绍、用途：</w:t>
      </w:r>
      <w:r>
        <w:rPr>
          <w:rFonts w:hint="eastAsia"/>
          <w:highlight w:val="none"/>
          <w:lang w:val="en-US" w:eastAsia="zh-CN"/>
        </w:rPr>
        <w:t>采购</w:t>
      </w:r>
      <w:r>
        <w:rPr>
          <w:rFonts w:hint="eastAsia"/>
          <w:highlight w:val="none"/>
        </w:rPr>
        <w:t>数字PCR仪器1</w:t>
      </w:r>
      <w:r>
        <w:rPr>
          <w:rFonts w:hint="eastAsia"/>
          <w:highlight w:val="none"/>
          <w:lang w:val="en-US" w:eastAsia="zh-CN"/>
        </w:rPr>
        <w:t>套</w:t>
      </w:r>
      <w:r>
        <w:rPr>
          <w:rFonts w:hint="eastAsia"/>
          <w:highlight w:val="none"/>
        </w:rPr>
        <w:t>，具体详见采购需求。</w:t>
      </w:r>
    </w:p>
    <w:p w14:paraId="5610371B">
      <w:pPr>
        <w:pageBreakBefore w:val="0"/>
        <w:kinsoku/>
        <w:wordWrap w:val="0"/>
        <w:overflowPunct/>
        <w:topLinePunct/>
        <w:autoSpaceDE w:val="0"/>
        <w:autoSpaceDN w:val="0"/>
        <w:bidi w:val="0"/>
        <w:rPr>
          <w:rFonts w:hint="eastAsia"/>
          <w:highlight w:val="none"/>
        </w:rPr>
      </w:pPr>
      <w:r>
        <w:rPr>
          <w:rFonts w:hint="eastAsia"/>
          <w:highlight w:val="none"/>
        </w:rPr>
        <w:t>合同履约期限：国产产品合同签订后30个日历日内到货并完成安装调试。</w:t>
      </w:r>
    </w:p>
    <w:p w14:paraId="126F4C4F">
      <w:pPr>
        <w:pageBreakBefore w:val="0"/>
        <w:kinsoku/>
        <w:wordWrap w:val="0"/>
        <w:overflowPunct/>
        <w:topLinePunct/>
        <w:autoSpaceDE w:val="0"/>
        <w:autoSpaceDN w:val="0"/>
        <w:bidi w:val="0"/>
        <w:rPr>
          <w:rFonts w:hint="eastAsia"/>
          <w:highlight w:val="none"/>
        </w:rPr>
      </w:pPr>
      <w:r>
        <w:rPr>
          <w:rFonts w:hint="eastAsia"/>
          <w:highlight w:val="none"/>
        </w:rPr>
        <w:t>本标项（否）接受联合体投标</w:t>
      </w:r>
    </w:p>
    <w:p w14:paraId="00D877A9">
      <w:pPr>
        <w:pageBreakBefore w:val="0"/>
        <w:kinsoku/>
        <w:wordWrap w:val="0"/>
        <w:overflowPunct/>
        <w:topLinePunct/>
        <w:autoSpaceDE w:val="0"/>
        <w:autoSpaceDN w:val="0"/>
        <w:bidi w:val="0"/>
        <w:rPr>
          <w:rFonts w:ascii="宋体" w:hAnsi="宋体"/>
          <w:sz w:val="24"/>
          <w:highlight w:val="none"/>
        </w:rPr>
      </w:pPr>
      <w:r>
        <w:rPr>
          <w:rFonts w:hint="eastAsia"/>
          <w:highlight w:val="none"/>
        </w:rPr>
        <w:t>备注：</w:t>
      </w:r>
    </w:p>
    <w:p w14:paraId="7D4B892C">
      <w:pPr>
        <w:pStyle w:val="4"/>
        <w:bidi w:val="0"/>
        <w:rPr>
          <w:highlight w:val="none"/>
        </w:rPr>
      </w:pPr>
      <w:r>
        <w:rPr>
          <w:rFonts w:hint="eastAsia"/>
          <w:highlight w:val="none"/>
        </w:rPr>
        <w:t>二、申请人的资格要求：</w:t>
      </w:r>
      <w:bookmarkEnd w:id="9"/>
      <w:bookmarkEnd w:id="10"/>
      <w:bookmarkEnd w:id="11"/>
      <w:bookmarkEnd w:id="12"/>
    </w:p>
    <w:p w14:paraId="726E6792">
      <w:pPr>
        <w:bidi w:val="0"/>
        <w:rPr>
          <w:highlight w:val="none"/>
        </w:rPr>
      </w:pPr>
      <w:r>
        <w:rPr>
          <w:rFonts w:hint="eastAsia"/>
          <w:highlight w:val="none"/>
        </w:rPr>
        <w:t>1.满足《中华人民共和国政府采购法》第二十二条规定；</w:t>
      </w:r>
    </w:p>
    <w:p w14:paraId="143C33B7">
      <w:pPr>
        <w:bidi w:val="0"/>
        <w:rPr>
          <w:rFonts w:hint="eastAsia" w:eastAsia="宋体"/>
          <w:highlight w:val="none"/>
          <w:lang w:eastAsia="zh-CN"/>
        </w:rPr>
      </w:pPr>
      <w:bookmarkStart w:id="13" w:name="_Toc28359081"/>
      <w:bookmarkStart w:id="14" w:name="_Toc28359004"/>
      <w:r>
        <w:rPr>
          <w:rFonts w:hint="eastAsia"/>
          <w:highlight w:val="none"/>
        </w:rPr>
        <w:t>2.落实政府采购政策需满足的资格要求：</w:t>
      </w:r>
      <w:r>
        <w:rPr>
          <w:rFonts w:hint="eastAsia"/>
          <w:highlight w:val="none"/>
          <w:lang w:val="en-US" w:eastAsia="zh-CN"/>
        </w:rPr>
        <w:t>无</w:t>
      </w:r>
    </w:p>
    <w:p w14:paraId="6ACFAAA5">
      <w:pPr>
        <w:bidi w:val="0"/>
        <w:rPr>
          <w:highlight w:val="none"/>
        </w:rPr>
      </w:pPr>
      <w:r>
        <w:rPr>
          <w:rFonts w:hint="eastAsia"/>
          <w:highlight w:val="none"/>
        </w:rPr>
        <w:t>3.本项目的特定资格要求：</w:t>
      </w:r>
      <w:bookmarkStart w:id="15" w:name="_Toc35393623"/>
      <w:bookmarkStart w:id="16" w:name="_Toc35393792"/>
    </w:p>
    <w:p w14:paraId="1D34D973">
      <w:pPr>
        <w:bidi w:val="0"/>
        <w:rPr>
          <w:rFonts w:hint="eastAsia" w:eastAsia="宋体"/>
          <w:highlight w:val="none"/>
          <w:lang w:val="en-US" w:eastAsia="zh-CN"/>
        </w:rPr>
      </w:pPr>
      <w:r>
        <w:rPr>
          <w:rFonts w:hint="eastAsia"/>
          <w:highlight w:val="none"/>
          <w:lang w:val="en-US" w:eastAsia="zh-CN"/>
        </w:rPr>
        <w:t>标项一：</w:t>
      </w:r>
    </w:p>
    <w:p w14:paraId="1A83B19F">
      <w:pPr>
        <w:bidi w:val="0"/>
        <w:rPr>
          <w:rFonts w:hint="eastAsia"/>
          <w:highlight w:val="none"/>
        </w:rPr>
      </w:pPr>
      <w:r>
        <w:rPr>
          <w:rFonts w:hint="eastAsia"/>
          <w:highlight w:val="none"/>
          <w:lang w:val="en-US" w:eastAsia="zh-CN"/>
        </w:rPr>
        <w:t>投标人按《医疗器械监督管理条例》（国务院令第739号）医疗器械分类管理要求具备有效的医疗器械经营备案凭证或者经营许可证，或者投标人应符合《医疗器械监督管理条例》（国务院令第739号）规定具备医疗器械注册证或第一类医疗器械备案凭证</w:t>
      </w:r>
      <w:r>
        <w:rPr>
          <w:rFonts w:hint="eastAsia"/>
          <w:highlight w:val="none"/>
        </w:rPr>
        <w:t>。</w:t>
      </w:r>
    </w:p>
    <w:p w14:paraId="6BAD7AFF">
      <w:pPr>
        <w:bidi w:val="0"/>
        <w:rPr>
          <w:rFonts w:hint="eastAsia"/>
          <w:highlight w:val="none"/>
          <w:lang w:val="en-US" w:eastAsia="zh-CN"/>
        </w:rPr>
      </w:pPr>
      <w:r>
        <w:rPr>
          <w:rFonts w:hint="eastAsia"/>
          <w:highlight w:val="none"/>
          <w:lang w:val="en-US" w:eastAsia="zh-CN"/>
        </w:rPr>
        <w:t>标项二：</w:t>
      </w:r>
    </w:p>
    <w:p w14:paraId="7C488306">
      <w:pPr>
        <w:bidi w:val="0"/>
        <w:rPr>
          <w:rFonts w:hint="eastAsia"/>
          <w:highlight w:val="none"/>
        </w:rPr>
      </w:pPr>
      <w:r>
        <w:rPr>
          <w:rFonts w:hint="eastAsia"/>
          <w:highlight w:val="none"/>
          <w:lang w:val="en-US" w:eastAsia="zh-CN"/>
        </w:rPr>
        <w:t>投标人按《医疗器械监督管理条例》（国务院令第739号）医疗器械分类管理要求具备有效的医疗器械经营备案凭证或者经营许可证，或者投标人应符合《医疗器械监督管理条例》（国务院令第739号）规定具备医疗器械注册证或第一类医疗器械备案凭证</w:t>
      </w:r>
      <w:r>
        <w:rPr>
          <w:rFonts w:hint="eastAsia"/>
          <w:highlight w:val="none"/>
        </w:rPr>
        <w:t>。</w:t>
      </w:r>
    </w:p>
    <w:p w14:paraId="46BA59C7">
      <w:pPr>
        <w:pStyle w:val="4"/>
        <w:bidi w:val="0"/>
        <w:rPr>
          <w:highlight w:val="none"/>
        </w:rPr>
      </w:pPr>
      <w:r>
        <w:rPr>
          <w:rFonts w:hint="eastAsia"/>
          <w:highlight w:val="none"/>
        </w:rPr>
        <w:t>三、获取招标文件</w:t>
      </w:r>
      <w:bookmarkEnd w:id="13"/>
      <w:bookmarkEnd w:id="14"/>
      <w:bookmarkEnd w:id="15"/>
      <w:bookmarkEnd w:id="16"/>
    </w:p>
    <w:p w14:paraId="3D065866">
      <w:pPr>
        <w:bidi w:val="0"/>
        <w:rPr>
          <w:highlight w:val="none"/>
        </w:rPr>
      </w:pPr>
      <w:r>
        <w:rPr>
          <w:rFonts w:hint="eastAsia"/>
          <w:highlight w:val="none"/>
        </w:rPr>
        <w:t>时间：</w:t>
      </w:r>
      <w:r>
        <w:rPr>
          <w:rFonts w:hint="eastAsia"/>
          <w:highlight w:val="none"/>
          <w:lang w:val="en-US" w:eastAsia="zh-CN"/>
        </w:rPr>
        <w:t>2025</w:t>
      </w:r>
      <w:r>
        <w:rPr>
          <w:rFonts w:hint="eastAsia"/>
          <w:highlight w:val="none"/>
        </w:rPr>
        <w:t>年</w:t>
      </w:r>
      <w:r>
        <w:rPr>
          <w:rFonts w:hint="eastAsia"/>
          <w:highlight w:val="none"/>
          <w:lang w:val="en-US" w:eastAsia="zh-CN"/>
        </w:rPr>
        <w:t>06</w:t>
      </w:r>
      <w:r>
        <w:rPr>
          <w:rFonts w:hint="eastAsia"/>
          <w:highlight w:val="none"/>
        </w:rPr>
        <w:t>月</w:t>
      </w:r>
      <w:r>
        <w:rPr>
          <w:rFonts w:hint="eastAsia"/>
          <w:highlight w:val="none"/>
          <w:lang w:val="en-US" w:eastAsia="zh-CN"/>
        </w:rPr>
        <w:t>11</w:t>
      </w:r>
      <w:r>
        <w:rPr>
          <w:rFonts w:hint="eastAsia"/>
          <w:highlight w:val="none"/>
        </w:rPr>
        <w:t>日至</w:t>
      </w:r>
      <w:r>
        <w:rPr>
          <w:rFonts w:hint="eastAsia"/>
          <w:highlight w:val="none"/>
          <w:lang w:val="en-US" w:eastAsia="zh-CN"/>
        </w:rPr>
        <w:t>2025</w:t>
      </w:r>
      <w:r>
        <w:rPr>
          <w:rFonts w:hint="eastAsia"/>
          <w:highlight w:val="none"/>
        </w:rPr>
        <w:t>年</w:t>
      </w:r>
      <w:r>
        <w:rPr>
          <w:rFonts w:hint="eastAsia"/>
          <w:highlight w:val="none"/>
          <w:lang w:val="en-US" w:eastAsia="zh-CN"/>
        </w:rPr>
        <w:t>06</w:t>
      </w:r>
      <w:r>
        <w:rPr>
          <w:rFonts w:hint="eastAsia"/>
          <w:highlight w:val="none"/>
        </w:rPr>
        <w:t>月</w:t>
      </w:r>
      <w:bookmarkStart w:id="104" w:name="_GoBack"/>
      <w:bookmarkEnd w:id="104"/>
      <w:r>
        <w:rPr>
          <w:rFonts w:hint="eastAsia"/>
          <w:highlight w:val="none"/>
          <w:lang w:val="en-US" w:eastAsia="zh-CN"/>
        </w:rPr>
        <w:t>18</w:t>
      </w:r>
      <w:r>
        <w:rPr>
          <w:rFonts w:hint="eastAsia"/>
          <w:highlight w:val="none"/>
        </w:rPr>
        <w:t>日，每天上午00:00至12:00，下午12:00至23:59（北京时间，法定节假日除外）。</w:t>
      </w:r>
    </w:p>
    <w:p w14:paraId="09AE311A">
      <w:pPr>
        <w:bidi w:val="0"/>
        <w:rPr>
          <w:highlight w:val="none"/>
        </w:rPr>
      </w:pPr>
      <w:r>
        <w:rPr>
          <w:rFonts w:hint="eastAsia"/>
          <w:highlight w:val="none"/>
        </w:rPr>
        <w:t>地点：“政采云”平台（</w:t>
      </w:r>
      <w:r>
        <w:rPr>
          <w:highlight w:val="none"/>
        </w:rPr>
        <w:t>http</w:t>
      </w:r>
      <w:r>
        <w:rPr>
          <w:rFonts w:hint="eastAsia"/>
          <w:highlight w:val="none"/>
        </w:rPr>
        <w:t>：</w:t>
      </w:r>
      <w:r>
        <w:rPr>
          <w:highlight w:val="none"/>
        </w:rPr>
        <w:t>//www.zcygov.cn</w:t>
      </w:r>
      <w:r>
        <w:rPr>
          <w:rFonts w:hint="eastAsia"/>
          <w:highlight w:val="none"/>
        </w:rPr>
        <w:t>）。</w:t>
      </w:r>
    </w:p>
    <w:p w14:paraId="42A02C2C">
      <w:pPr>
        <w:bidi w:val="0"/>
        <w:rPr>
          <w:highlight w:val="none"/>
        </w:rPr>
      </w:pPr>
      <w:r>
        <w:rPr>
          <w:rFonts w:hint="eastAsia"/>
          <w:highlight w:val="none"/>
        </w:rPr>
        <w:t>方式：网上下载。本项目不发放纸质文件，供应商可自行在“政采云”平台（</w:t>
      </w:r>
      <w:r>
        <w:rPr>
          <w:highlight w:val="none"/>
        </w:rPr>
        <w:t>http</w:t>
      </w:r>
      <w:r>
        <w:rPr>
          <w:rFonts w:hint="eastAsia"/>
          <w:highlight w:val="none"/>
        </w:rPr>
        <w:t>：</w:t>
      </w:r>
      <w:r>
        <w:rPr>
          <w:highlight w:val="none"/>
        </w:rPr>
        <w:t>//www.zcygov.cn</w:t>
      </w:r>
      <w:r>
        <w:rPr>
          <w:rFonts w:hint="eastAsia"/>
          <w:highlight w:val="none"/>
        </w:rPr>
        <w:t>）下载招标文件（操作路径：登录“政采云”平台</w:t>
      </w:r>
      <w:r>
        <w:rPr>
          <w:highlight w:val="none"/>
        </w:rPr>
        <w:t>-</w:t>
      </w:r>
      <w:r>
        <w:rPr>
          <w:rFonts w:hint="eastAsia"/>
          <w:highlight w:val="none"/>
        </w:rPr>
        <w:t>项目采购</w:t>
      </w:r>
      <w:r>
        <w:rPr>
          <w:highlight w:val="none"/>
        </w:rPr>
        <w:t>-</w:t>
      </w:r>
      <w:r>
        <w:rPr>
          <w:rFonts w:hint="eastAsia"/>
          <w:highlight w:val="none"/>
        </w:rPr>
        <w:t>获取采购文件</w:t>
      </w:r>
      <w:r>
        <w:rPr>
          <w:highlight w:val="none"/>
        </w:rPr>
        <w:t>-</w:t>
      </w:r>
      <w:r>
        <w:rPr>
          <w:rFonts w:hint="eastAsia"/>
          <w:highlight w:val="none"/>
        </w:rPr>
        <w:t>找到本项目</w:t>
      </w:r>
      <w:r>
        <w:rPr>
          <w:highlight w:val="none"/>
        </w:rPr>
        <w:t>-</w:t>
      </w:r>
      <w:r>
        <w:rPr>
          <w:rFonts w:hint="eastAsia"/>
          <w:highlight w:val="none"/>
        </w:rPr>
        <w:t>点击“申请获取采购文件”），实名申请获取招标文件，如在操作过程中遇到问题或者需要技术支持，请致电政采云客服热线：400-881-7190。 供应商登陆“政采云”平台，应进行“申请获取采购文件”操作，否则，有可能导致无法在线编制投标文件并参与投标，其不利后果由供应商自行承担。</w:t>
      </w:r>
    </w:p>
    <w:p w14:paraId="6FA2DD3F">
      <w:pPr>
        <w:bidi w:val="0"/>
        <w:rPr>
          <w:rFonts w:hint="eastAsia" w:eastAsia="宋体"/>
          <w:highlight w:val="none"/>
          <w:lang w:val="en-US" w:eastAsia="zh-CN"/>
        </w:rPr>
      </w:pPr>
      <w:r>
        <w:rPr>
          <w:rFonts w:hint="eastAsia"/>
          <w:highlight w:val="none"/>
        </w:rPr>
        <w:t>售价（元）：</w:t>
      </w:r>
      <w:bookmarkStart w:id="17" w:name="_Toc28359082"/>
      <w:bookmarkStart w:id="18" w:name="_Toc28359005"/>
      <w:bookmarkStart w:id="19" w:name="_Toc35393624"/>
      <w:bookmarkStart w:id="20" w:name="_Toc35393793"/>
      <w:r>
        <w:rPr>
          <w:rFonts w:hint="eastAsia"/>
          <w:highlight w:val="none"/>
          <w:lang w:val="en-US" w:eastAsia="zh-CN"/>
        </w:rPr>
        <w:t>0</w:t>
      </w:r>
    </w:p>
    <w:p w14:paraId="5992FC50">
      <w:pPr>
        <w:pStyle w:val="4"/>
        <w:bidi w:val="0"/>
        <w:rPr>
          <w:highlight w:val="none"/>
        </w:rPr>
      </w:pPr>
      <w:r>
        <w:rPr>
          <w:rFonts w:hint="eastAsia"/>
          <w:highlight w:val="none"/>
        </w:rPr>
        <w:t>四、提交投标文件</w:t>
      </w:r>
      <w:bookmarkEnd w:id="17"/>
      <w:bookmarkEnd w:id="18"/>
      <w:r>
        <w:rPr>
          <w:rFonts w:hint="eastAsia"/>
          <w:highlight w:val="none"/>
        </w:rPr>
        <w:t>截止时间、开标时间和地点</w:t>
      </w:r>
      <w:bookmarkEnd w:id="19"/>
      <w:bookmarkEnd w:id="20"/>
    </w:p>
    <w:p w14:paraId="741E3879">
      <w:pPr>
        <w:bidi w:val="0"/>
        <w:rPr>
          <w:highlight w:val="none"/>
        </w:rPr>
      </w:pPr>
      <w:r>
        <w:rPr>
          <w:highlight w:val="none"/>
        </w:rPr>
        <w:t>提交投标文件截止时间：</w:t>
      </w:r>
      <w:r>
        <w:rPr>
          <w:rFonts w:hint="eastAsia"/>
          <w:highlight w:val="none"/>
          <w:lang w:val="en-US" w:eastAsia="zh-CN"/>
        </w:rPr>
        <w:t>2025</w:t>
      </w:r>
      <w:r>
        <w:rPr>
          <w:highlight w:val="none"/>
        </w:rPr>
        <w:t>年</w:t>
      </w:r>
      <w:r>
        <w:rPr>
          <w:rFonts w:hint="eastAsia"/>
          <w:highlight w:val="none"/>
          <w:lang w:val="en-US" w:eastAsia="zh-CN"/>
        </w:rPr>
        <w:t>07</w:t>
      </w:r>
      <w:r>
        <w:rPr>
          <w:highlight w:val="none"/>
        </w:rPr>
        <w:t>月</w:t>
      </w:r>
      <w:r>
        <w:rPr>
          <w:rFonts w:hint="eastAsia"/>
          <w:highlight w:val="none"/>
          <w:lang w:val="en-US" w:eastAsia="zh-CN"/>
        </w:rPr>
        <w:t>02</w:t>
      </w:r>
      <w:r>
        <w:rPr>
          <w:highlight w:val="none"/>
        </w:rPr>
        <w:t>日</w:t>
      </w:r>
      <w:r>
        <w:rPr>
          <w:rFonts w:hint="eastAsia"/>
          <w:highlight w:val="none"/>
          <w:lang w:val="en-US" w:eastAsia="zh-CN"/>
        </w:rPr>
        <w:t>09:30</w:t>
      </w:r>
      <w:r>
        <w:rPr>
          <w:highlight w:val="none"/>
        </w:rPr>
        <w:t>（北京时间）</w:t>
      </w:r>
    </w:p>
    <w:p w14:paraId="141A7580">
      <w:pPr>
        <w:bidi w:val="0"/>
        <w:rPr>
          <w:highlight w:val="none"/>
        </w:rPr>
      </w:pPr>
      <w:r>
        <w:rPr>
          <w:highlight w:val="none"/>
        </w:rPr>
        <w:t>投标地点（网址）：</w:t>
      </w:r>
      <w:r>
        <w:rPr>
          <w:rFonts w:hint="eastAsia"/>
          <w:highlight w:val="none"/>
        </w:rPr>
        <w:t>登录“政采云”平台在线提交。</w:t>
      </w:r>
    </w:p>
    <w:p w14:paraId="47187ACE">
      <w:pPr>
        <w:bidi w:val="0"/>
        <w:rPr>
          <w:rFonts w:hint="eastAsia" w:eastAsia="宋体"/>
          <w:highlight w:val="none"/>
          <w:lang w:eastAsia="zh-CN"/>
        </w:rPr>
      </w:pPr>
      <w:r>
        <w:rPr>
          <w:highlight w:val="none"/>
        </w:rPr>
        <w:t>开标时间：</w:t>
      </w:r>
      <w:r>
        <w:rPr>
          <w:rFonts w:hint="eastAsia"/>
          <w:highlight w:val="none"/>
          <w:lang w:val="en-US" w:eastAsia="zh-CN"/>
        </w:rPr>
        <w:t>2025</w:t>
      </w:r>
      <w:r>
        <w:rPr>
          <w:highlight w:val="none"/>
        </w:rPr>
        <w:t>年</w:t>
      </w:r>
      <w:r>
        <w:rPr>
          <w:rFonts w:hint="eastAsia"/>
          <w:highlight w:val="none"/>
          <w:lang w:val="en-US" w:eastAsia="zh-CN"/>
        </w:rPr>
        <w:t>07</w:t>
      </w:r>
      <w:r>
        <w:rPr>
          <w:highlight w:val="none"/>
        </w:rPr>
        <w:t>月</w:t>
      </w:r>
      <w:r>
        <w:rPr>
          <w:rFonts w:hint="eastAsia"/>
          <w:highlight w:val="none"/>
          <w:lang w:val="en-US" w:eastAsia="zh-CN"/>
        </w:rPr>
        <w:t>02</w:t>
      </w:r>
      <w:r>
        <w:rPr>
          <w:highlight w:val="none"/>
        </w:rPr>
        <w:t>日</w:t>
      </w:r>
      <w:r>
        <w:rPr>
          <w:rFonts w:hint="eastAsia"/>
          <w:highlight w:val="none"/>
          <w:lang w:val="en-US" w:eastAsia="zh-CN"/>
        </w:rPr>
        <w:t>09:30</w:t>
      </w:r>
    </w:p>
    <w:p w14:paraId="5272DAA7">
      <w:pPr>
        <w:bidi w:val="0"/>
        <w:rPr>
          <w:highlight w:val="none"/>
        </w:rPr>
      </w:pPr>
      <w:r>
        <w:rPr>
          <w:highlight w:val="none"/>
        </w:rPr>
        <w:t>开标地点：</w:t>
      </w:r>
      <w:r>
        <w:rPr>
          <w:rFonts w:hint="eastAsia"/>
          <w:highlight w:val="none"/>
        </w:rPr>
        <w:t>本次招标在“政采云”平台电子开标大厅开标。</w:t>
      </w:r>
      <w:bookmarkStart w:id="21" w:name="_Toc28359007"/>
      <w:bookmarkStart w:id="22" w:name="_Toc35393625"/>
      <w:bookmarkStart w:id="23" w:name="_Toc35393794"/>
      <w:bookmarkStart w:id="24" w:name="_Toc28359084"/>
    </w:p>
    <w:p w14:paraId="083022B0">
      <w:pPr>
        <w:pStyle w:val="4"/>
        <w:bidi w:val="0"/>
        <w:rPr>
          <w:highlight w:val="none"/>
        </w:rPr>
      </w:pPr>
      <w:r>
        <w:rPr>
          <w:rFonts w:hint="eastAsia"/>
          <w:highlight w:val="none"/>
        </w:rPr>
        <w:t>五、公告期限</w:t>
      </w:r>
      <w:bookmarkEnd w:id="21"/>
      <w:bookmarkEnd w:id="22"/>
      <w:bookmarkEnd w:id="23"/>
      <w:bookmarkEnd w:id="24"/>
    </w:p>
    <w:p w14:paraId="043356BF">
      <w:pPr>
        <w:bidi w:val="0"/>
        <w:rPr>
          <w:highlight w:val="none"/>
        </w:rPr>
      </w:pPr>
      <w:r>
        <w:rPr>
          <w:rFonts w:hint="eastAsia"/>
          <w:highlight w:val="none"/>
        </w:rPr>
        <w:t>自本公告发布之日起5个工作日。</w:t>
      </w:r>
      <w:bookmarkStart w:id="25" w:name="_Toc35393626"/>
      <w:bookmarkStart w:id="26" w:name="_Toc35393795"/>
    </w:p>
    <w:p w14:paraId="56639A3D">
      <w:pPr>
        <w:pStyle w:val="4"/>
        <w:bidi w:val="0"/>
        <w:rPr>
          <w:highlight w:val="none"/>
        </w:rPr>
      </w:pPr>
      <w:r>
        <w:rPr>
          <w:rFonts w:hint="eastAsia"/>
          <w:highlight w:val="none"/>
        </w:rPr>
        <w:t>六、其他补充事宜</w:t>
      </w:r>
      <w:bookmarkEnd w:id="25"/>
      <w:bookmarkEnd w:id="26"/>
      <w:bookmarkStart w:id="27" w:name="_Toc35393796"/>
      <w:bookmarkStart w:id="28" w:name="_Toc28359085"/>
      <w:bookmarkStart w:id="29" w:name="_Toc28359008"/>
      <w:bookmarkStart w:id="30" w:name="_Toc35393627"/>
    </w:p>
    <w:p w14:paraId="7816A41D">
      <w:pPr>
        <w:bidi w:val="0"/>
        <w:rPr>
          <w:highlight w:val="none"/>
        </w:rPr>
      </w:pPr>
      <w:r>
        <w:rPr>
          <w:rFonts w:hint="eastAsia"/>
          <w:highlight w:val="none"/>
        </w:rPr>
        <w:t>1.本项目需要落实的政府采购政策：</w:t>
      </w:r>
    </w:p>
    <w:p w14:paraId="4380FCEE">
      <w:pPr>
        <w:bidi w:val="0"/>
        <w:rPr>
          <w:highlight w:val="none"/>
        </w:rPr>
      </w:pPr>
      <w:r>
        <w:rPr>
          <w:rFonts w:hint="eastAsia"/>
          <w:highlight w:val="none"/>
        </w:rPr>
        <w:t>（1）政府采购促进中小企业发展。</w:t>
      </w:r>
    </w:p>
    <w:p w14:paraId="33042655">
      <w:pPr>
        <w:bidi w:val="0"/>
        <w:rPr>
          <w:highlight w:val="none"/>
        </w:rPr>
      </w:pPr>
      <w:r>
        <w:rPr>
          <w:rFonts w:hint="eastAsia"/>
          <w:highlight w:val="none"/>
        </w:rPr>
        <w:t>（2）政府采购促进残疾人就业政策。</w:t>
      </w:r>
    </w:p>
    <w:p w14:paraId="4B443029">
      <w:pPr>
        <w:bidi w:val="0"/>
        <w:rPr>
          <w:highlight w:val="none"/>
        </w:rPr>
      </w:pPr>
      <w:r>
        <w:rPr>
          <w:rFonts w:hint="eastAsia"/>
          <w:highlight w:val="none"/>
        </w:rPr>
        <w:t>（3）政府采购支持监狱企业发展。</w:t>
      </w:r>
    </w:p>
    <w:p w14:paraId="74F01C9C">
      <w:pPr>
        <w:bidi w:val="0"/>
        <w:rPr>
          <w:highlight w:val="none"/>
        </w:rPr>
      </w:pPr>
      <w:r>
        <w:rPr>
          <w:rFonts w:hint="eastAsia"/>
          <w:highlight w:val="none"/>
        </w:rPr>
        <w:t>（4）政府采购支持采用本国产品的政策。</w:t>
      </w:r>
    </w:p>
    <w:p w14:paraId="74A5EDF1">
      <w:pPr>
        <w:bidi w:val="0"/>
        <w:rPr>
          <w:highlight w:val="none"/>
        </w:rPr>
      </w:pPr>
      <w:r>
        <w:rPr>
          <w:rFonts w:hint="eastAsia"/>
          <w:highlight w:val="none"/>
        </w:rPr>
        <w:t>（5）强制采购节能产品；优先采购节能产品、环境标志产品。</w:t>
      </w:r>
    </w:p>
    <w:p w14:paraId="014B6C34">
      <w:pPr>
        <w:bidi w:val="0"/>
        <w:rPr>
          <w:highlight w:val="none"/>
        </w:rPr>
      </w:pPr>
      <w:r>
        <w:rPr>
          <w:rFonts w:hint="eastAsia"/>
          <w:highlight w:val="none"/>
        </w:rPr>
        <w:t>2.</w:t>
      </w:r>
      <w:r>
        <w:rPr>
          <w:highlight w:val="none"/>
        </w:rPr>
        <w:t>参加政府采购活动前三年内，在经营活动中没有重大违法记录和不良信用记录</w:t>
      </w:r>
      <w:r>
        <w:rPr>
          <w:rFonts w:hint="eastAsia"/>
          <w:highlight w:val="none"/>
        </w:rPr>
        <w:t>，</w:t>
      </w:r>
      <w:r>
        <w:rPr>
          <w:highlight w:val="none"/>
        </w:rPr>
        <w:t>被列入失信被执行人、</w:t>
      </w:r>
      <w:r>
        <w:rPr>
          <w:rFonts w:hint="eastAsia"/>
          <w:highlight w:val="none"/>
          <w:lang w:eastAsia="zh-CN"/>
        </w:rPr>
        <w:t>重大税收违法失信主体名单</w:t>
      </w:r>
      <w:r>
        <w:rPr>
          <w:highlight w:val="none"/>
        </w:rPr>
        <w:t>、政府采购严重违法失信行为记录名单及其他不符合《中华人民共和国政府采购法》第二十二条规定条件的供应商，将被拒绝其参与本次政府采购活动</w:t>
      </w:r>
      <w:r>
        <w:rPr>
          <w:rFonts w:hint="eastAsia"/>
          <w:highlight w:val="none"/>
        </w:rPr>
        <w:t>；</w:t>
      </w:r>
    </w:p>
    <w:p w14:paraId="50980A63">
      <w:pPr>
        <w:bidi w:val="0"/>
        <w:rPr>
          <w:highlight w:val="none"/>
        </w:rPr>
      </w:pPr>
      <w:r>
        <w:rPr>
          <w:rFonts w:hint="eastAsia"/>
          <w:highlight w:val="none"/>
        </w:rPr>
        <w:t>3.</w:t>
      </w:r>
      <w:r>
        <w:rPr>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F743D8C">
      <w:pPr>
        <w:bidi w:val="0"/>
        <w:rPr>
          <w:highlight w:val="none"/>
        </w:rPr>
      </w:pPr>
      <w:r>
        <w:rPr>
          <w:rFonts w:hint="eastAsia"/>
          <w:highlight w:val="none"/>
        </w:rPr>
        <w:t>4.公告发布媒介：</w:t>
      </w:r>
    </w:p>
    <w:p w14:paraId="32C877A6">
      <w:pPr>
        <w:bidi w:val="0"/>
        <w:rPr>
          <w:highlight w:val="none"/>
        </w:rPr>
      </w:pPr>
      <w:r>
        <w:rPr>
          <w:rFonts w:hint="eastAsia"/>
          <w:highlight w:val="none"/>
        </w:rPr>
        <w:t>http://www.ccgp.gov.cn/（中国政府采购网）</w:t>
      </w:r>
      <w:r>
        <w:rPr>
          <w:highlight w:val="none"/>
        </w:rPr>
        <w:t>http://</w:t>
      </w:r>
      <w:r>
        <w:rPr>
          <w:rFonts w:hint="eastAsia"/>
          <w:highlight w:val="none"/>
        </w:rPr>
        <w:t>zfcg.gxzf.gov.cn（广西壮族自治区政府采购网）</w:t>
      </w:r>
    </w:p>
    <w:p w14:paraId="4584D7D3">
      <w:pPr>
        <w:bidi w:val="0"/>
        <w:rPr>
          <w:rFonts w:hint="eastAsia"/>
          <w:highlight w:val="none"/>
        </w:rPr>
      </w:pPr>
      <w:r>
        <w:rPr>
          <w:rFonts w:hint="eastAsia"/>
          <w:highlight w:val="none"/>
        </w:rPr>
        <w:t>5.广西政府采购云平台电子投标相关事宜：</w:t>
      </w:r>
    </w:p>
    <w:p w14:paraId="3D52887B">
      <w:pPr>
        <w:bidi w:val="0"/>
        <w:rPr>
          <w:rFonts w:hint="eastAsia"/>
          <w:highlight w:val="none"/>
        </w:rPr>
      </w:pPr>
      <w:r>
        <w:rPr>
          <w:rFonts w:hint="eastAsia"/>
          <w:highlight w:val="none"/>
        </w:rPr>
        <w:t>（1）投标文件提交方式：本项目为全流程电子化项目，通过广西政府采购云平台（https://www.gcy.zfcg.gxzf.gov.cn/）实行在线电子投标，供应商应先安装“广西政府采购云平台电子交易客户端”（请自行前往广西政府采购云平台进行下载），并按照本项目采购文件和广西政府采购云平台的要求编制、加密后在投标截止时间前通过网络上传至广西政府采购云平台，供应商在广西政府采购云平台提交电子版投标文件时，请填写参加远程采购活动经办人联系方式，电子投标文件具体操作流程详见《政府采购项目电子交易管理操作指南-供应商》。</w:t>
      </w:r>
    </w:p>
    <w:p w14:paraId="1D6626EC">
      <w:pPr>
        <w:bidi w:val="0"/>
        <w:rPr>
          <w:rFonts w:hint="eastAsia"/>
          <w:highlight w:val="none"/>
        </w:rPr>
      </w:pPr>
      <w:r>
        <w:rPr>
          <w:rFonts w:hint="eastAsia"/>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w:t>
      </w:r>
    </w:p>
    <w:p w14:paraId="58E5F845">
      <w:pPr>
        <w:bidi w:val="0"/>
        <w:rPr>
          <w:rFonts w:hint="eastAsia"/>
          <w:highlight w:val="none"/>
        </w:rPr>
      </w:pPr>
      <w:r>
        <w:rPr>
          <w:rFonts w:hint="eastAsia"/>
          <w:highlight w:val="none"/>
        </w:rPr>
        <w:t>（3）为确保网上操作合法、有效和安全，请供应商确保在电子响应过程中能够对相关数据电文进行加密和使用电子签章，妥善保管CA数字证书并使用有效的CA数字证书参与整个采购活动。</w:t>
      </w:r>
    </w:p>
    <w:p w14:paraId="473148FB">
      <w:pPr>
        <w:bidi w:val="0"/>
        <w:rPr>
          <w:rFonts w:hint="eastAsia"/>
          <w:highlight w:val="none"/>
        </w:rPr>
      </w:pPr>
      <w:r>
        <w:rPr>
          <w:rFonts w:hint="eastAsia"/>
          <w:highlight w:val="none"/>
        </w:rPr>
        <w:t>（4）供应商应当在首次投标文件提交截止时间前完成电子投标文件的上传、递交，投标文件提交截止时间前可以补充、修改或者撤回投标文件。补充或者修改投标文件的，应当先行撤回原文件，补充、修改后重新上传、递交。响应截止时间前未完成上传、递交的，视为撤回投标文件。投标文件提交截止时间以后上传递交的投标文件的，广西政府采购云平台将予以拒收。</w:t>
      </w:r>
    </w:p>
    <w:p w14:paraId="615EC717">
      <w:pPr>
        <w:bidi w:val="0"/>
        <w:rPr>
          <w:rFonts w:ascii="宋体" w:hAnsi="宋体" w:cs="宋体"/>
          <w:sz w:val="24"/>
          <w:highlight w:val="none"/>
        </w:rPr>
      </w:pPr>
      <w:r>
        <w:rPr>
          <w:rFonts w:hint="eastAsia"/>
          <w:highlight w:val="none"/>
        </w:rPr>
        <w:t>（5）若对项目采购电子交易系统操作有疑问，可登陆广西政府采购云平台（https://www.gcy.zfcg.gxzf.gov.cn/），点击右侧咨询小采，获取采小蜜智能服务管家帮助，或拨打广西政府采购云平台服务热线400-881-7190获取热线服务帮助。</w:t>
      </w:r>
    </w:p>
    <w:p w14:paraId="66D24957">
      <w:pPr>
        <w:pStyle w:val="4"/>
        <w:bidi w:val="0"/>
        <w:rPr>
          <w:highlight w:val="none"/>
        </w:rPr>
      </w:pPr>
      <w:r>
        <w:rPr>
          <w:rFonts w:hint="eastAsia"/>
          <w:highlight w:val="none"/>
        </w:rPr>
        <w:t>七、对本次招标提出询问，请按以下方式联系。</w:t>
      </w:r>
      <w:bookmarkEnd w:id="27"/>
      <w:bookmarkEnd w:id="28"/>
      <w:bookmarkEnd w:id="29"/>
      <w:bookmarkEnd w:id="30"/>
    </w:p>
    <w:p w14:paraId="18597A8B">
      <w:pPr>
        <w:bidi w:val="0"/>
        <w:rPr>
          <w:rFonts w:hint="eastAsia"/>
          <w:highlight w:val="none"/>
        </w:rPr>
      </w:pPr>
      <w:r>
        <w:rPr>
          <w:rFonts w:hint="eastAsia"/>
          <w:highlight w:val="none"/>
        </w:rPr>
        <w:t>1.采购人信息</w:t>
      </w:r>
    </w:p>
    <w:p w14:paraId="3A823838">
      <w:pPr>
        <w:bidi w:val="0"/>
        <w:rPr>
          <w:rFonts w:hint="eastAsia"/>
          <w:highlight w:val="none"/>
        </w:rPr>
      </w:pPr>
      <w:r>
        <w:rPr>
          <w:rFonts w:hint="eastAsia"/>
          <w:highlight w:val="none"/>
        </w:rPr>
        <w:t>名    称：广西壮族自治区人民医院</w:t>
      </w:r>
    </w:p>
    <w:p w14:paraId="6D099020">
      <w:pPr>
        <w:bidi w:val="0"/>
        <w:rPr>
          <w:rFonts w:hint="eastAsia"/>
          <w:highlight w:val="none"/>
        </w:rPr>
      </w:pPr>
      <w:r>
        <w:rPr>
          <w:rFonts w:hint="eastAsia"/>
          <w:highlight w:val="none"/>
        </w:rPr>
        <w:t>地    址：南宁市桃源路6号</w:t>
      </w:r>
    </w:p>
    <w:p w14:paraId="1E330F7E">
      <w:pPr>
        <w:bidi w:val="0"/>
        <w:rPr>
          <w:rFonts w:hint="eastAsia"/>
          <w:highlight w:val="none"/>
          <w:lang w:eastAsia="zh-CN"/>
        </w:rPr>
      </w:pPr>
      <w:r>
        <w:rPr>
          <w:rFonts w:hint="eastAsia"/>
          <w:highlight w:val="none"/>
        </w:rPr>
        <w:t>项目联系人：</w:t>
      </w:r>
      <w:r>
        <w:rPr>
          <w:rFonts w:hint="eastAsia"/>
          <w:highlight w:val="none"/>
          <w:lang w:val="en-US" w:eastAsia="zh-CN"/>
        </w:rPr>
        <w:t>朱纲</w:t>
      </w:r>
    </w:p>
    <w:p w14:paraId="690DDBE2">
      <w:pPr>
        <w:bidi w:val="0"/>
        <w:rPr>
          <w:rFonts w:hint="eastAsia"/>
          <w:highlight w:val="none"/>
        </w:rPr>
      </w:pPr>
      <w:r>
        <w:rPr>
          <w:rFonts w:hint="eastAsia"/>
          <w:highlight w:val="none"/>
        </w:rPr>
        <w:t>项目联系方式：0771-5722430</w:t>
      </w:r>
    </w:p>
    <w:p w14:paraId="02DD1943">
      <w:pPr>
        <w:bidi w:val="0"/>
        <w:rPr>
          <w:rFonts w:hint="eastAsia"/>
          <w:highlight w:val="none"/>
        </w:rPr>
      </w:pPr>
      <w:r>
        <w:rPr>
          <w:rFonts w:hint="eastAsia"/>
          <w:highlight w:val="none"/>
        </w:rPr>
        <w:t>2.采购代理机构信息</w:t>
      </w:r>
    </w:p>
    <w:p w14:paraId="68073364">
      <w:pPr>
        <w:bidi w:val="0"/>
        <w:rPr>
          <w:rFonts w:hint="eastAsia"/>
          <w:highlight w:val="none"/>
        </w:rPr>
      </w:pPr>
      <w:r>
        <w:rPr>
          <w:rFonts w:hint="eastAsia"/>
          <w:highlight w:val="none"/>
        </w:rPr>
        <w:t>名    称：广西德元工程项目管理有限责任公司</w:t>
      </w:r>
    </w:p>
    <w:p w14:paraId="0F0E34B3">
      <w:pPr>
        <w:bidi w:val="0"/>
        <w:rPr>
          <w:rFonts w:hint="eastAsia"/>
          <w:highlight w:val="none"/>
        </w:rPr>
      </w:pPr>
      <w:r>
        <w:rPr>
          <w:rFonts w:hint="eastAsia"/>
          <w:highlight w:val="none"/>
        </w:rPr>
        <w:t>地    址：南宁市良庆区凯旋路15号绿地中心7号楼8楼</w:t>
      </w:r>
    </w:p>
    <w:p w14:paraId="2D2C41F3">
      <w:pPr>
        <w:bidi w:val="0"/>
        <w:rPr>
          <w:rFonts w:hint="eastAsia"/>
          <w:highlight w:val="none"/>
        </w:rPr>
      </w:pPr>
      <w:r>
        <w:rPr>
          <w:rFonts w:hint="eastAsia"/>
          <w:highlight w:val="none"/>
        </w:rPr>
        <w:t>项目联系人（询问）：黄清霞</w:t>
      </w:r>
      <w:r>
        <w:rPr>
          <w:rFonts w:hint="eastAsia"/>
          <w:highlight w:val="none"/>
          <w:lang w:eastAsia="zh-CN"/>
        </w:rPr>
        <w:t>、</w:t>
      </w:r>
      <w:r>
        <w:rPr>
          <w:rFonts w:hint="eastAsia"/>
          <w:highlight w:val="none"/>
          <w:lang w:val="en-US" w:eastAsia="zh-CN"/>
        </w:rPr>
        <w:t>韦佳敏</w:t>
      </w:r>
    </w:p>
    <w:p w14:paraId="6C20E937">
      <w:pPr>
        <w:bidi w:val="0"/>
        <w:rPr>
          <w:rFonts w:hint="eastAsia"/>
          <w:highlight w:val="none"/>
        </w:rPr>
      </w:pPr>
      <w:r>
        <w:rPr>
          <w:rFonts w:hint="eastAsia"/>
          <w:highlight w:val="none"/>
        </w:rPr>
        <w:t>项目联系方式（询问）：0771-5084767</w:t>
      </w:r>
    </w:p>
    <w:p w14:paraId="0F6FB834">
      <w:pPr>
        <w:bidi w:val="0"/>
        <w:rPr>
          <w:color w:val="000000"/>
          <w:highlight w:val="none"/>
        </w:rPr>
      </w:pPr>
    </w:p>
    <w:p w14:paraId="2825B151">
      <w:pPr>
        <w:pStyle w:val="3"/>
        <w:bidi w:val="0"/>
        <w:rPr>
          <w:rFonts w:ascii="宋体" w:hAnsi="宋体" w:cs="Courier New"/>
          <w:b/>
          <w:szCs w:val="28"/>
          <w:highlight w:val="none"/>
        </w:rPr>
      </w:pPr>
      <w:bookmarkStart w:id="31" w:name="_Toc291688340"/>
      <w:r>
        <w:rPr>
          <w:rFonts w:ascii="宋体" w:hAnsi="宋体"/>
          <w:highlight w:val="none"/>
        </w:rPr>
        <w:br w:type="page"/>
      </w:r>
      <w:bookmarkStart w:id="32" w:name="_Toc680"/>
      <w:r>
        <w:rPr>
          <w:rFonts w:hint="eastAsia"/>
          <w:highlight w:val="none"/>
        </w:rPr>
        <w:t>第二章  招标项目采购需求</w:t>
      </w:r>
      <w:bookmarkEnd w:id="32"/>
    </w:p>
    <w:p w14:paraId="37FFE208">
      <w:pPr>
        <w:pStyle w:val="4"/>
        <w:bidi w:val="0"/>
        <w:rPr>
          <w:rFonts w:hint="eastAsia"/>
          <w:highlight w:val="none"/>
        </w:rPr>
      </w:pPr>
      <w:r>
        <w:rPr>
          <w:rFonts w:hint="eastAsia"/>
          <w:highlight w:val="none"/>
        </w:rPr>
        <w:t>说明：</w:t>
      </w:r>
    </w:p>
    <w:p w14:paraId="66CD7D52">
      <w:pPr>
        <w:numPr>
          <w:ilvl w:val="0"/>
          <w:numId w:val="0"/>
        </w:numPr>
        <w:bidi w:val="0"/>
        <w:ind w:firstLine="480" w:firstLineChars="200"/>
        <w:rPr>
          <w:rFonts w:hint="eastAsia" w:ascii="宋体" w:hAnsi="宋体" w:eastAsia="宋体" w:cs="Courier New"/>
          <w:snapToGrid w:val="0"/>
          <w:color w:val="000000"/>
          <w:sz w:val="24"/>
          <w:szCs w:val="21"/>
          <w:highlight w:val="none"/>
          <w:lang w:val="en-US" w:eastAsia="en-US" w:bidi="ar-SA"/>
        </w:rPr>
      </w:pPr>
      <w:r>
        <w:rPr>
          <w:rFonts w:hint="eastAsia" w:ascii="宋体" w:hAnsi="宋体" w:eastAsia="宋体" w:cs="Courier New"/>
          <w:snapToGrid w:val="0"/>
          <w:color w:val="000000"/>
          <w:sz w:val="24"/>
          <w:szCs w:val="21"/>
          <w:highlight w:val="none"/>
          <w:lang w:val="en-US" w:eastAsia="en-US" w:bidi="ar-SA"/>
        </w:rPr>
        <w:t>一、本一览表中的品牌、型号技术参数及其性能（配置）仅起参考作用，投标人可选用其他产品替代，但这些替代的产品要实质上相当于或优于参考品牌型号及其技术参数性能（配置）要求。</w:t>
      </w:r>
    </w:p>
    <w:p w14:paraId="3EC397B9">
      <w:pPr>
        <w:numPr>
          <w:ilvl w:val="0"/>
          <w:numId w:val="0"/>
        </w:numPr>
        <w:bidi w:val="0"/>
        <w:ind w:firstLine="480" w:firstLineChars="200"/>
        <w:rPr>
          <w:rFonts w:hint="eastAsia" w:ascii="宋体" w:hAnsi="宋体" w:eastAsia="宋体" w:cs="Courier New"/>
          <w:snapToGrid w:val="0"/>
          <w:color w:val="000000"/>
          <w:sz w:val="24"/>
          <w:szCs w:val="21"/>
          <w:highlight w:val="none"/>
          <w:lang w:val="en-US" w:eastAsia="en-US" w:bidi="ar-SA"/>
        </w:rPr>
      </w:pPr>
      <w:r>
        <w:rPr>
          <w:rFonts w:hint="eastAsia" w:ascii="宋体" w:hAnsi="宋体" w:eastAsia="宋体" w:cs="Courier New"/>
          <w:snapToGrid w:val="0"/>
          <w:color w:val="000000"/>
          <w:sz w:val="24"/>
          <w:szCs w:val="21"/>
          <w:highlight w:val="none"/>
          <w:lang w:val="en-US" w:eastAsia="en-US" w:bidi="ar-SA"/>
        </w:rPr>
        <w:t>二、本一览表中参考品牌、型号及技术参数性能（配置）不明确或有误的，或投标人选用其他产品替代的，须说明品牌型号和详细的技术参数性能（配置）同时填写投标明细表和技术响应表。</w:t>
      </w:r>
    </w:p>
    <w:p w14:paraId="0701BCBA">
      <w:pPr>
        <w:numPr>
          <w:ilvl w:val="0"/>
          <w:numId w:val="0"/>
        </w:numPr>
        <w:bidi w:val="0"/>
        <w:ind w:firstLine="480" w:firstLineChars="200"/>
        <w:rPr>
          <w:rFonts w:hint="eastAsia" w:ascii="宋体" w:hAnsi="宋体" w:eastAsia="宋体" w:cs="Courier New"/>
          <w:snapToGrid w:val="0"/>
          <w:color w:val="000000"/>
          <w:sz w:val="24"/>
          <w:szCs w:val="21"/>
          <w:highlight w:val="none"/>
          <w:lang w:val="en-US" w:eastAsia="en-US" w:bidi="ar-SA"/>
        </w:rPr>
      </w:pPr>
      <w:r>
        <w:rPr>
          <w:rFonts w:hint="eastAsia" w:ascii="宋体" w:hAnsi="宋体" w:eastAsia="宋体" w:cs="Courier New"/>
          <w:snapToGrid w:val="0"/>
          <w:color w:val="000000"/>
          <w:sz w:val="24"/>
          <w:szCs w:val="21"/>
          <w:highlight w:val="none"/>
          <w:lang w:val="en-US" w:eastAsia="en-US" w:bidi="ar-SA"/>
        </w:rPr>
        <w:t>三、投标人必须自行为其投标产品侵权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14:paraId="22C3A080">
      <w:pPr>
        <w:pStyle w:val="36"/>
        <w:bidi w:val="0"/>
        <w:rPr>
          <w:highlight w:val="none"/>
        </w:rPr>
      </w:pPr>
      <w:r>
        <w:rPr>
          <w:rFonts w:hint="eastAsia"/>
          <w:highlight w:val="none"/>
        </w:rPr>
        <w:t>▲</w:t>
      </w:r>
      <w:r>
        <w:rPr>
          <w:rFonts w:hint="eastAsia"/>
          <w:highlight w:val="none"/>
          <w:lang w:val="en-US" w:eastAsia="zh-CN"/>
        </w:rPr>
        <w:t>四</w:t>
      </w:r>
      <w:r>
        <w:rPr>
          <w:rFonts w:hint="eastAsia"/>
          <w:highlight w:val="none"/>
        </w:rPr>
        <w:t>、根据《财政部</w:t>
      </w:r>
      <w:r>
        <w:rPr>
          <w:highlight w:val="none"/>
        </w:rPr>
        <w:t xml:space="preserve"> </w:t>
      </w:r>
      <w:r>
        <w:rPr>
          <w:rFonts w:hint="eastAsia"/>
          <w:highlight w:val="none"/>
        </w:rPr>
        <w:t>发展改革委</w:t>
      </w:r>
      <w:r>
        <w:rPr>
          <w:highlight w:val="none"/>
        </w:rPr>
        <w:t xml:space="preserve"> </w:t>
      </w:r>
      <w:r>
        <w:rPr>
          <w:rFonts w:hint="eastAsia"/>
          <w:highlight w:val="none"/>
        </w:rPr>
        <w:t>生态环境部</w:t>
      </w:r>
      <w:r>
        <w:rPr>
          <w:highlight w:val="none"/>
        </w:rPr>
        <w:t xml:space="preserve"> </w:t>
      </w:r>
      <w:r>
        <w:rPr>
          <w:rFonts w:hint="eastAsia"/>
          <w:highlight w:val="none"/>
        </w:rPr>
        <w:t>市场监管总局关于调整优化节能产品、环境标志产品政府采购执行机制的通知》（财库〔</w:t>
      </w:r>
      <w:r>
        <w:rPr>
          <w:highlight w:val="none"/>
        </w:rPr>
        <w:t>2019</w:t>
      </w:r>
      <w:r>
        <w:rPr>
          <w:rFonts w:hint="eastAsia"/>
          <w:highlight w:val="none"/>
        </w:rPr>
        <w:t>〕</w:t>
      </w:r>
      <w:r>
        <w:rPr>
          <w:highlight w:val="none"/>
        </w:rPr>
        <w:t>9</w:t>
      </w:r>
      <w:r>
        <w:rPr>
          <w:rFonts w:hint="eastAsia"/>
          <w:highlight w:val="none"/>
        </w:rPr>
        <w:t>号）和《关于印发节能产品政府采购品目清单的通知》（财库〔</w:t>
      </w:r>
      <w:r>
        <w:rPr>
          <w:highlight w:val="none"/>
        </w:rPr>
        <w:t>2019</w:t>
      </w:r>
      <w:r>
        <w:rPr>
          <w:rFonts w:hint="eastAsia"/>
          <w:highlight w:val="none"/>
        </w:rPr>
        <w:t>〕</w:t>
      </w:r>
      <w:r>
        <w:rPr>
          <w:highlight w:val="none"/>
        </w:rPr>
        <w:t>19</w:t>
      </w:r>
      <w:r>
        <w:rPr>
          <w:rFonts w:hint="eastAsia"/>
          <w:highlight w:val="none"/>
        </w:rPr>
        <w:t>号）的规定，采购需求中的货物属于节能产品政府采购品目清单内标注</w:t>
      </w:r>
      <w:r>
        <w:rPr>
          <w:highlight w:val="none"/>
        </w:rPr>
        <w:t>“</w:t>
      </w:r>
      <w:r>
        <w:rPr>
          <w:rFonts w:hint="eastAsia"/>
          <w:highlight w:val="none"/>
        </w:rPr>
        <w:t>★</w:t>
      </w:r>
      <w:r>
        <w:rPr>
          <w:highlight w:val="none"/>
        </w:rPr>
        <w:t>”</w:t>
      </w:r>
      <w:r>
        <w:rPr>
          <w:rFonts w:hint="eastAsia"/>
          <w:highlight w:val="none"/>
        </w:rPr>
        <w:t>的（详见本章后附的节能产品政府采购品目清单</w:t>
      </w:r>
      <w:r>
        <w:rPr>
          <w:highlight w:val="none"/>
        </w:rPr>
        <w:t>,</w:t>
      </w:r>
      <w:r>
        <w:rPr>
          <w:rFonts w:hint="eastAsia"/>
          <w:highlight w:val="none"/>
        </w:rPr>
        <w:t>专业定制除外），投标人的投标货物必须使用政府强制采购的节能产品，投标人必须在投标文件（商务及技术文件）中提供所投标产品的节能产品认证证书复印件（或扫描件）（加盖投标人电子签章），否则按无效投标处理。如本项目包含的货物属于品目清单内非标注</w:t>
      </w:r>
      <w:r>
        <w:rPr>
          <w:highlight w:val="none"/>
        </w:rPr>
        <w:t>“</w:t>
      </w:r>
      <w:r>
        <w:rPr>
          <w:rFonts w:hint="eastAsia"/>
          <w:highlight w:val="none"/>
        </w:rPr>
        <w:t>★</w:t>
      </w:r>
      <w:r>
        <w:rPr>
          <w:highlight w:val="none"/>
        </w:rPr>
        <w:t>”</w:t>
      </w:r>
      <w:r>
        <w:rPr>
          <w:rFonts w:hint="eastAsia"/>
          <w:highlight w:val="none"/>
        </w:rPr>
        <w:t>的产品时，应优先采购，具体详见</w:t>
      </w:r>
      <w:r>
        <w:rPr>
          <w:highlight w:val="none"/>
        </w:rPr>
        <w:t>“</w:t>
      </w:r>
      <w:r>
        <w:rPr>
          <w:rFonts w:hint="eastAsia"/>
          <w:highlight w:val="none"/>
        </w:rPr>
        <w:t>第四章</w:t>
      </w:r>
      <w:r>
        <w:rPr>
          <w:highlight w:val="none"/>
        </w:rPr>
        <w:t xml:space="preserve"> </w:t>
      </w:r>
      <w:r>
        <w:rPr>
          <w:rFonts w:hint="eastAsia"/>
          <w:highlight w:val="none"/>
        </w:rPr>
        <w:t>评标方法及评标标准</w:t>
      </w:r>
      <w:r>
        <w:rPr>
          <w:highlight w:val="none"/>
        </w:rPr>
        <w:t>”</w:t>
      </w:r>
      <w:r>
        <w:rPr>
          <w:rFonts w:hint="eastAsia"/>
          <w:highlight w:val="none"/>
        </w:rPr>
        <w:t>。</w:t>
      </w:r>
    </w:p>
    <w:p w14:paraId="16226296">
      <w:pPr>
        <w:pStyle w:val="36"/>
        <w:bidi w:val="0"/>
        <w:rPr>
          <w:highlight w:val="none"/>
        </w:rPr>
      </w:pPr>
      <w:r>
        <w:rPr>
          <w:rFonts w:hint="eastAsia"/>
          <w:highlight w:val="none"/>
        </w:rPr>
        <w:t>▲</w:t>
      </w:r>
      <w:r>
        <w:rPr>
          <w:rFonts w:hint="eastAsia"/>
          <w:highlight w:val="none"/>
          <w:lang w:val="en-US" w:eastAsia="zh-CN"/>
        </w:rPr>
        <w:t>五</w:t>
      </w:r>
      <w:r>
        <w:rPr>
          <w:rFonts w:hint="eastAsia"/>
          <w:highlight w:val="none"/>
        </w:rPr>
        <w:t>、根据《关于调整网络安全专用产品安全管理有关事项的公告》（</w:t>
      </w:r>
      <w:r>
        <w:rPr>
          <w:highlight w:val="none"/>
        </w:rPr>
        <w:t>2023</w:t>
      </w:r>
      <w:r>
        <w:rPr>
          <w:rFonts w:hint="eastAsia"/>
          <w:highlight w:val="none"/>
        </w:rPr>
        <w:t>年</w:t>
      </w:r>
      <w:r>
        <w:rPr>
          <w:highlight w:val="none"/>
        </w:rPr>
        <w:t>1</w:t>
      </w:r>
      <w:r>
        <w:rPr>
          <w:rFonts w:hint="eastAsia"/>
          <w:highlight w:val="none"/>
        </w:rPr>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w:t>
      </w:r>
      <w:r>
        <w:rPr>
          <w:highlight w:val="none"/>
        </w:rPr>
        <w:t>http://www.cac.gov.cn/index.htm</w:t>
      </w:r>
      <w:r>
        <w:rPr>
          <w:rFonts w:hint="eastAsia"/>
          <w:highlight w:val="none"/>
        </w:rPr>
        <w:t>）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如属于《网络关键设备和网络安全专用产品目录》中</w:t>
      </w:r>
      <w:r>
        <w:rPr>
          <w:highlight w:val="none"/>
        </w:rPr>
        <w:t>“</w:t>
      </w:r>
      <w:r>
        <w:rPr>
          <w:rFonts w:hint="eastAsia"/>
          <w:highlight w:val="none"/>
        </w:rPr>
        <w:t>二、网络安全专用产品</w:t>
      </w:r>
      <w:r>
        <w:rPr>
          <w:highlight w:val="none"/>
        </w:rPr>
        <w:t>”</w:t>
      </w:r>
      <w:r>
        <w:rPr>
          <w:rFonts w:hint="eastAsia"/>
          <w:highlight w:val="none"/>
        </w:rPr>
        <w:t>内</w:t>
      </w:r>
      <w:r>
        <w:rPr>
          <w:highlight w:val="none"/>
        </w:rPr>
        <w:t>“</w:t>
      </w:r>
      <w:r>
        <w:rPr>
          <w:rFonts w:hint="eastAsia"/>
          <w:highlight w:val="none"/>
        </w:rPr>
        <w:t>产品类别</w:t>
      </w:r>
      <w:r>
        <w:rPr>
          <w:highlight w:val="none"/>
        </w:rPr>
        <w:t>”</w:t>
      </w:r>
      <w:r>
        <w:rPr>
          <w:rFonts w:hint="eastAsia"/>
          <w:highlight w:val="none"/>
        </w:rPr>
        <w:t>中的所描述的产品，但不属于所列</w:t>
      </w:r>
      <w:r>
        <w:rPr>
          <w:highlight w:val="none"/>
        </w:rPr>
        <w:t>“</w:t>
      </w:r>
      <w:r>
        <w:rPr>
          <w:rFonts w:hint="eastAsia"/>
          <w:highlight w:val="none"/>
        </w:rPr>
        <w:t>产品描述</w:t>
      </w:r>
      <w:r>
        <w:rPr>
          <w:highlight w:val="none"/>
        </w:rPr>
        <w:t>”</w:t>
      </w:r>
      <w:r>
        <w:rPr>
          <w:rFonts w:hint="eastAsia"/>
          <w:highlight w:val="none"/>
        </w:rPr>
        <w:t>情形的，应提供相应的说明及证明材料。</w:t>
      </w:r>
    </w:p>
    <w:p w14:paraId="3B043A9A">
      <w:pPr>
        <w:pStyle w:val="36"/>
        <w:bidi w:val="0"/>
        <w:rPr>
          <w:rFonts w:hint="eastAsia"/>
          <w:highlight w:val="none"/>
        </w:rPr>
      </w:pPr>
      <w:r>
        <w:rPr>
          <w:rFonts w:hint="eastAsia"/>
          <w:highlight w:val="none"/>
        </w:rPr>
        <w:t>▲六、本一览表中带“▲”的技术参数及其性能（配置）为必须满足的项目，投标人必须提供相当于或优于这些技术参数性能（配置）要求。标记“▲”为实质性条款，不满足做无效投标处理；标记“</w:t>
      </w:r>
      <w:r>
        <w:rPr>
          <w:rFonts w:hint="eastAsia" w:ascii="宋体" w:hAnsi="宋体" w:eastAsia="宋体" w:cs="宋体"/>
          <w:highlight w:val="none"/>
        </w:rPr>
        <w:t>●</w:t>
      </w:r>
      <w:r>
        <w:rPr>
          <w:rFonts w:hint="eastAsia"/>
          <w:highlight w:val="none"/>
        </w:rPr>
        <w:t>”号为重要要求，不满足仅作扣分处理。但标记“</w:t>
      </w:r>
      <w:r>
        <w:rPr>
          <w:rFonts w:hint="eastAsia" w:ascii="宋体" w:hAnsi="宋体" w:eastAsia="宋体" w:cs="宋体"/>
          <w:highlight w:val="none"/>
        </w:rPr>
        <w:t>●</w:t>
      </w:r>
      <w:r>
        <w:rPr>
          <w:rFonts w:hint="eastAsia"/>
          <w:highlight w:val="none"/>
        </w:rPr>
        <w:t>”的条款必须提供相应证明材料予以证明，否则评标委员会将可能不予以认可。（大型、特种、计量设备等，可能需要不可预见的辅助必要配套的加入）</w:t>
      </w:r>
    </w:p>
    <w:p w14:paraId="7597644D">
      <w:pPr>
        <w:pStyle w:val="36"/>
        <w:numPr>
          <w:ilvl w:val="0"/>
          <w:numId w:val="2"/>
        </w:numPr>
        <w:bidi w:val="0"/>
        <w:rPr>
          <w:rFonts w:hint="eastAsia"/>
          <w:highlight w:val="none"/>
        </w:rPr>
      </w:pPr>
      <w:r>
        <w:rPr>
          <w:rFonts w:hint="eastAsia"/>
          <w:highlight w:val="none"/>
        </w:rPr>
        <w:t>本项目所属行业：</w:t>
      </w:r>
      <w:r>
        <w:rPr>
          <w:rFonts w:hint="eastAsia"/>
          <w:highlight w:val="none"/>
          <w:u w:val="single"/>
        </w:rPr>
        <w:t xml:space="preserve"> </w:t>
      </w:r>
      <w:r>
        <w:rPr>
          <w:rFonts w:hint="eastAsia"/>
          <w:highlight w:val="none"/>
          <w:u w:val="single"/>
          <w:lang w:val="en-US" w:eastAsia="zh-CN"/>
        </w:rPr>
        <w:t>工业</w:t>
      </w:r>
      <w:r>
        <w:rPr>
          <w:rFonts w:hint="eastAsia"/>
          <w:highlight w:val="none"/>
          <w:u w:val="single"/>
        </w:rPr>
        <w:t xml:space="preserve"> </w:t>
      </w:r>
      <w:r>
        <w:rPr>
          <w:rFonts w:hint="eastAsia"/>
          <w:highlight w:val="none"/>
        </w:rPr>
        <w:t>,划分依据：《关于印发中小企业划型标准规定的通知》（工信部联企业</w:t>
      </w:r>
      <w:r>
        <w:rPr>
          <w:highlight w:val="none"/>
        </w:rPr>
        <w:t>[2011]300</w:t>
      </w:r>
      <w:r>
        <w:rPr>
          <w:rFonts w:hint="eastAsia"/>
          <w:highlight w:val="none"/>
        </w:rPr>
        <w:t>号）。</w:t>
      </w:r>
    </w:p>
    <w:p w14:paraId="3C925E42">
      <w:pPr>
        <w:pStyle w:val="36"/>
        <w:numPr>
          <w:ilvl w:val="0"/>
          <w:numId w:val="0"/>
        </w:numPr>
        <w:bidi w:val="0"/>
        <w:rPr>
          <w:rFonts w:hint="default" w:eastAsiaTheme="minorEastAsia"/>
          <w:highlight w:val="none"/>
          <w:lang w:val="en-US" w:eastAsia="zh-CN"/>
        </w:rPr>
      </w:pPr>
      <w:r>
        <w:rPr>
          <w:rFonts w:hint="eastAsia"/>
          <w:highlight w:val="none"/>
          <w:lang w:val="en-US" w:eastAsia="zh-CN"/>
        </w:rPr>
        <w:t xml:space="preserve"> 标项一：</w:t>
      </w:r>
    </w:p>
    <w:tbl>
      <w:tblPr>
        <w:tblStyle w:val="24"/>
        <w:tblW w:w="10140" w:type="dxa"/>
        <w:jc w:val="center"/>
        <w:tblLayout w:type="fixed"/>
        <w:tblCellMar>
          <w:top w:w="0" w:type="dxa"/>
          <w:left w:w="108" w:type="dxa"/>
          <w:bottom w:w="0" w:type="dxa"/>
          <w:right w:w="108" w:type="dxa"/>
        </w:tblCellMar>
      </w:tblPr>
      <w:tblGrid>
        <w:gridCol w:w="678"/>
        <w:gridCol w:w="1162"/>
        <w:gridCol w:w="18"/>
        <w:gridCol w:w="645"/>
        <w:gridCol w:w="687"/>
        <w:gridCol w:w="6950"/>
      </w:tblGrid>
      <w:tr w14:paraId="3D69A884">
        <w:tblPrEx>
          <w:tblCellMar>
            <w:top w:w="0" w:type="dxa"/>
            <w:left w:w="108" w:type="dxa"/>
            <w:bottom w:w="0" w:type="dxa"/>
            <w:right w:w="108" w:type="dxa"/>
          </w:tblCellMar>
        </w:tblPrEx>
        <w:trPr>
          <w:trHeight w:val="285"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F9C5B">
            <w:pPr>
              <w:pStyle w:val="34"/>
              <w:bidi w:val="0"/>
              <w:rPr>
                <w:highlight w:val="none"/>
              </w:rPr>
            </w:pPr>
            <w:r>
              <w:rPr>
                <w:rFonts w:hint="eastAsia"/>
                <w:highlight w:val="none"/>
              </w:rPr>
              <w:t>序号</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4EA3F5FC">
            <w:pPr>
              <w:pStyle w:val="34"/>
              <w:bidi w:val="0"/>
              <w:rPr>
                <w:highlight w:val="none"/>
              </w:rPr>
            </w:pPr>
            <w:r>
              <w:rPr>
                <w:rFonts w:hint="eastAsia"/>
                <w:highlight w:val="none"/>
              </w:rPr>
              <w:t>名称</w:t>
            </w:r>
          </w:p>
        </w:tc>
        <w:tc>
          <w:tcPr>
            <w:tcW w:w="663" w:type="dxa"/>
            <w:gridSpan w:val="2"/>
            <w:tcBorders>
              <w:top w:val="single" w:color="auto" w:sz="4" w:space="0"/>
              <w:left w:val="nil"/>
              <w:bottom w:val="single" w:color="auto" w:sz="4" w:space="0"/>
              <w:right w:val="single" w:color="auto" w:sz="4" w:space="0"/>
            </w:tcBorders>
            <w:shd w:val="clear" w:color="auto" w:fill="auto"/>
            <w:noWrap/>
            <w:vAlign w:val="center"/>
          </w:tcPr>
          <w:p w14:paraId="19513FF3">
            <w:pPr>
              <w:pStyle w:val="34"/>
              <w:bidi w:val="0"/>
              <w:rPr>
                <w:highlight w:val="none"/>
              </w:rPr>
            </w:pPr>
            <w:r>
              <w:rPr>
                <w:rFonts w:hint="eastAsia"/>
                <w:highlight w:val="none"/>
              </w:rPr>
              <w:t>单位</w:t>
            </w:r>
          </w:p>
        </w:tc>
        <w:tc>
          <w:tcPr>
            <w:tcW w:w="687" w:type="dxa"/>
            <w:tcBorders>
              <w:top w:val="single" w:color="auto" w:sz="4" w:space="0"/>
              <w:left w:val="nil"/>
              <w:bottom w:val="single" w:color="auto" w:sz="4" w:space="0"/>
              <w:right w:val="single" w:color="auto" w:sz="4" w:space="0"/>
            </w:tcBorders>
            <w:shd w:val="clear" w:color="auto" w:fill="auto"/>
            <w:noWrap/>
            <w:vAlign w:val="center"/>
          </w:tcPr>
          <w:p w14:paraId="1DF2C6DF">
            <w:pPr>
              <w:pStyle w:val="34"/>
              <w:bidi w:val="0"/>
              <w:rPr>
                <w:highlight w:val="none"/>
              </w:rPr>
            </w:pPr>
            <w:r>
              <w:rPr>
                <w:rFonts w:hint="eastAsia"/>
                <w:highlight w:val="none"/>
              </w:rPr>
              <w:t>数量</w:t>
            </w:r>
          </w:p>
        </w:tc>
        <w:tc>
          <w:tcPr>
            <w:tcW w:w="6950" w:type="dxa"/>
            <w:tcBorders>
              <w:top w:val="single" w:color="auto" w:sz="4" w:space="0"/>
              <w:left w:val="nil"/>
              <w:bottom w:val="single" w:color="auto" w:sz="4" w:space="0"/>
              <w:right w:val="single" w:color="auto" w:sz="4" w:space="0"/>
            </w:tcBorders>
            <w:shd w:val="clear" w:color="auto" w:fill="auto"/>
            <w:noWrap/>
            <w:vAlign w:val="center"/>
          </w:tcPr>
          <w:p w14:paraId="5D5EDD7E">
            <w:pPr>
              <w:pStyle w:val="34"/>
              <w:bidi w:val="0"/>
              <w:rPr>
                <w:highlight w:val="none"/>
              </w:rPr>
            </w:pPr>
            <w:r>
              <w:rPr>
                <w:rFonts w:hint="eastAsia"/>
                <w:highlight w:val="none"/>
              </w:rPr>
              <w:t>技术参数</w:t>
            </w:r>
            <w:r>
              <w:rPr>
                <w:rFonts w:hint="eastAsia"/>
                <w:highlight w:val="none"/>
                <w:lang w:val="en-US" w:eastAsia="zh-CN"/>
              </w:rPr>
              <w:t>及</w:t>
            </w:r>
            <w:r>
              <w:rPr>
                <w:rFonts w:hint="eastAsia"/>
                <w:highlight w:val="none"/>
              </w:rPr>
              <w:t>性能（配置）要求</w:t>
            </w:r>
          </w:p>
        </w:tc>
      </w:tr>
      <w:tr w14:paraId="3BC565CA">
        <w:tblPrEx>
          <w:tblCellMar>
            <w:top w:w="0" w:type="dxa"/>
            <w:left w:w="108" w:type="dxa"/>
            <w:bottom w:w="0" w:type="dxa"/>
            <w:right w:w="108" w:type="dxa"/>
          </w:tblCellMar>
        </w:tblPrEx>
        <w:trPr>
          <w:trHeight w:val="165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68125">
            <w:pPr>
              <w:pStyle w:val="34"/>
              <w:bidi w:val="0"/>
              <w:rPr>
                <w:rFonts w:hint="eastAsia"/>
                <w:highlight w:val="none"/>
                <w:lang w:val="en-US" w:eastAsia="zh-CN"/>
              </w:rPr>
            </w:pPr>
            <w:r>
              <w:rPr>
                <w:rFonts w:hint="eastAsia"/>
                <w:highlight w:val="none"/>
                <w:lang w:val="en-US" w:eastAsia="zh-CN"/>
              </w:rPr>
              <w:t>1</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276F21D7">
            <w:pPr>
              <w:pStyle w:val="34"/>
              <w:bidi w:val="0"/>
              <w:rPr>
                <w:highlight w:val="none"/>
              </w:rPr>
            </w:pPr>
            <w:r>
              <w:rPr>
                <w:rFonts w:hint="default" w:eastAsia="宋体"/>
                <w:highlight w:val="none"/>
                <w:lang w:val="en-US" w:eastAsia="zh-CN"/>
              </w:rPr>
              <w:t>液相色谱串联质谱检测系统</w:t>
            </w:r>
          </w:p>
        </w:tc>
        <w:tc>
          <w:tcPr>
            <w:tcW w:w="663" w:type="dxa"/>
            <w:gridSpan w:val="2"/>
            <w:tcBorders>
              <w:top w:val="single" w:color="auto" w:sz="4" w:space="0"/>
              <w:left w:val="nil"/>
              <w:bottom w:val="single" w:color="auto" w:sz="4" w:space="0"/>
              <w:right w:val="single" w:color="auto" w:sz="4" w:space="0"/>
            </w:tcBorders>
            <w:shd w:val="clear" w:color="auto" w:fill="auto"/>
            <w:vAlign w:val="center"/>
          </w:tcPr>
          <w:p w14:paraId="6688E7BF">
            <w:pPr>
              <w:pStyle w:val="34"/>
              <w:bidi w:val="0"/>
              <w:rPr>
                <w:rFonts w:hint="eastAsia"/>
                <w:highlight w:val="none"/>
                <w:lang w:val="en-US" w:eastAsia="zh-CN"/>
              </w:rPr>
            </w:pPr>
            <w:r>
              <w:rPr>
                <w:rFonts w:hint="eastAsia"/>
                <w:highlight w:val="none"/>
                <w:lang w:val="en-US" w:eastAsia="zh-CN"/>
              </w:rPr>
              <w:t>套</w:t>
            </w:r>
          </w:p>
        </w:tc>
        <w:tc>
          <w:tcPr>
            <w:tcW w:w="687" w:type="dxa"/>
            <w:tcBorders>
              <w:top w:val="single" w:color="auto" w:sz="4" w:space="0"/>
              <w:left w:val="nil"/>
              <w:bottom w:val="single" w:color="auto" w:sz="4" w:space="0"/>
              <w:right w:val="single" w:color="auto" w:sz="4" w:space="0"/>
            </w:tcBorders>
            <w:shd w:val="clear" w:color="auto" w:fill="auto"/>
            <w:vAlign w:val="center"/>
          </w:tcPr>
          <w:p w14:paraId="30B6F3A6">
            <w:pPr>
              <w:pStyle w:val="34"/>
              <w:bidi w:val="0"/>
              <w:rPr>
                <w:rFonts w:hint="eastAsia"/>
                <w:highlight w:val="none"/>
                <w:lang w:val="en-US" w:eastAsia="zh-CN"/>
              </w:rPr>
            </w:pPr>
            <w:r>
              <w:rPr>
                <w:rFonts w:hint="eastAsia"/>
                <w:highlight w:val="none"/>
                <w:lang w:val="en-US" w:eastAsia="zh-CN"/>
              </w:rPr>
              <w:t>1</w:t>
            </w:r>
          </w:p>
        </w:tc>
        <w:tc>
          <w:tcPr>
            <w:tcW w:w="6950" w:type="dxa"/>
            <w:tcBorders>
              <w:top w:val="single" w:color="auto" w:sz="4" w:space="0"/>
              <w:left w:val="nil"/>
              <w:bottom w:val="single" w:color="auto" w:sz="4" w:space="0"/>
              <w:right w:val="single" w:color="auto" w:sz="4" w:space="0"/>
            </w:tcBorders>
            <w:shd w:val="clear" w:color="auto" w:fill="auto"/>
            <w:vAlign w:val="center"/>
          </w:tcPr>
          <w:p w14:paraId="4513C8FC">
            <w:pPr>
              <w:bidi w:val="0"/>
              <w:rPr>
                <w:rFonts w:hint="eastAsia" w:eastAsia="宋体"/>
                <w:highlight w:val="none"/>
              </w:rPr>
            </w:pPr>
            <w:r>
              <w:rPr>
                <w:rFonts w:hint="eastAsia" w:eastAsia="宋体"/>
                <w:highlight w:val="none"/>
              </w:rPr>
              <w:t>一、基本功能要求</w:t>
            </w:r>
          </w:p>
          <w:p w14:paraId="524E5DE3">
            <w:pPr>
              <w:bidi w:val="0"/>
              <w:rPr>
                <w:rFonts w:hint="eastAsia" w:eastAsia="宋体"/>
                <w:highlight w:val="none"/>
              </w:rPr>
            </w:pPr>
            <w:r>
              <w:rPr>
                <w:rFonts w:hint="eastAsia" w:eastAsia="宋体"/>
                <w:highlight w:val="none"/>
              </w:rPr>
              <w:t>液相色谱串联质谱检测系统：满足临床治疗药物监测、水溶性维生素、脂溶性维生素、儿茶酚胺、类固醇激素等检测。</w:t>
            </w:r>
          </w:p>
          <w:p w14:paraId="0E8EC8BE">
            <w:pPr>
              <w:bidi w:val="0"/>
              <w:rPr>
                <w:rFonts w:hint="eastAsia" w:eastAsia="宋体"/>
                <w:highlight w:val="none"/>
              </w:rPr>
            </w:pPr>
            <w:r>
              <w:rPr>
                <w:rFonts w:hint="eastAsia" w:eastAsia="宋体"/>
                <w:highlight w:val="none"/>
              </w:rPr>
              <w:t>二、具体参数要求</w:t>
            </w:r>
          </w:p>
          <w:p w14:paraId="080FFB5D">
            <w:pPr>
              <w:bidi w:val="0"/>
              <w:rPr>
                <w:rFonts w:hint="eastAsia" w:eastAsia="宋体"/>
                <w:highlight w:val="none"/>
                <w:lang w:eastAsia="zh-CN"/>
              </w:rPr>
            </w:pPr>
            <w:r>
              <w:rPr>
                <w:rFonts w:hint="eastAsia" w:eastAsia="宋体"/>
                <w:highlight w:val="none"/>
                <w:lang w:val="en-US" w:eastAsia="zh-CN"/>
              </w:rPr>
              <w:t>1</w:t>
            </w:r>
            <w:r>
              <w:rPr>
                <w:rFonts w:hint="eastAsia" w:eastAsia="宋体"/>
                <w:highlight w:val="none"/>
              </w:rPr>
              <w:t>、主要用途</w:t>
            </w:r>
            <w:r>
              <w:rPr>
                <w:rFonts w:hint="eastAsia" w:eastAsia="宋体"/>
                <w:highlight w:val="none"/>
                <w:lang w:eastAsia="zh-CN"/>
              </w:rPr>
              <w:t>：</w:t>
            </w:r>
          </w:p>
          <w:p w14:paraId="5702FEE0">
            <w:pPr>
              <w:bidi w:val="0"/>
              <w:rPr>
                <w:rFonts w:hint="eastAsia" w:eastAsia="宋体"/>
                <w:highlight w:val="none"/>
                <w:lang w:eastAsia="zh-CN"/>
              </w:rPr>
            </w:pPr>
            <w:r>
              <w:rPr>
                <w:rFonts w:hint="eastAsia" w:ascii="宋体" w:hAnsi="宋体" w:eastAsia="宋体" w:cs="宋体"/>
                <w:highlight w:val="none"/>
              </w:rPr>
              <w:t>●</w:t>
            </w:r>
            <w:r>
              <w:rPr>
                <w:rFonts w:hint="eastAsia" w:eastAsia="宋体"/>
                <w:highlight w:val="none"/>
              </w:rPr>
              <w:t>用于人体样本（全血、血浆、血清、尿液）中的内源性和外源性物质进行定性或定量检测</w:t>
            </w:r>
            <w:r>
              <w:rPr>
                <w:rFonts w:hint="eastAsia" w:eastAsia="宋体"/>
                <w:highlight w:val="none"/>
                <w:lang w:eastAsia="zh-CN"/>
              </w:rPr>
              <w:t>。</w:t>
            </w:r>
          </w:p>
          <w:p w14:paraId="5C0D2ECD">
            <w:pPr>
              <w:bidi w:val="0"/>
              <w:rPr>
                <w:rFonts w:hint="eastAsia" w:eastAsia="宋体"/>
                <w:highlight w:val="none"/>
              </w:rPr>
            </w:pPr>
            <w:r>
              <w:rPr>
                <w:rFonts w:hint="eastAsia" w:eastAsia="宋体"/>
                <w:highlight w:val="none"/>
                <w:lang w:val="en-US" w:eastAsia="zh-CN"/>
              </w:rPr>
              <w:t>2</w:t>
            </w:r>
            <w:r>
              <w:rPr>
                <w:rFonts w:hint="eastAsia" w:eastAsia="宋体"/>
                <w:highlight w:val="none"/>
              </w:rPr>
              <w:t>、技术规格</w:t>
            </w:r>
          </w:p>
          <w:p w14:paraId="5516293F">
            <w:pPr>
              <w:bidi w:val="0"/>
              <w:rPr>
                <w:rFonts w:hint="eastAsia" w:eastAsia="宋体"/>
                <w:highlight w:val="none"/>
              </w:rPr>
            </w:pPr>
            <w:r>
              <w:rPr>
                <w:rFonts w:hint="eastAsia" w:eastAsia="宋体"/>
                <w:highlight w:val="none"/>
                <w:lang w:val="en-US" w:eastAsia="zh-CN"/>
              </w:rPr>
              <w:t>2</w:t>
            </w:r>
            <w:r>
              <w:rPr>
                <w:rFonts w:hint="eastAsia" w:eastAsia="宋体"/>
                <w:highlight w:val="none"/>
              </w:rPr>
              <w:t>.1液相色谱仪技术参数</w:t>
            </w:r>
          </w:p>
          <w:p w14:paraId="54B011A9">
            <w:pPr>
              <w:bidi w:val="0"/>
              <w:rPr>
                <w:rFonts w:hint="eastAsia" w:eastAsia="宋体"/>
                <w:highlight w:val="none"/>
              </w:rPr>
            </w:pPr>
            <w:r>
              <w:rPr>
                <w:rFonts w:hint="eastAsia" w:eastAsia="宋体"/>
                <w:highlight w:val="none"/>
                <w:lang w:val="en-US" w:eastAsia="zh-CN"/>
              </w:rPr>
              <w:t>2</w:t>
            </w:r>
            <w:r>
              <w:rPr>
                <w:rFonts w:hint="eastAsia" w:eastAsia="宋体"/>
                <w:highlight w:val="none"/>
              </w:rPr>
              <w:t>.1.1输液单元</w:t>
            </w:r>
          </w:p>
          <w:p w14:paraId="792784A8">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.1.1.1可编程的二元高压梯度泵</w:t>
            </w:r>
            <w:r>
              <w:rPr>
                <w:rFonts w:hint="eastAsia" w:eastAsia="宋体"/>
                <w:highlight w:val="none"/>
                <w:lang w:eastAsia="zh-CN"/>
              </w:rPr>
              <w:t>；</w:t>
            </w:r>
          </w:p>
          <w:p w14:paraId="746B528C">
            <w:pPr>
              <w:bidi w:val="0"/>
              <w:rPr>
                <w:rFonts w:hint="eastAsia" w:eastAsia="宋体"/>
                <w:highlight w:val="none"/>
                <w:lang w:eastAsia="zh-CN"/>
              </w:rPr>
            </w:pPr>
            <w:r>
              <w:rPr>
                <w:rFonts w:hint="eastAsia" w:eastAsia="宋体"/>
                <w:highlight w:val="none"/>
              </w:rPr>
              <w:t>▲</w:t>
            </w:r>
            <w:r>
              <w:rPr>
                <w:rFonts w:hint="eastAsia" w:eastAsia="宋体"/>
                <w:highlight w:val="none"/>
                <w:lang w:val="en-US" w:eastAsia="zh-CN"/>
              </w:rPr>
              <w:t>2</w:t>
            </w:r>
            <w:r>
              <w:rPr>
                <w:rFonts w:hint="eastAsia" w:eastAsia="宋体"/>
                <w:highlight w:val="none"/>
              </w:rPr>
              <w:t>.1.1.2流速范围：0.001ml/min-2.000ml/min，递增率0.001ml/min</w:t>
            </w:r>
            <w:r>
              <w:rPr>
                <w:rFonts w:hint="eastAsia" w:eastAsia="宋体"/>
                <w:highlight w:val="none"/>
                <w:lang w:eastAsia="zh-CN"/>
              </w:rPr>
              <w:t>；</w:t>
            </w:r>
          </w:p>
          <w:p w14:paraId="6313AC21">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.1.1.3最大输液压力：≥13500psi</w:t>
            </w:r>
            <w:r>
              <w:rPr>
                <w:rFonts w:hint="eastAsia" w:eastAsia="宋体"/>
                <w:highlight w:val="none"/>
                <w:lang w:eastAsia="zh-CN"/>
              </w:rPr>
              <w:t>；</w:t>
            </w:r>
          </w:p>
          <w:p w14:paraId="2D83C0E0">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.1.1.4交叉污染：&lt;0.004%</w:t>
            </w:r>
            <w:r>
              <w:rPr>
                <w:rFonts w:hint="eastAsia" w:eastAsia="宋体"/>
                <w:highlight w:val="none"/>
                <w:lang w:eastAsia="zh-CN"/>
              </w:rPr>
              <w:t>；</w:t>
            </w:r>
          </w:p>
          <w:p w14:paraId="46A6EC28">
            <w:pPr>
              <w:bidi w:val="0"/>
              <w:rPr>
                <w:rFonts w:hint="eastAsia" w:eastAsia="宋体"/>
                <w:highlight w:val="none"/>
              </w:rPr>
            </w:pPr>
            <w:r>
              <w:rPr>
                <w:rFonts w:hint="eastAsia" w:eastAsia="宋体"/>
                <w:highlight w:val="none"/>
                <w:lang w:val="en-US" w:eastAsia="zh-CN"/>
              </w:rPr>
              <w:t>2</w:t>
            </w:r>
            <w:r>
              <w:rPr>
                <w:rFonts w:hint="eastAsia" w:eastAsia="宋体"/>
                <w:highlight w:val="none"/>
              </w:rPr>
              <w:t>.1.2脱气机</w:t>
            </w:r>
          </w:p>
          <w:p w14:paraId="62D9D7EE">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.1.2.1多通道在线真空脱气</w:t>
            </w:r>
            <w:r>
              <w:rPr>
                <w:rFonts w:hint="eastAsia" w:eastAsia="宋体"/>
                <w:highlight w:val="none"/>
                <w:lang w:eastAsia="zh-CN"/>
              </w:rPr>
              <w:t>；</w:t>
            </w:r>
          </w:p>
          <w:p w14:paraId="1175DD17">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.1.3控温自动进样器</w:t>
            </w:r>
            <w:r>
              <w:rPr>
                <w:rFonts w:hint="eastAsia" w:eastAsia="宋体"/>
                <w:highlight w:val="none"/>
                <w:lang w:eastAsia="zh-CN"/>
              </w:rPr>
              <w:t>；</w:t>
            </w:r>
          </w:p>
          <w:p w14:paraId="6334B330">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.1.3.1进样量范围：1uL–100 uL，可扩展</w:t>
            </w:r>
            <w:r>
              <w:rPr>
                <w:rFonts w:hint="eastAsia" w:eastAsia="宋体"/>
                <w:highlight w:val="none"/>
                <w:lang w:eastAsia="zh-CN"/>
              </w:rPr>
              <w:t>；</w:t>
            </w:r>
          </w:p>
          <w:p w14:paraId="77F42A74">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.1.3.2进样位数：可放置96位2mL样品瓶，兼容96孔板模式进样，满足临床高通量进样需求</w:t>
            </w:r>
            <w:r>
              <w:rPr>
                <w:rFonts w:hint="eastAsia" w:eastAsia="宋体"/>
                <w:highlight w:val="none"/>
                <w:lang w:eastAsia="zh-CN"/>
              </w:rPr>
              <w:t>；</w:t>
            </w:r>
          </w:p>
          <w:p w14:paraId="1E2B172E">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.1.3.3进样器控温范围：4-40°C</w:t>
            </w:r>
            <w:r>
              <w:rPr>
                <w:rFonts w:hint="eastAsia" w:eastAsia="宋体"/>
                <w:highlight w:val="none"/>
                <w:lang w:eastAsia="zh-CN"/>
              </w:rPr>
              <w:t>；</w:t>
            </w:r>
          </w:p>
          <w:p w14:paraId="7D0609D4">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.1.3.4进样精密度：≤0.25%RSD</w:t>
            </w:r>
            <w:r>
              <w:rPr>
                <w:rFonts w:hint="eastAsia" w:eastAsia="宋体"/>
                <w:highlight w:val="none"/>
                <w:lang w:eastAsia="zh-CN"/>
              </w:rPr>
              <w:t>；</w:t>
            </w:r>
          </w:p>
          <w:p w14:paraId="565DD50F">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.1.3.5进样准确度：≤±0.5%</w:t>
            </w:r>
            <w:r>
              <w:rPr>
                <w:rFonts w:hint="eastAsia" w:eastAsia="宋体"/>
                <w:highlight w:val="none"/>
                <w:lang w:eastAsia="zh-CN"/>
              </w:rPr>
              <w:t>；</w:t>
            </w:r>
          </w:p>
          <w:p w14:paraId="15711FC3">
            <w:pPr>
              <w:bidi w:val="0"/>
              <w:rPr>
                <w:rFonts w:hint="eastAsia" w:eastAsia="宋体"/>
                <w:highlight w:val="none"/>
              </w:rPr>
            </w:pPr>
            <w:r>
              <w:rPr>
                <w:rFonts w:hint="eastAsia" w:eastAsia="宋体"/>
                <w:highlight w:val="none"/>
                <w:lang w:val="en-US" w:eastAsia="zh-CN"/>
              </w:rPr>
              <w:t>3</w:t>
            </w:r>
            <w:r>
              <w:rPr>
                <w:rFonts w:hint="eastAsia" w:eastAsia="宋体"/>
                <w:highlight w:val="none"/>
              </w:rPr>
              <w:t>.1.4柱温箱</w:t>
            </w:r>
          </w:p>
          <w:p w14:paraId="3A47D494">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.1.4.1温控范围：10-90℃</w:t>
            </w:r>
            <w:r>
              <w:rPr>
                <w:rFonts w:hint="eastAsia" w:eastAsia="宋体"/>
                <w:highlight w:val="none"/>
                <w:lang w:eastAsia="zh-CN"/>
              </w:rPr>
              <w:t>；</w:t>
            </w:r>
          </w:p>
          <w:p w14:paraId="699181A4">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.1.4.2标配柱前预加热器，减少扩散效应</w:t>
            </w:r>
            <w:r>
              <w:rPr>
                <w:rFonts w:hint="eastAsia" w:eastAsia="宋体"/>
                <w:highlight w:val="none"/>
                <w:lang w:eastAsia="zh-CN"/>
              </w:rPr>
              <w:t>；</w:t>
            </w:r>
          </w:p>
          <w:p w14:paraId="03826D22">
            <w:pPr>
              <w:bidi w:val="0"/>
              <w:rPr>
                <w:rFonts w:hint="eastAsia" w:eastAsia="宋体"/>
                <w:highlight w:val="none"/>
              </w:rPr>
            </w:pPr>
            <w:r>
              <w:rPr>
                <w:rFonts w:hint="eastAsia" w:eastAsia="宋体"/>
                <w:highlight w:val="none"/>
                <w:lang w:val="en-US" w:eastAsia="zh-CN"/>
              </w:rPr>
              <w:t>3</w:t>
            </w:r>
            <w:r>
              <w:rPr>
                <w:rFonts w:hint="eastAsia" w:eastAsia="宋体"/>
                <w:highlight w:val="none"/>
              </w:rPr>
              <w:t>.2串联质谱仪技术参数</w:t>
            </w:r>
          </w:p>
          <w:p w14:paraId="6051500C">
            <w:pPr>
              <w:bidi w:val="0"/>
              <w:rPr>
                <w:rFonts w:hint="eastAsia" w:eastAsia="宋体"/>
                <w:highlight w:val="none"/>
              </w:rPr>
            </w:pPr>
            <w:r>
              <w:rPr>
                <w:rFonts w:hint="eastAsia" w:eastAsia="宋体"/>
                <w:highlight w:val="none"/>
                <w:lang w:val="en-US" w:eastAsia="zh-CN"/>
              </w:rPr>
              <w:t>3</w:t>
            </w:r>
            <w:r>
              <w:rPr>
                <w:rFonts w:hint="eastAsia" w:eastAsia="宋体"/>
                <w:highlight w:val="none"/>
              </w:rPr>
              <w:t>.2.1离子源</w:t>
            </w:r>
          </w:p>
          <w:p w14:paraId="291B0B3D">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.2.1.</w:t>
            </w:r>
            <w:r>
              <w:rPr>
                <w:rFonts w:hint="eastAsia" w:eastAsia="宋体"/>
                <w:highlight w:val="none"/>
                <w:lang w:val="en-US" w:eastAsia="zh-CN"/>
              </w:rPr>
              <w:t>1</w:t>
            </w:r>
            <w:r>
              <w:rPr>
                <w:rFonts w:hint="eastAsia" w:eastAsia="宋体"/>
                <w:highlight w:val="none"/>
              </w:rPr>
              <w:t>插拔式可互换ESI及APCI喷针，无需任何工具可实现ESI源及APCI源快速更换</w:t>
            </w:r>
            <w:r>
              <w:rPr>
                <w:rFonts w:hint="eastAsia" w:eastAsia="宋体"/>
                <w:highlight w:val="none"/>
                <w:lang w:eastAsia="zh-CN"/>
              </w:rPr>
              <w:t>。</w:t>
            </w:r>
          </w:p>
          <w:p w14:paraId="3308BC2D">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.2.1.</w:t>
            </w:r>
            <w:r>
              <w:rPr>
                <w:rFonts w:hint="eastAsia" w:eastAsia="宋体"/>
                <w:highlight w:val="none"/>
                <w:lang w:val="en-US" w:eastAsia="zh-CN"/>
              </w:rPr>
              <w:t>2</w:t>
            </w:r>
            <w:r>
              <w:rPr>
                <w:rFonts w:hint="eastAsia" w:eastAsia="宋体"/>
                <w:highlight w:val="none"/>
              </w:rPr>
              <w:t xml:space="preserve"> ESI流速范围：确保灵敏度不损失的前提下，无需分流，流速可达到2.0 mL/min以上</w:t>
            </w:r>
            <w:r>
              <w:rPr>
                <w:rFonts w:hint="eastAsia" w:eastAsia="宋体"/>
                <w:highlight w:val="none"/>
                <w:lang w:eastAsia="zh-CN"/>
              </w:rPr>
              <w:t>。</w:t>
            </w:r>
          </w:p>
          <w:p w14:paraId="04955CE2">
            <w:pPr>
              <w:bidi w:val="0"/>
              <w:rPr>
                <w:rFonts w:hint="eastAsia" w:eastAsia="宋体"/>
                <w:highlight w:val="none"/>
                <w:lang w:eastAsia="zh-CN"/>
              </w:rPr>
            </w:pPr>
            <w:r>
              <w:rPr>
                <w:rFonts w:hint="eastAsia" w:eastAsia="宋体"/>
                <w:highlight w:val="none"/>
              </w:rPr>
              <w:t>▲</w:t>
            </w:r>
            <w:r>
              <w:rPr>
                <w:rFonts w:hint="eastAsia" w:eastAsia="宋体"/>
                <w:highlight w:val="none"/>
                <w:lang w:val="en-US" w:eastAsia="zh-CN"/>
              </w:rPr>
              <w:t>3</w:t>
            </w:r>
            <w:r>
              <w:rPr>
                <w:rFonts w:hint="eastAsia" w:eastAsia="宋体"/>
                <w:highlight w:val="none"/>
              </w:rPr>
              <w:t>.2.1.</w:t>
            </w:r>
            <w:r>
              <w:rPr>
                <w:rFonts w:hint="eastAsia" w:eastAsia="宋体"/>
                <w:highlight w:val="none"/>
                <w:lang w:val="en-US" w:eastAsia="zh-CN"/>
              </w:rPr>
              <w:t>3</w:t>
            </w:r>
            <w:r>
              <w:rPr>
                <w:rFonts w:hint="eastAsia" w:eastAsia="宋体"/>
                <w:highlight w:val="none"/>
              </w:rPr>
              <w:t>离子源温度：离子源具有双控温区域，脱溶剂气温度设置≥550度，且需满足离子源接口作为另一控温区域，温度设置≥120度，提高脱溶剂化效果</w:t>
            </w:r>
            <w:r>
              <w:rPr>
                <w:rFonts w:hint="eastAsia" w:eastAsia="宋体"/>
                <w:highlight w:val="none"/>
                <w:lang w:eastAsia="zh-CN"/>
              </w:rPr>
              <w:t>。</w:t>
            </w:r>
          </w:p>
          <w:p w14:paraId="2EFEA814">
            <w:pPr>
              <w:bidi w:val="0"/>
              <w:rPr>
                <w:rFonts w:hint="eastAsia" w:eastAsia="宋体"/>
                <w:highlight w:val="none"/>
                <w:lang w:eastAsia="zh-CN"/>
              </w:rPr>
            </w:pPr>
            <w:r>
              <w:rPr>
                <w:rFonts w:hint="eastAsia" w:eastAsia="宋体"/>
                <w:highlight w:val="none"/>
              </w:rPr>
              <w:t>▲4.2.1.</w:t>
            </w:r>
            <w:r>
              <w:rPr>
                <w:rFonts w:hint="eastAsia" w:eastAsia="宋体"/>
                <w:highlight w:val="none"/>
                <w:lang w:val="en-US" w:eastAsia="zh-CN"/>
              </w:rPr>
              <w:t>4</w:t>
            </w:r>
            <w:r>
              <w:rPr>
                <w:rFonts w:hint="eastAsia" w:eastAsia="宋体"/>
                <w:highlight w:val="none"/>
              </w:rPr>
              <w:t>离子源内有外接管路的主动负压废气排放装置，可防止气体离子源腔体中的回流</w:t>
            </w:r>
            <w:r>
              <w:rPr>
                <w:rFonts w:hint="eastAsia" w:eastAsia="宋体"/>
                <w:highlight w:val="none"/>
                <w:lang w:eastAsia="zh-CN"/>
              </w:rPr>
              <w:t>。</w:t>
            </w:r>
          </w:p>
          <w:p w14:paraId="13F0BF57">
            <w:pPr>
              <w:bidi w:val="0"/>
              <w:rPr>
                <w:rFonts w:hint="eastAsia" w:eastAsia="宋体"/>
                <w:highlight w:val="none"/>
              </w:rPr>
            </w:pPr>
            <w:r>
              <w:rPr>
                <w:rFonts w:hint="eastAsia" w:eastAsia="宋体"/>
                <w:highlight w:val="none"/>
                <w:lang w:val="en-US" w:eastAsia="zh-CN"/>
              </w:rPr>
              <w:t>3</w:t>
            </w:r>
            <w:r>
              <w:rPr>
                <w:rFonts w:hint="eastAsia" w:eastAsia="宋体"/>
                <w:highlight w:val="none"/>
              </w:rPr>
              <w:t>.2.2离子源接口及传输系统</w:t>
            </w:r>
          </w:p>
          <w:p w14:paraId="15F8E05D">
            <w:pPr>
              <w:bidi w:val="0"/>
              <w:rPr>
                <w:rFonts w:hint="eastAsia" w:eastAsia="宋体"/>
                <w:highlight w:val="none"/>
              </w:rPr>
            </w:pPr>
            <w:r>
              <w:rPr>
                <w:rFonts w:hint="eastAsia" w:eastAsia="宋体"/>
                <w:highlight w:val="none"/>
                <w:lang w:val="en-US" w:eastAsia="zh-CN"/>
              </w:rPr>
              <w:t>3</w:t>
            </w:r>
            <w:r>
              <w:rPr>
                <w:rFonts w:hint="eastAsia" w:eastAsia="宋体"/>
                <w:highlight w:val="none"/>
              </w:rPr>
              <w:t>.2.2.1离子传输通道(Q0)采用锥孔结构和反吹气技术，不会堵塞，保证终身不必更换锥孔、清洗离子传输通道的毛细管类组件的费用。(提供相关证明文件)</w:t>
            </w:r>
          </w:p>
          <w:p w14:paraId="42BA2E72">
            <w:pPr>
              <w:bidi w:val="0"/>
              <w:rPr>
                <w:rFonts w:hint="eastAsia" w:eastAsia="宋体"/>
                <w:highlight w:val="none"/>
              </w:rPr>
            </w:pPr>
            <w:r>
              <w:rPr>
                <w:rFonts w:hint="eastAsia" w:eastAsia="宋体"/>
                <w:highlight w:val="none"/>
                <w:lang w:val="en-US" w:eastAsia="zh-CN"/>
              </w:rPr>
              <w:t>3</w:t>
            </w:r>
            <w:r>
              <w:rPr>
                <w:rFonts w:hint="eastAsia" w:eastAsia="宋体"/>
                <w:highlight w:val="none"/>
              </w:rPr>
              <w:t>.2.3质量分析器</w:t>
            </w:r>
          </w:p>
          <w:p w14:paraId="2F99EF58">
            <w:pPr>
              <w:bidi w:val="0"/>
              <w:rPr>
                <w:rFonts w:hint="eastAsia" w:eastAsia="宋体"/>
                <w:highlight w:val="none"/>
                <w:lang w:eastAsia="zh-CN"/>
              </w:rPr>
            </w:pPr>
            <w:r>
              <w:rPr>
                <w:rFonts w:hint="eastAsia" w:ascii="宋体" w:hAnsi="宋体" w:eastAsia="宋体" w:cs="宋体"/>
                <w:highlight w:val="none"/>
              </w:rPr>
              <w:t>●</w:t>
            </w:r>
            <w:r>
              <w:rPr>
                <w:rFonts w:hint="eastAsia" w:eastAsia="宋体"/>
                <w:highlight w:val="none"/>
                <w:lang w:val="en-US" w:eastAsia="zh-CN"/>
              </w:rPr>
              <w:t>3</w:t>
            </w:r>
            <w:r>
              <w:rPr>
                <w:rFonts w:hint="eastAsia" w:eastAsia="宋体"/>
                <w:highlight w:val="none"/>
              </w:rPr>
              <w:t>.2.3.1四极杆采用金属钼四极杆材质，无需额外加热来维持稳定性。如非金属钼四极杆额外提供两套原装四极杆备用。一级四极杆质量分析器后带有前后（可调）过滤器，防止发生质量歧视效应；二级四极杆质量分析器前（可调）带有过滤器，提升离子传输效率(提供相关证明文件)</w:t>
            </w:r>
            <w:r>
              <w:rPr>
                <w:rFonts w:hint="eastAsia" w:eastAsia="宋体"/>
                <w:highlight w:val="none"/>
                <w:lang w:eastAsia="zh-CN"/>
              </w:rPr>
              <w:t>。</w:t>
            </w:r>
          </w:p>
          <w:p w14:paraId="21A4DBFC">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.2.3.2质量范围：m/z5－2000 Da</w:t>
            </w:r>
            <w:r>
              <w:rPr>
                <w:rFonts w:hint="eastAsia" w:eastAsia="宋体"/>
                <w:highlight w:val="none"/>
                <w:lang w:eastAsia="zh-CN"/>
              </w:rPr>
              <w:t>。</w:t>
            </w:r>
          </w:p>
          <w:p w14:paraId="250BD42A">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.2.3.3线性范围：≥6个数量级</w:t>
            </w:r>
            <w:r>
              <w:rPr>
                <w:rFonts w:hint="eastAsia" w:eastAsia="宋体"/>
                <w:highlight w:val="none"/>
                <w:lang w:eastAsia="zh-CN"/>
              </w:rPr>
              <w:t>。</w:t>
            </w:r>
          </w:p>
          <w:p w14:paraId="71F6E6D9">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.2.3.4扫描速度：以0.1Da为步进下大于10000 amu/sec</w:t>
            </w:r>
            <w:r>
              <w:rPr>
                <w:rFonts w:hint="eastAsia" w:eastAsia="宋体"/>
                <w:highlight w:val="none"/>
                <w:lang w:eastAsia="zh-CN"/>
              </w:rPr>
              <w:t>。</w:t>
            </w:r>
          </w:p>
          <w:p w14:paraId="2602FBAA">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.2.3.5分辨率:质谱半峰宽可到0.5amu（FWMH）</w:t>
            </w:r>
            <w:r>
              <w:rPr>
                <w:rFonts w:hint="eastAsia" w:eastAsia="宋体"/>
                <w:highlight w:val="none"/>
                <w:lang w:eastAsia="zh-CN"/>
              </w:rPr>
              <w:t>。</w:t>
            </w:r>
          </w:p>
          <w:p w14:paraId="7123E167">
            <w:pPr>
              <w:bidi w:val="0"/>
              <w:rPr>
                <w:rFonts w:hint="eastAsia" w:eastAsia="宋体"/>
                <w:highlight w:val="none"/>
                <w:lang w:eastAsia="zh-CN"/>
              </w:rPr>
            </w:pPr>
            <w:r>
              <w:rPr>
                <w:rFonts w:hint="eastAsia" w:eastAsia="宋体"/>
                <w:highlight w:val="none"/>
              </w:rPr>
              <w:t>▲</w:t>
            </w:r>
            <w:r>
              <w:rPr>
                <w:rFonts w:hint="eastAsia" w:eastAsia="宋体"/>
                <w:highlight w:val="none"/>
                <w:lang w:val="en-US" w:eastAsia="zh-CN"/>
              </w:rPr>
              <w:t>3</w:t>
            </w:r>
            <w:r>
              <w:rPr>
                <w:rFonts w:hint="eastAsia" w:eastAsia="宋体"/>
                <w:highlight w:val="none"/>
              </w:rPr>
              <w:t>.2.3.6弯曲碰撞室：直线型碰撞池或90度弯曲碰撞池，降低碰撞池清洗频次；若为弯曲型碰撞池，投标文件中应提供制造厂商针对碰撞池连续三年免费清洗的售后服务承诺书。（须提供碰撞池的结构图佐证）</w:t>
            </w:r>
            <w:r>
              <w:rPr>
                <w:rFonts w:hint="eastAsia" w:eastAsia="宋体"/>
                <w:highlight w:val="none"/>
                <w:lang w:eastAsia="zh-CN"/>
              </w:rPr>
              <w:t>。</w:t>
            </w:r>
          </w:p>
          <w:p w14:paraId="16CC59D5">
            <w:pPr>
              <w:bidi w:val="0"/>
              <w:rPr>
                <w:rFonts w:hint="eastAsia" w:eastAsia="宋体"/>
                <w:highlight w:val="none"/>
                <w:lang w:eastAsia="zh-CN"/>
              </w:rPr>
            </w:pPr>
            <w:r>
              <w:rPr>
                <w:rFonts w:hint="eastAsia" w:eastAsia="宋体"/>
                <w:highlight w:val="none"/>
              </w:rPr>
              <w:t>▲</w:t>
            </w:r>
            <w:r>
              <w:rPr>
                <w:rFonts w:hint="eastAsia" w:eastAsia="宋体"/>
                <w:highlight w:val="none"/>
                <w:lang w:val="en-US" w:eastAsia="zh-CN"/>
              </w:rPr>
              <w:t>3</w:t>
            </w:r>
            <w:r>
              <w:rPr>
                <w:rFonts w:hint="eastAsia" w:eastAsia="宋体"/>
                <w:highlight w:val="none"/>
              </w:rPr>
              <w:t>.2.3.7正负离子极性切换速度：20ms</w:t>
            </w:r>
            <w:r>
              <w:rPr>
                <w:rFonts w:hint="eastAsia" w:eastAsia="宋体"/>
                <w:highlight w:val="none"/>
                <w:lang w:eastAsia="zh-CN"/>
              </w:rPr>
              <w:t>。</w:t>
            </w:r>
          </w:p>
          <w:p w14:paraId="2B720875">
            <w:pPr>
              <w:bidi w:val="0"/>
              <w:rPr>
                <w:rFonts w:hint="eastAsia" w:eastAsia="宋体"/>
                <w:highlight w:val="none"/>
              </w:rPr>
            </w:pPr>
            <w:r>
              <w:rPr>
                <w:rFonts w:hint="eastAsia" w:eastAsia="宋体"/>
                <w:highlight w:val="none"/>
              </w:rPr>
              <w:t>▲</w:t>
            </w:r>
            <w:r>
              <w:rPr>
                <w:rFonts w:hint="eastAsia" w:eastAsia="宋体"/>
                <w:highlight w:val="none"/>
                <w:lang w:val="en-US" w:eastAsia="zh-CN"/>
              </w:rPr>
              <w:t>3</w:t>
            </w:r>
            <w:r>
              <w:rPr>
                <w:rFonts w:hint="eastAsia" w:eastAsia="宋体"/>
                <w:highlight w:val="none"/>
              </w:rPr>
              <w:t>.2.3.</w:t>
            </w:r>
            <w:r>
              <w:rPr>
                <w:rFonts w:hint="eastAsia" w:eastAsia="宋体"/>
                <w:highlight w:val="none"/>
                <w:lang w:val="en-US" w:eastAsia="zh-CN"/>
              </w:rPr>
              <w:t>8</w:t>
            </w:r>
            <w:r>
              <w:rPr>
                <w:rFonts w:hint="eastAsia" w:eastAsia="宋体"/>
                <w:highlight w:val="none"/>
              </w:rPr>
              <w:t>采用氮气作为雾化气，氩气作为碰撞气，提升碰撞效能。</w:t>
            </w:r>
          </w:p>
          <w:p w14:paraId="5F8B4306">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.2.3.9真空系统：机械泵和长寿命涡轮分子泵组合差分抽气高真空系统</w:t>
            </w:r>
            <w:r>
              <w:rPr>
                <w:rFonts w:hint="eastAsia" w:eastAsia="宋体"/>
                <w:highlight w:val="none"/>
                <w:lang w:eastAsia="zh-CN"/>
              </w:rPr>
              <w:t>。</w:t>
            </w:r>
          </w:p>
          <w:p w14:paraId="14086E9C">
            <w:pPr>
              <w:bidi w:val="0"/>
              <w:rPr>
                <w:rFonts w:hint="eastAsia" w:eastAsia="宋体"/>
                <w:highlight w:val="none"/>
              </w:rPr>
            </w:pPr>
            <w:r>
              <w:rPr>
                <w:rFonts w:hint="eastAsia" w:eastAsia="宋体"/>
                <w:highlight w:val="none"/>
                <w:lang w:val="en-US" w:eastAsia="zh-CN"/>
              </w:rPr>
              <w:t>3</w:t>
            </w:r>
            <w:r>
              <w:rPr>
                <w:rFonts w:hint="eastAsia" w:eastAsia="宋体"/>
                <w:highlight w:val="none"/>
              </w:rPr>
              <w:t>.2.3.10灵敏度和重现性指标</w:t>
            </w:r>
          </w:p>
          <w:p w14:paraId="55E91A7C">
            <w:pPr>
              <w:bidi w:val="0"/>
              <w:rPr>
                <w:rFonts w:hint="eastAsia" w:eastAsia="宋体"/>
                <w:highlight w:val="none"/>
              </w:rPr>
            </w:pPr>
            <w:r>
              <w:rPr>
                <w:rFonts w:hint="eastAsia" w:eastAsia="宋体"/>
                <w:highlight w:val="none"/>
                <w:lang w:val="en-US" w:eastAsia="zh-CN"/>
              </w:rPr>
              <w:t>3</w:t>
            </w:r>
            <w:r>
              <w:rPr>
                <w:rFonts w:hint="eastAsia" w:eastAsia="宋体"/>
                <w:highlight w:val="none"/>
              </w:rPr>
              <w:t>.2.3.10.1 ESI+模式：实际柱上进样1pg利血平，信噪比≥1,000,000:1。</w:t>
            </w:r>
          </w:p>
          <w:p w14:paraId="5EBA376F">
            <w:pPr>
              <w:bidi w:val="0"/>
              <w:rPr>
                <w:rFonts w:hint="eastAsia" w:eastAsia="宋体"/>
                <w:highlight w:val="none"/>
              </w:rPr>
            </w:pPr>
            <w:r>
              <w:rPr>
                <w:rFonts w:hint="eastAsia" w:eastAsia="宋体"/>
                <w:highlight w:val="none"/>
                <w:lang w:val="en-US" w:eastAsia="zh-CN"/>
              </w:rPr>
              <w:t>3</w:t>
            </w:r>
            <w:r>
              <w:rPr>
                <w:rFonts w:hint="eastAsia" w:eastAsia="宋体"/>
                <w:highlight w:val="none"/>
              </w:rPr>
              <w:t>.2.4检测器和软件</w:t>
            </w:r>
          </w:p>
          <w:p w14:paraId="11A7ACD6">
            <w:pPr>
              <w:bidi w:val="0"/>
              <w:rPr>
                <w:rFonts w:hint="eastAsia" w:eastAsia="宋体"/>
                <w:highlight w:val="none"/>
              </w:rPr>
            </w:pPr>
            <w:r>
              <w:rPr>
                <w:rFonts w:hint="eastAsia" w:eastAsia="宋体"/>
                <w:highlight w:val="none"/>
              </w:rPr>
              <w:t>▲</w:t>
            </w:r>
            <w:r>
              <w:rPr>
                <w:rFonts w:hint="eastAsia" w:eastAsia="宋体"/>
                <w:highlight w:val="none"/>
                <w:lang w:val="en-US" w:eastAsia="zh-CN"/>
              </w:rPr>
              <w:t>3</w:t>
            </w:r>
            <w:r>
              <w:rPr>
                <w:rFonts w:hint="eastAsia" w:eastAsia="宋体"/>
                <w:highlight w:val="none"/>
              </w:rPr>
              <w:t>.2.4.1采用光电倍增器或电子倍增器，检测器质保期最少为10年，进口生产商的，投标文件中应提供制造厂商针对检测器的售后服务承诺书。</w:t>
            </w:r>
          </w:p>
          <w:p w14:paraId="3DA58C2D">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.2.4.2扫描模式:具有全扫描；子离子扫描；母离子扫描；中性丢失扫描；选择离子扫描；选择反应监测扫描;多反应同时监测扫描等功能</w:t>
            </w:r>
            <w:r>
              <w:rPr>
                <w:rFonts w:hint="eastAsia" w:eastAsia="宋体"/>
                <w:highlight w:val="none"/>
                <w:lang w:eastAsia="zh-CN"/>
              </w:rPr>
              <w:t>。</w:t>
            </w:r>
          </w:p>
          <w:p w14:paraId="75306F7B">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.2.4.3在数据采集过程中具有动态背景扣除功能，保证低含量化合物也能采集到有效的二级谱图</w:t>
            </w:r>
            <w:r>
              <w:rPr>
                <w:rFonts w:hint="eastAsia" w:eastAsia="宋体"/>
                <w:highlight w:val="none"/>
                <w:lang w:eastAsia="zh-CN"/>
              </w:rPr>
              <w:t>。</w:t>
            </w:r>
          </w:p>
          <w:p w14:paraId="08353D14">
            <w:pPr>
              <w:bidi w:val="0"/>
              <w:rPr>
                <w:rFonts w:hint="eastAsia" w:eastAsia="宋体"/>
                <w:highlight w:val="none"/>
              </w:rPr>
            </w:pPr>
            <w:r>
              <w:rPr>
                <w:rFonts w:hint="eastAsia" w:eastAsia="宋体"/>
                <w:highlight w:val="none"/>
                <w:lang w:val="en-US" w:eastAsia="zh-CN"/>
              </w:rPr>
              <w:t>3</w:t>
            </w:r>
            <w:r>
              <w:rPr>
                <w:rFonts w:hint="eastAsia" w:eastAsia="宋体"/>
                <w:highlight w:val="none"/>
              </w:rPr>
              <w:t>.2.4.4自动实现仪器的功能配置、条件优化、数据采集、数据处理、快速定量。软件同时控制液相、质谱。</w:t>
            </w:r>
          </w:p>
          <w:p w14:paraId="0F612B30">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.2.4.</w:t>
            </w:r>
            <w:r>
              <w:rPr>
                <w:rFonts w:hint="eastAsia" w:eastAsia="宋体"/>
                <w:highlight w:val="none"/>
                <w:lang w:val="en-US" w:eastAsia="zh-CN"/>
              </w:rPr>
              <w:t>5</w:t>
            </w:r>
            <w:r>
              <w:rPr>
                <w:rFonts w:hint="eastAsia" w:eastAsia="宋体"/>
                <w:highlight w:val="none"/>
              </w:rPr>
              <w:t>配备高通量定量软件。要求能自动标识离子比率、异常值等。具有审计追踪功能。多化合物MRM方法设置，可根据每个MRM目标物的保留时间自动设置MRM窗口，无需手动设置MRM采集窗口的起止时间段</w:t>
            </w:r>
            <w:r>
              <w:rPr>
                <w:rFonts w:hint="eastAsia" w:eastAsia="宋体"/>
                <w:highlight w:val="none"/>
                <w:lang w:eastAsia="zh-CN"/>
              </w:rPr>
              <w:t>。</w:t>
            </w:r>
          </w:p>
          <w:p w14:paraId="44922356">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.2.4.</w:t>
            </w:r>
            <w:r>
              <w:rPr>
                <w:rFonts w:hint="eastAsia" w:eastAsia="宋体"/>
                <w:highlight w:val="none"/>
                <w:lang w:val="en-US" w:eastAsia="zh-CN"/>
              </w:rPr>
              <w:t>6</w:t>
            </w:r>
            <w:r>
              <w:rPr>
                <w:rFonts w:hint="eastAsia" w:eastAsia="宋体"/>
                <w:highlight w:val="none"/>
              </w:rPr>
              <w:t>配备临床质谱傻瓜式设计，一键式操作及报告分析软件</w:t>
            </w:r>
            <w:r>
              <w:rPr>
                <w:rFonts w:hint="eastAsia" w:eastAsia="宋体"/>
                <w:highlight w:val="none"/>
                <w:lang w:eastAsia="zh-CN"/>
              </w:rPr>
              <w:t>。</w:t>
            </w:r>
          </w:p>
          <w:p w14:paraId="42F587A7">
            <w:pPr>
              <w:bidi w:val="0"/>
              <w:rPr>
                <w:rFonts w:hint="eastAsia" w:eastAsia="宋体"/>
                <w:highlight w:val="none"/>
              </w:rPr>
            </w:pPr>
            <w:r>
              <w:rPr>
                <w:rFonts w:hint="eastAsia" w:eastAsia="宋体"/>
                <w:highlight w:val="none"/>
              </w:rPr>
              <w:t>三、配置清单</w:t>
            </w:r>
          </w:p>
          <w:p w14:paraId="470E42FA">
            <w:pPr>
              <w:bidi w:val="0"/>
              <w:rPr>
                <w:rFonts w:hint="eastAsia" w:eastAsia="宋体"/>
                <w:highlight w:val="none"/>
              </w:rPr>
            </w:pPr>
            <w:r>
              <w:rPr>
                <w:rFonts w:hint="eastAsia" w:eastAsia="宋体"/>
                <w:highlight w:val="none"/>
              </w:rPr>
              <w:t>1、液相色谱仪包含：二元高压泵（含真空脱气机）、柱温箱、自动进</w:t>
            </w:r>
            <w:r>
              <w:rPr>
                <w:rFonts w:hint="eastAsia"/>
                <w:highlight w:val="none"/>
                <w:lang w:val="en-US" w:eastAsia="zh-CN"/>
              </w:rPr>
              <w:t>样</w:t>
            </w:r>
            <w:r>
              <w:rPr>
                <w:rFonts w:hint="eastAsia" w:eastAsia="宋体"/>
                <w:highlight w:val="none"/>
              </w:rPr>
              <w:t>器（带温控）、溶剂托盘；</w:t>
            </w:r>
          </w:p>
          <w:p w14:paraId="23D68228">
            <w:pPr>
              <w:bidi w:val="0"/>
              <w:rPr>
                <w:rFonts w:hint="eastAsia" w:eastAsia="宋体"/>
                <w:highlight w:val="none"/>
              </w:rPr>
            </w:pPr>
            <w:r>
              <w:rPr>
                <w:rFonts w:hint="eastAsia" w:eastAsia="宋体"/>
                <w:highlight w:val="none"/>
              </w:rPr>
              <w:t>2、三重四极杆质谱仪包含：复合功能离子源（ESI)、真空系统（涡轮分子泵）、离子传输系统、四极杆组件、检测器；</w:t>
            </w:r>
          </w:p>
          <w:p w14:paraId="251F6200">
            <w:pPr>
              <w:bidi w:val="0"/>
              <w:rPr>
                <w:rFonts w:hint="eastAsia" w:eastAsia="宋体"/>
                <w:highlight w:val="none"/>
              </w:rPr>
            </w:pPr>
            <w:r>
              <w:rPr>
                <w:rFonts w:hint="eastAsia" w:eastAsia="宋体"/>
                <w:highlight w:val="none"/>
              </w:rPr>
              <w:t>3、质谱软件系统包含：质谱工作站软件；</w:t>
            </w:r>
          </w:p>
          <w:p w14:paraId="331767BA">
            <w:pPr>
              <w:bidi w:val="0"/>
              <w:rPr>
                <w:rFonts w:hint="eastAsia" w:eastAsia="宋体"/>
                <w:highlight w:val="none"/>
              </w:rPr>
            </w:pPr>
            <w:r>
              <w:rPr>
                <w:rFonts w:hint="eastAsia" w:eastAsia="宋体"/>
                <w:highlight w:val="none"/>
              </w:rPr>
              <w:t>4、辅助设备：氮气发生器、UPS(不间断电源)。</w:t>
            </w:r>
          </w:p>
          <w:p w14:paraId="7340052D">
            <w:pPr>
              <w:widowControl/>
              <w:spacing w:line="380" w:lineRule="exact"/>
              <w:jc w:val="left"/>
              <w:rPr>
                <w:rFonts w:ascii="宋体" w:hAnsi="宋体" w:cs="宋体"/>
                <w:b/>
                <w:color w:val="auto"/>
                <w:kern w:val="0"/>
                <w:szCs w:val="21"/>
                <w:highlight w:val="none"/>
              </w:rPr>
            </w:pPr>
            <w:r>
              <w:rPr>
                <w:rFonts w:hint="eastAsia" w:eastAsia="宋体"/>
                <w:highlight w:val="none"/>
              </w:rPr>
              <w:t>5、色谱柱2根</w:t>
            </w:r>
          </w:p>
        </w:tc>
      </w:tr>
      <w:tr w14:paraId="67AFA815">
        <w:tblPrEx>
          <w:tblCellMar>
            <w:top w:w="0" w:type="dxa"/>
            <w:left w:w="108" w:type="dxa"/>
            <w:bottom w:w="0" w:type="dxa"/>
            <w:right w:w="108" w:type="dxa"/>
          </w:tblCellMar>
        </w:tblPrEx>
        <w:trPr>
          <w:trHeight w:val="615" w:hRule="atLeast"/>
          <w:jc w:val="center"/>
        </w:trPr>
        <w:tc>
          <w:tcPr>
            <w:tcW w:w="101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601D8E2">
            <w:pPr>
              <w:widowControl/>
              <w:spacing w:line="380" w:lineRule="exact"/>
              <w:jc w:val="left"/>
              <w:rPr>
                <w:rFonts w:hint="eastAsia" w:ascii="宋体" w:hAnsi="宋体" w:cs="宋体"/>
                <w:color w:val="auto"/>
                <w:kern w:val="0"/>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二、</w:t>
            </w:r>
            <w:r>
              <w:rPr>
                <w:rFonts w:hint="eastAsia" w:ascii="宋体" w:hAnsi="宋体" w:eastAsia="宋体" w:cs="宋体"/>
                <w:b/>
                <w:color w:val="auto"/>
                <w:szCs w:val="21"/>
                <w:highlight w:val="none"/>
              </w:rPr>
              <w:t>商务要求表</w:t>
            </w:r>
          </w:p>
        </w:tc>
      </w:tr>
      <w:tr w14:paraId="2EB30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637EB3CA">
            <w:pPr>
              <w:pStyle w:val="34"/>
              <w:bidi w:val="0"/>
              <w:rPr>
                <w:rFonts w:hint="eastAsia"/>
                <w:highlight w:val="none"/>
              </w:rPr>
            </w:pPr>
            <w:r>
              <w:rPr>
                <w:rFonts w:hint="eastAsia"/>
                <w:highlight w:val="none"/>
              </w:rPr>
              <w:t>质保期</w:t>
            </w:r>
          </w:p>
        </w:tc>
        <w:tc>
          <w:tcPr>
            <w:tcW w:w="8282" w:type="dxa"/>
            <w:gridSpan w:val="3"/>
            <w:tcBorders>
              <w:top w:val="single" w:color="auto" w:sz="4" w:space="0"/>
              <w:left w:val="single" w:color="auto" w:sz="4" w:space="0"/>
              <w:bottom w:val="single" w:color="auto" w:sz="4" w:space="0"/>
            </w:tcBorders>
            <w:noWrap w:val="0"/>
            <w:vAlign w:val="center"/>
          </w:tcPr>
          <w:p w14:paraId="5B57C507">
            <w:pPr>
              <w:snapToGrid w:val="0"/>
              <w:spacing w:line="380" w:lineRule="exact"/>
              <w:outlineLvl w:val="0"/>
              <w:rPr>
                <w:rFonts w:hint="eastAsia" w:ascii="宋体" w:hAnsi="宋体" w:eastAsia="宋体" w:cs="宋体"/>
                <w:color w:val="auto"/>
                <w:szCs w:val="21"/>
                <w:highlight w:val="none"/>
              </w:rPr>
            </w:pPr>
            <w:bookmarkStart w:id="33" w:name="_Toc3074"/>
            <w:bookmarkStart w:id="34" w:name="_Toc10925"/>
            <w:r>
              <w:rPr>
                <w:rFonts w:hint="eastAsia" w:ascii="宋体" w:hAnsi="宋体" w:eastAsia="宋体" w:cs="宋体"/>
                <w:color w:val="auto"/>
                <w:szCs w:val="21"/>
                <w:highlight w:val="none"/>
              </w:rPr>
              <w:t>按国家有关产品“三包”规定执行“三包”，除特别说明外，质保期≥</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年，自设备验收合格并能正常使用之日算起。</w:t>
            </w:r>
            <w:bookmarkEnd w:id="33"/>
            <w:bookmarkEnd w:id="34"/>
          </w:p>
        </w:tc>
      </w:tr>
      <w:tr w14:paraId="2E0E3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40D31CE">
            <w:pPr>
              <w:pStyle w:val="34"/>
              <w:bidi w:val="0"/>
              <w:rPr>
                <w:rFonts w:hint="eastAsia"/>
                <w:highlight w:val="none"/>
              </w:rPr>
            </w:pPr>
            <w:r>
              <w:rPr>
                <w:rFonts w:hint="eastAsia"/>
                <w:highlight w:val="none"/>
              </w:rPr>
              <w:t>交货时间及地点</w:t>
            </w:r>
          </w:p>
        </w:tc>
        <w:tc>
          <w:tcPr>
            <w:tcW w:w="8282" w:type="dxa"/>
            <w:gridSpan w:val="3"/>
            <w:tcBorders>
              <w:top w:val="single" w:color="auto" w:sz="4" w:space="0"/>
              <w:left w:val="single" w:color="auto" w:sz="4" w:space="0"/>
              <w:bottom w:val="single" w:color="auto" w:sz="4" w:space="0"/>
            </w:tcBorders>
            <w:noWrap w:val="0"/>
            <w:vAlign w:val="center"/>
          </w:tcPr>
          <w:p w14:paraId="77F73956">
            <w:pPr>
              <w:bidi w:val="0"/>
              <w:rPr>
                <w:rFonts w:hint="eastAsia"/>
                <w:highlight w:val="none"/>
              </w:rPr>
            </w:pPr>
            <w:r>
              <w:rPr>
                <w:rFonts w:hint="eastAsia"/>
                <w:highlight w:val="none"/>
              </w:rPr>
              <w:t>1.交付使用时间：</w:t>
            </w:r>
            <w:r>
              <w:rPr>
                <w:rFonts w:hint="eastAsia"/>
                <w:highlight w:val="none"/>
                <w:lang w:val="en-US" w:eastAsia="zh-CN"/>
              </w:rPr>
              <w:t>进口</w:t>
            </w:r>
            <w:r>
              <w:rPr>
                <w:rFonts w:hint="eastAsia"/>
                <w:highlight w:val="none"/>
              </w:rPr>
              <w:t>产品合同签订后</w:t>
            </w:r>
            <w:r>
              <w:rPr>
                <w:rFonts w:hint="eastAsia"/>
                <w:highlight w:val="none"/>
                <w:lang w:val="en-US" w:eastAsia="zh-CN"/>
              </w:rPr>
              <w:t>60</w:t>
            </w:r>
            <w:r>
              <w:rPr>
                <w:rFonts w:hint="eastAsia"/>
                <w:highlight w:val="none"/>
              </w:rPr>
              <w:t>个日历日内到货并完成安装调试</w:t>
            </w:r>
            <w:r>
              <w:rPr>
                <w:rFonts w:hint="eastAsia"/>
                <w:highlight w:val="none"/>
                <w:lang w:eastAsia="zh-CN"/>
              </w:rPr>
              <w:t>，</w:t>
            </w:r>
            <w:r>
              <w:rPr>
                <w:rFonts w:hint="eastAsia"/>
                <w:highlight w:val="none"/>
                <w:lang w:val="en-US" w:eastAsia="zh-CN"/>
              </w:rPr>
              <w:t>国产</w:t>
            </w:r>
            <w:r>
              <w:rPr>
                <w:rFonts w:hint="eastAsia"/>
                <w:highlight w:val="none"/>
                <w:lang w:eastAsia="zh-CN"/>
              </w:rPr>
              <w:t>产品合同签订后</w:t>
            </w:r>
            <w:r>
              <w:rPr>
                <w:rFonts w:hint="eastAsia"/>
                <w:highlight w:val="none"/>
                <w:lang w:val="en-US" w:eastAsia="zh-CN"/>
              </w:rPr>
              <w:t>30</w:t>
            </w:r>
            <w:r>
              <w:rPr>
                <w:rFonts w:hint="eastAsia"/>
                <w:highlight w:val="none"/>
                <w:lang w:eastAsia="zh-CN"/>
              </w:rPr>
              <w:t>个日历日内到货并完成安装调试</w:t>
            </w:r>
            <w:r>
              <w:rPr>
                <w:rFonts w:hint="eastAsia"/>
                <w:highlight w:val="none"/>
              </w:rPr>
              <w:t>。</w:t>
            </w:r>
          </w:p>
          <w:p w14:paraId="33E187FE">
            <w:pPr>
              <w:bidi w:val="0"/>
              <w:rPr>
                <w:rFonts w:hint="eastAsia" w:ascii="宋体" w:hAnsi="宋体" w:eastAsia="宋体" w:cs="宋体"/>
                <w:color w:val="auto"/>
                <w:szCs w:val="21"/>
                <w:highlight w:val="none"/>
              </w:rPr>
            </w:pPr>
            <w:r>
              <w:rPr>
                <w:rFonts w:hint="eastAsia"/>
                <w:highlight w:val="none"/>
              </w:rPr>
              <w:t>2.交付地点：广西壮族自治区人民医院指定地点。</w:t>
            </w:r>
          </w:p>
        </w:tc>
      </w:tr>
      <w:tr w14:paraId="70EA5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661E6E4D">
            <w:pPr>
              <w:pStyle w:val="34"/>
              <w:rPr>
                <w:rFonts w:hint="eastAsia"/>
                <w:highlight w:val="none"/>
              </w:rPr>
            </w:pPr>
            <w:r>
              <w:rPr>
                <w:rFonts w:hint="eastAsia"/>
                <w:highlight w:val="none"/>
              </w:rPr>
              <w:t>售后服务要求</w:t>
            </w:r>
          </w:p>
        </w:tc>
        <w:tc>
          <w:tcPr>
            <w:tcW w:w="8282" w:type="dxa"/>
            <w:gridSpan w:val="3"/>
            <w:tcBorders>
              <w:top w:val="single" w:color="auto" w:sz="4" w:space="0"/>
              <w:left w:val="single" w:color="auto" w:sz="4" w:space="0"/>
              <w:bottom w:val="single" w:color="auto" w:sz="4" w:space="0"/>
            </w:tcBorders>
            <w:noWrap w:val="0"/>
            <w:vAlign w:val="center"/>
          </w:tcPr>
          <w:p w14:paraId="4E2DCF5D">
            <w:pPr>
              <w:bidi w:val="0"/>
              <w:rPr>
                <w:rFonts w:hint="eastAsia" w:eastAsia="宋体"/>
                <w:highlight w:val="none"/>
              </w:rPr>
            </w:pPr>
            <w:r>
              <w:rPr>
                <w:rFonts w:hint="eastAsia" w:eastAsia="宋体"/>
                <w:highlight w:val="none"/>
              </w:rPr>
              <w:t>1.提供维护手册、维修手册、软件备份、故障代码表、备件清单。保修期外，无偿提供维修密码及所附软件在该项目的永久使用权。</w:t>
            </w:r>
          </w:p>
          <w:p w14:paraId="2F2BF571">
            <w:pPr>
              <w:bidi w:val="0"/>
              <w:rPr>
                <w:rFonts w:hint="eastAsia" w:eastAsia="宋体"/>
                <w:highlight w:val="none"/>
              </w:rPr>
            </w:pPr>
            <w:r>
              <w:rPr>
                <w:rFonts w:hint="eastAsia" w:eastAsia="宋体"/>
                <w:highlight w:val="none"/>
              </w:rPr>
              <w:t>2.相关人员培训:标的包含医护人员及工程人员的培训计划费用，设备装机验收后，现场提供对院方的1次或多次基本培训，使院方使用人员及工程人员，熟练掌握全部功能及基本维修。</w:t>
            </w:r>
          </w:p>
          <w:p w14:paraId="1B4EA8CC">
            <w:pPr>
              <w:bidi w:val="0"/>
              <w:rPr>
                <w:rFonts w:hint="eastAsia" w:eastAsia="宋体"/>
                <w:highlight w:val="none"/>
              </w:rPr>
            </w:pPr>
            <w:r>
              <w:rPr>
                <w:rFonts w:hint="eastAsia" w:eastAsia="宋体"/>
                <w:highlight w:val="none"/>
              </w:rPr>
              <w:t>其中医务人员专项培训1人次，工程人员专项培训1人次，视甲方时间安排确定。</w:t>
            </w:r>
          </w:p>
          <w:p w14:paraId="7BB26DD0">
            <w:pPr>
              <w:bidi w:val="0"/>
              <w:rPr>
                <w:rFonts w:hint="eastAsia" w:eastAsia="宋体"/>
                <w:highlight w:val="none"/>
              </w:rPr>
            </w:pPr>
            <w:r>
              <w:rPr>
                <w:rFonts w:hint="eastAsia" w:eastAsia="宋体"/>
                <w:highlight w:val="none"/>
              </w:rPr>
              <w:t>3.提供7*24小时售后服务，接到用户通知后2小时内作出实质响应（远程解决或做出预备维护动作），并在24小时内恢复设备运行；</w:t>
            </w:r>
          </w:p>
          <w:p w14:paraId="208DB641">
            <w:pPr>
              <w:bidi w:val="0"/>
              <w:rPr>
                <w:rFonts w:hint="eastAsia" w:eastAsia="宋体"/>
                <w:highlight w:val="none"/>
              </w:rPr>
            </w:pPr>
            <w:r>
              <w:rPr>
                <w:rFonts w:hint="eastAsia" w:eastAsia="宋体"/>
                <w:highlight w:val="none"/>
              </w:rPr>
              <w:t>4.保修期内发生故障的设备如无法在24小时内修复，则应提供备用设备以保证系统的连续稳定运行，并在5个工作日内修复故障设备或更换新设备，5个工作日内不能解决的，由成交供应商提供替代设备。保障系统正常运行，在无相同型号的同种设备时，则应更换同类设备中较高型号的产品。所产生的的费用，均包含在响应报价中，采购人不再承担任何费用；</w:t>
            </w:r>
          </w:p>
          <w:p w14:paraId="1518E694">
            <w:pPr>
              <w:bidi w:val="0"/>
              <w:rPr>
                <w:rFonts w:hint="eastAsia"/>
                <w:highlight w:val="none"/>
              </w:rPr>
            </w:pPr>
            <w:r>
              <w:rPr>
                <w:rFonts w:hint="eastAsia" w:eastAsia="宋体"/>
                <w:highlight w:val="none"/>
              </w:rPr>
              <w:t>5.设备保修期（质保期）内因售后服务（包括但不限于原厂商服务和非原厂商服务，其中硬件的售后服务包括但不限于，硬件维护维修、配件更换、整机更换、硬件升级、提供替代品；应用软件的售后服务包括但不限于应</w:t>
            </w:r>
            <w:r>
              <w:rPr>
                <w:rFonts w:hint="eastAsia"/>
                <w:highlight w:val="none"/>
              </w:rPr>
              <w:t>用软件维护升级以及非结构性修改）所产生的的费用，均包含在响应报价中，采购人不再承担任何费用。</w:t>
            </w:r>
          </w:p>
          <w:p w14:paraId="6A84D341">
            <w:pPr>
              <w:spacing w:line="240" w:lineRule="auto"/>
              <w:rPr>
                <w:rFonts w:hint="eastAsia" w:ascii="宋体" w:hAnsi="宋体" w:eastAsia="宋体" w:cs="宋体"/>
                <w:color w:val="auto"/>
                <w:szCs w:val="21"/>
                <w:highlight w:val="none"/>
              </w:rPr>
            </w:pPr>
            <w:r>
              <w:rPr>
                <w:rFonts w:hint="eastAsia"/>
                <w:highlight w:val="none"/>
              </w:rPr>
              <w:t>6.保修：≥5年。</w:t>
            </w:r>
          </w:p>
        </w:tc>
      </w:tr>
      <w:tr w14:paraId="64C53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7514C597">
            <w:pPr>
              <w:pStyle w:val="34"/>
              <w:bidi w:val="0"/>
              <w:rPr>
                <w:rFonts w:hint="eastAsia"/>
                <w:highlight w:val="none"/>
              </w:rPr>
            </w:pPr>
            <w:r>
              <w:rPr>
                <w:rFonts w:hint="eastAsia"/>
                <w:highlight w:val="none"/>
              </w:rPr>
              <w:t>付款方式</w:t>
            </w:r>
          </w:p>
        </w:tc>
        <w:tc>
          <w:tcPr>
            <w:tcW w:w="8282" w:type="dxa"/>
            <w:gridSpan w:val="3"/>
            <w:tcBorders>
              <w:top w:val="single" w:color="auto" w:sz="4" w:space="0"/>
              <w:left w:val="single" w:color="auto" w:sz="4" w:space="0"/>
              <w:bottom w:val="single" w:color="auto" w:sz="4" w:space="0"/>
            </w:tcBorders>
            <w:noWrap w:val="0"/>
            <w:vAlign w:val="center"/>
          </w:tcPr>
          <w:p w14:paraId="43BDB377">
            <w:pPr>
              <w:bidi w:val="0"/>
              <w:rPr>
                <w:rFonts w:hint="eastAsia" w:ascii="宋体" w:hAnsi="宋体" w:eastAsia="宋体" w:cs="宋体"/>
                <w:color w:val="auto"/>
                <w:szCs w:val="21"/>
                <w:highlight w:val="none"/>
              </w:rPr>
            </w:pPr>
            <w:r>
              <w:rPr>
                <w:rFonts w:hint="eastAsia"/>
                <w:highlight w:val="none"/>
              </w:rPr>
              <w:t>付款方式：乙方所有货物交货安装调试完毕并验收合格后，甲方凭乙方开具的合法有效的全额发票，于收到发票后一次性支付合同款。乙方未开具合法有效的全额发票的，甲方有权不支付合同款。</w:t>
            </w:r>
          </w:p>
        </w:tc>
      </w:tr>
      <w:tr w14:paraId="43F94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0AF1BF62">
            <w:pPr>
              <w:pStyle w:val="34"/>
              <w:bidi w:val="0"/>
              <w:rPr>
                <w:rFonts w:hint="eastAsia"/>
                <w:highlight w:val="none"/>
              </w:rPr>
            </w:pPr>
            <w:r>
              <w:rPr>
                <w:rFonts w:hint="eastAsia"/>
                <w:highlight w:val="none"/>
              </w:rPr>
              <w:t>履约保证金</w:t>
            </w:r>
          </w:p>
        </w:tc>
        <w:tc>
          <w:tcPr>
            <w:tcW w:w="8282" w:type="dxa"/>
            <w:gridSpan w:val="3"/>
            <w:tcBorders>
              <w:top w:val="single" w:color="auto" w:sz="4" w:space="0"/>
              <w:left w:val="single" w:color="auto" w:sz="4" w:space="0"/>
              <w:bottom w:val="single" w:color="auto" w:sz="4" w:space="0"/>
            </w:tcBorders>
            <w:noWrap w:val="0"/>
            <w:vAlign w:val="center"/>
          </w:tcPr>
          <w:p w14:paraId="70D6DCC0">
            <w:pPr>
              <w:bidi w:val="0"/>
              <w:rPr>
                <w:rFonts w:hint="eastAsia"/>
                <w:highlight w:val="none"/>
                <w:lang w:eastAsia="zh-CN"/>
              </w:rPr>
            </w:pPr>
            <w:r>
              <w:rPr>
                <w:rFonts w:hint="eastAsia"/>
                <w:highlight w:val="none"/>
                <w:lang w:eastAsia="zh-CN"/>
              </w:rPr>
              <w:t>履约保证金金额：按中标金额的5%（如中标供应商为中小微企业，则按照中标金额的2%缴纳）</w:t>
            </w:r>
          </w:p>
          <w:p w14:paraId="584E3B2A">
            <w:pPr>
              <w:bidi w:val="0"/>
              <w:rPr>
                <w:rFonts w:hint="eastAsia" w:eastAsia="宋体"/>
                <w:highlight w:val="none"/>
                <w:lang w:eastAsia="zh-CN"/>
              </w:rPr>
            </w:pPr>
            <w:r>
              <w:rPr>
                <w:rFonts w:hint="eastAsia"/>
                <w:highlight w:val="none"/>
              </w:rPr>
              <w:t>履约保证金递交方式：银行转账或电汇或其它政府采购法律法规允许的方式</w:t>
            </w:r>
            <w:r>
              <w:rPr>
                <w:rFonts w:hint="eastAsia"/>
                <w:highlight w:val="none"/>
                <w:lang w:eastAsia="zh-CN"/>
              </w:rPr>
              <w:t>。</w:t>
            </w:r>
          </w:p>
          <w:p w14:paraId="3AE071A6">
            <w:pPr>
              <w:bidi w:val="0"/>
              <w:rPr>
                <w:rFonts w:hint="eastAsia" w:ascii="宋体" w:hAnsi="宋体" w:eastAsia="宋体" w:cs="宋体"/>
                <w:color w:val="auto"/>
                <w:kern w:val="0"/>
                <w:szCs w:val="21"/>
                <w:highlight w:val="none"/>
                <w:lang w:eastAsia="zh-CN"/>
              </w:rPr>
            </w:pPr>
            <w:r>
              <w:rPr>
                <w:rFonts w:hint="eastAsia"/>
                <w:highlight w:val="none"/>
                <w:lang w:eastAsia="zh-CN"/>
              </w:rPr>
              <w:t>备注：在签订合同之前，</w:t>
            </w:r>
            <w:r>
              <w:rPr>
                <w:rFonts w:hint="eastAsia"/>
                <w:highlight w:val="none"/>
                <w:lang w:val="en-US" w:eastAsia="zh-CN"/>
              </w:rPr>
              <w:t>供应商</w:t>
            </w:r>
            <w:r>
              <w:rPr>
                <w:rFonts w:hint="eastAsia"/>
                <w:highlight w:val="none"/>
                <w:lang w:eastAsia="zh-CN"/>
              </w:rPr>
              <w:t>需把履约保证金足额交到</w:t>
            </w:r>
            <w:r>
              <w:rPr>
                <w:rFonts w:hint="eastAsia"/>
                <w:highlight w:val="none"/>
              </w:rPr>
              <w:t>采购人</w:t>
            </w:r>
            <w:r>
              <w:rPr>
                <w:rFonts w:hint="eastAsia"/>
                <w:highlight w:val="none"/>
                <w:lang w:eastAsia="zh-CN"/>
              </w:rPr>
              <w:t>指定账户。未提交履约保证金的，不予签订本合同。履约保证金自项目验收合格后，待</w:t>
            </w:r>
            <w:r>
              <w:rPr>
                <w:rFonts w:hint="eastAsia"/>
                <w:highlight w:val="none"/>
                <w:lang w:val="en-US" w:eastAsia="zh-CN"/>
              </w:rPr>
              <w:t>供应商</w:t>
            </w:r>
            <w:r>
              <w:rPr>
                <w:rFonts w:hint="eastAsia"/>
                <w:highlight w:val="none"/>
                <w:lang w:eastAsia="zh-CN"/>
              </w:rPr>
              <w:t>履行完质保义务且无违约情况下后由</w:t>
            </w:r>
            <w:r>
              <w:rPr>
                <w:rFonts w:hint="eastAsia"/>
                <w:highlight w:val="none"/>
              </w:rPr>
              <w:t>采购人</w:t>
            </w:r>
            <w:r>
              <w:rPr>
                <w:rFonts w:hint="eastAsia"/>
                <w:highlight w:val="none"/>
                <w:lang w:eastAsia="zh-CN"/>
              </w:rPr>
              <w:t>无息退还。本合同履行期间，</w:t>
            </w:r>
            <w:r>
              <w:rPr>
                <w:rFonts w:hint="eastAsia"/>
                <w:highlight w:val="none"/>
                <w:lang w:val="en-US" w:eastAsia="zh-CN"/>
              </w:rPr>
              <w:t>供应商</w:t>
            </w:r>
            <w:r>
              <w:rPr>
                <w:rFonts w:hint="eastAsia"/>
                <w:highlight w:val="none"/>
                <w:lang w:eastAsia="zh-CN"/>
              </w:rPr>
              <w:t>存在违约的，</w:t>
            </w:r>
            <w:r>
              <w:rPr>
                <w:rFonts w:hint="eastAsia"/>
                <w:highlight w:val="none"/>
              </w:rPr>
              <w:t>采购人</w:t>
            </w:r>
            <w:r>
              <w:rPr>
                <w:rFonts w:hint="eastAsia"/>
                <w:highlight w:val="none"/>
                <w:lang w:eastAsia="zh-CN"/>
              </w:rPr>
              <w:t>有权从履约保证金中先行扣除违约金及赔偿金，不足部分由</w:t>
            </w:r>
            <w:r>
              <w:rPr>
                <w:rFonts w:hint="eastAsia"/>
                <w:highlight w:val="none"/>
                <w:lang w:val="en-US" w:eastAsia="zh-CN"/>
              </w:rPr>
              <w:t>供应商</w:t>
            </w:r>
            <w:r>
              <w:rPr>
                <w:rFonts w:hint="eastAsia"/>
                <w:highlight w:val="none"/>
                <w:lang w:eastAsia="zh-CN"/>
              </w:rPr>
              <w:t>另行支付，</w:t>
            </w:r>
            <w:r>
              <w:rPr>
                <w:rFonts w:hint="eastAsia"/>
                <w:highlight w:val="none"/>
              </w:rPr>
              <w:t>采购人</w:t>
            </w:r>
            <w:r>
              <w:rPr>
                <w:rFonts w:hint="eastAsia"/>
                <w:highlight w:val="none"/>
                <w:lang w:eastAsia="zh-CN"/>
              </w:rPr>
              <w:t>直接从履约保证金中扣除违约金或</w:t>
            </w:r>
            <w:r>
              <w:rPr>
                <w:rFonts w:hint="eastAsia"/>
                <w:highlight w:val="none"/>
                <w:lang w:val="en-US" w:eastAsia="zh-CN"/>
              </w:rPr>
              <w:t>供应商</w:t>
            </w:r>
            <w:r>
              <w:rPr>
                <w:rFonts w:hint="eastAsia"/>
                <w:highlight w:val="none"/>
                <w:lang w:eastAsia="zh-CN"/>
              </w:rPr>
              <w:t>应付的其他款项的，</w:t>
            </w:r>
            <w:r>
              <w:rPr>
                <w:rFonts w:hint="eastAsia"/>
                <w:highlight w:val="none"/>
                <w:lang w:val="en-US" w:eastAsia="zh-CN"/>
              </w:rPr>
              <w:t>供应商</w:t>
            </w:r>
            <w:r>
              <w:rPr>
                <w:rFonts w:hint="eastAsia"/>
                <w:highlight w:val="none"/>
                <w:lang w:eastAsia="zh-CN"/>
              </w:rPr>
              <w:t>应于接到</w:t>
            </w:r>
            <w:r>
              <w:rPr>
                <w:rFonts w:hint="eastAsia"/>
                <w:highlight w:val="none"/>
              </w:rPr>
              <w:t>采购人</w:t>
            </w:r>
            <w:r>
              <w:rPr>
                <w:rFonts w:hint="eastAsia"/>
                <w:highlight w:val="none"/>
                <w:lang w:eastAsia="zh-CN"/>
              </w:rPr>
              <w:t>补足履约保证金通知之日起3个工作日内补足。</w:t>
            </w:r>
          </w:p>
        </w:tc>
      </w:tr>
      <w:tr w14:paraId="7A66B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4D31DEB7">
            <w:pPr>
              <w:pStyle w:val="34"/>
              <w:bidi w:val="0"/>
              <w:rPr>
                <w:rFonts w:hint="eastAsia" w:ascii="宋体" w:hAnsi="宋体" w:eastAsia="宋体" w:cs="宋体"/>
                <w:color w:val="auto"/>
                <w:szCs w:val="21"/>
                <w:highlight w:val="none"/>
              </w:rPr>
            </w:pPr>
            <w:r>
              <w:rPr>
                <w:rFonts w:hint="eastAsia"/>
                <w:highlight w:val="none"/>
              </w:rPr>
              <w:t>投标报价要求</w:t>
            </w:r>
          </w:p>
        </w:tc>
        <w:tc>
          <w:tcPr>
            <w:tcW w:w="8282" w:type="dxa"/>
            <w:gridSpan w:val="3"/>
            <w:tcBorders>
              <w:top w:val="single" w:color="auto" w:sz="4" w:space="0"/>
              <w:left w:val="single" w:color="auto" w:sz="4" w:space="0"/>
              <w:bottom w:val="single" w:color="auto" w:sz="4" w:space="0"/>
            </w:tcBorders>
            <w:noWrap w:val="0"/>
            <w:vAlign w:val="center"/>
          </w:tcPr>
          <w:p w14:paraId="767F7914">
            <w:pPr>
              <w:bidi w:val="0"/>
              <w:rPr>
                <w:rFonts w:hint="eastAsia" w:ascii="宋体" w:hAnsi="宋体" w:eastAsia="宋体" w:cs="宋体"/>
                <w:color w:val="auto"/>
                <w:highlight w:val="none"/>
                <w:lang w:val="en-US" w:eastAsia="zh-CN"/>
              </w:rPr>
            </w:pPr>
            <w:bookmarkStart w:id="35" w:name="_Toc12029"/>
            <w:r>
              <w:rPr>
                <w:rFonts w:hint="eastAsia"/>
                <w:highlight w:val="none"/>
                <w:lang w:val="en-US" w:eastAsia="zh-CN"/>
              </w:rPr>
              <w:t>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的所有责任、义务和一般风险等一切费用。</w:t>
            </w:r>
            <w:bookmarkEnd w:id="35"/>
          </w:p>
        </w:tc>
      </w:tr>
      <w:tr w14:paraId="7F98D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shd w:val="clear" w:color="auto" w:fill="auto"/>
            <w:noWrap w:val="0"/>
            <w:vAlign w:val="center"/>
          </w:tcPr>
          <w:p w14:paraId="22DCD0D7">
            <w:pPr>
              <w:pStyle w:val="34"/>
              <w:bidi w:val="0"/>
              <w:ind w:firstLine="0" w:firstLineChars="0"/>
              <w:rPr>
                <w:rFonts w:hint="eastAsia" w:ascii="宋体" w:hAnsi="宋体" w:eastAsia="宋体" w:cs="宋体"/>
                <w:snapToGrid w:val="0"/>
                <w:color w:val="auto"/>
                <w:sz w:val="24"/>
                <w:szCs w:val="21"/>
                <w:highlight w:val="none"/>
                <w:lang w:val="en-US" w:eastAsia="zh-CN" w:bidi="ar-SA"/>
              </w:rPr>
            </w:pPr>
            <w:r>
              <w:rPr>
                <w:rFonts w:hint="eastAsia"/>
                <w:highlight w:val="none"/>
                <w:lang w:val="en-US" w:eastAsia="zh-CN"/>
              </w:rPr>
              <w:t>总体项目要求</w:t>
            </w:r>
          </w:p>
        </w:tc>
        <w:tc>
          <w:tcPr>
            <w:tcW w:w="8282" w:type="dxa"/>
            <w:gridSpan w:val="3"/>
            <w:tcBorders>
              <w:top w:val="single" w:color="auto" w:sz="4" w:space="0"/>
              <w:left w:val="single" w:color="auto" w:sz="4" w:space="0"/>
              <w:bottom w:val="single" w:color="auto" w:sz="4" w:space="0"/>
            </w:tcBorders>
            <w:shd w:val="clear" w:color="auto" w:fill="auto"/>
            <w:noWrap w:val="0"/>
            <w:vAlign w:val="center"/>
          </w:tcPr>
          <w:p w14:paraId="0DCBFD0D">
            <w:pPr>
              <w:bidi w:val="0"/>
              <w:ind w:firstLine="480" w:firstLineChars="200"/>
              <w:rPr>
                <w:rFonts w:hint="eastAsia" w:ascii="宋体" w:hAnsi="宋体" w:eastAsia="宋体" w:cs="宋体"/>
                <w:snapToGrid w:val="0"/>
                <w:color w:val="auto"/>
                <w:sz w:val="24"/>
                <w:szCs w:val="24"/>
                <w:highlight w:val="none"/>
                <w:lang w:val="en-US" w:eastAsia="zh-CN" w:bidi="ar-SA"/>
              </w:rPr>
            </w:pPr>
            <w:r>
              <w:rPr>
                <w:rFonts w:hint="eastAsia"/>
                <w:highlight w:val="none"/>
              </w:rPr>
              <w:t>交钥匙工程：</w:t>
            </w:r>
            <w:r>
              <w:rPr>
                <w:rFonts w:hint="eastAsia"/>
                <w:highlight w:val="none"/>
                <w:lang w:val="en-US" w:eastAsia="zh-CN"/>
              </w:rPr>
              <w:t>供应商</w:t>
            </w:r>
            <w:r>
              <w:rPr>
                <w:rFonts w:hint="eastAsia"/>
                <w:highlight w:val="none"/>
              </w:rPr>
              <w:t>负责全部产品的安装调试后直接交付运行。在保修期内，</w:t>
            </w:r>
            <w:r>
              <w:rPr>
                <w:rFonts w:hint="eastAsia"/>
                <w:highlight w:val="none"/>
                <w:lang w:val="en-US" w:eastAsia="zh-CN"/>
              </w:rPr>
              <w:t>供应商</w:t>
            </w:r>
            <w:r>
              <w:rPr>
                <w:rFonts w:hint="eastAsia"/>
                <w:highlight w:val="none"/>
              </w:rPr>
              <w:t>保证甲方能够合法应用该器械/服务。在此过程中，</w:t>
            </w:r>
            <w:r>
              <w:rPr>
                <w:rFonts w:hint="eastAsia"/>
                <w:highlight w:val="none"/>
                <w:lang w:val="en-US" w:eastAsia="zh-CN"/>
              </w:rPr>
              <w:t>采购方</w:t>
            </w:r>
            <w:r>
              <w:rPr>
                <w:rFonts w:hint="eastAsia"/>
                <w:highlight w:val="none"/>
              </w:rPr>
              <w:t>应当提供一切必要支持。若可能出现的后续证件、手续，</w:t>
            </w:r>
            <w:r>
              <w:rPr>
                <w:rFonts w:hint="eastAsia"/>
                <w:highlight w:val="none"/>
                <w:lang w:val="en-US" w:eastAsia="zh-CN"/>
              </w:rPr>
              <w:t>供应商</w:t>
            </w:r>
            <w:r>
              <w:rPr>
                <w:rFonts w:hint="eastAsia"/>
                <w:highlight w:val="none"/>
              </w:rPr>
              <w:t>必须提供办理的流程及方法。</w:t>
            </w:r>
          </w:p>
        </w:tc>
      </w:tr>
      <w:tr w14:paraId="35405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3749B40C">
            <w:pPr>
              <w:pStyle w:val="34"/>
              <w:bidi w:val="0"/>
              <w:ind w:firstLine="0" w:firstLineChars="0"/>
              <w:rPr>
                <w:rFonts w:hint="eastAsia" w:ascii="宋体" w:hAnsi="宋体" w:eastAsia="宋体" w:cs="宋体"/>
                <w:color w:val="auto"/>
                <w:szCs w:val="21"/>
                <w:highlight w:val="none"/>
              </w:rPr>
            </w:pPr>
            <w:r>
              <w:rPr>
                <w:rFonts w:hint="eastAsia"/>
                <w:highlight w:val="none"/>
                <w:lang w:val="en-US" w:eastAsia="zh-CN"/>
              </w:rPr>
              <w:t>厂家资质</w:t>
            </w:r>
          </w:p>
        </w:tc>
        <w:tc>
          <w:tcPr>
            <w:tcW w:w="8282" w:type="dxa"/>
            <w:gridSpan w:val="3"/>
            <w:tcBorders>
              <w:top w:val="single" w:color="auto" w:sz="4" w:space="0"/>
              <w:left w:val="single" w:color="auto" w:sz="4" w:space="0"/>
              <w:bottom w:val="single" w:color="auto" w:sz="4" w:space="0"/>
            </w:tcBorders>
            <w:noWrap w:val="0"/>
            <w:vAlign w:val="top"/>
          </w:tcPr>
          <w:p w14:paraId="5ECAC813">
            <w:pPr>
              <w:bidi w:val="0"/>
              <w:ind w:firstLine="480" w:firstLineChars="200"/>
              <w:rPr>
                <w:rFonts w:hint="eastAsia" w:ascii="宋体" w:hAnsi="宋体" w:eastAsia="宋体" w:cs="宋体"/>
                <w:color w:val="auto"/>
                <w:highlight w:val="none"/>
                <w:lang w:val="en-US" w:eastAsia="zh-CN"/>
              </w:rPr>
            </w:pPr>
            <w:r>
              <w:rPr>
                <w:rFonts w:hint="eastAsia"/>
                <w:highlight w:val="none"/>
                <w:lang w:val="en-US" w:eastAsia="zh-CN"/>
              </w:rPr>
              <w:t>1</w:t>
            </w:r>
            <w:r>
              <w:rPr>
                <w:rFonts w:hint="default"/>
                <w:highlight w:val="none"/>
                <w:lang w:val="en-US" w:eastAsia="en-US"/>
              </w:rPr>
              <w:t>.</w:t>
            </w:r>
            <w:r>
              <w:rPr>
                <w:rFonts w:hint="eastAsia"/>
                <w:highlight w:val="none"/>
              </w:rPr>
              <w:t>▲设备配套耗材属于国家医疗保障局发布的《医保医用耗材分类与代码》目录，且具有医疗器械注册证的全部医用耗材(不含一类医疗器械)，均需提供在广西药械集中采购及医药价格监管平台中的产品ID和医保耗材代码，且必须挂网采购。如设备配套耗材为一类医疗器械或设备不涉及耗材投标人需提供说明函。</w:t>
            </w:r>
          </w:p>
        </w:tc>
      </w:tr>
      <w:tr w14:paraId="75BCA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140" w:type="dxa"/>
            <w:gridSpan w:val="6"/>
            <w:tcBorders>
              <w:top w:val="single" w:color="auto" w:sz="4" w:space="0"/>
              <w:bottom w:val="single" w:color="auto" w:sz="4" w:space="0"/>
            </w:tcBorders>
            <w:noWrap w:val="0"/>
            <w:vAlign w:val="center"/>
          </w:tcPr>
          <w:p w14:paraId="59D585CC">
            <w:pPr>
              <w:pStyle w:val="36"/>
              <w:bidi w:val="0"/>
              <w:rPr>
                <w:rFonts w:hint="eastAsia" w:ascii="宋体" w:hAnsi="宋体" w:eastAsia="宋体" w:cs="宋体"/>
                <w:color w:val="auto"/>
                <w:szCs w:val="21"/>
                <w:highlight w:val="none"/>
              </w:rPr>
            </w:pPr>
            <w:r>
              <w:rPr>
                <w:rFonts w:hint="eastAsia"/>
                <w:highlight w:val="none"/>
              </w:rPr>
              <w:t>三、投标人的资信要求表</w:t>
            </w:r>
          </w:p>
        </w:tc>
      </w:tr>
      <w:tr w14:paraId="5D156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D8B5A5D">
            <w:pPr>
              <w:pStyle w:val="34"/>
              <w:bidi w:val="0"/>
              <w:rPr>
                <w:rFonts w:hint="eastAsia"/>
                <w:highlight w:val="none"/>
              </w:rPr>
            </w:pPr>
            <w:r>
              <w:rPr>
                <w:rFonts w:hint="eastAsia"/>
                <w:highlight w:val="none"/>
              </w:rPr>
              <w:t>政策性加分条件</w:t>
            </w:r>
          </w:p>
        </w:tc>
        <w:tc>
          <w:tcPr>
            <w:tcW w:w="8282" w:type="dxa"/>
            <w:gridSpan w:val="3"/>
            <w:tcBorders>
              <w:top w:val="single" w:color="auto" w:sz="4" w:space="0"/>
              <w:left w:val="single" w:color="auto" w:sz="4" w:space="0"/>
              <w:bottom w:val="single" w:color="auto" w:sz="4" w:space="0"/>
            </w:tcBorders>
            <w:noWrap w:val="0"/>
            <w:vAlign w:val="center"/>
          </w:tcPr>
          <w:p w14:paraId="1C516DAE">
            <w:pPr>
              <w:bidi w:val="0"/>
              <w:rPr>
                <w:rFonts w:hint="eastAsia"/>
                <w:highlight w:val="none"/>
              </w:rPr>
            </w:pPr>
            <w:r>
              <w:rPr>
                <w:rFonts w:hint="eastAsia"/>
                <w:highlight w:val="none"/>
              </w:rPr>
              <w:t>符合节能环保等国家政策要求。</w:t>
            </w:r>
          </w:p>
        </w:tc>
      </w:tr>
      <w:tr w14:paraId="4058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0C8ADBD2">
            <w:pPr>
              <w:pStyle w:val="34"/>
              <w:bidi w:val="0"/>
              <w:rPr>
                <w:rFonts w:hint="eastAsia"/>
                <w:highlight w:val="none"/>
              </w:rPr>
            </w:pPr>
            <w:r>
              <w:rPr>
                <w:rFonts w:hint="eastAsia"/>
                <w:highlight w:val="none"/>
              </w:rPr>
              <w:t>质量管理、企业信用要求</w:t>
            </w:r>
          </w:p>
        </w:tc>
        <w:tc>
          <w:tcPr>
            <w:tcW w:w="8282" w:type="dxa"/>
            <w:gridSpan w:val="3"/>
            <w:tcBorders>
              <w:top w:val="single" w:color="auto" w:sz="4" w:space="0"/>
              <w:left w:val="single" w:color="auto" w:sz="4" w:space="0"/>
              <w:bottom w:val="single" w:color="auto" w:sz="4" w:space="0"/>
            </w:tcBorders>
            <w:noWrap w:val="0"/>
            <w:vAlign w:val="center"/>
          </w:tcPr>
          <w:p w14:paraId="22A4DE22">
            <w:pPr>
              <w:bidi w:val="0"/>
              <w:rPr>
                <w:rFonts w:hint="eastAsia"/>
                <w:highlight w:val="none"/>
              </w:rPr>
            </w:pPr>
            <w:r>
              <w:rPr>
                <w:rFonts w:hint="eastAsia"/>
                <w:highlight w:val="none"/>
              </w:rPr>
              <w:t>见本招标文件 “评标办法及评分标准”。</w:t>
            </w:r>
          </w:p>
        </w:tc>
      </w:tr>
      <w:tr w14:paraId="02BFA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F8A01FF">
            <w:pPr>
              <w:pStyle w:val="34"/>
              <w:bidi w:val="0"/>
              <w:rPr>
                <w:rFonts w:hint="eastAsia"/>
                <w:highlight w:val="none"/>
              </w:rPr>
            </w:pPr>
            <w:r>
              <w:rPr>
                <w:rFonts w:hint="eastAsia"/>
                <w:highlight w:val="none"/>
              </w:rPr>
              <w:t>能力或业绩要求</w:t>
            </w:r>
          </w:p>
        </w:tc>
        <w:tc>
          <w:tcPr>
            <w:tcW w:w="8282" w:type="dxa"/>
            <w:gridSpan w:val="3"/>
            <w:tcBorders>
              <w:top w:val="single" w:color="auto" w:sz="4" w:space="0"/>
              <w:left w:val="single" w:color="auto" w:sz="4" w:space="0"/>
              <w:bottom w:val="single" w:color="auto" w:sz="4" w:space="0"/>
            </w:tcBorders>
            <w:noWrap w:val="0"/>
            <w:vAlign w:val="center"/>
          </w:tcPr>
          <w:p w14:paraId="5F5692C0">
            <w:pPr>
              <w:bidi w:val="0"/>
              <w:rPr>
                <w:rFonts w:hint="eastAsia"/>
                <w:highlight w:val="none"/>
              </w:rPr>
            </w:pPr>
            <w:r>
              <w:rPr>
                <w:rFonts w:hint="eastAsia"/>
                <w:highlight w:val="none"/>
              </w:rPr>
              <w:t>见本招标文件 “评标办法及评分标准”。</w:t>
            </w:r>
          </w:p>
        </w:tc>
      </w:tr>
      <w:tr w14:paraId="7AC19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140" w:type="dxa"/>
            <w:gridSpan w:val="6"/>
            <w:tcBorders>
              <w:top w:val="single" w:color="auto" w:sz="4" w:space="0"/>
              <w:bottom w:val="single" w:color="auto" w:sz="4" w:space="0"/>
            </w:tcBorders>
            <w:noWrap w:val="0"/>
            <w:vAlign w:val="center"/>
          </w:tcPr>
          <w:p w14:paraId="02A3B28A">
            <w:pPr>
              <w:pStyle w:val="36"/>
              <w:bidi w:val="0"/>
              <w:rPr>
                <w:rFonts w:hint="eastAsia" w:ascii="宋体" w:hAnsi="宋体" w:eastAsia="宋体" w:cs="宋体"/>
                <w:color w:val="auto"/>
                <w:szCs w:val="21"/>
                <w:highlight w:val="none"/>
              </w:rPr>
            </w:pPr>
            <w:r>
              <w:rPr>
                <w:rFonts w:hint="eastAsia"/>
                <w:highlight w:val="none"/>
              </w:rPr>
              <w:t>四、采购人对项目的特殊要求及说明</w:t>
            </w:r>
          </w:p>
        </w:tc>
      </w:tr>
      <w:tr w14:paraId="43F88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57E3BE59">
            <w:pPr>
              <w:pStyle w:val="34"/>
              <w:bidi w:val="0"/>
              <w:rPr>
                <w:rFonts w:hint="eastAsia"/>
                <w:highlight w:val="none"/>
              </w:rPr>
            </w:pPr>
            <w:r>
              <w:rPr>
                <w:rFonts w:hint="eastAsia"/>
                <w:highlight w:val="none"/>
              </w:rPr>
              <w:t>采购人的特殊要求及说明</w:t>
            </w:r>
          </w:p>
        </w:tc>
        <w:tc>
          <w:tcPr>
            <w:tcW w:w="8282" w:type="dxa"/>
            <w:gridSpan w:val="3"/>
            <w:tcBorders>
              <w:top w:val="single" w:color="auto" w:sz="4" w:space="0"/>
              <w:left w:val="single" w:color="auto" w:sz="4" w:space="0"/>
              <w:bottom w:val="single" w:color="auto" w:sz="4" w:space="0"/>
            </w:tcBorders>
            <w:noWrap w:val="0"/>
            <w:vAlign w:val="center"/>
          </w:tcPr>
          <w:p w14:paraId="3BDAF821">
            <w:pPr>
              <w:bidi w:val="0"/>
              <w:rPr>
                <w:rFonts w:hint="eastAsia"/>
                <w:highlight w:val="none"/>
              </w:rPr>
            </w:pPr>
            <w:r>
              <w:rPr>
                <w:rFonts w:hint="eastAsia"/>
                <w:highlight w:val="none"/>
              </w:rPr>
              <w:t>本</w:t>
            </w:r>
            <w:r>
              <w:rPr>
                <w:rFonts w:hint="eastAsia"/>
                <w:highlight w:val="none"/>
                <w:lang w:val="en-US" w:eastAsia="zh-CN"/>
              </w:rPr>
              <w:t>标项</w:t>
            </w:r>
            <w:r>
              <w:rPr>
                <w:rFonts w:hint="eastAsia"/>
                <w:highlight w:val="none"/>
              </w:rPr>
              <w:t>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p>
        </w:tc>
      </w:tr>
      <w:tr w14:paraId="6E801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0573BAE5">
            <w:pPr>
              <w:pStyle w:val="34"/>
              <w:bidi w:val="0"/>
              <w:rPr>
                <w:rFonts w:hint="eastAsia"/>
                <w:highlight w:val="none"/>
              </w:rPr>
            </w:pPr>
            <w:r>
              <w:rPr>
                <w:rFonts w:hint="eastAsia"/>
                <w:highlight w:val="none"/>
              </w:rPr>
              <w:t>参考品牌及型号规格</w:t>
            </w:r>
          </w:p>
        </w:tc>
        <w:tc>
          <w:tcPr>
            <w:tcW w:w="8282" w:type="dxa"/>
            <w:gridSpan w:val="3"/>
            <w:tcBorders>
              <w:top w:val="single" w:color="auto" w:sz="4" w:space="0"/>
              <w:left w:val="single" w:color="auto" w:sz="4" w:space="0"/>
              <w:bottom w:val="single" w:color="auto" w:sz="4" w:space="0"/>
            </w:tcBorders>
            <w:noWrap w:val="0"/>
            <w:vAlign w:val="center"/>
          </w:tcPr>
          <w:p w14:paraId="52332CC2">
            <w:pPr>
              <w:bidi w:val="0"/>
              <w:rPr>
                <w:rFonts w:hint="eastAsia"/>
                <w:highlight w:val="none"/>
              </w:rPr>
            </w:pPr>
            <w:r>
              <w:rPr>
                <w:rFonts w:hint="eastAsia"/>
                <w:highlight w:val="none"/>
              </w:rPr>
              <w:t>无</w:t>
            </w:r>
          </w:p>
        </w:tc>
      </w:tr>
      <w:tr w14:paraId="3D825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878EC04">
            <w:pPr>
              <w:pStyle w:val="34"/>
              <w:bidi w:val="0"/>
              <w:rPr>
                <w:rFonts w:hint="eastAsia"/>
                <w:highlight w:val="none"/>
              </w:rPr>
            </w:pPr>
            <w:r>
              <w:rPr>
                <w:rFonts w:hint="eastAsia"/>
                <w:highlight w:val="none"/>
              </w:rPr>
              <w:t>为落实政府采购政策需满足的要求</w:t>
            </w:r>
          </w:p>
        </w:tc>
        <w:tc>
          <w:tcPr>
            <w:tcW w:w="8282" w:type="dxa"/>
            <w:gridSpan w:val="3"/>
            <w:tcBorders>
              <w:top w:val="single" w:color="auto" w:sz="4" w:space="0"/>
              <w:left w:val="single" w:color="auto" w:sz="4" w:space="0"/>
              <w:bottom w:val="single" w:color="auto" w:sz="4" w:space="0"/>
            </w:tcBorders>
            <w:noWrap w:val="0"/>
            <w:vAlign w:val="center"/>
          </w:tcPr>
          <w:p w14:paraId="2168E0E0">
            <w:pPr>
              <w:bidi w:val="0"/>
              <w:rPr>
                <w:rFonts w:hint="eastAsia"/>
                <w:highlight w:val="none"/>
              </w:rPr>
            </w:pPr>
            <w:r>
              <w:rPr>
                <w:rFonts w:hint="eastAsia"/>
                <w:highlight w:val="none"/>
              </w:rPr>
              <w:t>详见《采购需求》及《评标办法及评分标准》</w:t>
            </w:r>
          </w:p>
        </w:tc>
      </w:tr>
      <w:tr w14:paraId="5AD46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78BCC21C">
            <w:pPr>
              <w:pStyle w:val="34"/>
              <w:bidi w:val="0"/>
              <w:rPr>
                <w:rFonts w:hint="eastAsia"/>
                <w:highlight w:val="none"/>
              </w:rPr>
            </w:pPr>
            <w:r>
              <w:rPr>
                <w:rFonts w:hint="eastAsia"/>
                <w:highlight w:val="none"/>
              </w:rPr>
              <w:t>规范标准</w:t>
            </w:r>
          </w:p>
        </w:tc>
        <w:tc>
          <w:tcPr>
            <w:tcW w:w="8282" w:type="dxa"/>
            <w:gridSpan w:val="3"/>
            <w:tcBorders>
              <w:top w:val="single" w:color="auto" w:sz="4" w:space="0"/>
              <w:left w:val="single" w:color="auto" w:sz="4" w:space="0"/>
              <w:bottom w:val="single" w:color="auto" w:sz="4" w:space="0"/>
            </w:tcBorders>
            <w:noWrap w:val="0"/>
            <w:vAlign w:val="center"/>
          </w:tcPr>
          <w:p w14:paraId="10ACD88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执行现行的强制执行的国家、行业、地方标准</w:t>
            </w:r>
          </w:p>
        </w:tc>
      </w:tr>
      <w:tr w14:paraId="38388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5E2CAFD0">
            <w:pPr>
              <w:pStyle w:val="34"/>
              <w:bidi w:val="0"/>
              <w:rPr>
                <w:rFonts w:hint="eastAsia"/>
                <w:highlight w:val="none"/>
              </w:rPr>
            </w:pPr>
            <w:r>
              <w:rPr>
                <w:rFonts w:hint="eastAsia"/>
                <w:highlight w:val="none"/>
              </w:rPr>
              <w:t>验收标准、验收方法及方案</w:t>
            </w:r>
          </w:p>
        </w:tc>
        <w:tc>
          <w:tcPr>
            <w:tcW w:w="8282" w:type="dxa"/>
            <w:gridSpan w:val="3"/>
            <w:tcBorders>
              <w:top w:val="single" w:color="auto" w:sz="4" w:space="0"/>
              <w:left w:val="single" w:color="auto" w:sz="4" w:space="0"/>
              <w:bottom w:val="single" w:color="auto" w:sz="4" w:space="0"/>
            </w:tcBorders>
            <w:noWrap w:val="0"/>
            <w:vAlign w:val="center"/>
          </w:tcPr>
          <w:p w14:paraId="04A82A65">
            <w:pPr>
              <w:bidi w:val="0"/>
              <w:rPr>
                <w:rFonts w:hint="eastAsia"/>
                <w:highlight w:val="none"/>
              </w:rPr>
            </w:pPr>
            <w:r>
              <w:rPr>
                <w:rFonts w:hint="eastAsia"/>
                <w:highlight w:val="none"/>
              </w:rPr>
              <w:t>1.采购人对中标人提交的货物依据采购文件上的技术规格要求和国家有关质量标准进行现场签收，外观、说明书符合采购文件技术要求的，给予签收，不合格的不予签收。</w:t>
            </w:r>
          </w:p>
          <w:p w14:paraId="0D9153ED">
            <w:pPr>
              <w:bidi w:val="0"/>
              <w:rPr>
                <w:rFonts w:hint="eastAsia"/>
                <w:highlight w:val="none"/>
              </w:rPr>
            </w:pPr>
            <w:r>
              <w:rPr>
                <w:rFonts w:hint="eastAsia"/>
                <w:highlight w:val="none"/>
              </w:rPr>
              <w:t>2.中标人交货前应对产品作出全面检查和对验收文件进行整理，并列出清单，作为采购人收货验收和使用的技术条件依据，检验的结果应随货物交采购人。中标人不能完整交付货物及本款规定的单证和工具的，必须负责补齐，否则视为未按合同约定交货。</w:t>
            </w:r>
          </w:p>
          <w:p w14:paraId="4600DE4F">
            <w:pPr>
              <w:bidi w:val="0"/>
              <w:rPr>
                <w:rFonts w:hint="eastAsia"/>
                <w:highlight w:val="none"/>
              </w:rPr>
            </w:pPr>
            <w:r>
              <w:rPr>
                <w:rFonts w:hint="eastAsia"/>
                <w:highlight w:val="none"/>
              </w:rPr>
              <w:t>3.中标人需负责安装、调试，并培训采购人的使用操作人员，直到设备运行符合技术要求，采购人方可验收。</w:t>
            </w:r>
          </w:p>
          <w:p w14:paraId="73EEFB88">
            <w:pPr>
              <w:bidi w:val="0"/>
              <w:rPr>
                <w:rFonts w:hint="eastAsia"/>
                <w:highlight w:val="none"/>
              </w:rPr>
            </w:pPr>
            <w:r>
              <w:rPr>
                <w:rFonts w:hint="eastAsia"/>
                <w:highlight w:val="none"/>
              </w:rPr>
              <w:t>4.采购人组织验收，中标人必须到场配合，验收合格后双方签署验收合格凭证。</w:t>
            </w:r>
          </w:p>
          <w:p w14:paraId="09987604">
            <w:pPr>
              <w:bidi w:val="0"/>
              <w:rPr>
                <w:rFonts w:hint="eastAsia"/>
                <w:highlight w:val="none"/>
              </w:rPr>
            </w:pPr>
            <w:r>
              <w:rPr>
                <w:rFonts w:hint="eastAsia"/>
                <w:highlight w:val="none"/>
              </w:rPr>
              <w:t>5.其他未尽事宜应严格按照《关于印发广西壮族自治区政府采购项目履约验收管理办法的通知》[桂财采〔2015〕22号]以及《财政部关于进一步加强政府采购需求和履约验收管理的指导意见》[财库〔2016〕205号]规定执行。</w:t>
            </w:r>
          </w:p>
          <w:p w14:paraId="6E9E4FC1">
            <w:pPr>
              <w:bidi w:val="0"/>
              <w:rPr>
                <w:rFonts w:hint="eastAsia" w:ascii="宋体" w:hAnsi="宋体" w:eastAsia="宋体" w:cs="宋体"/>
                <w:color w:val="auto"/>
                <w:szCs w:val="21"/>
                <w:highlight w:val="none"/>
              </w:rPr>
            </w:pPr>
            <w:r>
              <w:rPr>
                <w:rFonts w:hint="eastAsia"/>
                <w:highlight w:val="none"/>
              </w:rPr>
              <w:t>6.验收产生的费用中标人负责。</w:t>
            </w:r>
          </w:p>
        </w:tc>
      </w:tr>
      <w:tr w14:paraId="33727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360797AE">
            <w:pPr>
              <w:pStyle w:val="34"/>
              <w:bidi w:val="0"/>
              <w:rPr>
                <w:rFonts w:hint="eastAsia"/>
                <w:highlight w:val="none"/>
              </w:rPr>
            </w:pPr>
            <w:r>
              <w:rPr>
                <w:rFonts w:hint="eastAsia"/>
                <w:highlight w:val="none"/>
              </w:rPr>
              <w:t>其他技术及服务要求</w:t>
            </w:r>
          </w:p>
        </w:tc>
        <w:tc>
          <w:tcPr>
            <w:tcW w:w="8282" w:type="dxa"/>
            <w:gridSpan w:val="3"/>
            <w:tcBorders>
              <w:top w:val="single" w:color="auto" w:sz="4" w:space="0"/>
              <w:left w:val="single" w:color="auto" w:sz="4" w:space="0"/>
              <w:bottom w:val="single" w:color="auto" w:sz="4" w:space="0"/>
            </w:tcBorders>
            <w:noWrap w:val="0"/>
            <w:vAlign w:val="center"/>
          </w:tcPr>
          <w:p w14:paraId="0B7A599C">
            <w:pPr>
              <w:bidi w:val="0"/>
              <w:rPr>
                <w:rFonts w:hint="eastAsia" w:ascii="宋体" w:hAnsi="宋体" w:eastAsia="宋体" w:cs="宋体"/>
                <w:color w:val="auto"/>
                <w:szCs w:val="21"/>
                <w:highlight w:val="none"/>
              </w:rPr>
            </w:pPr>
            <w:r>
              <w:rPr>
                <w:rFonts w:hint="eastAsia"/>
                <w:highlight w:val="none"/>
              </w:rPr>
              <w:t>投标人根据自身情况提供技术方案及项目实施方案（包含但不限于管理措施、具体实施流程、进度安排、质量保证措施、风险防范措施等）</w:t>
            </w:r>
          </w:p>
        </w:tc>
      </w:tr>
      <w:tr w14:paraId="7B97A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140" w:type="dxa"/>
            <w:gridSpan w:val="6"/>
            <w:tcBorders>
              <w:top w:val="single" w:color="auto" w:sz="4" w:space="0"/>
              <w:left w:val="single" w:color="auto" w:sz="4" w:space="0"/>
              <w:bottom w:val="single" w:color="auto" w:sz="4" w:space="0"/>
              <w:right w:val="single" w:color="auto" w:sz="4" w:space="0"/>
            </w:tcBorders>
            <w:noWrap w:val="0"/>
            <w:vAlign w:val="center"/>
          </w:tcPr>
          <w:p w14:paraId="2989350E">
            <w:pPr>
              <w:spacing w:line="380" w:lineRule="exact"/>
              <w:ind w:left="283" w:hanging="325" w:hangingChars="135"/>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五、其他 </w:t>
            </w:r>
          </w:p>
        </w:tc>
      </w:tr>
      <w:tr w14:paraId="4929F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left w:val="single" w:color="auto" w:sz="4" w:space="0"/>
              <w:bottom w:val="single" w:color="auto" w:sz="4" w:space="0"/>
              <w:right w:val="single" w:color="auto" w:sz="4" w:space="0"/>
            </w:tcBorders>
            <w:noWrap w:val="0"/>
            <w:vAlign w:val="center"/>
          </w:tcPr>
          <w:p w14:paraId="4EE2A68C">
            <w:pPr>
              <w:pStyle w:val="34"/>
              <w:bidi w:val="0"/>
              <w:rPr>
                <w:rFonts w:hint="eastAsia"/>
                <w:highlight w:val="none"/>
              </w:rPr>
            </w:pPr>
            <w:r>
              <w:rPr>
                <w:rFonts w:hint="eastAsia"/>
                <w:highlight w:val="none"/>
              </w:rPr>
              <w:t>产品资料及说明文件</w:t>
            </w:r>
          </w:p>
        </w:tc>
        <w:tc>
          <w:tcPr>
            <w:tcW w:w="8282" w:type="dxa"/>
            <w:gridSpan w:val="3"/>
            <w:tcBorders>
              <w:top w:val="single" w:color="auto" w:sz="4" w:space="0"/>
              <w:left w:val="single" w:color="auto" w:sz="4" w:space="0"/>
              <w:bottom w:val="single" w:color="auto" w:sz="4" w:space="0"/>
              <w:right w:val="single" w:color="auto" w:sz="4" w:space="0"/>
            </w:tcBorders>
            <w:noWrap w:val="0"/>
            <w:vAlign w:val="center"/>
          </w:tcPr>
          <w:p w14:paraId="58B44073">
            <w:pPr>
              <w:bidi w:val="0"/>
              <w:rPr>
                <w:rFonts w:hint="eastAsia"/>
                <w:highlight w:val="none"/>
                <w:lang w:val="en-US" w:eastAsia="zh-CN"/>
              </w:rPr>
            </w:pPr>
            <w:r>
              <w:rPr>
                <w:rFonts w:hint="eastAsia"/>
                <w:highlight w:val="none"/>
                <w:lang w:val="en-US" w:eastAsia="zh-CN"/>
              </w:rPr>
              <w:t>1、投标文件中提供投标产品对外公开的产品彩页或说明书（体现技术参数，可以是从生产厂家网页下载的PDF或HTM文件），以供评标时核对。当投标文件提供的仪器性能参数与该仪器生产商提供的性能参数不符合时，以后者为准。</w:t>
            </w:r>
          </w:p>
          <w:p w14:paraId="5E5272EA">
            <w:pPr>
              <w:bidi w:val="0"/>
              <w:rPr>
                <w:rFonts w:hint="eastAsia" w:ascii="宋体" w:hAnsi="宋体" w:eastAsia="宋体" w:cs="宋体"/>
                <w:color w:val="auto"/>
                <w:szCs w:val="21"/>
                <w:highlight w:val="none"/>
              </w:rPr>
            </w:pPr>
            <w:r>
              <w:rPr>
                <w:rFonts w:hint="eastAsia"/>
                <w:highlight w:val="none"/>
                <w:lang w:eastAsia="zh-CN"/>
              </w:rPr>
              <w:t>▲</w:t>
            </w:r>
            <w:r>
              <w:rPr>
                <w:rFonts w:hint="eastAsia"/>
                <w:highlight w:val="none"/>
                <w:lang w:val="en-US" w:eastAsia="zh-CN"/>
              </w:rPr>
              <w:t>2</w:t>
            </w:r>
            <w:r>
              <w:rPr>
                <w:rFonts w:hint="eastAsia"/>
                <w:highlight w:val="none"/>
              </w:rPr>
              <w:t>、如本项目货物选用进口设备投标，投标人在投标文件中必须提供所投标产品生产厂家或国内代理商出具的授权书</w:t>
            </w:r>
            <w:r>
              <w:rPr>
                <w:rFonts w:hint="eastAsia"/>
                <w:highlight w:val="none"/>
                <w:lang w:val="en-US" w:eastAsia="zh-CN"/>
              </w:rPr>
              <w:t>原件扫描</w:t>
            </w:r>
            <w:r>
              <w:rPr>
                <w:rFonts w:hint="eastAsia"/>
                <w:highlight w:val="none"/>
              </w:rPr>
              <w:t>件加盖投标单位公章，否则投标无效，原件供货时备查；如本项目货物选用国产设备投标，投标人在供货时必须提供所投标产品生产厂家出具的授权书，原件备查。</w:t>
            </w:r>
          </w:p>
        </w:tc>
      </w:tr>
      <w:tr w14:paraId="0DA47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left w:val="single" w:color="auto" w:sz="4" w:space="0"/>
              <w:bottom w:val="single" w:color="auto" w:sz="4" w:space="0"/>
              <w:right w:val="single" w:color="auto" w:sz="4" w:space="0"/>
            </w:tcBorders>
            <w:noWrap w:val="0"/>
            <w:vAlign w:val="center"/>
          </w:tcPr>
          <w:p w14:paraId="0A91932E">
            <w:pPr>
              <w:pStyle w:val="34"/>
              <w:bidi w:val="0"/>
              <w:rPr>
                <w:rFonts w:hint="eastAsia"/>
                <w:highlight w:val="none"/>
              </w:rPr>
            </w:pPr>
            <w:r>
              <w:rPr>
                <w:rFonts w:hint="eastAsia"/>
                <w:highlight w:val="none"/>
                <w:lang w:eastAsia="zh-CN"/>
              </w:rPr>
              <w:t>▲</w:t>
            </w:r>
            <w:r>
              <w:rPr>
                <w:rFonts w:hint="eastAsia"/>
                <w:highlight w:val="none"/>
              </w:rPr>
              <w:t>采购预算价及最高限价</w:t>
            </w:r>
          </w:p>
        </w:tc>
        <w:tc>
          <w:tcPr>
            <w:tcW w:w="8282" w:type="dxa"/>
            <w:gridSpan w:val="3"/>
            <w:tcBorders>
              <w:top w:val="single" w:color="auto" w:sz="4" w:space="0"/>
              <w:left w:val="single" w:color="auto" w:sz="4" w:space="0"/>
              <w:bottom w:val="single" w:color="auto" w:sz="4" w:space="0"/>
              <w:right w:val="single" w:color="auto" w:sz="4" w:space="0"/>
            </w:tcBorders>
            <w:noWrap w:val="0"/>
            <w:vAlign w:val="top"/>
          </w:tcPr>
          <w:p w14:paraId="1691917D">
            <w:pPr>
              <w:spacing w:line="240" w:lineRule="auto"/>
              <w:rPr>
                <w:rFonts w:hint="eastAsia" w:ascii="宋体" w:hAnsi="宋体" w:eastAsia="宋体" w:cs="宋体"/>
                <w:color w:val="auto"/>
                <w:szCs w:val="21"/>
                <w:highlight w:val="none"/>
              </w:rPr>
            </w:pPr>
            <w:r>
              <w:rPr>
                <w:rFonts w:hint="eastAsia"/>
                <w:highlight w:val="none"/>
              </w:rPr>
              <w:t>详见《第一章公开招标公告》，投标报价超采购预算的投标无效。</w:t>
            </w:r>
          </w:p>
        </w:tc>
      </w:tr>
      <w:tr w14:paraId="6295E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left w:val="single" w:color="auto" w:sz="4" w:space="0"/>
              <w:bottom w:val="single" w:color="auto" w:sz="4" w:space="0"/>
              <w:right w:val="single" w:color="auto" w:sz="4" w:space="0"/>
            </w:tcBorders>
            <w:noWrap w:val="0"/>
            <w:vAlign w:val="center"/>
          </w:tcPr>
          <w:p w14:paraId="7D0BB51F">
            <w:pPr>
              <w:pStyle w:val="34"/>
              <w:bidi w:val="0"/>
              <w:rPr>
                <w:rFonts w:hint="default" w:eastAsia="宋体"/>
                <w:highlight w:val="none"/>
                <w:lang w:val="en-US" w:eastAsia="zh-CN"/>
              </w:rPr>
            </w:pPr>
            <w:r>
              <w:rPr>
                <w:rFonts w:hint="eastAsia"/>
                <w:highlight w:val="none"/>
                <w:lang w:eastAsia="zh-CN"/>
              </w:rPr>
              <w:t>▲</w:t>
            </w:r>
            <w:r>
              <w:rPr>
                <w:rFonts w:hint="eastAsia"/>
                <w:highlight w:val="none"/>
                <w:lang w:val="en-US" w:eastAsia="zh-CN"/>
              </w:rPr>
              <w:t>特定资格要求</w:t>
            </w:r>
          </w:p>
        </w:tc>
        <w:tc>
          <w:tcPr>
            <w:tcW w:w="8282" w:type="dxa"/>
            <w:gridSpan w:val="3"/>
            <w:tcBorders>
              <w:top w:val="single" w:color="auto" w:sz="4" w:space="0"/>
              <w:left w:val="single" w:color="auto" w:sz="4" w:space="0"/>
              <w:bottom w:val="single" w:color="auto" w:sz="4" w:space="0"/>
              <w:right w:val="single" w:color="auto" w:sz="4" w:space="0"/>
            </w:tcBorders>
            <w:noWrap w:val="0"/>
            <w:vAlign w:val="top"/>
          </w:tcPr>
          <w:p w14:paraId="68680CD9">
            <w:pPr>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详见</w:t>
            </w:r>
            <w:r>
              <w:rPr>
                <w:rFonts w:hint="eastAsia" w:ascii="宋体" w:hAnsi="宋体" w:eastAsia="宋体" w:cs="宋体"/>
                <w:color w:val="auto"/>
                <w:szCs w:val="21"/>
                <w:highlight w:val="none"/>
              </w:rPr>
              <w:t>《第一章公开招标公告》</w:t>
            </w:r>
            <w:r>
              <w:rPr>
                <w:rFonts w:hint="eastAsia" w:ascii="宋体" w:hAnsi="宋体" w:eastAsia="宋体" w:cs="宋体"/>
                <w:color w:val="auto"/>
                <w:szCs w:val="21"/>
                <w:highlight w:val="none"/>
                <w:lang w:eastAsia="zh-CN"/>
              </w:rPr>
              <w:t>。</w:t>
            </w:r>
          </w:p>
        </w:tc>
      </w:tr>
    </w:tbl>
    <w:p w14:paraId="3F45EAD5">
      <w:pPr>
        <w:pStyle w:val="36"/>
        <w:numPr>
          <w:ilvl w:val="0"/>
          <w:numId w:val="0"/>
        </w:numPr>
        <w:bidi w:val="0"/>
        <w:rPr>
          <w:rFonts w:hint="default" w:eastAsiaTheme="minorEastAsia"/>
          <w:highlight w:val="none"/>
          <w:lang w:val="en-US" w:eastAsia="zh-CN"/>
        </w:rPr>
      </w:pPr>
      <w:r>
        <w:rPr>
          <w:rFonts w:hint="eastAsia"/>
          <w:highlight w:val="none"/>
          <w:lang w:val="en-US" w:eastAsia="zh-CN"/>
        </w:rPr>
        <w:t>标项二：</w:t>
      </w:r>
    </w:p>
    <w:tbl>
      <w:tblPr>
        <w:tblStyle w:val="24"/>
        <w:tblW w:w="10140" w:type="dxa"/>
        <w:jc w:val="center"/>
        <w:tblLayout w:type="fixed"/>
        <w:tblCellMar>
          <w:top w:w="0" w:type="dxa"/>
          <w:left w:w="108" w:type="dxa"/>
          <w:bottom w:w="0" w:type="dxa"/>
          <w:right w:w="108" w:type="dxa"/>
        </w:tblCellMar>
      </w:tblPr>
      <w:tblGrid>
        <w:gridCol w:w="678"/>
        <w:gridCol w:w="1162"/>
        <w:gridCol w:w="18"/>
        <w:gridCol w:w="645"/>
        <w:gridCol w:w="687"/>
        <w:gridCol w:w="6950"/>
      </w:tblGrid>
      <w:tr w14:paraId="63F6003B">
        <w:tblPrEx>
          <w:tblCellMar>
            <w:top w:w="0" w:type="dxa"/>
            <w:left w:w="108" w:type="dxa"/>
            <w:bottom w:w="0" w:type="dxa"/>
            <w:right w:w="108" w:type="dxa"/>
          </w:tblCellMar>
        </w:tblPrEx>
        <w:trPr>
          <w:trHeight w:val="285"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C87C2">
            <w:pPr>
              <w:pStyle w:val="34"/>
              <w:bidi w:val="0"/>
              <w:rPr>
                <w:highlight w:val="none"/>
              </w:rPr>
            </w:pPr>
            <w:r>
              <w:rPr>
                <w:rFonts w:hint="eastAsia"/>
                <w:highlight w:val="none"/>
              </w:rPr>
              <w:t>序号</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00C7417F">
            <w:pPr>
              <w:pStyle w:val="34"/>
              <w:bidi w:val="0"/>
              <w:rPr>
                <w:highlight w:val="none"/>
              </w:rPr>
            </w:pPr>
            <w:r>
              <w:rPr>
                <w:rFonts w:hint="eastAsia"/>
                <w:highlight w:val="none"/>
              </w:rPr>
              <w:t>名称</w:t>
            </w:r>
          </w:p>
        </w:tc>
        <w:tc>
          <w:tcPr>
            <w:tcW w:w="663" w:type="dxa"/>
            <w:gridSpan w:val="2"/>
            <w:tcBorders>
              <w:top w:val="single" w:color="auto" w:sz="4" w:space="0"/>
              <w:left w:val="nil"/>
              <w:bottom w:val="single" w:color="auto" w:sz="4" w:space="0"/>
              <w:right w:val="single" w:color="auto" w:sz="4" w:space="0"/>
            </w:tcBorders>
            <w:shd w:val="clear" w:color="auto" w:fill="auto"/>
            <w:noWrap/>
            <w:vAlign w:val="center"/>
          </w:tcPr>
          <w:p w14:paraId="2416B204">
            <w:pPr>
              <w:pStyle w:val="34"/>
              <w:bidi w:val="0"/>
              <w:rPr>
                <w:highlight w:val="none"/>
              </w:rPr>
            </w:pPr>
            <w:r>
              <w:rPr>
                <w:rFonts w:hint="eastAsia"/>
                <w:highlight w:val="none"/>
              </w:rPr>
              <w:t>单位</w:t>
            </w:r>
          </w:p>
        </w:tc>
        <w:tc>
          <w:tcPr>
            <w:tcW w:w="687" w:type="dxa"/>
            <w:tcBorders>
              <w:top w:val="single" w:color="auto" w:sz="4" w:space="0"/>
              <w:left w:val="nil"/>
              <w:bottom w:val="single" w:color="auto" w:sz="4" w:space="0"/>
              <w:right w:val="single" w:color="auto" w:sz="4" w:space="0"/>
            </w:tcBorders>
            <w:shd w:val="clear" w:color="auto" w:fill="auto"/>
            <w:noWrap/>
            <w:vAlign w:val="center"/>
          </w:tcPr>
          <w:p w14:paraId="4BF6C714">
            <w:pPr>
              <w:pStyle w:val="34"/>
              <w:bidi w:val="0"/>
              <w:rPr>
                <w:highlight w:val="none"/>
              </w:rPr>
            </w:pPr>
            <w:r>
              <w:rPr>
                <w:rFonts w:hint="eastAsia"/>
                <w:highlight w:val="none"/>
              </w:rPr>
              <w:t>数量</w:t>
            </w:r>
          </w:p>
        </w:tc>
        <w:tc>
          <w:tcPr>
            <w:tcW w:w="6950" w:type="dxa"/>
            <w:tcBorders>
              <w:top w:val="single" w:color="auto" w:sz="4" w:space="0"/>
              <w:left w:val="nil"/>
              <w:bottom w:val="single" w:color="auto" w:sz="4" w:space="0"/>
              <w:right w:val="single" w:color="auto" w:sz="4" w:space="0"/>
            </w:tcBorders>
            <w:shd w:val="clear" w:color="auto" w:fill="auto"/>
            <w:noWrap/>
            <w:vAlign w:val="center"/>
          </w:tcPr>
          <w:p w14:paraId="63F0D709">
            <w:pPr>
              <w:pStyle w:val="34"/>
              <w:bidi w:val="0"/>
              <w:rPr>
                <w:highlight w:val="none"/>
              </w:rPr>
            </w:pPr>
            <w:r>
              <w:rPr>
                <w:rFonts w:hint="eastAsia"/>
                <w:highlight w:val="none"/>
              </w:rPr>
              <w:t>技术参数</w:t>
            </w:r>
            <w:r>
              <w:rPr>
                <w:rFonts w:hint="eastAsia"/>
                <w:highlight w:val="none"/>
                <w:lang w:val="en-US" w:eastAsia="zh-CN"/>
              </w:rPr>
              <w:t>及</w:t>
            </w:r>
            <w:r>
              <w:rPr>
                <w:rFonts w:hint="eastAsia"/>
                <w:highlight w:val="none"/>
              </w:rPr>
              <w:t>性能（配置）要求</w:t>
            </w:r>
          </w:p>
        </w:tc>
      </w:tr>
      <w:tr w14:paraId="61829543">
        <w:tblPrEx>
          <w:tblCellMar>
            <w:top w:w="0" w:type="dxa"/>
            <w:left w:w="108" w:type="dxa"/>
            <w:bottom w:w="0" w:type="dxa"/>
            <w:right w:w="108" w:type="dxa"/>
          </w:tblCellMar>
        </w:tblPrEx>
        <w:trPr>
          <w:trHeight w:val="165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684F4">
            <w:pPr>
              <w:pStyle w:val="34"/>
              <w:bidi w:val="0"/>
              <w:rPr>
                <w:rFonts w:hint="eastAsia"/>
                <w:highlight w:val="none"/>
                <w:lang w:val="en-US" w:eastAsia="zh-CN"/>
              </w:rPr>
            </w:pPr>
            <w:r>
              <w:rPr>
                <w:rFonts w:hint="eastAsia"/>
                <w:highlight w:val="none"/>
                <w:lang w:val="en-US" w:eastAsia="zh-CN"/>
              </w:rPr>
              <w:t>1</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7956B722">
            <w:pPr>
              <w:pStyle w:val="34"/>
              <w:bidi w:val="0"/>
              <w:rPr>
                <w:highlight w:val="none"/>
              </w:rPr>
            </w:pPr>
            <w:r>
              <w:rPr>
                <w:rFonts w:hint="default" w:eastAsia="宋体"/>
                <w:highlight w:val="none"/>
                <w:lang w:val="en-US" w:eastAsia="zh-CN"/>
              </w:rPr>
              <w:t>数字PCR仪器</w:t>
            </w:r>
          </w:p>
        </w:tc>
        <w:tc>
          <w:tcPr>
            <w:tcW w:w="663" w:type="dxa"/>
            <w:gridSpan w:val="2"/>
            <w:tcBorders>
              <w:top w:val="single" w:color="auto" w:sz="4" w:space="0"/>
              <w:left w:val="nil"/>
              <w:bottom w:val="single" w:color="auto" w:sz="4" w:space="0"/>
              <w:right w:val="single" w:color="auto" w:sz="4" w:space="0"/>
            </w:tcBorders>
            <w:shd w:val="clear" w:color="auto" w:fill="auto"/>
            <w:vAlign w:val="center"/>
          </w:tcPr>
          <w:p w14:paraId="78889166">
            <w:pPr>
              <w:pStyle w:val="34"/>
              <w:bidi w:val="0"/>
              <w:rPr>
                <w:rFonts w:hint="eastAsia"/>
                <w:highlight w:val="none"/>
                <w:lang w:val="en-US" w:eastAsia="zh-CN"/>
              </w:rPr>
            </w:pPr>
            <w:r>
              <w:rPr>
                <w:rFonts w:hint="eastAsia"/>
                <w:highlight w:val="none"/>
                <w:lang w:val="en-US" w:eastAsia="zh-CN"/>
              </w:rPr>
              <w:t>套</w:t>
            </w:r>
          </w:p>
        </w:tc>
        <w:tc>
          <w:tcPr>
            <w:tcW w:w="687" w:type="dxa"/>
            <w:tcBorders>
              <w:top w:val="single" w:color="auto" w:sz="4" w:space="0"/>
              <w:left w:val="nil"/>
              <w:bottom w:val="single" w:color="auto" w:sz="4" w:space="0"/>
              <w:right w:val="single" w:color="auto" w:sz="4" w:space="0"/>
            </w:tcBorders>
            <w:shd w:val="clear" w:color="auto" w:fill="auto"/>
            <w:vAlign w:val="center"/>
          </w:tcPr>
          <w:p w14:paraId="06055220">
            <w:pPr>
              <w:pStyle w:val="34"/>
              <w:bidi w:val="0"/>
              <w:rPr>
                <w:rFonts w:hint="eastAsia"/>
                <w:highlight w:val="none"/>
                <w:lang w:val="en-US" w:eastAsia="zh-CN"/>
              </w:rPr>
            </w:pPr>
            <w:r>
              <w:rPr>
                <w:rFonts w:hint="eastAsia"/>
                <w:highlight w:val="none"/>
                <w:lang w:val="en-US" w:eastAsia="zh-CN"/>
              </w:rPr>
              <w:t>1</w:t>
            </w:r>
          </w:p>
        </w:tc>
        <w:tc>
          <w:tcPr>
            <w:tcW w:w="6950" w:type="dxa"/>
            <w:tcBorders>
              <w:top w:val="single" w:color="auto" w:sz="4" w:space="0"/>
              <w:left w:val="nil"/>
              <w:bottom w:val="single" w:color="auto" w:sz="4" w:space="0"/>
              <w:right w:val="single" w:color="auto" w:sz="4" w:space="0"/>
            </w:tcBorders>
            <w:shd w:val="clear" w:color="auto" w:fill="auto"/>
            <w:vAlign w:val="center"/>
          </w:tcPr>
          <w:p w14:paraId="6E1EF92C">
            <w:pPr>
              <w:bidi w:val="0"/>
              <w:rPr>
                <w:rFonts w:eastAsia="宋体"/>
                <w:highlight w:val="none"/>
              </w:rPr>
            </w:pPr>
            <w:r>
              <w:rPr>
                <w:rFonts w:hint="eastAsia" w:eastAsia="宋体"/>
                <w:highlight w:val="none"/>
                <w:lang w:val="en-US" w:eastAsia="zh-CN"/>
              </w:rPr>
              <w:t>一、</w:t>
            </w:r>
            <w:r>
              <w:rPr>
                <w:rFonts w:hint="eastAsia" w:eastAsia="宋体"/>
                <w:highlight w:val="none"/>
              </w:rPr>
              <w:t>具体参数要求</w:t>
            </w:r>
          </w:p>
          <w:p w14:paraId="1ECF1D36">
            <w:pPr>
              <w:bidi w:val="0"/>
              <w:rPr>
                <w:rFonts w:hint="eastAsia" w:eastAsia="宋体"/>
                <w:highlight w:val="none"/>
              </w:rPr>
            </w:pPr>
            <w:r>
              <w:rPr>
                <w:rFonts w:hint="eastAsia" w:eastAsia="宋体"/>
                <w:highlight w:val="none"/>
              </w:rPr>
              <w:t>1．样品起始量：小于30μL；</w:t>
            </w:r>
          </w:p>
          <w:p w14:paraId="1959C24A">
            <w:pPr>
              <w:bidi w:val="0"/>
              <w:rPr>
                <w:rFonts w:hint="eastAsia" w:eastAsia="宋体"/>
                <w:highlight w:val="none"/>
              </w:rPr>
            </w:pPr>
            <w:r>
              <w:rPr>
                <w:rFonts w:hint="eastAsia" w:eastAsia="宋体"/>
                <w:highlight w:val="none"/>
              </w:rPr>
              <w:t>2．微滴数量：单个反应体系≥2万个的微滴；</w:t>
            </w:r>
          </w:p>
          <w:p w14:paraId="341840F6">
            <w:pPr>
              <w:bidi w:val="0"/>
              <w:rPr>
                <w:rFonts w:hint="eastAsia" w:eastAsia="宋体"/>
                <w:highlight w:val="none"/>
              </w:rPr>
            </w:pPr>
            <w:r>
              <w:rPr>
                <w:rFonts w:hint="eastAsia" w:eastAsia="宋体"/>
                <w:highlight w:val="none"/>
              </w:rPr>
              <w:t>3．</w:t>
            </w:r>
            <w:r>
              <w:rPr>
                <w:rFonts w:hint="eastAsia" w:ascii="宋体" w:hAnsi="宋体" w:eastAsia="宋体" w:cs="宋体"/>
                <w:highlight w:val="none"/>
              </w:rPr>
              <w:t>●</w:t>
            </w:r>
            <w:r>
              <w:rPr>
                <w:rFonts w:hint="eastAsia" w:eastAsia="宋体"/>
                <w:highlight w:val="none"/>
              </w:rPr>
              <w:t>液滴批间均一度：CV＜5%；</w:t>
            </w:r>
          </w:p>
          <w:p w14:paraId="466617E0">
            <w:pPr>
              <w:bidi w:val="0"/>
              <w:rPr>
                <w:rFonts w:hint="eastAsia" w:eastAsia="宋体"/>
                <w:highlight w:val="none"/>
              </w:rPr>
            </w:pPr>
            <w:r>
              <w:rPr>
                <w:rFonts w:hint="eastAsia" w:eastAsia="宋体"/>
                <w:highlight w:val="none"/>
              </w:rPr>
              <w:t>4．微滴生成时间：≥8个样品微滴生成总时间≤10min；</w:t>
            </w:r>
          </w:p>
          <w:p w14:paraId="3CFBC1BE">
            <w:pPr>
              <w:bidi w:val="0"/>
              <w:rPr>
                <w:rFonts w:hint="eastAsia" w:eastAsia="宋体"/>
                <w:highlight w:val="none"/>
              </w:rPr>
            </w:pPr>
            <w:r>
              <w:rPr>
                <w:rFonts w:hint="eastAsia" w:eastAsia="宋体"/>
                <w:highlight w:val="none"/>
              </w:rPr>
              <w:t>5．微滴制备单次运行通量≥8样品；</w:t>
            </w:r>
          </w:p>
          <w:p w14:paraId="2B800684">
            <w:pPr>
              <w:bidi w:val="0"/>
              <w:rPr>
                <w:rFonts w:hint="eastAsia" w:eastAsia="宋体"/>
                <w:highlight w:val="none"/>
              </w:rPr>
            </w:pPr>
            <w:r>
              <w:rPr>
                <w:rFonts w:hint="eastAsia" w:eastAsia="宋体"/>
                <w:highlight w:val="none"/>
              </w:rPr>
              <w:t>6．▲可以使用第三方PCR反应液；</w:t>
            </w:r>
          </w:p>
          <w:p w14:paraId="55620620">
            <w:pPr>
              <w:bidi w:val="0"/>
              <w:rPr>
                <w:rFonts w:hint="eastAsia" w:eastAsia="宋体"/>
                <w:highlight w:val="none"/>
              </w:rPr>
            </w:pPr>
            <w:r>
              <w:rPr>
                <w:rFonts w:hint="eastAsia" w:eastAsia="宋体"/>
                <w:highlight w:val="none"/>
              </w:rPr>
              <w:t>7．光源：半导体激光器；</w:t>
            </w:r>
          </w:p>
          <w:p w14:paraId="1BEFE933">
            <w:pPr>
              <w:bidi w:val="0"/>
              <w:rPr>
                <w:rFonts w:hint="eastAsia" w:eastAsia="宋体"/>
                <w:highlight w:val="none"/>
              </w:rPr>
            </w:pPr>
            <w:r>
              <w:rPr>
                <w:rFonts w:hint="eastAsia" w:eastAsia="宋体"/>
                <w:highlight w:val="none"/>
              </w:rPr>
              <w:t>8．</w:t>
            </w:r>
            <w:r>
              <w:rPr>
                <w:rFonts w:hint="eastAsia" w:ascii="宋体" w:hAnsi="宋体" w:eastAsia="宋体" w:cs="宋体"/>
                <w:highlight w:val="none"/>
              </w:rPr>
              <w:t>●</w:t>
            </w:r>
            <w:r>
              <w:rPr>
                <w:rFonts w:hint="eastAsia" w:eastAsia="宋体"/>
                <w:highlight w:val="none"/>
              </w:rPr>
              <w:t>检测器：≥2个PMT或CCD或CMOS；</w:t>
            </w:r>
          </w:p>
          <w:p w14:paraId="6B0DF9EE">
            <w:pPr>
              <w:bidi w:val="0"/>
              <w:rPr>
                <w:rFonts w:hint="eastAsia" w:eastAsia="宋体"/>
                <w:highlight w:val="none"/>
              </w:rPr>
            </w:pPr>
            <w:r>
              <w:rPr>
                <w:rFonts w:hint="eastAsia" w:eastAsia="宋体"/>
                <w:highlight w:val="none"/>
              </w:rPr>
              <w:t>9．</w:t>
            </w:r>
            <w:r>
              <w:rPr>
                <w:rFonts w:hint="eastAsia" w:ascii="宋体" w:hAnsi="宋体" w:eastAsia="宋体" w:cs="宋体"/>
                <w:highlight w:val="none"/>
              </w:rPr>
              <w:t>●</w:t>
            </w:r>
            <w:r>
              <w:rPr>
                <w:rFonts w:hint="eastAsia" w:eastAsia="宋体"/>
                <w:highlight w:val="none"/>
              </w:rPr>
              <w:t>检测通道：≥2个通道：FAM/HEX(VIC)，兼容EvaGreen、FAM(495/516)、HEX(535/556)；</w:t>
            </w:r>
          </w:p>
          <w:p w14:paraId="7569EA2F">
            <w:pPr>
              <w:bidi w:val="0"/>
              <w:rPr>
                <w:rFonts w:hint="eastAsia" w:eastAsia="宋体"/>
                <w:highlight w:val="none"/>
              </w:rPr>
            </w:pPr>
            <w:r>
              <w:rPr>
                <w:rFonts w:hint="eastAsia" w:eastAsia="宋体"/>
                <w:highlight w:val="none"/>
              </w:rPr>
              <w:t>10．</w:t>
            </w:r>
            <w:r>
              <w:rPr>
                <w:rFonts w:hint="eastAsia" w:ascii="宋体" w:hAnsi="宋体" w:eastAsia="宋体" w:cs="宋体"/>
                <w:highlight w:val="none"/>
              </w:rPr>
              <w:t>●</w:t>
            </w:r>
            <w:r>
              <w:rPr>
                <w:rFonts w:hint="eastAsia" w:eastAsia="宋体"/>
                <w:highlight w:val="none"/>
              </w:rPr>
              <w:t>灵敏度：定量限100拷贝CV&lt;20%；</w:t>
            </w:r>
          </w:p>
          <w:p w14:paraId="2C6BC3B6">
            <w:pPr>
              <w:bidi w:val="0"/>
              <w:rPr>
                <w:rFonts w:hint="eastAsia" w:eastAsia="宋体"/>
                <w:highlight w:val="none"/>
              </w:rPr>
            </w:pPr>
            <w:r>
              <w:rPr>
                <w:rFonts w:hint="eastAsia" w:eastAsia="宋体"/>
                <w:highlight w:val="none"/>
              </w:rPr>
              <w:t>11．特异性：NTC检测不到信号（在洁净环境及规范操作下）；</w:t>
            </w:r>
          </w:p>
          <w:p w14:paraId="6203C8AF">
            <w:pPr>
              <w:bidi w:val="0"/>
              <w:rPr>
                <w:rFonts w:hint="eastAsia" w:eastAsia="宋体"/>
                <w:highlight w:val="none"/>
              </w:rPr>
            </w:pPr>
            <w:r>
              <w:rPr>
                <w:rFonts w:hint="eastAsia" w:eastAsia="宋体"/>
                <w:highlight w:val="none"/>
              </w:rPr>
              <w:t>12．动态范围：≥5个数量级；</w:t>
            </w:r>
          </w:p>
          <w:p w14:paraId="30A85D55">
            <w:pPr>
              <w:bidi w:val="0"/>
              <w:rPr>
                <w:rFonts w:hint="eastAsia" w:eastAsia="宋体"/>
                <w:highlight w:val="none"/>
              </w:rPr>
            </w:pPr>
            <w:r>
              <w:rPr>
                <w:rFonts w:hint="eastAsia" w:eastAsia="宋体"/>
                <w:highlight w:val="none"/>
              </w:rPr>
              <w:t>13．</w:t>
            </w:r>
            <w:r>
              <w:rPr>
                <w:rFonts w:hint="eastAsia" w:ascii="宋体" w:hAnsi="宋体" w:eastAsia="宋体" w:cs="宋体"/>
                <w:highlight w:val="none"/>
              </w:rPr>
              <w:t>●</w:t>
            </w:r>
            <w:r>
              <w:rPr>
                <w:rFonts w:hint="eastAsia" w:eastAsia="宋体"/>
                <w:highlight w:val="none"/>
              </w:rPr>
              <w:t>微滴检测：单次运行通量≥32样品；</w:t>
            </w:r>
          </w:p>
          <w:p w14:paraId="369FF57C">
            <w:pPr>
              <w:bidi w:val="0"/>
              <w:rPr>
                <w:rFonts w:hint="eastAsia" w:eastAsia="宋体"/>
                <w:highlight w:val="none"/>
              </w:rPr>
            </w:pPr>
            <w:r>
              <w:rPr>
                <w:rFonts w:hint="eastAsia" w:eastAsia="宋体"/>
                <w:highlight w:val="none"/>
              </w:rPr>
              <w:t>14. 数据显示：每个微滴FAM通道(或EvaGreen)和HEX(VIC)通道的荧光信号；</w:t>
            </w:r>
          </w:p>
          <w:p w14:paraId="7A877083">
            <w:pPr>
              <w:bidi w:val="0"/>
              <w:rPr>
                <w:rFonts w:hint="eastAsia" w:eastAsia="宋体"/>
                <w:highlight w:val="none"/>
              </w:rPr>
            </w:pPr>
            <w:r>
              <w:rPr>
                <w:rFonts w:hint="eastAsia" w:eastAsia="宋体"/>
                <w:highlight w:val="none"/>
              </w:rPr>
              <w:t xml:space="preserve">15. </w:t>
            </w:r>
            <w:r>
              <w:rPr>
                <w:rFonts w:hint="eastAsia" w:ascii="宋体" w:hAnsi="宋体" w:eastAsia="宋体" w:cs="宋体"/>
                <w:highlight w:val="none"/>
              </w:rPr>
              <w:t>●</w:t>
            </w:r>
            <w:r>
              <w:rPr>
                <w:rFonts w:hint="eastAsia" w:eastAsia="宋体"/>
                <w:highlight w:val="none"/>
              </w:rPr>
              <w:t>数据分析：可直接计算拷贝数、拷贝数浓度，CNV值，突变丰度；阈值线可自动或手动完成，每个样本可单独设定阈值线；输出数据图标、直方图、一维图、二维图、浓度图、95%置信度不确定性区间等；自动识别复杂微滴分簇四簇；具备数据质控功能；</w:t>
            </w:r>
          </w:p>
          <w:p w14:paraId="1D562196">
            <w:pPr>
              <w:bidi w:val="0"/>
              <w:rPr>
                <w:rFonts w:hint="eastAsia"/>
                <w:highlight w:val="none"/>
              </w:rPr>
            </w:pPr>
            <w:r>
              <w:rPr>
                <w:rFonts w:hint="eastAsia"/>
                <w:highlight w:val="none"/>
              </w:rPr>
              <w:t>16. 数据输出：分析结果可直接打印输出或导出JPG/PDF格式报告。</w:t>
            </w:r>
          </w:p>
          <w:p w14:paraId="3FFB84B6">
            <w:pPr>
              <w:bidi w:val="0"/>
              <w:rPr>
                <w:rFonts w:hint="eastAsia"/>
                <w:highlight w:val="none"/>
              </w:rPr>
            </w:pPr>
            <w:r>
              <w:rPr>
                <w:rFonts w:hint="eastAsia"/>
                <w:highlight w:val="none"/>
              </w:rPr>
              <w:t>二、配置清单</w:t>
            </w:r>
          </w:p>
          <w:p w14:paraId="200A64A0">
            <w:pPr>
              <w:bidi w:val="0"/>
              <w:rPr>
                <w:rFonts w:hint="eastAsia"/>
                <w:highlight w:val="none"/>
              </w:rPr>
            </w:pPr>
            <w:r>
              <w:rPr>
                <w:rFonts w:hint="eastAsia"/>
                <w:highlight w:val="none"/>
              </w:rPr>
              <w:t>1．样本制备仪一台；</w:t>
            </w:r>
          </w:p>
          <w:p w14:paraId="193B650C">
            <w:pPr>
              <w:bidi w:val="0"/>
              <w:rPr>
                <w:rFonts w:hint="eastAsia"/>
                <w:highlight w:val="none"/>
              </w:rPr>
            </w:pPr>
            <w:r>
              <w:rPr>
                <w:rFonts w:hint="eastAsia"/>
                <w:highlight w:val="none"/>
              </w:rPr>
              <w:t>2．生物芯片分析仪一台；</w:t>
            </w:r>
          </w:p>
          <w:p w14:paraId="3AD81646">
            <w:pPr>
              <w:bidi w:val="0"/>
              <w:rPr>
                <w:rFonts w:hint="eastAsia"/>
                <w:highlight w:val="none"/>
              </w:rPr>
            </w:pPr>
            <w:r>
              <w:rPr>
                <w:rFonts w:hint="eastAsia"/>
                <w:highlight w:val="none"/>
              </w:rPr>
              <w:t>3．全自动封膜仪一台；</w:t>
            </w:r>
          </w:p>
          <w:p w14:paraId="59A132CD">
            <w:pPr>
              <w:widowControl/>
              <w:spacing w:line="240" w:lineRule="auto"/>
              <w:jc w:val="left"/>
              <w:rPr>
                <w:rFonts w:ascii="宋体" w:hAnsi="宋体" w:cs="宋体"/>
                <w:b/>
                <w:color w:val="auto"/>
                <w:kern w:val="0"/>
                <w:szCs w:val="21"/>
                <w:highlight w:val="none"/>
              </w:rPr>
            </w:pPr>
            <w:r>
              <w:rPr>
                <w:rFonts w:hint="eastAsia"/>
                <w:highlight w:val="none"/>
              </w:rPr>
              <w:t>4．系统操作终端和分析软件一套。</w:t>
            </w:r>
          </w:p>
        </w:tc>
      </w:tr>
      <w:tr w14:paraId="7694D627">
        <w:tblPrEx>
          <w:tblCellMar>
            <w:top w:w="0" w:type="dxa"/>
            <w:left w:w="108" w:type="dxa"/>
            <w:bottom w:w="0" w:type="dxa"/>
            <w:right w:w="108" w:type="dxa"/>
          </w:tblCellMar>
        </w:tblPrEx>
        <w:trPr>
          <w:trHeight w:val="615" w:hRule="atLeast"/>
          <w:jc w:val="center"/>
        </w:trPr>
        <w:tc>
          <w:tcPr>
            <w:tcW w:w="101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6CC1D09">
            <w:pPr>
              <w:widowControl/>
              <w:spacing w:line="380" w:lineRule="exact"/>
              <w:jc w:val="left"/>
              <w:rPr>
                <w:rFonts w:hint="eastAsia" w:ascii="宋体" w:hAnsi="宋体" w:cs="宋体"/>
                <w:color w:val="auto"/>
                <w:kern w:val="0"/>
                <w:szCs w:val="21"/>
                <w:highlight w:val="none"/>
              </w:rPr>
            </w:pPr>
            <w:r>
              <w:rPr>
                <w:rFonts w:hint="eastAsia" w:ascii="宋体" w:hAnsi="宋体" w:eastAsia="宋体" w:cs="宋体"/>
                <w:color w:val="auto"/>
                <w:szCs w:val="21"/>
                <w:highlight w:val="none"/>
              </w:rPr>
              <w:t>二、</w:t>
            </w:r>
            <w:r>
              <w:rPr>
                <w:rFonts w:hint="eastAsia" w:ascii="宋体" w:hAnsi="宋体" w:eastAsia="宋体" w:cs="宋体"/>
                <w:b/>
                <w:color w:val="auto"/>
                <w:szCs w:val="21"/>
                <w:highlight w:val="none"/>
              </w:rPr>
              <w:t>商务要求表</w:t>
            </w:r>
          </w:p>
        </w:tc>
      </w:tr>
      <w:tr w14:paraId="5EFDD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AB06E43">
            <w:pPr>
              <w:pStyle w:val="34"/>
              <w:bidi w:val="0"/>
              <w:rPr>
                <w:rFonts w:hint="eastAsia"/>
                <w:highlight w:val="none"/>
              </w:rPr>
            </w:pPr>
            <w:r>
              <w:rPr>
                <w:rFonts w:hint="eastAsia" w:ascii="宋体" w:hAnsi="宋体" w:eastAsia="宋体" w:cs="宋体"/>
                <w:color w:val="auto"/>
                <w:szCs w:val="21"/>
                <w:highlight w:val="none"/>
                <w:lang w:eastAsia="zh-CN"/>
              </w:rPr>
              <w:t>▲</w:t>
            </w:r>
            <w:r>
              <w:rPr>
                <w:rFonts w:hint="eastAsia"/>
                <w:highlight w:val="none"/>
              </w:rPr>
              <w:t>质保期</w:t>
            </w:r>
          </w:p>
        </w:tc>
        <w:tc>
          <w:tcPr>
            <w:tcW w:w="8282" w:type="dxa"/>
            <w:gridSpan w:val="3"/>
            <w:tcBorders>
              <w:top w:val="single" w:color="auto" w:sz="4" w:space="0"/>
              <w:left w:val="single" w:color="auto" w:sz="4" w:space="0"/>
              <w:bottom w:val="single" w:color="auto" w:sz="4" w:space="0"/>
            </w:tcBorders>
            <w:noWrap w:val="0"/>
            <w:vAlign w:val="center"/>
          </w:tcPr>
          <w:p w14:paraId="542971DF">
            <w:pPr>
              <w:bidi w:val="0"/>
              <w:rPr>
                <w:rFonts w:hint="eastAsia"/>
                <w:highlight w:val="none"/>
              </w:rPr>
            </w:pPr>
            <w:r>
              <w:rPr>
                <w:rFonts w:hint="eastAsia"/>
                <w:highlight w:val="none"/>
              </w:rPr>
              <w:t>按国家有关产品“三包”规定执行“三包”，除特别说明外，质保期≥</w:t>
            </w:r>
            <w:r>
              <w:rPr>
                <w:rFonts w:hint="eastAsia"/>
                <w:highlight w:val="none"/>
                <w:lang w:val="en-US" w:eastAsia="zh-CN"/>
              </w:rPr>
              <w:t>5</w:t>
            </w:r>
            <w:r>
              <w:rPr>
                <w:rFonts w:hint="eastAsia"/>
                <w:highlight w:val="none"/>
              </w:rPr>
              <w:t>年，自设备验收合格并能正常使用之日算起。</w:t>
            </w:r>
          </w:p>
        </w:tc>
      </w:tr>
      <w:tr w14:paraId="255F9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028F34C6">
            <w:pPr>
              <w:pStyle w:val="34"/>
              <w:bidi w:val="0"/>
              <w:rPr>
                <w:rFonts w:hint="eastAsia"/>
                <w:highlight w:val="none"/>
              </w:rPr>
            </w:pPr>
            <w:r>
              <w:rPr>
                <w:rFonts w:hint="eastAsia" w:ascii="宋体" w:hAnsi="宋体" w:eastAsia="宋体" w:cs="宋体"/>
                <w:color w:val="auto"/>
                <w:szCs w:val="21"/>
                <w:highlight w:val="none"/>
                <w:lang w:eastAsia="zh-CN"/>
              </w:rPr>
              <w:t>▲</w:t>
            </w:r>
            <w:r>
              <w:rPr>
                <w:rFonts w:hint="eastAsia"/>
                <w:highlight w:val="none"/>
              </w:rPr>
              <w:t>交货时间及地点</w:t>
            </w:r>
          </w:p>
        </w:tc>
        <w:tc>
          <w:tcPr>
            <w:tcW w:w="8282" w:type="dxa"/>
            <w:gridSpan w:val="3"/>
            <w:tcBorders>
              <w:top w:val="single" w:color="auto" w:sz="4" w:space="0"/>
              <w:left w:val="single" w:color="auto" w:sz="4" w:space="0"/>
              <w:bottom w:val="single" w:color="auto" w:sz="4" w:space="0"/>
            </w:tcBorders>
            <w:noWrap w:val="0"/>
            <w:vAlign w:val="center"/>
          </w:tcPr>
          <w:p w14:paraId="00ADBFE4">
            <w:pPr>
              <w:bidi w:val="0"/>
              <w:rPr>
                <w:rFonts w:hint="eastAsia"/>
                <w:highlight w:val="none"/>
              </w:rPr>
            </w:pPr>
            <w:r>
              <w:rPr>
                <w:rFonts w:hint="eastAsia"/>
                <w:highlight w:val="none"/>
              </w:rPr>
              <w:t>1.交付使用时间：</w:t>
            </w:r>
            <w:r>
              <w:rPr>
                <w:rFonts w:hint="eastAsia"/>
                <w:highlight w:val="none"/>
                <w:lang w:val="en-US" w:eastAsia="zh-CN"/>
              </w:rPr>
              <w:t>国产</w:t>
            </w:r>
            <w:r>
              <w:rPr>
                <w:rFonts w:hint="eastAsia"/>
                <w:highlight w:val="none"/>
                <w:lang w:eastAsia="zh-CN"/>
              </w:rPr>
              <w:t>产品合同签订后</w:t>
            </w:r>
            <w:r>
              <w:rPr>
                <w:rFonts w:hint="eastAsia"/>
                <w:highlight w:val="none"/>
                <w:lang w:val="en-US" w:eastAsia="zh-CN"/>
              </w:rPr>
              <w:t>30</w:t>
            </w:r>
            <w:r>
              <w:rPr>
                <w:rFonts w:hint="eastAsia"/>
                <w:highlight w:val="none"/>
                <w:lang w:eastAsia="zh-CN"/>
              </w:rPr>
              <w:t>个日历日内到货并完成安装调试</w:t>
            </w:r>
            <w:r>
              <w:rPr>
                <w:rFonts w:hint="eastAsia"/>
                <w:highlight w:val="none"/>
              </w:rPr>
              <w:t>。</w:t>
            </w:r>
          </w:p>
          <w:p w14:paraId="2A9E8FF2">
            <w:pPr>
              <w:bidi w:val="0"/>
              <w:rPr>
                <w:rFonts w:hint="eastAsia"/>
                <w:highlight w:val="none"/>
              </w:rPr>
            </w:pPr>
            <w:r>
              <w:rPr>
                <w:rFonts w:hint="eastAsia"/>
                <w:highlight w:val="none"/>
              </w:rPr>
              <w:t>2.交付地点：广西壮族自治区人民医院指定地点。</w:t>
            </w:r>
          </w:p>
        </w:tc>
      </w:tr>
      <w:tr w14:paraId="29169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6A9158F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售后服务要求</w:t>
            </w:r>
          </w:p>
        </w:tc>
        <w:tc>
          <w:tcPr>
            <w:tcW w:w="8282" w:type="dxa"/>
            <w:gridSpan w:val="3"/>
            <w:tcBorders>
              <w:top w:val="single" w:color="auto" w:sz="4" w:space="0"/>
              <w:left w:val="single" w:color="auto" w:sz="4" w:space="0"/>
              <w:bottom w:val="single" w:color="auto" w:sz="4" w:space="0"/>
            </w:tcBorders>
            <w:noWrap w:val="0"/>
            <w:vAlign w:val="center"/>
          </w:tcPr>
          <w:p w14:paraId="420F7A1B">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1.提供维护手册、维修手册、软件备份、故障代码表、备件清单。保修期外，无偿提供维修密码及所附软件在该项目的永久使用权。</w:t>
            </w:r>
          </w:p>
          <w:p w14:paraId="7984DB7E">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2.相关人员培训:标的包含医护人员及工程人员的培训计划费用，设备装机验收后，现场提供对院方的1次或多次基本培训，使院方使用人员及工程人员，熟练掌握全部功能及基本维修。</w:t>
            </w:r>
          </w:p>
          <w:p w14:paraId="2401AE73">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其中医务人员专项培训1人次，视甲方时间安排确定。</w:t>
            </w:r>
          </w:p>
          <w:p w14:paraId="4781D5A1">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3.提供7*24小时售后服务，接到用户通知后2小时内作出实质响应（远程解决或做出预备维护动作），并在24小时内恢复设备运行；</w:t>
            </w:r>
          </w:p>
          <w:p w14:paraId="181B6256">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修期内发生故障的设备如无法在24小时内修复，则应提供备用设备以保证系统的连续稳定运行，并在5个工作日内修复故障设备或更换新设备，5个工作日内不能解决的，由成交供应商提供替代设备。保障系统正常运行，在无相同型号的同种设备时，则应更换同类设备中较高型号的产品。所产生的的费用，均包含在响应报价中，采购人不再承担任何费用；</w:t>
            </w:r>
          </w:p>
          <w:p w14:paraId="79AE769F">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设备保修期（质保期）内因售后服务（包括但不限于原厂商服务和非原厂商服务，其中硬件的售后服务包括但不限于，硬件维护维修、配件更换、整机更换、硬件升级、提供替代品；应用软件的售后服务包括但不限于应用软件维护升级以及非结构性修改）所产生的的费用，均包含在响应报价中，采购人不再承担任何费用。</w:t>
            </w:r>
          </w:p>
          <w:p w14:paraId="7B7BC4DA">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6.保修：≥5年。</w:t>
            </w:r>
          </w:p>
        </w:tc>
      </w:tr>
      <w:tr w14:paraId="3A9C9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640C5B4">
            <w:pPr>
              <w:pStyle w:val="34"/>
              <w:bidi w:val="0"/>
              <w:rPr>
                <w:rFonts w:hint="eastAsia"/>
                <w:highlight w:val="none"/>
              </w:rPr>
            </w:pPr>
            <w:r>
              <w:rPr>
                <w:rFonts w:hint="eastAsia" w:ascii="宋体" w:hAnsi="宋体" w:eastAsia="宋体" w:cs="宋体"/>
                <w:color w:val="auto"/>
                <w:szCs w:val="21"/>
                <w:highlight w:val="none"/>
                <w:lang w:eastAsia="zh-CN"/>
              </w:rPr>
              <w:t>▲</w:t>
            </w:r>
            <w:r>
              <w:rPr>
                <w:rFonts w:hint="eastAsia"/>
                <w:highlight w:val="none"/>
              </w:rPr>
              <w:t>付款方式</w:t>
            </w:r>
          </w:p>
        </w:tc>
        <w:tc>
          <w:tcPr>
            <w:tcW w:w="8282" w:type="dxa"/>
            <w:gridSpan w:val="3"/>
            <w:tcBorders>
              <w:top w:val="single" w:color="auto" w:sz="4" w:space="0"/>
              <w:left w:val="single" w:color="auto" w:sz="4" w:space="0"/>
              <w:bottom w:val="single" w:color="auto" w:sz="4" w:space="0"/>
            </w:tcBorders>
            <w:noWrap w:val="0"/>
            <w:vAlign w:val="center"/>
          </w:tcPr>
          <w:p w14:paraId="685E6071">
            <w:pPr>
              <w:bidi w:val="0"/>
              <w:rPr>
                <w:rFonts w:hint="eastAsia" w:ascii="宋体" w:hAnsi="宋体" w:eastAsia="宋体" w:cs="宋体"/>
                <w:color w:val="auto"/>
                <w:szCs w:val="21"/>
                <w:highlight w:val="none"/>
              </w:rPr>
            </w:pPr>
            <w:r>
              <w:rPr>
                <w:rFonts w:hint="eastAsia"/>
                <w:highlight w:val="none"/>
              </w:rPr>
              <w:t>付款方式：乙方所有货物交货安装调试完毕并验收合格后，甲方凭乙方开具的合法有效的全额发票，于收到发票后一次性支付合同款。乙方未开具合法有效的全额发票的，甲方有权不支付合同款。</w:t>
            </w:r>
          </w:p>
        </w:tc>
      </w:tr>
      <w:tr w14:paraId="117B2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57A83220">
            <w:pPr>
              <w:pStyle w:val="34"/>
              <w:bidi w:val="0"/>
              <w:rPr>
                <w:rFonts w:hint="eastAsia"/>
                <w:highlight w:val="none"/>
              </w:rPr>
            </w:pPr>
            <w:r>
              <w:rPr>
                <w:rFonts w:hint="eastAsia" w:ascii="宋体" w:hAnsi="宋体" w:eastAsia="宋体" w:cs="宋体"/>
                <w:color w:val="auto"/>
                <w:szCs w:val="21"/>
                <w:highlight w:val="none"/>
                <w:lang w:eastAsia="zh-CN"/>
              </w:rPr>
              <w:t>▲</w:t>
            </w:r>
            <w:r>
              <w:rPr>
                <w:rFonts w:hint="eastAsia"/>
                <w:highlight w:val="none"/>
              </w:rPr>
              <w:t>履约保证金</w:t>
            </w:r>
          </w:p>
        </w:tc>
        <w:tc>
          <w:tcPr>
            <w:tcW w:w="8282" w:type="dxa"/>
            <w:gridSpan w:val="3"/>
            <w:tcBorders>
              <w:top w:val="single" w:color="auto" w:sz="4" w:space="0"/>
              <w:left w:val="single" w:color="auto" w:sz="4" w:space="0"/>
              <w:bottom w:val="single" w:color="auto" w:sz="4" w:space="0"/>
            </w:tcBorders>
            <w:noWrap w:val="0"/>
            <w:vAlign w:val="center"/>
          </w:tcPr>
          <w:p w14:paraId="2F0FE775">
            <w:pPr>
              <w:bidi w:val="0"/>
              <w:rPr>
                <w:rFonts w:hint="eastAsia"/>
                <w:highlight w:val="none"/>
                <w:lang w:eastAsia="zh-CN"/>
              </w:rPr>
            </w:pPr>
            <w:r>
              <w:rPr>
                <w:rFonts w:hint="eastAsia"/>
                <w:highlight w:val="none"/>
                <w:lang w:eastAsia="zh-CN"/>
              </w:rPr>
              <w:t>履约保证金金额：按中标金额的5%（如中标供应商为中小微企业，则按照中标金额的2%缴纳）</w:t>
            </w:r>
          </w:p>
          <w:p w14:paraId="57655267">
            <w:pPr>
              <w:bidi w:val="0"/>
              <w:rPr>
                <w:rFonts w:hint="eastAsia" w:eastAsia="宋体"/>
                <w:highlight w:val="none"/>
                <w:lang w:eastAsia="zh-CN"/>
              </w:rPr>
            </w:pPr>
            <w:r>
              <w:rPr>
                <w:rFonts w:hint="eastAsia"/>
                <w:highlight w:val="none"/>
              </w:rPr>
              <w:t>履约保证金递交方式：银行转账或电汇或其它政府采购法律法规允许的方式</w:t>
            </w:r>
            <w:r>
              <w:rPr>
                <w:rFonts w:hint="eastAsia"/>
                <w:highlight w:val="none"/>
                <w:lang w:eastAsia="zh-CN"/>
              </w:rPr>
              <w:t>。</w:t>
            </w:r>
          </w:p>
          <w:p w14:paraId="7114A9C3">
            <w:pPr>
              <w:bidi w:val="0"/>
              <w:rPr>
                <w:rFonts w:hint="eastAsia" w:ascii="宋体" w:hAnsi="宋体" w:eastAsia="宋体" w:cs="宋体"/>
                <w:color w:val="auto"/>
                <w:kern w:val="0"/>
                <w:szCs w:val="21"/>
                <w:highlight w:val="none"/>
                <w:lang w:eastAsia="zh-CN"/>
              </w:rPr>
            </w:pPr>
            <w:r>
              <w:rPr>
                <w:rFonts w:hint="eastAsia"/>
                <w:highlight w:val="none"/>
                <w:lang w:eastAsia="zh-CN"/>
              </w:rPr>
              <w:t>备注：在签订合同之前，</w:t>
            </w:r>
            <w:r>
              <w:rPr>
                <w:rFonts w:hint="eastAsia"/>
                <w:highlight w:val="none"/>
                <w:lang w:val="en-US" w:eastAsia="zh-CN"/>
              </w:rPr>
              <w:t>供应商</w:t>
            </w:r>
            <w:r>
              <w:rPr>
                <w:rFonts w:hint="eastAsia"/>
                <w:highlight w:val="none"/>
                <w:lang w:eastAsia="zh-CN"/>
              </w:rPr>
              <w:t>需把履约保证金足额交到</w:t>
            </w:r>
            <w:r>
              <w:rPr>
                <w:rFonts w:hint="eastAsia"/>
                <w:highlight w:val="none"/>
              </w:rPr>
              <w:t>采购人</w:t>
            </w:r>
            <w:r>
              <w:rPr>
                <w:rFonts w:hint="eastAsia"/>
                <w:highlight w:val="none"/>
                <w:lang w:eastAsia="zh-CN"/>
              </w:rPr>
              <w:t>指定账户。未提交履约保证金的，不予签订本合同。履约保证金自项目验收合格后，待</w:t>
            </w:r>
            <w:r>
              <w:rPr>
                <w:rFonts w:hint="eastAsia"/>
                <w:highlight w:val="none"/>
                <w:lang w:val="en-US" w:eastAsia="zh-CN"/>
              </w:rPr>
              <w:t>供应商</w:t>
            </w:r>
            <w:r>
              <w:rPr>
                <w:rFonts w:hint="eastAsia"/>
                <w:highlight w:val="none"/>
                <w:lang w:eastAsia="zh-CN"/>
              </w:rPr>
              <w:t>履行完质保义务且无违约情况下后由</w:t>
            </w:r>
            <w:r>
              <w:rPr>
                <w:rFonts w:hint="eastAsia"/>
                <w:highlight w:val="none"/>
              </w:rPr>
              <w:t>采购人</w:t>
            </w:r>
            <w:r>
              <w:rPr>
                <w:rFonts w:hint="eastAsia"/>
                <w:highlight w:val="none"/>
                <w:lang w:eastAsia="zh-CN"/>
              </w:rPr>
              <w:t>无息退还。本合同履行期间，</w:t>
            </w:r>
            <w:r>
              <w:rPr>
                <w:rFonts w:hint="eastAsia"/>
                <w:highlight w:val="none"/>
                <w:lang w:val="en-US" w:eastAsia="zh-CN"/>
              </w:rPr>
              <w:t>供应商</w:t>
            </w:r>
            <w:r>
              <w:rPr>
                <w:rFonts w:hint="eastAsia"/>
                <w:highlight w:val="none"/>
                <w:lang w:eastAsia="zh-CN"/>
              </w:rPr>
              <w:t>存在违约的，</w:t>
            </w:r>
            <w:r>
              <w:rPr>
                <w:rFonts w:hint="eastAsia"/>
                <w:highlight w:val="none"/>
              </w:rPr>
              <w:t>采购人</w:t>
            </w:r>
            <w:r>
              <w:rPr>
                <w:rFonts w:hint="eastAsia"/>
                <w:highlight w:val="none"/>
                <w:lang w:eastAsia="zh-CN"/>
              </w:rPr>
              <w:t>有权从履约保证金中先行扣除违约金及赔偿金，不足部分由</w:t>
            </w:r>
            <w:r>
              <w:rPr>
                <w:rFonts w:hint="eastAsia"/>
                <w:highlight w:val="none"/>
                <w:lang w:val="en-US" w:eastAsia="zh-CN"/>
              </w:rPr>
              <w:t>供应商</w:t>
            </w:r>
            <w:r>
              <w:rPr>
                <w:rFonts w:hint="eastAsia"/>
                <w:highlight w:val="none"/>
                <w:lang w:eastAsia="zh-CN"/>
              </w:rPr>
              <w:t>另行支付，</w:t>
            </w:r>
            <w:r>
              <w:rPr>
                <w:rFonts w:hint="eastAsia"/>
                <w:highlight w:val="none"/>
              </w:rPr>
              <w:t>采购人</w:t>
            </w:r>
            <w:r>
              <w:rPr>
                <w:rFonts w:hint="eastAsia"/>
                <w:highlight w:val="none"/>
                <w:lang w:eastAsia="zh-CN"/>
              </w:rPr>
              <w:t>直接从履约保证金中扣除违约金或</w:t>
            </w:r>
            <w:r>
              <w:rPr>
                <w:rFonts w:hint="eastAsia"/>
                <w:highlight w:val="none"/>
                <w:lang w:val="en-US" w:eastAsia="zh-CN"/>
              </w:rPr>
              <w:t>供应商</w:t>
            </w:r>
            <w:r>
              <w:rPr>
                <w:rFonts w:hint="eastAsia"/>
                <w:highlight w:val="none"/>
                <w:lang w:eastAsia="zh-CN"/>
              </w:rPr>
              <w:t>应付的其他款项的，</w:t>
            </w:r>
            <w:r>
              <w:rPr>
                <w:rFonts w:hint="eastAsia"/>
                <w:highlight w:val="none"/>
                <w:lang w:val="en-US" w:eastAsia="zh-CN"/>
              </w:rPr>
              <w:t>供应商</w:t>
            </w:r>
            <w:r>
              <w:rPr>
                <w:rFonts w:hint="eastAsia"/>
                <w:highlight w:val="none"/>
                <w:lang w:eastAsia="zh-CN"/>
              </w:rPr>
              <w:t>应于接到</w:t>
            </w:r>
            <w:r>
              <w:rPr>
                <w:rFonts w:hint="eastAsia"/>
                <w:highlight w:val="none"/>
              </w:rPr>
              <w:t>采购人</w:t>
            </w:r>
            <w:r>
              <w:rPr>
                <w:rFonts w:hint="eastAsia"/>
                <w:highlight w:val="none"/>
                <w:lang w:eastAsia="zh-CN"/>
              </w:rPr>
              <w:t>补足履约保证金通知之日起3个工作日内补足。</w:t>
            </w:r>
          </w:p>
        </w:tc>
      </w:tr>
      <w:tr w14:paraId="3A2D7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06B3B2BE">
            <w:pPr>
              <w:pStyle w:val="34"/>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highlight w:val="none"/>
              </w:rPr>
              <w:t>投标报价要求</w:t>
            </w:r>
          </w:p>
        </w:tc>
        <w:tc>
          <w:tcPr>
            <w:tcW w:w="8282" w:type="dxa"/>
            <w:gridSpan w:val="3"/>
            <w:tcBorders>
              <w:top w:val="single" w:color="auto" w:sz="4" w:space="0"/>
              <w:left w:val="single" w:color="auto" w:sz="4" w:space="0"/>
              <w:bottom w:val="single" w:color="auto" w:sz="4" w:space="0"/>
            </w:tcBorders>
            <w:noWrap w:val="0"/>
            <w:vAlign w:val="center"/>
          </w:tcPr>
          <w:p w14:paraId="28E5CFAB">
            <w:pPr>
              <w:bidi w:val="0"/>
              <w:rPr>
                <w:rFonts w:hint="eastAsia" w:ascii="宋体" w:hAnsi="宋体" w:eastAsia="宋体" w:cs="宋体"/>
                <w:color w:val="auto"/>
                <w:highlight w:val="none"/>
                <w:lang w:val="en-US" w:eastAsia="zh-CN"/>
              </w:rPr>
            </w:pPr>
            <w:r>
              <w:rPr>
                <w:rFonts w:hint="eastAsia"/>
                <w:highlight w:val="none"/>
                <w:lang w:val="en-US" w:eastAsia="zh-CN"/>
              </w:rPr>
              <w:t>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的所有责任、义务和一般风险等一切费用。</w:t>
            </w:r>
          </w:p>
        </w:tc>
      </w:tr>
      <w:tr w14:paraId="574E4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58740A60">
            <w:pPr>
              <w:pStyle w:val="34"/>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highlight w:val="none"/>
                <w:lang w:val="en-US" w:eastAsia="zh-CN"/>
              </w:rPr>
              <w:t>总体项目要求</w:t>
            </w:r>
          </w:p>
        </w:tc>
        <w:tc>
          <w:tcPr>
            <w:tcW w:w="8282" w:type="dxa"/>
            <w:gridSpan w:val="3"/>
            <w:tcBorders>
              <w:top w:val="single" w:color="auto" w:sz="4" w:space="0"/>
              <w:left w:val="single" w:color="auto" w:sz="4" w:space="0"/>
              <w:bottom w:val="single" w:color="auto" w:sz="4" w:space="0"/>
            </w:tcBorders>
            <w:noWrap w:val="0"/>
            <w:vAlign w:val="center"/>
          </w:tcPr>
          <w:p w14:paraId="56A4AFEC">
            <w:pPr>
              <w:bidi w:val="0"/>
              <w:rPr>
                <w:rFonts w:hint="eastAsia" w:ascii="宋体" w:hAnsi="宋体" w:eastAsia="宋体" w:cs="宋体"/>
                <w:color w:val="auto"/>
                <w:highlight w:val="none"/>
                <w:lang w:val="en-US" w:eastAsia="zh-CN"/>
              </w:rPr>
            </w:pPr>
            <w:r>
              <w:rPr>
                <w:rFonts w:hint="eastAsia"/>
                <w:highlight w:val="none"/>
              </w:rPr>
              <w:t>交钥匙工程：</w:t>
            </w:r>
            <w:r>
              <w:rPr>
                <w:rFonts w:hint="eastAsia"/>
                <w:highlight w:val="none"/>
                <w:lang w:val="en-US" w:eastAsia="zh-CN"/>
              </w:rPr>
              <w:t>供应商</w:t>
            </w:r>
            <w:r>
              <w:rPr>
                <w:rFonts w:hint="eastAsia"/>
                <w:highlight w:val="none"/>
              </w:rPr>
              <w:t>负责全部产品的安装调试后直接交付运行。在保修期内，</w:t>
            </w:r>
            <w:r>
              <w:rPr>
                <w:rFonts w:hint="eastAsia"/>
                <w:highlight w:val="none"/>
                <w:lang w:val="en-US" w:eastAsia="zh-CN"/>
              </w:rPr>
              <w:t>供应商</w:t>
            </w:r>
            <w:r>
              <w:rPr>
                <w:rFonts w:hint="eastAsia"/>
                <w:highlight w:val="none"/>
              </w:rPr>
              <w:t>保证甲方能够合法应用该器械/服务。在此过程中，</w:t>
            </w:r>
            <w:r>
              <w:rPr>
                <w:rFonts w:hint="eastAsia"/>
                <w:highlight w:val="none"/>
                <w:lang w:val="en-US" w:eastAsia="zh-CN"/>
              </w:rPr>
              <w:t>采购方</w:t>
            </w:r>
            <w:r>
              <w:rPr>
                <w:rFonts w:hint="eastAsia"/>
                <w:highlight w:val="none"/>
              </w:rPr>
              <w:t>应当提供一切必要支持。若可能出现的后续证件、手续，</w:t>
            </w:r>
            <w:r>
              <w:rPr>
                <w:rFonts w:hint="eastAsia"/>
                <w:highlight w:val="none"/>
                <w:lang w:val="en-US" w:eastAsia="zh-CN"/>
              </w:rPr>
              <w:t>供应商</w:t>
            </w:r>
            <w:r>
              <w:rPr>
                <w:rFonts w:hint="eastAsia"/>
                <w:highlight w:val="none"/>
              </w:rPr>
              <w:t>必须提供办理的流程及方法。</w:t>
            </w:r>
          </w:p>
        </w:tc>
      </w:tr>
      <w:tr w14:paraId="7005D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140" w:type="dxa"/>
            <w:gridSpan w:val="6"/>
            <w:tcBorders>
              <w:top w:val="single" w:color="auto" w:sz="4" w:space="0"/>
              <w:bottom w:val="single" w:color="auto" w:sz="4" w:space="0"/>
            </w:tcBorders>
            <w:noWrap w:val="0"/>
            <w:vAlign w:val="center"/>
          </w:tcPr>
          <w:p w14:paraId="060F930B">
            <w:pPr>
              <w:pStyle w:val="36"/>
              <w:bidi w:val="0"/>
              <w:rPr>
                <w:rFonts w:hint="eastAsia" w:ascii="宋体" w:hAnsi="宋体" w:eastAsia="宋体" w:cs="宋体"/>
                <w:color w:val="auto"/>
                <w:szCs w:val="21"/>
                <w:highlight w:val="none"/>
              </w:rPr>
            </w:pPr>
            <w:r>
              <w:rPr>
                <w:rFonts w:hint="eastAsia"/>
                <w:highlight w:val="none"/>
              </w:rPr>
              <w:t>三、投标人的资信要求表</w:t>
            </w:r>
          </w:p>
        </w:tc>
      </w:tr>
      <w:tr w14:paraId="1B7DD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34AF9716">
            <w:pPr>
              <w:pStyle w:val="34"/>
              <w:bidi w:val="0"/>
              <w:rPr>
                <w:rFonts w:hint="eastAsia"/>
                <w:highlight w:val="none"/>
              </w:rPr>
            </w:pPr>
            <w:r>
              <w:rPr>
                <w:rFonts w:hint="eastAsia"/>
                <w:highlight w:val="none"/>
              </w:rPr>
              <w:t>政策性加分条件</w:t>
            </w:r>
          </w:p>
        </w:tc>
        <w:tc>
          <w:tcPr>
            <w:tcW w:w="8282" w:type="dxa"/>
            <w:gridSpan w:val="3"/>
            <w:tcBorders>
              <w:top w:val="single" w:color="auto" w:sz="4" w:space="0"/>
              <w:left w:val="single" w:color="auto" w:sz="4" w:space="0"/>
              <w:bottom w:val="single" w:color="auto" w:sz="4" w:space="0"/>
            </w:tcBorders>
            <w:noWrap w:val="0"/>
            <w:vAlign w:val="center"/>
          </w:tcPr>
          <w:p w14:paraId="13D8C17B">
            <w:pPr>
              <w:bidi w:val="0"/>
              <w:rPr>
                <w:rFonts w:hint="eastAsia"/>
                <w:highlight w:val="none"/>
              </w:rPr>
            </w:pPr>
            <w:r>
              <w:rPr>
                <w:rFonts w:hint="eastAsia"/>
                <w:highlight w:val="none"/>
              </w:rPr>
              <w:t>符合节能环保等国家政策要求。</w:t>
            </w:r>
          </w:p>
        </w:tc>
      </w:tr>
      <w:tr w14:paraId="087C4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5E44417E">
            <w:pPr>
              <w:pStyle w:val="34"/>
              <w:bidi w:val="0"/>
              <w:rPr>
                <w:rFonts w:hint="eastAsia"/>
                <w:highlight w:val="none"/>
              </w:rPr>
            </w:pPr>
            <w:r>
              <w:rPr>
                <w:rFonts w:hint="eastAsia"/>
                <w:highlight w:val="none"/>
              </w:rPr>
              <w:t>质量管理、企业信用要求</w:t>
            </w:r>
          </w:p>
        </w:tc>
        <w:tc>
          <w:tcPr>
            <w:tcW w:w="8282" w:type="dxa"/>
            <w:gridSpan w:val="3"/>
            <w:tcBorders>
              <w:top w:val="single" w:color="auto" w:sz="4" w:space="0"/>
              <w:left w:val="single" w:color="auto" w:sz="4" w:space="0"/>
              <w:bottom w:val="single" w:color="auto" w:sz="4" w:space="0"/>
            </w:tcBorders>
            <w:noWrap w:val="0"/>
            <w:vAlign w:val="center"/>
          </w:tcPr>
          <w:p w14:paraId="5FD8D362">
            <w:pPr>
              <w:bidi w:val="0"/>
              <w:rPr>
                <w:rFonts w:hint="eastAsia"/>
                <w:highlight w:val="none"/>
              </w:rPr>
            </w:pPr>
            <w:r>
              <w:rPr>
                <w:rFonts w:hint="eastAsia"/>
                <w:highlight w:val="none"/>
              </w:rPr>
              <w:t>见本招标文件 “评标办法及评分标准”。</w:t>
            </w:r>
          </w:p>
        </w:tc>
      </w:tr>
      <w:tr w14:paraId="6C38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7B5D03AB">
            <w:pPr>
              <w:pStyle w:val="34"/>
              <w:bidi w:val="0"/>
              <w:rPr>
                <w:rFonts w:hint="eastAsia"/>
                <w:highlight w:val="none"/>
              </w:rPr>
            </w:pPr>
            <w:r>
              <w:rPr>
                <w:rFonts w:hint="eastAsia"/>
                <w:highlight w:val="none"/>
              </w:rPr>
              <w:t>能力或业绩要求</w:t>
            </w:r>
          </w:p>
        </w:tc>
        <w:tc>
          <w:tcPr>
            <w:tcW w:w="8282" w:type="dxa"/>
            <w:gridSpan w:val="3"/>
            <w:tcBorders>
              <w:top w:val="single" w:color="auto" w:sz="4" w:space="0"/>
              <w:left w:val="single" w:color="auto" w:sz="4" w:space="0"/>
              <w:bottom w:val="single" w:color="auto" w:sz="4" w:space="0"/>
            </w:tcBorders>
            <w:noWrap w:val="0"/>
            <w:vAlign w:val="center"/>
          </w:tcPr>
          <w:p w14:paraId="26F4CB37">
            <w:pPr>
              <w:bidi w:val="0"/>
              <w:rPr>
                <w:rFonts w:hint="eastAsia"/>
                <w:highlight w:val="none"/>
              </w:rPr>
            </w:pPr>
            <w:r>
              <w:rPr>
                <w:rFonts w:hint="eastAsia"/>
                <w:highlight w:val="none"/>
              </w:rPr>
              <w:t>见本招标文件 “评标办法及评分标准”。</w:t>
            </w:r>
          </w:p>
        </w:tc>
      </w:tr>
      <w:tr w14:paraId="2598E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10140" w:type="dxa"/>
            <w:gridSpan w:val="6"/>
            <w:tcBorders>
              <w:top w:val="single" w:color="auto" w:sz="4" w:space="0"/>
              <w:bottom w:val="single" w:color="auto" w:sz="4" w:space="0"/>
            </w:tcBorders>
            <w:noWrap w:val="0"/>
            <w:vAlign w:val="center"/>
          </w:tcPr>
          <w:p w14:paraId="7EB298A3">
            <w:pPr>
              <w:pStyle w:val="36"/>
              <w:bidi w:val="0"/>
              <w:rPr>
                <w:rFonts w:hint="eastAsia" w:ascii="宋体" w:hAnsi="宋体" w:eastAsia="宋体" w:cs="宋体"/>
                <w:color w:val="auto"/>
                <w:szCs w:val="21"/>
                <w:highlight w:val="none"/>
              </w:rPr>
            </w:pPr>
            <w:r>
              <w:rPr>
                <w:rFonts w:hint="eastAsia"/>
                <w:highlight w:val="none"/>
              </w:rPr>
              <w:t>四、采购人对项目的特殊要求及说明</w:t>
            </w:r>
          </w:p>
        </w:tc>
      </w:tr>
      <w:tr w14:paraId="4F9CC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0AEA1672">
            <w:pPr>
              <w:pStyle w:val="34"/>
              <w:bidi w:val="0"/>
              <w:rPr>
                <w:rFonts w:hint="eastAsia"/>
                <w:highlight w:val="none"/>
              </w:rPr>
            </w:pPr>
            <w:r>
              <w:rPr>
                <w:rFonts w:hint="eastAsia"/>
                <w:highlight w:val="none"/>
              </w:rPr>
              <w:t>采购人的特殊要求及说明</w:t>
            </w:r>
          </w:p>
        </w:tc>
        <w:tc>
          <w:tcPr>
            <w:tcW w:w="8282" w:type="dxa"/>
            <w:gridSpan w:val="3"/>
            <w:tcBorders>
              <w:top w:val="single" w:color="auto" w:sz="4" w:space="0"/>
              <w:left w:val="single" w:color="auto" w:sz="4" w:space="0"/>
              <w:bottom w:val="single" w:color="auto" w:sz="4" w:space="0"/>
            </w:tcBorders>
            <w:noWrap w:val="0"/>
            <w:vAlign w:val="center"/>
          </w:tcPr>
          <w:p w14:paraId="4432D14D">
            <w:pPr>
              <w:bidi w:val="0"/>
              <w:rPr>
                <w:rFonts w:hint="eastAsia"/>
                <w:highlight w:val="none"/>
              </w:rPr>
            </w:pPr>
            <w:r>
              <w:rPr>
                <w:rFonts w:hint="eastAsia"/>
                <w:highlight w:val="none"/>
                <w:lang w:val="en-US" w:eastAsia="zh-CN"/>
              </w:rPr>
              <w:t>本标项不接受进口设备参与投标</w:t>
            </w:r>
            <w:r>
              <w:rPr>
                <w:rFonts w:hint="eastAsia"/>
                <w:highlight w:val="none"/>
              </w:rPr>
              <w:t>。</w:t>
            </w:r>
          </w:p>
        </w:tc>
      </w:tr>
      <w:tr w14:paraId="0EC55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E3B034A">
            <w:pPr>
              <w:pStyle w:val="34"/>
              <w:bidi w:val="0"/>
              <w:rPr>
                <w:rFonts w:hint="eastAsia"/>
                <w:highlight w:val="none"/>
              </w:rPr>
            </w:pPr>
            <w:r>
              <w:rPr>
                <w:rFonts w:hint="eastAsia"/>
                <w:highlight w:val="none"/>
              </w:rPr>
              <w:t>参考品牌及型号规格</w:t>
            </w:r>
          </w:p>
        </w:tc>
        <w:tc>
          <w:tcPr>
            <w:tcW w:w="8282" w:type="dxa"/>
            <w:gridSpan w:val="3"/>
            <w:tcBorders>
              <w:top w:val="single" w:color="auto" w:sz="4" w:space="0"/>
              <w:left w:val="single" w:color="auto" w:sz="4" w:space="0"/>
              <w:bottom w:val="single" w:color="auto" w:sz="4" w:space="0"/>
            </w:tcBorders>
            <w:noWrap w:val="0"/>
            <w:vAlign w:val="center"/>
          </w:tcPr>
          <w:p w14:paraId="6297D2F1">
            <w:pPr>
              <w:bidi w:val="0"/>
              <w:rPr>
                <w:rFonts w:hint="eastAsia"/>
                <w:highlight w:val="none"/>
              </w:rPr>
            </w:pPr>
            <w:r>
              <w:rPr>
                <w:rFonts w:hint="eastAsia"/>
                <w:highlight w:val="none"/>
              </w:rPr>
              <w:t>无</w:t>
            </w:r>
          </w:p>
        </w:tc>
      </w:tr>
      <w:tr w14:paraId="12CD6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56ED79AB">
            <w:pPr>
              <w:pStyle w:val="34"/>
              <w:bidi w:val="0"/>
              <w:rPr>
                <w:rFonts w:hint="eastAsia"/>
                <w:highlight w:val="none"/>
              </w:rPr>
            </w:pPr>
            <w:r>
              <w:rPr>
                <w:rFonts w:hint="eastAsia"/>
                <w:highlight w:val="none"/>
              </w:rPr>
              <w:t>为落实政府采购政策需满足的要求</w:t>
            </w:r>
          </w:p>
        </w:tc>
        <w:tc>
          <w:tcPr>
            <w:tcW w:w="8282" w:type="dxa"/>
            <w:gridSpan w:val="3"/>
            <w:tcBorders>
              <w:top w:val="single" w:color="auto" w:sz="4" w:space="0"/>
              <w:left w:val="single" w:color="auto" w:sz="4" w:space="0"/>
              <w:bottom w:val="single" w:color="auto" w:sz="4" w:space="0"/>
            </w:tcBorders>
            <w:noWrap w:val="0"/>
            <w:vAlign w:val="center"/>
          </w:tcPr>
          <w:p w14:paraId="76BBA614">
            <w:pPr>
              <w:bidi w:val="0"/>
              <w:rPr>
                <w:rFonts w:hint="eastAsia"/>
                <w:highlight w:val="none"/>
              </w:rPr>
            </w:pPr>
            <w:r>
              <w:rPr>
                <w:rFonts w:hint="eastAsia"/>
                <w:highlight w:val="none"/>
              </w:rPr>
              <w:t>详见《采购需求》及《评标办法及评分标准》</w:t>
            </w:r>
          </w:p>
        </w:tc>
      </w:tr>
      <w:tr w14:paraId="35EC1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70F99E46">
            <w:pPr>
              <w:pStyle w:val="34"/>
              <w:bidi w:val="0"/>
              <w:rPr>
                <w:rFonts w:hint="eastAsia"/>
                <w:highlight w:val="none"/>
              </w:rPr>
            </w:pPr>
            <w:r>
              <w:rPr>
                <w:rFonts w:hint="eastAsia"/>
                <w:highlight w:val="none"/>
              </w:rPr>
              <w:t>规范标准</w:t>
            </w:r>
          </w:p>
        </w:tc>
        <w:tc>
          <w:tcPr>
            <w:tcW w:w="8282" w:type="dxa"/>
            <w:gridSpan w:val="3"/>
            <w:tcBorders>
              <w:top w:val="single" w:color="auto" w:sz="4" w:space="0"/>
              <w:left w:val="single" w:color="auto" w:sz="4" w:space="0"/>
              <w:bottom w:val="single" w:color="auto" w:sz="4" w:space="0"/>
            </w:tcBorders>
            <w:noWrap w:val="0"/>
            <w:vAlign w:val="center"/>
          </w:tcPr>
          <w:p w14:paraId="5340CB3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执行现行的强制执行的国家、行业、地方标准</w:t>
            </w:r>
          </w:p>
        </w:tc>
      </w:tr>
      <w:tr w14:paraId="73499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6AF70CF6">
            <w:pPr>
              <w:pStyle w:val="34"/>
              <w:bidi w:val="0"/>
              <w:rPr>
                <w:rFonts w:hint="eastAsia"/>
                <w:highlight w:val="none"/>
              </w:rPr>
            </w:pPr>
            <w:r>
              <w:rPr>
                <w:rFonts w:hint="eastAsia"/>
                <w:highlight w:val="none"/>
              </w:rPr>
              <w:t>验收标准、验收方法及方案</w:t>
            </w:r>
          </w:p>
        </w:tc>
        <w:tc>
          <w:tcPr>
            <w:tcW w:w="8282" w:type="dxa"/>
            <w:gridSpan w:val="3"/>
            <w:tcBorders>
              <w:top w:val="single" w:color="auto" w:sz="4" w:space="0"/>
              <w:left w:val="single" w:color="auto" w:sz="4" w:space="0"/>
              <w:bottom w:val="single" w:color="auto" w:sz="4" w:space="0"/>
            </w:tcBorders>
            <w:noWrap w:val="0"/>
            <w:vAlign w:val="center"/>
          </w:tcPr>
          <w:p w14:paraId="3604D282">
            <w:pPr>
              <w:bidi w:val="0"/>
              <w:rPr>
                <w:rFonts w:hint="eastAsia"/>
                <w:highlight w:val="none"/>
              </w:rPr>
            </w:pPr>
            <w:r>
              <w:rPr>
                <w:rFonts w:hint="eastAsia"/>
                <w:highlight w:val="none"/>
              </w:rPr>
              <w:t>1.采购人对中标人提交的货物依据采购文件上的技术规格要求和国家有关质量标准进行现场签收，外观、说明书符合采购文件技术要求的，给予签收，不合格的不予签收。</w:t>
            </w:r>
          </w:p>
          <w:p w14:paraId="0325D36A">
            <w:pPr>
              <w:bidi w:val="0"/>
              <w:rPr>
                <w:rFonts w:hint="eastAsia"/>
                <w:highlight w:val="none"/>
              </w:rPr>
            </w:pPr>
            <w:r>
              <w:rPr>
                <w:rFonts w:hint="eastAsia"/>
                <w:highlight w:val="none"/>
              </w:rPr>
              <w:t>2.中标人交货前应对产品作出全面检查和对验收文件进行整理，并列出清单，作为采购人收货验收和使用的技术条件依据，检验的结果应随货物交采购人。中标人不能完整交付货物及本款规定的单证和工具的，必须负责补齐，否则视为未按合同约定交货。</w:t>
            </w:r>
          </w:p>
          <w:p w14:paraId="6E62BECC">
            <w:pPr>
              <w:bidi w:val="0"/>
              <w:rPr>
                <w:rFonts w:hint="eastAsia"/>
                <w:highlight w:val="none"/>
              </w:rPr>
            </w:pPr>
            <w:r>
              <w:rPr>
                <w:rFonts w:hint="eastAsia"/>
                <w:highlight w:val="none"/>
              </w:rPr>
              <w:t>3.中标人需负责安装、调试，并培训采购人的使用操作人员，直到设备运行符合技术要求，采购人方可验收。</w:t>
            </w:r>
          </w:p>
          <w:p w14:paraId="399C8023">
            <w:pPr>
              <w:bidi w:val="0"/>
              <w:rPr>
                <w:rFonts w:hint="eastAsia"/>
                <w:highlight w:val="none"/>
              </w:rPr>
            </w:pPr>
            <w:r>
              <w:rPr>
                <w:rFonts w:hint="eastAsia"/>
                <w:highlight w:val="none"/>
              </w:rPr>
              <w:t>4.采购人组织验收，中标人必须到场配合，验收合格后双方签署验收合格凭证。</w:t>
            </w:r>
          </w:p>
          <w:p w14:paraId="01934086">
            <w:pPr>
              <w:bidi w:val="0"/>
              <w:rPr>
                <w:rFonts w:hint="eastAsia"/>
                <w:highlight w:val="none"/>
              </w:rPr>
            </w:pPr>
            <w:r>
              <w:rPr>
                <w:rFonts w:hint="eastAsia"/>
                <w:highlight w:val="none"/>
              </w:rPr>
              <w:t>5.其他未尽事宜应严格按照《关于印发广西壮族自治区政府采购项目履约验收管理办法的通知》[桂财采〔2015〕22号]以及《财政部关于进一步加强政府采购需求和履约验收管理的指导意见》[财库〔2016〕205号]规定执行。</w:t>
            </w:r>
          </w:p>
          <w:p w14:paraId="7D85E2A8">
            <w:pPr>
              <w:bidi w:val="0"/>
              <w:rPr>
                <w:rFonts w:hint="eastAsia" w:ascii="宋体" w:hAnsi="宋体" w:eastAsia="宋体" w:cs="宋体"/>
                <w:color w:val="auto"/>
                <w:szCs w:val="21"/>
                <w:highlight w:val="none"/>
              </w:rPr>
            </w:pPr>
            <w:r>
              <w:rPr>
                <w:rFonts w:hint="eastAsia"/>
                <w:highlight w:val="none"/>
              </w:rPr>
              <w:t>6.验收产生的费用中标人负责。</w:t>
            </w:r>
          </w:p>
        </w:tc>
      </w:tr>
      <w:tr w14:paraId="567EB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3DA16986">
            <w:pPr>
              <w:pStyle w:val="34"/>
              <w:bidi w:val="0"/>
              <w:rPr>
                <w:rFonts w:hint="eastAsia"/>
                <w:highlight w:val="none"/>
              </w:rPr>
            </w:pPr>
            <w:r>
              <w:rPr>
                <w:rFonts w:hint="eastAsia"/>
                <w:highlight w:val="none"/>
              </w:rPr>
              <w:t>其他技术及服务要求</w:t>
            </w:r>
          </w:p>
        </w:tc>
        <w:tc>
          <w:tcPr>
            <w:tcW w:w="8282" w:type="dxa"/>
            <w:gridSpan w:val="3"/>
            <w:tcBorders>
              <w:top w:val="single" w:color="auto" w:sz="4" w:space="0"/>
              <w:left w:val="single" w:color="auto" w:sz="4" w:space="0"/>
              <w:bottom w:val="single" w:color="auto" w:sz="4" w:space="0"/>
            </w:tcBorders>
            <w:noWrap w:val="0"/>
            <w:vAlign w:val="center"/>
          </w:tcPr>
          <w:p w14:paraId="1494D795">
            <w:pPr>
              <w:bidi w:val="0"/>
              <w:rPr>
                <w:rFonts w:hint="eastAsia"/>
                <w:highlight w:val="none"/>
              </w:rPr>
            </w:pPr>
            <w:r>
              <w:rPr>
                <w:rFonts w:hint="eastAsia"/>
                <w:highlight w:val="none"/>
              </w:rPr>
              <w:t>1.</w:t>
            </w:r>
            <w:r>
              <w:rPr>
                <w:rFonts w:hint="eastAsia"/>
                <w:highlight w:val="none"/>
                <w:lang w:val="en-US" w:eastAsia="zh-CN"/>
              </w:rPr>
              <w:t>投标人</w:t>
            </w:r>
            <w:r>
              <w:rPr>
                <w:rFonts w:hint="eastAsia"/>
                <w:highlight w:val="none"/>
              </w:rPr>
              <w:t>保证向采购人提供的货物是全新、完整、未使用过的。</w:t>
            </w:r>
          </w:p>
          <w:p w14:paraId="28C6EA17">
            <w:pPr>
              <w:bidi w:val="0"/>
              <w:rPr>
                <w:rFonts w:hint="eastAsia" w:ascii="宋体" w:hAnsi="宋体" w:eastAsia="宋体" w:cs="宋体"/>
                <w:color w:val="auto"/>
                <w:szCs w:val="21"/>
                <w:highlight w:val="none"/>
              </w:rPr>
            </w:pPr>
            <w:r>
              <w:rPr>
                <w:rFonts w:hint="eastAsia"/>
                <w:highlight w:val="none"/>
                <w:lang w:val="en-US" w:eastAsia="zh-CN"/>
              </w:rPr>
              <w:t>2.</w:t>
            </w:r>
            <w:r>
              <w:rPr>
                <w:rFonts w:hint="eastAsia"/>
                <w:highlight w:val="none"/>
              </w:rPr>
              <w:t>投标人根据自身情况提供技术方案及项目实施方案（包含但不限于管理措施、具体实施流程、进度安排、质量保证措施、风险防范措施等）</w:t>
            </w:r>
          </w:p>
        </w:tc>
      </w:tr>
      <w:tr w14:paraId="39F05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140" w:type="dxa"/>
            <w:gridSpan w:val="6"/>
            <w:tcBorders>
              <w:top w:val="single" w:color="auto" w:sz="4" w:space="0"/>
              <w:left w:val="single" w:color="auto" w:sz="4" w:space="0"/>
              <w:bottom w:val="single" w:color="auto" w:sz="4" w:space="0"/>
              <w:right w:val="single" w:color="auto" w:sz="4" w:space="0"/>
            </w:tcBorders>
            <w:noWrap w:val="0"/>
            <w:vAlign w:val="center"/>
          </w:tcPr>
          <w:p w14:paraId="029B368F">
            <w:pPr>
              <w:spacing w:line="380" w:lineRule="exact"/>
              <w:ind w:left="283" w:hanging="325" w:hangingChars="135"/>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五、其他 </w:t>
            </w:r>
          </w:p>
        </w:tc>
      </w:tr>
      <w:tr w14:paraId="46570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left w:val="single" w:color="auto" w:sz="4" w:space="0"/>
              <w:bottom w:val="single" w:color="auto" w:sz="4" w:space="0"/>
              <w:right w:val="single" w:color="auto" w:sz="4" w:space="0"/>
            </w:tcBorders>
            <w:noWrap w:val="0"/>
            <w:vAlign w:val="center"/>
          </w:tcPr>
          <w:p w14:paraId="43300D7F">
            <w:pPr>
              <w:pStyle w:val="34"/>
              <w:bidi w:val="0"/>
              <w:rPr>
                <w:rFonts w:hint="eastAsia"/>
                <w:highlight w:val="none"/>
              </w:rPr>
            </w:pPr>
            <w:r>
              <w:rPr>
                <w:rFonts w:hint="eastAsia"/>
                <w:highlight w:val="none"/>
              </w:rPr>
              <w:t>产品资料及说明文件</w:t>
            </w:r>
          </w:p>
        </w:tc>
        <w:tc>
          <w:tcPr>
            <w:tcW w:w="8282" w:type="dxa"/>
            <w:gridSpan w:val="3"/>
            <w:tcBorders>
              <w:top w:val="single" w:color="auto" w:sz="4" w:space="0"/>
              <w:left w:val="single" w:color="auto" w:sz="4" w:space="0"/>
              <w:bottom w:val="single" w:color="auto" w:sz="4" w:space="0"/>
              <w:right w:val="single" w:color="auto" w:sz="4" w:space="0"/>
            </w:tcBorders>
            <w:noWrap w:val="0"/>
            <w:vAlign w:val="center"/>
          </w:tcPr>
          <w:p w14:paraId="14BCCCBF">
            <w:pPr>
              <w:numPr>
                <w:ilvl w:val="-1"/>
                <w:numId w:val="0"/>
              </w:numPr>
              <w:bidi w:val="0"/>
              <w:ind w:firstLine="480" w:firstLineChars="200"/>
              <w:rPr>
                <w:rFonts w:hint="eastAsia"/>
                <w:highlight w:val="none"/>
              </w:rPr>
            </w:pPr>
            <w:r>
              <w:rPr>
                <w:rFonts w:hint="eastAsia"/>
                <w:highlight w:val="none"/>
                <w:lang w:val="en-US" w:eastAsia="zh-CN"/>
              </w:rPr>
              <w:t>1、</w:t>
            </w:r>
            <w:r>
              <w:rPr>
                <w:rFonts w:hint="eastAsia"/>
                <w:highlight w:val="none"/>
              </w:rPr>
              <w:t>投标文件中提供投标产品对外公开的产品彩页或说明书（体现技术参数，可以是从生产厂家网页下载的PDF或HTM文件），以供评标时核对。当投标文件提供的仪器性能参数与该仪器生产商提供的性能参数不符合时，以后者为准。</w:t>
            </w:r>
          </w:p>
          <w:p w14:paraId="2BFC64B4">
            <w:pPr>
              <w:bidi w:val="0"/>
              <w:ind w:firstLine="480" w:firstLineChars="20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rPr>
              <w:t>投标人在供货时提供所投标产品生产厂家合法授权的厂家代理商出具的授权书，原件备查。</w:t>
            </w:r>
          </w:p>
        </w:tc>
      </w:tr>
      <w:tr w14:paraId="6D78C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left w:val="single" w:color="auto" w:sz="4" w:space="0"/>
              <w:bottom w:val="single" w:color="auto" w:sz="4" w:space="0"/>
              <w:right w:val="single" w:color="auto" w:sz="4" w:space="0"/>
            </w:tcBorders>
            <w:noWrap w:val="0"/>
            <w:vAlign w:val="center"/>
          </w:tcPr>
          <w:p w14:paraId="7F7D1124">
            <w:pPr>
              <w:pStyle w:val="34"/>
              <w:bidi w:val="0"/>
              <w:rPr>
                <w:rFonts w:hint="eastAsia"/>
                <w:highlight w:val="none"/>
              </w:rPr>
            </w:pPr>
            <w:r>
              <w:rPr>
                <w:rFonts w:hint="eastAsia"/>
                <w:highlight w:val="none"/>
                <w:lang w:eastAsia="zh-CN"/>
              </w:rPr>
              <w:t>▲</w:t>
            </w:r>
            <w:r>
              <w:rPr>
                <w:rFonts w:hint="eastAsia"/>
                <w:highlight w:val="none"/>
              </w:rPr>
              <w:t>采购预算价及最高限价</w:t>
            </w:r>
          </w:p>
        </w:tc>
        <w:tc>
          <w:tcPr>
            <w:tcW w:w="8282" w:type="dxa"/>
            <w:gridSpan w:val="3"/>
            <w:tcBorders>
              <w:top w:val="single" w:color="auto" w:sz="4" w:space="0"/>
              <w:left w:val="single" w:color="auto" w:sz="4" w:space="0"/>
              <w:bottom w:val="single" w:color="auto" w:sz="4" w:space="0"/>
              <w:right w:val="single" w:color="auto" w:sz="4" w:space="0"/>
            </w:tcBorders>
            <w:noWrap w:val="0"/>
            <w:vAlign w:val="top"/>
          </w:tcPr>
          <w:p w14:paraId="56B590E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详见《第一章公开招标公告》，投标报价超采购预算的投标无效。</w:t>
            </w:r>
          </w:p>
        </w:tc>
      </w:tr>
      <w:tr w14:paraId="3CF76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left w:val="single" w:color="auto" w:sz="4" w:space="0"/>
              <w:bottom w:val="single" w:color="auto" w:sz="4" w:space="0"/>
              <w:right w:val="single" w:color="auto" w:sz="4" w:space="0"/>
            </w:tcBorders>
            <w:noWrap w:val="0"/>
            <w:vAlign w:val="center"/>
          </w:tcPr>
          <w:p w14:paraId="5FDE1EFA">
            <w:pPr>
              <w:pStyle w:val="34"/>
              <w:bidi w:val="0"/>
              <w:rPr>
                <w:rFonts w:hint="default" w:eastAsia="宋体"/>
                <w:highlight w:val="none"/>
                <w:lang w:val="en-US" w:eastAsia="zh-CN"/>
              </w:rPr>
            </w:pPr>
            <w:r>
              <w:rPr>
                <w:rFonts w:hint="eastAsia"/>
                <w:highlight w:val="none"/>
                <w:lang w:eastAsia="zh-CN"/>
              </w:rPr>
              <w:t>▲</w:t>
            </w:r>
            <w:r>
              <w:rPr>
                <w:rFonts w:hint="eastAsia"/>
                <w:highlight w:val="none"/>
                <w:lang w:val="en-US" w:eastAsia="zh-CN"/>
              </w:rPr>
              <w:t>特定资格要求</w:t>
            </w:r>
          </w:p>
        </w:tc>
        <w:tc>
          <w:tcPr>
            <w:tcW w:w="8282" w:type="dxa"/>
            <w:gridSpan w:val="3"/>
            <w:tcBorders>
              <w:top w:val="single" w:color="auto" w:sz="4" w:space="0"/>
              <w:left w:val="single" w:color="auto" w:sz="4" w:space="0"/>
              <w:bottom w:val="single" w:color="auto" w:sz="4" w:space="0"/>
              <w:right w:val="single" w:color="auto" w:sz="4" w:space="0"/>
            </w:tcBorders>
            <w:noWrap w:val="0"/>
            <w:vAlign w:val="top"/>
          </w:tcPr>
          <w:p w14:paraId="60980C7C">
            <w:pPr>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详见</w:t>
            </w:r>
            <w:r>
              <w:rPr>
                <w:rFonts w:hint="eastAsia" w:ascii="宋体" w:hAnsi="宋体" w:eastAsia="宋体" w:cs="宋体"/>
                <w:color w:val="auto"/>
                <w:szCs w:val="21"/>
                <w:highlight w:val="none"/>
              </w:rPr>
              <w:t>《第一章公开招标公告》</w:t>
            </w:r>
            <w:r>
              <w:rPr>
                <w:rFonts w:hint="eastAsia" w:ascii="宋体" w:hAnsi="宋体" w:eastAsia="宋体" w:cs="宋体"/>
                <w:color w:val="auto"/>
                <w:szCs w:val="21"/>
                <w:highlight w:val="none"/>
                <w:lang w:eastAsia="zh-CN"/>
              </w:rPr>
              <w:t>。</w:t>
            </w:r>
          </w:p>
        </w:tc>
      </w:tr>
      <w:bookmarkEnd w:id="31"/>
    </w:tbl>
    <w:p w14:paraId="568BFCC9">
      <w:pPr>
        <w:bidi w:val="0"/>
        <w:rPr>
          <w:highlight w:val="none"/>
        </w:rPr>
      </w:pPr>
      <w:bookmarkStart w:id="36" w:name="_Toc291688341"/>
    </w:p>
    <w:p w14:paraId="4327E185">
      <w:pPr>
        <w:pStyle w:val="2"/>
        <w:pageBreakBefore w:val="0"/>
        <w:kinsoku/>
        <w:wordWrap w:val="0"/>
        <w:overflowPunct/>
        <w:topLinePunct/>
        <w:autoSpaceDE w:val="0"/>
        <w:autoSpaceDN w:val="0"/>
        <w:bidi w:val="0"/>
        <w:rPr>
          <w:rFonts w:hint="eastAsia" w:ascii="微软雅黑" w:hAnsi="微软雅黑" w:eastAsia="微软雅黑" w:cs="微软雅黑"/>
          <w:sz w:val="32"/>
          <w:szCs w:val="32"/>
          <w:highlight w:val="none"/>
        </w:rPr>
        <w:sectPr>
          <w:footerReference r:id="rId7" w:type="default"/>
          <w:pgSz w:w="11906" w:h="16839"/>
          <w:pgMar w:top="400" w:right="994" w:bottom="1156" w:left="1255" w:header="0" w:footer="994" w:gutter="0"/>
          <w:pgNumType w:fmt="decimal" w:start="1"/>
          <w:cols w:space="720" w:num="1"/>
        </w:sectPr>
      </w:pPr>
    </w:p>
    <w:p w14:paraId="7EC12E21">
      <w:pPr>
        <w:pStyle w:val="4"/>
        <w:bidi w:val="0"/>
        <w:rPr>
          <w:rFonts w:hint="eastAsia"/>
          <w:highlight w:val="none"/>
        </w:rPr>
      </w:pPr>
      <w:r>
        <w:rPr>
          <w:rFonts w:hint="eastAsia"/>
          <w:highlight w:val="none"/>
        </w:rPr>
        <w:t>附件1：</w:t>
      </w:r>
    </w:p>
    <w:p w14:paraId="4EF6D4DF">
      <w:pPr>
        <w:pStyle w:val="35"/>
        <w:bidi w:val="0"/>
        <w:rPr>
          <w:rFonts w:hint="eastAsia"/>
          <w:highlight w:val="none"/>
        </w:rPr>
      </w:pPr>
      <w:r>
        <w:rPr>
          <w:rFonts w:hint="eastAsia"/>
          <w:highlight w:val="none"/>
        </w:rPr>
        <w:t>节能产品政府采购品目清单</w:t>
      </w:r>
    </w:p>
    <w:tbl>
      <w:tblPr>
        <w:tblStyle w:val="24"/>
        <w:tblW w:w="9438" w:type="dxa"/>
        <w:jc w:val="center"/>
        <w:tblLayout w:type="autofit"/>
        <w:tblCellMar>
          <w:top w:w="0" w:type="dxa"/>
          <w:left w:w="108" w:type="dxa"/>
          <w:bottom w:w="0" w:type="dxa"/>
          <w:right w:w="108" w:type="dxa"/>
        </w:tblCellMar>
      </w:tblPr>
      <w:tblGrid>
        <w:gridCol w:w="675"/>
        <w:gridCol w:w="1105"/>
        <w:gridCol w:w="1351"/>
        <w:gridCol w:w="1659"/>
        <w:gridCol w:w="4648"/>
      </w:tblGrid>
      <w:tr w14:paraId="04D343BC">
        <w:tblPrEx>
          <w:tblCellMar>
            <w:top w:w="0" w:type="dxa"/>
            <w:left w:w="108" w:type="dxa"/>
            <w:bottom w:w="0" w:type="dxa"/>
            <w:right w:w="108" w:type="dxa"/>
          </w:tblCellMar>
        </w:tblPrEx>
        <w:trPr>
          <w:trHeight w:val="555" w:hRule="atLeast"/>
          <w:jc w:val="center"/>
        </w:trPr>
        <w:tc>
          <w:tcPr>
            <w:tcW w:w="675" w:type="dxa"/>
            <w:tcBorders>
              <w:top w:val="single" w:color="000000" w:sz="8" w:space="0"/>
              <w:left w:val="single" w:color="000000" w:sz="8" w:space="0"/>
              <w:bottom w:val="nil"/>
              <w:right w:val="single" w:color="000000" w:sz="8" w:space="0"/>
            </w:tcBorders>
            <w:noWrap/>
          </w:tcPr>
          <w:p w14:paraId="4A399CCD">
            <w:pPr>
              <w:pStyle w:val="34"/>
              <w:bidi w:val="0"/>
              <w:rPr>
                <w:highlight w:val="none"/>
              </w:rPr>
            </w:pPr>
            <w:r>
              <w:rPr>
                <w:rFonts w:hint="eastAsia"/>
                <w:highlight w:val="none"/>
              </w:rPr>
              <w:t>品目序号</w:t>
            </w:r>
          </w:p>
        </w:tc>
        <w:tc>
          <w:tcPr>
            <w:tcW w:w="4115" w:type="dxa"/>
            <w:gridSpan w:val="3"/>
            <w:tcBorders>
              <w:top w:val="single" w:color="000000" w:sz="8" w:space="0"/>
              <w:left w:val="nil"/>
              <w:bottom w:val="single" w:color="000000" w:sz="8" w:space="0"/>
              <w:right w:val="single" w:color="000000" w:sz="8" w:space="0"/>
            </w:tcBorders>
            <w:noWrap/>
            <w:vAlign w:val="center"/>
          </w:tcPr>
          <w:p w14:paraId="3BE2D661">
            <w:pPr>
              <w:pStyle w:val="34"/>
              <w:bidi w:val="0"/>
              <w:rPr>
                <w:highlight w:val="none"/>
              </w:rPr>
            </w:pPr>
            <w:r>
              <w:rPr>
                <w:rFonts w:hint="eastAsia"/>
                <w:highlight w:val="none"/>
              </w:rPr>
              <w:t>名称</w:t>
            </w:r>
          </w:p>
        </w:tc>
        <w:tc>
          <w:tcPr>
            <w:tcW w:w="4648" w:type="dxa"/>
            <w:tcBorders>
              <w:top w:val="single" w:color="000000" w:sz="8" w:space="0"/>
              <w:left w:val="nil"/>
              <w:bottom w:val="single" w:color="000000" w:sz="8" w:space="0"/>
              <w:right w:val="single" w:color="000000" w:sz="8" w:space="0"/>
            </w:tcBorders>
            <w:noWrap/>
            <w:vAlign w:val="center"/>
          </w:tcPr>
          <w:p w14:paraId="351E9718">
            <w:pPr>
              <w:pStyle w:val="34"/>
              <w:bidi w:val="0"/>
              <w:rPr>
                <w:highlight w:val="none"/>
              </w:rPr>
            </w:pPr>
            <w:r>
              <w:rPr>
                <w:rFonts w:hint="eastAsia"/>
                <w:highlight w:val="none"/>
              </w:rPr>
              <w:t>依据的标准</w:t>
            </w:r>
          </w:p>
        </w:tc>
      </w:tr>
      <w:tr w14:paraId="3E490BE8">
        <w:tblPrEx>
          <w:tblCellMar>
            <w:top w:w="0" w:type="dxa"/>
            <w:left w:w="108" w:type="dxa"/>
            <w:bottom w:w="0" w:type="dxa"/>
            <w:right w:w="108" w:type="dxa"/>
          </w:tblCellMar>
        </w:tblPrEx>
        <w:trPr>
          <w:trHeight w:val="495" w:hRule="atLeast"/>
          <w:jc w:val="center"/>
        </w:trPr>
        <w:tc>
          <w:tcPr>
            <w:tcW w:w="675" w:type="dxa"/>
            <w:vMerge w:val="restart"/>
            <w:tcBorders>
              <w:top w:val="single" w:color="000000" w:sz="8" w:space="0"/>
              <w:left w:val="single" w:color="000000" w:sz="8" w:space="0"/>
              <w:bottom w:val="single" w:color="000000" w:sz="8" w:space="0"/>
              <w:right w:val="single" w:color="000000" w:sz="8" w:space="0"/>
            </w:tcBorders>
            <w:noWrap/>
            <w:vAlign w:val="center"/>
          </w:tcPr>
          <w:p w14:paraId="29D4D1A9">
            <w:pPr>
              <w:pStyle w:val="34"/>
              <w:bidi w:val="0"/>
              <w:rPr>
                <w:highlight w:val="none"/>
              </w:rPr>
            </w:pPr>
            <w:r>
              <w:rPr>
                <w:rFonts w:hint="eastAsia"/>
                <w:highlight w:val="none"/>
              </w:rPr>
              <w:t>1</w:t>
            </w:r>
          </w:p>
        </w:tc>
        <w:tc>
          <w:tcPr>
            <w:tcW w:w="1105" w:type="dxa"/>
            <w:vMerge w:val="restart"/>
            <w:tcBorders>
              <w:top w:val="nil"/>
              <w:left w:val="single" w:color="000000" w:sz="8" w:space="0"/>
              <w:bottom w:val="single" w:color="000000" w:sz="8" w:space="0"/>
              <w:right w:val="single" w:color="000000" w:sz="8" w:space="0"/>
            </w:tcBorders>
            <w:noWrap/>
            <w:vAlign w:val="center"/>
          </w:tcPr>
          <w:p w14:paraId="42B245DA">
            <w:pPr>
              <w:pStyle w:val="34"/>
              <w:bidi w:val="0"/>
              <w:rPr>
                <w:highlight w:val="none"/>
              </w:rPr>
            </w:pPr>
            <w:r>
              <w:rPr>
                <w:rFonts w:hint="eastAsia"/>
                <w:highlight w:val="none"/>
              </w:rPr>
              <w:t>A020101计算机设备</w:t>
            </w:r>
          </w:p>
        </w:tc>
        <w:tc>
          <w:tcPr>
            <w:tcW w:w="1351" w:type="dxa"/>
            <w:tcBorders>
              <w:top w:val="nil"/>
              <w:left w:val="nil"/>
              <w:bottom w:val="single" w:color="000000" w:sz="8" w:space="0"/>
              <w:right w:val="single" w:color="000000" w:sz="8" w:space="0"/>
            </w:tcBorders>
            <w:noWrap/>
            <w:vAlign w:val="center"/>
          </w:tcPr>
          <w:p w14:paraId="15CFF748">
            <w:pPr>
              <w:pStyle w:val="34"/>
              <w:bidi w:val="0"/>
              <w:rPr>
                <w:highlight w:val="none"/>
              </w:rPr>
            </w:pPr>
            <w:r>
              <w:rPr>
                <w:rFonts w:hint="eastAsia"/>
                <w:highlight w:val="none"/>
              </w:rPr>
              <w:t>★A02010104台式计算机</w:t>
            </w:r>
          </w:p>
        </w:tc>
        <w:tc>
          <w:tcPr>
            <w:tcW w:w="1659" w:type="dxa"/>
            <w:tcBorders>
              <w:top w:val="nil"/>
              <w:left w:val="nil"/>
              <w:bottom w:val="single" w:color="000000" w:sz="8" w:space="0"/>
              <w:right w:val="single" w:color="000000" w:sz="8" w:space="0"/>
            </w:tcBorders>
            <w:noWrap/>
            <w:vAlign w:val="center"/>
          </w:tcPr>
          <w:p w14:paraId="19986EFA">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4F6AD306">
            <w:pPr>
              <w:pStyle w:val="34"/>
              <w:bidi w:val="0"/>
              <w:rPr>
                <w:highlight w:val="none"/>
              </w:rPr>
            </w:pPr>
            <w:r>
              <w:rPr>
                <w:rFonts w:hint="eastAsia"/>
                <w:highlight w:val="none"/>
              </w:rPr>
              <w:t>《微型计算机能效限定值及能效等级》（GB28380）</w:t>
            </w:r>
          </w:p>
        </w:tc>
      </w:tr>
      <w:tr w14:paraId="049E93F5">
        <w:tblPrEx>
          <w:tblCellMar>
            <w:top w:w="0" w:type="dxa"/>
            <w:left w:w="108" w:type="dxa"/>
            <w:bottom w:w="0" w:type="dxa"/>
            <w:right w:w="108" w:type="dxa"/>
          </w:tblCellMar>
        </w:tblPrEx>
        <w:trPr>
          <w:trHeight w:val="49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DCEF673">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78A65E4">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07D61BFF">
            <w:pPr>
              <w:pStyle w:val="34"/>
              <w:bidi w:val="0"/>
              <w:rPr>
                <w:highlight w:val="none"/>
              </w:rPr>
            </w:pPr>
            <w:r>
              <w:rPr>
                <w:rFonts w:hint="eastAsia"/>
                <w:highlight w:val="none"/>
              </w:rPr>
              <w:t>★A02010105便携式计算机</w:t>
            </w:r>
          </w:p>
        </w:tc>
        <w:tc>
          <w:tcPr>
            <w:tcW w:w="1659" w:type="dxa"/>
            <w:tcBorders>
              <w:top w:val="nil"/>
              <w:left w:val="nil"/>
              <w:bottom w:val="single" w:color="000000" w:sz="8" w:space="0"/>
              <w:right w:val="single" w:color="000000" w:sz="8" w:space="0"/>
            </w:tcBorders>
            <w:noWrap/>
            <w:vAlign w:val="center"/>
          </w:tcPr>
          <w:p w14:paraId="524EDB91">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5AD5491E">
            <w:pPr>
              <w:pStyle w:val="34"/>
              <w:bidi w:val="0"/>
              <w:rPr>
                <w:highlight w:val="none"/>
              </w:rPr>
            </w:pPr>
            <w:r>
              <w:rPr>
                <w:rFonts w:hint="eastAsia"/>
                <w:highlight w:val="none"/>
              </w:rPr>
              <w:t>《微型计算机能效限定值及能效等级》（GB28380）</w:t>
            </w:r>
          </w:p>
        </w:tc>
      </w:tr>
      <w:tr w14:paraId="44C4087F">
        <w:tblPrEx>
          <w:tblCellMar>
            <w:top w:w="0" w:type="dxa"/>
            <w:left w:w="108" w:type="dxa"/>
            <w:bottom w:w="0" w:type="dxa"/>
            <w:right w:w="108" w:type="dxa"/>
          </w:tblCellMar>
        </w:tblPrEx>
        <w:trPr>
          <w:trHeight w:val="73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125A5792">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310840D">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350D669A">
            <w:pPr>
              <w:pStyle w:val="34"/>
              <w:bidi w:val="0"/>
              <w:rPr>
                <w:highlight w:val="none"/>
              </w:rPr>
            </w:pPr>
            <w:r>
              <w:rPr>
                <w:rFonts w:hint="eastAsia"/>
                <w:highlight w:val="none"/>
              </w:rPr>
              <w:t>★A02010107平板式微型计算机</w:t>
            </w:r>
          </w:p>
        </w:tc>
        <w:tc>
          <w:tcPr>
            <w:tcW w:w="1659" w:type="dxa"/>
            <w:tcBorders>
              <w:top w:val="nil"/>
              <w:left w:val="nil"/>
              <w:bottom w:val="single" w:color="000000" w:sz="8" w:space="0"/>
              <w:right w:val="single" w:color="000000" w:sz="8" w:space="0"/>
            </w:tcBorders>
            <w:noWrap/>
            <w:vAlign w:val="center"/>
          </w:tcPr>
          <w:p w14:paraId="366D8832">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1957DA72">
            <w:pPr>
              <w:pStyle w:val="34"/>
              <w:bidi w:val="0"/>
              <w:rPr>
                <w:highlight w:val="none"/>
              </w:rPr>
            </w:pPr>
            <w:r>
              <w:rPr>
                <w:rFonts w:hint="eastAsia"/>
                <w:highlight w:val="none"/>
              </w:rPr>
              <w:t>《微型计算机能效限定值及能效等级》（GB28380）</w:t>
            </w:r>
          </w:p>
        </w:tc>
      </w:tr>
      <w:tr w14:paraId="54C0C121">
        <w:tblPrEx>
          <w:tblCellMar>
            <w:top w:w="0" w:type="dxa"/>
            <w:left w:w="108" w:type="dxa"/>
            <w:bottom w:w="0" w:type="dxa"/>
            <w:right w:w="108" w:type="dxa"/>
          </w:tblCellMar>
        </w:tblPrEx>
        <w:trPr>
          <w:trHeight w:val="495" w:hRule="atLeast"/>
          <w:jc w:val="center"/>
        </w:trPr>
        <w:tc>
          <w:tcPr>
            <w:tcW w:w="675" w:type="dxa"/>
            <w:vMerge w:val="restart"/>
            <w:tcBorders>
              <w:top w:val="nil"/>
              <w:left w:val="single" w:color="000000" w:sz="8" w:space="0"/>
              <w:bottom w:val="single" w:color="000000" w:sz="8" w:space="0"/>
              <w:right w:val="single" w:color="000000" w:sz="8" w:space="0"/>
            </w:tcBorders>
            <w:noWrap/>
            <w:vAlign w:val="center"/>
          </w:tcPr>
          <w:p w14:paraId="355555E2">
            <w:pPr>
              <w:pStyle w:val="34"/>
              <w:bidi w:val="0"/>
              <w:rPr>
                <w:highlight w:val="none"/>
              </w:rPr>
            </w:pPr>
            <w:r>
              <w:rPr>
                <w:rFonts w:hint="eastAsia"/>
                <w:highlight w:val="none"/>
              </w:rPr>
              <w:t>2</w:t>
            </w:r>
          </w:p>
        </w:tc>
        <w:tc>
          <w:tcPr>
            <w:tcW w:w="1105" w:type="dxa"/>
            <w:vMerge w:val="restart"/>
            <w:tcBorders>
              <w:top w:val="nil"/>
              <w:left w:val="single" w:color="000000" w:sz="8" w:space="0"/>
              <w:bottom w:val="single" w:color="000000" w:sz="8" w:space="0"/>
              <w:right w:val="single" w:color="000000" w:sz="8" w:space="0"/>
            </w:tcBorders>
            <w:noWrap/>
            <w:vAlign w:val="center"/>
          </w:tcPr>
          <w:p w14:paraId="2C3605CF">
            <w:pPr>
              <w:pStyle w:val="34"/>
              <w:bidi w:val="0"/>
              <w:rPr>
                <w:highlight w:val="none"/>
              </w:rPr>
            </w:pPr>
            <w:r>
              <w:rPr>
                <w:rFonts w:hint="eastAsia"/>
                <w:highlight w:val="none"/>
              </w:rPr>
              <w:t>A020106输入输出设备</w:t>
            </w:r>
          </w:p>
        </w:tc>
        <w:tc>
          <w:tcPr>
            <w:tcW w:w="1351" w:type="dxa"/>
            <w:vMerge w:val="restart"/>
            <w:tcBorders>
              <w:top w:val="nil"/>
              <w:left w:val="single" w:color="000000" w:sz="8" w:space="0"/>
              <w:bottom w:val="single" w:color="000000" w:sz="8" w:space="0"/>
              <w:right w:val="single" w:color="000000" w:sz="8" w:space="0"/>
            </w:tcBorders>
            <w:noWrap/>
            <w:vAlign w:val="center"/>
          </w:tcPr>
          <w:p w14:paraId="214398A2">
            <w:pPr>
              <w:pStyle w:val="34"/>
              <w:bidi w:val="0"/>
              <w:rPr>
                <w:highlight w:val="none"/>
              </w:rPr>
            </w:pPr>
            <w:r>
              <w:rPr>
                <w:rFonts w:hint="eastAsia"/>
                <w:highlight w:val="none"/>
              </w:rPr>
              <w:t>A02010601打印设备</w:t>
            </w:r>
          </w:p>
        </w:tc>
        <w:tc>
          <w:tcPr>
            <w:tcW w:w="1659" w:type="dxa"/>
            <w:tcBorders>
              <w:top w:val="nil"/>
              <w:left w:val="nil"/>
              <w:bottom w:val="single" w:color="000000" w:sz="8" w:space="0"/>
              <w:right w:val="single" w:color="000000" w:sz="8" w:space="0"/>
            </w:tcBorders>
            <w:noWrap/>
            <w:vAlign w:val="center"/>
          </w:tcPr>
          <w:p w14:paraId="58939872">
            <w:pPr>
              <w:pStyle w:val="34"/>
              <w:bidi w:val="0"/>
              <w:rPr>
                <w:highlight w:val="none"/>
              </w:rPr>
            </w:pPr>
            <w:r>
              <w:rPr>
                <w:rFonts w:hint="eastAsia"/>
                <w:highlight w:val="none"/>
              </w:rPr>
              <w:t>A0201060101喷墨打印机</w:t>
            </w:r>
          </w:p>
        </w:tc>
        <w:tc>
          <w:tcPr>
            <w:tcW w:w="4648" w:type="dxa"/>
            <w:tcBorders>
              <w:top w:val="nil"/>
              <w:left w:val="nil"/>
              <w:bottom w:val="single" w:color="000000" w:sz="8" w:space="0"/>
              <w:right w:val="single" w:color="000000" w:sz="8" w:space="0"/>
            </w:tcBorders>
            <w:noWrap/>
            <w:vAlign w:val="center"/>
          </w:tcPr>
          <w:p w14:paraId="58675AC4">
            <w:pPr>
              <w:pStyle w:val="34"/>
              <w:bidi w:val="0"/>
              <w:rPr>
                <w:highlight w:val="none"/>
              </w:rPr>
            </w:pPr>
            <w:r>
              <w:rPr>
                <w:rFonts w:hint="eastAsia"/>
                <w:highlight w:val="none"/>
              </w:rPr>
              <w:t>《复印机、打印机和传真机能效限定值及能效等级》（GB21521）</w:t>
            </w:r>
          </w:p>
        </w:tc>
      </w:tr>
      <w:tr w14:paraId="30D78EAD">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3BC34DD2">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0263EAE">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F904E00">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2B3DA929">
            <w:pPr>
              <w:pStyle w:val="34"/>
              <w:bidi w:val="0"/>
              <w:rPr>
                <w:highlight w:val="none"/>
              </w:rPr>
            </w:pPr>
            <w:r>
              <w:rPr>
                <w:rFonts w:hint="eastAsia"/>
                <w:highlight w:val="none"/>
              </w:rPr>
              <w:t>★A0201060102激光打印机</w:t>
            </w:r>
          </w:p>
        </w:tc>
        <w:tc>
          <w:tcPr>
            <w:tcW w:w="4648" w:type="dxa"/>
            <w:tcBorders>
              <w:top w:val="nil"/>
              <w:left w:val="nil"/>
              <w:bottom w:val="single" w:color="000000" w:sz="8" w:space="0"/>
              <w:right w:val="single" w:color="000000" w:sz="8" w:space="0"/>
            </w:tcBorders>
            <w:noWrap/>
            <w:vAlign w:val="center"/>
          </w:tcPr>
          <w:p w14:paraId="584115A2">
            <w:pPr>
              <w:pStyle w:val="34"/>
              <w:bidi w:val="0"/>
              <w:rPr>
                <w:highlight w:val="none"/>
              </w:rPr>
            </w:pPr>
            <w:r>
              <w:rPr>
                <w:rFonts w:hint="eastAsia"/>
                <w:highlight w:val="none"/>
              </w:rPr>
              <w:t>《复印机、打印机和传真机能效限定值及能效等级》（GB21521）</w:t>
            </w:r>
          </w:p>
        </w:tc>
      </w:tr>
      <w:tr w14:paraId="6604475C">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C0E5F18">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39151D0">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073F395">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419AD6B1">
            <w:pPr>
              <w:pStyle w:val="34"/>
              <w:bidi w:val="0"/>
              <w:rPr>
                <w:highlight w:val="none"/>
              </w:rPr>
            </w:pPr>
            <w:r>
              <w:rPr>
                <w:rFonts w:hint="eastAsia"/>
                <w:highlight w:val="none"/>
              </w:rPr>
              <w:t>★A0201060104针式打印机</w:t>
            </w:r>
          </w:p>
        </w:tc>
        <w:tc>
          <w:tcPr>
            <w:tcW w:w="4648" w:type="dxa"/>
            <w:tcBorders>
              <w:top w:val="nil"/>
              <w:left w:val="nil"/>
              <w:bottom w:val="single" w:color="000000" w:sz="8" w:space="0"/>
              <w:right w:val="single" w:color="000000" w:sz="8" w:space="0"/>
            </w:tcBorders>
            <w:noWrap/>
            <w:vAlign w:val="center"/>
          </w:tcPr>
          <w:p w14:paraId="7ED49B64">
            <w:pPr>
              <w:pStyle w:val="34"/>
              <w:bidi w:val="0"/>
              <w:rPr>
                <w:highlight w:val="none"/>
              </w:rPr>
            </w:pPr>
            <w:r>
              <w:rPr>
                <w:rFonts w:hint="eastAsia"/>
                <w:highlight w:val="none"/>
              </w:rPr>
              <w:t>《复印机、打印机和传真机能效限定值及能效等级》（GB21521）</w:t>
            </w:r>
          </w:p>
        </w:tc>
      </w:tr>
      <w:tr w14:paraId="445DDE7D">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1946828">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D351BB4">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15327C2F">
            <w:pPr>
              <w:pStyle w:val="34"/>
              <w:bidi w:val="0"/>
              <w:rPr>
                <w:highlight w:val="none"/>
              </w:rPr>
            </w:pPr>
            <w:r>
              <w:rPr>
                <w:rFonts w:hint="eastAsia"/>
                <w:highlight w:val="none"/>
              </w:rPr>
              <w:t>A02010604显示设备</w:t>
            </w:r>
          </w:p>
        </w:tc>
        <w:tc>
          <w:tcPr>
            <w:tcW w:w="1659" w:type="dxa"/>
            <w:tcBorders>
              <w:top w:val="nil"/>
              <w:left w:val="nil"/>
              <w:bottom w:val="single" w:color="000000" w:sz="8" w:space="0"/>
              <w:right w:val="single" w:color="000000" w:sz="8" w:space="0"/>
            </w:tcBorders>
            <w:noWrap/>
            <w:vAlign w:val="center"/>
          </w:tcPr>
          <w:p w14:paraId="7026FFF6">
            <w:pPr>
              <w:pStyle w:val="34"/>
              <w:bidi w:val="0"/>
              <w:rPr>
                <w:highlight w:val="none"/>
              </w:rPr>
            </w:pPr>
            <w:r>
              <w:rPr>
                <w:rFonts w:hint="eastAsia"/>
                <w:highlight w:val="none"/>
              </w:rPr>
              <w:t>★A0201060401液晶显示器</w:t>
            </w:r>
          </w:p>
        </w:tc>
        <w:tc>
          <w:tcPr>
            <w:tcW w:w="4648" w:type="dxa"/>
            <w:tcBorders>
              <w:top w:val="nil"/>
              <w:left w:val="nil"/>
              <w:bottom w:val="single" w:color="000000" w:sz="8" w:space="0"/>
              <w:right w:val="single" w:color="000000" w:sz="8" w:space="0"/>
            </w:tcBorders>
            <w:noWrap/>
            <w:vAlign w:val="center"/>
          </w:tcPr>
          <w:p w14:paraId="57F7D434">
            <w:pPr>
              <w:pStyle w:val="34"/>
              <w:bidi w:val="0"/>
              <w:rPr>
                <w:highlight w:val="none"/>
              </w:rPr>
            </w:pPr>
            <w:r>
              <w:rPr>
                <w:rFonts w:hint="eastAsia"/>
                <w:highlight w:val="none"/>
              </w:rPr>
              <w:t>《计算机显示器能效限定值及能效等级》（GB21520）</w:t>
            </w:r>
          </w:p>
        </w:tc>
      </w:tr>
      <w:tr w14:paraId="28735884">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32DBE47F">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BDC1419">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1C98B3FA">
            <w:pPr>
              <w:pStyle w:val="34"/>
              <w:bidi w:val="0"/>
              <w:rPr>
                <w:highlight w:val="none"/>
              </w:rPr>
            </w:pPr>
            <w:r>
              <w:rPr>
                <w:rFonts w:hint="eastAsia"/>
                <w:highlight w:val="none"/>
              </w:rPr>
              <w:t>A02010609图形图像输入设备</w:t>
            </w:r>
          </w:p>
        </w:tc>
        <w:tc>
          <w:tcPr>
            <w:tcW w:w="1659" w:type="dxa"/>
            <w:tcBorders>
              <w:top w:val="nil"/>
              <w:left w:val="nil"/>
              <w:bottom w:val="single" w:color="000000" w:sz="8" w:space="0"/>
              <w:right w:val="single" w:color="000000" w:sz="8" w:space="0"/>
            </w:tcBorders>
            <w:noWrap/>
            <w:vAlign w:val="center"/>
          </w:tcPr>
          <w:p w14:paraId="215C6B32">
            <w:pPr>
              <w:pStyle w:val="34"/>
              <w:bidi w:val="0"/>
              <w:rPr>
                <w:highlight w:val="none"/>
              </w:rPr>
            </w:pPr>
            <w:r>
              <w:rPr>
                <w:rFonts w:hint="eastAsia"/>
                <w:highlight w:val="none"/>
              </w:rPr>
              <w:t>A0201060901扫描仪</w:t>
            </w:r>
          </w:p>
        </w:tc>
        <w:tc>
          <w:tcPr>
            <w:tcW w:w="4648" w:type="dxa"/>
            <w:tcBorders>
              <w:top w:val="nil"/>
              <w:left w:val="nil"/>
              <w:bottom w:val="single" w:color="000000" w:sz="8" w:space="0"/>
              <w:right w:val="single" w:color="000000" w:sz="8" w:space="0"/>
            </w:tcBorders>
            <w:noWrap/>
            <w:vAlign w:val="center"/>
          </w:tcPr>
          <w:p w14:paraId="7117A073">
            <w:pPr>
              <w:pStyle w:val="34"/>
              <w:bidi w:val="0"/>
              <w:rPr>
                <w:highlight w:val="none"/>
              </w:rPr>
            </w:pPr>
            <w:r>
              <w:rPr>
                <w:rFonts w:hint="eastAsia"/>
                <w:highlight w:val="none"/>
              </w:rPr>
              <w:t>参照《复印机、打印机和传真机能效限定值及能效等级》（GB21521中打印速度为15页/分的针式打印机相关要求中打印速度为15页/分的针式打印机相关要求</w:t>
            </w:r>
          </w:p>
        </w:tc>
      </w:tr>
      <w:tr w14:paraId="686EF081">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1C4BAA77">
            <w:pPr>
              <w:pStyle w:val="34"/>
              <w:bidi w:val="0"/>
              <w:rPr>
                <w:highlight w:val="none"/>
              </w:rPr>
            </w:pPr>
            <w:r>
              <w:rPr>
                <w:rFonts w:hint="eastAsia"/>
                <w:highlight w:val="none"/>
              </w:rPr>
              <w:t>3</w:t>
            </w:r>
          </w:p>
        </w:tc>
        <w:tc>
          <w:tcPr>
            <w:tcW w:w="1105" w:type="dxa"/>
            <w:tcBorders>
              <w:top w:val="nil"/>
              <w:left w:val="nil"/>
              <w:bottom w:val="single" w:color="000000" w:sz="8" w:space="0"/>
              <w:right w:val="single" w:color="000000" w:sz="8" w:space="0"/>
            </w:tcBorders>
            <w:noWrap/>
            <w:vAlign w:val="center"/>
          </w:tcPr>
          <w:p w14:paraId="22035706">
            <w:pPr>
              <w:pStyle w:val="34"/>
              <w:bidi w:val="0"/>
              <w:rPr>
                <w:highlight w:val="none"/>
              </w:rPr>
            </w:pPr>
            <w:r>
              <w:rPr>
                <w:rFonts w:hint="eastAsia"/>
                <w:highlight w:val="none"/>
              </w:rPr>
              <w:t>A020202投影仪</w:t>
            </w:r>
          </w:p>
        </w:tc>
        <w:tc>
          <w:tcPr>
            <w:tcW w:w="1351" w:type="dxa"/>
            <w:tcBorders>
              <w:top w:val="nil"/>
              <w:left w:val="nil"/>
              <w:bottom w:val="single" w:color="000000" w:sz="8" w:space="0"/>
              <w:right w:val="single" w:color="000000" w:sz="8" w:space="0"/>
            </w:tcBorders>
            <w:noWrap/>
            <w:vAlign w:val="center"/>
          </w:tcPr>
          <w:p w14:paraId="5AEE793C">
            <w:pPr>
              <w:pStyle w:val="34"/>
              <w:bidi w:val="0"/>
              <w:rPr>
                <w:highlight w:val="none"/>
              </w:rPr>
            </w:pPr>
            <w:r>
              <w:rPr>
                <w:rFonts w:hint="eastAsia"/>
                <w:highlight w:val="none"/>
              </w:rPr>
              <w:t>　</w:t>
            </w:r>
          </w:p>
        </w:tc>
        <w:tc>
          <w:tcPr>
            <w:tcW w:w="1659" w:type="dxa"/>
            <w:tcBorders>
              <w:top w:val="nil"/>
              <w:left w:val="nil"/>
              <w:bottom w:val="single" w:color="000000" w:sz="8" w:space="0"/>
              <w:right w:val="single" w:color="000000" w:sz="8" w:space="0"/>
            </w:tcBorders>
            <w:noWrap/>
            <w:vAlign w:val="center"/>
          </w:tcPr>
          <w:p w14:paraId="52505F0A">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7859BC3D">
            <w:pPr>
              <w:pStyle w:val="34"/>
              <w:bidi w:val="0"/>
              <w:rPr>
                <w:highlight w:val="none"/>
              </w:rPr>
            </w:pPr>
            <w:r>
              <w:rPr>
                <w:rFonts w:hint="eastAsia"/>
                <w:highlight w:val="none"/>
              </w:rPr>
              <w:t>《投影机能效限定值及能效等级》（GB32028）</w:t>
            </w:r>
          </w:p>
        </w:tc>
      </w:tr>
      <w:tr w14:paraId="6479435C">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0C50F22C">
            <w:pPr>
              <w:pStyle w:val="34"/>
              <w:bidi w:val="0"/>
              <w:rPr>
                <w:highlight w:val="none"/>
              </w:rPr>
            </w:pPr>
            <w:r>
              <w:rPr>
                <w:rFonts w:hint="eastAsia"/>
                <w:highlight w:val="none"/>
              </w:rPr>
              <w:t>4</w:t>
            </w:r>
          </w:p>
        </w:tc>
        <w:tc>
          <w:tcPr>
            <w:tcW w:w="1105" w:type="dxa"/>
            <w:tcBorders>
              <w:top w:val="nil"/>
              <w:left w:val="nil"/>
              <w:bottom w:val="single" w:color="000000" w:sz="8" w:space="0"/>
              <w:right w:val="single" w:color="000000" w:sz="8" w:space="0"/>
            </w:tcBorders>
            <w:noWrap/>
            <w:vAlign w:val="center"/>
          </w:tcPr>
          <w:p w14:paraId="0D4AAEDF">
            <w:pPr>
              <w:pStyle w:val="34"/>
              <w:bidi w:val="0"/>
              <w:rPr>
                <w:highlight w:val="none"/>
              </w:rPr>
            </w:pPr>
            <w:r>
              <w:rPr>
                <w:rFonts w:hint="eastAsia"/>
                <w:highlight w:val="none"/>
              </w:rPr>
              <w:t>A020204多功能一体机</w:t>
            </w:r>
          </w:p>
        </w:tc>
        <w:tc>
          <w:tcPr>
            <w:tcW w:w="1351" w:type="dxa"/>
            <w:tcBorders>
              <w:top w:val="nil"/>
              <w:left w:val="nil"/>
              <w:bottom w:val="single" w:color="000000" w:sz="8" w:space="0"/>
              <w:right w:val="single" w:color="000000" w:sz="8" w:space="0"/>
            </w:tcBorders>
            <w:noWrap/>
            <w:vAlign w:val="center"/>
          </w:tcPr>
          <w:p w14:paraId="6ECC0690">
            <w:pPr>
              <w:pStyle w:val="34"/>
              <w:bidi w:val="0"/>
              <w:rPr>
                <w:highlight w:val="none"/>
              </w:rPr>
            </w:pPr>
            <w:r>
              <w:rPr>
                <w:rFonts w:hint="eastAsia"/>
                <w:highlight w:val="none"/>
              </w:rPr>
              <w:t>　</w:t>
            </w:r>
          </w:p>
        </w:tc>
        <w:tc>
          <w:tcPr>
            <w:tcW w:w="1659" w:type="dxa"/>
            <w:tcBorders>
              <w:top w:val="nil"/>
              <w:left w:val="nil"/>
              <w:bottom w:val="single" w:color="000000" w:sz="8" w:space="0"/>
              <w:right w:val="single" w:color="000000" w:sz="8" w:space="0"/>
            </w:tcBorders>
            <w:noWrap/>
            <w:vAlign w:val="center"/>
          </w:tcPr>
          <w:p w14:paraId="11A7F2B3">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1E9668D6">
            <w:pPr>
              <w:pStyle w:val="34"/>
              <w:bidi w:val="0"/>
              <w:rPr>
                <w:highlight w:val="none"/>
              </w:rPr>
            </w:pPr>
            <w:r>
              <w:rPr>
                <w:rFonts w:hint="eastAsia"/>
                <w:highlight w:val="none"/>
              </w:rPr>
              <w:t>《复印机、打印机和传真机能效限定值及能效等级》（GB21521）</w:t>
            </w:r>
          </w:p>
        </w:tc>
      </w:tr>
      <w:tr w14:paraId="7530C6CC">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262F9F17">
            <w:pPr>
              <w:pStyle w:val="34"/>
              <w:bidi w:val="0"/>
              <w:rPr>
                <w:highlight w:val="none"/>
              </w:rPr>
            </w:pPr>
            <w:r>
              <w:rPr>
                <w:rFonts w:hint="eastAsia"/>
                <w:highlight w:val="none"/>
              </w:rPr>
              <w:t>5</w:t>
            </w:r>
          </w:p>
        </w:tc>
        <w:tc>
          <w:tcPr>
            <w:tcW w:w="1105" w:type="dxa"/>
            <w:tcBorders>
              <w:top w:val="nil"/>
              <w:left w:val="nil"/>
              <w:bottom w:val="single" w:color="000000" w:sz="8" w:space="0"/>
              <w:right w:val="single" w:color="000000" w:sz="8" w:space="0"/>
            </w:tcBorders>
            <w:noWrap/>
            <w:vAlign w:val="center"/>
          </w:tcPr>
          <w:p w14:paraId="07C0BE41">
            <w:pPr>
              <w:pStyle w:val="34"/>
              <w:bidi w:val="0"/>
              <w:rPr>
                <w:highlight w:val="none"/>
              </w:rPr>
            </w:pPr>
            <w:r>
              <w:rPr>
                <w:rFonts w:hint="eastAsia"/>
                <w:highlight w:val="none"/>
              </w:rPr>
              <w:t>A020519泵</w:t>
            </w:r>
          </w:p>
        </w:tc>
        <w:tc>
          <w:tcPr>
            <w:tcW w:w="1351" w:type="dxa"/>
            <w:tcBorders>
              <w:top w:val="nil"/>
              <w:left w:val="nil"/>
              <w:bottom w:val="single" w:color="000000" w:sz="8" w:space="0"/>
              <w:right w:val="single" w:color="000000" w:sz="8" w:space="0"/>
            </w:tcBorders>
            <w:noWrap/>
            <w:vAlign w:val="center"/>
          </w:tcPr>
          <w:p w14:paraId="063B4A99">
            <w:pPr>
              <w:pStyle w:val="34"/>
              <w:bidi w:val="0"/>
              <w:rPr>
                <w:highlight w:val="none"/>
              </w:rPr>
            </w:pPr>
            <w:r>
              <w:rPr>
                <w:rFonts w:hint="eastAsia"/>
                <w:highlight w:val="none"/>
              </w:rPr>
              <w:t>A02051901离心泵</w:t>
            </w:r>
          </w:p>
        </w:tc>
        <w:tc>
          <w:tcPr>
            <w:tcW w:w="1659" w:type="dxa"/>
            <w:tcBorders>
              <w:top w:val="nil"/>
              <w:left w:val="nil"/>
              <w:bottom w:val="single" w:color="000000" w:sz="8" w:space="0"/>
              <w:right w:val="single" w:color="000000" w:sz="8" w:space="0"/>
            </w:tcBorders>
            <w:noWrap/>
            <w:vAlign w:val="center"/>
          </w:tcPr>
          <w:p w14:paraId="6C1E5F52">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591BC7DA">
            <w:pPr>
              <w:pStyle w:val="34"/>
              <w:bidi w:val="0"/>
              <w:rPr>
                <w:highlight w:val="none"/>
              </w:rPr>
            </w:pPr>
            <w:r>
              <w:rPr>
                <w:rFonts w:hint="eastAsia"/>
                <w:highlight w:val="none"/>
              </w:rPr>
              <w:t>《清水离心泵能效限定值及节能评价值》（GB19762）</w:t>
            </w:r>
          </w:p>
        </w:tc>
      </w:tr>
      <w:tr w14:paraId="33A435C1">
        <w:tblPrEx>
          <w:tblCellMar>
            <w:top w:w="0" w:type="dxa"/>
            <w:left w:w="108" w:type="dxa"/>
            <w:bottom w:w="0" w:type="dxa"/>
            <w:right w:w="108" w:type="dxa"/>
          </w:tblCellMar>
        </w:tblPrEx>
        <w:trPr>
          <w:trHeight w:val="735" w:hRule="atLeast"/>
          <w:jc w:val="center"/>
        </w:trPr>
        <w:tc>
          <w:tcPr>
            <w:tcW w:w="675" w:type="dxa"/>
            <w:vMerge w:val="restart"/>
            <w:tcBorders>
              <w:top w:val="nil"/>
              <w:left w:val="single" w:color="000000" w:sz="8" w:space="0"/>
              <w:bottom w:val="single" w:color="000000" w:sz="8" w:space="0"/>
              <w:right w:val="single" w:color="000000" w:sz="8" w:space="0"/>
            </w:tcBorders>
            <w:noWrap/>
            <w:vAlign w:val="center"/>
          </w:tcPr>
          <w:p w14:paraId="5628C78B">
            <w:pPr>
              <w:pStyle w:val="34"/>
              <w:bidi w:val="0"/>
              <w:rPr>
                <w:highlight w:val="none"/>
              </w:rPr>
            </w:pPr>
            <w:r>
              <w:rPr>
                <w:rFonts w:hint="eastAsia"/>
                <w:highlight w:val="none"/>
              </w:rPr>
              <w:t>6</w:t>
            </w:r>
          </w:p>
        </w:tc>
        <w:tc>
          <w:tcPr>
            <w:tcW w:w="1105" w:type="dxa"/>
            <w:vMerge w:val="restart"/>
            <w:tcBorders>
              <w:top w:val="nil"/>
              <w:left w:val="single" w:color="000000" w:sz="8" w:space="0"/>
              <w:bottom w:val="single" w:color="000000" w:sz="8" w:space="0"/>
              <w:right w:val="single" w:color="000000" w:sz="8" w:space="0"/>
            </w:tcBorders>
            <w:noWrap/>
            <w:vAlign w:val="center"/>
          </w:tcPr>
          <w:p w14:paraId="69C4247A">
            <w:pPr>
              <w:pStyle w:val="34"/>
              <w:bidi w:val="0"/>
              <w:rPr>
                <w:highlight w:val="none"/>
              </w:rPr>
            </w:pPr>
            <w:r>
              <w:rPr>
                <w:rFonts w:hint="eastAsia"/>
                <w:highlight w:val="none"/>
              </w:rPr>
              <w:t>A020523制冷空调设备</w:t>
            </w:r>
          </w:p>
        </w:tc>
        <w:tc>
          <w:tcPr>
            <w:tcW w:w="1351" w:type="dxa"/>
            <w:vMerge w:val="restart"/>
            <w:tcBorders>
              <w:top w:val="nil"/>
              <w:left w:val="single" w:color="000000" w:sz="8" w:space="0"/>
              <w:bottom w:val="single" w:color="000000" w:sz="8" w:space="0"/>
              <w:right w:val="single" w:color="000000" w:sz="8" w:space="0"/>
            </w:tcBorders>
            <w:noWrap/>
            <w:vAlign w:val="center"/>
          </w:tcPr>
          <w:p w14:paraId="15C8EFBE">
            <w:pPr>
              <w:pStyle w:val="34"/>
              <w:bidi w:val="0"/>
              <w:rPr>
                <w:highlight w:val="none"/>
              </w:rPr>
            </w:pPr>
            <w:r>
              <w:rPr>
                <w:rFonts w:hint="eastAsia"/>
                <w:highlight w:val="none"/>
              </w:rPr>
              <w:t>★A02052301制冷压缩机</w:t>
            </w:r>
          </w:p>
        </w:tc>
        <w:tc>
          <w:tcPr>
            <w:tcW w:w="1659" w:type="dxa"/>
            <w:tcBorders>
              <w:top w:val="nil"/>
              <w:left w:val="nil"/>
              <w:bottom w:val="single" w:color="000000" w:sz="8" w:space="0"/>
              <w:right w:val="single" w:color="000000" w:sz="8" w:space="0"/>
            </w:tcBorders>
            <w:noWrap/>
            <w:vAlign w:val="center"/>
          </w:tcPr>
          <w:p w14:paraId="02900329">
            <w:pPr>
              <w:pStyle w:val="34"/>
              <w:bidi w:val="0"/>
              <w:rPr>
                <w:highlight w:val="none"/>
              </w:rPr>
            </w:pPr>
            <w:r>
              <w:rPr>
                <w:rFonts w:hint="eastAsia"/>
                <w:highlight w:val="none"/>
              </w:rPr>
              <w:t>冷水机组</w:t>
            </w:r>
          </w:p>
        </w:tc>
        <w:tc>
          <w:tcPr>
            <w:tcW w:w="4648" w:type="dxa"/>
            <w:tcBorders>
              <w:top w:val="nil"/>
              <w:left w:val="nil"/>
              <w:bottom w:val="single" w:color="000000" w:sz="8" w:space="0"/>
              <w:right w:val="single" w:color="000000" w:sz="8" w:space="0"/>
            </w:tcBorders>
            <w:noWrap/>
            <w:vAlign w:val="center"/>
          </w:tcPr>
          <w:p w14:paraId="489A1AFA">
            <w:pPr>
              <w:pStyle w:val="34"/>
              <w:bidi w:val="0"/>
              <w:rPr>
                <w:highlight w:val="none"/>
              </w:rPr>
            </w:pPr>
            <w:r>
              <w:rPr>
                <w:rFonts w:hint="eastAsia"/>
                <w:highlight w:val="none"/>
              </w:rPr>
              <w:t>《冷水机组能效限定值及能效等级》（GB19577），《低环境温度空气源热泵（冷水）机组能效限定值及能效等级》（GB37480）</w:t>
            </w:r>
          </w:p>
        </w:tc>
      </w:tr>
      <w:tr w14:paraId="25A1D6F6">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A343D83">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05144D1">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BA30257">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27831786">
            <w:pPr>
              <w:pStyle w:val="34"/>
              <w:bidi w:val="0"/>
              <w:rPr>
                <w:highlight w:val="none"/>
              </w:rPr>
            </w:pPr>
            <w:r>
              <w:rPr>
                <w:rFonts w:hint="eastAsia"/>
                <w:highlight w:val="none"/>
              </w:rPr>
              <w:t>水源热泵机组</w:t>
            </w:r>
          </w:p>
        </w:tc>
        <w:tc>
          <w:tcPr>
            <w:tcW w:w="4648" w:type="dxa"/>
            <w:tcBorders>
              <w:top w:val="nil"/>
              <w:left w:val="nil"/>
              <w:bottom w:val="single" w:color="000000" w:sz="8" w:space="0"/>
              <w:right w:val="single" w:color="000000" w:sz="8" w:space="0"/>
            </w:tcBorders>
            <w:noWrap/>
            <w:vAlign w:val="center"/>
          </w:tcPr>
          <w:p w14:paraId="1E773A61">
            <w:pPr>
              <w:pStyle w:val="34"/>
              <w:bidi w:val="0"/>
              <w:rPr>
                <w:highlight w:val="none"/>
              </w:rPr>
            </w:pPr>
            <w:r>
              <w:rPr>
                <w:rFonts w:hint="eastAsia"/>
                <w:highlight w:val="none"/>
              </w:rPr>
              <w:t>《水（地）源热泵机组能效限定值及能效等级》（GB30721）</w:t>
            </w:r>
          </w:p>
        </w:tc>
      </w:tr>
      <w:tr w14:paraId="7DEC32EC">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4A0F1A4">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6B7631F">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3AC12AE">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0A31C9BF">
            <w:pPr>
              <w:pStyle w:val="34"/>
              <w:bidi w:val="0"/>
              <w:rPr>
                <w:highlight w:val="none"/>
              </w:rPr>
            </w:pPr>
            <w:r>
              <w:rPr>
                <w:rFonts w:hint="eastAsia"/>
                <w:highlight w:val="none"/>
              </w:rPr>
              <w:t>溴化锂吸收式冷水机组</w:t>
            </w:r>
          </w:p>
        </w:tc>
        <w:tc>
          <w:tcPr>
            <w:tcW w:w="4648" w:type="dxa"/>
            <w:tcBorders>
              <w:top w:val="nil"/>
              <w:left w:val="nil"/>
              <w:bottom w:val="single" w:color="000000" w:sz="8" w:space="0"/>
              <w:right w:val="single" w:color="000000" w:sz="8" w:space="0"/>
            </w:tcBorders>
            <w:noWrap/>
            <w:vAlign w:val="center"/>
          </w:tcPr>
          <w:p w14:paraId="56A95E8C">
            <w:pPr>
              <w:pStyle w:val="34"/>
              <w:bidi w:val="0"/>
              <w:rPr>
                <w:highlight w:val="none"/>
              </w:rPr>
            </w:pPr>
            <w:r>
              <w:rPr>
                <w:rFonts w:hint="eastAsia"/>
                <w:highlight w:val="none"/>
              </w:rPr>
              <w:t>《溴化锂吸收式冷水机组能效限定值及能效等级》（GB29540）</w:t>
            </w:r>
          </w:p>
        </w:tc>
      </w:tr>
      <w:tr w14:paraId="19246307">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7AC42EF">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3BFA14F">
            <w:pPr>
              <w:pStyle w:val="34"/>
              <w:bidi w:val="0"/>
              <w:rPr>
                <w:highlight w:val="none"/>
              </w:rPr>
            </w:pPr>
          </w:p>
        </w:tc>
        <w:tc>
          <w:tcPr>
            <w:tcW w:w="1351" w:type="dxa"/>
            <w:vMerge w:val="restart"/>
            <w:tcBorders>
              <w:top w:val="nil"/>
              <w:left w:val="single" w:color="000000" w:sz="8" w:space="0"/>
              <w:bottom w:val="single" w:color="000000" w:sz="8" w:space="0"/>
              <w:right w:val="single" w:color="000000" w:sz="8" w:space="0"/>
            </w:tcBorders>
            <w:noWrap/>
            <w:vAlign w:val="center"/>
          </w:tcPr>
          <w:p w14:paraId="02D0CF74">
            <w:pPr>
              <w:pStyle w:val="34"/>
              <w:bidi w:val="0"/>
              <w:rPr>
                <w:highlight w:val="none"/>
              </w:rPr>
            </w:pPr>
            <w:r>
              <w:rPr>
                <w:rFonts w:hint="eastAsia"/>
                <w:highlight w:val="none"/>
              </w:rPr>
              <w:t>★A02052305空调机组</w:t>
            </w:r>
          </w:p>
        </w:tc>
        <w:tc>
          <w:tcPr>
            <w:tcW w:w="1659" w:type="dxa"/>
            <w:tcBorders>
              <w:top w:val="nil"/>
              <w:left w:val="nil"/>
              <w:bottom w:val="single" w:color="000000" w:sz="8" w:space="0"/>
              <w:right w:val="single" w:color="000000" w:sz="8" w:space="0"/>
            </w:tcBorders>
            <w:noWrap/>
            <w:vAlign w:val="center"/>
          </w:tcPr>
          <w:p w14:paraId="395DBE00">
            <w:pPr>
              <w:pStyle w:val="34"/>
              <w:bidi w:val="0"/>
              <w:rPr>
                <w:highlight w:val="none"/>
              </w:rPr>
            </w:pPr>
            <w:r>
              <w:rPr>
                <w:rFonts w:hint="eastAsia"/>
                <w:highlight w:val="none"/>
              </w:rPr>
              <w:t>多联式空调（热泵）机组(制冷量&gt;14000W)</w:t>
            </w:r>
          </w:p>
        </w:tc>
        <w:tc>
          <w:tcPr>
            <w:tcW w:w="4648" w:type="dxa"/>
            <w:tcBorders>
              <w:top w:val="nil"/>
              <w:left w:val="nil"/>
              <w:bottom w:val="single" w:color="000000" w:sz="8" w:space="0"/>
              <w:right w:val="single" w:color="000000" w:sz="8" w:space="0"/>
            </w:tcBorders>
            <w:noWrap/>
            <w:vAlign w:val="center"/>
          </w:tcPr>
          <w:p w14:paraId="3D551FF4">
            <w:pPr>
              <w:pStyle w:val="34"/>
              <w:bidi w:val="0"/>
              <w:rPr>
                <w:highlight w:val="none"/>
              </w:rPr>
            </w:pPr>
            <w:r>
              <w:rPr>
                <w:rFonts w:hint="eastAsia"/>
                <w:highlight w:val="none"/>
              </w:rPr>
              <w:t>《多联式空调（热泵）机组能效限定值及能源效率等级》（GB21454）</w:t>
            </w:r>
          </w:p>
        </w:tc>
      </w:tr>
      <w:tr w14:paraId="65CD5A5C">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C98999F">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713BDA0">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2F73D13">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3E1F707C">
            <w:pPr>
              <w:pStyle w:val="34"/>
              <w:bidi w:val="0"/>
              <w:rPr>
                <w:highlight w:val="none"/>
              </w:rPr>
            </w:pPr>
            <w:r>
              <w:rPr>
                <w:rFonts w:hint="eastAsia"/>
                <w:highlight w:val="none"/>
              </w:rPr>
              <w:t>单元式空气调节机(制冷量&gt;14000W</w:t>
            </w:r>
          </w:p>
        </w:tc>
        <w:tc>
          <w:tcPr>
            <w:tcW w:w="4648" w:type="dxa"/>
            <w:tcBorders>
              <w:top w:val="nil"/>
              <w:left w:val="nil"/>
              <w:bottom w:val="single" w:color="000000" w:sz="8" w:space="0"/>
              <w:right w:val="single" w:color="000000" w:sz="8" w:space="0"/>
            </w:tcBorders>
            <w:noWrap/>
            <w:vAlign w:val="center"/>
          </w:tcPr>
          <w:p w14:paraId="65D9CB0B">
            <w:pPr>
              <w:pStyle w:val="34"/>
              <w:bidi w:val="0"/>
              <w:rPr>
                <w:highlight w:val="none"/>
              </w:rPr>
            </w:pPr>
            <w:r>
              <w:rPr>
                <w:rFonts w:hint="eastAsia"/>
                <w:highlight w:val="none"/>
              </w:rPr>
              <w:t>《单元式空气调节机能效限定值及能效等级》（GB19576）《风管送风式空调机组能效限定值及能效等级》（GB37479）</w:t>
            </w:r>
          </w:p>
        </w:tc>
      </w:tr>
      <w:tr w14:paraId="41202355">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DD0648F">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54D9EB5">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22D92908">
            <w:pPr>
              <w:pStyle w:val="34"/>
              <w:bidi w:val="0"/>
              <w:rPr>
                <w:highlight w:val="none"/>
              </w:rPr>
            </w:pPr>
            <w:r>
              <w:rPr>
                <w:rFonts w:hint="eastAsia"/>
                <w:highlight w:val="none"/>
              </w:rPr>
              <w:t>★A02052309专用制冷、空调设备</w:t>
            </w:r>
          </w:p>
        </w:tc>
        <w:tc>
          <w:tcPr>
            <w:tcW w:w="1659" w:type="dxa"/>
            <w:tcBorders>
              <w:top w:val="nil"/>
              <w:left w:val="nil"/>
              <w:bottom w:val="single" w:color="000000" w:sz="8" w:space="0"/>
              <w:right w:val="single" w:color="000000" w:sz="8" w:space="0"/>
            </w:tcBorders>
            <w:noWrap/>
            <w:vAlign w:val="center"/>
          </w:tcPr>
          <w:p w14:paraId="2373E4D3">
            <w:pPr>
              <w:pStyle w:val="34"/>
              <w:bidi w:val="0"/>
              <w:rPr>
                <w:highlight w:val="none"/>
              </w:rPr>
            </w:pPr>
            <w:r>
              <w:rPr>
                <w:rFonts w:hint="eastAsia"/>
                <w:highlight w:val="none"/>
              </w:rPr>
              <w:t>机房空调</w:t>
            </w:r>
          </w:p>
        </w:tc>
        <w:tc>
          <w:tcPr>
            <w:tcW w:w="4648" w:type="dxa"/>
            <w:tcBorders>
              <w:top w:val="nil"/>
              <w:left w:val="nil"/>
              <w:bottom w:val="single" w:color="000000" w:sz="8" w:space="0"/>
              <w:right w:val="single" w:color="000000" w:sz="8" w:space="0"/>
            </w:tcBorders>
            <w:noWrap/>
            <w:vAlign w:val="center"/>
          </w:tcPr>
          <w:p w14:paraId="288FA585">
            <w:pPr>
              <w:pStyle w:val="34"/>
              <w:bidi w:val="0"/>
              <w:rPr>
                <w:highlight w:val="none"/>
              </w:rPr>
            </w:pPr>
            <w:r>
              <w:rPr>
                <w:rFonts w:hint="eastAsia"/>
                <w:highlight w:val="none"/>
              </w:rPr>
              <w:t>《单元式空气调节机能效限定值及能效等级》（GB19576）</w:t>
            </w:r>
          </w:p>
        </w:tc>
      </w:tr>
      <w:tr w14:paraId="27435808">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61D523A">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2C7120D">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61797999">
            <w:pPr>
              <w:pStyle w:val="34"/>
              <w:bidi w:val="0"/>
              <w:rPr>
                <w:highlight w:val="none"/>
              </w:rPr>
            </w:pPr>
            <w:r>
              <w:rPr>
                <w:rFonts w:hint="eastAsia"/>
                <w:highlight w:val="none"/>
              </w:rPr>
              <w:t>A02052399其他制冷空调设备</w:t>
            </w:r>
          </w:p>
        </w:tc>
        <w:tc>
          <w:tcPr>
            <w:tcW w:w="1659" w:type="dxa"/>
            <w:tcBorders>
              <w:top w:val="nil"/>
              <w:left w:val="nil"/>
              <w:bottom w:val="single" w:color="000000" w:sz="8" w:space="0"/>
              <w:right w:val="single" w:color="000000" w:sz="8" w:space="0"/>
            </w:tcBorders>
            <w:noWrap/>
            <w:vAlign w:val="center"/>
          </w:tcPr>
          <w:p w14:paraId="1A6B9051">
            <w:pPr>
              <w:pStyle w:val="34"/>
              <w:bidi w:val="0"/>
              <w:rPr>
                <w:highlight w:val="none"/>
              </w:rPr>
            </w:pPr>
            <w:r>
              <w:rPr>
                <w:rFonts w:hint="eastAsia"/>
                <w:highlight w:val="none"/>
              </w:rPr>
              <w:t>冷却塔</w:t>
            </w:r>
          </w:p>
        </w:tc>
        <w:tc>
          <w:tcPr>
            <w:tcW w:w="4648" w:type="dxa"/>
            <w:tcBorders>
              <w:top w:val="nil"/>
              <w:left w:val="nil"/>
              <w:bottom w:val="single" w:color="000000" w:sz="8" w:space="0"/>
              <w:right w:val="single" w:color="000000" w:sz="8" w:space="0"/>
            </w:tcBorders>
            <w:noWrap/>
            <w:vAlign w:val="center"/>
          </w:tcPr>
          <w:p w14:paraId="4C842051">
            <w:pPr>
              <w:pStyle w:val="34"/>
              <w:bidi w:val="0"/>
              <w:rPr>
                <w:highlight w:val="none"/>
              </w:rPr>
            </w:pPr>
            <w:r>
              <w:rPr>
                <w:rFonts w:hint="eastAsia"/>
                <w:highlight w:val="none"/>
              </w:rPr>
              <w:t>《机械通风冷却塔第1部分：中小型开式冷却塔》（GB/T7190.1）；《机械通风冷却塔第2部分：大型开式冷却塔》（GB/T7190.2）</w:t>
            </w:r>
          </w:p>
        </w:tc>
      </w:tr>
      <w:tr w14:paraId="7A189D3A">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7B654898">
            <w:pPr>
              <w:pStyle w:val="34"/>
              <w:bidi w:val="0"/>
              <w:rPr>
                <w:highlight w:val="none"/>
              </w:rPr>
            </w:pPr>
            <w:r>
              <w:rPr>
                <w:rFonts w:hint="eastAsia"/>
                <w:highlight w:val="none"/>
              </w:rPr>
              <w:t>7</w:t>
            </w:r>
          </w:p>
        </w:tc>
        <w:tc>
          <w:tcPr>
            <w:tcW w:w="1105" w:type="dxa"/>
            <w:tcBorders>
              <w:top w:val="nil"/>
              <w:left w:val="nil"/>
              <w:bottom w:val="single" w:color="000000" w:sz="8" w:space="0"/>
              <w:right w:val="single" w:color="000000" w:sz="8" w:space="0"/>
            </w:tcBorders>
            <w:noWrap/>
            <w:vAlign w:val="center"/>
          </w:tcPr>
          <w:p w14:paraId="7900916D">
            <w:pPr>
              <w:pStyle w:val="34"/>
              <w:bidi w:val="0"/>
              <w:rPr>
                <w:highlight w:val="none"/>
              </w:rPr>
            </w:pPr>
            <w:r>
              <w:rPr>
                <w:rFonts w:hint="eastAsia"/>
                <w:highlight w:val="none"/>
              </w:rPr>
              <w:t>A020601电机</w:t>
            </w:r>
          </w:p>
        </w:tc>
        <w:tc>
          <w:tcPr>
            <w:tcW w:w="1351" w:type="dxa"/>
            <w:tcBorders>
              <w:top w:val="nil"/>
              <w:left w:val="nil"/>
              <w:bottom w:val="single" w:color="000000" w:sz="8" w:space="0"/>
              <w:right w:val="single" w:color="000000" w:sz="8" w:space="0"/>
            </w:tcBorders>
            <w:noWrap/>
            <w:vAlign w:val="center"/>
          </w:tcPr>
          <w:p w14:paraId="21D5B5CE">
            <w:pPr>
              <w:pStyle w:val="34"/>
              <w:bidi w:val="0"/>
              <w:rPr>
                <w:highlight w:val="none"/>
              </w:rPr>
            </w:pPr>
            <w:r>
              <w:rPr>
                <w:rFonts w:hint="eastAsia"/>
                <w:highlight w:val="none"/>
              </w:rPr>
              <w:t>　</w:t>
            </w:r>
          </w:p>
        </w:tc>
        <w:tc>
          <w:tcPr>
            <w:tcW w:w="1659" w:type="dxa"/>
            <w:tcBorders>
              <w:top w:val="nil"/>
              <w:left w:val="nil"/>
              <w:bottom w:val="single" w:color="000000" w:sz="8" w:space="0"/>
              <w:right w:val="single" w:color="000000" w:sz="8" w:space="0"/>
            </w:tcBorders>
            <w:noWrap/>
            <w:vAlign w:val="center"/>
          </w:tcPr>
          <w:p w14:paraId="1E55DDC7">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11E27432">
            <w:pPr>
              <w:pStyle w:val="34"/>
              <w:bidi w:val="0"/>
              <w:rPr>
                <w:highlight w:val="none"/>
              </w:rPr>
            </w:pPr>
            <w:r>
              <w:rPr>
                <w:rFonts w:hint="eastAsia"/>
                <w:highlight w:val="none"/>
              </w:rPr>
              <w:t>《中小型三相异步电动机能效限定值及能效等级》（GB18613）</w:t>
            </w:r>
          </w:p>
        </w:tc>
      </w:tr>
      <w:tr w14:paraId="5799FA86">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41BC85AB">
            <w:pPr>
              <w:pStyle w:val="34"/>
              <w:bidi w:val="0"/>
              <w:rPr>
                <w:highlight w:val="none"/>
              </w:rPr>
            </w:pPr>
            <w:r>
              <w:rPr>
                <w:rFonts w:hint="eastAsia"/>
                <w:highlight w:val="none"/>
              </w:rPr>
              <w:t>8</w:t>
            </w:r>
          </w:p>
        </w:tc>
        <w:tc>
          <w:tcPr>
            <w:tcW w:w="1105" w:type="dxa"/>
            <w:tcBorders>
              <w:top w:val="nil"/>
              <w:left w:val="nil"/>
              <w:bottom w:val="single" w:color="000000" w:sz="8" w:space="0"/>
              <w:right w:val="single" w:color="000000" w:sz="8" w:space="0"/>
            </w:tcBorders>
            <w:noWrap/>
            <w:vAlign w:val="center"/>
          </w:tcPr>
          <w:p w14:paraId="232C7CEE">
            <w:pPr>
              <w:pStyle w:val="34"/>
              <w:bidi w:val="0"/>
              <w:rPr>
                <w:highlight w:val="none"/>
              </w:rPr>
            </w:pPr>
            <w:r>
              <w:rPr>
                <w:rFonts w:hint="eastAsia"/>
                <w:highlight w:val="none"/>
              </w:rPr>
              <w:t>A020602变压器</w:t>
            </w:r>
          </w:p>
        </w:tc>
        <w:tc>
          <w:tcPr>
            <w:tcW w:w="1351" w:type="dxa"/>
            <w:tcBorders>
              <w:top w:val="nil"/>
              <w:left w:val="nil"/>
              <w:bottom w:val="single" w:color="000000" w:sz="8" w:space="0"/>
              <w:right w:val="single" w:color="000000" w:sz="8" w:space="0"/>
            </w:tcBorders>
            <w:noWrap/>
            <w:vAlign w:val="center"/>
          </w:tcPr>
          <w:p w14:paraId="34074665">
            <w:pPr>
              <w:pStyle w:val="34"/>
              <w:bidi w:val="0"/>
              <w:rPr>
                <w:highlight w:val="none"/>
              </w:rPr>
            </w:pPr>
            <w:r>
              <w:rPr>
                <w:rFonts w:hint="eastAsia"/>
                <w:highlight w:val="none"/>
              </w:rPr>
              <w:t>配电变压器</w:t>
            </w:r>
          </w:p>
        </w:tc>
        <w:tc>
          <w:tcPr>
            <w:tcW w:w="1659" w:type="dxa"/>
            <w:tcBorders>
              <w:top w:val="nil"/>
              <w:left w:val="nil"/>
              <w:bottom w:val="single" w:color="000000" w:sz="8" w:space="0"/>
              <w:right w:val="single" w:color="000000" w:sz="8" w:space="0"/>
            </w:tcBorders>
            <w:noWrap/>
            <w:vAlign w:val="center"/>
          </w:tcPr>
          <w:p w14:paraId="15A5086B">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155A858A">
            <w:pPr>
              <w:pStyle w:val="34"/>
              <w:bidi w:val="0"/>
              <w:rPr>
                <w:highlight w:val="none"/>
              </w:rPr>
            </w:pPr>
            <w:r>
              <w:rPr>
                <w:rFonts w:hint="eastAsia"/>
                <w:highlight w:val="none"/>
              </w:rPr>
              <w:t>《三相配电变压器能效限定值及能效等级》（GB20052）</w:t>
            </w:r>
          </w:p>
        </w:tc>
      </w:tr>
      <w:tr w14:paraId="4E6B6234">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31AA1F46">
            <w:pPr>
              <w:pStyle w:val="34"/>
              <w:bidi w:val="0"/>
              <w:rPr>
                <w:highlight w:val="none"/>
              </w:rPr>
            </w:pPr>
            <w:r>
              <w:rPr>
                <w:rFonts w:hint="eastAsia"/>
                <w:highlight w:val="none"/>
              </w:rPr>
              <w:t>9</w:t>
            </w:r>
          </w:p>
        </w:tc>
        <w:tc>
          <w:tcPr>
            <w:tcW w:w="1105" w:type="dxa"/>
            <w:tcBorders>
              <w:top w:val="nil"/>
              <w:left w:val="nil"/>
              <w:bottom w:val="single" w:color="000000" w:sz="8" w:space="0"/>
              <w:right w:val="single" w:color="000000" w:sz="8" w:space="0"/>
            </w:tcBorders>
            <w:noWrap/>
            <w:vAlign w:val="center"/>
          </w:tcPr>
          <w:p w14:paraId="460DD384">
            <w:pPr>
              <w:pStyle w:val="34"/>
              <w:bidi w:val="0"/>
              <w:rPr>
                <w:highlight w:val="none"/>
              </w:rPr>
            </w:pPr>
            <w:r>
              <w:rPr>
                <w:rFonts w:hint="eastAsia"/>
                <w:highlight w:val="none"/>
              </w:rPr>
              <w:t>★A020609镇流器</w:t>
            </w:r>
          </w:p>
        </w:tc>
        <w:tc>
          <w:tcPr>
            <w:tcW w:w="1351" w:type="dxa"/>
            <w:tcBorders>
              <w:top w:val="nil"/>
              <w:left w:val="nil"/>
              <w:bottom w:val="single" w:color="000000" w:sz="8" w:space="0"/>
              <w:right w:val="single" w:color="000000" w:sz="8" w:space="0"/>
            </w:tcBorders>
            <w:noWrap/>
            <w:vAlign w:val="center"/>
          </w:tcPr>
          <w:p w14:paraId="27E5679F">
            <w:pPr>
              <w:pStyle w:val="34"/>
              <w:bidi w:val="0"/>
              <w:rPr>
                <w:highlight w:val="none"/>
              </w:rPr>
            </w:pPr>
            <w:r>
              <w:rPr>
                <w:rFonts w:hint="eastAsia"/>
                <w:highlight w:val="none"/>
              </w:rPr>
              <w:t>管型荧光灯镇流器</w:t>
            </w:r>
          </w:p>
        </w:tc>
        <w:tc>
          <w:tcPr>
            <w:tcW w:w="1659" w:type="dxa"/>
            <w:tcBorders>
              <w:top w:val="nil"/>
              <w:left w:val="nil"/>
              <w:bottom w:val="single" w:color="000000" w:sz="8" w:space="0"/>
              <w:right w:val="single" w:color="000000" w:sz="8" w:space="0"/>
            </w:tcBorders>
            <w:noWrap/>
            <w:vAlign w:val="center"/>
          </w:tcPr>
          <w:p w14:paraId="44EE4709">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09EC976B">
            <w:pPr>
              <w:pStyle w:val="34"/>
              <w:bidi w:val="0"/>
              <w:rPr>
                <w:highlight w:val="none"/>
              </w:rPr>
            </w:pPr>
            <w:r>
              <w:rPr>
                <w:rFonts w:hint="eastAsia"/>
                <w:highlight w:val="none"/>
              </w:rPr>
              <w:t>《管形荧光灯镇流器能效限定值及能效等级》（GB17896）</w:t>
            </w:r>
          </w:p>
        </w:tc>
      </w:tr>
      <w:tr w14:paraId="1B20CFE5">
        <w:tblPrEx>
          <w:tblCellMar>
            <w:top w:w="0" w:type="dxa"/>
            <w:left w:w="108" w:type="dxa"/>
            <w:bottom w:w="0" w:type="dxa"/>
            <w:right w:w="108" w:type="dxa"/>
          </w:tblCellMar>
        </w:tblPrEx>
        <w:trPr>
          <w:trHeight w:val="495" w:hRule="atLeast"/>
          <w:jc w:val="center"/>
        </w:trPr>
        <w:tc>
          <w:tcPr>
            <w:tcW w:w="675" w:type="dxa"/>
            <w:vMerge w:val="restart"/>
            <w:tcBorders>
              <w:top w:val="nil"/>
              <w:left w:val="single" w:color="000000" w:sz="8" w:space="0"/>
              <w:bottom w:val="single" w:color="000000" w:sz="8" w:space="0"/>
              <w:right w:val="single" w:color="000000" w:sz="8" w:space="0"/>
            </w:tcBorders>
            <w:noWrap/>
            <w:vAlign w:val="center"/>
          </w:tcPr>
          <w:p w14:paraId="1D252759">
            <w:pPr>
              <w:pStyle w:val="34"/>
              <w:bidi w:val="0"/>
              <w:rPr>
                <w:highlight w:val="none"/>
              </w:rPr>
            </w:pPr>
            <w:r>
              <w:rPr>
                <w:rFonts w:hint="eastAsia"/>
                <w:highlight w:val="none"/>
              </w:rPr>
              <w:t>10</w:t>
            </w:r>
          </w:p>
        </w:tc>
        <w:tc>
          <w:tcPr>
            <w:tcW w:w="1105" w:type="dxa"/>
            <w:vMerge w:val="restart"/>
            <w:tcBorders>
              <w:top w:val="nil"/>
              <w:left w:val="single" w:color="000000" w:sz="8" w:space="0"/>
              <w:bottom w:val="single" w:color="000000" w:sz="8" w:space="0"/>
              <w:right w:val="single" w:color="000000" w:sz="8" w:space="0"/>
            </w:tcBorders>
            <w:noWrap/>
            <w:vAlign w:val="center"/>
          </w:tcPr>
          <w:p w14:paraId="63B3D259">
            <w:pPr>
              <w:pStyle w:val="34"/>
              <w:bidi w:val="0"/>
              <w:rPr>
                <w:highlight w:val="none"/>
              </w:rPr>
            </w:pPr>
            <w:r>
              <w:rPr>
                <w:rFonts w:hint="eastAsia"/>
                <w:highlight w:val="none"/>
              </w:rPr>
              <w:t>A020618生活用电器</w:t>
            </w:r>
          </w:p>
        </w:tc>
        <w:tc>
          <w:tcPr>
            <w:tcW w:w="1351" w:type="dxa"/>
            <w:tcBorders>
              <w:top w:val="nil"/>
              <w:left w:val="nil"/>
              <w:bottom w:val="single" w:color="000000" w:sz="8" w:space="0"/>
              <w:right w:val="single" w:color="000000" w:sz="8" w:space="0"/>
            </w:tcBorders>
            <w:noWrap/>
            <w:vAlign w:val="center"/>
          </w:tcPr>
          <w:p w14:paraId="1FDB5957">
            <w:pPr>
              <w:pStyle w:val="34"/>
              <w:bidi w:val="0"/>
              <w:rPr>
                <w:highlight w:val="none"/>
              </w:rPr>
            </w:pPr>
            <w:r>
              <w:rPr>
                <w:rFonts w:hint="eastAsia"/>
                <w:highlight w:val="none"/>
              </w:rPr>
              <w:t>A0206180101电冰箱</w:t>
            </w:r>
          </w:p>
        </w:tc>
        <w:tc>
          <w:tcPr>
            <w:tcW w:w="1659" w:type="dxa"/>
            <w:tcBorders>
              <w:top w:val="nil"/>
              <w:left w:val="nil"/>
              <w:bottom w:val="single" w:color="000000" w:sz="8" w:space="0"/>
              <w:right w:val="single" w:color="000000" w:sz="8" w:space="0"/>
            </w:tcBorders>
            <w:noWrap/>
            <w:vAlign w:val="center"/>
          </w:tcPr>
          <w:p w14:paraId="031BF2AA">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3C8B9800">
            <w:pPr>
              <w:pStyle w:val="34"/>
              <w:bidi w:val="0"/>
              <w:rPr>
                <w:highlight w:val="none"/>
              </w:rPr>
            </w:pPr>
            <w:r>
              <w:rPr>
                <w:rFonts w:hint="eastAsia"/>
                <w:highlight w:val="none"/>
              </w:rPr>
              <w:t>《家用电冰箱耗电量限定值及能效等级》（GB 12021.2）</w:t>
            </w:r>
          </w:p>
        </w:tc>
      </w:tr>
      <w:tr w14:paraId="207DCD2C">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F5ED028">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DA8394A">
            <w:pPr>
              <w:pStyle w:val="34"/>
              <w:bidi w:val="0"/>
              <w:rPr>
                <w:highlight w:val="none"/>
              </w:rPr>
            </w:pPr>
          </w:p>
        </w:tc>
        <w:tc>
          <w:tcPr>
            <w:tcW w:w="1351" w:type="dxa"/>
            <w:vMerge w:val="restart"/>
            <w:tcBorders>
              <w:top w:val="nil"/>
              <w:left w:val="single" w:color="000000" w:sz="8" w:space="0"/>
              <w:bottom w:val="single" w:color="000000" w:sz="8" w:space="0"/>
              <w:right w:val="single" w:color="000000" w:sz="8" w:space="0"/>
            </w:tcBorders>
            <w:noWrap/>
            <w:vAlign w:val="center"/>
          </w:tcPr>
          <w:p w14:paraId="2C924027">
            <w:pPr>
              <w:pStyle w:val="34"/>
              <w:bidi w:val="0"/>
              <w:rPr>
                <w:highlight w:val="none"/>
              </w:rPr>
            </w:pPr>
            <w:r>
              <w:rPr>
                <w:rFonts w:hint="eastAsia"/>
                <w:highlight w:val="none"/>
              </w:rPr>
              <w:t>★A0206180203空调机</w:t>
            </w:r>
          </w:p>
        </w:tc>
        <w:tc>
          <w:tcPr>
            <w:tcW w:w="1659" w:type="dxa"/>
            <w:tcBorders>
              <w:top w:val="nil"/>
              <w:left w:val="nil"/>
              <w:bottom w:val="single" w:color="000000" w:sz="8" w:space="0"/>
              <w:right w:val="single" w:color="000000" w:sz="8" w:space="0"/>
            </w:tcBorders>
            <w:noWrap/>
            <w:vAlign w:val="center"/>
          </w:tcPr>
          <w:p w14:paraId="7D59D39A">
            <w:pPr>
              <w:pStyle w:val="34"/>
              <w:bidi w:val="0"/>
              <w:rPr>
                <w:highlight w:val="none"/>
              </w:rPr>
            </w:pPr>
            <w:r>
              <w:rPr>
                <w:rFonts w:hint="eastAsia"/>
                <w:highlight w:val="none"/>
              </w:rPr>
              <w:t>房间空气调节器</w:t>
            </w:r>
          </w:p>
        </w:tc>
        <w:tc>
          <w:tcPr>
            <w:tcW w:w="4648" w:type="dxa"/>
            <w:tcBorders>
              <w:top w:val="nil"/>
              <w:left w:val="nil"/>
              <w:bottom w:val="single" w:color="000000" w:sz="8" w:space="0"/>
              <w:right w:val="single" w:color="000000" w:sz="8" w:space="0"/>
            </w:tcBorders>
            <w:noWrap/>
            <w:vAlign w:val="center"/>
          </w:tcPr>
          <w:p w14:paraId="2EE082FD">
            <w:pPr>
              <w:pStyle w:val="34"/>
              <w:bidi w:val="0"/>
              <w:rPr>
                <w:highlight w:val="none"/>
              </w:rPr>
            </w:pPr>
            <w:r>
              <w:rPr>
                <w:rFonts w:hint="eastAsia"/>
                <w:highlight w:val="none"/>
              </w:rPr>
              <w:t>《转速可控型房间空气调节器能效限定值及能效等级》（GB21455-2013），待2019年修订发布后，按《房间空气调节器能效限定值及能效等级》（GB21455-2019实施。</w:t>
            </w:r>
          </w:p>
        </w:tc>
      </w:tr>
      <w:tr w14:paraId="00EFBCDA">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7DF74528">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00A6AB3">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33CC22F">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56122C3A">
            <w:pPr>
              <w:pStyle w:val="34"/>
              <w:bidi w:val="0"/>
              <w:rPr>
                <w:highlight w:val="none"/>
              </w:rPr>
            </w:pPr>
            <w:r>
              <w:rPr>
                <w:rFonts w:hint="eastAsia"/>
                <w:highlight w:val="none"/>
              </w:rPr>
              <w:t>多联式空调（热泵）机组（制冷量≤ 14000W）</w:t>
            </w:r>
          </w:p>
        </w:tc>
        <w:tc>
          <w:tcPr>
            <w:tcW w:w="4648" w:type="dxa"/>
            <w:tcBorders>
              <w:top w:val="nil"/>
              <w:left w:val="nil"/>
              <w:bottom w:val="single" w:color="000000" w:sz="8" w:space="0"/>
              <w:right w:val="single" w:color="000000" w:sz="8" w:space="0"/>
            </w:tcBorders>
            <w:noWrap/>
            <w:vAlign w:val="center"/>
          </w:tcPr>
          <w:p w14:paraId="60591BD8">
            <w:pPr>
              <w:pStyle w:val="34"/>
              <w:bidi w:val="0"/>
              <w:rPr>
                <w:highlight w:val="none"/>
              </w:rPr>
            </w:pPr>
            <w:r>
              <w:rPr>
                <w:rFonts w:hint="eastAsia"/>
                <w:highlight w:val="none"/>
              </w:rPr>
              <w:t>《多联式空调（热泵）机组能效限定值及能源效率等级》（GB21454）</w:t>
            </w:r>
          </w:p>
        </w:tc>
      </w:tr>
      <w:tr w14:paraId="088744AC">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2ECAA59B">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43FDFA9">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CA78DF8">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015E664C">
            <w:pPr>
              <w:pStyle w:val="34"/>
              <w:bidi w:val="0"/>
              <w:rPr>
                <w:highlight w:val="none"/>
              </w:rPr>
            </w:pPr>
            <w:r>
              <w:rPr>
                <w:rFonts w:hint="eastAsia"/>
                <w:highlight w:val="none"/>
              </w:rPr>
              <w:t>单元式空气调节机(制冷量≤14000W)</w:t>
            </w:r>
          </w:p>
        </w:tc>
        <w:tc>
          <w:tcPr>
            <w:tcW w:w="4648" w:type="dxa"/>
            <w:tcBorders>
              <w:top w:val="nil"/>
              <w:left w:val="nil"/>
              <w:bottom w:val="single" w:color="000000" w:sz="8" w:space="0"/>
              <w:right w:val="single" w:color="000000" w:sz="8" w:space="0"/>
            </w:tcBorders>
            <w:noWrap/>
            <w:vAlign w:val="center"/>
          </w:tcPr>
          <w:p w14:paraId="3A0E1933">
            <w:pPr>
              <w:pStyle w:val="34"/>
              <w:bidi w:val="0"/>
              <w:rPr>
                <w:highlight w:val="none"/>
              </w:rPr>
            </w:pPr>
            <w:r>
              <w:rPr>
                <w:rFonts w:hint="eastAsia"/>
                <w:highlight w:val="none"/>
              </w:rPr>
              <w:t>《单元式空气调节机能效限定值及能源效率等级》（GB19576）《风管送风式空调机组能效限定值及能效等级》（GB37479）</w:t>
            </w:r>
          </w:p>
        </w:tc>
      </w:tr>
      <w:tr w14:paraId="24C1FED7">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7A4E7327">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088ECBD">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495CBD1E">
            <w:pPr>
              <w:pStyle w:val="34"/>
              <w:bidi w:val="0"/>
              <w:rPr>
                <w:highlight w:val="none"/>
              </w:rPr>
            </w:pPr>
            <w:r>
              <w:rPr>
                <w:rFonts w:hint="eastAsia"/>
                <w:highlight w:val="none"/>
              </w:rPr>
              <w:t>A0206180301洗衣机</w:t>
            </w:r>
          </w:p>
        </w:tc>
        <w:tc>
          <w:tcPr>
            <w:tcW w:w="1659" w:type="dxa"/>
            <w:tcBorders>
              <w:top w:val="nil"/>
              <w:left w:val="nil"/>
              <w:bottom w:val="single" w:color="000000" w:sz="8" w:space="0"/>
              <w:right w:val="single" w:color="000000" w:sz="8" w:space="0"/>
            </w:tcBorders>
            <w:noWrap/>
            <w:vAlign w:val="center"/>
          </w:tcPr>
          <w:p w14:paraId="5924D4B1">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2889CA63">
            <w:pPr>
              <w:pStyle w:val="34"/>
              <w:bidi w:val="0"/>
              <w:rPr>
                <w:highlight w:val="none"/>
              </w:rPr>
            </w:pPr>
            <w:r>
              <w:rPr>
                <w:rFonts w:hint="eastAsia"/>
                <w:highlight w:val="none"/>
              </w:rPr>
              <w:t>《电动洗衣机能效水效限定值及等级》（GB12021.4）</w:t>
            </w:r>
          </w:p>
        </w:tc>
      </w:tr>
      <w:tr w14:paraId="012DD2B3">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B636A93">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D655747">
            <w:pPr>
              <w:pStyle w:val="34"/>
              <w:bidi w:val="0"/>
              <w:rPr>
                <w:highlight w:val="none"/>
              </w:rPr>
            </w:pPr>
          </w:p>
        </w:tc>
        <w:tc>
          <w:tcPr>
            <w:tcW w:w="1351" w:type="dxa"/>
            <w:vMerge w:val="restart"/>
            <w:tcBorders>
              <w:top w:val="nil"/>
              <w:left w:val="single" w:color="000000" w:sz="8" w:space="0"/>
              <w:bottom w:val="single" w:color="000000" w:sz="8" w:space="0"/>
              <w:right w:val="single" w:color="000000" w:sz="8" w:space="0"/>
            </w:tcBorders>
            <w:noWrap/>
            <w:vAlign w:val="center"/>
          </w:tcPr>
          <w:p w14:paraId="09886C1F">
            <w:pPr>
              <w:pStyle w:val="34"/>
              <w:bidi w:val="0"/>
              <w:rPr>
                <w:highlight w:val="none"/>
              </w:rPr>
            </w:pPr>
            <w:r>
              <w:rPr>
                <w:rFonts w:hint="eastAsia"/>
                <w:highlight w:val="none"/>
              </w:rPr>
              <w:t>A02061808热水器</w:t>
            </w:r>
          </w:p>
        </w:tc>
        <w:tc>
          <w:tcPr>
            <w:tcW w:w="1659" w:type="dxa"/>
            <w:tcBorders>
              <w:top w:val="nil"/>
              <w:left w:val="nil"/>
              <w:bottom w:val="single" w:color="000000" w:sz="8" w:space="0"/>
              <w:right w:val="single" w:color="000000" w:sz="8" w:space="0"/>
            </w:tcBorders>
            <w:noWrap/>
            <w:vAlign w:val="center"/>
          </w:tcPr>
          <w:p w14:paraId="0D921392">
            <w:pPr>
              <w:pStyle w:val="34"/>
              <w:bidi w:val="0"/>
              <w:rPr>
                <w:highlight w:val="none"/>
              </w:rPr>
            </w:pPr>
            <w:r>
              <w:rPr>
                <w:rFonts w:hint="eastAsia"/>
                <w:highlight w:val="none"/>
              </w:rPr>
              <w:t>★电热水器</w:t>
            </w:r>
          </w:p>
        </w:tc>
        <w:tc>
          <w:tcPr>
            <w:tcW w:w="4648" w:type="dxa"/>
            <w:tcBorders>
              <w:top w:val="nil"/>
              <w:left w:val="nil"/>
              <w:bottom w:val="single" w:color="000000" w:sz="8" w:space="0"/>
              <w:right w:val="single" w:color="000000" w:sz="8" w:space="0"/>
            </w:tcBorders>
            <w:noWrap/>
            <w:vAlign w:val="center"/>
          </w:tcPr>
          <w:p w14:paraId="4382FCFF">
            <w:pPr>
              <w:pStyle w:val="34"/>
              <w:bidi w:val="0"/>
              <w:rPr>
                <w:highlight w:val="none"/>
              </w:rPr>
            </w:pPr>
            <w:r>
              <w:rPr>
                <w:rFonts w:hint="eastAsia"/>
                <w:highlight w:val="none"/>
              </w:rPr>
              <w:t>《储水式电热水器能效限定值及能效等级》（GB21519）</w:t>
            </w:r>
          </w:p>
        </w:tc>
      </w:tr>
      <w:tr w14:paraId="0B3E31A5">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F713106">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E5959C7">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D62F8F0">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217B2EEE">
            <w:pPr>
              <w:pStyle w:val="34"/>
              <w:bidi w:val="0"/>
              <w:rPr>
                <w:highlight w:val="none"/>
              </w:rPr>
            </w:pPr>
            <w:r>
              <w:rPr>
                <w:rFonts w:hint="eastAsia"/>
                <w:highlight w:val="none"/>
              </w:rPr>
              <w:t>燃气热水器</w:t>
            </w:r>
          </w:p>
        </w:tc>
        <w:tc>
          <w:tcPr>
            <w:tcW w:w="4648" w:type="dxa"/>
            <w:tcBorders>
              <w:top w:val="nil"/>
              <w:left w:val="nil"/>
              <w:bottom w:val="single" w:color="000000" w:sz="8" w:space="0"/>
              <w:right w:val="single" w:color="000000" w:sz="8" w:space="0"/>
            </w:tcBorders>
            <w:noWrap/>
            <w:vAlign w:val="center"/>
          </w:tcPr>
          <w:p w14:paraId="744CF50C">
            <w:pPr>
              <w:pStyle w:val="34"/>
              <w:bidi w:val="0"/>
              <w:rPr>
                <w:highlight w:val="none"/>
              </w:rPr>
            </w:pPr>
            <w:r>
              <w:rPr>
                <w:rFonts w:hint="eastAsia"/>
                <w:highlight w:val="none"/>
              </w:rPr>
              <w:t>《家用燃气快速热水器和燃气采暖热水炉能效限定值及能效等级》（GB20665）</w:t>
            </w:r>
          </w:p>
        </w:tc>
      </w:tr>
      <w:tr w14:paraId="67B31298">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F508173">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3E32579">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3E8928E">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70A6061A">
            <w:pPr>
              <w:pStyle w:val="34"/>
              <w:bidi w:val="0"/>
              <w:rPr>
                <w:highlight w:val="none"/>
              </w:rPr>
            </w:pPr>
            <w:r>
              <w:rPr>
                <w:rFonts w:hint="eastAsia"/>
                <w:highlight w:val="none"/>
              </w:rPr>
              <w:t>热泵热水器</w:t>
            </w:r>
          </w:p>
        </w:tc>
        <w:tc>
          <w:tcPr>
            <w:tcW w:w="4648" w:type="dxa"/>
            <w:tcBorders>
              <w:top w:val="nil"/>
              <w:left w:val="nil"/>
              <w:bottom w:val="single" w:color="000000" w:sz="8" w:space="0"/>
              <w:right w:val="single" w:color="000000" w:sz="8" w:space="0"/>
            </w:tcBorders>
            <w:noWrap/>
            <w:vAlign w:val="center"/>
          </w:tcPr>
          <w:p w14:paraId="3DFD8A64">
            <w:pPr>
              <w:pStyle w:val="34"/>
              <w:bidi w:val="0"/>
              <w:rPr>
                <w:highlight w:val="none"/>
              </w:rPr>
            </w:pPr>
            <w:r>
              <w:rPr>
                <w:rFonts w:hint="eastAsia"/>
                <w:highlight w:val="none"/>
              </w:rPr>
              <w:t>《热泵热水机（器）能效限定值及能效等级》（GB29541）</w:t>
            </w:r>
          </w:p>
        </w:tc>
      </w:tr>
      <w:tr w14:paraId="368075D0">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3740D901">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FA2EA2D">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AFC7FE2">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46B25E83">
            <w:pPr>
              <w:pStyle w:val="34"/>
              <w:bidi w:val="0"/>
              <w:rPr>
                <w:highlight w:val="none"/>
              </w:rPr>
            </w:pPr>
            <w:r>
              <w:rPr>
                <w:rFonts w:hint="eastAsia"/>
                <w:highlight w:val="none"/>
              </w:rPr>
              <w:t>太阳能热水系统</w:t>
            </w:r>
          </w:p>
        </w:tc>
        <w:tc>
          <w:tcPr>
            <w:tcW w:w="4648" w:type="dxa"/>
            <w:tcBorders>
              <w:top w:val="nil"/>
              <w:left w:val="nil"/>
              <w:bottom w:val="single" w:color="000000" w:sz="8" w:space="0"/>
              <w:right w:val="single" w:color="000000" w:sz="8" w:space="0"/>
            </w:tcBorders>
            <w:noWrap/>
            <w:vAlign w:val="center"/>
          </w:tcPr>
          <w:p w14:paraId="5E9B00E0">
            <w:pPr>
              <w:pStyle w:val="34"/>
              <w:bidi w:val="0"/>
              <w:rPr>
                <w:highlight w:val="none"/>
              </w:rPr>
            </w:pPr>
            <w:r>
              <w:rPr>
                <w:rFonts w:hint="eastAsia"/>
                <w:highlight w:val="none"/>
              </w:rPr>
              <w:t>《家用太阳能热水系统能效限定值及能效等级》（GB26969）</w:t>
            </w:r>
          </w:p>
        </w:tc>
      </w:tr>
      <w:tr w14:paraId="4EB87B37">
        <w:tblPrEx>
          <w:tblCellMar>
            <w:top w:w="0" w:type="dxa"/>
            <w:left w:w="108" w:type="dxa"/>
            <w:bottom w:w="0" w:type="dxa"/>
            <w:right w:w="108" w:type="dxa"/>
          </w:tblCellMar>
        </w:tblPrEx>
        <w:trPr>
          <w:trHeight w:val="495" w:hRule="atLeast"/>
          <w:jc w:val="center"/>
        </w:trPr>
        <w:tc>
          <w:tcPr>
            <w:tcW w:w="675" w:type="dxa"/>
            <w:vMerge w:val="restart"/>
            <w:tcBorders>
              <w:top w:val="nil"/>
              <w:left w:val="single" w:color="auto" w:sz="8" w:space="0"/>
              <w:bottom w:val="single" w:color="auto" w:sz="8" w:space="0"/>
              <w:right w:val="single" w:color="auto" w:sz="8" w:space="0"/>
            </w:tcBorders>
            <w:noWrap/>
            <w:vAlign w:val="center"/>
          </w:tcPr>
          <w:p w14:paraId="5DF6FB94">
            <w:pPr>
              <w:pStyle w:val="34"/>
              <w:bidi w:val="0"/>
              <w:rPr>
                <w:highlight w:val="none"/>
              </w:rPr>
            </w:pPr>
            <w:r>
              <w:rPr>
                <w:rFonts w:hint="eastAsia"/>
                <w:highlight w:val="none"/>
              </w:rPr>
              <w:t>11</w:t>
            </w:r>
          </w:p>
        </w:tc>
        <w:tc>
          <w:tcPr>
            <w:tcW w:w="1105" w:type="dxa"/>
            <w:vMerge w:val="restart"/>
            <w:tcBorders>
              <w:top w:val="nil"/>
              <w:left w:val="single" w:color="auto" w:sz="8" w:space="0"/>
              <w:bottom w:val="single" w:color="auto" w:sz="8" w:space="0"/>
              <w:right w:val="single" w:color="auto" w:sz="8" w:space="0"/>
            </w:tcBorders>
            <w:noWrap/>
            <w:vAlign w:val="center"/>
          </w:tcPr>
          <w:p w14:paraId="0E0763AA">
            <w:pPr>
              <w:pStyle w:val="34"/>
              <w:bidi w:val="0"/>
              <w:rPr>
                <w:highlight w:val="none"/>
              </w:rPr>
            </w:pPr>
            <w:r>
              <w:rPr>
                <w:rFonts w:hint="eastAsia"/>
                <w:highlight w:val="none"/>
              </w:rPr>
              <w:t>A020619照明设备</w:t>
            </w:r>
          </w:p>
        </w:tc>
        <w:tc>
          <w:tcPr>
            <w:tcW w:w="1351" w:type="dxa"/>
            <w:tcBorders>
              <w:top w:val="nil"/>
              <w:left w:val="nil"/>
              <w:bottom w:val="single" w:color="auto" w:sz="8" w:space="0"/>
              <w:right w:val="single" w:color="auto" w:sz="8" w:space="0"/>
            </w:tcBorders>
            <w:noWrap/>
            <w:vAlign w:val="center"/>
          </w:tcPr>
          <w:p w14:paraId="595D8754">
            <w:pPr>
              <w:pStyle w:val="34"/>
              <w:bidi w:val="0"/>
              <w:rPr>
                <w:highlight w:val="none"/>
              </w:rPr>
            </w:pPr>
            <w:r>
              <w:rPr>
                <w:rFonts w:hint="eastAsia"/>
                <w:highlight w:val="none"/>
              </w:rPr>
              <w:t>★普通照明用双端荧光灯</w:t>
            </w:r>
          </w:p>
        </w:tc>
        <w:tc>
          <w:tcPr>
            <w:tcW w:w="1659" w:type="dxa"/>
            <w:tcBorders>
              <w:top w:val="nil"/>
              <w:left w:val="nil"/>
              <w:bottom w:val="single" w:color="auto" w:sz="8" w:space="0"/>
              <w:right w:val="single" w:color="auto" w:sz="8" w:space="0"/>
            </w:tcBorders>
            <w:noWrap/>
            <w:vAlign w:val="center"/>
          </w:tcPr>
          <w:p w14:paraId="2F9171E2">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4C1775B7">
            <w:pPr>
              <w:pStyle w:val="34"/>
              <w:bidi w:val="0"/>
              <w:rPr>
                <w:highlight w:val="none"/>
              </w:rPr>
            </w:pPr>
            <w:r>
              <w:rPr>
                <w:rFonts w:hint="eastAsia"/>
                <w:highlight w:val="none"/>
              </w:rPr>
              <w:t>《普通照明用双端荧光灯能效限定值及能效等级》（GB19043）</w:t>
            </w:r>
          </w:p>
        </w:tc>
      </w:tr>
      <w:tr w14:paraId="711040B3">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ED4E557">
            <w:pPr>
              <w:pStyle w:val="34"/>
              <w:bidi w:val="0"/>
              <w:rPr>
                <w:highlight w:val="none"/>
              </w:rPr>
            </w:pPr>
          </w:p>
        </w:tc>
        <w:tc>
          <w:tcPr>
            <w:tcW w:w="0" w:type="auto"/>
            <w:vMerge w:val="continue"/>
            <w:tcBorders>
              <w:top w:val="nil"/>
              <w:left w:val="single" w:color="auto" w:sz="8" w:space="0"/>
              <w:bottom w:val="single" w:color="auto" w:sz="8" w:space="0"/>
              <w:right w:val="single" w:color="auto" w:sz="8" w:space="0"/>
            </w:tcBorders>
            <w:vAlign w:val="center"/>
          </w:tcPr>
          <w:p w14:paraId="35AB6C3A">
            <w:pPr>
              <w:pStyle w:val="34"/>
              <w:bidi w:val="0"/>
              <w:rPr>
                <w:highlight w:val="none"/>
              </w:rPr>
            </w:pPr>
          </w:p>
        </w:tc>
        <w:tc>
          <w:tcPr>
            <w:tcW w:w="1351" w:type="dxa"/>
            <w:tcBorders>
              <w:top w:val="nil"/>
              <w:left w:val="nil"/>
              <w:bottom w:val="single" w:color="auto" w:sz="8" w:space="0"/>
              <w:right w:val="single" w:color="auto" w:sz="8" w:space="0"/>
            </w:tcBorders>
            <w:noWrap/>
            <w:vAlign w:val="center"/>
          </w:tcPr>
          <w:p w14:paraId="1939CAB8">
            <w:pPr>
              <w:pStyle w:val="34"/>
              <w:bidi w:val="0"/>
              <w:rPr>
                <w:highlight w:val="none"/>
              </w:rPr>
            </w:pPr>
            <w:r>
              <w:rPr>
                <w:rFonts w:hint="eastAsia"/>
                <w:highlight w:val="none"/>
              </w:rPr>
              <w:t>LED道路/隧道照明产品</w:t>
            </w:r>
          </w:p>
        </w:tc>
        <w:tc>
          <w:tcPr>
            <w:tcW w:w="1659" w:type="dxa"/>
            <w:tcBorders>
              <w:top w:val="nil"/>
              <w:left w:val="nil"/>
              <w:bottom w:val="single" w:color="auto" w:sz="8" w:space="0"/>
              <w:right w:val="single" w:color="auto" w:sz="8" w:space="0"/>
            </w:tcBorders>
            <w:noWrap/>
            <w:vAlign w:val="center"/>
          </w:tcPr>
          <w:p w14:paraId="028C6949">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6F6888A5">
            <w:pPr>
              <w:pStyle w:val="34"/>
              <w:bidi w:val="0"/>
              <w:rPr>
                <w:highlight w:val="none"/>
              </w:rPr>
            </w:pPr>
            <w:r>
              <w:rPr>
                <w:rFonts w:hint="eastAsia"/>
                <w:highlight w:val="none"/>
              </w:rPr>
              <w:t>《道路和隧道照明用LED灯具能效限定值及能效等级》（GB37478）</w:t>
            </w:r>
          </w:p>
        </w:tc>
      </w:tr>
      <w:tr w14:paraId="7913D3E1">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A6673E3">
            <w:pPr>
              <w:pStyle w:val="34"/>
              <w:bidi w:val="0"/>
              <w:rPr>
                <w:highlight w:val="none"/>
              </w:rPr>
            </w:pPr>
          </w:p>
        </w:tc>
        <w:tc>
          <w:tcPr>
            <w:tcW w:w="0" w:type="auto"/>
            <w:vMerge w:val="continue"/>
            <w:tcBorders>
              <w:top w:val="nil"/>
              <w:left w:val="single" w:color="auto" w:sz="8" w:space="0"/>
              <w:bottom w:val="single" w:color="auto" w:sz="8" w:space="0"/>
              <w:right w:val="single" w:color="auto" w:sz="8" w:space="0"/>
            </w:tcBorders>
            <w:vAlign w:val="center"/>
          </w:tcPr>
          <w:p w14:paraId="6836F6CB">
            <w:pPr>
              <w:pStyle w:val="34"/>
              <w:bidi w:val="0"/>
              <w:rPr>
                <w:highlight w:val="none"/>
              </w:rPr>
            </w:pPr>
          </w:p>
        </w:tc>
        <w:tc>
          <w:tcPr>
            <w:tcW w:w="1351" w:type="dxa"/>
            <w:tcBorders>
              <w:top w:val="nil"/>
              <w:left w:val="nil"/>
              <w:bottom w:val="single" w:color="auto" w:sz="8" w:space="0"/>
              <w:right w:val="single" w:color="auto" w:sz="8" w:space="0"/>
            </w:tcBorders>
            <w:noWrap/>
            <w:vAlign w:val="center"/>
          </w:tcPr>
          <w:p w14:paraId="6EBA90AA">
            <w:pPr>
              <w:pStyle w:val="34"/>
              <w:bidi w:val="0"/>
              <w:rPr>
                <w:highlight w:val="none"/>
              </w:rPr>
            </w:pPr>
            <w:r>
              <w:rPr>
                <w:rFonts w:hint="eastAsia"/>
                <w:highlight w:val="none"/>
              </w:rPr>
              <w:t>LED筒灯</w:t>
            </w:r>
          </w:p>
        </w:tc>
        <w:tc>
          <w:tcPr>
            <w:tcW w:w="1659" w:type="dxa"/>
            <w:tcBorders>
              <w:top w:val="nil"/>
              <w:left w:val="nil"/>
              <w:bottom w:val="single" w:color="auto" w:sz="8" w:space="0"/>
              <w:right w:val="single" w:color="auto" w:sz="8" w:space="0"/>
            </w:tcBorders>
            <w:noWrap/>
            <w:vAlign w:val="center"/>
          </w:tcPr>
          <w:p w14:paraId="22951E5C">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4FD90A2E">
            <w:pPr>
              <w:pStyle w:val="34"/>
              <w:bidi w:val="0"/>
              <w:rPr>
                <w:highlight w:val="none"/>
              </w:rPr>
            </w:pPr>
            <w:r>
              <w:rPr>
                <w:rFonts w:hint="eastAsia"/>
                <w:highlight w:val="none"/>
              </w:rPr>
              <w:t>《室内照明用LED产品能效限定值及能效等级》（GB30255）</w:t>
            </w:r>
          </w:p>
        </w:tc>
      </w:tr>
      <w:tr w14:paraId="576C1981">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F5B86CC">
            <w:pPr>
              <w:pStyle w:val="34"/>
              <w:bidi w:val="0"/>
              <w:rPr>
                <w:highlight w:val="none"/>
              </w:rPr>
            </w:pPr>
          </w:p>
        </w:tc>
        <w:tc>
          <w:tcPr>
            <w:tcW w:w="0" w:type="auto"/>
            <w:vMerge w:val="continue"/>
            <w:tcBorders>
              <w:top w:val="nil"/>
              <w:left w:val="single" w:color="auto" w:sz="8" w:space="0"/>
              <w:bottom w:val="single" w:color="auto" w:sz="8" w:space="0"/>
              <w:right w:val="single" w:color="auto" w:sz="8" w:space="0"/>
            </w:tcBorders>
            <w:vAlign w:val="center"/>
          </w:tcPr>
          <w:p w14:paraId="39E5A2BF">
            <w:pPr>
              <w:pStyle w:val="34"/>
              <w:bidi w:val="0"/>
              <w:rPr>
                <w:highlight w:val="none"/>
              </w:rPr>
            </w:pPr>
          </w:p>
        </w:tc>
        <w:tc>
          <w:tcPr>
            <w:tcW w:w="1351" w:type="dxa"/>
            <w:tcBorders>
              <w:top w:val="nil"/>
              <w:left w:val="nil"/>
              <w:bottom w:val="single" w:color="auto" w:sz="8" w:space="0"/>
              <w:right w:val="single" w:color="auto" w:sz="8" w:space="0"/>
            </w:tcBorders>
            <w:noWrap/>
            <w:vAlign w:val="center"/>
          </w:tcPr>
          <w:p w14:paraId="094E0D28">
            <w:pPr>
              <w:pStyle w:val="34"/>
              <w:bidi w:val="0"/>
              <w:rPr>
                <w:highlight w:val="none"/>
              </w:rPr>
            </w:pPr>
            <w:r>
              <w:rPr>
                <w:rFonts w:hint="eastAsia"/>
                <w:highlight w:val="none"/>
              </w:rPr>
              <w:t>普通照明用非定向自镇流LED灯</w:t>
            </w:r>
          </w:p>
        </w:tc>
        <w:tc>
          <w:tcPr>
            <w:tcW w:w="1659" w:type="dxa"/>
            <w:tcBorders>
              <w:top w:val="nil"/>
              <w:left w:val="nil"/>
              <w:bottom w:val="single" w:color="auto" w:sz="8" w:space="0"/>
              <w:right w:val="single" w:color="auto" w:sz="8" w:space="0"/>
            </w:tcBorders>
            <w:noWrap/>
            <w:vAlign w:val="center"/>
          </w:tcPr>
          <w:p w14:paraId="0572CE46">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48E62329">
            <w:pPr>
              <w:pStyle w:val="34"/>
              <w:bidi w:val="0"/>
              <w:rPr>
                <w:highlight w:val="none"/>
              </w:rPr>
            </w:pPr>
            <w:r>
              <w:rPr>
                <w:rFonts w:hint="eastAsia"/>
                <w:highlight w:val="none"/>
              </w:rPr>
              <w:t>《室内照明用LED产品能效限定值及能效等级》（GB30255）</w:t>
            </w:r>
          </w:p>
        </w:tc>
      </w:tr>
      <w:tr w14:paraId="06FC6DA3">
        <w:tblPrEx>
          <w:tblCellMar>
            <w:top w:w="0" w:type="dxa"/>
            <w:left w:w="108" w:type="dxa"/>
            <w:bottom w:w="0" w:type="dxa"/>
            <w:right w:w="108" w:type="dxa"/>
          </w:tblCellMar>
        </w:tblPrEx>
        <w:trPr>
          <w:trHeight w:val="735" w:hRule="atLeast"/>
          <w:jc w:val="center"/>
        </w:trPr>
        <w:tc>
          <w:tcPr>
            <w:tcW w:w="675" w:type="dxa"/>
            <w:tcBorders>
              <w:top w:val="nil"/>
              <w:left w:val="single" w:color="auto" w:sz="8" w:space="0"/>
              <w:bottom w:val="single" w:color="auto" w:sz="8" w:space="0"/>
              <w:right w:val="single" w:color="auto" w:sz="8" w:space="0"/>
            </w:tcBorders>
            <w:noWrap/>
            <w:vAlign w:val="center"/>
          </w:tcPr>
          <w:p w14:paraId="75CFB5E1">
            <w:pPr>
              <w:pStyle w:val="34"/>
              <w:bidi w:val="0"/>
              <w:rPr>
                <w:highlight w:val="none"/>
              </w:rPr>
            </w:pPr>
            <w:r>
              <w:rPr>
                <w:rFonts w:hint="eastAsia"/>
                <w:highlight w:val="none"/>
              </w:rPr>
              <w:t>12</w:t>
            </w:r>
          </w:p>
        </w:tc>
        <w:tc>
          <w:tcPr>
            <w:tcW w:w="1105" w:type="dxa"/>
            <w:tcBorders>
              <w:top w:val="nil"/>
              <w:left w:val="nil"/>
              <w:bottom w:val="single" w:color="auto" w:sz="8" w:space="0"/>
              <w:right w:val="single" w:color="auto" w:sz="8" w:space="0"/>
            </w:tcBorders>
            <w:noWrap/>
            <w:vAlign w:val="center"/>
          </w:tcPr>
          <w:p w14:paraId="07209B46">
            <w:pPr>
              <w:pStyle w:val="34"/>
              <w:bidi w:val="0"/>
              <w:rPr>
                <w:highlight w:val="none"/>
              </w:rPr>
            </w:pPr>
            <w:r>
              <w:rPr>
                <w:rFonts w:hint="eastAsia"/>
                <w:highlight w:val="none"/>
              </w:rPr>
              <w:t>★A020910电视设备</w:t>
            </w:r>
          </w:p>
        </w:tc>
        <w:tc>
          <w:tcPr>
            <w:tcW w:w="1351" w:type="dxa"/>
            <w:tcBorders>
              <w:top w:val="nil"/>
              <w:left w:val="nil"/>
              <w:bottom w:val="single" w:color="auto" w:sz="8" w:space="0"/>
              <w:right w:val="single" w:color="auto" w:sz="8" w:space="0"/>
            </w:tcBorders>
            <w:noWrap/>
            <w:vAlign w:val="center"/>
          </w:tcPr>
          <w:p w14:paraId="69C99DFB">
            <w:pPr>
              <w:pStyle w:val="34"/>
              <w:bidi w:val="0"/>
              <w:rPr>
                <w:highlight w:val="none"/>
              </w:rPr>
            </w:pPr>
            <w:r>
              <w:rPr>
                <w:rFonts w:hint="eastAsia"/>
                <w:highlight w:val="none"/>
              </w:rPr>
              <w:t>A02091001普通电视设备（电视机）</w:t>
            </w:r>
          </w:p>
        </w:tc>
        <w:tc>
          <w:tcPr>
            <w:tcW w:w="1659" w:type="dxa"/>
            <w:tcBorders>
              <w:top w:val="nil"/>
              <w:left w:val="nil"/>
              <w:bottom w:val="single" w:color="auto" w:sz="8" w:space="0"/>
              <w:right w:val="single" w:color="auto" w:sz="8" w:space="0"/>
            </w:tcBorders>
            <w:noWrap/>
            <w:vAlign w:val="center"/>
          </w:tcPr>
          <w:p w14:paraId="57350ED4">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03378E9F">
            <w:pPr>
              <w:pStyle w:val="34"/>
              <w:bidi w:val="0"/>
              <w:rPr>
                <w:highlight w:val="none"/>
              </w:rPr>
            </w:pPr>
            <w:r>
              <w:rPr>
                <w:rFonts w:hint="eastAsia"/>
                <w:highlight w:val="none"/>
              </w:rPr>
              <w:t>《平板电视能效限定值及能效等级》（GB24850）</w:t>
            </w:r>
          </w:p>
        </w:tc>
      </w:tr>
      <w:tr w14:paraId="0A3FBA74">
        <w:tblPrEx>
          <w:tblCellMar>
            <w:top w:w="0" w:type="dxa"/>
            <w:left w:w="108" w:type="dxa"/>
            <w:bottom w:w="0" w:type="dxa"/>
            <w:right w:w="108" w:type="dxa"/>
          </w:tblCellMar>
        </w:tblPrEx>
        <w:trPr>
          <w:trHeight w:val="975" w:hRule="atLeast"/>
          <w:jc w:val="center"/>
        </w:trPr>
        <w:tc>
          <w:tcPr>
            <w:tcW w:w="675" w:type="dxa"/>
            <w:tcBorders>
              <w:top w:val="nil"/>
              <w:left w:val="single" w:color="auto" w:sz="8" w:space="0"/>
              <w:bottom w:val="single" w:color="auto" w:sz="8" w:space="0"/>
              <w:right w:val="single" w:color="auto" w:sz="8" w:space="0"/>
            </w:tcBorders>
            <w:noWrap/>
            <w:vAlign w:val="center"/>
          </w:tcPr>
          <w:p w14:paraId="4C85440F">
            <w:pPr>
              <w:pStyle w:val="34"/>
              <w:bidi w:val="0"/>
              <w:rPr>
                <w:highlight w:val="none"/>
              </w:rPr>
            </w:pPr>
            <w:r>
              <w:rPr>
                <w:rFonts w:hint="eastAsia"/>
                <w:highlight w:val="none"/>
              </w:rPr>
              <w:t>13</w:t>
            </w:r>
          </w:p>
        </w:tc>
        <w:tc>
          <w:tcPr>
            <w:tcW w:w="1105" w:type="dxa"/>
            <w:tcBorders>
              <w:top w:val="nil"/>
              <w:left w:val="nil"/>
              <w:bottom w:val="single" w:color="auto" w:sz="8" w:space="0"/>
              <w:right w:val="single" w:color="auto" w:sz="8" w:space="0"/>
            </w:tcBorders>
            <w:noWrap/>
            <w:vAlign w:val="center"/>
          </w:tcPr>
          <w:p w14:paraId="1C4B81E1">
            <w:pPr>
              <w:pStyle w:val="34"/>
              <w:bidi w:val="0"/>
              <w:rPr>
                <w:highlight w:val="none"/>
              </w:rPr>
            </w:pPr>
            <w:r>
              <w:rPr>
                <w:rFonts w:hint="eastAsia"/>
                <w:highlight w:val="none"/>
              </w:rPr>
              <w:t>★A020911视频设备</w:t>
            </w:r>
          </w:p>
        </w:tc>
        <w:tc>
          <w:tcPr>
            <w:tcW w:w="1351" w:type="dxa"/>
            <w:tcBorders>
              <w:top w:val="nil"/>
              <w:left w:val="nil"/>
              <w:bottom w:val="single" w:color="auto" w:sz="8" w:space="0"/>
              <w:right w:val="single" w:color="auto" w:sz="8" w:space="0"/>
            </w:tcBorders>
            <w:noWrap/>
            <w:vAlign w:val="center"/>
          </w:tcPr>
          <w:p w14:paraId="19E74A7D">
            <w:pPr>
              <w:pStyle w:val="34"/>
              <w:bidi w:val="0"/>
              <w:rPr>
                <w:highlight w:val="none"/>
              </w:rPr>
            </w:pPr>
            <w:r>
              <w:rPr>
                <w:rFonts w:hint="eastAsia"/>
                <w:highlight w:val="none"/>
              </w:rPr>
              <w:t>A02091107视频监控设备</w:t>
            </w:r>
          </w:p>
        </w:tc>
        <w:tc>
          <w:tcPr>
            <w:tcW w:w="1659" w:type="dxa"/>
            <w:tcBorders>
              <w:top w:val="nil"/>
              <w:left w:val="nil"/>
              <w:bottom w:val="single" w:color="auto" w:sz="8" w:space="0"/>
              <w:right w:val="single" w:color="auto" w:sz="8" w:space="0"/>
            </w:tcBorders>
            <w:noWrap/>
            <w:vAlign w:val="center"/>
          </w:tcPr>
          <w:p w14:paraId="65E584B7">
            <w:pPr>
              <w:pStyle w:val="34"/>
              <w:bidi w:val="0"/>
              <w:rPr>
                <w:highlight w:val="none"/>
              </w:rPr>
            </w:pPr>
            <w:r>
              <w:rPr>
                <w:rFonts w:hint="eastAsia"/>
                <w:highlight w:val="none"/>
              </w:rPr>
              <w:t>监视器</w:t>
            </w:r>
          </w:p>
        </w:tc>
        <w:tc>
          <w:tcPr>
            <w:tcW w:w="4648" w:type="dxa"/>
            <w:tcBorders>
              <w:top w:val="nil"/>
              <w:left w:val="nil"/>
              <w:bottom w:val="single" w:color="auto" w:sz="8" w:space="0"/>
              <w:right w:val="single" w:color="auto" w:sz="8" w:space="0"/>
            </w:tcBorders>
            <w:noWrap/>
            <w:vAlign w:val="center"/>
          </w:tcPr>
          <w:p w14:paraId="19D6000C">
            <w:pPr>
              <w:pStyle w:val="34"/>
              <w:bidi w:val="0"/>
              <w:rPr>
                <w:highlight w:val="none"/>
              </w:rPr>
            </w:pPr>
            <w:r>
              <w:rPr>
                <w:rFonts w:hint="eastAsia"/>
                <w:highlight w:val="none"/>
              </w:rPr>
              <w:t>以射频信号为主要信号输入的监视器应符合《平板电视能效限定值及能效等级》（GB24850），以数字信号为主要信号输入的监视器应符合《计算机显示器能效限定值及能效等级》（GB21520）</w:t>
            </w:r>
          </w:p>
        </w:tc>
      </w:tr>
      <w:tr w14:paraId="5CD913B6">
        <w:tblPrEx>
          <w:tblCellMar>
            <w:top w:w="0" w:type="dxa"/>
            <w:left w:w="108" w:type="dxa"/>
            <w:bottom w:w="0" w:type="dxa"/>
            <w:right w:w="108" w:type="dxa"/>
          </w:tblCellMar>
        </w:tblPrEx>
        <w:trPr>
          <w:trHeight w:val="495" w:hRule="atLeast"/>
          <w:jc w:val="center"/>
        </w:trPr>
        <w:tc>
          <w:tcPr>
            <w:tcW w:w="675" w:type="dxa"/>
            <w:tcBorders>
              <w:top w:val="nil"/>
              <w:left w:val="single" w:color="auto" w:sz="8" w:space="0"/>
              <w:bottom w:val="single" w:color="auto" w:sz="8" w:space="0"/>
              <w:right w:val="single" w:color="auto" w:sz="8" w:space="0"/>
            </w:tcBorders>
            <w:noWrap/>
            <w:vAlign w:val="center"/>
          </w:tcPr>
          <w:p w14:paraId="7106B47D">
            <w:pPr>
              <w:pStyle w:val="34"/>
              <w:bidi w:val="0"/>
              <w:rPr>
                <w:highlight w:val="none"/>
              </w:rPr>
            </w:pPr>
            <w:r>
              <w:rPr>
                <w:rFonts w:hint="eastAsia"/>
                <w:highlight w:val="none"/>
              </w:rPr>
              <w:t>14</w:t>
            </w:r>
          </w:p>
        </w:tc>
        <w:tc>
          <w:tcPr>
            <w:tcW w:w="1105" w:type="dxa"/>
            <w:tcBorders>
              <w:top w:val="nil"/>
              <w:left w:val="nil"/>
              <w:bottom w:val="single" w:color="auto" w:sz="8" w:space="0"/>
              <w:right w:val="single" w:color="auto" w:sz="8" w:space="0"/>
            </w:tcBorders>
            <w:noWrap/>
            <w:vAlign w:val="center"/>
          </w:tcPr>
          <w:p w14:paraId="5E9E6B99">
            <w:pPr>
              <w:pStyle w:val="34"/>
              <w:bidi w:val="0"/>
              <w:rPr>
                <w:highlight w:val="none"/>
              </w:rPr>
            </w:pPr>
            <w:r>
              <w:rPr>
                <w:rFonts w:hint="eastAsia"/>
                <w:highlight w:val="none"/>
              </w:rPr>
              <w:t>A031210饮食炊事机械</w:t>
            </w:r>
          </w:p>
        </w:tc>
        <w:tc>
          <w:tcPr>
            <w:tcW w:w="1351" w:type="dxa"/>
            <w:tcBorders>
              <w:top w:val="nil"/>
              <w:left w:val="nil"/>
              <w:bottom w:val="single" w:color="auto" w:sz="8" w:space="0"/>
              <w:right w:val="single" w:color="auto" w:sz="8" w:space="0"/>
            </w:tcBorders>
            <w:noWrap/>
            <w:vAlign w:val="center"/>
          </w:tcPr>
          <w:p w14:paraId="72544149">
            <w:pPr>
              <w:pStyle w:val="34"/>
              <w:bidi w:val="0"/>
              <w:rPr>
                <w:highlight w:val="none"/>
              </w:rPr>
            </w:pPr>
            <w:r>
              <w:rPr>
                <w:rFonts w:hint="eastAsia"/>
                <w:highlight w:val="none"/>
              </w:rPr>
              <w:t>商用燃气灶具</w:t>
            </w:r>
          </w:p>
        </w:tc>
        <w:tc>
          <w:tcPr>
            <w:tcW w:w="1659" w:type="dxa"/>
            <w:tcBorders>
              <w:top w:val="nil"/>
              <w:left w:val="nil"/>
              <w:bottom w:val="single" w:color="auto" w:sz="8" w:space="0"/>
              <w:right w:val="single" w:color="auto" w:sz="8" w:space="0"/>
            </w:tcBorders>
            <w:noWrap/>
            <w:vAlign w:val="center"/>
          </w:tcPr>
          <w:p w14:paraId="71D20C38">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0BAA9C5E">
            <w:pPr>
              <w:pStyle w:val="34"/>
              <w:bidi w:val="0"/>
              <w:rPr>
                <w:highlight w:val="none"/>
              </w:rPr>
            </w:pPr>
            <w:r>
              <w:rPr>
                <w:rFonts w:hint="eastAsia"/>
                <w:highlight w:val="none"/>
              </w:rPr>
              <w:t>《商用燃气灶具能效限定值及能效等级》（GB30531）</w:t>
            </w:r>
          </w:p>
        </w:tc>
      </w:tr>
      <w:tr w14:paraId="738F9BCB">
        <w:tblPrEx>
          <w:tblCellMar>
            <w:top w:w="0" w:type="dxa"/>
            <w:left w:w="108" w:type="dxa"/>
            <w:bottom w:w="0" w:type="dxa"/>
            <w:right w:w="108" w:type="dxa"/>
          </w:tblCellMar>
        </w:tblPrEx>
        <w:trPr>
          <w:trHeight w:val="285" w:hRule="atLeast"/>
          <w:jc w:val="center"/>
        </w:trPr>
        <w:tc>
          <w:tcPr>
            <w:tcW w:w="675" w:type="dxa"/>
            <w:vMerge w:val="restart"/>
            <w:tcBorders>
              <w:top w:val="nil"/>
              <w:left w:val="single" w:color="auto" w:sz="8" w:space="0"/>
              <w:bottom w:val="single" w:color="auto" w:sz="8" w:space="0"/>
              <w:right w:val="single" w:color="auto" w:sz="8" w:space="0"/>
            </w:tcBorders>
            <w:noWrap/>
            <w:vAlign w:val="center"/>
          </w:tcPr>
          <w:p w14:paraId="674852CD">
            <w:pPr>
              <w:pStyle w:val="34"/>
              <w:bidi w:val="0"/>
              <w:rPr>
                <w:highlight w:val="none"/>
              </w:rPr>
            </w:pPr>
            <w:r>
              <w:rPr>
                <w:rFonts w:hint="eastAsia"/>
                <w:highlight w:val="none"/>
              </w:rPr>
              <w:t>15</w:t>
            </w:r>
          </w:p>
        </w:tc>
        <w:tc>
          <w:tcPr>
            <w:tcW w:w="1105" w:type="dxa"/>
            <w:vMerge w:val="restart"/>
            <w:tcBorders>
              <w:top w:val="nil"/>
              <w:left w:val="single" w:color="auto" w:sz="8" w:space="0"/>
              <w:bottom w:val="single" w:color="000000" w:sz="8" w:space="0"/>
              <w:right w:val="single" w:color="auto" w:sz="8" w:space="0"/>
            </w:tcBorders>
            <w:noWrap/>
            <w:vAlign w:val="center"/>
          </w:tcPr>
          <w:p w14:paraId="5F62B8BB">
            <w:pPr>
              <w:pStyle w:val="34"/>
              <w:bidi w:val="0"/>
              <w:rPr>
                <w:highlight w:val="none"/>
              </w:rPr>
            </w:pPr>
            <w:r>
              <w:rPr>
                <w:rFonts w:hint="eastAsia"/>
                <w:highlight w:val="none"/>
              </w:rPr>
              <w:t>★A060805便器</w:t>
            </w:r>
          </w:p>
        </w:tc>
        <w:tc>
          <w:tcPr>
            <w:tcW w:w="1351" w:type="dxa"/>
            <w:tcBorders>
              <w:top w:val="nil"/>
              <w:left w:val="nil"/>
              <w:bottom w:val="single" w:color="auto" w:sz="8" w:space="0"/>
              <w:right w:val="single" w:color="auto" w:sz="8" w:space="0"/>
            </w:tcBorders>
            <w:noWrap/>
            <w:vAlign w:val="center"/>
          </w:tcPr>
          <w:p w14:paraId="16E2E601">
            <w:pPr>
              <w:pStyle w:val="34"/>
              <w:bidi w:val="0"/>
              <w:rPr>
                <w:highlight w:val="none"/>
              </w:rPr>
            </w:pPr>
            <w:r>
              <w:rPr>
                <w:rFonts w:hint="eastAsia"/>
                <w:highlight w:val="none"/>
              </w:rPr>
              <w:t>坐便器</w:t>
            </w:r>
          </w:p>
        </w:tc>
        <w:tc>
          <w:tcPr>
            <w:tcW w:w="1659" w:type="dxa"/>
            <w:tcBorders>
              <w:top w:val="nil"/>
              <w:left w:val="nil"/>
              <w:bottom w:val="single" w:color="auto" w:sz="8" w:space="0"/>
              <w:right w:val="single" w:color="auto" w:sz="8" w:space="0"/>
            </w:tcBorders>
            <w:noWrap/>
            <w:vAlign w:val="center"/>
          </w:tcPr>
          <w:p w14:paraId="229AB13B">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5DA77AC4">
            <w:pPr>
              <w:pStyle w:val="34"/>
              <w:bidi w:val="0"/>
              <w:rPr>
                <w:highlight w:val="none"/>
              </w:rPr>
            </w:pPr>
            <w:r>
              <w:rPr>
                <w:rFonts w:hint="eastAsia"/>
                <w:highlight w:val="none"/>
              </w:rPr>
              <w:t>《坐便器水效限定值及水效等级》（GB25502）</w:t>
            </w:r>
          </w:p>
        </w:tc>
      </w:tr>
      <w:tr w14:paraId="3C9EBFCB">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9334813">
            <w:pPr>
              <w:pStyle w:val="34"/>
              <w:bidi w:val="0"/>
              <w:rPr>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14:paraId="79457A9C">
            <w:pPr>
              <w:pStyle w:val="34"/>
              <w:bidi w:val="0"/>
              <w:rPr>
                <w:highlight w:val="none"/>
              </w:rPr>
            </w:pPr>
          </w:p>
        </w:tc>
        <w:tc>
          <w:tcPr>
            <w:tcW w:w="1351" w:type="dxa"/>
            <w:tcBorders>
              <w:top w:val="nil"/>
              <w:left w:val="nil"/>
              <w:bottom w:val="single" w:color="auto" w:sz="8" w:space="0"/>
              <w:right w:val="single" w:color="auto" w:sz="8" w:space="0"/>
            </w:tcBorders>
            <w:noWrap/>
            <w:vAlign w:val="center"/>
          </w:tcPr>
          <w:p w14:paraId="47C1447C">
            <w:pPr>
              <w:pStyle w:val="34"/>
              <w:bidi w:val="0"/>
              <w:rPr>
                <w:highlight w:val="none"/>
              </w:rPr>
            </w:pPr>
            <w:r>
              <w:rPr>
                <w:rFonts w:hint="eastAsia"/>
                <w:highlight w:val="none"/>
              </w:rPr>
              <w:t>蹲便器</w:t>
            </w:r>
          </w:p>
        </w:tc>
        <w:tc>
          <w:tcPr>
            <w:tcW w:w="1659" w:type="dxa"/>
            <w:tcBorders>
              <w:top w:val="nil"/>
              <w:left w:val="nil"/>
              <w:bottom w:val="single" w:color="auto" w:sz="8" w:space="0"/>
              <w:right w:val="single" w:color="auto" w:sz="8" w:space="0"/>
            </w:tcBorders>
            <w:noWrap/>
            <w:vAlign w:val="center"/>
          </w:tcPr>
          <w:p w14:paraId="45C2A08B">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02A89A49">
            <w:pPr>
              <w:pStyle w:val="34"/>
              <w:bidi w:val="0"/>
              <w:rPr>
                <w:highlight w:val="none"/>
              </w:rPr>
            </w:pPr>
            <w:r>
              <w:rPr>
                <w:rFonts w:hint="eastAsia"/>
                <w:highlight w:val="none"/>
              </w:rPr>
              <w:t>《蹲便器用水效率限定值及用水效率等级》（GB30717）</w:t>
            </w:r>
          </w:p>
        </w:tc>
      </w:tr>
      <w:tr w14:paraId="18ECC851">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D6F3AC2">
            <w:pPr>
              <w:pStyle w:val="34"/>
              <w:bidi w:val="0"/>
              <w:rPr>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14:paraId="63EDA5FA">
            <w:pPr>
              <w:pStyle w:val="34"/>
              <w:bidi w:val="0"/>
              <w:rPr>
                <w:highlight w:val="none"/>
              </w:rPr>
            </w:pPr>
          </w:p>
        </w:tc>
        <w:tc>
          <w:tcPr>
            <w:tcW w:w="1351" w:type="dxa"/>
            <w:tcBorders>
              <w:top w:val="nil"/>
              <w:left w:val="nil"/>
              <w:bottom w:val="single" w:color="auto" w:sz="8" w:space="0"/>
              <w:right w:val="single" w:color="auto" w:sz="8" w:space="0"/>
            </w:tcBorders>
            <w:noWrap/>
            <w:vAlign w:val="center"/>
          </w:tcPr>
          <w:p w14:paraId="26DD842D">
            <w:pPr>
              <w:pStyle w:val="34"/>
              <w:bidi w:val="0"/>
              <w:rPr>
                <w:highlight w:val="none"/>
              </w:rPr>
            </w:pPr>
            <w:r>
              <w:rPr>
                <w:rFonts w:hint="eastAsia"/>
                <w:highlight w:val="none"/>
              </w:rPr>
              <w:t>小便器</w:t>
            </w:r>
          </w:p>
        </w:tc>
        <w:tc>
          <w:tcPr>
            <w:tcW w:w="1659" w:type="dxa"/>
            <w:tcBorders>
              <w:top w:val="nil"/>
              <w:left w:val="nil"/>
              <w:bottom w:val="single" w:color="auto" w:sz="8" w:space="0"/>
              <w:right w:val="single" w:color="auto" w:sz="8" w:space="0"/>
            </w:tcBorders>
            <w:noWrap/>
            <w:vAlign w:val="center"/>
          </w:tcPr>
          <w:p w14:paraId="104546E5">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4D22B362">
            <w:pPr>
              <w:pStyle w:val="34"/>
              <w:bidi w:val="0"/>
              <w:rPr>
                <w:highlight w:val="none"/>
              </w:rPr>
            </w:pPr>
            <w:r>
              <w:rPr>
                <w:rFonts w:hint="eastAsia"/>
                <w:highlight w:val="none"/>
              </w:rPr>
              <w:t>《小便器用水效率限定值及用水效率等级》（GB28377）</w:t>
            </w:r>
          </w:p>
        </w:tc>
      </w:tr>
      <w:tr w14:paraId="068234E4">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564A2F08">
            <w:pPr>
              <w:pStyle w:val="34"/>
              <w:bidi w:val="0"/>
              <w:rPr>
                <w:highlight w:val="none"/>
              </w:rPr>
            </w:pPr>
            <w:r>
              <w:rPr>
                <w:rFonts w:hint="eastAsia"/>
                <w:highlight w:val="none"/>
              </w:rPr>
              <w:t>16</w:t>
            </w:r>
          </w:p>
        </w:tc>
        <w:tc>
          <w:tcPr>
            <w:tcW w:w="1105" w:type="dxa"/>
            <w:tcBorders>
              <w:top w:val="nil"/>
              <w:left w:val="nil"/>
              <w:bottom w:val="single" w:color="000000" w:sz="8" w:space="0"/>
              <w:right w:val="single" w:color="000000" w:sz="8" w:space="0"/>
            </w:tcBorders>
            <w:noWrap/>
            <w:vAlign w:val="center"/>
          </w:tcPr>
          <w:p w14:paraId="6BB538EE">
            <w:pPr>
              <w:pStyle w:val="34"/>
              <w:bidi w:val="0"/>
              <w:rPr>
                <w:highlight w:val="none"/>
              </w:rPr>
            </w:pPr>
            <w:r>
              <w:rPr>
                <w:rFonts w:hint="eastAsia"/>
                <w:highlight w:val="none"/>
              </w:rPr>
              <w:t>★A060806水嘴</w:t>
            </w:r>
          </w:p>
        </w:tc>
        <w:tc>
          <w:tcPr>
            <w:tcW w:w="1351" w:type="dxa"/>
            <w:tcBorders>
              <w:top w:val="nil"/>
              <w:left w:val="nil"/>
              <w:bottom w:val="single" w:color="000000" w:sz="8" w:space="0"/>
              <w:right w:val="single" w:color="000000" w:sz="8" w:space="0"/>
            </w:tcBorders>
            <w:noWrap/>
            <w:vAlign w:val="center"/>
          </w:tcPr>
          <w:p w14:paraId="65F5D3FD">
            <w:pPr>
              <w:pStyle w:val="34"/>
              <w:bidi w:val="0"/>
              <w:rPr>
                <w:highlight w:val="none"/>
              </w:rPr>
            </w:pPr>
            <w:r>
              <w:rPr>
                <w:rFonts w:hint="eastAsia"/>
                <w:highlight w:val="none"/>
              </w:rPr>
              <w:t>　</w:t>
            </w:r>
          </w:p>
        </w:tc>
        <w:tc>
          <w:tcPr>
            <w:tcW w:w="1659" w:type="dxa"/>
            <w:tcBorders>
              <w:top w:val="nil"/>
              <w:left w:val="nil"/>
              <w:bottom w:val="single" w:color="000000" w:sz="8" w:space="0"/>
              <w:right w:val="single" w:color="000000" w:sz="8" w:space="0"/>
            </w:tcBorders>
            <w:noWrap/>
            <w:vAlign w:val="center"/>
          </w:tcPr>
          <w:p w14:paraId="6A73C478">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2EECFD2B">
            <w:pPr>
              <w:pStyle w:val="34"/>
              <w:bidi w:val="0"/>
              <w:rPr>
                <w:highlight w:val="none"/>
              </w:rPr>
            </w:pPr>
            <w:r>
              <w:rPr>
                <w:rFonts w:hint="eastAsia"/>
                <w:highlight w:val="none"/>
              </w:rPr>
              <w:t>《水嘴用水效率限定值及用水效率等级》（GB 25501）</w:t>
            </w:r>
          </w:p>
        </w:tc>
      </w:tr>
      <w:tr w14:paraId="38F19E72">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41DD6E00">
            <w:pPr>
              <w:pStyle w:val="34"/>
              <w:bidi w:val="0"/>
              <w:rPr>
                <w:highlight w:val="none"/>
              </w:rPr>
            </w:pPr>
            <w:r>
              <w:rPr>
                <w:rFonts w:hint="eastAsia"/>
                <w:highlight w:val="none"/>
              </w:rPr>
              <w:t>17</w:t>
            </w:r>
          </w:p>
        </w:tc>
        <w:tc>
          <w:tcPr>
            <w:tcW w:w="1105" w:type="dxa"/>
            <w:tcBorders>
              <w:top w:val="nil"/>
              <w:left w:val="nil"/>
              <w:bottom w:val="single" w:color="000000" w:sz="8" w:space="0"/>
              <w:right w:val="single" w:color="000000" w:sz="8" w:space="0"/>
            </w:tcBorders>
            <w:noWrap/>
            <w:vAlign w:val="center"/>
          </w:tcPr>
          <w:p w14:paraId="1B46D920">
            <w:pPr>
              <w:pStyle w:val="34"/>
              <w:bidi w:val="0"/>
              <w:rPr>
                <w:highlight w:val="none"/>
              </w:rPr>
            </w:pPr>
            <w:r>
              <w:rPr>
                <w:rFonts w:hint="eastAsia"/>
                <w:highlight w:val="none"/>
              </w:rPr>
              <w:t>A060807便器冲洗阀</w:t>
            </w:r>
          </w:p>
        </w:tc>
        <w:tc>
          <w:tcPr>
            <w:tcW w:w="1351" w:type="dxa"/>
            <w:tcBorders>
              <w:top w:val="nil"/>
              <w:left w:val="nil"/>
              <w:bottom w:val="single" w:color="000000" w:sz="8" w:space="0"/>
              <w:right w:val="single" w:color="000000" w:sz="8" w:space="0"/>
            </w:tcBorders>
            <w:noWrap/>
            <w:vAlign w:val="center"/>
          </w:tcPr>
          <w:p w14:paraId="592AB78D">
            <w:pPr>
              <w:pStyle w:val="34"/>
              <w:bidi w:val="0"/>
              <w:rPr>
                <w:highlight w:val="none"/>
              </w:rPr>
            </w:pPr>
            <w:r>
              <w:rPr>
                <w:rFonts w:hint="eastAsia"/>
                <w:highlight w:val="none"/>
              </w:rPr>
              <w:t>　</w:t>
            </w:r>
          </w:p>
        </w:tc>
        <w:tc>
          <w:tcPr>
            <w:tcW w:w="1659" w:type="dxa"/>
            <w:tcBorders>
              <w:top w:val="nil"/>
              <w:left w:val="nil"/>
              <w:bottom w:val="single" w:color="000000" w:sz="8" w:space="0"/>
              <w:right w:val="single" w:color="000000" w:sz="8" w:space="0"/>
            </w:tcBorders>
            <w:noWrap/>
            <w:vAlign w:val="center"/>
          </w:tcPr>
          <w:p w14:paraId="20B85D8C">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2D9DA2C7">
            <w:pPr>
              <w:pStyle w:val="34"/>
              <w:bidi w:val="0"/>
              <w:rPr>
                <w:highlight w:val="none"/>
              </w:rPr>
            </w:pPr>
            <w:r>
              <w:rPr>
                <w:rFonts w:hint="eastAsia"/>
                <w:highlight w:val="none"/>
              </w:rPr>
              <w:t>《便器冲洗阀用水效率限定值及用水效率等级》（GB28379）</w:t>
            </w:r>
          </w:p>
        </w:tc>
      </w:tr>
      <w:tr w14:paraId="192F9648">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1401AFF2">
            <w:pPr>
              <w:pStyle w:val="34"/>
              <w:bidi w:val="0"/>
              <w:rPr>
                <w:highlight w:val="none"/>
              </w:rPr>
            </w:pPr>
            <w:r>
              <w:rPr>
                <w:rFonts w:hint="eastAsia"/>
                <w:highlight w:val="none"/>
              </w:rPr>
              <w:t>18</w:t>
            </w:r>
          </w:p>
        </w:tc>
        <w:tc>
          <w:tcPr>
            <w:tcW w:w="1105" w:type="dxa"/>
            <w:tcBorders>
              <w:top w:val="nil"/>
              <w:left w:val="nil"/>
              <w:bottom w:val="single" w:color="000000" w:sz="8" w:space="0"/>
              <w:right w:val="single" w:color="000000" w:sz="8" w:space="0"/>
            </w:tcBorders>
            <w:noWrap/>
            <w:vAlign w:val="center"/>
          </w:tcPr>
          <w:p w14:paraId="74E0A3D2">
            <w:pPr>
              <w:pStyle w:val="34"/>
              <w:bidi w:val="0"/>
              <w:rPr>
                <w:highlight w:val="none"/>
              </w:rPr>
            </w:pPr>
            <w:r>
              <w:rPr>
                <w:rFonts w:hint="eastAsia"/>
                <w:highlight w:val="none"/>
              </w:rPr>
              <w:t>A060810淋浴器</w:t>
            </w:r>
          </w:p>
        </w:tc>
        <w:tc>
          <w:tcPr>
            <w:tcW w:w="1351" w:type="dxa"/>
            <w:tcBorders>
              <w:top w:val="nil"/>
              <w:left w:val="nil"/>
              <w:bottom w:val="single" w:color="000000" w:sz="8" w:space="0"/>
              <w:right w:val="single" w:color="000000" w:sz="8" w:space="0"/>
            </w:tcBorders>
            <w:noWrap/>
            <w:vAlign w:val="center"/>
          </w:tcPr>
          <w:p w14:paraId="7F7D7AD1">
            <w:pPr>
              <w:pStyle w:val="34"/>
              <w:bidi w:val="0"/>
              <w:rPr>
                <w:highlight w:val="none"/>
              </w:rPr>
            </w:pPr>
            <w:r>
              <w:rPr>
                <w:rFonts w:hint="eastAsia"/>
                <w:highlight w:val="none"/>
              </w:rPr>
              <w:t>　</w:t>
            </w:r>
          </w:p>
        </w:tc>
        <w:tc>
          <w:tcPr>
            <w:tcW w:w="1659" w:type="dxa"/>
            <w:tcBorders>
              <w:top w:val="nil"/>
              <w:left w:val="nil"/>
              <w:bottom w:val="single" w:color="000000" w:sz="8" w:space="0"/>
              <w:right w:val="single" w:color="000000" w:sz="8" w:space="0"/>
            </w:tcBorders>
            <w:noWrap/>
            <w:vAlign w:val="center"/>
          </w:tcPr>
          <w:p w14:paraId="7FC9A81B">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159BE0FA">
            <w:pPr>
              <w:pStyle w:val="34"/>
              <w:bidi w:val="0"/>
              <w:rPr>
                <w:highlight w:val="none"/>
              </w:rPr>
            </w:pPr>
            <w:r>
              <w:rPr>
                <w:rFonts w:hint="eastAsia"/>
                <w:highlight w:val="none"/>
              </w:rPr>
              <w:t>《淋浴器用水效率限定值及用水效率等级》（GB28378）</w:t>
            </w:r>
          </w:p>
        </w:tc>
      </w:tr>
    </w:tbl>
    <w:p w14:paraId="55B044AB">
      <w:pPr>
        <w:pageBreakBefore w:val="0"/>
        <w:widowControl/>
        <w:kinsoku/>
        <w:wordWrap w:val="0"/>
        <w:overflowPunct/>
        <w:topLinePunct/>
        <w:autoSpaceDE w:val="0"/>
        <w:autoSpaceDN w:val="0"/>
        <w:bidi w:val="0"/>
        <w:rPr>
          <w:rFonts w:hint="eastAsia" w:ascii="宋体" w:hAnsi="宋体" w:cs="宋体"/>
          <w:sz w:val="20"/>
          <w:szCs w:val="20"/>
          <w:highlight w:val="none"/>
        </w:rPr>
      </w:pPr>
    </w:p>
    <w:p w14:paraId="0F917E8E">
      <w:pPr>
        <w:bidi w:val="0"/>
        <w:rPr>
          <w:rFonts w:hint="eastAsia"/>
          <w:highlight w:val="none"/>
        </w:rPr>
      </w:pPr>
      <w:r>
        <w:rPr>
          <w:rFonts w:hint="eastAsia"/>
          <w:highlight w:val="none"/>
        </w:rPr>
        <w:t>注：</w:t>
      </w:r>
      <w:r>
        <w:rPr>
          <w:highlight w:val="none"/>
        </w:rPr>
        <w:t>1.</w:t>
      </w:r>
      <w:r>
        <w:rPr>
          <w:rFonts w:hint="eastAsia"/>
          <w:highlight w:val="none"/>
        </w:rPr>
        <w:t>节能产品认证应依据相关国家标准的最新版本，依据国家标准中二级能效（水效）指标。</w:t>
      </w:r>
    </w:p>
    <w:p w14:paraId="18A97BDE">
      <w:pPr>
        <w:pStyle w:val="2"/>
        <w:pageBreakBefore w:val="0"/>
        <w:kinsoku/>
        <w:wordWrap w:val="0"/>
        <w:overflowPunct/>
        <w:topLinePunct/>
        <w:autoSpaceDE w:val="0"/>
        <w:autoSpaceDN w:val="0"/>
        <w:bidi w:val="0"/>
        <w:spacing w:line="360" w:lineRule="auto"/>
        <w:rPr>
          <w:rFonts w:hint="eastAsia" w:ascii="Arial Unicode MS" w:hAnsi="Arial Unicode MS" w:eastAsia="Arial Unicode MS" w:cs="Arial Unicode MS"/>
          <w:sz w:val="32"/>
          <w:szCs w:val="32"/>
          <w:highlight w:val="none"/>
        </w:rPr>
      </w:pPr>
      <w:r>
        <w:rPr>
          <w:rStyle w:val="37"/>
          <w:highlight w:val="none"/>
        </w:rPr>
        <w:t>2.</w:t>
      </w:r>
      <w:r>
        <w:rPr>
          <w:rStyle w:val="37"/>
          <w:rFonts w:hint="eastAsia"/>
          <w:highlight w:val="none"/>
        </w:rPr>
        <w:t>以</w:t>
      </w:r>
      <w:r>
        <w:rPr>
          <w:rStyle w:val="37"/>
          <w:highlight w:val="none"/>
        </w:rPr>
        <w:t>“</w:t>
      </w:r>
      <w:r>
        <w:rPr>
          <w:rStyle w:val="37"/>
          <w:rFonts w:hint="eastAsia"/>
          <w:highlight w:val="none"/>
        </w:rPr>
        <w:t>★</w:t>
      </w:r>
      <w:r>
        <w:rPr>
          <w:rStyle w:val="37"/>
          <w:highlight w:val="none"/>
        </w:rPr>
        <w:t>”</w:t>
      </w:r>
      <w:r>
        <w:rPr>
          <w:rStyle w:val="37"/>
          <w:rFonts w:hint="eastAsia"/>
          <w:highlight w:val="none"/>
        </w:rPr>
        <w:t>标注的为政府强制采购产品。</w:t>
      </w:r>
      <w:r>
        <w:rPr>
          <w:rStyle w:val="37"/>
          <w:highlight w:val="none"/>
        </w:rPr>
        <w:br w:type="page"/>
      </w:r>
      <w:r>
        <w:rPr>
          <w:rStyle w:val="45"/>
          <w:rFonts w:hint="eastAsia"/>
          <w:highlight w:val="none"/>
        </w:rPr>
        <w:t>附件2：</w:t>
      </w:r>
    </w:p>
    <w:p w14:paraId="553EC7E1">
      <w:pPr>
        <w:pStyle w:val="35"/>
        <w:bidi w:val="0"/>
        <w:rPr>
          <w:rFonts w:hint="eastAsia"/>
          <w:highlight w:val="none"/>
        </w:rPr>
      </w:pPr>
      <w:r>
        <w:rPr>
          <w:rFonts w:hint="eastAsia"/>
          <w:highlight w:val="none"/>
        </w:rPr>
        <w:t>中小微企业划型标准</w:t>
      </w:r>
    </w:p>
    <w:tbl>
      <w:tblPr>
        <w:tblStyle w:val="24"/>
        <w:tblW w:w="9600" w:type="dxa"/>
        <w:jc w:val="center"/>
        <w:tblLayout w:type="fixed"/>
        <w:tblCellMar>
          <w:top w:w="0" w:type="dxa"/>
          <w:left w:w="108" w:type="dxa"/>
          <w:bottom w:w="0" w:type="dxa"/>
          <w:right w:w="108" w:type="dxa"/>
        </w:tblCellMar>
      </w:tblPr>
      <w:tblGrid>
        <w:gridCol w:w="1700"/>
        <w:gridCol w:w="1383"/>
        <w:gridCol w:w="913"/>
        <w:gridCol w:w="2075"/>
        <w:gridCol w:w="2079"/>
        <w:gridCol w:w="1450"/>
      </w:tblGrid>
      <w:tr w14:paraId="6F87C5D6">
        <w:tblPrEx>
          <w:tblCellMar>
            <w:top w:w="0" w:type="dxa"/>
            <w:left w:w="108" w:type="dxa"/>
            <w:bottom w:w="0" w:type="dxa"/>
            <w:right w:w="108" w:type="dxa"/>
          </w:tblCellMar>
        </w:tblPrEx>
        <w:trPr>
          <w:trHeight w:val="285"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14:paraId="6A7F1FBD">
            <w:pPr>
              <w:pStyle w:val="34"/>
              <w:bidi w:val="0"/>
              <w:jc w:val="center"/>
              <w:rPr>
                <w:highlight w:val="none"/>
              </w:rPr>
            </w:pPr>
            <w:r>
              <w:rPr>
                <w:rFonts w:hint="eastAsia"/>
                <w:highlight w:val="none"/>
              </w:rPr>
              <w:t>行业名称</w:t>
            </w:r>
          </w:p>
        </w:tc>
        <w:tc>
          <w:tcPr>
            <w:tcW w:w="1383" w:type="dxa"/>
            <w:tcBorders>
              <w:top w:val="single" w:color="auto" w:sz="4" w:space="0"/>
              <w:left w:val="nil"/>
              <w:bottom w:val="single" w:color="auto" w:sz="4" w:space="0"/>
              <w:right w:val="single" w:color="auto" w:sz="4" w:space="0"/>
            </w:tcBorders>
            <w:noWrap/>
            <w:vAlign w:val="center"/>
          </w:tcPr>
          <w:p w14:paraId="5B81BB4B">
            <w:pPr>
              <w:pStyle w:val="34"/>
              <w:bidi w:val="0"/>
              <w:jc w:val="center"/>
              <w:rPr>
                <w:highlight w:val="none"/>
              </w:rPr>
            </w:pPr>
            <w:r>
              <w:rPr>
                <w:rFonts w:hint="eastAsia"/>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14:paraId="11A6A0A6">
            <w:pPr>
              <w:pStyle w:val="34"/>
              <w:bidi w:val="0"/>
              <w:jc w:val="center"/>
              <w:rPr>
                <w:highlight w:val="none"/>
              </w:rPr>
            </w:pPr>
            <w:r>
              <w:rPr>
                <w:rFonts w:hint="eastAsia"/>
                <w:highlight w:val="none"/>
              </w:rPr>
              <w:t>计量单位</w:t>
            </w:r>
          </w:p>
        </w:tc>
        <w:tc>
          <w:tcPr>
            <w:tcW w:w="2075" w:type="dxa"/>
            <w:tcBorders>
              <w:top w:val="single" w:color="auto" w:sz="4" w:space="0"/>
              <w:left w:val="nil"/>
              <w:bottom w:val="single" w:color="auto" w:sz="4" w:space="0"/>
              <w:right w:val="single" w:color="auto" w:sz="4" w:space="0"/>
            </w:tcBorders>
            <w:noWrap/>
            <w:vAlign w:val="center"/>
          </w:tcPr>
          <w:p w14:paraId="0404ABBF">
            <w:pPr>
              <w:pStyle w:val="34"/>
              <w:bidi w:val="0"/>
              <w:jc w:val="center"/>
              <w:rPr>
                <w:highlight w:val="none"/>
              </w:rPr>
            </w:pPr>
            <w:r>
              <w:rPr>
                <w:rFonts w:hint="eastAsia"/>
                <w:highlight w:val="none"/>
              </w:rPr>
              <w:t>中型</w:t>
            </w:r>
          </w:p>
        </w:tc>
        <w:tc>
          <w:tcPr>
            <w:tcW w:w="2079" w:type="dxa"/>
            <w:tcBorders>
              <w:top w:val="single" w:color="auto" w:sz="4" w:space="0"/>
              <w:left w:val="nil"/>
              <w:bottom w:val="single" w:color="auto" w:sz="4" w:space="0"/>
              <w:right w:val="single" w:color="auto" w:sz="4" w:space="0"/>
            </w:tcBorders>
            <w:noWrap/>
            <w:vAlign w:val="center"/>
          </w:tcPr>
          <w:p w14:paraId="5CDA9AF9">
            <w:pPr>
              <w:pStyle w:val="34"/>
              <w:bidi w:val="0"/>
              <w:jc w:val="center"/>
              <w:rPr>
                <w:highlight w:val="none"/>
              </w:rPr>
            </w:pPr>
            <w:r>
              <w:rPr>
                <w:rFonts w:hint="eastAsia"/>
                <w:highlight w:val="none"/>
              </w:rPr>
              <w:t>小型</w:t>
            </w:r>
          </w:p>
        </w:tc>
        <w:tc>
          <w:tcPr>
            <w:tcW w:w="1450" w:type="dxa"/>
            <w:tcBorders>
              <w:top w:val="single" w:color="auto" w:sz="4" w:space="0"/>
              <w:left w:val="nil"/>
              <w:bottom w:val="single" w:color="auto" w:sz="4" w:space="0"/>
              <w:right w:val="single" w:color="auto" w:sz="4" w:space="0"/>
            </w:tcBorders>
            <w:noWrap/>
            <w:vAlign w:val="center"/>
          </w:tcPr>
          <w:p w14:paraId="634F24CD">
            <w:pPr>
              <w:pStyle w:val="34"/>
              <w:bidi w:val="0"/>
              <w:jc w:val="center"/>
              <w:rPr>
                <w:highlight w:val="none"/>
              </w:rPr>
            </w:pPr>
            <w:r>
              <w:rPr>
                <w:rFonts w:hint="eastAsia"/>
                <w:highlight w:val="none"/>
              </w:rPr>
              <w:t>微型</w:t>
            </w:r>
          </w:p>
        </w:tc>
      </w:tr>
      <w:tr w14:paraId="2538E40C">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noWrap/>
            <w:vAlign w:val="center"/>
          </w:tcPr>
          <w:p w14:paraId="6AF89D86">
            <w:pPr>
              <w:pStyle w:val="34"/>
              <w:bidi w:val="0"/>
              <w:jc w:val="center"/>
              <w:rPr>
                <w:highlight w:val="none"/>
              </w:rPr>
            </w:pPr>
            <w:r>
              <w:rPr>
                <w:rFonts w:hint="eastAsia"/>
                <w:highlight w:val="none"/>
              </w:rPr>
              <w:t>农、林、牧、渔</w:t>
            </w:r>
          </w:p>
        </w:tc>
        <w:tc>
          <w:tcPr>
            <w:tcW w:w="1383" w:type="dxa"/>
            <w:tcBorders>
              <w:top w:val="nil"/>
              <w:left w:val="nil"/>
              <w:bottom w:val="single" w:color="auto" w:sz="4" w:space="0"/>
              <w:right w:val="single" w:color="auto" w:sz="4" w:space="0"/>
            </w:tcBorders>
            <w:noWrap/>
            <w:vAlign w:val="center"/>
          </w:tcPr>
          <w:p w14:paraId="5710439A">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08FBEBF2">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3B004646">
            <w:pPr>
              <w:pStyle w:val="34"/>
              <w:bidi w:val="0"/>
              <w:jc w:val="center"/>
              <w:rPr>
                <w:highlight w:val="none"/>
              </w:rPr>
            </w:pPr>
            <w:r>
              <w:rPr>
                <w:rFonts w:hint="eastAsia"/>
                <w:highlight w:val="none"/>
              </w:rPr>
              <w:t>500≤Y＜20000</w:t>
            </w:r>
          </w:p>
        </w:tc>
        <w:tc>
          <w:tcPr>
            <w:tcW w:w="2079" w:type="dxa"/>
            <w:tcBorders>
              <w:top w:val="nil"/>
              <w:left w:val="nil"/>
              <w:bottom w:val="single" w:color="auto" w:sz="4" w:space="0"/>
              <w:right w:val="single" w:color="auto" w:sz="4" w:space="0"/>
            </w:tcBorders>
            <w:noWrap/>
            <w:vAlign w:val="center"/>
          </w:tcPr>
          <w:p w14:paraId="305BAF18">
            <w:pPr>
              <w:pStyle w:val="34"/>
              <w:bidi w:val="0"/>
              <w:jc w:val="center"/>
              <w:rPr>
                <w:highlight w:val="none"/>
              </w:rPr>
            </w:pPr>
            <w:r>
              <w:rPr>
                <w:rFonts w:hint="eastAsia"/>
                <w:highlight w:val="none"/>
              </w:rPr>
              <w:t>50≤Y＜500</w:t>
            </w:r>
          </w:p>
        </w:tc>
        <w:tc>
          <w:tcPr>
            <w:tcW w:w="1450" w:type="dxa"/>
            <w:tcBorders>
              <w:top w:val="nil"/>
              <w:left w:val="nil"/>
              <w:bottom w:val="single" w:color="auto" w:sz="4" w:space="0"/>
              <w:right w:val="single" w:color="auto" w:sz="4" w:space="0"/>
            </w:tcBorders>
            <w:noWrap/>
            <w:vAlign w:val="center"/>
          </w:tcPr>
          <w:p w14:paraId="09CCD565">
            <w:pPr>
              <w:pStyle w:val="34"/>
              <w:bidi w:val="0"/>
              <w:jc w:val="center"/>
              <w:rPr>
                <w:highlight w:val="none"/>
              </w:rPr>
            </w:pPr>
            <w:r>
              <w:rPr>
                <w:rFonts w:hint="eastAsia"/>
                <w:highlight w:val="none"/>
              </w:rPr>
              <w:t>Y＜50</w:t>
            </w:r>
          </w:p>
        </w:tc>
      </w:tr>
      <w:tr w14:paraId="7FBFE0EC">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E3DDA9C">
            <w:pPr>
              <w:pStyle w:val="34"/>
              <w:bidi w:val="0"/>
              <w:jc w:val="center"/>
              <w:rPr>
                <w:highlight w:val="none"/>
              </w:rPr>
            </w:pPr>
            <w:r>
              <w:rPr>
                <w:rFonts w:hint="eastAsia"/>
                <w:highlight w:val="none"/>
              </w:rPr>
              <w:t>工业</w:t>
            </w:r>
          </w:p>
        </w:tc>
        <w:tc>
          <w:tcPr>
            <w:tcW w:w="1383" w:type="dxa"/>
            <w:tcBorders>
              <w:top w:val="nil"/>
              <w:left w:val="nil"/>
              <w:bottom w:val="single" w:color="auto" w:sz="4" w:space="0"/>
              <w:right w:val="single" w:color="auto" w:sz="4" w:space="0"/>
            </w:tcBorders>
            <w:noWrap/>
            <w:vAlign w:val="center"/>
          </w:tcPr>
          <w:p w14:paraId="78285733">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2E882F40">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73E1EFF1">
            <w:pPr>
              <w:pStyle w:val="34"/>
              <w:bidi w:val="0"/>
              <w:jc w:val="center"/>
              <w:rPr>
                <w:highlight w:val="none"/>
              </w:rPr>
            </w:pPr>
            <w:r>
              <w:rPr>
                <w:rFonts w:hint="eastAsia"/>
                <w:highlight w:val="none"/>
              </w:rPr>
              <w:t>300≤X＜1000</w:t>
            </w:r>
          </w:p>
        </w:tc>
        <w:tc>
          <w:tcPr>
            <w:tcW w:w="2079" w:type="dxa"/>
            <w:tcBorders>
              <w:top w:val="nil"/>
              <w:left w:val="nil"/>
              <w:bottom w:val="single" w:color="auto" w:sz="4" w:space="0"/>
              <w:right w:val="single" w:color="auto" w:sz="4" w:space="0"/>
            </w:tcBorders>
            <w:noWrap/>
            <w:vAlign w:val="center"/>
          </w:tcPr>
          <w:p w14:paraId="1EBD5973">
            <w:pPr>
              <w:pStyle w:val="34"/>
              <w:bidi w:val="0"/>
              <w:jc w:val="center"/>
              <w:rPr>
                <w:highlight w:val="none"/>
              </w:rPr>
            </w:pPr>
            <w:r>
              <w:rPr>
                <w:rFonts w:hint="eastAsia"/>
                <w:highlight w:val="none"/>
              </w:rPr>
              <w:t>20≤X＜300</w:t>
            </w:r>
          </w:p>
        </w:tc>
        <w:tc>
          <w:tcPr>
            <w:tcW w:w="1450" w:type="dxa"/>
            <w:tcBorders>
              <w:top w:val="nil"/>
              <w:left w:val="nil"/>
              <w:bottom w:val="single" w:color="auto" w:sz="4" w:space="0"/>
              <w:right w:val="single" w:color="auto" w:sz="4" w:space="0"/>
            </w:tcBorders>
            <w:noWrap/>
            <w:vAlign w:val="center"/>
          </w:tcPr>
          <w:p w14:paraId="56E1BDE3">
            <w:pPr>
              <w:pStyle w:val="34"/>
              <w:bidi w:val="0"/>
              <w:jc w:val="center"/>
              <w:rPr>
                <w:highlight w:val="none"/>
              </w:rPr>
            </w:pPr>
            <w:r>
              <w:rPr>
                <w:rFonts w:hint="eastAsia"/>
                <w:highlight w:val="none"/>
              </w:rPr>
              <w:t>X＜20</w:t>
            </w:r>
          </w:p>
        </w:tc>
      </w:tr>
      <w:tr w14:paraId="7D947DFC">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39ADFA77">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1455AEBC">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64ADE720">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67932361">
            <w:pPr>
              <w:pStyle w:val="34"/>
              <w:bidi w:val="0"/>
              <w:jc w:val="center"/>
              <w:rPr>
                <w:highlight w:val="none"/>
              </w:rPr>
            </w:pPr>
            <w:r>
              <w:rPr>
                <w:rFonts w:hint="eastAsia"/>
                <w:highlight w:val="none"/>
              </w:rPr>
              <w:t>2000≤Y＜40000</w:t>
            </w:r>
          </w:p>
        </w:tc>
        <w:tc>
          <w:tcPr>
            <w:tcW w:w="2079" w:type="dxa"/>
            <w:tcBorders>
              <w:top w:val="nil"/>
              <w:left w:val="nil"/>
              <w:bottom w:val="single" w:color="auto" w:sz="4" w:space="0"/>
              <w:right w:val="single" w:color="auto" w:sz="4" w:space="0"/>
            </w:tcBorders>
            <w:noWrap/>
            <w:vAlign w:val="center"/>
          </w:tcPr>
          <w:p w14:paraId="036383E3">
            <w:pPr>
              <w:pStyle w:val="34"/>
              <w:bidi w:val="0"/>
              <w:jc w:val="center"/>
              <w:rPr>
                <w:highlight w:val="none"/>
              </w:rPr>
            </w:pPr>
            <w:r>
              <w:rPr>
                <w:rFonts w:hint="eastAsia"/>
                <w:highlight w:val="none"/>
              </w:rPr>
              <w:t>300≤Y＜2000</w:t>
            </w:r>
          </w:p>
        </w:tc>
        <w:tc>
          <w:tcPr>
            <w:tcW w:w="1450" w:type="dxa"/>
            <w:tcBorders>
              <w:top w:val="nil"/>
              <w:left w:val="nil"/>
              <w:bottom w:val="single" w:color="auto" w:sz="4" w:space="0"/>
              <w:right w:val="single" w:color="auto" w:sz="4" w:space="0"/>
            </w:tcBorders>
            <w:noWrap/>
            <w:vAlign w:val="center"/>
          </w:tcPr>
          <w:p w14:paraId="66C9C810">
            <w:pPr>
              <w:pStyle w:val="34"/>
              <w:bidi w:val="0"/>
              <w:jc w:val="center"/>
              <w:rPr>
                <w:highlight w:val="none"/>
              </w:rPr>
            </w:pPr>
            <w:r>
              <w:rPr>
                <w:rFonts w:hint="eastAsia"/>
                <w:highlight w:val="none"/>
              </w:rPr>
              <w:t>Y＜300</w:t>
            </w:r>
          </w:p>
        </w:tc>
      </w:tr>
      <w:tr w14:paraId="7BECC651">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37E0EBFD">
            <w:pPr>
              <w:pStyle w:val="34"/>
              <w:bidi w:val="0"/>
              <w:jc w:val="center"/>
              <w:rPr>
                <w:highlight w:val="none"/>
              </w:rPr>
            </w:pPr>
            <w:r>
              <w:rPr>
                <w:rFonts w:hint="eastAsia"/>
                <w:highlight w:val="none"/>
              </w:rPr>
              <w:t>建筑业</w:t>
            </w:r>
          </w:p>
        </w:tc>
        <w:tc>
          <w:tcPr>
            <w:tcW w:w="1383" w:type="dxa"/>
            <w:tcBorders>
              <w:top w:val="nil"/>
              <w:left w:val="nil"/>
              <w:bottom w:val="single" w:color="auto" w:sz="4" w:space="0"/>
              <w:right w:val="single" w:color="auto" w:sz="4" w:space="0"/>
            </w:tcBorders>
            <w:noWrap/>
            <w:vAlign w:val="center"/>
          </w:tcPr>
          <w:p w14:paraId="0A56B7B6">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0F46B643">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25467F78">
            <w:pPr>
              <w:pStyle w:val="34"/>
              <w:bidi w:val="0"/>
              <w:jc w:val="center"/>
              <w:rPr>
                <w:highlight w:val="none"/>
              </w:rPr>
            </w:pPr>
            <w:r>
              <w:rPr>
                <w:rFonts w:hint="eastAsia"/>
                <w:highlight w:val="none"/>
              </w:rPr>
              <w:t>6000≤Y＜80000</w:t>
            </w:r>
          </w:p>
        </w:tc>
        <w:tc>
          <w:tcPr>
            <w:tcW w:w="2079" w:type="dxa"/>
            <w:tcBorders>
              <w:top w:val="nil"/>
              <w:left w:val="nil"/>
              <w:bottom w:val="single" w:color="auto" w:sz="4" w:space="0"/>
              <w:right w:val="single" w:color="auto" w:sz="4" w:space="0"/>
            </w:tcBorders>
            <w:noWrap/>
            <w:vAlign w:val="center"/>
          </w:tcPr>
          <w:p w14:paraId="7546F714">
            <w:pPr>
              <w:pStyle w:val="34"/>
              <w:bidi w:val="0"/>
              <w:jc w:val="center"/>
              <w:rPr>
                <w:highlight w:val="none"/>
              </w:rPr>
            </w:pPr>
            <w:r>
              <w:rPr>
                <w:rFonts w:hint="eastAsia"/>
                <w:highlight w:val="none"/>
              </w:rPr>
              <w:t>300≤Y＜6000</w:t>
            </w:r>
          </w:p>
        </w:tc>
        <w:tc>
          <w:tcPr>
            <w:tcW w:w="1450" w:type="dxa"/>
            <w:tcBorders>
              <w:top w:val="nil"/>
              <w:left w:val="nil"/>
              <w:bottom w:val="single" w:color="auto" w:sz="4" w:space="0"/>
              <w:right w:val="single" w:color="auto" w:sz="4" w:space="0"/>
            </w:tcBorders>
            <w:noWrap/>
            <w:vAlign w:val="center"/>
          </w:tcPr>
          <w:p w14:paraId="39A107D0">
            <w:pPr>
              <w:pStyle w:val="34"/>
              <w:bidi w:val="0"/>
              <w:jc w:val="center"/>
              <w:rPr>
                <w:highlight w:val="none"/>
              </w:rPr>
            </w:pPr>
            <w:r>
              <w:rPr>
                <w:rFonts w:hint="eastAsia"/>
                <w:highlight w:val="none"/>
              </w:rPr>
              <w:t>Y＜300</w:t>
            </w:r>
          </w:p>
        </w:tc>
      </w:tr>
      <w:tr w14:paraId="57FD7D9F">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3865B39A">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72282414">
            <w:pPr>
              <w:pStyle w:val="34"/>
              <w:bidi w:val="0"/>
              <w:jc w:val="center"/>
              <w:rPr>
                <w:highlight w:val="none"/>
              </w:rPr>
            </w:pPr>
            <w:r>
              <w:rPr>
                <w:rFonts w:hint="eastAsia"/>
                <w:highlight w:val="none"/>
              </w:rPr>
              <w:t>资产总额（Z）</w:t>
            </w:r>
          </w:p>
        </w:tc>
        <w:tc>
          <w:tcPr>
            <w:tcW w:w="913" w:type="dxa"/>
            <w:tcBorders>
              <w:top w:val="nil"/>
              <w:left w:val="nil"/>
              <w:bottom w:val="single" w:color="auto" w:sz="4" w:space="0"/>
              <w:right w:val="single" w:color="auto" w:sz="4" w:space="0"/>
            </w:tcBorders>
            <w:noWrap/>
            <w:vAlign w:val="center"/>
          </w:tcPr>
          <w:p w14:paraId="49BFA773">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2180FBEA">
            <w:pPr>
              <w:pStyle w:val="34"/>
              <w:bidi w:val="0"/>
              <w:jc w:val="center"/>
              <w:rPr>
                <w:highlight w:val="none"/>
              </w:rPr>
            </w:pPr>
            <w:r>
              <w:rPr>
                <w:rFonts w:hint="eastAsia"/>
                <w:highlight w:val="none"/>
              </w:rPr>
              <w:t>5000≤Z＜80000</w:t>
            </w:r>
          </w:p>
        </w:tc>
        <w:tc>
          <w:tcPr>
            <w:tcW w:w="2079" w:type="dxa"/>
            <w:tcBorders>
              <w:top w:val="nil"/>
              <w:left w:val="nil"/>
              <w:bottom w:val="single" w:color="auto" w:sz="4" w:space="0"/>
              <w:right w:val="single" w:color="auto" w:sz="4" w:space="0"/>
            </w:tcBorders>
            <w:noWrap/>
            <w:vAlign w:val="center"/>
          </w:tcPr>
          <w:p w14:paraId="28AA134A">
            <w:pPr>
              <w:pStyle w:val="34"/>
              <w:bidi w:val="0"/>
              <w:jc w:val="center"/>
              <w:rPr>
                <w:highlight w:val="none"/>
              </w:rPr>
            </w:pPr>
            <w:r>
              <w:rPr>
                <w:rFonts w:hint="eastAsia"/>
                <w:highlight w:val="none"/>
              </w:rPr>
              <w:t>300≤Z＜5000</w:t>
            </w:r>
          </w:p>
        </w:tc>
        <w:tc>
          <w:tcPr>
            <w:tcW w:w="1450" w:type="dxa"/>
            <w:tcBorders>
              <w:top w:val="nil"/>
              <w:left w:val="nil"/>
              <w:bottom w:val="single" w:color="auto" w:sz="4" w:space="0"/>
              <w:right w:val="single" w:color="auto" w:sz="4" w:space="0"/>
            </w:tcBorders>
            <w:noWrap/>
            <w:vAlign w:val="center"/>
          </w:tcPr>
          <w:p w14:paraId="2CA792B8">
            <w:pPr>
              <w:pStyle w:val="34"/>
              <w:bidi w:val="0"/>
              <w:jc w:val="center"/>
              <w:rPr>
                <w:highlight w:val="none"/>
              </w:rPr>
            </w:pPr>
            <w:r>
              <w:rPr>
                <w:rFonts w:hint="eastAsia"/>
                <w:highlight w:val="none"/>
              </w:rPr>
              <w:t>Z＜300</w:t>
            </w:r>
          </w:p>
        </w:tc>
      </w:tr>
      <w:tr w14:paraId="7083A9A9">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2C8FB91">
            <w:pPr>
              <w:pStyle w:val="34"/>
              <w:bidi w:val="0"/>
              <w:jc w:val="center"/>
              <w:rPr>
                <w:highlight w:val="none"/>
              </w:rPr>
            </w:pPr>
            <w:r>
              <w:rPr>
                <w:rFonts w:hint="eastAsia"/>
                <w:highlight w:val="none"/>
              </w:rPr>
              <w:t>批发业</w:t>
            </w:r>
          </w:p>
        </w:tc>
        <w:tc>
          <w:tcPr>
            <w:tcW w:w="1383" w:type="dxa"/>
            <w:tcBorders>
              <w:top w:val="nil"/>
              <w:left w:val="nil"/>
              <w:bottom w:val="single" w:color="auto" w:sz="4" w:space="0"/>
              <w:right w:val="single" w:color="auto" w:sz="4" w:space="0"/>
            </w:tcBorders>
            <w:noWrap/>
            <w:vAlign w:val="center"/>
          </w:tcPr>
          <w:p w14:paraId="2D581E1B">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453ADA67">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39425DC1">
            <w:pPr>
              <w:pStyle w:val="34"/>
              <w:bidi w:val="0"/>
              <w:jc w:val="center"/>
              <w:rPr>
                <w:highlight w:val="none"/>
              </w:rPr>
            </w:pPr>
            <w:r>
              <w:rPr>
                <w:rFonts w:hint="eastAsia"/>
                <w:highlight w:val="none"/>
              </w:rPr>
              <w:t>20≤X＜200</w:t>
            </w:r>
          </w:p>
        </w:tc>
        <w:tc>
          <w:tcPr>
            <w:tcW w:w="2079" w:type="dxa"/>
            <w:tcBorders>
              <w:top w:val="nil"/>
              <w:left w:val="nil"/>
              <w:bottom w:val="single" w:color="auto" w:sz="4" w:space="0"/>
              <w:right w:val="single" w:color="auto" w:sz="4" w:space="0"/>
            </w:tcBorders>
            <w:noWrap/>
            <w:vAlign w:val="center"/>
          </w:tcPr>
          <w:p w14:paraId="0C90AFC5">
            <w:pPr>
              <w:pStyle w:val="34"/>
              <w:bidi w:val="0"/>
              <w:jc w:val="center"/>
              <w:rPr>
                <w:highlight w:val="none"/>
              </w:rPr>
            </w:pPr>
            <w:r>
              <w:rPr>
                <w:rFonts w:hint="eastAsia"/>
                <w:highlight w:val="none"/>
              </w:rPr>
              <w:t>5≤X＜20</w:t>
            </w:r>
          </w:p>
        </w:tc>
        <w:tc>
          <w:tcPr>
            <w:tcW w:w="1450" w:type="dxa"/>
            <w:tcBorders>
              <w:top w:val="nil"/>
              <w:left w:val="nil"/>
              <w:bottom w:val="single" w:color="auto" w:sz="4" w:space="0"/>
              <w:right w:val="single" w:color="auto" w:sz="4" w:space="0"/>
            </w:tcBorders>
            <w:noWrap/>
            <w:vAlign w:val="center"/>
          </w:tcPr>
          <w:p w14:paraId="4D1C8911">
            <w:pPr>
              <w:pStyle w:val="34"/>
              <w:bidi w:val="0"/>
              <w:jc w:val="center"/>
              <w:rPr>
                <w:highlight w:val="none"/>
              </w:rPr>
            </w:pPr>
            <w:r>
              <w:rPr>
                <w:rFonts w:hint="eastAsia"/>
                <w:highlight w:val="none"/>
              </w:rPr>
              <w:t>X＜5</w:t>
            </w:r>
          </w:p>
        </w:tc>
      </w:tr>
      <w:tr w14:paraId="3DA692F1">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10DAE6DC">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38EF1E6B">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1880638C">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7079895A">
            <w:pPr>
              <w:pStyle w:val="34"/>
              <w:bidi w:val="0"/>
              <w:jc w:val="center"/>
              <w:rPr>
                <w:highlight w:val="none"/>
              </w:rPr>
            </w:pPr>
            <w:r>
              <w:rPr>
                <w:rFonts w:hint="eastAsia"/>
                <w:highlight w:val="none"/>
              </w:rPr>
              <w:t>5000≤Y＜40000</w:t>
            </w:r>
          </w:p>
        </w:tc>
        <w:tc>
          <w:tcPr>
            <w:tcW w:w="2079" w:type="dxa"/>
            <w:tcBorders>
              <w:top w:val="nil"/>
              <w:left w:val="nil"/>
              <w:bottom w:val="single" w:color="auto" w:sz="4" w:space="0"/>
              <w:right w:val="single" w:color="auto" w:sz="4" w:space="0"/>
            </w:tcBorders>
            <w:noWrap/>
            <w:vAlign w:val="center"/>
          </w:tcPr>
          <w:p w14:paraId="6B30F27D">
            <w:pPr>
              <w:pStyle w:val="34"/>
              <w:bidi w:val="0"/>
              <w:jc w:val="center"/>
              <w:rPr>
                <w:highlight w:val="none"/>
              </w:rPr>
            </w:pPr>
            <w:r>
              <w:rPr>
                <w:rFonts w:hint="eastAsia"/>
                <w:highlight w:val="none"/>
              </w:rPr>
              <w:t>1000≤Y＜5000</w:t>
            </w:r>
          </w:p>
        </w:tc>
        <w:tc>
          <w:tcPr>
            <w:tcW w:w="1450" w:type="dxa"/>
            <w:tcBorders>
              <w:top w:val="nil"/>
              <w:left w:val="nil"/>
              <w:bottom w:val="single" w:color="auto" w:sz="4" w:space="0"/>
              <w:right w:val="single" w:color="auto" w:sz="4" w:space="0"/>
            </w:tcBorders>
            <w:noWrap/>
            <w:vAlign w:val="center"/>
          </w:tcPr>
          <w:p w14:paraId="3AB70952">
            <w:pPr>
              <w:pStyle w:val="34"/>
              <w:bidi w:val="0"/>
              <w:jc w:val="center"/>
              <w:rPr>
                <w:highlight w:val="none"/>
              </w:rPr>
            </w:pPr>
            <w:r>
              <w:rPr>
                <w:rFonts w:hint="eastAsia"/>
                <w:highlight w:val="none"/>
              </w:rPr>
              <w:t>Y＜1000</w:t>
            </w:r>
          </w:p>
        </w:tc>
      </w:tr>
      <w:tr w14:paraId="119A78CB">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69813D22">
            <w:pPr>
              <w:pStyle w:val="34"/>
              <w:bidi w:val="0"/>
              <w:jc w:val="center"/>
              <w:rPr>
                <w:highlight w:val="none"/>
              </w:rPr>
            </w:pPr>
            <w:r>
              <w:rPr>
                <w:rFonts w:hint="eastAsia"/>
                <w:highlight w:val="none"/>
              </w:rPr>
              <w:t>零售业</w:t>
            </w:r>
          </w:p>
        </w:tc>
        <w:tc>
          <w:tcPr>
            <w:tcW w:w="1383" w:type="dxa"/>
            <w:tcBorders>
              <w:top w:val="nil"/>
              <w:left w:val="nil"/>
              <w:bottom w:val="single" w:color="auto" w:sz="4" w:space="0"/>
              <w:right w:val="single" w:color="auto" w:sz="4" w:space="0"/>
            </w:tcBorders>
            <w:noWrap/>
            <w:vAlign w:val="center"/>
          </w:tcPr>
          <w:p w14:paraId="25D31F9E">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3691032C">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628EEBDC">
            <w:pPr>
              <w:pStyle w:val="34"/>
              <w:bidi w:val="0"/>
              <w:jc w:val="center"/>
              <w:rPr>
                <w:highlight w:val="none"/>
              </w:rPr>
            </w:pPr>
            <w:r>
              <w:rPr>
                <w:rFonts w:hint="eastAsia"/>
                <w:highlight w:val="none"/>
              </w:rPr>
              <w:t>50≤X＜300</w:t>
            </w:r>
          </w:p>
        </w:tc>
        <w:tc>
          <w:tcPr>
            <w:tcW w:w="2079" w:type="dxa"/>
            <w:tcBorders>
              <w:top w:val="nil"/>
              <w:left w:val="nil"/>
              <w:bottom w:val="single" w:color="auto" w:sz="4" w:space="0"/>
              <w:right w:val="single" w:color="auto" w:sz="4" w:space="0"/>
            </w:tcBorders>
            <w:noWrap/>
            <w:vAlign w:val="center"/>
          </w:tcPr>
          <w:p w14:paraId="10AB659A">
            <w:pPr>
              <w:pStyle w:val="34"/>
              <w:bidi w:val="0"/>
              <w:jc w:val="center"/>
              <w:rPr>
                <w:highlight w:val="none"/>
              </w:rPr>
            </w:pPr>
            <w:r>
              <w:rPr>
                <w:rFonts w:hint="eastAsia"/>
                <w:highlight w:val="none"/>
              </w:rPr>
              <w:t>10≤X＜50</w:t>
            </w:r>
          </w:p>
        </w:tc>
        <w:tc>
          <w:tcPr>
            <w:tcW w:w="1450" w:type="dxa"/>
            <w:tcBorders>
              <w:top w:val="nil"/>
              <w:left w:val="nil"/>
              <w:bottom w:val="single" w:color="auto" w:sz="4" w:space="0"/>
              <w:right w:val="single" w:color="auto" w:sz="4" w:space="0"/>
            </w:tcBorders>
            <w:noWrap/>
            <w:vAlign w:val="center"/>
          </w:tcPr>
          <w:p w14:paraId="2CAC7CAB">
            <w:pPr>
              <w:pStyle w:val="34"/>
              <w:bidi w:val="0"/>
              <w:jc w:val="center"/>
              <w:rPr>
                <w:highlight w:val="none"/>
              </w:rPr>
            </w:pPr>
            <w:r>
              <w:rPr>
                <w:rFonts w:hint="eastAsia"/>
                <w:highlight w:val="none"/>
              </w:rPr>
              <w:t>X＜10</w:t>
            </w:r>
          </w:p>
        </w:tc>
      </w:tr>
      <w:tr w14:paraId="06A477DA">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7760A859">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2724CEC7">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7491D0C3">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1FDB0292">
            <w:pPr>
              <w:pStyle w:val="34"/>
              <w:bidi w:val="0"/>
              <w:jc w:val="center"/>
              <w:rPr>
                <w:highlight w:val="none"/>
              </w:rPr>
            </w:pPr>
            <w:r>
              <w:rPr>
                <w:rFonts w:hint="eastAsia"/>
                <w:highlight w:val="none"/>
              </w:rPr>
              <w:t>500≤Y＜20000</w:t>
            </w:r>
          </w:p>
        </w:tc>
        <w:tc>
          <w:tcPr>
            <w:tcW w:w="2079" w:type="dxa"/>
            <w:tcBorders>
              <w:top w:val="nil"/>
              <w:left w:val="nil"/>
              <w:bottom w:val="single" w:color="auto" w:sz="4" w:space="0"/>
              <w:right w:val="single" w:color="auto" w:sz="4" w:space="0"/>
            </w:tcBorders>
            <w:noWrap/>
            <w:vAlign w:val="center"/>
          </w:tcPr>
          <w:p w14:paraId="218C5D11">
            <w:pPr>
              <w:pStyle w:val="34"/>
              <w:bidi w:val="0"/>
              <w:jc w:val="center"/>
              <w:rPr>
                <w:highlight w:val="none"/>
              </w:rPr>
            </w:pPr>
            <w:r>
              <w:rPr>
                <w:rFonts w:hint="eastAsia"/>
                <w:highlight w:val="none"/>
              </w:rPr>
              <w:t>100≤Y＜500</w:t>
            </w:r>
          </w:p>
        </w:tc>
        <w:tc>
          <w:tcPr>
            <w:tcW w:w="1450" w:type="dxa"/>
            <w:tcBorders>
              <w:top w:val="nil"/>
              <w:left w:val="nil"/>
              <w:bottom w:val="single" w:color="auto" w:sz="4" w:space="0"/>
              <w:right w:val="single" w:color="auto" w:sz="4" w:space="0"/>
            </w:tcBorders>
            <w:noWrap/>
            <w:vAlign w:val="center"/>
          </w:tcPr>
          <w:p w14:paraId="0CD89913">
            <w:pPr>
              <w:pStyle w:val="34"/>
              <w:bidi w:val="0"/>
              <w:jc w:val="center"/>
              <w:rPr>
                <w:highlight w:val="none"/>
              </w:rPr>
            </w:pPr>
            <w:r>
              <w:rPr>
                <w:rFonts w:hint="eastAsia"/>
                <w:highlight w:val="none"/>
              </w:rPr>
              <w:t>Y＜100</w:t>
            </w:r>
          </w:p>
        </w:tc>
      </w:tr>
      <w:tr w14:paraId="406E0CA3">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15904C88">
            <w:pPr>
              <w:pStyle w:val="34"/>
              <w:bidi w:val="0"/>
              <w:jc w:val="center"/>
              <w:rPr>
                <w:highlight w:val="none"/>
              </w:rPr>
            </w:pPr>
            <w:r>
              <w:rPr>
                <w:rFonts w:hint="eastAsia"/>
                <w:highlight w:val="none"/>
              </w:rPr>
              <w:t>交通运输业</w:t>
            </w:r>
          </w:p>
        </w:tc>
        <w:tc>
          <w:tcPr>
            <w:tcW w:w="1383" w:type="dxa"/>
            <w:tcBorders>
              <w:top w:val="nil"/>
              <w:left w:val="nil"/>
              <w:bottom w:val="single" w:color="auto" w:sz="4" w:space="0"/>
              <w:right w:val="single" w:color="auto" w:sz="4" w:space="0"/>
            </w:tcBorders>
            <w:noWrap/>
            <w:vAlign w:val="center"/>
          </w:tcPr>
          <w:p w14:paraId="3E79F4E9">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78374F9C">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093A9FA0">
            <w:pPr>
              <w:pStyle w:val="34"/>
              <w:bidi w:val="0"/>
              <w:jc w:val="center"/>
              <w:rPr>
                <w:highlight w:val="none"/>
              </w:rPr>
            </w:pPr>
            <w:r>
              <w:rPr>
                <w:rFonts w:hint="eastAsia"/>
                <w:highlight w:val="none"/>
              </w:rPr>
              <w:t>300≤X＜1000</w:t>
            </w:r>
          </w:p>
        </w:tc>
        <w:tc>
          <w:tcPr>
            <w:tcW w:w="2079" w:type="dxa"/>
            <w:tcBorders>
              <w:top w:val="nil"/>
              <w:left w:val="nil"/>
              <w:bottom w:val="single" w:color="auto" w:sz="4" w:space="0"/>
              <w:right w:val="single" w:color="auto" w:sz="4" w:space="0"/>
            </w:tcBorders>
            <w:noWrap/>
            <w:vAlign w:val="center"/>
          </w:tcPr>
          <w:p w14:paraId="71FC36E7">
            <w:pPr>
              <w:pStyle w:val="34"/>
              <w:bidi w:val="0"/>
              <w:jc w:val="center"/>
              <w:rPr>
                <w:highlight w:val="none"/>
              </w:rPr>
            </w:pPr>
            <w:r>
              <w:rPr>
                <w:rFonts w:hint="eastAsia"/>
                <w:highlight w:val="none"/>
              </w:rPr>
              <w:t>20≤X＜300</w:t>
            </w:r>
          </w:p>
        </w:tc>
        <w:tc>
          <w:tcPr>
            <w:tcW w:w="1450" w:type="dxa"/>
            <w:tcBorders>
              <w:top w:val="nil"/>
              <w:left w:val="nil"/>
              <w:bottom w:val="single" w:color="auto" w:sz="4" w:space="0"/>
              <w:right w:val="single" w:color="auto" w:sz="4" w:space="0"/>
            </w:tcBorders>
            <w:noWrap/>
            <w:vAlign w:val="center"/>
          </w:tcPr>
          <w:p w14:paraId="31BEA9B9">
            <w:pPr>
              <w:pStyle w:val="34"/>
              <w:bidi w:val="0"/>
              <w:jc w:val="center"/>
              <w:rPr>
                <w:highlight w:val="none"/>
              </w:rPr>
            </w:pPr>
            <w:r>
              <w:rPr>
                <w:rFonts w:hint="eastAsia"/>
                <w:highlight w:val="none"/>
              </w:rPr>
              <w:t>X＜20</w:t>
            </w:r>
          </w:p>
        </w:tc>
      </w:tr>
      <w:tr w14:paraId="5BB0BADF">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23115350">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4B6603D3">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714C9523">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0FAF047A">
            <w:pPr>
              <w:pStyle w:val="34"/>
              <w:bidi w:val="0"/>
              <w:jc w:val="center"/>
              <w:rPr>
                <w:highlight w:val="none"/>
              </w:rPr>
            </w:pPr>
            <w:r>
              <w:rPr>
                <w:rFonts w:hint="eastAsia"/>
                <w:highlight w:val="none"/>
              </w:rPr>
              <w:t>3000≤Y＜30000</w:t>
            </w:r>
          </w:p>
        </w:tc>
        <w:tc>
          <w:tcPr>
            <w:tcW w:w="2079" w:type="dxa"/>
            <w:tcBorders>
              <w:top w:val="nil"/>
              <w:left w:val="nil"/>
              <w:bottom w:val="single" w:color="auto" w:sz="4" w:space="0"/>
              <w:right w:val="single" w:color="auto" w:sz="4" w:space="0"/>
            </w:tcBorders>
            <w:noWrap/>
            <w:vAlign w:val="center"/>
          </w:tcPr>
          <w:p w14:paraId="5922F124">
            <w:pPr>
              <w:pStyle w:val="34"/>
              <w:bidi w:val="0"/>
              <w:jc w:val="center"/>
              <w:rPr>
                <w:highlight w:val="none"/>
              </w:rPr>
            </w:pPr>
            <w:r>
              <w:rPr>
                <w:rFonts w:hint="eastAsia"/>
                <w:highlight w:val="none"/>
              </w:rPr>
              <w:t>200≤Y＜3000</w:t>
            </w:r>
          </w:p>
        </w:tc>
        <w:tc>
          <w:tcPr>
            <w:tcW w:w="1450" w:type="dxa"/>
            <w:tcBorders>
              <w:top w:val="nil"/>
              <w:left w:val="nil"/>
              <w:bottom w:val="single" w:color="auto" w:sz="4" w:space="0"/>
              <w:right w:val="single" w:color="auto" w:sz="4" w:space="0"/>
            </w:tcBorders>
            <w:noWrap/>
            <w:vAlign w:val="center"/>
          </w:tcPr>
          <w:p w14:paraId="2122A712">
            <w:pPr>
              <w:pStyle w:val="34"/>
              <w:bidi w:val="0"/>
              <w:jc w:val="center"/>
              <w:rPr>
                <w:highlight w:val="none"/>
              </w:rPr>
            </w:pPr>
            <w:r>
              <w:rPr>
                <w:rFonts w:hint="eastAsia"/>
                <w:highlight w:val="none"/>
              </w:rPr>
              <w:t>Y＜200</w:t>
            </w:r>
          </w:p>
        </w:tc>
      </w:tr>
      <w:tr w14:paraId="588E89F3">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6EDD9334">
            <w:pPr>
              <w:pStyle w:val="34"/>
              <w:bidi w:val="0"/>
              <w:jc w:val="center"/>
              <w:rPr>
                <w:highlight w:val="none"/>
              </w:rPr>
            </w:pPr>
            <w:r>
              <w:rPr>
                <w:rFonts w:hint="eastAsia"/>
                <w:highlight w:val="none"/>
              </w:rPr>
              <w:t>仓储业</w:t>
            </w:r>
          </w:p>
        </w:tc>
        <w:tc>
          <w:tcPr>
            <w:tcW w:w="1383" w:type="dxa"/>
            <w:tcBorders>
              <w:top w:val="nil"/>
              <w:left w:val="nil"/>
              <w:bottom w:val="single" w:color="auto" w:sz="4" w:space="0"/>
              <w:right w:val="single" w:color="auto" w:sz="4" w:space="0"/>
            </w:tcBorders>
            <w:noWrap/>
            <w:vAlign w:val="center"/>
          </w:tcPr>
          <w:p w14:paraId="184D6431">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1150C615">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4F35514E">
            <w:pPr>
              <w:pStyle w:val="34"/>
              <w:bidi w:val="0"/>
              <w:jc w:val="center"/>
              <w:rPr>
                <w:highlight w:val="none"/>
              </w:rPr>
            </w:pPr>
            <w:r>
              <w:rPr>
                <w:rFonts w:hint="eastAsia"/>
                <w:highlight w:val="none"/>
              </w:rPr>
              <w:t>100≤X＜200</w:t>
            </w:r>
          </w:p>
        </w:tc>
        <w:tc>
          <w:tcPr>
            <w:tcW w:w="2079" w:type="dxa"/>
            <w:tcBorders>
              <w:top w:val="nil"/>
              <w:left w:val="nil"/>
              <w:bottom w:val="single" w:color="auto" w:sz="4" w:space="0"/>
              <w:right w:val="single" w:color="auto" w:sz="4" w:space="0"/>
            </w:tcBorders>
            <w:noWrap/>
            <w:vAlign w:val="center"/>
          </w:tcPr>
          <w:p w14:paraId="661A716E">
            <w:pPr>
              <w:pStyle w:val="34"/>
              <w:bidi w:val="0"/>
              <w:jc w:val="center"/>
              <w:rPr>
                <w:highlight w:val="none"/>
              </w:rPr>
            </w:pPr>
            <w:r>
              <w:rPr>
                <w:rFonts w:hint="eastAsia"/>
                <w:highlight w:val="none"/>
              </w:rPr>
              <w:t>20≤X＜100</w:t>
            </w:r>
          </w:p>
        </w:tc>
        <w:tc>
          <w:tcPr>
            <w:tcW w:w="1450" w:type="dxa"/>
            <w:tcBorders>
              <w:top w:val="nil"/>
              <w:left w:val="nil"/>
              <w:bottom w:val="single" w:color="auto" w:sz="4" w:space="0"/>
              <w:right w:val="single" w:color="auto" w:sz="4" w:space="0"/>
            </w:tcBorders>
            <w:noWrap/>
            <w:vAlign w:val="center"/>
          </w:tcPr>
          <w:p w14:paraId="2FD91520">
            <w:pPr>
              <w:pStyle w:val="34"/>
              <w:bidi w:val="0"/>
              <w:jc w:val="center"/>
              <w:rPr>
                <w:highlight w:val="none"/>
              </w:rPr>
            </w:pPr>
            <w:r>
              <w:rPr>
                <w:rFonts w:hint="eastAsia"/>
                <w:highlight w:val="none"/>
              </w:rPr>
              <w:t>X＜20</w:t>
            </w:r>
          </w:p>
        </w:tc>
      </w:tr>
      <w:tr w14:paraId="3460E777">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3FBCC1C0">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4F9F5BE6">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52EAE4F7">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3131E161">
            <w:pPr>
              <w:pStyle w:val="34"/>
              <w:bidi w:val="0"/>
              <w:jc w:val="center"/>
              <w:rPr>
                <w:highlight w:val="none"/>
              </w:rPr>
            </w:pPr>
            <w:r>
              <w:rPr>
                <w:rFonts w:hint="eastAsia"/>
                <w:highlight w:val="none"/>
              </w:rPr>
              <w:t>1000≤Y＜30000</w:t>
            </w:r>
          </w:p>
        </w:tc>
        <w:tc>
          <w:tcPr>
            <w:tcW w:w="2079" w:type="dxa"/>
            <w:tcBorders>
              <w:top w:val="nil"/>
              <w:left w:val="nil"/>
              <w:bottom w:val="single" w:color="auto" w:sz="4" w:space="0"/>
              <w:right w:val="single" w:color="auto" w:sz="4" w:space="0"/>
            </w:tcBorders>
            <w:noWrap/>
            <w:vAlign w:val="center"/>
          </w:tcPr>
          <w:p w14:paraId="3E6CAE60">
            <w:pPr>
              <w:pStyle w:val="34"/>
              <w:bidi w:val="0"/>
              <w:jc w:val="center"/>
              <w:rPr>
                <w:highlight w:val="none"/>
              </w:rPr>
            </w:pPr>
            <w:r>
              <w:rPr>
                <w:rFonts w:hint="eastAsia"/>
                <w:highlight w:val="none"/>
              </w:rPr>
              <w:t>100≤Y＜1000</w:t>
            </w:r>
          </w:p>
        </w:tc>
        <w:tc>
          <w:tcPr>
            <w:tcW w:w="1450" w:type="dxa"/>
            <w:tcBorders>
              <w:top w:val="nil"/>
              <w:left w:val="nil"/>
              <w:bottom w:val="single" w:color="auto" w:sz="4" w:space="0"/>
              <w:right w:val="single" w:color="auto" w:sz="4" w:space="0"/>
            </w:tcBorders>
            <w:noWrap/>
            <w:vAlign w:val="center"/>
          </w:tcPr>
          <w:p w14:paraId="187B1155">
            <w:pPr>
              <w:pStyle w:val="34"/>
              <w:bidi w:val="0"/>
              <w:jc w:val="center"/>
              <w:rPr>
                <w:highlight w:val="none"/>
              </w:rPr>
            </w:pPr>
            <w:r>
              <w:rPr>
                <w:rFonts w:hint="eastAsia"/>
                <w:highlight w:val="none"/>
              </w:rPr>
              <w:t>Y＜100</w:t>
            </w:r>
          </w:p>
        </w:tc>
      </w:tr>
      <w:tr w14:paraId="0E1BABAE">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1DAA3B45">
            <w:pPr>
              <w:pStyle w:val="34"/>
              <w:bidi w:val="0"/>
              <w:jc w:val="center"/>
              <w:rPr>
                <w:highlight w:val="none"/>
              </w:rPr>
            </w:pPr>
            <w:r>
              <w:rPr>
                <w:rFonts w:hint="eastAsia"/>
                <w:highlight w:val="none"/>
              </w:rPr>
              <w:t>邮政业</w:t>
            </w:r>
          </w:p>
        </w:tc>
        <w:tc>
          <w:tcPr>
            <w:tcW w:w="1383" w:type="dxa"/>
            <w:tcBorders>
              <w:top w:val="nil"/>
              <w:left w:val="nil"/>
              <w:bottom w:val="single" w:color="auto" w:sz="4" w:space="0"/>
              <w:right w:val="single" w:color="auto" w:sz="4" w:space="0"/>
            </w:tcBorders>
            <w:noWrap/>
            <w:vAlign w:val="center"/>
          </w:tcPr>
          <w:p w14:paraId="5F1C852A">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752A821F">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5FB4C6FD">
            <w:pPr>
              <w:pStyle w:val="34"/>
              <w:bidi w:val="0"/>
              <w:jc w:val="center"/>
              <w:rPr>
                <w:highlight w:val="none"/>
              </w:rPr>
            </w:pPr>
            <w:r>
              <w:rPr>
                <w:rFonts w:hint="eastAsia"/>
                <w:highlight w:val="none"/>
              </w:rPr>
              <w:t>300≤X＜1000</w:t>
            </w:r>
          </w:p>
        </w:tc>
        <w:tc>
          <w:tcPr>
            <w:tcW w:w="2079" w:type="dxa"/>
            <w:tcBorders>
              <w:top w:val="nil"/>
              <w:left w:val="nil"/>
              <w:bottom w:val="single" w:color="auto" w:sz="4" w:space="0"/>
              <w:right w:val="single" w:color="auto" w:sz="4" w:space="0"/>
            </w:tcBorders>
            <w:noWrap/>
            <w:vAlign w:val="center"/>
          </w:tcPr>
          <w:p w14:paraId="1CF9FBD0">
            <w:pPr>
              <w:pStyle w:val="34"/>
              <w:bidi w:val="0"/>
              <w:jc w:val="center"/>
              <w:rPr>
                <w:highlight w:val="none"/>
              </w:rPr>
            </w:pPr>
            <w:r>
              <w:rPr>
                <w:rFonts w:hint="eastAsia"/>
                <w:highlight w:val="none"/>
              </w:rPr>
              <w:t>20≤X＜300</w:t>
            </w:r>
          </w:p>
        </w:tc>
        <w:tc>
          <w:tcPr>
            <w:tcW w:w="1450" w:type="dxa"/>
            <w:tcBorders>
              <w:top w:val="nil"/>
              <w:left w:val="nil"/>
              <w:bottom w:val="single" w:color="auto" w:sz="4" w:space="0"/>
              <w:right w:val="single" w:color="auto" w:sz="4" w:space="0"/>
            </w:tcBorders>
            <w:noWrap/>
            <w:vAlign w:val="center"/>
          </w:tcPr>
          <w:p w14:paraId="552F278C">
            <w:pPr>
              <w:pStyle w:val="34"/>
              <w:bidi w:val="0"/>
              <w:jc w:val="center"/>
              <w:rPr>
                <w:highlight w:val="none"/>
              </w:rPr>
            </w:pPr>
            <w:r>
              <w:rPr>
                <w:rFonts w:hint="eastAsia"/>
                <w:highlight w:val="none"/>
              </w:rPr>
              <w:t>X＜20</w:t>
            </w:r>
          </w:p>
        </w:tc>
      </w:tr>
      <w:tr w14:paraId="60959450">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3108C546">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6916FEF5">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1870805E">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56DD3633">
            <w:pPr>
              <w:pStyle w:val="34"/>
              <w:bidi w:val="0"/>
              <w:jc w:val="center"/>
              <w:rPr>
                <w:highlight w:val="none"/>
              </w:rPr>
            </w:pPr>
            <w:r>
              <w:rPr>
                <w:rFonts w:hint="eastAsia"/>
                <w:highlight w:val="none"/>
              </w:rPr>
              <w:t>2000≤Y＜30000</w:t>
            </w:r>
          </w:p>
        </w:tc>
        <w:tc>
          <w:tcPr>
            <w:tcW w:w="2079" w:type="dxa"/>
            <w:tcBorders>
              <w:top w:val="nil"/>
              <w:left w:val="nil"/>
              <w:bottom w:val="single" w:color="auto" w:sz="4" w:space="0"/>
              <w:right w:val="single" w:color="auto" w:sz="4" w:space="0"/>
            </w:tcBorders>
            <w:noWrap/>
            <w:vAlign w:val="center"/>
          </w:tcPr>
          <w:p w14:paraId="7A962757">
            <w:pPr>
              <w:pStyle w:val="34"/>
              <w:bidi w:val="0"/>
              <w:jc w:val="center"/>
              <w:rPr>
                <w:highlight w:val="none"/>
              </w:rPr>
            </w:pPr>
            <w:r>
              <w:rPr>
                <w:rFonts w:hint="eastAsia"/>
                <w:highlight w:val="none"/>
              </w:rPr>
              <w:t>100≤Y＜2000</w:t>
            </w:r>
          </w:p>
        </w:tc>
        <w:tc>
          <w:tcPr>
            <w:tcW w:w="1450" w:type="dxa"/>
            <w:tcBorders>
              <w:top w:val="nil"/>
              <w:left w:val="nil"/>
              <w:bottom w:val="single" w:color="auto" w:sz="4" w:space="0"/>
              <w:right w:val="single" w:color="auto" w:sz="4" w:space="0"/>
            </w:tcBorders>
            <w:noWrap/>
            <w:vAlign w:val="center"/>
          </w:tcPr>
          <w:p w14:paraId="4ADE9DF7">
            <w:pPr>
              <w:pStyle w:val="34"/>
              <w:bidi w:val="0"/>
              <w:jc w:val="center"/>
              <w:rPr>
                <w:highlight w:val="none"/>
              </w:rPr>
            </w:pPr>
            <w:r>
              <w:rPr>
                <w:rFonts w:hint="eastAsia"/>
                <w:highlight w:val="none"/>
              </w:rPr>
              <w:t>Y＜100</w:t>
            </w:r>
          </w:p>
        </w:tc>
      </w:tr>
      <w:tr w14:paraId="115B7497">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4042D4C">
            <w:pPr>
              <w:pStyle w:val="34"/>
              <w:bidi w:val="0"/>
              <w:jc w:val="center"/>
              <w:rPr>
                <w:highlight w:val="none"/>
              </w:rPr>
            </w:pPr>
            <w:r>
              <w:rPr>
                <w:rFonts w:hint="eastAsia"/>
                <w:highlight w:val="none"/>
              </w:rPr>
              <w:t>住宿业</w:t>
            </w:r>
          </w:p>
        </w:tc>
        <w:tc>
          <w:tcPr>
            <w:tcW w:w="1383" w:type="dxa"/>
            <w:tcBorders>
              <w:top w:val="nil"/>
              <w:left w:val="nil"/>
              <w:bottom w:val="single" w:color="auto" w:sz="4" w:space="0"/>
              <w:right w:val="single" w:color="auto" w:sz="4" w:space="0"/>
            </w:tcBorders>
            <w:noWrap/>
            <w:vAlign w:val="center"/>
          </w:tcPr>
          <w:p w14:paraId="2B0863B1">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15EA0DA0">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43E01C14">
            <w:pPr>
              <w:pStyle w:val="34"/>
              <w:bidi w:val="0"/>
              <w:jc w:val="center"/>
              <w:rPr>
                <w:highlight w:val="none"/>
              </w:rPr>
            </w:pPr>
            <w:r>
              <w:rPr>
                <w:rFonts w:hint="eastAsia"/>
                <w:highlight w:val="none"/>
              </w:rPr>
              <w:t>100≤X＜300</w:t>
            </w:r>
          </w:p>
        </w:tc>
        <w:tc>
          <w:tcPr>
            <w:tcW w:w="2079" w:type="dxa"/>
            <w:tcBorders>
              <w:top w:val="nil"/>
              <w:left w:val="nil"/>
              <w:bottom w:val="single" w:color="auto" w:sz="4" w:space="0"/>
              <w:right w:val="single" w:color="auto" w:sz="4" w:space="0"/>
            </w:tcBorders>
            <w:noWrap/>
            <w:vAlign w:val="center"/>
          </w:tcPr>
          <w:p w14:paraId="42EC2759">
            <w:pPr>
              <w:pStyle w:val="34"/>
              <w:bidi w:val="0"/>
              <w:jc w:val="center"/>
              <w:rPr>
                <w:highlight w:val="none"/>
              </w:rPr>
            </w:pPr>
            <w:r>
              <w:rPr>
                <w:rFonts w:hint="eastAsia"/>
                <w:highlight w:val="none"/>
              </w:rPr>
              <w:t>10≤X＜100</w:t>
            </w:r>
          </w:p>
        </w:tc>
        <w:tc>
          <w:tcPr>
            <w:tcW w:w="1450" w:type="dxa"/>
            <w:tcBorders>
              <w:top w:val="nil"/>
              <w:left w:val="nil"/>
              <w:bottom w:val="single" w:color="auto" w:sz="4" w:space="0"/>
              <w:right w:val="single" w:color="auto" w:sz="4" w:space="0"/>
            </w:tcBorders>
            <w:noWrap/>
            <w:vAlign w:val="center"/>
          </w:tcPr>
          <w:p w14:paraId="757D6F66">
            <w:pPr>
              <w:pStyle w:val="34"/>
              <w:bidi w:val="0"/>
              <w:jc w:val="center"/>
              <w:rPr>
                <w:highlight w:val="none"/>
              </w:rPr>
            </w:pPr>
            <w:r>
              <w:rPr>
                <w:rFonts w:hint="eastAsia"/>
                <w:highlight w:val="none"/>
              </w:rPr>
              <w:t>X＜10</w:t>
            </w:r>
          </w:p>
        </w:tc>
      </w:tr>
      <w:tr w14:paraId="115799F1">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0E25F47D">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0A45AB5E">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360613D0">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1C450DCC">
            <w:pPr>
              <w:pStyle w:val="34"/>
              <w:bidi w:val="0"/>
              <w:jc w:val="center"/>
              <w:rPr>
                <w:highlight w:val="none"/>
              </w:rPr>
            </w:pPr>
            <w:r>
              <w:rPr>
                <w:rFonts w:hint="eastAsia"/>
                <w:highlight w:val="none"/>
              </w:rPr>
              <w:t>2000≤Y＜10000</w:t>
            </w:r>
          </w:p>
        </w:tc>
        <w:tc>
          <w:tcPr>
            <w:tcW w:w="2079" w:type="dxa"/>
            <w:tcBorders>
              <w:top w:val="nil"/>
              <w:left w:val="nil"/>
              <w:bottom w:val="single" w:color="auto" w:sz="4" w:space="0"/>
              <w:right w:val="single" w:color="auto" w:sz="4" w:space="0"/>
            </w:tcBorders>
            <w:noWrap/>
            <w:vAlign w:val="center"/>
          </w:tcPr>
          <w:p w14:paraId="39B101A3">
            <w:pPr>
              <w:pStyle w:val="34"/>
              <w:bidi w:val="0"/>
              <w:jc w:val="center"/>
              <w:rPr>
                <w:highlight w:val="none"/>
              </w:rPr>
            </w:pPr>
            <w:r>
              <w:rPr>
                <w:rFonts w:hint="eastAsia"/>
                <w:highlight w:val="none"/>
              </w:rPr>
              <w:t>100≤Y＜2000</w:t>
            </w:r>
          </w:p>
        </w:tc>
        <w:tc>
          <w:tcPr>
            <w:tcW w:w="1450" w:type="dxa"/>
            <w:tcBorders>
              <w:top w:val="nil"/>
              <w:left w:val="nil"/>
              <w:bottom w:val="single" w:color="auto" w:sz="4" w:space="0"/>
              <w:right w:val="single" w:color="auto" w:sz="4" w:space="0"/>
            </w:tcBorders>
            <w:noWrap/>
            <w:vAlign w:val="center"/>
          </w:tcPr>
          <w:p w14:paraId="044DE2B0">
            <w:pPr>
              <w:pStyle w:val="34"/>
              <w:bidi w:val="0"/>
              <w:jc w:val="center"/>
              <w:rPr>
                <w:highlight w:val="none"/>
              </w:rPr>
            </w:pPr>
            <w:r>
              <w:rPr>
                <w:rFonts w:hint="eastAsia"/>
                <w:highlight w:val="none"/>
              </w:rPr>
              <w:t>Y＜100</w:t>
            </w:r>
          </w:p>
        </w:tc>
      </w:tr>
      <w:tr w14:paraId="562479FD">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79BCFE64">
            <w:pPr>
              <w:pStyle w:val="34"/>
              <w:bidi w:val="0"/>
              <w:jc w:val="center"/>
              <w:rPr>
                <w:highlight w:val="none"/>
              </w:rPr>
            </w:pPr>
            <w:r>
              <w:rPr>
                <w:rFonts w:hint="eastAsia"/>
                <w:highlight w:val="none"/>
              </w:rPr>
              <w:t>餐饮业</w:t>
            </w:r>
          </w:p>
        </w:tc>
        <w:tc>
          <w:tcPr>
            <w:tcW w:w="1383" w:type="dxa"/>
            <w:tcBorders>
              <w:top w:val="nil"/>
              <w:left w:val="nil"/>
              <w:bottom w:val="single" w:color="auto" w:sz="4" w:space="0"/>
              <w:right w:val="single" w:color="auto" w:sz="4" w:space="0"/>
            </w:tcBorders>
            <w:noWrap/>
            <w:vAlign w:val="center"/>
          </w:tcPr>
          <w:p w14:paraId="13A06FEA">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5FDA1CA5">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310C1DDA">
            <w:pPr>
              <w:pStyle w:val="34"/>
              <w:bidi w:val="0"/>
              <w:jc w:val="center"/>
              <w:rPr>
                <w:highlight w:val="none"/>
              </w:rPr>
            </w:pPr>
            <w:r>
              <w:rPr>
                <w:rFonts w:hint="eastAsia"/>
                <w:highlight w:val="none"/>
              </w:rPr>
              <w:t>100≤X＜300</w:t>
            </w:r>
          </w:p>
        </w:tc>
        <w:tc>
          <w:tcPr>
            <w:tcW w:w="2079" w:type="dxa"/>
            <w:tcBorders>
              <w:top w:val="nil"/>
              <w:left w:val="nil"/>
              <w:bottom w:val="single" w:color="auto" w:sz="4" w:space="0"/>
              <w:right w:val="single" w:color="auto" w:sz="4" w:space="0"/>
            </w:tcBorders>
            <w:noWrap/>
            <w:vAlign w:val="center"/>
          </w:tcPr>
          <w:p w14:paraId="0F0BEEAE">
            <w:pPr>
              <w:pStyle w:val="34"/>
              <w:bidi w:val="0"/>
              <w:jc w:val="center"/>
              <w:rPr>
                <w:highlight w:val="none"/>
              </w:rPr>
            </w:pPr>
            <w:r>
              <w:rPr>
                <w:rFonts w:hint="eastAsia"/>
                <w:highlight w:val="none"/>
              </w:rPr>
              <w:t>10≤X＜100</w:t>
            </w:r>
          </w:p>
        </w:tc>
        <w:tc>
          <w:tcPr>
            <w:tcW w:w="1450" w:type="dxa"/>
            <w:tcBorders>
              <w:top w:val="nil"/>
              <w:left w:val="nil"/>
              <w:bottom w:val="single" w:color="auto" w:sz="4" w:space="0"/>
              <w:right w:val="single" w:color="auto" w:sz="4" w:space="0"/>
            </w:tcBorders>
            <w:noWrap/>
            <w:vAlign w:val="center"/>
          </w:tcPr>
          <w:p w14:paraId="5C2969FE">
            <w:pPr>
              <w:pStyle w:val="34"/>
              <w:bidi w:val="0"/>
              <w:jc w:val="center"/>
              <w:rPr>
                <w:highlight w:val="none"/>
              </w:rPr>
            </w:pPr>
            <w:r>
              <w:rPr>
                <w:rFonts w:hint="eastAsia"/>
                <w:highlight w:val="none"/>
              </w:rPr>
              <w:t>X＜10</w:t>
            </w:r>
          </w:p>
        </w:tc>
      </w:tr>
      <w:tr w14:paraId="35C01A2C">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478F91FA">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2118B83E">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3C9FF39D">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7492A558">
            <w:pPr>
              <w:pStyle w:val="34"/>
              <w:bidi w:val="0"/>
              <w:jc w:val="center"/>
              <w:rPr>
                <w:highlight w:val="none"/>
              </w:rPr>
            </w:pPr>
            <w:r>
              <w:rPr>
                <w:rFonts w:hint="eastAsia"/>
                <w:highlight w:val="none"/>
              </w:rPr>
              <w:t>2000≤Y＜10000</w:t>
            </w:r>
          </w:p>
        </w:tc>
        <w:tc>
          <w:tcPr>
            <w:tcW w:w="2079" w:type="dxa"/>
            <w:tcBorders>
              <w:top w:val="nil"/>
              <w:left w:val="nil"/>
              <w:bottom w:val="single" w:color="auto" w:sz="4" w:space="0"/>
              <w:right w:val="single" w:color="auto" w:sz="4" w:space="0"/>
            </w:tcBorders>
            <w:noWrap/>
            <w:vAlign w:val="center"/>
          </w:tcPr>
          <w:p w14:paraId="4220671A">
            <w:pPr>
              <w:pStyle w:val="34"/>
              <w:bidi w:val="0"/>
              <w:jc w:val="center"/>
              <w:rPr>
                <w:highlight w:val="none"/>
              </w:rPr>
            </w:pPr>
            <w:r>
              <w:rPr>
                <w:rFonts w:hint="eastAsia"/>
                <w:highlight w:val="none"/>
              </w:rPr>
              <w:t>100≤Y＜2000</w:t>
            </w:r>
          </w:p>
        </w:tc>
        <w:tc>
          <w:tcPr>
            <w:tcW w:w="1450" w:type="dxa"/>
            <w:tcBorders>
              <w:top w:val="nil"/>
              <w:left w:val="nil"/>
              <w:bottom w:val="single" w:color="auto" w:sz="4" w:space="0"/>
              <w:right w:val="single" w:color="auto" w:sz="4" w:space="0"/>
            </w:tcBorders>
            <w:noWrap/>
            <w:vAlign w:val="center"/>
          </w:tcPr>
          <w:p w14:paraId="71893946">
            <w:pPr>
              <w:pStyle w:val="34"/>
              <w:bidi w:val="0"/>
              <w:jc w:val="center"/>
              <w:rPr>
                <w:highlight w:val="none"/>
              </w:rPr>
            </w:pPr>
            <w:r>
              <w:rPr>
                <w:rFonts w:hint="eastAsia"/>
                <w:highlight w:val="none"/>
              </w:rPr>
              <w:t>Y＜100</w:t>
            </w:r>
          </w:p>
        </w:tc>
      </w:tr>
      <w:tr w14:paraId="452DF99F">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11D2573">
            <w:pPr>
              <w:pStyle w:val="34"/>
              <w:bidi w:val="0"/>
              <w:jc w:val="center"/>
              <w:rPr>
                <w:highlight w:val="none"/>
              </w:rPr>
            </w:pPr>
            <w:r>
              <w:rPr>
                <w:rFonts w:hint="eastAsia"/>
                <w:highlight w:val="none"/>
              </w:rPr>
              <w:t>信息传输业</w:t>
            </w:r>
          </w:p>
        </w:tc>
        <w:tc>
          <w:tcPr>
            <w:tcW w:w="1383" w:type="dxa"/>
            <w:tcBorders>
              <w:top w:val="nil"/>
              <w:left w:val="nil"/>
              <w:bottom w:val="single" w:color="auto" w:sz="4" w:space="0"/>
              <w:right w:val="single" w:color="auto" w:sz="4" w:space="0"/>
            </w:tcBorders>
            <w:noWrap/>
            <w:vAlign w:val="center"/>
          </w:tcPr>
          <w:p w14:paraId="4EC4B29D">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7D59CD50">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54624D96">
            <w:pPr>
              <w:pStyle w:val="34"/>
              <w:bidi w:val="0"/>
              <w:jc w:val="center"/>
              <w:rPr>
                <w:highlight w:val="none"/>
              </w:rPr>
            </w:pPr>
            <w:r>
              <w:rPr>
                <w:rFonts w:hint="eastAsia"/>
                <w:highlight w:val="none"/>
              </w:rPr>
              <w:t>100≤X＜2000</w:t>
            </w:r>
          </w:p>
        </w:tc>
        <w:tc>
          <w:tcPr>
            <w:tcW w:w="2079" w:type="dxa"/>
            <w:tcBorders>
              <w:top w:val="nil"/>
              <w:left w:val="nil"/>
              <w:bottom w:val="single" w:color="auto" w:sz="4" w:space="0"/>
              <w:right w:val="single" w:color="auto" w:sz="4" w:space="0"/>
            </w:tcBorders>
            <w:noWrap/>
            <w:vAlign w:val="center"/>
          </w:tcPr>
          <w:p w14:paraId="1D3C86D1">
            <w:pPr>
              <w:pStyle w:val="34"/>
              <w:bidi w:val="0"/>
              <w:jc w:val="center"/>
              <w:rPr>
                <w:highlight w:val="none"/>
              </w:rPr>
            </w:pPr>
            <w:r>
              <w:rPr>
                <w:rFonts w:hint="eastAsia"/>
                <w:highlight w:val="none"/>
              </w:rPr>
              <w:t>10≤X＜100</w:t>
            </w:r>
          </w:p>
        </w:tc>
        <w:tc>
          <w:tcPr>
            <w:tcW w:w="1450" w:type="dxa"/>
            <w:tcBorders>
              <w:top w:val="nil"/>
              <w:left w:val="nil"/>
              <w:bottom w:val="single" w:color="auto" w:sz="4" w:space="0"/>
              <w:right w:val="single" w:color="auto" w:sz="4" w:space="0"/>
            </w:tcBorders>
            <w:noWrap/>
            <w:vAlign w:val="center"/>
          </w:tcPr>
          <w:p w14:paraId="5532DBCC">
            <w:pPr>
              <w:pStyle w:val="34"/>
              <w:bidi w:val="0"/>
              <w:jc w:val="center"/>
              <w:rPr>
                <w:highlight w:val="none"/>
              </w:rPr>
            </w:pPr>
            <w:r>
              <w:rPr>
                <w:rFonts w:hint="eastAsia"/>
                <w:highlight w:val="none"/>
              </w:rPr>
              <w:t>X＜10</w:t>
            </w:r>
          </w:p>
        </w:tc>
      </w:tr>
      <w:tr w14:paraId="757120F4">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27CC2141">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287C597B">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33C1B3C4">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63880302">
            <w:pPr>
              <w:pStyle w:val="34"/>
              <w:bidi w:val="0"/>
              <w:jc w:val="center"/>
              <w:rPr>
                <w:highlight w:val="none"/>
              </w:rPr>
            </w:pPr>
            <w:r>
              <w:rPr>
                <w:rFonts w:hint="eastAsia"/>
                <w:highlight w:val="none"/>
              </w:rPr>
              <w:t>1000≤Y＜100000</w:t>
            </w:r>
          </w:p>
        </w:tc>
        <w:tc>
          <w:tcPr>
            <w:tcW w:w="2079" w:type="dxa"/>
            <w:tcBorders>
              <w:top w:val="nil"/>
              <w:left w:val="nil"/>
              <w:bottom w:val="single" w:color="auto" w:sz="4" w:space="0"/>
              <w:right w:val="single" w:color="auto" w:sz="4" w:space="0"/>
            </w:tcBorders>
            <w:noWrap/>
            <w:vAlign w:val="center"/>
          </w:tcPr>
          <w:p w14:paraId="35243D31">
            <w:pPr>
              <w:pStyle w:val="34"/>
              <w:bidi w:val="0"/>
              <w:jc w:val="center"/>
              <w:rPr>
                <w:highlight w:val="none"/>
              </w:rPr>
            </w:pPr>
            <w:r>
              <w:rPr>
                <w:rFonts w:hint="eastAsia"/>
                <w:highlight w:val="none"/>
              </w:rPr>
              <w:t>100≤Y＜1000</w:t>
            </w:r>
          </w:p>
        </w:tc>
        <w:tc>
          <w:tcPr>
            <w:tcW w:w="1450" w:type="dxa"/>
            <w:tcBorders>
              <w:top w:val="nil"/>
              <w:left w:val="nil"/>
              <w:bottom w:val="single" w:color="auto" w:sz="4" w:space="0"/>
              <w:right w:val="single" w:color="auto" w:sz="4" w:space="0"/>
            </w:tcBorders>
            <w:noWrap/>
            <w:vAlign w:val="center"/>
          </w:tcPr>
          <w:p w14:paraId="1DAA601E">
            <w:pPr>
              <w:pStyle w:val="34"/>
              <w:bidi w:val="0"/>
              <w:jc w:val="center"/>
              <w:rPr>
                <w:highlight w:val="none"/>
              </w:rPr>
            </w:pPr>
            <w:r>
              <w:rPr>
                <w:rFonts w:hint="eastAsia"/>
                <w:highlight w:val="none"/>
              </w:rPr>
              <w:t>Y＜100</w:t>
            </w:r>
          </w:p>
        </w:tc>
      </w:tr>
      <w:tr w14:paraId="4B9AC73B">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75F6E39">
            <w:pPr>
              <w:pStyle w:val="34"/>
              <w:bidi w:val="0"/>
              <w:jc w:val="center"/>
              <w:rPr>
                <w:highlight w:val="none"/>
              </w:rPr>
            </w:pPr>
            <w:r>
              <w:rPr>
                <w:rFonts w:hint="eastAsia"/>
                <w:highlight w:val="none"/>
              </w:rPr>
              <w:t>软件和信息技术服务业</w:t>
            </w:r>
          </w:p>
        </w:tc>
        <w:tc>
          <w:tcPr>
            <w:tcW w:w="1383" w:type="dxa"/>
            <w:tcBorders>
              <w:top w:val="nil"/>
              <w:left w:val="nil"/>
              <w:bottom w:val="single" w:color="auto" w:sz="4" w:space="0"/>
              <w:right w:val="single" w:color="auto" w:sz="4" w:space="0"/>
            </w:tcBorders>
            <w:noWrap/>
            <w:vAlign w:val="center"/>
          </w:tcPr>
          <w:p w14:paraId="41F3405C">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06C8A7B0">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76F4AB47">
            <w:pPr>
              <w:pStyle w:val="34"/>
              <w:bidi w:val="0"/>
              <w:jc w:val="center"/>
              <w:rPr>
                <w:highlight w:val="none"/>
              </w:rPr>
            </w:pPr>
            <w:r>
              <w:rPr>
                <w:rFonts w:hint="eastAsia"/>
                <w:highlight w:val="none"/>
              </w:rPr>
              <w:t>100≤X＜300</w:t>
            </w:r>
          </w:p>
        </w:tc>
        <w:tc>
          <w:tcPr>
            <w:tcW w:w="2079" w:type="dxa"/>
            <w:tcBorders>
              <w:top w:val="nil"/>
              <w:left w:val="nil"/>
              <w:bottom w:val="single" w:color="auto" w:sz="4" w:space="0"/>
              <w:right w:val="single" w:color="auto" w:sz="4" w:space="0"/>
            </w:tcBorders>
            <w:noWrap/>
            <w:vAlign w:val="center"/>
          </w:tcPr>
          <w:p w14:paraId="5369DF53">
            <w:pPr>
              <w:pStyle w:val="34"/>
              <w:bidi w:val="0"/>
              <w:jc w:val="center"/>
              <w:rPr>
                <w:highlight w:val="none"/>
              </w:rPr>
            </w:pPr>
            <w:r>
              <w:rPr>
                <w:rFonts w:hint="eastAsia"/>
                <w:highlight w:val="none"/>
              </w:rPr>
              <w:t>10≤X＜100</w:t>
            </w:r>
          </w:p>
        </w:tc>
        <w:tc>
          <w:tcPr>
            <w:tcW w:w="1450" w:type="dxa"/>
            <w:tcBorders>
              <w:top w:val="nil"/>
              <w:left w:val="nil"/>
              <w:bottom w:val="single" w:color="auto" w:sz="4" w:space="0"/>
              <w:right w:val="single" w:color="auto" w:sz="4" w:space="0"/>
            </w:tcBorders>
            <w:noWrap/>
            <w:vAlign w:val="center"/>
          </w:tcPr>
          <w:p w14:paraId="5C43161A">
            <w:pPr>
              <w:pStyle w:val="34"/>
              <w:bidi w:val="0"/>
              <w:jc w:val="center"/>
              <w:rPr>
                <w:highlight w:val="none"/>
              </w:rPr>
            </w:pPr>
            <w:r>
              <w:rPr>
                <w:rFonts w:hint="eastAsia"/>
                <w:highlight w:val="none"/>
              </w:rPr>
              <w:t>X＜10</w:t>
            </w:r>
          </w:p>
        </w:tc>
      </w:tr>
      <w:tr w14:paraId="7CBD4E58">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51ED3EC9">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035202DE">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21A9F075">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5780C89D">
            <w:pPr>
              <w:pStyle w:val="34"/>
              <w:bidi w:val="0"/>
              <w:jc w:val="center"/>
              <w:rPr>
                <w:highlight w:val="none"/>
              </w:rPr>
            </w:pPr>
            <w:r>
              <w:rPr>
                <w:rFonts w:hint="eastAsia"/>
                <w:highlight w:val="none"/>
              </w:rPr>
              <w:t>1000≤Y＜10000</w:t>
            </w:r>
          </w:p>
        </w:tc>
        <w:tc>
          <w:tcPr>
            <w:tcW w:w="2079" w:type="dxa"/>
            <w:tcBorders>
              <w:top w:val="nil"/>
              <w:left w:val="nil"/>
              <w:bottom w:val="single" w:color="auto" w:sz="4" w:space="0"/>
              <w:right w:val="single" w:color="auto" w:sz="4" w:space="0"/>
            </w:tcBorders>
            <w:noWrap/>
            <w:vAlign w:val="center"/>
          </w:tcPr>
          <w:p w14:paraId="15925BD7">
            <w:pPr>
              <w:pStyle w:val="34"/>
              <w:bidi w:val="0"/>
              <w:jc w:val="center"/>
              <w:rPr>
                <w:highlight w:val="none"/>
              </w:rPr>
            </w:pPr>
            <w:r>
              <w:rPr>
                <w:rFonts w:hint="eastAsia"/>
                <w:highlight w:val="none"/>
              </w:rPr>
              <w:t>50≤Y＜1000</w:t>
            </w:r>
          </w:p>
        </w:tc>
        <w:tc>
          <w:tcPr>
            <w:tcW w:w="1450" w:type="dxa"/>
            <w:tcBorders>
              <w:top w:val="nil"/>
              <w:left w:val="nil"/>
              <w:bottom w:val="single" w:color="auto" w:sz="4" w:space="0"/>
              <w:right w:val="single" w:color="auto" w:sz="4" w:space="0"/>
            </w:tcBorders>
            <w:noWrap/>
            <w:vAlign w:val="center"/>
          </w:tcPr>
          <w:p w14:paraId="7EAB26A1">
            <w:pPr>
              <w:pStyle w:val="34"/>
              <w:bidi w:val="0"/>
              <w:jc w:val="center"/>
              <w:rPr>
                <w:highlight w:val="none"/>
              </w:rPr>
            </w:pPr>
            <w:r>
              <w:rPr>
                <w:rFonts w:hint="eastAsia"/>
                <w:highlight w:val="none"/>
              </w:rPr>
              <w:t>Y＜50</w:t>
            </w:r>
          </w:p>
        </w:tc>
      </w:tr>
      <w:tr w14:paraId="510E32D6">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299F0AF0">
            <w:pPr>
              <w:pStyle w:val="34"/>
              <w:bidi w:val="0"/>
              <w:jc w:val="center"/>
              <w:rPr>
                <w:highlight w:val="none"/>
              </w:rPr>
            </w:pPr>
            <w:r>
              <w:rPr>
                <w:rFonts w:hint="eastAsia"/>
                <w:highlight w:val="none"/>
              </w:rPr>
              <w:t>房地产开发经营</w:t>
            </w:r>
          </w:p>
        </w:tc>
        <w:tc>
          <w:tcPr>
            <w:tcW w:w="1383" w:type="dxa"/>
            <w:tcBorders>
              <w:top w:val="nil"/>
              <w:left w:val="nil"/>
              <w:bottom w:val="single" w:color="auto" w:sz="4" w:space="0"/>
              <w:right w:val="single" w:color="auto" w:sz="4" w:space="0"/>
            </w:tcBorders>
            <w:noWrap/>
            <w:vAlign w:val="center"/>
          </w:tcPr>
          <w:p w14:paraId="424B67F0">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34040897">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3AC5EDFA">
            <w:pPr>
              <w:pStyle w:val="34"/>
              <w:bidi w:val="0"/>
              <w:jc w:val="center"/>
              <w:rPr>
                <w:highlight w:val="none"/>
              </w:rPr>
            </w:pPr>
            <w:r>
              <w:rPr>
                <w:rFonts w:hint="eastAsia"/>
                <w:highlight w:val="none"/>
              </w:rPr>
              <w:t>1000≤Y＜200000</w:t>
            </w:r>
          </w:p>
        </w:tc>
        <w:tc>
          <w:tcPr>
            <w:tcW w:w="2079" w:type="dxa"/>
            <w:tcBorders>
              <w:top w:val="nil"/>
              <w:left w:val="nil"/>
              <w:bottom w:val="single" w:color="auto" w:sz="4" w:space="0"/>
              <w:right w:val="single" w:color="auto" w:sz="4" w:space="0"/>
            </w:tcBorders>
            <w:noWrap/>
            <w:vAlign w:val="center"/>
          </w:tcPr>
          <w:p w14:paraId="3CF51246">
            <w:pPr>
              <w:pStyle w:val="34"/>
              <w:bidi w:val="0"/>
              <w:jc w:val="center"/>
              <w:rPr>
                <w:highlight w:val="none"/>
              </w:rPr>
            </w:pPr>
            <w:r>
              <w:rPr>
                <w:rFonts w:hint="eastAsia"/>
                <w:highlight w:val="none"/>
              </w:rPr>
              <w:t>100≤X＜1000</w:t>
            </w:r>
          </w:p>
        </w:tc>
        <w:tc>
          <w:tcPr>
            <w:tcW w:w="1450" w:type="dxa"/>
            <w:tcBorders>
              <w:top w:val="nil"/>
              <w:left w:val="nil"/>
              <w:bottom w:val="single" w:color="auto" w:sz="4" w:space="0"/>
              <w:right w:val="single" w:color="auto" w:sz="4" w:space="0"/>
            </w:tcBorders>
            <w:noWrap/>
            <w:vAlign w:val="center"/>
          </w:tcPr>
          <w:p w14:paraId="46230F84">
            <w:pPr>
              <w:pStyle w:val="34"/>
              <w:bidi w:val="0"/>
              <w:jc w:val="center"/>
              <w:rPr>
                <w:highlight w:val="none"/>
              </w:rPr>
            </w:pPr>
            <w:r>
              <w:rPr>
                <w:rFonts w:hint="eastAsia"/>
                <w:highlight w:val="none"/>
              </w:rPr>
              <w:t>X＜100</w:t>
            </w:r>
          </w:p>
        </w:tc>
      </w:tr>
      <w:tr w14:paraId="0FC4C858">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75DA8266">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57EF0F0C">
            <w:pPr>
              <w:pStyle w:val="34"/>
              <w:bidi w:val="0"/>
              <w:jc w:val="center"/>
              <w:rPr>
                <w:highlight w:val="none"/>
              </w:rPr>
            </w:pPr>
            <w:r>
              <w:rPr>
                <w:rFonts w:hint="eastAsia"/>
                <w:highlight w:val="none"/>
              </w:rPr>
              <w:t>资产总额（Z）</w:t>
            </w:r>
          </w:p>
        </w:tc>
        <w:tc>
          <w:tcPr>
            <w:tcW w:w="913" w:type="dxa"/>
            <w:tcBorders>
              <w:top w:val="nil"/>
              <w:left w:val="nil"/>
              <w:bottom w:val="single" w:color="auto" w:sz="4" w:space="0"/>
              <w:right w:val="single" w:color="auto" w:sz="4" w:space="0"/>
            </w:tcBorders>
            <w:noWrap/>
            <w:vAlign w:val="center"/>
          </w:tcPr>
          <w:p w14:paraId="532744CF">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6755747F">
            <w:pPr>
              <w:pStyle w:val="34"/>
              <w:bidi w:val="0"/>
              <w:jc w:val="center"/>
              <w:rPr>
                <w:highlight w:val="none"/>
              </w:rPr>
            </w:pPr>
            <w:r>
              <w:rPr>
                <w:rFonts w:hint="eastAsia"/>
                <w:highlight w:val="none"/>
              </w:rPr>
              <w:t>5000≤Z＜10000</w:t>
            </w:r>
          </w:p>
        </w:tc>
        <w:tc>
          <w:tcPr>
            <w:tcW w:w="2079" w:type="dxa"/>
            <w:tcBorders>
              <w:top w:val="nil"/>
              <w:left w:val="nil"/>
              <w:bottom w:val="single" w:color="auto" w:sz="4" w:space="0"/>
              <w:right w:val="single" w:color="auto" w:sz="4" w:space="0"/>
            </w:tcBorders>
            <w:noWrap/>
            <w:vAlign w:val="center"/>
          </w:tcPr>
          <w:p w14:paraId="70FB7CE3">
            <w:pPr>
              <w:pStyle w:val="34"/>
              <w:bidi w:val="0"/>
              <w:jc w:val="center"/>
              <w:rPr>
                <w:highlight w:val="none"/>
              </w:rPr>
            </w:pPr>
            <w:r>
              <w:rPr>
                <w:rFonts w:hint="eastAsia"/>
                <w:highlight w:val="none"/>
              </w:rPr>
              <w:t>2000≤Y＜5000</w:t>
            </w:r>
          </w:p>
        </w:tc>
        <w:tc>
          <w:tcPr>
            <w:tcW w:w="1450" w:type="dxa"/>
            <w:tcBorders>
              <w:top w:val="nil"/>
              <w:left w:val="nil"/>
              <w:bottom w:val="single" w:color="auto" w:sz="4" w:space="0"/>
              <w:right w:val="single" w:color="auto" w:sz="4" w:space="0"/>
            </w:tcBorders>
            <w:noWrap/>
            <w:vAlign w:val="center"/>
          </w:tcPr>
          <w:p w14:paraId="1C06FA4C">
            <w:pPr>
              <w:pStyle w:val="34"/>
              <w:bidi w:val="0"/>
              <w:jc w:val="center"/>
              <w:rPr>
                <w:highlight w:val="none"/>
              </w:rPr>
            </w:pPr>
            <w:r>
              <w:rPr>
                <w:rFonts w:hint="eastAsia"/>
                <w:highlight w:val="none"/>
              </w:rPr>
              <w:t>Y＜2000</w:t>
            </w:r>
          </w:p>
        </w:tc>
      </w:tr>
      <w:tr w14:paraId="2714A6D8">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8514816">
            <w:pPr>
              <w:pStyle w:val="34"/>
              <w:bidi w:val="0"/>
              <w:jc w:val="center"/>
              <w:rPr>
                <w:highlight w:val="none"/>
              </w:rPr>
            </w:pPr>
            <w:r>
              <w:rPr>
                <w:rFonts w:hint="eastAsia"/>
                <w:highlight w:val="none"/>
              </w:rPr>
              <w:t>物业管理</w:t>
            </w:r>
          </w:p>
        </w:tc>
        <w:tc>
          <w:tcPr>
            <w:tcW w:w="1383" w:type="dxa"/>
            <w:tcBorders>
              <w:top w:val="nil"/>
              <w:left w:val="nil"/>
              <w:bottom w:val="single" w:color="auto" w:sz="4" w:space="0"/>
              <w:right w:val="single" w:color="auto" w:sz="4" w:space="0"/>
            </w:tcBorders>
            <w:noWrap/>
            <w:vAlign w:val="center"/>
          </w:tcPr>
          <w:p w14:paraId="55B1A5E2">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02DCC724">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3DBCA976">
            <w:pPr>
              <w:pStyle w:val="34"/>
              <w:bidi w:val="0"/>
              <w:jc w:val="center"/>
              <w:rPr>
                <w:highlight w:val="none"/>
              </w:rPr>
            </w:pPr>
            <w:r>
              <w:rPr>
                <w:rFonts w:hint="eastAsia"/>
                <w:highlight w:val="none"/>
              </w:rPr>
              <w:t>300≤X＜1000</w:t>
            </w:r>
          </w:p>
        </w:tc>
        <w:tc>
          <w:tcPr>
            <w:tcW w:w="2079" w:type="dxa"/>
            <w:tcBorders>
              <w:top w:val="nil"/>
              <w:left w:val="nil"/>
              <w:bottom w:val="single" w:color="auto" w:sz="4" w:space="0"/>
              <w:right w:val="single" w:color="auto" w:sz="4" w:space="0"/>
            </w:tcBorders>
            <w:noWrap/>
            <w:vAlign w:val="center"/>
          </w:tcPr>
          <w:p w14:paraId="021DED5D">
            <w:pPr>
              <w:pStyle w:val="34"/>
              <w:bidi w:val="0"/>
              <w:jc w:val="center"/>
              <w:rPr>
                <w:highlight w:val="none"/>
              </w:rPr>
            </w:pPr>
            <w:r>
              <w:rPr>
                <w:rFonts w:hint="eastAsia"/>
                <w:highlight w:val="none"/>
              </w:rPr>
              <w:t>100≤X＜300</w:t>
            </w:r>
          </w:p>
        </w:tc>
        <w:tc>
          <w:tcPr>
            <w:tcW w:w="1450" w:type="dxa"/>
            <w:tcBorders>
              <w:top w:val="nil"/>
              <w:left w:val="nil"/>
              <w:bottom w:val="single" w:color="auto" w:sz="4" w:space="0"/>
              <w:right w:val="single" w:color="auto" w:sz="4" w:space="0"/>
            </w:tcBorders>
            <w:noWrap/>
            <w:vAlign w:val="center"/>
          </w:tcPr>
          <w:p w14:paraId="4576235B">
            <w:pPr>
              <w:pStyle w:val="34"/>
              <w:bidi w:val="0"/>
              <w:jc w:val="center"/>
              <w:rPr>
                <w:highlight w:val="none"/>
              </w:rPr>
            </w:pPr>
            <w:r>
              <w:rPr>
                <w:rFonts w:hint="eastAsia"/>
                <w:highlight w:val="none"/>
              </w:rPr>
              <w:t>X＜100</w:t>
            </w:r>
          </w:p>
        </w:tc>
      </w:tr>
      <w:tr w14:paraId="36978E8D">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359B5F53">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21E907F1">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3693D36C">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75E8A3C2">
            <w:pPr>
              <w:pStyle w:val="34"/>
              <w:bidi w:val="0"/>
              <w:jc w:val="center"/>
              <w:rPr>
                <w:highlight w:val="none"/>
              </w:rPr>
            </w:pPr>
            <w:r>
              <w:rPr>
                <w:rFonts w:hint="eastAsia"/>
                <w:highlight w:val="none"/>
              </w:rPr>
              <w:t>1000≤Y＜5000</w:t>
            </w:r>
          </w:p>
        </w:tc>
        <w:tc>
          <w:tcPr>
            <w:tcW w:w="2079" w:type="dxa"/>
            <w:tcBorders>
              <w:top w:val="nil"/>
              <w:left w:val="nil"/>
              <w:bottom w:val="single" w:color="auto" w:sz="4" w:space="0"/>
              <w:right w:val="single" w:color="auto" w:sz="4" w:space="0"/>
            </w:tcBorders>
            <w:noWrap/>
            <w:vAlign w:val="center"/>
          </w:tcPr>
          <w:p w14:paraId="42EDE9F7">
            <w:pPr>
              <w:pStyle w:val="34"/>
              <w:bidi w:val="0"/>
              <w:jc w:val="center"/>
              <w:rPr>
                <w:highlight w:val="none"/>
              </w:rPr>
            </w:pPr>
            <w:r>
              <w:rPr>
                <w:rFonts w:hint="eastAsia"/>
                <w:highlight w:val="none"/>
              </w:rPr>
              <w:t>500≤Y＜1000</w:t>
            </w:r>
          </w:p>
        </w:tc>
        <w:tc>
          <w:tcPr>
            <w:tcW w:w="1450" w:type="dxa"/>
            <w:tcBorders>
              <w:top w:val="nil"/>
              <w:left w:val="nil"/>
              <w:bottom w:val="single" w:color="auto" w:sz="4" w:space="0"/>
              <w:right w:val="single" w:color="auto" w:sz="4" w:space="0"/>
            </w:tcBorders>
            <w:noWrap/>
            <w:vAlign w:val="center"/>
          </w:tcPr>
          <w:p w14:paraId="10BF5FB6">
            <w:pPr>
              <w:pStyle w:val="34"/>
              <w:bidi w:val="0"/>
              <w:jc w:val="center"/>
              <w:rPr>
                <w:highlight w:val="none"/>
              </w:rPr>
            </w:pPr>
            <w:r>
              <w:rPr>
                <w:rFonts w:hint="eastAsia"/>
                <w:highlight w:val="none"/>
              </w:rPr>
              <w:t>Y＜500</w:t>
            </w:r>
          </w:p>
        </w:tc>
      </w:tr>
      <w:tr w14:paraId="6E3EB228">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6FDA3238">
            <w:pPr>
              <w:pStyle w:val="34"/>
              <w:bidi w:val="0"/>
              <w:jc w:val="center"/>
              <w:rPr>
                <w:highlight w:val="none"/>
              </w:rPr>
            </w:pPr>
            <w:r>
              <w:rPr>
                <w:rFonts w:hint="eastAsia"/>
                <w:highlight w:val="none"/>
              </w:rPr>
              <w:t>租赁和商务服务业</w:t>
            </w:r>
          </w:p>
        </w:tc>
        <w:tc>
          <w:tcPr>
            <w:tcW w:w="1383" w:type="dxa"/>
            <w:tcBorders>
              <w:top w:val="nil"/>
              <w:left w:val="nil"/>
              <w:bottom w:val="single" w:color="auto" w:sz="4" w:space="0"/>
              <w:right w:val="single" w:color="auto" w:sz="4" w:space="0"/>
            </w:tcBorders>
            <w:noWrap/>
            <w:vAlign w:val="center"/>
          </w:tcPr>
          <w:p w14:paraId="329262D3">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490FFEA1">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0486454D">
            <w:pPr>
              <w:pStyle w:val="34"/>
              <w:bidi w:val="0"/>
              <w:jc w:val="center"/>
              <w:rPr>
                <w:highlight w:val="none"/>
              </w:rPr>
            </w:pPr>
            <w:r>
              <w:rPr>
                <w:rFonts w:hint="eastAsia"/>
                <w:highlight w:val="none"/>
              </w:rPr>
              <w:t>100≤X＜300</w:t>
            </w:r>
          </w:p>
        </w:tc>
        <w:tc>
          <w:tcPr>
            <w:tcW w:w="2079" w:type="dxa"/>
            <w:tcBorders>
              <w:top w:val="nil"/>
              <w:left w:val="nil"/>
              <w:bottom w:val="single" w:color="auto" w:sz="4" w:space="0"/>
              <w:right w:val="single" w:color="auto" w:sz="4" w:space="0"/>
            </w:tcBorders>
            <w:noWrap/>
            <w:vAlign w:val="center"/>
          </w:tcPr>
          <w:p w14:paraId="519A7382">
            <w:pPr>
              <w:pStyle w:val="34"/>
              <w:bidi w:val="0"/>
              <w:jc w:val="center"/>
              <w:rPr>
                <w:highlight w:val="none"/>
              </w:rPr>
            </w:pPr>
            <w:r>
              <w:rPr>
                <w:rFonts w:hint="eastAsia"/>
                <w:highlight w:val="none"/>
              </w:rPr>
              <w:t>10≤X＜100</w:t>
            </w:r>
          </w:p>
        </w:tc>
        <w:tc>
          <w:tcPr>
            <w:tcW w:w="1450" w:type="dxa"/>
            <w:tcBorders>
              <w:top w:val="nil"/>
              <w:left w:val="nil"/>
              <w:bottom w:val="single" w:color="auto" w:sz="4" w:space="0"/>
              <w:right w:val="single" w:color="auto" w:sz="4" w:space="0"/>
            </w:tcBorders>
            <w:noWrap/>
            <w:vAlign w:val="center"/>
          </w:tcPr>
          <w:p w14:paraId="67C4FC73">
            <w:pPr>
              <w:pStyle w:val="34"/>
              <w:bidi w:val="0"/>
              <w:jc w:val="center"/>
              <w:rPr>
                <w:highlight w:val="none"/>
              </w:rPr>
            </w:pPr>
            <w:r>
              <w:rPr>
                <w:rFonts w:hint="eastAsia"/>
                <w:highlight w:val="none"/>
              </w:rPr>
              <w:t>X＜10</w:t>
            </w:r>
          </w:p>
        </w:tc>
      </w:tr>
      <w:tr w14:paraId="0E5C534F">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48BC8472">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3C8112B8">
            <w:pPr>
              <w:pStyle w:val="34"/>
              <w:bidi w:val="0"/>
              <w:jc w:val="center"/>
              <w:rPr>
                <w:highlight w:val="none"/>
              </w:rPr>
            </w:pPr>
            <w:r>
              <w:rPr>
                <w:rFonts w:hint="eastAsia"/>
                <w:highlight w:val="none"/>
              </w:rPr>
              <w:t>资产总额（Z）</w:t>
            </w:r>
          </w:p>
        </w:tc>
        <w:tc>
          <w:tcPr>
            <w:tcW w:w="913" w:type="dxa"/>
            <w:tcBorders>
              <w:top w:val="nil"/>
              <w:left w:val="nil"/>
              <w:bottom w:val="single" w:color="auto" w:sz="4" w:space="0"/>
              <w:right w:val="single" w:color="auto" w:sz="4" w:space="0"/>
            </w:tcBorders>
            <w:noWrap/>
            <w:vAlign w:val="center"/>
          </w:tcPr>
          <w:p w14:paraId="5B0B9D15">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3502B9B1">
            <w:pPr>
              <w:pStyle w:val="34"/>
              <w:bidi w:val="0"/>
              <w:jc w:val="center"/>
              <w:rPr>
                <w:highlight w:val="none"/>
              </w:rPr>
            </w:pPr>
            <w:r>
              <w:rPr>
                <w:rFonts w:hint="eastAsia"/>
                <w:highlight w:val="none"/>
              </w:rPr>
              <w:t>8000≤Z＜120000</w:t>
            </w:r>
          </w:p>
        </w:tc>
        <w:tc>
          <w:tcPr>
            <w:tcW w:w="2079" w:type="dxa"/>
            <w:tcBorders>
              <w:top w:val="nil"/>
              <w:left w:val="nil"/>
              <w:bottom w:val="single" w:color="auto" w:sz="4" w:space="0"/>
              <w:right w:val="single" w:color="auto" w:sz="4" w:space="0"/>
            </w:tcBorders>
            <w:noWrap/>
            <w:vAlign w:val="center"/>
          </w:tcPr>
          <w:p w14:paraId="48DDF373">
            <w:pPr>
              <w:pStyle w:val="34"/>
              <w:bidi w:val="0"/>
              <w:jc w:val="center"/>
              <w:rPr>
                <w:highlight w:val="none"/>
              </w:rPr>
            </w:pPr>
            <w:r>
              <w:rPr>
                <w:rFonts w:hint="eastAsia"/>
                <w:highlight w:val="none"/>
              </w:rPr>
              <w:t>100≤Z＜8000</w:t>
            </w:r>
          </w:p>
        </w:tc>
        <w:tc>
          <w:tcPr>
            <w:tcW w:w="1450" w:type="dxa"/>
            <w:tcBorders>
              <w:top w:val="nil"/>
              <w:left w:val="nil"/>
              <w:bottom w:val="single" w:color="auto" w:sz="4" w:space="0"/>
              <w:right w:val="single" w:color="auto" w:sz="4" w:space="0"/>
            </w:tcBorders>
            <w:noWrap/>
            <w:vAlign w:val="center"/>
          </w:tcPr>
          <w:p w14:paraId="05A6B62D">
            <w:pPr>
              <w:pStyle w:val="34"/>
              <w:bidi w:val="0"/>
              <w:jc w:val="center"/>
              <w:rPr>
                <w:highlight w:val="none"/>
              </w:rPr>
            </w:pPr>
            <w:r>
              <w:rPr>
                <w:rFonts w:hint="eastAsia"/>
                <w:highlight w:val="none"/>
              </w:rPr>
              <w:t>Y＜100</w:t>
            </w:r>
          </w:p>
        </w:tc>
      </w:tr>
      <w:tr w14:paraId="56867A4D">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noWrap/>
            <w:vAlign w:val="center"/>
          </w:tcPr>
          <w:p w14:paraId="3A574B75">
            <w:pPr>
              <w:pStyle w:val="34"/>
              <w:bidi w:val="0"/>
              <w:jc w:val="center"/>
              <w:rPr>
                <w:highlight w:val="none"/>
              </w:rPr>
            </w:pPr>
            <w:r>
              <w:rPr>
                <w:rFonts w:hint="eastAsia"/>
                <w:highlight w:val="none"/>
              </w:rPr>
              <w:t>其他未列明行业</w:t>
            </w:r>
          </w:p>
        </w:tc>
        <w:tc>
          <w:tcPr>
            <w:tcW w:w="1383" w:type="dxa"/>
            <w:tcBorders>
              <w:top w:val="nil"/>
              <w:left w:val="nil"/>
              <w:bottom w:val="single" w:color="auto" w:sz="4" w:space="0"/>
              <w:right w:val="single" w:color="auto" w:sz="4" w:space="0"/>
            </w:tcBorders>
            <w:noWrap/>
            <w:vAlign w:val="center"/>
          </w:tcPr>
          <w:p w14:paraId="585F8A04">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6EDA2ADA">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3D7B618D">
            <w:pPr>
              <w:pStyle w:val="34"/>
              <w:bidi w:val="0"/>
              <w:jc w:val="center"/>
              <w:rPr>
                <w:highlight w:val="none"/>
              </w:rPr>
            </w:pPr>
            <w:r>
              <w:rPr>
                <w:rFonts w:hint="eastAsia"/>
                <w:highlight w:val="none"/>
              </w:rPr>
              <w:t>100≤X＜300</w:t>
            </w:r>
          </w:p>
        </w:tc>
        <w:tc>
          <w:tcPr>
            <w:tcW w:w="2079" w:type="dxa"/>
            <w:tcBorders>
              <w:top w:val="nil"/>
              <w:left w:val="nil"/>
              <w:bottom w:val="single" w:color="auto" w:sz="4" w:space="0"/>
              <w:right w:val="single" w:color="auto" w:sz="4" w:space="0"/>
            </w:tcBorders>
            <w:noWrap/>
            <w:vAlign w:val="center"/>
          </w:tcPr>
          <w:p w14:paraId="5AD3C974">
            <w:pPr>
              <w:pStyle w:val="34"/>
              <w:bidi w:val="0"/>
              <w:jc w:val="center"/>
              <w:rPr>
                <w:highlight w:val="none"/>
              </w:rPr>
            </w:pPr>
            <w:r>
              <w:rPr>
                <w:rFonts w:hint="eastAsia"/>
                <w:highlight w:val="none"/>
              </w:rPr>
              <w:t>10≤X＜100</w:t>
            </w:r>
          </w:p>
        </w:tc>
        <w:tc>
          <w:tcPr>
            <w:tcW w:w="1450" w:type="dxa"/>
            <w:tcBorders>
              <w:top w:val="nil"/>
              <w:left w:val="nil"/>
              <w:bottom w:val="single" w:color="auto" w:sz="4" w:space="0"/>
              <w:right w:val="single" w:color="auto" w:sz="4" w:space="0"/>
            </w:tcBorders>
            <w:noWrap/>
            <w:vAlign w:val="center"/>
          </w:tcPr>
          <w:p w14:paraId="5A17BE96">
            <w:pPr>
              <w:pStyle w:val="34"/>
              <w:bidi w:val="0"/>
              <w:jc w:val="center"/>
              <w:rPr>
                <w:highlight w:val="none"/>
              </w:rPr>
            </w:pPr>
            <w:r>
              <w:rPr>
                <w:rFonts w:hint="eastAsia"/>
                <w:highlight w:val="none"/>
              </w:rPr>
              <w:t>X＜10</w:t>
            </w:r>
          </w:p>
        </w:tc>
      </w:tr>
    </w:tbl>
    <w:p w14:paraId="267812C9">
      <w:pPr>
        <w:bidi w:val="0"/>
        <w:rPr>
          <w:rFonts w:hint="eastAsia"/>
          <w:highlight w:val="none"/>
        </w:rPr>
      </w:pPr>
      <w:r>
        <w:rPr>
          <w:rFonts w:hint="eastAsia"/>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087FC9D">
      <w:pPr>
        <w:pageBreakBefore w:val="0"/>
        <w:widowControl/>
        <w:kinsoku/>
        <w:wordWrap w:val="0"/>
        <w:overflowPunct/>
        <w:topLinePunct/>
        <w:autoSpaceDE w:val="0"/>
        <w:autoSpaceDN w:val="0"/>
        <w:bidi w:val="0"/>
        <w:spacing w:line="360" w:lineRule="exact"/>
        <w:ind w:left="480"/>
        <w:jc w:val="center"/>
        <w:outlineLvl w:val="0"/>
        <w:rPr>
          <w:rFonts w:hint="eastAsia" w:ascii="宋体" w:hAnsi="宋体" w:cs="Courier New"/>
          <w:b/>
          <w:sz w:val="28"/>
          <w:szCs w:val="28"/>
          <w:highlight w:val="none"/>
        </w:rPr>
        <w:sectPr>
          <w:pgSz w:w="11906" w:h="16839"/>
          <w:pgMar w:top="400" w:right="994" w:bottom="1156" w:left="1255" w:header="0" w:footer="994" w:gutter="0"/>
          <w:pgNumType w:fmt="decimal"/>
          <w:cols w:space="720" w:num="1"/>
        </w:sectPr>
      </w:pPr>
    </w:p>
    <w:p w14:paraId="3DF2A105">
      <w:pPr>
        <w:pStyle w:val="3"/>
        <w:bidi w:val="0"/>
        <w:rPr>
          <w:highlight w:val="none"/>
        </w:rPr>
      </w:pPr>
      <w:bookmarkStart w:id="37" w:name="_Toc17844"/>
      <w:r>
        <w:rPr>
          <w:rFonts w:hint="eastAsia"/>
          <w:highlight w:val="none"/>
        </w:rPr>
        <w:t>第三章  投标人须知</w:t>
      </w:r>
      <w:bookmarkEnd w:id="36"/>
      <w:bookmarkEnd w:id="37"/>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8427"/>
      </w:tblGrid>
      <w:tr w14:paraId="16D62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302" w:type="dxa"/>
            <w:gridSpan w:val="2"/>
            <w:tcBorders>
              <w:top w:val="single" w:color="auto" w:sz="4" w:space="0"/>
              <w:left w:val="single" w:color="auto" w:sz="4" w:space="0"/>
              <w:bottom w:val="single" w:color="auto" w:sz="4" w:space="0"/>
              <w:right w:val="single" w:color="auto" w:sz="4" w:space="0"/>
            </w:tcBorders>
            <w:vAlign w:val="center"/>
          </w:tcPr>
          <w:p w14:paraId="4E9D9ADE">
            <w:pPr>
              <w:pStyle w:val="34"/>
              <w:bidi w:val="0"/>
              <w:jc w:val="center"/>
              <w:rPr>
                <w:highlight w:val="none"/>
              </w:rPr>
            </w:pPr>
            <w:r>
              <w:rPr>
                <w:rFonts w:hint="eastAsia"/>
                <w:highlight w:val="none"/>
              </w:rPr>
              <w:t>投标人须知前附表</w:t>
            </w:r>
          </w:p>
        </w:tc>
      </w:tr>
      <w:tr w14:paraId="48B29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97F7E19">
            <w:pPr>
              <w:pStyle w:val="34"/>
              <w:bidi w:val="0"/>
              <w:jc w:val="left"/>
              <w:rPr>
                <w:highlight w:val="none"/>
              </w:rPr>
            </w:pPr>
            <w:r>
              <w:rPr>
                <w:rFonts w:hint="eastAsia"/>
                <w:highlight w:val="none"/>
              </w:rPr>
              <w:t>序号</w:t>
            </w:r>
          </w:p>
        </w:tc>
        <w:tc>
          <w:tcPr>
            <w:tcW w:w="8427" w:type="dxa"/>
            <w:tcBorders>
              <w:top w:val="single" w:color="auto" w:sz="4" w:space="0"/>
              <w:left w:val="single" w:color="auto" w:sz="4" w:space="0"/>
              <w:bottom w:val="single" w:color="auto" w:sz="4" w:space="0"/>
              <w:right w:val="single" w:color="auto" w:sz="4" w:space="0"/>
            </w:tcBorders>
            <w:vAlign w:val="center"/>
          </w:tcPr>
          <w:p w14:paraId="69F14B84">
            <w:pPr>
              <w:pStyle w:val="34"/>
              <w:bidi w:val="0"/>
              <w:jc w:val="left"/>
              <w:rPr>
                <w:highlight w:val="none"/>
              </w:rPr>
            </w:pPr>
            <w:r>
              <w:rPr>
                <w:rFonts w:hint="eastAsia"/>
                <w:highlight w:val="none"/>
              </w:rPr>
              <w:t>内容、要求</w:t>
            </w:r>
          </w:p>
        </w:tc>
      </w:tr>
      <w:tr w14:paraId="27A4F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17D36EC5">
            <w:pPr>
              <w:pStyle w:val="34"/>
              <w:bidi w:val="0"/>
              <w:jc w:val="left"/>
              <w:rPr>
                <w:highlight w:val="none"/>
              </w:rPr>
            </w:pPr>
            <w:r>
              <w:rPr>
                <w:rFonts w:hint="eastAsia"/>
                <w:highlight w:val="none"/>
              </w:rPr>
              <w:t>1</w:t>
            </w:r>
          </w:p>
        </w:tc>
        <w:tc>
          <w:tcPr>
            <w:tcW w:w="8427" w:type="dxa"/>
            <w:tcBorders>
              <w:top w:val="single" w:color="auto" w:sz="4" w:space="0"/>
              <w:left w:val="single" w:color="auto" w:sz="4" w:space="0"/>
              <w:bottom w:val="single" w:color="auto" w:sz="4" w:space="0"/>
              <w:right w:val="single" w:color="auto" w:sz="4" w:space="0"/>
            </w:tcBorders>
            <w:vAlign w:val="center"/>
          </w:tcPr>
          <w:p w14:paraId="01717C25">
            <w:pPr>
              <w:pStyle w:val="34"/>
              <w:bidi w:val="0"/>
              <w:jc w:val="left"/>
              <w:rPr>
                <w:highlight w:val="none"/>
              </w:rPr>
            </w:pPr>
            <w:r>
              <w:rPr>
                <w:rFonts w:hint="eastAsia"/>
                <w:highlight w:val="none"/>
              </w:rPr>
              <w:t>项目名称：液相色谱串联质谱检测系统及数字PCR仪器采购</w:t>
            </w:r>
          </w:p>
        </w:tc>
      </w:tr>
      <w:tr w14:paraId="19855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C64FB89">
            <w:pPr>
              <w:pStyle w:val="34"/>
              <w:bidi w:val="0"/>
              <w:jc w:val="left"/>
              <w:rPr>
                <w:highlight w:val="none"/>
              </w:rPr>
            </w:pPr>
            <w:r>
              <w:rPr>
                <w:rFonts w:hint="eastAsia"/>
                <w:highlight w:val="none"/>
              </w:rPr>
              <w:t>2</w:t>
            </w:r>
          </w:p>
        </w:tc>
        <w:tc>
          <w:tcPr>
            <w:tcW w:w="8427" w:type="dxa"/>
            <w:tcBorders>
              <w:top w:val="single" w:color="auto" w:sz="4" w:space="0"/>
              <w:left w:val="single" w:color="auto" w:sz="4" w:space="0"/>
              <w:bottom w:val="single" w:color="auto" w:sz="4" w:space="0"/>
              <w:right w:val="single" w:color="auto" w:sz="4" w:space="0"/>
            </w:tcBorders>
            <w:vAlign w:val="center"/>
          </w:tcPr>
          <w:p w14:paraId="3A903E61">
            <w:pPr>
              <w:bidi w:val="0"/>
              <w:rPr>
                <w:highlight w:val="none"/>
              </w:rPr>
            </w:pPr>
            <w:r>
              <w:rPr>
                <w:rFonts w:hint="eastAsia"/>
                <w:highlight w:val="none"/>
              </w:rPr>
              <w:t>投标人资格要求：</w:t>
            </w:r>
          </w:p>
          <w:p w14:paraId="57DF2E3B">
            <w:pPr>
              <w:bidi w:val="0"/>
              <w:rPr>
                <w:rFonts w:hint="eastAsia"/>
                <w:highlight w:val="none"/>
              </w:rPr>
            </w:pPr>
            <w:r>
              <w:rPr>
                <w:rFonts w:hint="eastAsia"/>
                <w:highlight w:val="none"/>
              </w:rPr>
              <w:t>1.满足《中华人民共和国政府采购法》第二十二条规定；</w:t>
            </w:r>
          </w:p>
          <w:p w14:paraId="0BDA8325">
            <w:pPr>
              <w:bidi w:val="0"/>
              <w:rPr>
                <w:rFonts w:hint="eastAsia"/>
                <w:highlight w:val="none"/>
              </w:rPr>
            </w:pPr>
            <w:r>
              <w:rPr>
                <w:rFonts w:hint="eastAsia"/>
                <w:highlight w:val="none"/>
              </w:rPr>
              <w:t>2.落实政府采购政策需满足的资格要求：无</w:t>
            </w:r>
          </w:p>
          <w:p w14:paraId="5CF9AF9A">
            <w:pPr>
              <w:bidi w:val="0"/>
              <w:rPr>
                <w:rFonts w:hint="eastAsia"/>
                <w:highlight w:val="none"/>
              </w:rPr>
            </w:pPr>
            <w:r>
              <w:rPr>
                <w:rFonts w:hint="eastAsia"/>
                <w:highlight w:val="none"/>
              </w:rPr>
              <w:t>3.本项目的特定资格要求：</w:t>
            </w:r>
          </w:p>
          <w:p w14:paraId="3EC04F2B">
            <w:pPr>
              <w:bidi w:val="0"/>
              <w:rPr>
                <w:rFonts w:hint="eastAsia"/>
                <w:highlight w:val="none"/>
              </w:rPr>
            </w:pPr>
            <w:r>
              <w:rPr>
                <w:rFonts w:hint="eastAsia"/>
                <w:highlight w:val="none"/>
                <w:lang w:val="en-US" w:eastAsia="zh-CN"/>
              </w:rPr>
              <w:t>标项一</w:t>
            </w:r>
            <w:r>
              <w:rPr>
                <w:rFonts w:hint="eastAsia"/>
                <w:highlight w:val="none"/>
              </w:rPr>
              <w:t>：</w:t>
            </w:r>
          </w:p>
          <w:p w14:paraId="62636085">
            <w:pPr>
              <w:bidi w:val="0"/>
              <w:rPr>
                <w:rFonts w:hint="eastAsia"/>
                <w:highlight w:val="none"/>
              </w:rPr>
            </w:pPr>
            <w:r>
              <w:rPr>
                <w:rFonts w:hint="eastAsia"/>
                <w:highlight w:val="none"/>
                <w:lang w:val="en-US" w:eastAsia="zh-CN"/>
              </w:rPr>
              <w:t>投标人按《医疗器械监督管理条例》（国务院令第739号）医疗器械分类管理要求具备有效的医疗器械经营备案凭证或者经营许可证；或者投标人应符合《医疗器械监督管理条例》（国务院令第739号）规定具备医疗器械注册证或第一类医疗器械备案凭证</w:t>
            </w:r>
            <w:r>
              <w:rPr>
                <w:rFonts w:hint="eastAsia"/>
                <w:highlight w:val="none"/>
              </w:rPr>
              <w:t>。</w:t>
            </w:r>
          </w:p>
          <w:p w14:paraId="0BDEFB08">
            <w:pPr>
              <w:bidi w:val="0"/>
              <w:rPr>
                <w:rFonts w:hint="eastAsia"/>
                <w:highlight w:val="none"/>
              </w:rPr>
            </w:pPr>
            <w:r>
              <w:rPr>
                <w:rFonts w:hint="eastAsia"/>
                <w:highlight w:val="none"/>
                <w:lang w:val="en-US" w:eastAsia="zh-CN"/>
              </w:rPr>
              <w:t>标项二</w:t>
            </w:r>
            <w:r>
              <w:rPr>
                <w:rFonts w:hint="eastAsia"/>
                <w:highlight w:val="none"/>
              </w:rPr>
              <w:t>：</w:t>
            </w:r>
          </w:p>
          <w:p w14:paraId="3D762015">
            <w:pPr>
              <w:bidi w:val="0"/>
              <w:rPr>
                <w:rFonts w:hint="eastAsia"/>
                <w:highlight w:val="none"/>
              </w:rPr>
            </w:pPr>
            <w:r>
              <w:rPr>
                <w:rFonts w:hint="eastAsia"/>
                <w:highlight w:val="none"/>
                <w:lang w:val="en-US" w:eastAsia="zh-CN"/>
              </w:rPr>
              <w:t>投标人按《医疗器械监督管理条例》（国务院令第739号）医疗器械分类管理要求具备有效的医疗器械经营备案凭证或者经营许可证；或者投标人应符合《医疗器械监督管理条例》（国务院令第739号）规定具备医疗器械注册证或第一类医疗器械备案凭证</w:t>
            </w:r>
            <w:r>
              <w:rPr>
                <w:rFonts w:hint="eastAsia"/>
                <w:highlight w:val="none"/>
              </w:rPr>
              <w:t>。</w:t>
            </w:r>
          </w:p>
          <w:p w14:paraId="7672833D">
            <w:pPr>
              <w:bidi w:val="0"/>
              <w:rPr>
                <w:highlight w:val="none"/>
              </w:rPr>
            </w:pPr>
            <w:r>
              <w:rPr>
                <w:rFonts w:hint="eastAsia"/>
                <w:highlight w:val="none"/>
              </w:rPr>
              <w:t>4.参加政府采购活动前三年内，在经营活动中没有重大违法记录和不良信用记录，被列入失信被执行人、</w:t>
            </w:r>
            <w:r>
              <w:rPr>
                <w:rFonts w:hint="eastAsia"/>
                <w:highlight w:val="none"/>
                <w:lang w:eastAsia="zh-CN"/>
              </w:rPr>
              <w:t>重大税收违法失信主体名单</w:t>
            </w:r>
            <w:r>
              <w:rPr>
                <w:rFonts w:hint="eastAsia"/>
                <w:highlight w:val="none"/>
              </w:rPr>
              <w:t>、政府采购严重违法失信行为记录名单及其他不符合《中华人民共和国政府采购法》第二十二条规定条件的供应商，将被拒绝其参与本次政府采购活动；</w:t>
            </w:r>
          </w:p>
          <w:p w14:paraId="585C4739">
            <w:pPr>
              <w:bidi w:val="0"/>
              <w:rPr>
                <w:rFonts w:hint="eastAsia"/>
                <w:highlight w:val="none"/>
              </w:rPr>
            </w:pPr>
            <w:r>
              <w:rPr>
                <w:rFonts w:hint="eastAsia"/>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14:paraId="062BF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67D314F4">
            <w:pPr>
              <w:pStyle w:val="34"/>
              <w:bidi w:val="0"/>
              <w:jc w:val="left"/>
              <w:rPr>
                <w:highlight w:val="none"/>
              </w:rPr>
            </w:pPr>
            <w:r>
              <w:rPr>
                <w:rFonts w:hint="eastAsia"/>
                <w:highlight w:val="none"/>
              </w:rPr>
              <w:t>3</w:t>
            </w:r>
          </w:p>
        </w:tc>
        <w:tc>
          <w:tcPr>
            <w:tcW w:w="8427" w:type="dxa"/>
            <w:tcBorders>
              <w:top w:val="single" w:color="auto" w:sz="4" w:space="0"/>
              <w:left w:val="single" w:color="auto" w:sz="4" w:space="0"/>
              <w:bottom w:val="single" w:color="auto" w:sz="4" w:space="0"/>
              <w:right w:val="single" w:color="auto" w:sz="4" w:space="0"/>
            </w:tcBorders>
            <w:vAlign w:val="center"/>
          </w:tcPr>
          <w:p w14:paraId="69329AB7">
            <w:pPr>
              <w:bidi w:val="0"/>
              <w:rPr>
                <w:rFonts w:hint="eastAsia"/>
                <w:highlight w:val="none"/>
              </w:rPr>
            </w:pPr>
            <w:r>
              <w:rPr>
                <w:rFonts w:hint="eastAsia"/>
                <w:highlight w:val="none"/>
              </w:rPr>
              <w:t>□本项目不收取</w:t>
            </w:r>
            <w:r>
              <w:rPr>
                <w:rFonts w:hint="eastAsia"/>
                <w:highlight w:val="none"/>
                <w:lang w:val="en-US" w:eastAsia="zh-CN"/>
              </w:rPr>
              <w:t>投</w:t>
            </w:r>
            <w:r>
              <w:rPr>
                <w:rFonts w:hint="eastAsia"/>
                <w:highlight w:val="none"/>
              </w:rPr>
              <w:t>标保证金。</w:t>
            </w:r>
          </w:p>
          <w:p w14:paraId="1A44EB07">
            <w:pPr>
              <w:bidi w:val="0"/>
              <w:rPr>
                <w:rFonts w:hint="eastAsia"/>
                <w:highlight w:val="none"/>
              </w:rPr>
            </w:pPr>
            <w:r>
              <w:rPr>
                <w:rFonts w:hint="eastAsia"/>
                <w:highlight w:val="none"/>
                <w:lang w:eastAsia="zh-CN"/>
              </w:rPr>
              <w:t>☑</w:t>
            </w:r>
            <w:r>
              <w:rPr>
                <w:rFonts w:hint="eastAsia"/>
                <w:highlight w:val="none"/>
              </w:rPr>
              <w:t>本项目收取</w:t>
            </w:r>
            <w:r>
              <w:rPr>
                <w:rFonts w:hint="eastAsia"/>
                <w:highlight w:val="none"/>
                <w:lang w:val="en-US" w:eastAsia="zh-CN"/>
              </w:rPr>
              <w:t>投</w:t>
            </w:r>
            <w:r>
              <w:rPr>
                <w:rFonts w:hint="eastAsia"/>
                <w:highlight w:val="none"/>
              </w:rPr>
              <w:t>标保证金，具体规定如下：</w:t>
            </w:r>
          </w:p>
          <w:p w14:paraId="324075D3">
            <w:pPr>
              <w:bidi w:val="0"/>
              <w:rPr>
                <w:rFonts w:hint="eastAsia"/>
                <w:highlight w:val="none"/>
              </w:rPr>
            </w:pPr>
            <w:r>
              <w:rPr>
                <w:rFonts w:hint="eastAsia"/>
                <w:highlight w:val="none"/>
                <w:lang w:val="en-US" w:eastAsia="zh-CN"/>
              </w:rPr>
              <w:t>标项一：</w:t>
            </w:r>
            <w:r>
              <w:rPr>
                <w:rFonts w:hint="eastAsia"/>
                <w:highlight w:val="none"/>
                <w:lang w:eastAsia="zh-CN"/>
              </w:rPr>
              <w:t>投标保证金</w:t>
            </w:r>
            <w:r>
              <w:rPr>
                <w:rFonts w:hint="eastAsia"/>
                <w:highlight w:val="none"/>
              </w:rPr>
              <w:t>人民币2</w:t>
            </w:r>
            <w:r>
              <w:rPr>
                <w:rFonts w:hint="eastAsia"/>
                <w:highlight w:val="none"/>
                <w:lang w:val="en-US" w:eastAsia="zh-CN"/>
              </w:rPr>
              <w:t>0</w:t>
            </w:r>
            <w:r>
              <w:rPr>
                <w:rFonts w:hint="eastAsia"/>
                <w:highlight w:val="none"/>
              </w:rPr>
              <w:t>000.00元。</w:t>
            </w:r>
          </w:p>
          <w:p w14:paraId="46A32B16">
            <w:pPr>
              <w:bidi w:val="0"/>
              <w:rPr>
                <w:rFonts w:hint="eastAsia"/>
                <w:highlight w:val="none"/>
              </w:rPr>
            </w:pPr>
            <w:r>
              <w:rPr>
                <w:rFonts w:hint="eastAsia"/>
                <w:highlight w:val="none"/>
                <w:lang w:val="en-US" w:eastAsia="zh-CN"/>
              </w:rPr>
              <w:t>标项二：</w:t>
            </w:r>
            <w:r>
              <w:rPr>
                <w:rFonts w:hint="eastAsia"/>
                <w:highlight w:val="none"/>
                <w:lang w:eastAsia="zh-CN"/>
              </w:rPr>
              <w:t>投标保证金</w:t>
            </w:r>
            <w:r>
              <w:rPr>
                <w:rFonts w:hint="eastAsia"/>
                <w:highlight w:val="none"/>
              </w:rPr>
              <w:t>人民币</w:t>
            </w:r>
            <w:r>
              <w:rPr>
                <w:rFonts w:hint="eastAsia"/>
                <w:highlight w:val="none"/>
                <w:lang w:val="en-US" w:eastAsia="zh-CN"/>
              </w:rPr>
              <w:t>10</w:t>
            </w:r>
            <w:r>
              <w:rPr>
                <w:rFonts w:hint="eastAsia"/>
                <w:highlight w:val="none"/>
              </w:rPr>
              <w:t>000.00元</w:t>
            </w:r>
          </w:p>
          <w:p w14:paraId="35ACFF70">
            <w:pPr>
              <w:bidi w:val="0"/>
              <w:rPr>
                <w:rFonts w:hint="eastAsia"/>
                <w:highlight w:val="none"/>
              </w:rPr>
            </w:pPr>
            <w:r>
              <w:rPr>
                <w:rFonts w:hint="eastAsia"/>
                <w:highlight w:val="none"/>
                <w:lang w:eastAsia="zh-CN"/>
              </w:rPr>
              <w:t>投标保证金</w:t>
            </w:r>
            <w:r>
              <w:rPr>
                <w:rFonts w:hint="eastAsia"/>
                <w:highlight w:val="none"/>
              </w:rPr>
              <w:t>的交纳方式：银行转账、支票、汇票、本票或者银行、保险机构出具的保函，禁止采用现钞方式。采用银行转账方式的，在响应文件提交截止时间前交至指定账户并且到账（办理</w:t>
            </w:r>
            <w:r>
              <w:rPr>
                <w:rFonts w:hint="eastAsia"/>
                <w:highlight w:val="none"/>
                <w:lang w:eastAsia="zh-CN"/>
              </w:rPr>
              <w:t>投标保证金</w:t>
            </w:r>
            <w:r>
              <w:rPr>
                <w:rFonts w:hint="eastAsia"/>
                <w:highlight w:val="none"/>
              </w:rPr>
              <w:t>手续时，请务必在银行进账单或电汇单的用途或空白栏上注明项目编号）</w:t>
            </w:r>
          </w:p>
          <w:p w14:paraId="52F8FF22">
            <w:pPr>
              <w:bidi w:val="0"/>
              <w:rPr>
                <w:rFonts w:hint="eastAsia"/>
                <w:highlight w:val="none"/>
              </w:rPr>
            </w:pPr>
            <w:r>
              <w:rPr>
                <w:rFonts w:hint="eastAsia"/>
                <w:highlight w:val="none"/>
              </w:rPr>
              <w:t>开户名称：广西德元工程项目管理有限责任公司</w:t>
            </w:r>
          </w:p>
          <w:p w14:paraId="2578E329">
            <w:pPr>
              <w:bidi w:val="0"/>
              <w:rPr>
                <w:rFonts w:hint="eastAsia"/>
                <w:highlight w:val="none"/>
              </w:rPr>
            </w:pPr>
            <w:r>
              <w:rPr>
                <w:rFonts w:hint="eastAsia"/>
                <w:highlight w:val="none"/>
              </w:rPr>
              <w:t>开户银行：中国银行柳州市八一支行</w:t>
            </w:r>
          </w:p>
          <w:p w14:paraId="09FBE2A9">
            <w:pPr>
              <w:bidi w:val="0"/>
              <w:rPr>
                <w:rFonts w:hint="eastAsia"/>
                <w:highlight w:val="none"/>
              </w:rPr>
            </w:pPr>
            <w:r>
              <w:rPr>
                <w:rFonts w:hint="eastAsia"/>
                <w:highlight w:val="none"/>
              </w:rPr>
              <w:t>银行账号：6158 6557 4841</w:t>
            </w:r>
          </w:p>
          <w:p w14:paraId="38368DEB">
            <w:pPr>
              <w:bidi w:val="0"/>
              <w:rPr>
                <w:rFonts w:hint="eastAsia"/>
                <w:highlight w:val="none"/>
              </w:rPr>
            </w:pPr>
            <w:r>
              <w:rPr>
                <w:rFonts w:hint="eastAsia"/>
                <w:highlight w:val="none"/>
              </w:rPr>
              <w:t>采用支票、汇票、本票或者保函等方式的，在响应文件提交截止时间前，供应商必须提交单独密封的支票、汇票、本票或者保函原件。否则视为无效</w:t>
            </w:r>
            <w:r>
              <w:rPr>
                <w:rFonts w:hint="eastAsia"/>
                <w:highlight w:val="none"/>
                <w:lang w:eastAsia="zh-CN"/>
              </w:rPr>
              <w:t>投标保证金</w:t>
            </w:r>
            <w:r>
              <w:rPr>
                <w:rFonts w:hint="eastAsia"/>
                <w:highlight w:val="none"/>
              </w:rPr>
              <w:t>。</w:t>
            </w:r>
          </w:p>
          <w:p w14:paraId="1C81F01B">
            <w:pPr>
              <w:bidi w:val="0"/>
              <w:rPr>
                <w:rFonts w:hint="eastAsia"/>
                <w:highlight w:val="none"/>
              </w:rPr>
            </w:pPr>
            <w:r>
              <w:rPr>
                <w:rFonts w:hint="eastAsia"/>
                <w:highlight w:val="none"/>
              </w:rPr>
              <w:t>相关要求：</w:t>
            </w:r>
          </w:p>
          <w:p w14:paraId="6B35B4A9">
            <w:pPr>
              <w:bidi w:val="0"/>
              <w:rPr>
                <w:rFonts w:hint="eastAsia"/>
                <w:highlight w:val="none"/>
              </w:rPr>
            </w:pPr>
            <w:r>
              <w:rPr>
                <w:rFonts w:hint="eastAsia"/>
                <w:highlight w:val="none"/>
              </w:rPr>
              <w:t>1.</w:t>
            </w:r>
            <w:r>
              <w:rPr>
                <w:rFonts w:hint="eastAsia"/>
                <w:highlight w:val="none"/>
                <w:lang w:eastAsia="zh-CN"/>
              </w:rPr>
              <w:t>投标保证金</w:t>
            </w:r>
            <w:r>
              <w:rPr>
                <w:rFonts w:hint="eastAsia"/>
                <w:highlight w:val="none"/>
              </w:rPr>
              <w:t>采用银行转账交纳方式的，在响应文件提交截止时间前交至指定账户并且到账，供应商应将银行转账底单的复印件作为</w:t>
            </w:r>
            <w:r>
              <w:rPr>
                <w:rFonts w:hint="eastAsia"/>
                <w:highlight w:val="none"/>
                <w:lang w:eastAsia="zh-CN"/>
              </w:rPr>
              <w:t>投标保证金</w:t>
            </w:r>
            <w:r>
              <w:rPr>
                <w:rFonts w:hint="eastAsia"/>
                <w:highlight w:val="none"/>
              </w:rPr>
              <w:t>提交凭证，放置于商务技术文件中，否则响应文件按无效处理。</w:t>
            </w:r>
          </w:p>
          <w:p w14:paraId="46800584">
            <w:pPr>
              <w:bidi w:val="0"/>
              <w:rPr>
                <w:rFonts w:hint="eastAsia"/>
                <w:highlight w:val="none"/>
              </w:rPr>
            </w:pPr>
            <w:r>
              <w:rPr>
                <w:rFonts w:hint="eastAsia"/>
                <w:highlight w:val="none"/>
              </w:rPr>
              <w:t>2.</w:t>
            </w:r>
            <w:r>
              <w:rPr>
                <w:rFonts w:hint="eastAsia"/>
                <w:highlight w:val="none"/>
                <w:lang w:eastAsia="zh-CN"/>
              </w:rPr>
              <w:t>投标保证金</w:t>
            </w:r>
            <w:r>
              <w:rPr>
                <w:rFonts w:hint="eastAsia"/>
                <w:highlight w:val="none"/>
              </w:rPr>
              <w:t>采用支票、汇票、本票或者银行、保险机构出具的保函交纳方式的，供应商应将支票、汇票、本票或者银行、保险机构出具的保函的复印件作为</w:t>
            </w:r>
            <w:r>
              <w:rPr>
                <w:rFonts w:hint="eastAsia"/>
                <w:highlight w:val="none"/>
                <w:lang w:eastAsia="zh-CN"/>
              </w:rPr>
              <w:t>投标保证金</w:t>
            </w:r>
            <w:r>
              <w:rPr>
                <w:rFonts w:hint="eastAsia"/>
                <w:highlight w:val="none"/>
              </w:rPr>
              <w:t>提交凭证，放置于商务技术文件中，否则响应文件按无效处理。供应商必须在响应文件提交截止时间前采用现场或邮寄方式</w:t>
            </w:r>
          </w:p>
          <w:p w14:paraId="2C8D1E83">
            <w:pPr>
              <w:bidi w:val="0"/>
              <w:rPr>
                <w:rFonts w:hint="eastAsia"/>
                <w:highlight w:val="none"/>
              </w:rPr>
            </w:pPr>
            <w:r>
              <w:rPr>
                <w:rFonts w:hint="eastAsia"/>
                <w:highlight w:val="none"/>
              </w:rPr>
              <w:t>现场提交地址：广西德元工程项目管理有限责任公司(南宁市良庆区凯旋路15号绿地中心7号楼8楼；</w:t>
            </w:r>
          </w:p>
          <w:p w14:paraId="24849512">
            <w:pPr>
              <w:bidi w:val="0"/>
              <w:rPr>
                <w:rFonts w:hint="eastAsia" w:eastAsia="宋体"/>
                <w:highlight w:val="none"/>
                <w:lang w:eastAsia="zh-CN"/>
              </w:rPr>
            </w:pPr>
            <w:r>
              <w:rPr>
                <w:rFonts w:hint="eastAsia"/>
                <w:highlight w:val="none"/>
              </w:rPr>
              <w:t>邮寄地址：南宁市良庆区凯旋路15号绿地中心7号楼8楼，收件人：黄清霞、</w:t>
            </w:r>
            <w:r>
              <w:rPr>
                <w:rFonts w:hint="eastAsia"/>
                <w:highlight w:val="none"/>
                <w:lang w:val="en-US" w:eastAsia="zh-CN"/>
              </w:rPr>
              <w:t>韦佳敏</w:t>
            </w:r>
            <w:r>
              <w:rPr>
                <w:rFonts w:hint="eastAsia"/>
                <w:highlight w:val="none"/>
              </w:rPr>
              <w:t>，联系方式：0771-5084767</w:t>
            </w:r>
            <w:r>
              <w:rPr>
                <w:rFonts w:hint="eastAsia"/>
                <w:highlight w:val="none"/>
                <w:lang w:eastAsia="zh-CN"/>
              </w:rPr>
              <w:t>；</w:t>
            </w:r>
          </w:p>
          <w:p w14:paraId="40AD86CD">
            <w:pPr>
              <w:bidi w:val="0"/>
              <w:rPr>
                <w:rFonts w:hint="eastAsia"/>
                <w:highlight w:val="none"/>
              </w:rPr>
            </w:pPr>
            <w:r>
              <w:rPr>
                <w:rFonts w:hint="eastAsia"/>
                <w:highlight w:val="none"/>
              </w:rPr>
              <w:t>将单独密封的支票、汇票、本票或者银行、保险机构出具的保函原件提交给采购人或者采购代理机构，由采购人或者采购代理机构向供应商出具回执（邮寄方式的除外），并妥善保管。</w:t>
            </w:r>
          </w:p>
          <w:p w14:paraId="2C9308D3">
            <w:pPr>
              <w:bidi w:val="0"/>
              <w:rPr>
                <w:rFonts w:hint="eastAsia"/>
                <w:highlight w:val="none"/>
              </w:rPr>
            </w:pPr>
            <w:r>
              <w:rPr>
                <w:rFonts w:hint="eastAsia"/>
                <w:highlight w:val="none"/>
              </w:rPr>
              <w:t>3.供应商为联合体的，可以由联合体中的一方或者多方共同交纳</w:t>
            </w:r>
            <w:r>
              <w:rPr>
                <w:rFonts w:hint="eastAsia"/>
                <w:highlight w:val="none"/>
                <w:lang w:eastAsia="zh-CN"/>
              </w:rPr>
              <w:t>投标保证金</w:t>
            </w:r>
            <w:r>
              <w:rPr>
                <w:rFonts w:hint="eastAsia"/>
                <w:highlight w:val="none"/>
              </w:rPr>
              <w:t>，其交纳的保证金对联合体各方均具有约束力。</w:t>
            </w:r>
          </w:p>
          <w:p w14:paraId="4F93F589">
            <w:pPr>
              <w:bidi w:val="0"/>
              <w:rPr>
                <w:rFonts w:hint="eastAsia"/>
                <w:highlight w:val="none"/>
              </w:rPr>
            </w:pPr>
            <w:r>
              <w:rPr>
                <w:rFonts w:hint="eastAsia"/>
                <w:highlight w:val="none"/>
              </w:rPr>
              <w:t xml:space="preserve">备注： </w:t>
            </w:r>
          </w:p>
          <w:p w14:paraId="7AD2A0FD">
            <w:pPr>
              <w:bidi w:val="0"/>
              <w:rPr>
                <w:rFonts w:hint="eastAsia"/>
                <w:highlight w:val="none"/>
              </w:rPr>
            </w:pPr>
            <w:r>
              <w:rPr>
                <w:rFonts w:hint="eastAsia"/>
                <w:highlight w:val="none"/>
              </w:rPr>
              <w:t xml:space="preserve">1. </w:t>
            </w:r>
            <w:r>
              <w:rPr>
                <w:rFonts w:hint="eastAsia"/>
                <w:highlight w:val="none"/>
                <w:lang w:eastAsia="zh-CN"/>
              </w:rPr>
              <w:t>投标保证金</w:t>
            </w:r>
            <w:r>
              <w:rPr>
                <w:rFonts w:hint="eastAsia"/>
                <w:highlight w:val="none"/>
              </w:rPr>
              <w:t>在响应文件提交截止时间后提交的，或者不按规定交纳方式交纳的，或者未足额交纳的（包含保函额度不足的），视为无效</w:t>
            </w:r>
            <w:r>
              <w:rPr>
                <w:rFonts w:hint="eastAsia"/>
                <w:highlight w:val="none"/>
                <w:lang w:eastAsia="zh-CN"/>
              </w:rPr>
              <w:t>投标保证金</w:t>
            </w:r>
            <w:r>
              <w:rPr>
                <w:rFonts w:hint="eastAsia"/>
                <w:highlight w:val="none"/>
              </w:rPr>
              <w:t>。</w:t>
            </w:r>
          </w:p>
          <w:p w14:paraId="49029335">
            <w:pPr>
              <w:bidi w:val="0"/>
              <w:rPr>
                <w:rFonts w:hint="eastAsia"/>
                <w:highlight w:val="none"/>
              </w:rPr>
            </w:pPr>
            <w:r>
              <w:rPr>
                <w:rFonts w:hint="eastAsia"/>
                <w:highlight w:val="none"/>
              </w:rPr>
              <w:t>2.供应商采用现钞方式或者从个人账户（自然人竞标除外）转出的</w:t>
            </w:r>
            <w:r>
              <w:rPr>
                <w:rFonts w:hint="eastAsia"/>
                <w:highlight w:val="none"/>
                <w:lang w:eastAsia="zh-CN"/>
              </w:rPr>
              <w:t>投标保证金</w:t>
            </w:r>
            <w:r>
              <w:rPr>
                <w:rFonts w:hint="eastAsia"/>
                <w:highlight w:val="none"/>
              </w:rPr>
              <w:t>，视为无效</w:t>
            </w:r>
            <w:r>
              <w:rPr>
                <w:rFonts w:hint="eastAsia"/>
                <w:highlight w:val="none"/>
                <w:lang w:eastAsia="zh-CN"/>
              </w:rPr>
              <w:t>投标保证金</w:t>
            </w:r>
            <w:r>
              <w:rPr>
                <w:rFonts w:hint="eastAsia"/>
                <w:highlight w:val="none"/>
              </w:rPr>
              <w:t>。</w:t>
            </w:r>
          </w:p>
          <w:p w14:paraId="3F7E375E">
            <w:pPr>
              <w:bidi w:val="0"/>
              <w:rPr>
                <w:rFonts w:hint="eastAsia"/>
                <w:highlight w:val="none"/>
              </w:rPr>
            </w:pPr>
            <w:r>
              <w:rPr>
                <w:rFonts w:hint="eastAsia"/>
                <w:highlight w:val="none"/>
              </w:rPr>
              <w:t>3.支票、汇票或者本票出现无效或者背书情形的，视为无效</w:t>
            </w:r>
            <w:r>
              <w:rPr>
                <w:rFonts w:hint="eastAsia"/>
                <w:highlight w:val="none"/>
                <w:lang w:eastAsia="zh-CN"/>
              </w:rPr>
              <w:t>投标保证金</w:t>
            </w:r>
            <w:r>
              <w:rPr>
                <w:rFonts w:hint="eastAsia"/>
                <w:highlight w:val="none"/>
              </w:rPr>
              <w:t>。</w:t>
            </w:r>
          </w:p>
          <w:p w14:paraId="23DD9DB4">
            <w:pPr>
              <w:bidi w:val="0"/>
              <w:rPr>
                <w:rFonts w:hint="eastAsia"/>
                <w:highlight w:val="none"/>
              </w:rPr>
            </w:pPr>
            <w:r>
              <w:rPr>
                <w:rFonts w:hint="eastAsia"/>
                <w:highlight w:val="none"/>
              </w:rPr>
              <w:t>4.保函有效期低于竞标有效期的，视为无效</w:t>
            </w:r>
            <w:r>
              <w:rPr>
                <w:rFonts w:hint="eastAsia"/>
                <w:highlight w:val="none"/>
                <w:lang w:eastAsia="zh-CN"/>
              </w:rPr>
              <w:t>投标保证金</w:t>
            </w:r>
            <w:r>
              <w:rPr>
                <w:rFonts w:hint="eastAsia"/>
                <w:highlight w:val="none"/>
              </w:rPr>
              <w:t>。</w:t>
            </w:r>
          </w:p>
          <w:p w14:paraId="6E761217">
            <w:pPr>
              <w:bidi w:val="0"/>
              <w:rPr>
                <w:rFonts w:hint="eastAsia"/>
                <w:highlight w:val="none"/>
              </w:rPr>
            </w:pPr>
            <w:r>
              <w:rPr>
                <w:rFonts w:hint="eastAsia"/>
                <w:highlight w:val="none"/>
              </w:rPr>
              <w:t>5.</w:t>
            </w:r>
            <w:r>
              <w:rPr>
                <w:rFonts w:hint="eastAsia"/>
                <w:highlight w:val="none"/>
                <w:lang w:eastAsia="zh-CN"/>
              </w:rPr>
              <w:t>投标保证金</w:t>
            </w:r>
            <w:r>
              <w:rPr>
                <w:rFonts w:hint="eastAsia"/>
                <w:highlight w:val="none"/>
              </w:rPr>
              <w:t>采用银行、保险机构出具的保函为有条件保函的，视为无效</w:t>
            </w:r>
            <w:r>
              <w:rPr>
                <w:rFonts w:hint="eastAsia"/>
                <w:highlight w:val="none"/>
                <w:lang w:eastAsia="zh-CN"/>
              </w:rPr>
              <w:t>投标保证金</w:t>
            </w:r>
            <w:r>
              <w:rPr>
                <w:rFonts w:hint="eastAsia"/>
                <w:highlight w:val="none"/>
              </w:rPr>
              <w:t>。</w:t>
            </w:r>
          </w:p>
          <w:p w14:paraId="16F65597">
            <w:pPr>
              <w:bidi w:val="0"/>
              <w:rPr>
                <w:highlight w:val="none"/>
              </w:rPr>
            </w:pPr>
            <w:r>
              <w:rPr>
                <w:rFonts w:hint="eastAsia"/>
                <w:highlight w:val="none"/>
              </w:rPr>
              <w:t>6.政采云平台暂未支持电子保函功能，故本项目暂不接受电子保函形式的保证金。</w:t>
            </w:r>
          </w:p>
        </w:tc>
      </w:tr>
      <w:tr w14:paraId="00B4A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E26D1CC">
            <w:pPr>
              <w:pStyle w:val="34"/>
              <w:bidi w:val="0"/>
              <w:jc w:val="left"/>
              <w:rPr>
                <w:highlight w:val="none"/>
              </w:rPr>
            </w:pPr>
            <w:r>
              <w:rPr>
                <w:rFonts w:hint="eastAsia"/>
                <w:highlight w:val="none"/>
              </w:rPr>
              <w:t>4</w:t>
            </w:r>
          </w:p>
        </w:tc>
        <w:tc>
          <w:tcPr>
            <w:tcW w:w="8427" w:type="dxa"/>
            <w:tcBorders>
              <w:top w:val="single" w:color="auto" w:sz="4" w:space="0"/>
              <w:left w:val="single" w:color="auto" w:sz="4" w:space="0"/>
              <w:bottom w:val="single" w:color="auto" w:sz="4" w:space="0"/>
              <w:right w:val="single" w:color="auto" w:sz="4" w:space="0"/>
            </w:tcBorders>
            <w:vAlign w:val="center"/>
          </w:tcPr>
          <w:p w14:paraId="34BEBE3B">
            <w:pPr>
              <w:bidi w:val="0"/>
              <w:rPr>
                <w:highlight w:val="none"/>
              </w:rPr>
            </w:pPr>
            <w:r>
              <w:rPr>
                <w:rFonts w:hint="eastAsia"/>
                <w:highlight w:val="none"/>
              </w:rPr>
              <w:t>现场考察或答疑会：</w:t>
            </w:r>
          </w:p>
          <w:p w14:paraId="3F9510FD">
            <w:pPr>
              <w:bidi w:val="0"/>
              <w:rPr>
                <w:highlight w:val="none"/>
              </w:rPr>
            </w:pPr>
            <w:r>
              <w:rPr>
                <w:rFonts w:hint="eastAsia"/>
                <w:highlight w:val="none"/>
              </w:rPr>
              <w:t>□组织。</w:t>
            </w:r>
          </w:p>
          <w:p w14:paraId="560FA747">
            <w:pPr>
              <w:bidi w:val="0"/>
              <w:rPr>
                <w:highlight w:val="none"/>
              </w:rPr>
            </w:pPr>
            <w:r>
              <w:rPr>
                <w:highlight w:val="none"/>
              </w:rPr>
              <w:sym w:font="Wingdings 2" w:char="0052"/>
            </w:r>
            <w:r>
              <w:rPr>
                <w:rFonts w:hint="eastAsia"/>
                <w:highlight w:val="none"/>
              </w:rPr>
              <w:t>不组织。供应商自行考察现场。</w:t>
            </w:r>
          </w:p>
        </w:tc>
      </w:tr>
      <w:tr w14:paraId="6FB93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87EB775">
            <w:pPr>
              <w:pStyle w:val="34"/>
              <w:bidi w:val="0"/>
              <w:jc w:val="left"/>
              <w:rPr>
                <w:highlight w:val="none"/>
              </w:rPr>
            </w:pPr>
            <w:r>
              <w:rPr>
                <w:rFonts w:hint="eastAsia"/>
                <w:highlight w:val="none"/>
              </w:rPr>
              <w:t>5</w:t>
            </w:r>
          </w:p>
        </w:tc>
        <w:tc>
          <w:tcPr>
            <w:tcW w:w="8427" w:type="dxa"/>
            <w:tcBorders>
              <w:top w:val="single" w:color="auto" w:sz="4" w:space="0"/>
              <w:left w:val="single" w:color="auto" w:sz="4" w:space="0"/>
              <w:bottom w:val="single" w:color="auto" w:sz="4" w:space="0"/>
              <w:right w:val="single" w:color="auto" w:sz="4" w:space="0"/>
            </w:tcBorders>
            <w:vAlign w:val="center"/>
          </w:tcPr>
          <w:p w14:paraId="6BB4FB34">
            <w:pPr>
              <w:bidi w:val="0"/>
              <w:rPr>
                <w:highlight w:val="none"/>
              </w:rPr>
            </w:pPr>
            <w:r>
              <w:rPr>
                <w:rFonts w:hint="eastAsia"/>
                <w:highlight w:val="none"/>
              </w:rPr>
              <w:t>是否需要演示：</w:t>
            </w:r>
          </w:p>
          <w:p w14:paraId="001A7571">
            <w:pPr>
              <w:bidi w:val="0"/>
              <w:rPr>
                <w:highlight w:val="none"/>
              </w:rPr>
            </w:pPr>
            <w:r>
              <w:rPr>
                <w:rFonts w:hint="eastAsia"/>
                <w:highlight w:val="none"/>
                <w:lang w:eastAsia="zh-CN"/>
              </w:rPr>
              <w:t>☑</w:t>
            </w:r>
            <w:r>
              <w:rPr>
                <w:rFonts w:hint="eastAsia"/>
                <w:highlight w:val="none"/>
              </w:rPr>
              <w:t>不需演示。</w:t>
            </w:r>
          </w:p>
          <w:p w14:paraId="2084444D">
            <w:pPr>
              <w:bidi w:val="0"/>
              <w:rPr>
                <w:highlight w:val="none"/>
              </w:rPr>
            </w:pPr>
            <w:r>
              <w:rPr>
                <w:rFonts w:hint="eastAsia"/>
                <w:highlight w:val="none"/>
              </w:rPr>
              <w:t>□需要演示</w:t>
            </w:r>
          </w:p>
          <w:p w14:paraId="0807EAED">
            <w:pPr>
              <w:bidi w:val="0"/>
              <w:rPr>
                <w:highlight w:val="none"/>
              </w:rPr>
            </w:pPr>
            <w:r>
              <w:rPr>
                <w:rFonts w:hint="eastAsia"/>
                <w:highlight w:val="none"/>
              </w:rPr>
              <w:t>演示时间：                    ，地点：                  。</w:t>
            </w:r>
          </w:p>
        </w:tc>
      </w:tr>
      <w:tr w14:paraId="63EBC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E992C27">
            <w:pPr>
              <w:pStyle w:val="34"/>
              <w:bidi w:val="0"/>
              <w:jc w:val="left"/>
              <w:rPr>
                <w:highlight w:val="none"/>
              </w:rPr>
            </w:pPr>
            <w:r>
              <w:rPr>
                <w:rFonts w:hint="eastAsia"/>
                <w:highlight w:val="none"/>
              </w:rPr>
              <w:t>6</w:t>
            </w:r>
          </w:p>
        </w:tc>
        <w:tc>
          <w:tcPr>
            <w:tcW w:w="8427" w:type="dxa"/>
            <w:tcBorders>
              <w:top w:val="single" w:color="auto" w:sz="4" w:space="0"/>
              <w:left w:val="single" w:color="auto" w:sz="4" w:space="0"/>
              <w:bottom w:val="single" w:color="auto" w:sz="4" w:space="0"/>
              <w:right w:val="single" w:color="auto" w:sz="4" w:space="0"/>
            </w:tcBorders>
            <w:vAlign w:val="center"/>
          </w:tcPr>
          <w:p w14:paraId="39814539">
            <w:pPr>
              <w:bidi w:val="0"/>
              <w:rPr>
                <w:highlight w:val="none"/>
              </w:rPr>
            </w:pPr>
            <w:r>
              <w:rPr>
                <w:rFonts w:hint="eastAsia"/>
                <w:highlight w:val="none"/>
              </w:rPr>
              <w:t>联合体投标：</w:t>
            </w:r>
          </w:p>
          <w:p w14:paraId="1DA0C9B8">
            <w:pPr>
              <w:bidi w:val="0"/>
              <w:rPr>
                <w:highlight w:val="none"/>
              </w:rPr>
            </w:pPr>
            <w:r>
              <w:rPr>
                <w:rFonts w:hint="eastAsia"/>
                <w:highlight w:val="none"/>
              </w:rPr>
              <w:t>□接受联合体投标。</w:t>
            </w:r>
          </w:p>
          <w:p w14:paraId="1E0DE358">
            <w:pPr>
              <w:bidi w:val="0"/>
              <w:rPr>
                <w:highlight w:val="none"/>
              </w:rPr>
            </w:pPr>
            <w:r>
              <w:rPr>
                <w:rFonts w:hint="eastAsia"/>
                <w:highlight w:val="none"/>
                <w:lang w:eastAsia="zh-CN"/>
              </w:rPr>
              <w:t>☑</w:t>
            </w:r>
            <w:r>
              <w:rPr>
                <w:rFonts w:hint="eastAsia"/>
                <w:highlight w:val="none"/>
              </w:rPr>
              <w:t>不接受联合体投标</w:t>
            </w:r>
          </w:p>
        </w:tc>
      </w:tr>
      <w:tr w14:paraId="3902C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822080C">
            <w:pPr>
              <w:pStyle w:val="34"/>
              <w:bidi w:val="0"/>
              <w:jc w:val="left"/>
              <w:rPr>
                <w:highlight w:val="none"/>
              </w:rPr>
            </w:pPr>
            <w:r>
              <w:rPr>
                <w:rFonts w:hint="eastAsia"/>
                <w:highlight w:val="none"/>
              </w:rPr>
              <w:t>7</w:t>
            </w:r>
          </w:p>
        </w:tc>
        <w:tc>
          <w:tcPr>
            <w:tcW w:w="8427" w:type="dxa"/>
            <w:tcBorders>
              <w:top w:val="single" w:color="auto" w:sz="4" w:space="0"/>
              <w:left w:val="single" w:color="auto" w:sz="4" w:space="0"/>
              <w:bottom w:val="single" w:color="auto" w:sz="4" w:space="0"/>
              <w:right w:val="single" w:color="auto" w:sz="4" w:space="0"/>
            </w:tcBorders>
            <w:vAlign w:val="center"/>
          </w:tcPr>
          <w:p w14:paraId="2197164D">
            <w:pPr>
              <w:bidi w:val="0"/>
              <w:rPr>
                <w:highlight w:val="none"/>
              </w:rPr>
            </w:pPr>
            <w:r>
              <w:rPr>
                <w:rFonts w:hint="eastAsia"/>
                <w:highlight w:val="none"/>
              </w:rPr>
              <w:t>是否允许分包：</w:t>
            </w:r>
          </w:p>
          <w:p w14:paraId="25C59879">
            <w:pPr>
              <w:bidi w:val="0"/>
              <w:rPr>
                <w:highlight w:val="none"/>
              </w:rPr>
            </w:pPr>
            <w:r>
              <w:rPr>
                <w:rFonts w:hint="eastAsia"/>
                <w:highlight w:val="none"/>
                <w:lang w:eastAsia="zh-CN"/>
              </w:rPr>
              <w:t>☑</w:t>
            </w:r>
            <w:r>
              <w:rPr>
                <w:rFonts w:hint="eastAsia"/>
                <w:highlight w:val="none"/>
              </w:rPr>
              <w:t>不允许分包</w:t>
            </w:r>
          </w:p>
          <w:p w14:paraId="72688998">
            <w:pPr>
              <w:bidi w:val="0"/>
              <w:rPr>
                <w:highlight w:val="none"/>
              </w:rPr>
            </w:pPr>
            <w:r>
              <w:rPr>
                <w:rFonts w:hint="eastAsia"/>
                <w:highlight w:val="none"/>
              </w:rPr>
              <w:t>□允许分包</w:t>
            </w:r>
          </w:p>
          <w:p w14:paraId="1C06C521">
            <w:pPr>
              <w:bidi w:val="0"/>
              <w:rPr>
                <w:highlight w:val="none"/>
              </w:rPr>
            </w:pPr>
            <w:r>
              <w:rPr>
                <w:rFonts w:hint="eastAsia"/>
                <w:highlight w:val="none"/>
              </w:rPr>
              <w:t>分包内容：                       。</w:t>
            </w:r>
          </w:p>
        </w:tc>
      </w:tr>
      <w:tr w14:paraId="47777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8F05C95">
            <w:pPr>
              <w:pStyle w:val="34"/>
              <w:bidi w:val="0"/>
              <w:jc w:val="left"/>
              <w:rPr>
                <w:highlight w:val="none"/>
              </w:rPr>
            </w:pPr>
            <w:r>
              <w:rPr>
                <w:rFonts w:hint="eastAsia"/>
                <w:highlight w:val="none"/>
              </w:rPr>
              <w:t>8</w:t>
            </w:r>
          </w:p>
        </w:tc>
        <w:tc>
          <w:tcPr>
            <w:tcW w:w="8427" w:type="dxa"/>
            <w:tcBorders>
              <w:top w:val="single" w:color="auto" w:sz="4" w:space="0"/>
              <w:left w:val="single" w:color="auto" w:sz="4" w:space="0"/>
              <w:bottom w:val="single" w:color="auto" w:sz="4" w:space="0"/>
              <w:right w:val="single" w:color="auto" w:sz="4" w:space="0"/>
            </w:tcBorders>
            <w:vAlign w:val="center"/>
          </w:tcPr>
          <w:p w14:paraId="0D9EB26B">
            <w:pPr>
              <w:bidi w:val="0"/>
              <w:rPr>
                <w:highlight w:val="none"/>
              </w:rPr>
            </w:pPr>
            <w:r>
              <w:rPr>
                <w:rFonts w:hint="eastAsia"/>
                <w:highlight w:val="none"/>
              </w:rPr>
              <w:t>投标文件组成：资格文件、商务文件、报价文件、技术文件。</w:t>
            </w:r>
          </w:p>
        </w:tc>
      </w:tr>
      <w:tr w14:paraId="7A256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3B5ACA0A">
            <w:pPr>
              <w:pStyle w:val="34"/>
              <w:bidi w:val="0"/>
              <w:jc w:val="left"/>
              <w:rPr>
                <w:highlight w:val="none"/>
              </w:rPr>
            </w:pPr>
            <w:r>
              <w:rPr>
                <w:rFonts w:hint="eastAsia"/>
                <w:highlight w:val="none"/>
              </w:rPr>
              <w:t>9</w:t>
            </w:r>
          </w:p>
        </w:tc>
        <w:tc>
          <w:tcPr>
            <w:tcW w:w="8427" w:type="dxa"/>
            <w:tcBorders>
              <w:top w:val="single" w:color="auto" w:sz="4" w:space="0"/>
              <w:left w:val="single" w:color="auto" w:sz="4" w:space="0"/>
              <w:bottom w:val="single" w:color="auto" w:sz="4" w:space="0"/>
              <w:right w:val="single" w:color="auto" w:sz="4" w:space="0"/>
            </w:tcBorders>
            <w:vAlign w:val="center"/>
          </w:tcPr>
          <w:p w14:paraId="13C3752B">
            <w:pPr>
              <w:bidi w:val="0"/>
              <w:rPr>
                <w:highlight w:val="none"/>
              </w:rPr>
            </w:pPr>
            <w:r>
              <w:rPr>
                <w:rFonts w:hint="eastAsia"/>
                <w:highlight w:val="none"/>
              </w:rPr>
              <w:t>答疑与澄清：投标人如认为招标文件表述不清晰、存在歧视性、排他性或者其他违法内容的，应以书面形式要求招标采购单位作出书面解释、澄清；答疑内容是招标文件的组成部份，并将以书面形式通知（在“投标人须知前附表”规定的发布媒体上发布更正公告）所有获取招标文件的潜在投标人；招标采购单位可以视采购具体情况，延长投标截止时间和开标时间，将变更时间书面通知所有招标文件收受人，并在财政部门指定的政府采购信息发布媒体上发布更正公告。</w:t>
            </w:r>
          </w:p>
        </w:tc>
      </w:tr>
      <w:tr w14:paraId="3D7CE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18F72F9">
            <w:pPr>
              <w:pStyle w:val="34"/>
              <w:bidi w:val="0"/>
              <w:jc w:val="left"/>
              <w:rPr>
                <w:highlight w:val="none"/>
              </w:rPr>
            </w:pPr>
            <w:r>
              <w:rPr>
                <w:rFonts w:hint="eastAsia"/>
                <w:highlight w:val="none"/>
              </w:rPr>
              <w:t>10</w:t>
            </w:r>
          </w:p>
        </w:tc>
        <w:tc>
          <w:tcPr>
            <w:tcW w:w="8427" w:type="dxa"/>
            <w:tcBorders>
              <w:top w:val="single" w:color="auto" w:sz="4" w:space="0"/>
              <w:left w:val="single" w:color="auto" w:sz="4" w:space="0"/>
              <w:bottom w:val="single" w:color="auto" w:sz="4" w:space="0"/>
              <w:right w:val="single" w:color="auto" w:sz="4" w:space="0"/>
            </w:tcBorders>
            <w:vAlign w:val="center"/>
          </w:tcPr>
          <w:p w14:paraId="0495B7DA">
            <w:pPr>
              <w:bidi w:val="0"/>
              <w:rPr>
                <w:highlight w:val="none"/>
              </w:rPr>
            </w:pPr>
            <w:r>
              <w:rPr>
                <w:rFonts w:hint="eastAsia"/>
                <w:highlight w:val="none"/>
              </w:rPr>
              <w:t>投标报价须小于等于</w:t>
            </w:r>
            <w:r>
              <w:rPr>
                <w:rFonts w:hint="eastAsia"/>
                <w:highlight w:val="none"/>
                <w:lang w:val="en-US" w:eastAsia="zh-CN"/>
              </w:rPr>
              <w:t>采购预算</w:t>
            </w:r>
            <w:r>
              <w:rPr>
                <w:rFonts w:hint="eastAsia"/>
                <w:highlight w:val="none"/>
              </w:rPr>
              <w:t>，否则投标无效。</w:t>
            </w:r>
          </w:p>
        </w:tc>
      </w:tr>
      <w:tr w14:paraId="3ACC1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73416B30">
            <w:pPr>
              <w:pStyle w:val="34"/>
              <w:bidi w:val="0"/>
              <w:jc w:val="left"/>
              <w:rPr>
                <w:highlight w:val="none"/>
              </w:rPr>
            </w:pPr>
            <w:r>
              <w:rPr>
                <w:rFonts w:hint="eastAsia"/>
                <w:highlight w:val="none"/>
              </w:rPr>
              <w:t>11</w:t>
            </w:r>
          </w:p>
        </w:tc>
        <w:tc>
          <w:tcPr>
            <w:tcW w:w="8427" w:type="dxa"/>
            <w:tcBorders>
              <w:top w:val="single" w:color="auto" w:sz="4" w:space="0"/>
              <w:left w:val="single" w:color="auto" w:sz="4" w:space="0"/>
              <w:bottom w:val="single" w:color="auto" w:sz="4" w:space="0"/>
              <w:right w:val="single" w:color="auto" w:sz="4" w:space="0"/>
            </w:tcBorders>
            <w:vAlign w:val="center"/>
          </w:tcPr>
          <w:p w14:paraId="7987998C">
            <w:pPr>
              <w:bidi w:val="0"/>
              <w:rPr>
                <w:rFonts w:hint="eastAsia"/>
                <w:highlight w:val="none"/>
              </w:rPr>
            </w:pPr>
            <w:r>
              <w:rPr>
                <w:rFonts w:hint="eastAsia"/>
                <w:highlight w:val="none"/>
              </w:rPr>
              <w:t>投标报价及费用：</w:t>
            </w:r>
          </w:p>
          <w:p w14:paraId="32706B4B">
            <w:pPr>
              <w:bidi w:val="0"/>
              <w:rPr>
                <w:rFonts w:hint="eastAsia"/>
                <w:highlight w:val="none"/>
              </w:rPr>
            </w:pPr>
            <w:r>
              <w:rPr>
                <w:rFonts w:hint="eastAsia"/>
                <w:highlight w:val="none"/>
                <w:lang w:val="en-US" w:eastAsia="zh-CN"/>
              </w:rPr>
              <w:t>1、</w:t>
            </w:r>
            <w:r>
              <w:rPr>
                <w:rFonts w:hint="eastAsia"/>
                <w:highlight w:val="none"/>
              </w:rPr>
              <w:t>本项目投标应以人民币报价；</w:t>
            </w:r>
          </w:p>
          <w:p w14:paraId="3D0FA8E8">
            <w:pPr>
              <w:bidi w:val="0"/>
              <w:rPr>
                <w:rFonts w:hint="eastAsia"/>
                <w:highlight w:val="none"/>
              </w:rPr>
            </w:pPr>
            <w:r>
              <w:rPr>
                <w:rFonts w:hint="eastAsia"/>
                <w:highlight w:val="none"/>
                <w:lang w:val="en-US" w:eastAsia="zh-CN"/>
              </w:rPr>
              <w:t>2、</w:t>
            </w:r>
            <w:r>
              <w:rPr>
                <w:rFonts w:hint="eastAsia"/>
                <w:highlight w:val="none"/>
              </w:rPr>
              <w:t>不论投标结果如何，投标人均应自行承担所有与投标有关的全部费用；</w:t>
            </w:r>
          </w:p>
          <w:p w14:paraId="59234BD6">
            <w:pPr>
              <w:bidi w:val="0"/>
              <w:rPr>
                <w:rFonts w:hint="eastAsia"/>
                <w:highlight w:val="none"/>
              </w:rPr>
            </w:pPr>
            <w:r>
              <w:rPr>
                <w:rFonts w:hint="eastAsia"/>
                <w:highlight w:val="none"/>
              </w:rPr>
              <w:t>3、采购代理费收取标准：</w:t>
            </w:r>
          </w:p>
          <w:p w14:paraId="0BE7C605">
            <w:pPr>
              <w:bidi w:val="0"/>
              <w:rPr>
                <w:rFonts w:hint="eastAsia"/>
                <w:highlight w:val="none"/>
              </w:rPr>
            </w:pPr>
            <w:r>
              <w:rPr>
                <w:rFonts w:hint="eastAsia"/>
                <w:highlight w:val="none"/>
              </w:rPr>
              <w:t>以（</w:t>
            </w:r>
            <w:r>
              <w:rPr>
                <w:rFonts w:hint="eastAsia"/>
                <w:highlight w:val="none"/>
                <w:lang w:eastAsia="zh-CN"/>
              </w:rPr>
              <w:t>☑</w:t>
            </w:r>
            <w:r>
              <w:rPr>
                <w:rFonts w:hint="eastAsia"/>
                <w:highlight w:val="none"/>
              </w:rPr>
              <w:t>成交金额/</w:t>
            </w:r>
            <w:r>
              <w:rPr>
                <w:rFonts w:hint="eastAsia"/>
                <w:highlight w:val="none"/>
                <w:lang w:eastAsia="zh-CN"/>
              </w:rPr>
              <w:t>□</w:t>
            </w:r>
            <w:r>
              <w:rPr>
                <w:rFonts w:hint="eastAsia"/>
                <w:highlight w:val="none"/>
              </w:rPr>
              <w:t>采购预算/□暂定成交金额/□其他）为计费额，按本须知正文</w:t>
            </w:r>
            <w:r>
              <w:rPr>
                <w:rFonts w:hint="eastAsia"/>
                <w:highlight w:val="none"/>
                <w:lang w:eastAsia="zh-CN"/>
              </w:rPr>
              <w:t>“</w:t>
            </w:r>
            <w:r>
              <w:rPr>
                <w:rFonts w:hint="eastAsia"/>
                <w:highlight w:val="none"/>
              </w:rPr>
              <w:t>九、其他事项</w:t>
            </w:r>
            <w:r>
              <w:rPr>
                <w:rFonts w:hint="eastAsia"/>
                <w:highlight w:val="none"/>
                <w:lang w:eastAsia="zh-CN"/>
              </w:rPr>
              <w:t>”</w:t>
            </w:r>
            <w:r>
              <w:rPr>
                <w:rFonts w:hint="eastAsia"/>
                <w:highlight w:val="none"/>
              </w:rPr>
              <w:t>规定的（</w:t>
            </w:r>
            <w:r>
              <w:rPr>
                <w:rFonts w:hint="eastAsia"/>
                <w:highlight w:val="none"/>
                <w:lang w:eastAsia="zh-CN"/>
              </w:rPr>
              <w:t>☑</w:t>
            </w:r>
            <w:r>
              <w:rPr>
                <w:rFonts w:hint="eastAsia"/>
                <w:highlight w:val="none"/>
              </w:rPr>
              <w:t>货物类/□服务类/□工程类）标准采用差额定率累进法计算出收费基准价格，采购代理收费以（</w:t>
            </w:r>
            <w:r>
              <w:rPr>
                <w:rFonts w:hint="eastAsia"/>
                <w:highlight w:val="none"/>
                <w:lang w:eastAsia="zh-CN"/>
              </w:rPr>
              <w:t>☑</w:t>
            </w:r>
            <w:r>
              <w:rPr>
                <w:rFonts w:hint="eastAsia"/>
                <w:highlight w:val="none"/>
              </w:rPr>
              <w:t>收费基准价格/收费基准价格下浮20%/□收费基准价格上浮   %）收取。</w:t>
            </w:r>
            <w:r>
              <w:rPr>
                <w:rFonts w:hint="eastAsia"/>
                <w:highlight w:val="none"/>
                <w:lang w:eastAsia="zh-CN"/>
              </w:rPr>
              <w:t>□</w:t>
            </w:r>
            <w:r>
              <w:rPr>
                <w:rFonts w:hint="eastAsia"/>
                <w:highlight w:val="none"/>
              </w:rPr>
              <w:t>固定采购代理收费。</w:t>
            </w:r>
          </w:p>
          <w:p w14:paraId="2C5FA518">
            <w:pPr>
              <w:bidi w:val="0"/>
              <w:rPr>
                <w:rFonts w:hint="eastAsia" w:eastAsia="宋体"/>
                <w:highlight w:val="none"/>
                <w:lang w:eastAsia="zh-CN"/>
              </w:rPr>
            </w:pPr>
            <w:r>
              <w:rPr>
                <w:rFonts w:hint="eastAsia"/>
                <w:highlight w:val="none"/>
              </w:rPr>
              <w:t>采购代理费收取银行账户</w:t>
            </w:r>
            <w:r>
              <w:rPr>
                <w:rFonts w:hint="eastAsia"/>
                <w:highlight w:val="none"/>
                <w:lang w:eastAsia="zh-CN"/>
              </w:rPr>
              <w:t>：</w:t>
            </w:r>
          </w:p>
          <w:p w14:paraId="39331437">
            <w:pPr>
              <w:bidi w:val="0"/>
              <w:rPr>
                <w:rFonts w:hint="eastAsia"/>
                <w:highlight w:val="none"/>
              </w:rPr>
            </w:pPr>
            <w:r>
              <w:rPr>
                <w:rFonts w:hint="eastAsia"/>
                <w:highlight w:val="none"/>
              </w:rPr>
              <w:t>开户名称：广西德元工程项目管理有限责任公司</w:t>
            </w:r>
          </w:p>
          <w:p w14:paraId="125630E4">
            <w:pPr>
              <w:bidi w:val="0"/>
              <w:rPr>
                <w:rFonts w:hint="eastAsia"/>
                <w:highlight w:val="none"/>
              </w:rPr>
            </w:pPr>
            <w:r>
              <w:rPr>
                <w:rFonts w:hint="eastAsia"/>
                <w:highlight w:val="none"/>
              </w:rPr>
              <w:t>开户行：中国建设银行股份有限公司南宁青秀万达广场支行</w:t>
            </w:r>
          </w:p>
          <w:p w14:paraId="206FC8D5">
            <w:pPr>
              <w:bidi w:val="0"/>
              <w:rPr>
                <w:highlight w:val="none"/>
              </w:rPr>
            </w:pPr>
            <w:r>
              <w:rPr>
                <w:rFonts w:hint="eastAsia"/>
                <w:highlight w:val="none"/>
              </w:rPr>
              <w:t>银行帐号：45050110720909678888</w:t>
            </w:r>
          </w:p>
        </w:tc>
      </w:tr>
      <w:tr w14:paraId="58ACD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136D241">
            <w:pPr>
              <w:pStyle w:val="34"/>
              <w:bidi w:val="0"/>
              <w:jc w:val="left"/>
              <w:rPr>
                <w:highlight w:val="none"/>
              </w:rPr>
            </w:pPr>
            <w:r>
              <w:rPr>
                <w:rFonts w:hint="eastAsia"/>
                <w:highlight w:val="none"/>
              </w:rPr>
              <w:t>12</w:t>
            </w:r>
          </w:p>
        </w:tc>
        <w:tc>
          <w:tcPr>
            <w:tcW w:w="8427" w:type="dxa"/>
            <w:tcBorders>
              <w:top w:val="single" w:color="auto" w:sz="4" w:space="0"/>
              <w:left w:val="single" w:color="auto" w:sz="4" w:space="0"/>
              <w:bottom w:val="single" w:color="auto" w:sz="4" w:space="0"/>
              <w:right w:val="single" w:color="auto" w:sz="4" w:space="0"/>
            </w:tcBorders>
            <w:vAlign w:val="center"/>
          </w:tcPr>
          <w:p w14:paraId="3FE6CDE0">
            <w:pPr>
              <w:bidi w:val="0"/>
              <w:rPr>
                <w:highlight w:val="none"/>
              </w:rPr>
            </w:pPr>
            <w:r>
              <w:rPr>
                <w:highlight w:val="none"/>
              </w:rPr>
              <w:t>提交投标文件截止时间：</w:t>
            </w:r>
            <w:r>
              <w:rPr>
                <w:rFonts w:hint="eastAsia"/>
                <w:highlight w:val="none"/>
                <w:lang w:val="en-US" w:eastAsia="zh-CN"/>
              </w:rPr>
              <w:t>2025</w:t>
            </w:r>
            <w:r>
              <w:rPr>
                <w:highlight w:val="none"/>
              </w:rPr>
              <w:t>年</w:t>
            </w:r>
            <w:r>
              <w:rPr>
                <w:rFonts w:hint="eastAsia"/>
                <w:highlight w:val="none"/>
                <w:lang w:val="en-US" w:eastAsia="zh-CN"/>
              </w:rPr>
              <w:t>07</w:t>
            </w:r>
            <w:r>
              <w:rPr>
                <w:highlight w:val="none"/>
              </w:rPr>
              <w:t>月</w:t>
            </w:r>
            <w:r>
              <w:rPr>
                <w:rFonts w:hint="eastAsia"/>
                <w:highlight w:val="none"/>
                <w:lang w:val="en-US" w:eastAsia="zh-CN"/>
              </w:rPr>
              <w:t>02</w:t>
            </w:r>
            <w:r>
              <w:rPr>
                <w:highlight w:val="none"/>
              </w:rPr>
              <w:t>日 09:30（北京时间）</w:t>
            </w:r>
          </w:p>
          <w:p w14:paraId="73736A9A">
            <w:pPr>
              <w:bidi w:val="0"/>
              <w:rPr>
                <w:highlight w:val="none"/>
              </w:rPr>
            </w:pPr>
            <w:r>
              <w:rPr>
                <w:highlight w:val="none"/>
              </w:rPr>
              <w:t>投标地点（网址）：</w:t>
            </w:r>
            <w:r>
              <w:rPr>
                <w:rFonts w:hint="eastAsia"/>
                <w:highlight w:val="none"/>
              </w:rPr>
              <w:t>登录“政采云”平台在线提交。</w:t>
            </w:r>
          </w:p>
          <w:p w14:paraId="6559589A">
            <w:pPr>
              <w:bidi w:val="0"/>
              <w:rPr>
                <w:highlight w:val="none"/>
              </w:rPr>
            </w:pPr>
            <w:r>
              <w:rPr>
                <w:highlight w:val="none"/>
              </w:rPr>
              <w:t>开标时间：</w:t>
            </w:r>
            <w:r>
              <w:rPr>
                <w:rFonts w:hint="eastAsia"/>
                <w:highlight w:val="none"/>
                <w:lang w:val="en-US" w:eastAsia="zh-CN"/>
              </w:rPr>
              <w:t>2025</w:t>
            </w:r>
            <w:r>
              <w:rPr>
                <w:highlight w:val="none"/>
              </w:rPr>
              <w:t>年</w:t>
            </w:r>
            <w:r>
              <w:rPr>
                <w:rFonts w:hint="eastAsia"/>
                <w:highlight w:val="none"/>
                <w:lang w:val="en-US" w:eastAsia="zh-CN"/>
              </w:rPr>
              <w:t>07</w:t>
            </w:r>
            <w:r>
              <w:rPr>
                <w:highlight w:val="none"/>
              </w:rPr>
              <w:t>月</w:t>
            </w:r>
            <w:r>
              <w:rPr>
                <w:rFonts w:hint="eastAsia"/>
                <w:highlight w:val="none"/>
                <w:lang w:val="en-US" w:eastAsia="zh-CN"/>
              </w:rPr>
              <w:t>02</w:t>
            </w:r>
            <w:r>
              <w:rPr>
                <w:highlight w:val="none"/>
              </w:rPr>
              <w:t>日09:30</w:t>
            </w:r>
          </w:p>
          <w:p w14:paraId="63BA0F1B">
            <w:pPr>
              <w:bidi w:val="0"/>
              <w:rPr>
                <w:highlight w:val="none"/>
              </w:rPr>
            </w:pPr>
            <w:r>
              <w:rPr>
                <w:highlight w:val="none"/>
              </w:rPr>
              <w:t>开标地点：</w:t>
            </w:r>
            <w:r>
              <w:rPr>
                <w:rFonts w:hint="eastAsia"/>
                <w:highlight w:val="none"/>
              </w:rPr>
              <w:t>本次招标在“政采云”平台电子开标大厅开标。</w:t>
            </w:r>
          </w:p>
          <w:p w14:paraId="7389D557">
            <w:pPr>
              <w:bidi w:val="0"/>
              <w:rPr>
                <w:highlight w:val="none"/>
              </w:rPr>
            </w:pPr>
            <w:r>
              <w:rPr>
                <w:highlight w:val="none"/>
              </w:rPr>
              <w:t xml:space="preserve">CA </w:t>
            </w:r>
            <w:r>
              <w:rPr>
                <w:rFonts w:hint="eastAsia"/>
                <w:highlight w:val="none"/>
              </w:rPr>
              <w:t>证书在线解密：供应商投标时，需携带制作投标文件时用来加密的有效数字证书（</w:t>
            </w:r>
            <w:r>
              <w:rPr>
                <w:highlight w:val="none"/>
              </w:rPr>
              <w:t xml:space="preserve">CA </w:t>
            </w:r>
            <w:r>
              <w:rPr>
                <w:rFonts w:hint="eastAsia"/>
                <w:highlight w:val="none"/>
              </w:rPr>
              <w:t>认证）登录“政采云”平台电子开标大厅现场按规定时间对加密的投标文件进行解密，否则后果自负。</w:t>
            </w:r>
          </w:p>
          <w:p w14:paraId="64A42DFB">
            <w:pPr>
              <w:bidi w:val="0"/>
              <w:rPr>
                <w:highlight w:val="none"/>
              </w:rPr>
            </w:pPr>
            <w:r>
              <w:rPr>
                <w:rFonts w:hint="eastAsia"/>
                <w:highlight w:val="none"/>
              </w:rPr>
              <w:t>供应商应当在首次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tc>
      </w:tr>
      <w:tr w14:paraId="68ABF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3AE2B2A8">
            <w:pPr>
              <w:pStyle w:val="34"/>
              <w:bidi w:val="0"/>
              <w:jc w:val="left"/>
              <w:rPr>
                <w:highlight w:val="none"/>
              </w:rPr>
            </w:pPr>
            <w:r>
              <w:rPr>
                <w:rFonts w:hint="eastAsia"/>
                <w:highlight w:val="none"/>
              </w:rPr>
              <w:t>13</w:t>
            </w:r>
          </w:p>
        </w:tc>
        <w:tc>
          <w:tcPr>
            <w:tcW w:w="8427" w:type="dxa"/>
            <w:tcBorders>
              <w:top w:val="single" w:color="auto" w:sz="4" w:space="0"/>
              <w:left w:val="single" w:color="auto" w:sz="4" w:space="0"/>
              <w:bottom w:val="single" w:color="auto" w:sz="4" w:space="0"/>
              <w:right w:val="single" w:color="auto" w:sz="4" w:space="0"/>
            </w:tcBorders>
            <w:vAlign w:val="center"/>
          </w:tcPr>
          <w:p w14:paraId="3DBDA01B">
            <w:pPr>
              <w:bidi w:val="0"/>
              <w:rPr>
                <w:highlight w:val="none"/>
              </w:rPr>
            </w:pPr>
            <w:r>
              <w:rPr>
                <w:rFonts w:hint="eastAsia"/>
                <w:highlight w:val="none"/>
              </w:rPr>
              <w:t>评标办法及评分标准：综合评分法</w:t>
            </w:r>
          </w:p>
        </w:tc>
      </w:tr>
      <w:tr w14:paraId="51828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7D3C0E7A">
            <w:pPr>
              <w:pStyle w:val="34"/>
              <w:bidi w:val="0"/>
              <w:jc w:val="left"/>
              <w:rPr>
                <w:highlight w:val="none"/>
              </w:rPr>
            </w:pPr>
            <w:r>
              <w:rPr>
                <w:rFonts w:hint="eastAsia"/>
                <w:highlight w:val="none"/>
              </w:rPr>
              <w:t>14</w:t>
            </w:r>
          </w:p>
        </w:tc>
        <w:tc>
          <w:tcPr>
            <w:tcW w:w="8427" w:type="dxa"/>
            <w:tcBorders>
              <w:top w:val="single" w:color="auto" w:sz="4" w:space="0"/>
              <w:left w:val="single" w:color="auto" w:sz="4" w:space="0"/>
              <w:bottom w:val="single" w:color="auto" w:sz="4" w:space="0"/>
              <w:right w:val="single" w:color="auto" w:sz="4" w:space="0"/>
            </w:tcBorders>
            <w:vAlign w:val="center"/>
          </w:tcPr>
          <w:p w14:paraId="15A74890">
            <w:pPr>
              <w:bidi w:val="0"/>
              <w:rPr>
                <w:highlight w:val="none"/>
              </w:rPr>
            </w:pPr>
            <w:r>
              <w:rPr>
                <w:rFonts w:hint="eastAsia"/>
                <w:highlight w:val="none"/>
              </w:rPr>
              <w:t>发布媒体：www.ccgp.gov.cn（中国政府采购网）、 zfcg.gxzf.gov.cn (广西壮族自治区政府采购网)。</w:t>
            </w:r>
          </w:p>
        </w:tc>
      </w:tr>
      <w:tr w14:paraId="112B4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0072FD6">
            <w:pPr>
              <w:pStyle w:val="34"/>
              <w:bidi w:val="0"/>
              <w:jc w:val="left"/>
              <w:rPr>
                <w:highlight w:val="none"/>
              </w:rPr>
            </w:pPr>
            <w:r>
              <w:rPr>
                <w:rFonts w:hint="eastAsia"/>
                <w:highlight w:val="none"/>
              </w:rPr>
              <w:t>15</w:t>
            </w:r>
          </w:p>
        </w:tc>
        <w:tc>
          <w:tcPr>
            <w:tcW w:w="8427" w:type="dxa"/>
            <w:tcBorders>
              <w:top w:val="single" w:color="auto" w:sz="4" w:space="0"/>
              <w:left w:val="single" w:color="auto" w:sz="4" w:space="0"/>
              <w:bottom w:val="single" w:color="auto" w:sz="4" w:space="0"/>
              <w:right w:val="single" w:color="auto" w:sz="4" w:space="0"/>
            </w:tcBorders>
            <w:vAlign w:val="center"/>
          </w:tcPr>
          <w:p w14:paraId="1DAA5466">
            <w:pPr>
              <w:bidi w:val="0"/>
              <w:rPr>
                <w:highlight w:val="none"/>
              </w:rPr>
            </w:pPr>
            <w:r>
              <w:rPr>
                <w:rFonts w:hint="eastAsia"/>
                <w:highlight w:val="none"/>
              </w:rPr>
              <w:t>中标公告及中标通知书：中标供应商确定后，采购代理机构或采购人须在“信用中国”网站（</w:t>
            </w:r>
            <w:r>
              <w:rPr>
                <w:highlight w:val="none"/>
              </w:rPr>
              <w:t>www.creditchina.gov.cn</w:t>
            </w:r>
            <w:r>
              <w:rPr>
                <w:rFonts w:hint="eastAsia"/>
                <w:highlight w:val="none"/>
              </w:rPr>
              <w:t>）和中国政府采购网（</w:t>
            </w:r>
            <w:r>
              <w:rPr>
                <w:highlight w:val="none"/>
              </w:rPr>
              <w:t>http://www.ccgp.gov.cn/</w:t>
            </w:r>
            <w:r>
              <w:rPr>
                <w:rFonts w:hint="eastAsia"/>
                <w:highlight w:val="none"/>
              </w:rPr>
              <w:t>）查询中标供应商主体信用记录，如其未被列入失信被执行人、</w:t>
            </w:r>
            <w:r>
              <w:rPr>
                <w:rFonts w:hint="eastAsia"/>
                <w:highlight w:val="none"/>
                <w:lang w:eastAsia="zh-CN"/>
              </w:rPr>
              <w:t>重大税收违法失信主体名单</w:t>
            </w:r>
            <w:r>
              <w:rPr>
                <w:rFonts w:hint="eastAsia"/>
                <w:highlight w:val="none"/>
              </w:rPr>
              <w:t>、政府采购严重违法失信行为记录名单，则采购代理机构在中国政府采购网、广西政府采购网发布中标公告同时向中标供应商发出中标通知书；如其被列入失信被执行人、</w:t>
            </w:r>
            <w:r>
              <w:rPr>
                <w:rFonts w:hint="eastAsia"/>
                <w:highlight w:val="none"/>
                <w:lang w:eastAsia="zh-CN"/>
              </w:rPr>
              <w:t>重大税收违法失信主体名单</w:t>
            </w:r>
            <w:r>
              <w:rPr>
                <w:rFonts w:hint="eastAsia"/>
                <w:highlight w:val="none"/>
              </w:rPr>
              <w:t>、政府采购严重违法失信行为记录名单，则取消其中标资格，</w:t>
            </w:r>
            <w:r>
              <w:rPr>
                <w:highlight w:val="none"/>
              </w:rPr>
              <w:t>并确定排名第二的中标候选人为中标人。排名第二的中标候选人因前款规定的同样原因被取消中标资格的，采购人可以确定排名第三的中标候选人为中标人</w:t>
            </w:r>
            <w:r>
              <w:rPr>
                <w:rFonts w:hint="eastAsia"/>
                <w:highlight w:val="none"/>
              </w:rPr>
              <w:t>。</w:t>
            </w:r>
            <w:r>
              <w:rPr>
                <w:highlight w:val="none"/>
              </w:rPr>
              <w:t>以上信息查询记录及相关证据与采购文件一并保存。</w:t>
            </w:r>
          </w:p>
        </w:tc>
      </w:tr>
      <w:tr w14:paraId="6D229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6AC26A2">
            <w:pPr>
              <w:pStyle w:val="34"/>
              <w:bidi w:val="0"/>
              <w:jc w:val="left"/>
              <w:rPr>
                <w:highlight w:val="none"/>
              </w:rPr>
            </w:pPr>
            <w:r>
              <w:rPr>
                <w:rFonts w:hint="eastAsia"/>
                <w:highlight w:val="none"/>
              </w:rPr>
              <w:t>16</w:t>
            </w:r>
          </w:p>
        </w:tc>
        <w:tc>
          <w:tcPr>
            <w:tcW w:w="8427" w:type="dxa"/>
            <w:tcBorders>
              <w:top w:val="single" w:color="auto" w:sz="4" w:space="0"/>
              <w:left w:val="single" w:color="auto" w:sz="4" w:space="0"/>
              <w:bottom w:val="single" w:color="auto" w:sz="4" w:space="0"/>
              <w:right w:val="single" w:color="auto" w:sz="4" w:space="0"/>
            </w:tcBorders>
            <w:vAlign w:val="center"/>
          </w:tcPr>
          <w:p w14:paraId="260D954E">
            <w:pPr>
              <w:bidi w:val="0"/>
              <w:rPr>
                <w:highlight w:val="none"/>
              </w:rPr>
            </w:pPr>
            <w:r>
              <w:rPr>
                <w:rFonts w:hint="eastAsia"/>
                <w:highlight w:val="none"/>
              </w:rPr>
              <w:t>签订合同时间：中标通知书发出之日起二十五日内。</w:t>
            </w:r>
          </w:p>
        </w:tc>
      </w:tr>
      <w:tr w14:paraId="0E193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5295A0F5">
            <w:pPr>
              <w:pStyle w:val="34"/>
              <w:bidi w:val="0"/>
              <w:jc w:val="left"/>
              <w:rPr>
                <w:highlight w:val="none"/>
              </w:rPr>
            </w:pPr>
            <w:r>
              <w:rPr>
                <w:rFonts w:hint="eastAsia"/>
                <w:highlight w:val="none"/>
              </w:rPr>
              <w:t>17</w:t>
            </w:r>
          </w:p>
        </w:tc>
        <w:tc>
          <w:tcPr>
            <w:tcW w:w="8427" w:type="dxa"/>
            <w:tcBorders>
              <w:top w:val="single" w:color="auto" w:sz="4" w:space="0"/>
              <w:left w:val="single" w:color="auto" w:sz="4" w:space="0"/>
              <w:bottom w:val="single" w:color="auto" w:sz="4" w:space="0"/>
              <w:right w:val="single" w:color="auto" w:sz="4" w:space="0"/>
            </w:tcBorders>
            <w:vAlign w:val="center"/>
          </w:tcPr>
          <w:p w14:paraId="42A975FE">
            <w:pPr>
              <w:bidi w:val="0"/>
              <w:rPr>
                <w:rFonts w:hint="eastAsia"/>
                <w:highlight w:val="none"/>
              </w:rPr>
            </w:pPr>
            <w:r>
              <w:rPr>
                <w:rFonts w:hint="eastAsia"/>
                <w:highlight w:val="none"/>
              </w:rPr>
              <w:t>□本项目不收取履约保证金。</w:t>
            </w:r>
          </w:p>
          <w:p w14:paraId="50CB22BA">
            <w:pPr>
              <w:bidi w:val="0"/>
              <w:rPr>
                <w:rFonts w:hint="eastAsia"/>
                <w:highlight w:val="none"/>
              </w:rPr>
            </w:pPr>
            <w:r>
              <w:rPr>
                <w:rFonts w:hint="eastAsia"/>
                <w:highlight w:val="none"/>
                <w:lang w:eastAsia="zh-CN"/>
              </w:rPr>
              <w:t>☑</w:t>
            </w:r>
            <w:r>
              <w:rPr>
                <w:rFonts w:hint="eastAsia"/>
                <w:highlight w:val="none"/>
              </w:rPr>
              <w:t>本项目收取履约保证金，具体规定如下：</w:t>
            </w:r>
          </w:p>
          <w:p w14:paraId="39C350BF">
            <w:pPr>
              <w:bidi w:val="0"/>
              <w:rPr>
                <w:rFonts w:hint="eastAsia"/>
                <w:highlight w:val="none"/>
              </w:rPr>
            </w:pPr>
            <w:r>
              <w:rPr>
                <w:rFonts w:hint="eastAsia"/>
                <w:highlight w:val="none"/>
              </w:rPr>
              <w:t>履约保证金金额：按照成交金额的5%缴纳（如成交供应商为中小微企业，则按照成交金额的2% 缴纳），在签订合同之前，中标人需把履约保证金足额交到采购人指定账户。未提交履约保证金的，不予签订本合同。履约保证金自项目验收合格后，待中标人履行完质保义务后由采购人无息退还。</w:t>
            </w:r>
          </w:p>
          <w:p w14:paraId="1783408E">
            <w:pPr>
              <w:bidi w:val="0"/>
              <w:rPr>
                <w:rFonts w:hint="eastAsia" w:eastAsia="宋体"/>
                <w:highlight w:val="none"/>
                <w:lang w:eastAsia="zh-CN"/>
              </w:rPr>
            </w:pPr>
            <w:r>
              <w:rPr>
                <w:rFonts w:hint="eastAsia"/>
                <w:highlight w:val="none"/>
              </w:rPr>
              <w:t>履约保证金递交方式：银行转账或电汇或其它政府采购法律法规允许的方式</w:t>
            </w:r>
            <w:r>
              <w:rPr>
                <w:rFonts w:hint="eastAsia"/>
                <w:highlight w:val="none"/>
                <w:lang w:eastAsia="zh-CN"/>
              </w:rPr>
              <w:t>。</w:t>
            </w:r>
          </w:p>
          <w:p w14:paraId="0BBD5BC8">
            <w:pPr>
              <w:bidi w:val="0"/>
              <w:rPr>
                <w:rFonts w:hint="eastAsia"/>
                <w:highlight w:val="none"/>
              </w:rPr>
            </w:pPr>
            <w:r>
              <w:rPr>
                <w:rFonts w:hint="eastAsia"/>
                <w:highlight w:val="none"/>
              </w:rPr>
              <w:t>履约保证金退付方式、时间及条件：中标供应商向履约保证金收取单位提供《广西壮族自治区政府采购项目合同验收书》（详见桂财采〔2015〕22号），保证金收取单位在收到合格材料后10个工作日内办理退还手续（不计利息）。</w:t>
            </w:r>
          </w:p>
          <w:p w14:paraId="0EEB8C22">
            <w:pPr>
              <w:bidi w:val="0"/>
              <w:rPr>
                <w:rFonts w:hint="eastAsia" w:eastAsia="宋体"/>
                <w:highlight w:val="none"/>
                <w:lang w:eastAsia="zh-CN"/>
              </w:rPr>
            </w:pPr>
            <w:r>
              <w:rPr>
                <w:rFonts w:hint="eastAsia"/>
                <w:highlight w:val="none"/>
              </w:rPr>
              <w:t>履约保证金指定账户：中标后采购人提供</w:t>
            </w:r>
            <w:r>
              <w:rPr>
                <w:rFonts w:hint="eastAsia"/>
                <w:highlight w:val="none"/>
                <w:lang w:eastAsia="zh-CN"/>
              </w:rPr>
              <w:t>。</w:t>
            </w:r>
          </w:p>
          <w:p w14:paraId="7B723515">
            <w:pPr>
              <w:bidi w:val="0"/>
              <w:rPr>
                <w:rFonts w:hint="eastAsia"/>
                <w:highlight w:val="none"/>
              </w:rPr>
            </w:pPr>
            <w:r>
              <w:rPr>
                <w:rFonts w:hint="eastAsia"/>
                <w:highlight w:val="none"/>
              </w:rPr>
              <w:t>备注：</w:t>
            </w:r>
          </w:p>
          <w:p w14:paraId="16D490F4">
            <w:pPr>
              <w:bidi w:val="0"/>
              <w:rPr>
                <w:rFonts w:hint="eastAsia"/>
                <w:highlight w:val="none"/>
              </w:rPr>
            </w:pPr>
            <w:r>
              <w:rPr>
                <w:rFonts w:hint="eastAsia"/>
                <w:highlight w:val="none"/>
              </w:rPr>
              <w:t>1. 根据广西壮族自治区财政厅关于进一步发挥政府采购政策功能促进企业发展的通知（桂财采〔2022〕30号）规定，履约保证金数额不得超过政府采购合同金额的5%，对中小企业收取的履约保证金数额不得超过政府采购合同金额的2%。</w:t>
            </w:r>
          </w:p>
          <w:p w14:paraId="50BADFC4">
            <w:pPr>
              <w:bidi w:val="0"/>
              <w:rPr>
                <w:rFonts w:hint="eastAsia"/>
                <w:highlight w:val="none"/>
              </w:rPr>
            </w:pPr>
            <w:r>
              <w:rPr>
                <w:rFonts w:hint="eastAsia"/>
                <w:highlight w:val="none"/>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9569DDF">
            <w:pPr>
              <w:bidi w:val="0"/>
              <w:rPr>
                <w:rFonts w:hint="eastAsia"/>
                <w:highlight w:val="none"/>
              </w:rPr>
            </w:pPr>
            <w:r>
              <w:rPr>
                <w:rFonts w:hint="eastAsia"/>
                <w:highlight w:val="none"/>
              </w:rPr>
              <w:t>3.采用银行、保险机构出具的保函的，必须为无条件保函，否则不予签订合同,采购人可以按照评审报告推荐的成交候选人名单排序，确定下一候选人为成交供应商，也可以重新开展政府采购活动，因此产生的费用由该供应商承担。</w:t>
            </w:r>
          </w:p>
          <w:p w14:paraId="027A08FD">
            <w:pPr>
              <w:bidi w:val="0"/>
              <w:rPr>
                <w:highlight w:val="none"/>
              </w:rPr>
            </w:pPr>
            <w:r>
              <w:rPr>
                <w:rFonts w:hint="eastAsia"/>
                <w:highlight w:val="none"/>
              </w:rPr>
              <w:t>4.投标人为联合体的，由联合体其中一方按规定提交的履约保证金，视为有效履约保证金。</w:t>
            </w:r>
          </w:p>
        </w:tc>
      </w:tr>
      <w:tr w14:paraId="709E8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CCFA344">
            <w:pPr>
              <w:pStyle w:val="34"/>
              <w:bidi w:val="0"/>
              <w:jc w:val="left"/>
              <w:rPr>
                <w:highlight w:val="none"/>
              </w:rPr>
            </w:pPr>
            <w:r>
              <w:rPr>
                <w:rFonts w:hint="eastAsia"/>
                <w:highlight w:val="none"/>
              </w:rPr>
              <w:t>18</w:t>
            </w:r>
          </w:p>
        </w:tc>
        <w:tc>
          <w:tcPr>
            <w:tcW w:w="8427" w:type="dxa"/>
            <w:tcBorders>
              <w:top w:val="single" w:color="auto" w:sz="4" w:space="0"/>
              <w:left w:val="single" w:color="auto" w:sz="4" w:space="0"/>
              <w:bottom w:val="single" w:color="auto" w:sz="4" w:space="0"/>
              <w:right w:val="single" w:color="auto" w:sz="4" w:space="0"/>
            </w:tcBorders>
            <w:vAlign w:val="center"/>
          </w:tcPr>
          <w:p w14:paraId="57276127">
            <w:pPr>
              <w:bidi w:val="0"/>
              <w:rPr>
                <w:highlight w:val="none"/>
              </w:rPr>
            </w:pPr>
            <w:r>
              <w:rPr>
                <w:rFonts w:hint="eastAsia"/>
                <w:highlight w:val="none"/>
              </w:rPr>
              <w:t>政府采购合同公告：根据《中华人民共和国政府采购法实施条例》第五十条规定，采购人应当自政府采购合同签订之日起</w:t>
            </w:r>
            <w:r>
              <w:rPr>
                <w:highlight w:val="none"/>
              </w:rPr>
              <w:t>2</w:t>
            </w:r>
            <w:r>
              <w:rPr>
                <w:rFonts w:hint="eastAsia"/>
                <w:highlight w:val="none"/>
              </w:rPr>
              <w:t>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14:paraId="1EA35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E331B95">
            <w:pPr>
              <w:pStyle w:val="34"/>
              <w:bidi w:val="0"/>
              <w:jc w:val="left"/>
              <w:rPr>
                <w:highlight w:val="none"/>
              </w:rPr>
            </w:pPr>
            <w:r>
              <w:rPr>
                <w:rFonts w:hint="eastAsia"/>
                <w:highlight w:val="none"/>
              </w:rPr>
              <w:t>19</w:t>
            </w:r>
          </w:p>
        </w:tc>
        <w:tc>
          <w:tcPr>
            <w:tcW w:w="8427" w:type="dxa"/>
            <w:tcBorders>
              <w:top w:val="single" w:color="auto" w:sz="4" w:space="0"/>
              <w:left w:val="single" w:color="auto" w:sz="4" w:space="0"/>
              <w:bottom w:val="single" w:color="auto" w:sz="4" w:space="0"/>
              <w:right w:val="single" w:color="auto" w:sz="4" w:space="0"/>
            </w:tcBorders>
            <w:vAlign w:val="center"/>
          </w:tcPr>
          <w:p w14:paraId="04098D24">
            <w:pPr>
              <w:bidi w:val="0"/>
              <w:rPr>
                <w:highlight w:val="none"/>
              </w:rPr>
            </w:pPr>
            <w:r>
              <w:rPr>
                <w:rFonts w:hint="eastAsia"/>
                <w:highlight w:val="none"/>
              </w:rPr>
              <w:t>采购资金来源：</w:t>
            </w:r>
            <w:r>
              <w:rPr>
                <w:rFonts w:hint="eastAsia"/>
                <w:highlight w:val="none"/>
                <w:lang w:eastAsia="zh-CN"/>
              </w:rPr>
              <w:t>☑</w:t>
            </w:r>
            <w:r>
              <w:rPr>
                <w:highlight w:val="none"/>
              </w:rPr>
              <w:t>预算资金、</w:t>
            </w:r>
            <w:r>
              <w:rPr>
                <w:rFonts w:hint="eastAsia"/>
                <w:highlight w:val="none"/>
              </w:rPr>
              <w:t>□</w:t>
            </w:r>
            <w:r>
              <w:rPr>
                <w:highlight w:val="none"/>
              </w:rPr>
              <w:t>预算外资金、</w:t>
            </w:r>
            <w:r>
              <w:rPr>
                <w:rFonts w:hint="eastAsia"/>
                <w:highlight w:val="none"/>
              </w:rPr>
              <w:t>□</w:t>
            </w:r>
            <w:r>
              <w:rPr>
                <w:highlight w:val="none"/>
              </w:rPr>
              <w:t>其他资金</w:t>
            </w:r>
          </w:p>
        </w:tc>
      </w:tr>
      <w:tr w14:paraId="12A8B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12026CFF">
            <w:pPr>
              <w:pStyle w:val="34"/>
              <w:bidi w:val="0"/>
              <w:jc w:val="left"/>
              <w:rPr>
                <w:highlight w:val="none"/>
              </w:rPr>
            </w:pPr>
            <w:r>
              <w:rPr>
                <w:rFonts w:hint="eastAsia"/>
                <w:highlight w:val="none"/>
              </w:rPr>
              <w:t>20</w:t>
            </w:r>
          </w:p>
        </w:tc>
        <w:tc>
          <w:tcPr>
            <w:tcW w:w="8427" w:type="dxa"/>
            <w:tcBorders>
              <w:top w:val="single" w:color="auto" w:sz="4" w:space="0"/>
              <w:left w:val="single" w:color="auto" w:sz="4" w:space="0"/>
              <w:bottom w:val="single" w:color="auto" w:sz="4" w:space="0"/>
              <w:right w:val="single" w:color="auto" w:sz="4" w:space="0"/>
            </w:tcBorders>
            <w:vAlign w:val="center"/>
          </w:tcPr>
          <w:p w14:paraId="0EEE2EFE">
            <w:pPr>
              <w:bidi w:val="0"/>
              <w:rPr>
                <w:highlight w:val="none"/>
              </w:rPr>
            </w:pPr>
            <w:r>
              <w:rPr>
                <w:rFonts w:hint="eastAsia"/>
                <w:highlight w:val="none"/>
              </w:rPr>
              <w:t>付款方式：</w:t>
            </w:r>
            <w:r>
              <w:rPr>
                <w:highlight w:val="none"/>
              </w:rPr>
              <w:t>国库集中支付或采购专户支付、</w:t>
            </w:r>
            <w:r>
              <w:rPr>
                <w:rFonts w:hint="eastAsia"/>
                <w:highlight w:val="none"/>
                <w:lang w:eastAsia="zh-CN"/>
              </w:rPr>
              <w:t>☑</w:t>
            </w:r>
            <w:r>
              <w:rPr>
                <w:highlight w:val="none"/>
              </w:rPr>
              <w:t>采购人自行支付</w:t>
            </w:r>
          </w:p>
        </w:tc>
      </w:tr>
      <w:tr w14:paraId="27E85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5CB57340">
            <w:pPr>
              <w:pStyle w:val="34"/>
              <w:bidi w:val="0"/>
              <w:jc w:val="left"/>
              <w:rPr>
                <w:highlight w:val="none"/>
              </w:rPr>
            </w:pPr>
            <w:r>
              <w:rPr>
                <w:rFonts w:hint="eastAsia"/>
                <w:highlight w:val="none"/>
              </w:rPr>
              <w:t>21</w:t>
            </w:r>
          </w:p>
        </w:tc>
        <w:tc>
          <w:tcPr>
            <w:tcW w:w="8427" w:type="dxa"/>
            <w:tcBorders>
              <w:top w:val="single" w:color="auto" w:sz="4" w:space="0"/>
              <w:left w:val="single" w:color="auto" w:sz="4" w:space="0"/>
              <w:bottom w:val="single" w:color="auto" w:sz="4" w:space="0"/>
              <w:right w:val="single" w:color="auto" w:sz="4" w:space="0"/>
            </w:tcBorders>
            <w:vAlign w:val="center"/>
          </w:tcPr>
          <w:p w14:paraId="700E183A">
            <w:pPr>
              <w:bidi w:val="0"/>
              <w:rPr>
                <w:highlight w:val="none"/>
              </w:rPr>
            </w:pPr>
            <w:r>
              <w:rPr>
                <w:rFonts w:hint="eastAsia"/>
                <w:highlight w:val="none"/>
              </w:rPr>
              <w:t>投标文件有效期：投标截止日期后60天</w:t>
            </w:r>
          </w:p>
        </w:tc>
      </w:tr>
      <w:tr w14:paraId="463D8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782C1EB">
            <w:pPr>
              <w:pStyle w:val="34"/>
              <w:bidi w:val="0"/>
              <w:jc w:val="left"/>
              <w:rPr>
                <w:highlight w:val="none"/>
              </w:rPr>
            </w:pPr>
            <w:r>
              <w:rPr>
                <w:rFonts w:hint="eastAsia"/>
                <w:highlight w:val="none"/>
              </w:rPr>
              <w:t>22</w:t>
            </w:r>
          </w:p>
        </w:tc>
        <w:tc>
          <w:tcPr>
            <w:tcW w:w="8427" w:type="dxa"/>
            <w:tcBorders>
              <w:top w:val="single" w:color="auto" w:sz="4" w:space="0"/>
              <w:left w:val="single" w:color="auto" w:sz="4" w:space="0"/>
              <w:bottom w:val="single" w:color="auto" w:sz="4" w:space="0"/>
              <w:right w:val="single" w:color="auto" w:sz="4" w:space="0"/>
            </w:tcBorders>
            <w:vAlign w:val="center"/>
          </w:tcPr>
          <w:p w14:paraId="0F058B7D">
            <w:pPr>
              <w:bidi w:val="0"/>
              <w:rPr>
                <w:highlight w:val="none"/>
              </w:rPr>
            </w:pPr>
            <w:r>
              <w:rPr>
                <w:rFonts w:hint="eastAsia"/>
                <w:highlight w:val="none"/>
              </w:rPr>
              <w:t>解释：本招标文件的解释权属于采购单位。</w:t>
            </w:r>
          </w:p>
        </w:tc>
      </w:tr>
      <w:tr w14:paraId="63B4B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3C7B144C">
            <w:pPr>
              <w:pStyle w:val="34"/>
              <w:bidi w:val="0"/>
              <w:jc w:val="left"/>
              <w:rPr>
                <w:highlight w:val="none"/>
              </w:rPr>
            </w:pPr>
            <w:r>
              <w:rPr>
                <w:rFonts w:hint="eastAsia"/>
                <w:highlight w:val="none"/>
              </w:rPr>
              <w:t>23</w:t>
            </w:r>
          </w:p>
        </w:tc>
        <w:tc>
          <w:tcPr>
            <w:tcW w:w="8427" w:type="dxa"/>
            <w:tcBorders>
              <w:top w:val="single" w:color="auto" w:sz="4" w:space="0"/>
              <w:left w:val="single" w:color="auto" w:sz="4" w:space="0"/>
              <w:bottom w:val="single" w:color="auto" w:sz="4" w:space="0"/>
              <w:right w:val="single" w:color="auto" w:sz="4" w:space="0"/>
            </w:tcBorders>
            <w:vAlign w:val="center"/>
          </w:tcPr>
          <w:p w14:paraId="1ED186F9">
            <w:pPr>
              <w:bidi w:val="0"/>
              <w:rPr>
                <w:highlight w:val="none"/>
              </w:rPr>
            </w:pPr>
            <w:r>
              <w:rPr>
                <w:rFonts w:hint="eastAsia"/>
                <w:highlight w:val="none"/>
              </w:rPr>
              <w:t>1、参与电子投标的准备工作：</w:t>
            </w:r>
          </w:p>
          <w:p w14:paraId="44C4E3B4">
            <w:pPr>
              <w:bidi w:val="0"/>
              <w:rPr>
                <w:highlight w:val="none"/>
              </w:rPr>
            </w:pPr>
            <w:r>
              <w:rPr>
                <w:rFonts w:hint="eastAsia"/>
                <w:highlight w:val="none"/>
              </w:rPr>
              <w:t>（1）投标文件提交方式：本项目为全流程电子化项目，通过“政采云”平台（http：//www.zcygov.cn）实行在线电子投标，供应商应先安装“政采云电子交易客户端”（请自行前往“政采云”平台进行下载），并按照本项目采购文件和“政采云”平台的要求编制、加密后在投标截止时间前通过网络上传至“政采云”平台，供应商在“政采云”平台提交电子版投标文件时，请填写参加远程采购活动经办人联系方式，电子投标文件具体操作流程详见《政府采购项目电子交易管理操作指南-供应商》。</w:t>
            </w:r>
          </w:p>
          <w:p w14:paraId="1153E5D6">
            <w:pPr>
              <w:bidi w:val="0"/>
              <w:rPr>
                <w:highlight w:val="none"/>
              </w:rPr>
            </w:pPr>
            <w:r>
              <w:rPr>
                <w:rFonts w:hint="eastAsia"/>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供应商只需办理其中一家CA数字证书及签章。</w:t>
            </w:r>
          </w:p>
          <w:p w14:paraId="51D66F1E">
            <w:pPr>
              <w:bidi w:val="0"/>
              <w:rPr>
                <w:highlight w:val="none"/>
              </w:rPr>
            </w:pPr>
            <w:r>
              <w:rPr>
                <w:rFonts w:hint="eastAsia"/>
                <w:highlight w:val="none"/>
              </w:rPr>
              <w:t>（3）为确保网上操作合法、有效和安全，请供应商确保在电子响应过程中能够对相关数据电文进行加密和使用电子签章，妥善保管CA数字证书并使用有效的CA数字证书参与整个采购活动。</w:t>
            </w:r>
          </w:p>
          <w:p w14:paraId="01E1EFB2">
            <w:pPr>
              <w:bidi w:val="0"/>
              <w:rPr>
                <w:highlight w:val="none"/>
              </w:rPr>
            </w:pPr>
            <w:r>
              <w:rPr>
                <w:rFonts w:hint="eastAsia"/>
                <w:highlight w:val="none"/>
              </w:rPr>
              <w:t>2、CA证书在线解密：投标文件开启时，须要供应商携带制作投标文件时用来加密的有效数字证书（CA认证）登录“政采云”平台电子开标大厅现场按规定时间对加密的投标文件进行解密，否则后果自负。</w:t>
            </w:r>
          </w:p>
          <w:p w14:paraId="0C505AD3">
            <w:pPr>
              <w:bidi w:val="0"/>
              <w:rPr>
                <w:highlight w:val="none"/>
              </w:rPr>
            </w:pPr>
            <w:r>
              <w:rPr>
                <w:rFonts w:hint="eastAsia"/>
                <w:highlight w:val="none"/>
              </w:rPr>
              <w:t>3、若对项目采购电子交易系统操作有疑问，可登陆“政采云”平台（http：//www.zcygov.cn），点击右侧咨询小采，获取采小蜜智能服务管家帮助，或拨打政采云服务热线400-881-7190获取热线服务帮助。</w:t>
            </w:r>
          </w:p>
        </w:tc>
      </w:tr>
      <w:tr w14:paraId="46BFA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3E33DE04">
            <w:pPr>
              <w:pStyle w:val="34"/>
              <w:bidi w:val="0"/>
              <w:jc w:val="left"/>
              <w:rPr>
                <w:highlight w:val="none"/>
              </w:rPr>
            </w:pPr>
            <w:r>
              <w:rPr>
                <w:rFonts w:hint="eastAsia"/>
                <w:highlight w:val="none"/>
              </w:rPr>
              <w:t>24</w:t>
            </w:r>
          </w:p>
        </w:tc>
        <w:tc>
          <w:tcPr>
            <w:tcW w:w="8427" w:type="dxa"/>
            <w:tcBorders>
              <w:top w:val="single" w:color="auto" w:sz="4" w:space="0"/>
              <w:left w:val="single" w:color="auto" w:sz="4" w:space="0"/>
              <w:bottom w:val="single" w:color="auto" w:sz="4" w:space="0"/>
              <w:right w:val="single" w:color="auto" w:sz="4" w:space="0"/>
            </w:tcBorders>
            <w:vAlign w:val="center"/>
          </w:tcPr>
          <w:p w14:paraId="021935AB">
            <w:pPr>
              <w:bidi w:val="0"/>
              <w:rPr>
                <w:highlight w:val="none"/>
              </w:rPr>
            </w:pPr>
            <w:r>
              <w:rPr>
                <w:rFonts w:hint="eastAsia"/>
                <w:highlight w:val="none"/>
              </w:rPr>
              <w:t>电子投标文件的制作、加密：</w:t>
            </w:r>
          </w:p>
          <w:p w14:paraId="7370252F">
            <w:pPr>
              <w:bidi w:val="0"/>
              <w:rPr>
                <w:highlight w:val="none"/>
              </w:rPr>
            </w:pPr>
            <w:r>
              <w:rPr>
                <w:rFonts w:hint="eastAsia"/>
                <w:highlight w:val="none"/>
              </w:rPr>
              <w:t>1、供应商制作电子投标文件前，应登陆“政采云”平台进行“申请获取采购文件”操作，否则，有可能导致无法在线编制投标文件并参与投标，其不利后果由供应商自行承担。</w:t>
            </w:r>
          </w:p>
          <w:p w14:paraId="1E87BEB5">
            <w:pPr>
              <w:bidi w:val="0"/>
              <w:rPr>
                <w:highlight w:val="none"/>
              </w:rPr>
            </w:pPr>
            <w:r>
              <w:rPr>
                <w:rFonts w:hint="eastAsia"/>
                <w:highlight w:val="none"/>
              </w:rPr>
              <w:t>2、供应商下载或获取招标文件后，登录“政采云电子投标客户端”，按照本招标文件规定的投标文件格式、顺序以及“政采云”平台的要求，通过“政采云电子投标客户端”编制电子投标文件。</w:t>
            </w:r>
          </w:p>
          <w:p w14:paraId="5FADC4B7">
            <w:pPr>
              <w:bidi w:val="0"/>
              <w:rPr>
                <w:highlight w:val="none"/>
              </w:rPr>
            </w:pPr>
            <w:r>
              <w:rPr>
                <w:rFonts w:hint="eastAsia"/>
                <w:highlight w:val="none"/>
              </w:rPr>
              <w:t>3、供应商应按“政采云电子投标客户端”载明的“标书关联”功能进行电子投标文件的关联定位，以便评标小组在评审时点击相应评审项可直接定位到该评审内容；如供应商的电子投标文件未能关联定位相应内容，或者关联定位的内容与该评审项不符，导致评标小组无法查询并做出对供应商不利的评审，相关后果由供应商自行承担。</w:t>
            </w:r>
          </w:p>
          <w:p w14:paraId="33C5C4C6">
            <w:pPr>
              <w:bidi w:val="0"/>
              <w:rPr>
                <w:highlight w:val="none"/>
              </w:rPr>
            </w:pPr>
            <w:r>
              <w:rPr>
                <w:rFonts w:hint="eastAsia"/>
                <w:highlight w:val="none"/>
              </w:rPr>
              <w:t>4、电子投标文件不得涂改，若有修改错漏处，须由法定代表人（负责人、自然人）或授权委托代理人通过“政采云电子投标客户端”采用政采云个人CA证书签章，没有办理政采云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14:paraId="0E45C329">
            <w:pPr>
              <w:bidi w:val="0"/>
              <w:rPr>
                <w:highlight w:val="none"/>
              </w:rPr>
            </w:pPr>
            <w:r>
              <w:rPr>
                <w:rFonts w:hint="eastAsia"/>
                <w:highlight w:val="none"/>
              </w:rPr>
              <w:t>5、供应商编制、生成电子投标文件后应当加密投标文件。供应商未按规定编制并加密的投标文件，“政采云”平台将予以拒收。</w:t>
            </w:r>
          </w:p>
        </w:tc>
      </w:tr>
      <w:tr w14:paraId="7C9F9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86A334B">
            <w:pPr>
              <w:pStyle w:val="34"/>
              <w:bidi w:val="0"/>
              <w:jc w:val="left"/>
              <w:rPr>
                <w:highlight w:val="none"/>
              </w:rPr>
            </w:pPr>
            <w:r>
              <w:rPr>
                <w:rFonts w:hint="eastAsia"/>
                <w:highlight w:val="none"/>
              </w:rPr>
              <w:t>25</w:t>
            </w:r>
          </w:p>
        </w:tc>
        <w:tc>
          <w:tcPr>
            <w:tcW w:w="8427" w:type="dxa"/>
            <w:tcBorders>
              <w:top w:val="single" w:color="auto" w:sz="4" w:space="0"/>
              <w:left w:val="single" w:color="auto" w:sz="4" w:space="0"/>
              <w:bottom w:val="single" w:color="auto" w:sz="4" w:space="0"/>
              <w:right w:val="single" w:color="auto" w:sz="4" w:space="0"/>
            </w:tcBorders>
            <w:vAlign w:val="center"/>
          </w:tcPr>
          <w:p w14:paraId="37669D15">
            <w:pPr>
              <w:bidi w:val="0"/>
              <w:rPr>
                <w:highlight w:val="none"/>
              </w:rPr>
            </w:pPr>
            <w:r>
              <w:rPr>
                <w:rFonts w:hint="eastAsia"/>
                <w:highlight w:val="none"/>
              </w:rPr>
              <w:t>供应商公章及签字：</w:t>
            </w:r>
          </w:p>
          <w:p w14:paraId="22319866">
            <w:pPr>
              <w:bidi w:val="0"/>
              <w:rPr>
                <w:highlight w:val="none"/>
              </w:rPr>
            </w:pPr>
            <w:r>
              <w:rPr>
                <w:rFonts w:hint="eastAsia"/>
                <w:highlight w:val="none"/>
              </w:rPr>
              <w:t>1、本招标文件中描述供应商的“公章”是指供应商通过指定电子化政府采购平台办理数字证书（CA认证证书）获得的以法定主体行为名称制作的电子印章。</w:t>
            </w:r>
          </w:p>
          <w:p w14:paraId="088C2C37">
            <w:pPr>
              <w:bidi w:val="0"/>
              <w:rPr>
                <w:highlight w:val="none"/>
              </w:rPr>
            </w:pPr>
            <w:r>
              <w:rPr>
                <w:rFonts w:hint="eastAsia"/>
                <w:highlight w:val="none"/>
              </w:rPr>
              <w:t>2、本招标文件中要求供应商对其电子投标文件的相关内容加盖公章的，均指采用CA证书签章。</w:t>
            </w:r>
          </w:p>
          <w:p w14:paraId="703C143B">
            <w:pPr>
              <w:bidi w:val="0"/>
              <w:rPr>
                <w:highlight w:val="none"/>
              </w:rPr>
            </w:pPr>
            <w:r>
              <w:rPr>
                <w:rFonts w:hint="eastAsia"/>
                <w:highlight w:val="none"/>
              </w:rPr>
              <w:t>3、本招标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p>
        </w:tc>
      </w:tr>
      <w:tr w14:paraId="06473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AD04142">
            <w:pPr>
              <w:pStyle w:val="34"/>
              <w:bidi w:val="0"/>
              <w:jc w:val="left"/>
              <w:rPr>
                <w:highlight w:val="none"/>
              </w:rPr>
            </w:pPr>
            <w:r>
              <w:rPr>
                <w:rFonts w:hint="eastAsia"/>
                <w:highlight w:val="none"/>
              </w:rPr>
              <w:t>26</w:t>
            </w:r>
          </w:p>
        </w:tc>
        <w:tc>
          <w:tcPr>
            <w:tcW w:w="8427" w:type="dxa"/>
            <w:tcBorders>
              <w:top w:val="single" w:color="auto" w:sz="4" w:space="0"/>
              <w:left w:val="single" w:color="auto" w:sz="4" w:space="0"/>
              <w:bottom w:val="single" w:color="auto" w:sz="4" w:space="0"/>
              <w:right w:val="single" w:color="auto" w:sz="4" w:space="0"/>
            </w:tcBorders>
            <w:vAlign w:val="center"/>
          </w:tcPr>
          <w:p w14:paraId="5475EF22">
            <w:pPr>
              <w:bidi w:val="0"/>
              <w:rPr>
                <w:highlight w:val="none"/>
              </w:rPr>
            </w:pPr>
            <w:r>
              <w:rPr>
                <w:rFonts w:hint="eastAsia"/>
                <w:highlight w:val="none"/>
              </w:rPr>
              <w:t>投标文件的解密：</w:t>
            </w:r>
          </w:p>
          <w:p w14:paraId="3BB7E8C7">
            <w:pPr>
              <w:bidi w:val="0"/>
              <w:rPr>
                <w:highlight w:val="none"/>
              </w:rPr>
            </w:pPr>
            <w:r>
              <w:rPr>
                <w:rFonts w:hint="eastAsia"/>
                <w:highlight w:val="none"/>
              </w:rPr>
              <w:t>采购代理机构将在“招标公告”规定的时间通过电子交易平台组织投标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投标文件在线解密。发起解密指令之时起5分钟内供应商还未进行解密的，代理机构通知供应商，供应商没预留联系方式或预留联系方式无效，非代理机构原因导致代理机构无法联系到供应商进行解密的，视为投标文件无效。(解密异常情况处理：详见本章第五点（九）电子交易活动的中止。)</w:t>
            </w:r>
          </w:p>
        </w:tc>
      </w:tr>
    </w:tbl>
    <w:p w14:paraId="164483C7">
      <w:pPr>
        <w:pStyle w:val="12"/>
        <w:pageBreakBefore w:val="0"/>
        <w:kinsoku/>
        <w:wordWrap w:val="0"/>
        <w:overflowPunct/>
        <w:topLinePunct/>
        <w:autoSpaceDE w:val="0"/>
        <w:autoSpaceDN w:val="0"/>
        <w:bidi w:val="0"/>
        <w:snapToGrid w:val="0"/>
        <w:spacing w:before="120" w:after="120" w:line="360" w:lineRule="exact"/>
        <w:jc w:val="center"/>
        <w:rPr>
          <w:rFonts w:hint="eastAsia" w:hAnsi="宋体" w:cs="Times New Roman"/>
          <w:b/>
          <w:sz w:val="28"/>
          <w:szCs w:val="28"/>
          <w:highlight w:val="none"/>
        </w:rPr>
        <w:sectPr>
          <w:pgSz w:w="11906" w:h="16839"/>
          <w:pgMar w:top="400" w:right="994" w:bottom="1156" w:left="1255" w:header="0" w:footer="994" w:gutter="0"/>
          <w:pgNumType w:fmt="decimal"/>
          <w:cols w:space="720" w:num="1"/>
        </w:sectPr>
      </w:pPr>
    </w:p>
    <w:p w14:paraId="08F30B48">
      <w:pPr>
        <w:pStyle w:val="3"/>
        <w:bidi w:val="0"/>
        <w:rPr>
          <w:highlight w:val="none"/>
        </w:rPr>
      </w:pPr>
      <w:bookmarkStart w:id="38" w:name="_Toc11014"/>
      <w:r>
        <w:rPr>
          <w:rFonts w:hint="eastAsia"/>
          <w:highlight w:val="none"/>
        </w:rPr>
        <w:t>投标人须知正文</w:t>
      </w:r>
      <w:bookmarkEnd w:id="38"/>
    </w:p>
    <w:p w14:paraId="0CBE4377">
      <w:pPr>
        <w:pStyle w:val="4"/>
        <w:bidi w:val="0"/>
        <w:rPr>
          <w:highlight w:val="none"/>
        </w:rPr>
      </w:pPr>
      <w:r>
        <w:rPr>
          <w:rFonts w:hint="eastAsia"/>
          <w:highlight w:val="none"/>
        </w:rPr>
        <w:t>一、总  则</w:t>
      </w:r>
    </w:p>
    <w:p w14:paraId="63D5D802">
      <w:pPr>
        <w:pStyle w:val="36"/>
        <w:bidi w:val="0"/>
        <w:rPr>
          <w:highlight w:val="none"/>
        </w:rPr>
      </w:pPr>
      <w:bookmarkStart w:id="39" w:name="_Toc254970527"/>
      <w:bookmarkStart w:id="40" w:name="_Toc254970668"/>
      <w:r>
        <w:rPr>
          <w:rFonts w:hint="eastAsia"/>
          <w:highlight w:val="none"/>
        </w:rPr>
        <w:t>（一） 适用范围</w:t>
      </w:r>
      <w:bookmarkEnd w:id="39"/>
      <w:bookmarkEnd w:id="40"/>
    </w:p>
    <w:p w14:paraId="780C29BA">
      <w:pPr>
        <w:bidi w:val="0"/>
        <w:rPr>
          <w:highlight w:val="none"/>
        </w:rPr>
      </w:pPr>
      <w:r>
        <w:rPr>
          <w:rFonts w:hint="eastAsia"/>
          <w:highlight w:val="none"/>
        </w:rPr>
        <w:t>本招标文件适用于本项目的招标、投标、评标、定标、验收、合同履约、付款等行为（法律、法规另有规定的，从其规定）。</w:t>
      </w:r>
    </w:p>
    <w:p w14:paraId="0D0B4CDC">
      <w:pPr>
        <w:pStyle w:val="36"/>
        <w:bidi w:val="0"/>
        <w:rPr>
          <w:highlight w:val="none"/>
        </w:rPr>
      </w:pPr>
      <w:bookmarkStart w:id="41" w:name="_Toc254970669"/>
      <w:bookmarkStart w:id="42" w:name="_Toc254970528"/>
      <w:r>
        <w:rPr>
          <w:rFonts w:hint="eastAsia"/>
          <w:highlight w:val="none"/>
        </w:rPr>
        <w:t>（二）定义</w:t>
      </w:r>
      <w:bookmarkEnd w:id="41"/>
      <w:bookmarkEnd w:id="42"/>
    </w:p>
    <w:p w14:paraId="3B84C68D">
      <w:pPr>
        <w:bidi w:val="0"/>
        <w:rPr>
          <w:highlight w:val="none"/>
        </w:rPr>
      </w:pPr>
      <w:r>
        <w:rPr>
          <w:rFonts w:hint="eastAsia"/>
          <w:highlight w:val="none"/>
        </w:rPr>
        <w:t>1.招标采购单位系指组织本次招标的采购人及代理机构。</w:t>
      </w:r>
    </w:p>
    <w:p w14:paraId="77BA9454">
      <w:pPr>
        <w:bidi w:val="0"/>
        <w:rPr>
          <w:highlight w:val="none"/>
        </w:rPr>
      </w:pPr>
      <w:r>
        <w:rPr>
          <w:rFonts w:hint="eastAsia"/>
          <w:highlight w:val="none"/>
        </w:rPr>
        <w:t>2.“投标人”系指向招标方提交投标文件的法人、其他组织或者自然人。</w:t>
      </w:r>
    </w:p>
    <w:p w14:paraId="5AA9E18A">
      <w:pPr>
        <w:bidi w:val="0"/>
        <w:rPr>
          <w:highlight w:val="none"/>
        </w:rPr>
      </w:pPr>
      <w:r>
        <w:rPr>
          <w:rFonts w:hint="eastAsia"/>
          <w:highlight w:val="none"/>
        </w:rPr>
        <w:t>3.“货物”系指各种形态和种类的物品，包括原材料、燃料、设备、产品等。</w:t>
      </w:r>
    </w:p>
    <w:p w14:paraId="224FEB7B">
      <w:pPr>
        <w:bidi w:val="0"/>
        <w:rPr>
          <w:highlight w:val="none"/>
        </w:rPr>
      </w:pPr>
      <w:r>
        <w:rPr>
          <w:rFonts w:hint="eastAsia"/>
          <w:highlight w:val="none"/>
        </w:rPr>
        <w:t>4.“服务”系指是指除货物和工程以外的其他政府采购对象。</w:t>
      </w:r>
    </w:p>
    <w:p w14:paraId="5CFF40A6">
      <w:pPr>
        <w:bidi w:val="0"/>
        <w:rPr>
          <w:highlight w:val="none"/>
        </w:rPr>
      </w:pPr>
      <w:r>
        <w:rPr>
          <w:rFonts w:hint="eastAsia"/>
          <w:highlight w:val="none"/>
        </w:rPr>
        <w:t>5.“项目”系指投标人按招标文件规定向采购人提供的产品和服务。</w:t>
      </w:r>
    </w:p>
    <w:p w14:paraId="75299E02">
      <w:pPr>
        <w:bidi w:val="0"/>
        <w:rPr>
          <w:highlight w:val="none"/>
        </w:rPr>
      </w:pPr>
      <w:r>
        <w:rPr>
          <w:rFonts w:hint="eastAsia"/>
          <w:highlight w:val="none"/>
        </w:rPr>
        <w:t>6.“书面形式”包括是指合同书、信件和数据电文（包括电报、电传、传真、电子数据交换和电子邮件）等可以有形地表现所载内容的形式。</w:t>
      </w:r>
    </w:p>
    <w:p w14:paraId="592BF610">
      <w:pPr>
        <w:bidi w:val="0"/>
        <w:rPr>
          <w:highlight w:val="none"/>
        </w:rPr>
      </w:pPr>
      <w:r>
        <w:rPr>
          <w:rFonts w:hint="eastAsia"/>
          <w:highlight w:val="none"/>
        </w:rPr>
        <w:t>7.“▲”系指实质性要求条款。</w:t>
      </w:r>
    </w:p>
    <w:p w14:paraId="68791669">
      <w:pPr>
        <w:bidi w:val="0"/>
        <w:rPr>
          <w:highlight w:val="none"/>
        </w:rPr>
      </w:pPr>
      <w:r>
        <w:rPr>
          <w:rFonts w:hint="eastAsia"/>
          <w:highlight w:val="none"/>
        </w:rPr>
        <w:t>8. 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分支机构的，是指分支机构营业执照上的负责人；当供应商是个体工商户的，是指个体工商户营业执照上的经营者；当供应商是自然人的，是指参与本项目响应的自然人本人。</w:t>
      </w:r>
    </w:p>
    <w:p w14:paraId="2C453864">
      <w:pPr>
        <w:bidi w:val="0"/>
        <w:rPr>
          <w:highlight w:val="none"/>
        </w:rPr>
      </w:pPr>
      <w:r>
        <w:rPr>
          <w:rFonts w:hint="eastAsia"/>
          <w:highlight w:val="none"/>
        </w:rPr>
        <w:t>9. 本招标文件中描述投标人的“签字/签名”是指应商通过指定电子化政府采购平台办理数字证书（CA认证证书）获得的以供应商法定代表人（负责人、自然人）或者委托代理人姓名制作的个人电子印章或手写签字。没有办理个人CA证书的，可以为手写签字的形式。</w:t>
      </w:r>
    </w:p>
    <w:p w14:paraId="76B8051E">
      <w:pPr>
        <w:bidi w:val="0"/>
        <w:rPr>
          <w:rFonts w:hint="eastAsia"/>
          <w:highlight w:val="none"/>
        </w:rPr>
      </w:pPr>
      <w:r>
        <w:rPr>
          <w:rFonts w:hint="eastAsia"/>
          <w:highlight w:val="none"/>
        </w:rPr>
        <w:t>10. 本招标文件中描述供应商的“公章”是指供应商通过指定电子化政府采购平台办理数字证书（CA认证证书）获得的以法定主体行为名称制作的电子印章。本招标文件中要求供应商对其电子投标文件的相关内容加盖公章的，均指采用CA证书签章。</w:t>
      </w:r>
    </w:p>
    <w:p w14:paraId="0C1E0BC0">
      <w:pPr>
        <w:bidi w:val="0"/>
        <w:rPr>
          <w:rFonts w:ascii="宋体" w:hAnsi="宋体"/>
          <w:szCs w:val="21"/>
          <w:highlight w:val="none"/>
        </w:rPr>
      </w:pPr>
      <w:r>
        <w:rPr>
          <w:rFonts w:hint="eastAsia"/>
          <w:highlight w:val="none"/>
        </w:rPr>
        <w:t>11. 本招标文件所称的</w:t>
      </w:r>
      <w:r>
        <w:rPr>
          <w:highlight w:val="none"/>
        </w:rPr>
        <w:t>“</w:t>
      </w:r>
      <w:r>
        <w:rPr>
          <w:rFonts w:hint="eastAsia"/>
          <w:highlight w:val="none"/>
        </w:rPr>
        <w:t>以上</w:t>
      </w:r>
      <w:r>
        <w:rPr>
          <w:highlight w:val="none"/>
        </w:rPr>
        <w:t>”“</w:t>
      </w:r>
      <w:r>
        <w:rPr>
          <w:rFonts w:hint="eastAsia"/>
          <w:highlight w:val="none"/>
        </w:rPr>
        <w:t>以下</w:t>
      </w:r>
      <w:r>
        <w:rPr>
          <w:highlight w:val="none"/>
        </w:rPr>
        <w:t>”“</w:t>
      </w:r>
      <w:r>
        <w:rPr>
          <w:rFonts w:hint="eastAsia"/>
          <w:highlight w:val="none"/>
        </w:rPr>
        <w:t>以内</w:t>
      </w:r>
      <w:r>
        <w:rPr>
          <w:highlight w:val="none"/>
        </w:rPr>
        <w:t>”“</w:t>
      </w:r>
      <w:r>
        <w:rPr>
          <w:rFonts w:hint="eastAsia"/>
          <w:highlight w:val="none"/>
        </w:rPr>
        <w:t>届满</w:t>
      </w:r>
      <w:r>
        <w:rPr>
          <w:highlight w:val="none"/>
        </w:rPr>
        <w:t>”</w:t>
      </w:r>
      <w:r>
        <w:rPr>
          <w:rFonts w:hint="eastAsia"/>
          <w:highlight w:val="none"/>
        </w:rPr>
        <w:t>，包括本数；所称的</w:t>
      </w:r>
      <w:r>
        <w:rPr>
          <w:highlight w:val="none"/>
        </w:rPr>
        <w:t>“</w:t>
      </w:r>
      <w:r>
        <w:rPr>
          <w:rFonts w:hint="eastAsia"/>
          <w:highlight w:val="none"/>
        </w:rPr>
        <w:t>不满</w:t>
      </w:r>
      <w:r>
        <w:rPr>
          <w:highlight w:val="none"/>
        </w:rPr>
        <w:t>”“</w:t>
      </w:r>
      <w:r>
        <w:rPr>
          <w:rFonts w:hint="eastAsia"/>
          <w:highlight w:val="none"/>
        </w:rPr>
        <w:t>超过</w:t>
      </w:r>
      <w:r>
        <w:rPr>
          <w:highlight w:val="none"/>
        </w:rPr>
        <w:t>”“</w:t>
      </w:r>
      <w:r>
        <w:rPr>
          <w:rFonts w:hint="eastAsia"/>
          <w:highlight w:val="none"/>
        </w:rPr>
        <w:t>以外</w:t>
      </w:r>
      <w:r>
        <w:rPr>
          <w:highlight w:val="none"/>
        </w:rPr>
        <w:t>”</w:t>
      </w:r>
      <w:r>
        <w:rPr>
          <w:rFonts w:hint="eastAsia"/>
          <w:highlight w:val="none"/>
        </w:rPr>
        <w:t>，不包括本数；如招标文件另有特殊规定的从其规定。</w:t>
      </w:r>
      <w:r>
        <w:rPr>
          <w:rFonts w:ascii="宋体" w:hAnsi="宋体"/>
          <w:szCs w:val="21"/>
          <w:highlight w:val="none"/>
        </w:rPr>
        <w:t xml:space="preserve"> </w:t>
      </w:r>
    </w:p>
    <w:p w14:paraId="40F97303">
      <w:pPr>
        <w:pStyle w:val="36"/>
        <w:bidi w:val="0"/>
        <w:rPr>
          <w:highlight w:val="none"/>
        </w:rPr>
      </w:pPr>
      <w:bookmarkStart w:id="43" w:name="_Toc254970670"/>
      <w:bookmarkStart w:id="44" w:name="_Toc254970529"/>
      <w:r>
        <w:rPr>
          <w:rFonts w:hint="eastAsia"/>
          <w:highlight w:val="none"/>
        </w:rPr>
        <w:t>（三）</w:t>
      </w:r>
      <w:bookmarkEnd w:id="43"/>
      <w:bookmarkEnd w:id="44"/>
      <w:r>
        <w:rPr>
          <w:rFonts w:hint="eastAsia"/>
          <w:highlight w:val="none"/>
        </w:rPr>
        <w:t>投标人的资格要求</w:t>
      </w:r>
    </w:p>
    <w:p w14:paraId="2ED14D7B">
      <w:pPr>
        <w:bidi w:val="0"/>
        <w:rPr>
          <w:highlight w:val="none"/>
        </w:rPr>
      </w:pPr>
      <w:bookmarkStart w:id="45" w:name="_Toc254970530"/>
      <w:bookmarkStart w:id="46" w:name="_Toc254970671"/>
      <w:r>
        <w:rPr>
          <w:rFonts w:hint="eastAsia"/>
          <w:highlight w:val="none"/>
        </w:rPr>
        <w:t>投标人的资格要求详见“投标人须知前附表”。</w:t>
      </w:r>
    </w:p>
    <w:p w14:paraId="2F283121">
      <w:pPr>
        <w:pStyle w:val="36"/>
        <w:bidi w:val="0"/>
        <w:rPr>
          <w:highlight w:val="none"/>
        </w:rPr>
      </w:pPr>
      <w:r>
        <w:rPr>
          <w:rFonts w:hint="eastAsia"/>
          <w:highlight w:val="none"/>
        </w:rPr>
        <w:t>（四）投标委托</w:t>
      </w:r>
      <w:bookmarkEnd w:id="45"/>
      <w:bookmarkEnd w:id="46"/>
    </w:p>
    <w:p w14:paraId="123E6111">
      <w:pPr>
        <w:bidi w:val="0"/>
        <w:rPr>
          <w:highlight w:val="none"/>
        </w:rPr>
      </w:pPr>
      <w:r>
        <w:rPr>
          <w:rFonts w:hint="eastAsia"/>
          <w:highlight w:val="none"/>
        </w:rPr>
        <w:t>如投标人代表为法定代表人须提供法人身份证明书及身份证，如投标人代表不是法定代表人，须有法定代表人出具的授权委托书及身份证（格式见第六章投标文件格式）。</w:t>
      </w:r>
    </w:p>
    <w:p w14:paraId="6B9F915C">
      <w:pPr>
        <w:pStyle w:val="36"/>
        <w:bidi w:val="0"/>
        <w:rPr>
          <w:highlight w:val="none"/>
        </w:rPr>
      </w:pPr>
      <w:bookmarkStart w:id="47" w:name="_Toc254970672"/>
      <w:bookmarkStart w:id="48" w:name="_Toc254970531"/>
      <w:r>
        <w:rPr>
          <w:rFonts w:hint="eastAsia"/>
          <w:highlight w:val="none"/>
        </w:rPr>
        <w:t>（五）投标费用</w:t>
      </w:r>
      <w:bookmarkEnd w:id="47"/>
      <w:bookmarkEnd w:id="48"/>
    </w:p>
    <w:p w14:paraId="544D370D">
      <w:pPr>
        <w:bidi w:val="0"/>
        <w:rPr>
          <w:rFonts w:ascii="宋体" w:hAnsi="宋体"/>
          <w:szCs w:val="21"/>
          <w:highlight w:val="none"/>
        </w:rPr>
      </w:pPr>
      <w:r>
        <w:rPr>
          <w:rFonts w:hint="eastAsia"/>
          <w:highlight w:val="none"/>
        </w:rPr>
        <w:t>投标人均应自行承担所有与投标有关的全部费用（招标文件有相关的规定除外）。</w:t>
      </w:r>
    </w:p>
    <w:p w14:paraId="63B8921D">
      <w:pPr>
        <w:pStyle w:val="36"/>
        <w:bidi w:val="0"/>
        <w:rPr>
          <w:highlight w:val="none"/>
        </w:rPr>
      </w:pPr>
      <w:r>
        <w:rPr>
          <w:rFonts w:hint="eastAsia"/>
          <w:highlight w:val="none"/>
        </w:rPr>
        <w:t>（六）联合体投标</w:t>
      </w:r>
    </w:p>
    <w:p w14:paraId="4D7E988E">
      <w:pPr>
        <w:bidi w:val="0"/>
        <w:rPr>
          <w:highlight w:val="none"/>
        </w:rPr>
      </w:pPr>
      <w:r>
        <w:rPr>
          <w:rFonts w:hint="eastAsia"/>
          <w:highlight w:val="none"/>
        </w:rPr>
        <w:t>1.本项目是否接受联合体投标，详见“投标人须知前附表”。</w:t>
      </w:r>
    </w:p>
    <w:p w14:paraId="160D1302">
      <w:pPr>
        <w:bidi w:val="0"/>
        <w:rPr>
          <w:highlight w:val="none"/>
        </w:rPr>
      </w:pPr>
      <w:r>
        <w:rPr>
          <w:rFonts w:hint="eastAsia"/>
          <w:highlight w:val="none"/>
        </w:rPr>
        <w:t>2.联合体要求（联合体投标时应满足下列要求）：</w:t>
      </w:r>
    </w:p>
    <w:p w14:paraId="68BD6537">
      <w:pPr>
        <w:bidi w:val="0"/>
        <w:rPr>
          <w:highlight w:val="none"/>
        </w:rPr>
      </w:pPr>
      <w:r>
        <w:rPr>
          <w:highlight w:val="none"/>
        </w:rPr>
        <w:t>（1）两个以上供应商可以组成一个投标联合体，以一个投标人的身份</w:t>
      </w:r>
      <w:r>
        <w:rPr>
          <w:rFonts w:hint="eastAsia"/>
          <w:highlight w:val="none"/>
        </w:rPr>
        <w:t>共同参加投标，联合体投标人的名称应统一按“</w:t>
      </w:r>
      <w:r>
        <w:rPr>
          <w:highlight w:val="none"/>
        </w:rPr>
        <w:t>XXX</w:t>
      </w:r>
      <w:r>
        <w:rPr>
          <w:rFonts w:hint="eastAsia"/>
          <w:highlight w:val="none"/>
        </w:rPr>
        <w:t>公司与</w:t>
      </w:r>
      <w:r>
        <w:rPr>
          <w:highlight w:val="none"/>
        </w:rPr>
        <w:t>XXX</w:t>
      </w:r>
      <w:r>
        <w:rPr>
          <w:rFonts w:hint="eastAsia"/>
          <w:highlight w:val="none"/>
        </w:rPr>
        <w:t>公司的联合体”的规则填写。</w:t>
      </w:r>
    </w:p>
    <w:p w14:paraId="1CC7CC68">
      <w:pPr>
        <w:bidi w:val="0"/>
        <w:rPr>
          <w:highlight w:val="none"/>
        </w:rPr>
      </w:pPr>
      <w:r>
        <w:rPr>
          <w:rFonts w:hint="eastAsia"/>
          <w:highlight w:val="none"/>
        </w:rPr>
        <w:t>（2）</w:t>
      </w:r>
      <w:r>
        <w:rPr>
          <w:highlight w:val="none"/>
        </w:rPr>
        <w:t>以联合体形式参加投标的，联合体各方均应当符合“具有独立承担民事责任的能力”的条件。 本项目有特殊要求规定投标人特定条件的，联合体各方中至少应当有一方符合招标文件规定的特定条件</w:t>
      </w:r>
      <w:r>
        <w:rPr>
          <w:rFonts w:hint="eastAsia"/>
          <w:highlight w:val="none"/>
        </w:rPr>
        <w:t>。</w:t>
      </w:r>
    </w:p>
    <w:p w14:paraId="6ED9B22E">
      <w:pPr>
        <w:bidi w:val="0"/>
        <w:rPr>
          <w:highlight w:val="none"/>
        </w:rPr>
      </w:pPr>
      <w:r>
        <w:rPr>
          <w:rFonts w:hint="eastAsia"/>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2A0CAB1E">
      <w:pPr>
        <w:bidi w:val="0"/>
        <w:rPr>
          <w:highlight w:val="none"/>
        </w:rPr>
      </w:pPr>
      <w:r>
        <w:rPr>
          <w:rFonts w:hint="eastAsia"/>
          <w:highlight w:val="none"/>
        </w:rPr>
        <w:t>（4）以联合体形式参加政府采购活动的，联合体各方不得再单独参加或者与其他投标人另外组成联合体参加同一合同项下的政府采购活动，否则与之相关的投标文件作废。</w:t>
      </w:r>
    </w:p>
    <w:p w14:paraId="01C13486">
      <w:pPr>
        <w:bidi w:val="0"/>
        <w:rPr>
          <w:highlight w:val="none"/>
        </w:rPr>
      </w:pPr>
      <w:r>
        <w:rPr>
          <w:rFonts w:hint="eastAsia"/>
          <w:highlight w:val="none"/>
        </w:rPr>
        <w:t>（5）联合体中有同类资质的投标人按照联合体分工承担相同工作的，应当按照资质等级较低的投标人确定资质等级。</w:t>
      </w:r>
    </w:p>
    <w:p w14:paraId="478269FD">
      <w:pPr>
        <w:bidi w:val="0"/>
        <w:rPr>
          <w:highlight w:val="none"/>
        </w:rPr>
      </w:pPr>
      <w:r>
        <w:rPr>
          <w:rFonts w:hint="eastAsia"/>
          <w:highlight w:val="none"/>
        </w:rPr>
        <w:t>（6）联合体投标业绩、履约能力按照联合体各方其中较高的一方认定并计算（招标文件另有规定的除外）。</w:t>
      </w:r>
    </w:p>
    <w:p w14:paraId="7B83D570">
      <w:pPr>
        <w:bidi w:val="0"/>
        <w:rPr>
          <w:highlight w:val="none"/>
        </w:rPr>
      </w:pPr>
      <w:r>
        <w:rPr>
          <w:rFonts w:hint="eastAsia"/>
          <w:highlight w:val="none"/>
        </w:rPr>
        <w:t>（7）联合体各方均应按照招标文件的规定提交资格证明文件。</w:t>
      </w:r>
    </w:p>
    <w:p w14:paraId="38C61234">
      <w:pPr>
        <w:bidi w:val="0"/>
        <w:rPr>
          <w:highlight w:val="none"/>
        </w:rPr>
      </w:pPr>
      <w:r>
        <w:rPr>
          <w:rFonts w:hint="eastAsia"/>
          <w:highlight w:val="none"/>
        </w:rPr>
        <w:t>3</w:t>
      </w:r>
      <w:r>
        <w:rPr>
          <w:highlight w:val="none"/>
        </w:rPr>
        <w:t xml:space="preserve">. </w:t>
      </w:r>
      <w:r>
        <w:rPr>
          <w:rFonts w:hint="eastAsia"/>
          <w:highlight w:val="none"/>
        </w:rPr>
        <w:t>根据《政府采购促进中小企业发展管理办法》（财库</w:t>
      </w:r>
      <w:r>
        <w:rPr>
          <w:highlight w:val="none"/>
        </w:rPr>
        <w:t>[2020]46</w:t>
      </w:r>
      <w:r>
        <w:rPr>
          <w:rFonts w:hint="eastAsia"/>
          <w:highlight w:val="none"/>
        </w:rPr>
        <w:t>号）第九条规定，接受大中型企业与小微企业组成联合体的采购项目，对于联合协议约定小微企业的合同份额占到合同总金额</w:t>
      </w:r>
      <w:r>
        <w:rPr>
          <w:highlight w:val="none"/>
        </w:rPr>
        <w:t xml:space="preserve"> 30%</w:t>
      </w:r>
      <w:r>
        <w:rPr>
          <w:rFonts w:hint="eastAsia"/>
          <w:highlight w:val="none"/>
        </w:rPr>
        <w:t>以上的，采购人、采购代理机构应当对联合体的报价给予</w:t>
      </w:r>
      <w:r>
        <w:rPr>
          <w:highlight w:val="none"/>
        </w:rPr>
        <w:t xml:space="preserve"> </w:t>
      </w:r>
      <w:r>
        <w:rPr>
          <w:rFonts w:hint="eastAsia"/>
          <w:highlight w:val="none"/>
        </w:rPr>
        <w:t>4</w:t>
      </w:r>
      <w:r>
        <w:rPr>
          <w:highlight w:val="none"/>
        </w:rPr>
        <w:t>%-</w:t>
      </w:r>
      <w:r>
        <w:rPr>
          <w:rFonts w:hint="eastAsia"/>
          <w:highlight w:val="none"/>
        </w:rPr>
        <w:t>6</w:t>
      </w:r>
      <w:r>
        <w:rPr>
          <w:highlight w:val="none"/>
        </w:rPr>
        <w:t>%</w:t>
      </w:r>
      <w:r>
        <w:rPr>
          <w:rFonts w:hint="eastAsia"/>
          <w:highlight w:val="none"/>
        </w:rPr>
        <w:t>（工程项目为</w:t>
      </w:r>
      <w:r>
        <w:rPr>
          <w:highlight w:val="none"/>
        </w:rPr>
        <w:t xml:space="preserve"> 1%</w:t>
      </w:r>
      <w:r>
        <w:rPr>
          <w:rFonts w:hint="eastAsia"/>
          <w:highlight w:val="none"/>
        </w:rPr>
        <w:t>—</w:t>
      </w:r>
      <w:r>
        <w:rPr>
          <w:highlight w:val="none"/>
        </w:rPr>
        <w:t>2%</w:t>
      </w:r>
      <w:r>
        <w:rPr>
          <w:rFonts w:hint="eastAsia"/>
          <w:highlight w:val="none"/>
        </w:rPr>
        <w:t>）的扣除，用扣除后的价格参加评审。组成联合体的小微企业与联合体内其他企业、分包企业之间存在直接控股、管理关系的，不享受价格扣除优惠政策。</w:t>
      </w:r>
    </w:p>
    <w:p w14:paraId="52BF821E">
      <w:pPr>
        <w:pStyle w:val="36"/>
        <w:bidi w:val="0"/>
        <w:rPr>
          <w:highlight w:val="none"/>
        </w:rPr>
      </w:pPr>
      <w:r>
        <w:rPr>
          <w:rFonts w:hint="eastAsia"/>
          <w:highlight w:val="none"/>
        </w:rPr>
        <w:t xml:space="preserve">（七）分包与转包 </w:t>
      </w:r>
    </w:p>
    <w:p w14:paraId="6A3598F6">
      <w:pPr>
        <w:bidi w:val="0"/>
        <w:rPr>
          <w:highlight w:val="none"/>
        </w:rPr>
      </w:pPr>
      <w:r>
        <w:rPr>
          <w:rFonts w:hint="eastAsia"/>
          <w:highlight w:val="none"/>
        </w:rPr>
        <w:t>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8686653">
      <w:pPr>
        <w:bidi w:val="0"/>
        <w:rPr>
          <w:highlight w:val="none"/>
        </w:rPr>
      </w:pPr>
      <w:r>
        <w:rPr>
          <w:rFonts w:hint="eastAsia"/>
          <w:highlight w:val="none"/>
        </w:rPr>
        <w:t>2.根据《政府采购促进中小企业发展管理办法》（财库</w:t>
      </w:r>
      <w:r>
        <w:rPr>
          <w:highlight w:val="none"/>
        </w:rPr>
        <w:t>[2020]46</w:t>
      </w:r>
      <w:r>
        <w:rPr>
          <w:rFonts w:hint="eastAsia"/>
          <w:highlight w:val="none"/>
        </w:rPr>
        <w:t>号）第九条规定，允许大中型企业向一家或者多家小微企业分包的采购项目，对于分包意向协议约定小微企业的合同份额占到合同总金额</w:t>
      </w:r>
      <w:r>
        <w:rPr>
          <w:highlight w:val="none"/>
        </w:rPr>
        <w:t>30%</w:t>
      </w:r>
      <w:r>
        <w:rPr>
          <w:rFonts w:hint="eastAsia"/>
          <w:highlight w:val="none"/>
        </w:rPr>
        <w:t>以上的，采购人、采购代理机构应当对大中型企业的报价给予</w:t>
      </w:r>
      <w:r>
        <w:rPr>
          <w:highlight w:val="none"/>
        </w:rPr>
        <w:t xml:space="preserve"> </w:t>
      </w:r>
      <w:r>
        <w:rPr>
          <w:rFonts w:hint="eastAsia"/>
          <w:highlight w:val="none"/>
        </w:rPr>
        <w:t>4</w:t>
      </w:r>
      <w:r>
        <w:rPr>
          <w:highlight w:val="none"/>
        </w:rPr>
        <w:t>%-</w:t>
      </w:r>
      <w:r>
        <w:rPr>
          <w:rFonts w:hint="eastAsia"/>
          <w:highlight w:val="none"/>
        </w:rPr>
        <w:t>6</w:t>
      </w:r>
      <w:r>
        <w:rPr>
          <w:highlight w:val="none"/>
        </w:rPr>
        <w:t>%</w:t>
      </w:r>
      <w:r>
        <w:rPr>
          <w:rFonts w:hint="eastAsia"/>
          <w:highlight w:val="none"/>
        </w:rPr>
        <w:t>的扣除，用扣除后的价格参加评审。接受分包的小微企业与分包企业之间存在直接控股、管理关系的，不享受价格扣除优惠政策。</w:t>
      </w:r>
    </w:p>
    <w:p w14:paraId="7D996551">
      <w:pPr>
        <w:bidi w:val="0"/>
        <w:rPr>
          <w:highlight w:val="none"/>
        </w:rPr>
      </w:pPr>
      <w:r>
        <w:rPr>
          <w:rFonts w:hint="eastAsia"/>
          <w:highlight w:val="none"/>
        </w:rPr>
        <w:t>3.本项目不允许转包。</w:t>
      </w:r>
    </w:p>
    <w:p w14:paraId="763974F8">
      <w:pPr>
        <w:pStyle w:val="36"/>
        <w:bidi w:val="0"/>
        <w:rPr>
          <w:highlight w:val="none"/>
        </w:rPr>
      </w:pPr>
      <w:bookmarkStart w:id="49" w:name="_Toc254970673"/>
      <w:bookmarkStart w:id="50" w:name="_Toc254970532"/>
      <w:bookmarkStart w:id="51" w:name="_Toc254970533"/>
      <w:bookmarkStart w:id="52" w:name="_Toc254970674"/>
      <w:r>
        <w:rPr>
          <w:rFonts w:hint="eastAsia"/>
          <w:highlight w:val="none"/>
        </w:rPr>
        <w:t>（八）特别说明：</w:t>
      </w:r>
      <w:bookmarkEnd w:id="49"/>
      <w:bookmarkEnd w:id="50"/>
    </w:p>
    <w:p w14:paraId="67BD2990">
      <w:pPr>
        <w:bidi w:val="0"/>
        <w:rPr>
          <w:highlight w:val="none"/>
        </w:rPr>
      </w:pPr>
      <w:r>
        <w:rPr>
          <w:highlight w:val="none"/>
        </w:rPr>
        <w:t>1. 出现下列情形之一的，在评审过程中，</w:t>
      </w:r>
      <w:r>
        <w:rPr>
          <w:rFonts w:hint="eastAsia"/>
          <w:highlight w:val="none"/>
        </w:rPr>
        <w:t>按一家投标人计算，评审后得分最高的同品牌投标人获得中标人推荐资格；评审得分相同的，以</w:t>
      </w:r>
      <w:r>
        <w:rPr>
          <w:highlight w:val="none"/>
        </w:rPr>
        <w:t>报价最低</w:t>
      </w:r>
      <w:r>
        <w:rPr>
          <w:rFonts w:hint="eastAsia"/>
          <w:highlight w:val="none"/>
        </w:rPr>
        <w:t>的投标人获得中标人推荐资格；评审得分及投标报价相同的，以技术得分最高的投标人获得中标人推荐资格；其他同品牌投标人不作为中标候选人</w:t>
      </w:r>
      <w:r>
        <w:rPr>
          <w:highlight w:val="none"/>
        </w:rPr>
        <w:t>：</w:t>
      </w:r>
    </w:p>
    <w:p w14:paraId="31B8D345">
      <w:pPr>
        <w:bidi w:val="0"/>
        <w:rPr>
          <w:highlight w:val="none"/>
        </w:rPr>
      </w:pPr>
      <w:r>
        <w:rPr>
          <w:highlight w:val="none"/>
        </w:rPr>
        <w:t>（1）提供相同品牌产品</w:t>
      </w:r>
      <w:r>
        <w:rPr>
          <w:rFonts w:hint="eastAsia"/>
          <w:highlight w:val="none"/>
        </w:rPr>
        <w:t>且通过资格审查、符合性审查</w:t>
      </w:r>
      <w:r>
        <w:rPr>
          <w:highlight w:val="none"/>
        </w:rPr>
        <w:t>的不同投标人参加单一产品的同一合同项下的政府采购活动的。</w:t>
      </w:r>
    </w:p>
    <w:p w14:paraId="24D5AD74">
      <w:pPr>
        <w:bidi w:val="0"/>
        <w:rPr>
          <w:highlight w:val="none"/>
        </w:rPr>
      </w:pPr>
      <w:r>
        <w:rPr>
          <w:highlight w:val="none"/>
        </w:rPr>
        <w:t>（2）非单一产品采购项目中，多家投标人提供的核心产品品牌相同的，视为提供相同品牌产品。核心产品的名称应当在招标文件中载明。</w:t>
      </w:r>
    </w:p>
    <w:p w14:paraId="2323E17C">
      <w:pPr>
        <w:bidi w:val="0"/>
        <w:rPr>
          <w:highlight w:val="none"/>
        </w:rPr>
      </w:pPr>
      <w:r>
        <w:rPr>
          <w:highlight w:val="none"/>
        </w:rPr>
        <w:t>2.投标人投标所使用的资格、信誉、荣誉、业绩与企业认证必须为本</w:t>
      </w:r>
      <w:r>
        <w:rPr>
          <w:rFonts w:hint="eastAsia"/>
          <w:highlight w:val="none"/>
        </w:rPr>
        <w:t>投标人</w:t>
      </w:r>
      <w:r>
        <w:rPr>
          <w:highlight w:val="none"/>
        </w:rPr>
        <w:t>所拥有。</w:t>
      </w:r>
    </w:p>
    <w:p w14:paraId="4AF4BD28">
      <w:pPr>
        <w:bidi w:val="0"/>
        <w:rPr>
          <w:highlight w:val="none"/>
        </w:rPr>
      </w:pPr>
      <w:r>
        <w:rPr>
          <w:highlight w:val="none"/>
        </w:rPr>
        <w:t>3.投标人应仔细阅读招标文件的所有内容，按照招标文件的要求提交投标文件，并对所提供的全部资料的真实性承担法律责任。</w:t>
      </w:r>
    </w:p>
    <w:p w14:paraId="45C60CF2">
      <w:pPr>
        <w:bidi w:val="0"/>
        <w:rPr>
          <w:highlight w:val="none"/>
        </w:rPr>
      </w:pPr>
      <w:r>
        <w:rPr>
          <w:highlight w:val="none"/>
        </w:rPr>
        <w:t>4.投标人在投标活动中提供任何虚假材料,其投标无效，并报监管部门查处；中标后发现的,中标供应商须依照《中华人民共和国消费者权益保护法》规定赔偿采购人，且民事赔偿并不免除违法投标人的行政与刑事责任。</w:t>
      </w:r>
    </w:p>
    <w:p w14:paraId="433F159D">
      <w:pPr>
        <w:bidi w:val="0"/>
        <w:rPr>
          <w:highlight w:val="none"/>
        </w:rPr>
      </w:pPr>
      <w:r>
        <w:rPr>
          <w:highlight w:val="none"/>
        </w:rPr>
        <w:t>5.在政府采购活动中，采购人员及相关人员与投标人有下列利害关系之一的，应当回避：</w:t>
      </w:r>
    </w:p>
    <w:p w14:paraId="3AED2B62">
      <w:pPr>
        <w:bidi w:val="0"/>
        <w:rPr>
          <w:highlight w:val="none"/>
        </w:rPr>
      </w:pPr>
      <w:r>
        <w:rPr>
          <w:highlight w:val="none"/>
        </w:rPr>
        <w:t>（1）参加采购活动前3年内与投标人存在劳动关系；</w:t>
      </w:r>
    </w:p>
    <w:p w14:paraId="5E7C6D64">
      <w:pPr>
        <w:bidi w:val="0"/>
        <w:rPr>
          <w:highlight w:val="none"/>
        </w:rPr>
      </w:pPr>
      <w:r>
        <w:rPr>
          <w:highlight w:val="none"/>
        </w:rPr>
        <w:t>（2）参加采购活动前3年内担任投标人的董事、监事；</w:t>
      </w:r>
    </w:p>
    <w:p w14:paraId="7C09A1B8">
      <w:pPr>
        <w:bidi w:val="0"/>
        <w:rPr>
          <w:highlight w:val="none"/>
        </w:rPr>
      </w:pPr>
      <w:r>
        <w:rPr>
          <w:highlight w:val="none"/>
        </w:rPr>
        <w:t>（3）参加采购活动前3年内是投标人的控股股东或者实际控制人；</w:t>
      </w:r>
    </w:p>
    <w:p w14:paraId="45608947">
      <w:pPr>
        <w:bidi w:val="0"/>
        <w:rPr>
          <w:highlight w:val="none"/>
        </w:rPr>
      </w:pPr>
      <w:r>
        <w:rPr>
          <w:highlight w:val="none"/>
        </w:rPr>
        <w:t>（4）与投标人的法定代表人或者负责人有夫妻、直系血亲、三代以内旁系血亲或者近姻亲关系；</w:t>
      </w:r>
    </w:p>
    <w:p w14:paraId="5A092D2B">
      <w:pPr>
        <w:bidi w:val="0"/>
        <w:rPr>
          <w:highlight w:val="none"/>
        </w:rPr>
      </w:pPr>
      <w:r>
        <w:rPr>
          <w:highlight w:val="none"/>
        </w:rPr>
        <w:t>（5）与投标人有其他可能影响政府采购活动公平、公正进行的关系。</w:t>
      </w:r>
    </w:p>
    <w:p w14:paraId="5429CCFE">
      <w:pPr>
        <w:bidi w:val="0"/>
        <w:rPr>
          <w:highlight w:val="none"/>
        </w:rPr>
      </w:pPr>
      <w:r>
        <w:rPr>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231C4835">
      <w:pPr>
        <w:bidi w:val="0"/>
        <w:rPr>
          <w:highlight w:val="none"/>
        </w:rPr>
      </w:pPr>
      <w:r>
        <w:rPr>
          <w:highlight w:val="none"/>
        </w:rPr>
        <w:t>6.有下列情形之一的视为投标人相互串通投标，</w:t>
      </w:r>
      <w:r>
        <w:rPr>
          <w:rFonts w:hint="eastAsia"/>
          <w:highlight w:val="none"/>
        </w:rPr>
        <w:t>其投标</w:t>
      </w:r>
      <w:r>
        <w:rPr>
          <w:highlight w:val="none"/>
        </w:rPr>
        <w:t>无效：</w:t>
      </w:r>
    </w:p>
    <w:p w14:paraId="0DB39793">
      <w:pPr>
        <w:bidi w:val="0"/>
        <w:rPr>
          <w:highlight w:val="none"/>
        </w:rPr>
      </w:pPr>
      <w:r>
        <w:rPr>
          <w:highlight w:val="none"/>
        </w:rPr>
        <w:t xml:space="preserve">（1）不同投标人的投标文件由同一单位或者个人编制； </w:t>
      </w:r>
    </w:p>
    <w:p w14:paraId="25AA4AFE">
      <w:pPr>
        <w:bidi w:val="0"/>
        <w:rPr>
          <w:highlight w:val="none"/>
        </w:rPr>
      </w:pPr>
      <w:r>
        <w:rPr>
          <w:highlight w:val="none"/>
        </w:rPr>
        <w:t>（2）不同投标人委托同一单位或者个人办理投标事宜；</w:t>
      </w:r>
    </w:p>
    <w:p w14:paraId="75BC0027">
      <w:pPr>
        <w:bidi w:val="0"/>
        <w:rPr>
          <w:highlight w:val="none"/>
        </w:rPr>
      </w:pPr>
      <w:r>
        <w:rPr>
          <w:highlight w:val="none"/>
        </w:rPr>
        <w:t>（3）</w:t>
      </w:r>
      <w:r>
        <w:rPr>
          <w:rFonts w:hint="eastAsia"/>
          <w:highlight w:val="none"/>
        </w:rPr>
        <w:t>不同投标人的投标文件载明的项目管理成员或者联系人员为同一人</w:t>
      </w:r>
      <w:r>
        <w:rPr>
          <w:highlight w:val="none"/>
        </w:rPr>
        <w:t>；</w:t>
      </w:r>
    </w:p>
    <w:p w14:paraId="67D4FB53">
      <w:pPr>
        <w:bidi w:val="0"/>
        <w:rPr>
          <w:highlight w:val="none"/>
        </w:rPr>
      </w:pPr>
      <w:r>
        <w:rPr>
          <w:highlight w:val="none"/>
        </w:rPr>
        <w:t>（4）不同投标人的投标文件异常一致或投标报价呈规律性差异；</w:t>
      </w:r>
    </w:p>
    <w:p w14:paraId="472B32B6">
      <w:pPr>
        <w:bidi w:val="0"/>
        <w:rPr>
          <w:highlight w:val="none"/>
        </w:rPr>
      </w:pPr>
      <w:r>
        <w:rPr>
          <w:highlight w:val="none"/>
        </w:rPr>
        <w:t>（5）不同投标人的投标文件相互混装；</w:t>
      </w:r>
    </w:p>
    <w:p w14:paraId="2DF9432B">
      <w:pPr>
        <w:bidi w:val="0"/>
        <w:rPr>
          <w:highlight w:val="none"/>
        </w:rPr>
      </w:pPr>
      <w:r>
        <w:rPr>
          <w:highlight w:val="none"/>
        </w:rPr>
        <w:t>（6）不同投标人的投标保证金从同一单位或者个人账户转出。</w:t>
      </w:r>
    </w:p>
    <w:p w14:paraId="4EA66151">
      <w:pPr>
        <w:bidi w:val="0"/>
        <w:rPr>
          <w:highlight w:val="none"/>
        </w:rPr>
      </w:pPr>
      <w:r>
        <w:rPr>
          <w:highlight w:val="none"/>
        </w:rPr>
        <w:t>7</w:t>
      </w:r>
      <w:r>
        <w:rPr>
          <w:rFonts w:hint="eastAsia"/>
          <w:highlight w:val="none"/>
        </w:rPr>
        <w:t>.</w:t>
      </w:r>
      <w:r>
        <w:rPr>
          <w:highlight w:val="none"/>
        </w:rPr>
        <w:t>供应商有下列情形之一的，属于恶意串通行为：</w:t>
      </w:r>
    </w:p>
    <w:p w14:paraId="11EEFF8A">
      <w:pPr>
        <w:bidi w:val="0"/>
        <w:rPr>
          <w:highlight w:val="none"/>
        </w:rPr>
      </w:pPr>
      <w:r>
        <w:rPr>
          <w:highlight w:val="none"/>
        </w:rPr>
        <w:t>（1）供应商直接或者间接从采购人或者采购代理机构处获得其他供应商的相关信息并修改其投标文件或者响应文件：</w:t>
      </w:r>
    </w:p>
    <w:p w14:paraId="77BEA522">
      <w:pPr>
        <w:bidi w:val="0"/>
        <w:rPr>
          <w:highlight w:val="none"/>
        </w:rPr>
      </w:pPr>
      <w:r>
        <w:rPr>
          <w:highlight w:val="none"/>
        </w:rPr>
        <w:t>（2）供应商按照采购人或者采购代理机构的授意撤换、修改投标文件或者响应文件；</w:t>
      </w:r>
    </w:p>
    <w:p w14:paraId="444A41D4">
      <w:pPr>
        <w:bidi w:val="0"/>
        <w:rPr>
          <w:highlight w:val="none"/>
        </w:rPr>
      </w:pPr>
      <w:r>
        <w:rPr>
          <w:highlight w:val="none"/>
        </w:rPr>
        <w:t>（3）供应商之间协商报价、技术方案等投标文件或者响应文件的实质性内容；</w:t>
      </w:r>
    </w:p>
    <w:p w14:paraId="3D377F43">
      <w:pPr>
        <w:bidi w:val="0"/>
        <w:rPr>
          <w:highlight w:val="none"/>
        </w:rPr>
      </w:pPr>
      <w:r>
        <w:rPr>
          <w:highlight w:val="none"/>
        </w:rPr>
        <w:t>（4）属于同一集团、协会、商会等组织成员的供应商按照该组织要求协同参加政府采购活动；</w:t>
      </w:r>
    </w:p>
    <w:p w14:paraId="437DE161">
      <w:pPr>
        <w:bidi w:val="0"/>
        <w:rPr>
          <w:highlight w:val="none"/>
        </w:rPr>
      </w:pPr>
      <w:r>
        <w:rPr>
          <w:highlight w:val="none"/>
        </w:rPr>
        <w:t>（5）供应商之间事先约定一致抬高或者压低投标报价,或者在招标项目中事先约定轮流以高价位或者低价位中标,或者事先约定由某一特定供应商中标,然后再参加投标；</w:t>
      </w:r>
    </w:p>
    <w:p w14:paraId="000DFCB7">
      <w:pPr>
        <w:bidi w:val="0"/>
        <w:rPr>
          <w:highlight w:val="none"/>
        </w:rPr>
      </w:pPr>
      <w:r>
        <w:rPr>
          <w:highlight w:val="none"/>
        </w:rPr>
        <w:t>（6）供应商之间商定部分供应商放弃参加政府采购活动或者放弃中标；</w:t>
      </w:r>
    </w:p>
    <w:p w14:paraId="5AD6C14F">
      <w:pPr>
        <w:bidi w:val="0"/>
        <w:rPr>
          <w:highlight w:val="none"/>
        </w:rPr>
      </w:pPr>
      <w:r>
        <w:rPr>
          <w:highlight w:val="none"/>
        </w:rPr>
        <w:t>（7）供应商与采购人或者采购代理机构之间、供应商相互之间，为谋求特定供应商中标或者排斥其他供应商的其他串通行为。</w:t>
      </w:r>
    </w:p>
    <w:p w14:paraId="44D18B87">
      <w:pPr>
        <w:bidi w:val="0"/>
        <w:rPr>
          <w:highlight w:val="none"/>
        </w:rPr>
      </w:pPr>
      <w:r>
        <w:rPr>
          <w:highlight w:val="none"/>
        </w:rPr>
        <w:t>8.关联供应商不得参加同一合同项下政府采购活动，否则投标文件将被视为无效：</w:t>
      </w:r>
    </w:p>
    <w:p w14:paraId="188E7AA8">
      <w:pPr>
        <w:bidi w:val="0"/>
        <w:rPr>
          <w:highlight w:val="none"/>
        </w:rPr>
      </w:pPr>
      <w:r>
        <w:rPr>
          <w:highlight w:val="none"/>
        </w:rPr>
        <w:t>（1）单位负责人为同一人或者存在直接控股、管理关系的不同的供应商，不得参加同一合同项下的政府采购活动；</w:t>
      </w:r>
    </w:p>
    <w:p w14:paraId="1C6841A8">
      <w:pPr>
        <w:bidi w:val="0"/>
        <w:rPr>
          <w:highlight w:val="none"/>
        </w:rPr>
      </w:pPr>
      <w:r>
        <w:rPr>
          <w:highlight w:val="none"/>
        </w:rPr>
        <w:t>（2）生产厂商授权给供应商后自己不得参加同一合同项下的政府采购活动；生产厂商对同一品牌同一型号的货物，仅能委托一个代理商参加投标。</w:t>
      </w:r>
    </w:p>
    <w:p w14:paraId="3BFBB8D8">
      <w:pPr>
        <w:bidi w:val="0"/>
        <w:rPr>
          <w:highlight w:val="none"/>
        </w:rPr>
      </w:pPr>
      <w:r>
        <w:rPr>
          <w:rFonts w:hint="eastAsia"/>
          <w:highlight w:val="none"/>
        </w:rPr>
        <w:t>（3）</w:t>
      </w:r>
      <w:r>
        <w:rPr>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95B8563">
      <w:pPr>
        <w:pStyle w:val="36"/>
        <w:bidi w:val="0"/>
        <w:rPr>
          <w:highlight w:val="none"/>
        </w:rPr>
      </w:pPr>
      <w:r>
        <w:rPr>
          <w:rFonts w:hint="eastAsia"/>
          <w:highlight w:val="none"/>
        </w:rPr>
        <w:t>（九）质疑和投诉</w:t>
      </w:r>
      <w:bookmarkEnd w:id="51"/>
      <w:bookmarkEnd w:id="52"/>
    </w:p>
    <w:p w14:paraId="4E3395F7">
      <w:pPr>
        <w:bidi w:val="0"/>
        <w:rPr>
          <w:highlight w:val="none"/>
        </w:rPr>
      </w:pPr>
      <w:r>
        <w:rPr>
          <w:rFonts w:hint="eastAsia"/>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174F59EF">
      <w:pPr>
        <w:bidi w:val="0"/>
        <w:rPr>
          <w:highlight w:val="none"/>
        </w:rPr>
      </w:pPr>
      <w:r>
        <w:rPr>
          <w:rFonts w:hint="eastAsia"/>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bookmarkStart w:id="53" w:name="_Toc97353125"/>
      <w:bookmarkStart w:id="54" w:name="_Toc109205409"/>
      <w:bookmarkStart w:id="55" w:name="_Toc97376589"/>
      <w:bookmarkStart w:id="56" w:name="_Toc139774543"/>
      <w:bookmarkStart w:id="57" w:name="_Toc97352470"/>
      <w:bookmarkStart w:id="58" w:name="_Toc97370512"/>
    </w:p>
    <w:p w14:paraId="34FF6AF7">
      <w:pPr>
        <w:bidi w:val="0"/>
        <w:rPr>
          <w:highlight w:val="none"/>
        </w:rPr>
      </w:pPr>
      <w:r>
        <w:rPr>
          <w:rFonts w:hint="eastAsia"/>
          <w:highlight w:val="none"/>
        </w:rPr>
        <w:t>3.质疑和投诉书面要求</w:t>
      </w:r>
      <w:bookmarkEnd w:id="53"/>
      <w:bookmarkEnd w:id="54"/>
      <w:bookmarkEnd w:id="55"/>
      <w:bookmarkEnd w:id="56"/>
      <w:bookmarkEnd w:id="57"/>
      <w:bookmarkEnd w:id="58"/>
    </w:p>
    <w:p w14:paraId="2B1E7079">
      <w:pPr>
        <w:bidi w:val="0"/>
        <w:rPr>
          <w:highlight w:val="none"/>
        </w:rPr>
      </w:pPr>
      <w:r>
        <w:rPr>
          <w:rFonts w:hint="eastAsia"/>
          <w:highlight w:val="none"/>
        </w:rPr>
        <w:t>质疑人或投诉人提供的书面材料（如材料中有外文资料须同时附上中文译本）至少包括以下内容：</w:t>
      </w:r>
    </w:p>
    <w:p w14:paraId="4AE2B31B">
      <w:pPr>
        <w:bidi w:val="0"/>
        <w:rPr>
          <w:highlight w:val="none"/>
        </w:rPr>
      </w:pPr>
      <w:r>
        <w:rPr>
          <w:rFonts w:hint="eastAsia"/>
          <w:highlight w:val="none"/>
        </w:rPr>
        <w:t>质疑人或投诉人的</w:t>
      </w:r>
      <w:r>
        <w:rPr>
          <w:highlight w:val="none"/>
        </w:rPr>
        <w:t>姓名或者名称、地址、邮编、联系人及联系电话；</w:t>
      </w:r>
    </w:p>
    <w:p w14:paraId="1C937373">
      <w:pPr>
        <w:bidi w:val="0"/>
        <w:rPr>
          <w:highlight w:val="none"/>
        </w:rPr>
      </w:pPr>
      <w:r>
        <w:rPr>
          <w:highlight w:val="none"/>
        </w:rPr>
        <w:t>质疑项目的名称、编号；</w:t>
      </w:r>
    </w:p>
    <w:p w14:paraId="292F9F02">
      <w:pPr>
        <w:bidi w:val="0"/>
        <w:rPr>
          <w:highlight w:val="none"/>
        </w:rPr>
      </w:pPr>
      <w:r>
        <w:rPr>
          <w:highlight w:val="none"/>
        </w:rPr>
        <w:t>具体、明确的质疑事项和与质疑事项相关的请求；</w:t>
      </w:r>
    </w:p>
    <w:p w14:paraId="1BE69ACF">
      <w:pPr>
        <w:bidi w:val="0"/>
        <w:rPr>
          <w:highlight w:val="none"/>
        </w:rPr>
      </w:pPr>
      <w:r>
        <w:rPr>
          <w:highlight w:val="none"/>
        </w:rPr>
        <w:t>事实依据；</w:t>
      </w:r>
    </w:p>
    <w:p w14:paraId="73DC70A0">
      <w:pPr>
        <w:bidi w:val="0"/>
        <w:rPr>
          <w:highlight w:val="none"/>
        </w:rPr>
      </w:pPr>
      <w:r>
        <w:rPr>
          <w:highlight w:val="none"/>
        </w:rPr>
        <w:t>必要的法律依据；</w:t>
      </w:r>
    </w:p>
    <w:p w14:paraId="4E426D86">
      <w:pPr>
        <w:bidi w:val="0"/>
        <w:rPr>
          <w:highlight w:val="none"/>
        </w:rPr>
      </w:pPr>
      <w:r>
        <w:rPr>
          <w:rFonts w:hint="eastAsia"/>
          <w:highlight w:val="none"/>
        </w:rPr>
        <w:t>质疑人或投诉人的签章及质疑或投诉时间；</w:t>
      </w:r>
    </w:p>
    <w:p w14:paraId="6E812AE4">
      <w:pPr>
        <w:bidi w:val="0"/>
        <w:rPr>
          <w:highlight w:val="none"/>
        </w:rPr>
      </w:pPr>
      <w:r>
        <w:rPr>
          <w:rFonts w:hint="eastAsia"/>
          <w:highlight w:val="none"/>
        </w:rPr>
        <w:t>质疑或投诉的书面材料须提供法定代表人签名和加盖单位公章的原件。</w:t>
      </w:r>
    </w:p>
    <w:p w14:paraId="4B0D0B09">
      <w:pPr>
        <w:bidi w:val="0"/>
        <w:rPr>
          <w:highlight w:val="none"/>
        </w:rPr>
      </w:pPr>
      <w:r>
        <w:rPr>
          <w:rFonts w:hint="eastAsia"/>
          <w:highlight w:val="none"/>
        </w:rPr>
        <w:t>质疑人须一次性提出针对同一采购程序环节的质疑。</w:t>
      </w:r>
    </w:p>
    <w:p w14:paraId="296A2E13">
      <w:pPr>
        <w:bidi w:val="0"/>
        <w:rPr>
          <w:highlight w:val="none"/>
        </w:rPr>
      </w:pPr>
      <w:r>
        <w:rPr>
          <w:rFonts w:hint="eastAsia"/>
          <w:highlight w:val="none"/>
        </w:rPr>
        <w:t>如质疑或投诉委托代理人办理时，须提供质疑人的授权委托书，</w:t>
      </w:r>
      <w:r>
        <w:rPr>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518FE7D">
      <w:pPr>
        <w:pStyle w:val="36"/>
        <w:bidi w:val="0"/>
        <w:rPr>
          <w:highlight w:val="none"/>
        </w:rPr>
      </w:pPr>
      <w:r>
        <w:rPr>
          <w:rFonts w:hint="eastAsia"/>
          <w:highlight w:val="none"/>
        </w:rPr>
        <w:t>未持有有效授权委托书的代理人提交的质疑函或不在法定质疑期内提交的质疑函，将不予受理。</w:t>
      </w:r>
    </w:p>
    <w:p w14:paraId="22C23B7F">
      <w:pPr>
        <w:bidi w:val="0"/>
        <w:rPr>
          <w:rFonts w:hAnsi="宋体"/>
          <w:b/>
          <w:sz w:val="28"/>
          <w:szCs w:val="28"/>
          <w:highlight w:val="none"/>
        </w:rPr>
      </w:pPr>
      <w:r>
        <w:rPr>
          <w:rFonts w:hint="eastAsia"/>
          <w:highlight w:val="none"/>
        </w:rPr>
        <w:t>4．接受质疑函的联系方式等详见招标公告中采购人、采购代理机构的联系方式。</w:t>
      </w:r>
      <w:bookmarkStart w:id="59" w:name="_Toc254970675"/>
      <w:bookmarkStart w:id="60" w:name="_Toc254970534"/>
    </w:p>
    <w:p w14:paraId="45F20791">
      <w:pPr>
        <w:pStyle w:val="4"/>
        <w:bidi w:val="0"/>
        <w:rPr>
          <w:highlight w:val="none"/>
        </w:rPr>
      </w:pPr>
      <w:r>
        <w:rPr>
          <w:rFonts w:hint="eastAsia"/>
          <w:highlight w:val="none"/>
        </w:rPr>
        <w:t>二、招标文件</w:t>
      </w:r>
      <w:bookmarkEnd w:id="59"/>
      <w:bookmarkEnd w:id="60"/>
    </w:p>
    <w:p w14:paraId="5151E6D1">
      <w:pPr>
        <w:pStyle w:val="36"/>
        <w:bidi w:val="0"/>
        <w:rPr>
          <w:highlight w:val="none"/>
        </w:rPr>
      </w:pPr>
      <w:r>
        <w:rPr>
          <w:rFonts w:hint="eastAsia"/>
          <w:highlight w:val="none"/>
        </w:rPr>
        <w:t>（一）招标文件的构成。</w:t>
      </w:r>
    </w:p>
    <w:p w14:paraId="3E90F934">
      <w:pPr>
        <w:bidi w:val="0"/>
        <w:rPr>
          <w:highlight w:val="none"/>
        </w:rPr>
      </w:pPr>
      <w:r>
        <w:rPr>
          <w:rFonts w:hint="eastAsia"/>
          <w:highlight w:val="none"/>
        </w:rPr>
        <w:t>1. 招标公告；</w:t>
      </w:r>
    </w:p>
    <w:p w14:paraId="3CE2B1BE">
      <w:pPr>
        <w:bidi w:val="0"/>
        <w:rPr>
          <w:highlight w:val="none"/>
        </w:rPr>
      </w:pPr>
      <w:r>
        <w:rPr>
          <w:rFonts w:hint="eastAsia"/>
          <w:highlight w:val="none"/>
        </w:rPr>
        <w:t>2. 招标项目采购需求；</w:t>
      </w:r>
    </w:p>
    <w:p w14:paraId="0BFA541C">
      <w:pPr>
        <w:bidi w:val="0"/>
        <w:rPr>
          <w:highlight w:val="none"/>
        </w:rPr>
      </w:pPr>
      <w:r>
        <w:rPr>
          <w:rFonts w:hint="eastAsia"/>
          <w:highlight w:val="none"/>
        </w:rPr>
        <w:t>3. 投标人须知；</w:t>
      </w:r>
    </w:p>
    <w:p w14:paraId="44C86055">
      <w:pPr>
        <w:bidi w:val="0"/>
        <w:rPr>
          <w:highlight w:val="none"/>
        </w:rPr>
      </w:pPr>
      <w:r>
        <w:rPr>
          <w:rFonts w:hint="eastAsia"/>
          <w:highlight w:val="none"/>
        </w:rPr>
        <w:t>4. 评标方法及评标标准；</w:t>
      </w:r>
    </w:p>
    <w:p w14:paraId="659F2C61">
      <w:pPr>
        <w:bidi w:val="0"/>
        <w:rPr>
          <w:highlight w:val="none"/>
        </w:rPr>
      </w:pPr>
      <w:r>
        <w:rPr>
          <w:rFonts w:hint="eastAsia"/>
          <w:highlight w:val="none"/>
        </w:rPr>
        <w:t>5. 合同主要条款格式；</w:t>
      </w:r>
    </w:p>
    <w:p w14:paraId="10BA9CA9">
      <w:pPr>
        <w:bidi w:val="0"/>
        <w:rPr>
          <w:highlight w:val="none"/>
        </w:rPr>
      </w:pPr>
      <w:r>
        <w:rPr>
          <w:rFonts w:hint="eastAsia"/>
          <w:highlight w:val="none"/>
        </w:rPr>
        <w:t>6. 投标文件格式。</w:t>
      </w:r>
    </w:p>
    <w:p w14:paraId="3F1A698E">
      <w:pPr>
        <w:pStyle w:val="36"/>
        <w:bidi w:val="0"/>
        <w:rPr>
          <w:highlight w:val="none"/>
        </w:rPr>
      </w:pPr>
      <w:r>
        <w:rPr>
          <w:rFonts w:hint="eastAsia"/>
          <w:highlight w:val="none"/>
        </w:rPr>
        <w:t>（二）投标人的风险</w:t>
      </w:r>
    </w:p>
    <w:p w14:paraId="106CF95B">
      <w:pPr>
        <w:bidi w:val="0"/>
        <w:rPr>
          <w:highlight w:val="none"/>
        </w:rPr>
      </w:pPr>
      <w:r>
        <w:rPr>
          <w:rFonts w:hint="eastAsia"/>
          <w:highlight w:val="none"/>
        </w:rPr>
        <w:t>投标人没有按照招标文件要求提供全部资料，或者投标人没有对招标文件在各方面作出实质性响应是投标人的风险，并可能导致其投标被拒绝。</w:t>
      </w:r>
    </w:p>
    <w:p w14:paraId="6E5FBF3A">
      <w:pPr>
        <w:pStyle w:val="36"/>
        <w:bidi w:val="0"/>
        <w:rPr>
          <w:highlight w:val="none"/>
        </w:rPr>
      </w:pPr>
      <w:r>
        <w:rPr>
          <w:rFonts w:hint="eastAsia"/>
          <w:highlight w:val="none"/>
        </w:rPr>
        <w:t xml:space="preserve">（三）招标文件的澄清与修改 </w:t>
      </w:r>
    </w:p>
    <w:p w14:paraId="032888D9">
      <w:pPr>
        <w:bidi w:val="0"/>
        <w:rPr>
          <w:highlight w:val="none"/>
        </w:rPr>
      </w:pPr>
      <w:r>
        <w:rPr>
          <w:rFonts w:hint="eastAsia"/>
          <w:highlight w:val="none"/>
        </w:rPr>
        <w:t>1.投标人应认真阅读本招标文件，发现招标文件表述不清晰、存在歧视性、排他性或者其他违法内容的，应以书面形式要求招标采购单位作出书面解释、澄清；答疑内容是招标文件的组成部份，并将以书面形式通知（在“投标人须知前附表”规定的发布媒体上发布更正公告）所有获取招标文件的潜在投标人；如澄清或者修改的内容影响投标文件编制的，应当在招标文件要求提交投标文件截止时间十五日前，并以书面形式通知所有招标文件收受人；不足15日的，采购代理机构应当顺延提交投标文件的截止时间；该澄清或者修改的内容为招标文件的组成部分。</w:t>
      </w:r>
    </w:p>
    <w:p w14:paraId="470261B3">
      <w:pPr>
        <w:bidi w:val="0"/>
        <w:rPr>
          <w:highlight w:val="none"/>
        </w:rPr>
      </w:pPr>
      <w:r>
        <w:rPr>
          <w:rFonts w:hint="eastAsia"/>
          <w:highlight w:val="none"/>
        </w:rPr>
        <w:t>2.采购代理机构必须以书面形式答复投标人要求澄清的问题，并将不包含问题来源的答复书面通知所有购买招标文件的投标人；除书面答复以外的其他澄清方式及澄清内容均无效。</w:t>
      </w:r>
    </w:p>
    <w:p w14:paraId="22F4AEB0">
      <w:pPr>
        <w:bidi w:val="0"/>
        <w:rPr>
          <w:highlight w:val="none"/>
        </w:rPr>
      </w:pPr>
      <w:r>
        <w:rPr>
          <w:rFonts w:hint="eastAsia"/>
          <w:highlight w:val="none"/>
        </w:rPr>
        <w:t>3.招标文件澄清、答复、修改、补充的内容为招标文件的组成部分。当招标文件与招标文件的答复、澄清、修改、补充通知就同一内容的表述不一致时，以最后发出的书面文件为准。</w:t>
      </w:r>
    </w:p>
    <w:p w14:paraId="5542DFD9">
      <w:pPr>
        <w:bidi w:val="0"/>
        <w:rPr>
          <w:highlight w:val="none"/>
        </w:rPr>
      </w:pPr>
      <w:r>
        <w:rPr>
          <w:rFonts w:hint="eastAsia"/>
          <w:highlight w:val="none"/>
        </w:rPr>
        <w:t>4.招标文件的澄清、答复、修改或补充都应该通过本代理机构以法定形式发布，采购人非通过本机构，不得擅自澄清、答复、修改或补充招标文件。</w:t>
      </w:r>
    </w:p>
    <w:p w14:paraId="4DF35472">
      <w:pPr>
        <w:bidi w:val="0"/>
        <w:rPr>
          <w:highlight w:val="none"/>
        </w:rPr>
      </w:pPr>
      <w:r>
        <w:rPr>
          <w:rFonts w:hint="eastAsia"/>
          <w:highlight w:val="none"/>
        </w:rPr>
        <w:t>5.采购人可以视采购具体情况，延长投标截止时间和开标时间，并在财政部门指定的政府采购信息发布媒体上发布更正公告。</w:t>
      </w:r>
    </w:p>
    <w:p w14:paraId="5C778F8B">
      <w:pPr>
        <w:bidi w:val="0"/>
        <w:rPr>
          <w:rFonts w:hAnsi="宋体"/>
          <w:highlight w:val="none"/>
        </w:rPr>
      </w:pPr>
      <w:r>
        <w:rPr>
          <w:rFonts w:hint="eastAsia"/>
          <w:highlight w:val="none"/>
        </w:rPr>
        <w:t>6.采购人或者采购代理机构可以在招标文件提供期限截止后，组织已获取招标文件的潜在投标人现场考察或者召开开标前答疑会，具体详见“投标人须知前附表”。供应商考察现场或参加答疑会发生的费用自理，并自行负责在考察现场或参加答疑会中所发生的人员伤亡和财产损失</w:t>
      </w:r>
      <w:r>
        <w:rPr>
          <w:rFonts w:hint="eastAsia" w:hAnsi="宋体"/>
          <w:highlight w:val="none"/>
        </w:rPr>
        <w:t>。</w:t>
      </w:r>
    </w:p>
    <w:p w14:paraId="4FC640B5">
      <w:pPr>
        <w:pStyle w:val="4"/>
        <w:bidi w:val="0"/>
        <w:rPr>
          <w:highlight w:val="none"/>
        </w:rPr>
      </w:pPr>
      <w:bookmarkStart w:id="61" w:name="_Toc254970676"/>
      <w:bookmarkStart w:id="62" w:name="_Toc254970535"/>
      <w:r>
        <w:rPr>
          <w:rFonts w:hint="eastAsia"/>
          <w:highlight w:val="none"/>
        </w:rPr>
        <w:t>三、投标文件的编制</w:t>
      </w:r>
      <w:bookmarkEnd w:id="61"/>
      <w:bookmarkEnd w:id="62"/>
    </w:p>
    <w:p w14:paraId="0C1451A6">
      <w:pPr>
        <w:pStyle w:val="36"/>
        <w:bidi w:val="0"/>
        <w:rPr>
          <w:highlight w:val="none"/>
        </w:rPr>
      </w:pPr>
      <w:bookmarkStart w:id="63" w:name="_Toc254970677"/>
      <w:bookmarkStart w:id="64" w:name="_Toc254970536"/>
      <w:r>
        <w:rPr>
          <w:rFonts w:hint="eastAsia"/>
          <w:highlight w:val="none"/>
        </w:rPr>
        <w:t>（一）投标文件的组成</w:t>
      </w:r>
      <w:bookmarkEnd w:id="63"/>
      <w:bookmarkEnd w:id="64"/>
    </w:p>
    <w:p w14:paraId="4DB0C78C">
      <w:pPr>
        <w:bidi w:val="0"/>
        <w:rPr>
          <w:highlight w:val="none"/>
        </w:rPr>
      </w:pPr>
      <w:r>
        <w:rPr>
          <w:rFonts w:hint="eastAsia"/>
          <w:highlight w:val="none"/>
        </w:rPr>
        <w:t>投标文件由资格证明文件</w:t>
      </w:r>
      <w:r>
        <w:rPr>
          <w:highlight w:val="none"/>
        </w:rPr>
        <w:t>、</w:t>
      </w:r>
      <w:r>
        <w:rPr>
          <w:rFonts w:hint="eastAsia"/>
          <w:highlight w:val="none"/>
        </w:rPr>
        <w:t>商务文件、技术文件、报价文件</w:t>
      </w:r>
      <w:r>
        <w:rPr>
          <w:highlight w:val="none"/>
        </w:rPr>
        <w:t>组成。</w:t>
      </w:r>
    </w:p>
    <w:p w14:paraId="42D59DD2">
      <w:pPr>
        <w:pStyle w:val="36"/>
        <w:bidi w:val="0"/>
        <w:rPr>
          <w:highlight w:val="none"/>
        </w:rPr>
      </w:pPr>
      <w:r>
        <w:rPr>
          <w:rFonts w:hint="eastAsia"/>
          <w:highlight w:val="none"/>
        </w:rPr>
        <w:t>1.资格证明文件（以下文件标注“▲”的必须提供，否则投标无效，其他可根据实际情况提供）</w:t>
      </w:r>
    </w:p>
    <w:p w14:paraId="2FAB303B">
      <w:pPr>
        <w:pStyle w:val="36"/>
        <w:bidi w:val="0"/>
        <w:rPr>
          <w:highlight w:val="none"/>
        </w:rPr>
      </w:pPr>
      <w:r>
        <w:rPr>
          <w:rFonts w:hint="eastAsia"/>
          <w:highlight w:val="none"/>
        </w:rPr>
        <w:t>▲注：以下各项属于均要加盖投标人电子公章。联合体投标时，第2</w:t>
      </w:r>
      <w:r>
        <w:rPr>
          <w:highlight w:val="none"/>
        </w:rPr>
        <w:t>-</w:t>
      </w:r>
      <w:r>
        <w:rPr>
          <w:rFonts w:hint="eastAsia"/>
          <w:highlight w:val="none"/>
        </w:rPr>
        <w:t>10项资格证明文件联合体各方均必须分别提供，联合体各方分别盖章和签字，否则投标文件按无效响应处理。</w:t>
      </w:r>
    </w:p>
    <w:p w14:paraId="503F0D2E">
      <w:pPr>
        <w:bidi w:val="0"/>
        <w:rPr>
          <w:highlight w:val="none"/>
        </w:rPr>
      </w:pPr>
      <w:r>
        <w:rPr>
          <w:rFonts w:hint="eastAsia"/>
          <w:highlight w:val="none"/>
        </w:rPr>
        <w:t>▲（1）投标声明书(按第六章要求格式填写)；</w:t>
      </w:r>
    </w:p>
    <w:p w14:paraId="605F79CE">
      <w:pPr>
        <w:bidi w:val="0"/>
        <w:rPr>
          <w:highlight w:val="none"/>
        </w:rPr>
      </w:pPr>
      <w:r>
        <w:rPr>
          <w:rFonts w:hint="eastAsia"/>
          <w:highlight w:val="none"/>
        </w:rPr>
        <w:t>▲（2）</w:t>
      </w:r>
      <w:r>
        <w:rPr>
          <w:highlight w:val="none"/>
        </w:rPr>
        <w:t>投标供应商</w:t>
      </w:r>
      <w:r>
        <w:rPr>
          <w:rFonts w:hint="eastAsia"/>
          <w:highlight w:val="none"/>
        </w:rPr>
        <w:t>合法的主体资格证明（如营业执照、事业单位法人证书、执业许可证、个体工商户营业执照、自然人身份证等）复印件；</w:t>
      </w:r>
    </w:p>
    <w:p w14:paraId="4A972ACE">
      <w:pPr>
        <w:bidi w:val="0"/>
        <w:rPr>
          <w:rFonts w:hint="eastAsia"/>
          <w:highlight w:val="none"/>
        </w:rPr>
      </w:pPr>
      <w:r>
        <w:rPr>
          <w:rFonts w:hint="eastAsia"/>
          <w:highlight w:val="none"/>
        </w:rPr>
        <w:t>▲（3）投标供应商依法缴纳税收的相关材料（</w:t>
      </w:r>
      <w:r>
        <w:rPr>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月至</w:t>
      </w:r>
      <w:r>
        <w:rPr>
          <w:rFonts w:hint="eastAsia"/>
          <w:highlight w:val="none"/>
          <w:lang w:val="en-US" w:eastAsia="zh-CN"/>
        </w:rPr>
        <w:t>2025</w:t>
      </w:r>
      <w:r>
        <w:rPr>
          <w:rFonts w:hint="eastAsia"/>
          <w:highlight w:val="none"/>
        </w:rPr>
        <w:t>年</w:t>
      </w:r>
      <w:r>
        <w:rPr>
          <w:rFonts w:hint="eastAsia"/>
          <w:highlight w:val="none"/>
          <w:lang w:val="en-US" w:eastAsia="zh-CN"/>
        </w:rPr>
        <w:t>3</w:t>
      </w:r>
      <w:r>
        <w:rPr>
          <w:rFonts w:hint="eastAsia"/>
          <w:highlight w:val="none"/>
        </w:rPr>
        <w:t>月内连续</w:t>
      </w:r>
      <w:r>
        <w:rPr>
          <w:highlight w:val="none"/>
        </w:rPr>
        <w:t>3</w:t>
      </w:r>
      <w:r>
        <w:rPr>
          <w:rFonts w:hint="eastAsia"/>
          <w:highlight w:val="none"/>
        </w:rPr>
        <w:t>个月的依法缴纳税收的证明材料（凭证或税务机关出具的证明）复印件（或扫描件）；依法免税的供应商，必须提供相应文件证明其依法免税。从成立之日起到投标文件提交截止时间止不足要求月数的，只需提供从成立之日起的依法缴纳税收相应证明文件）；</w:t>
      </w:r>
      <w:r>
        <w:rPr>
          <w:highlight w:val="none"/>
        </w:rPr>
        <w:t xml:space="preserve"> </w:t>
      </w:r>
    </w:p>
    <w:p w14:paraId="784D261B">
      <w:pPr>
        <w:bidi w:val="0"/>
        <w:rPr>
          <w:highlight w:val="none"/>
        </w:rPr>
      </w:pPr>
      <w:r>
        <w:rPr>
          <w:rFonts w:hint="eastAsia"/>
          <w:highlight w:val="none"/>
        </w:rPr>
        <w:t>▲（4）投标供应商依法缴纳社会保障资金的相关材料（</w:t>
      </w:r>
      <w:r>
        <w:rPr>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月至</w:t>
      </w:r>
      <w:r>
        <w:rPr>
          <w:rFonts w:hint="eastAsia"/>
          <w:highlight w:val="none"/>
          <w:lang w:val="en-US" w:eastAsia="zh-CN"/>
        </w:rPr>
        <w:t>2025</w:t>
      </w:r>
      <w:r>
        <w:rPr>
          <w:rFonts w:hint="eastAsia"/>
          <w:highlight w:val="none"/>
        </w:rPr>
        <w:t>年</w:t>
      </w:r>
      <w:r>
        <w:rPr>
          <w:rFonts w:hint="eastAsia"/>
          <w:highlight w:val="none"/>
          <w:lang w:val="en-US" w:eastAsia="zh-CN"/>
        </w:rPr>
        <w:t>3</w:t>
      </w:r>
      <w:r>
        <w:rPr>
          <w:rFonts w:hint="eastAsia"/>
          <w:highlight w:val="none"/>
        </w:rPr>
        <w:t>月内连续</w:t>
      </w:r>
      <w:r>
        <w:rPr>
          <w:highlight w:val="none"/>
        </w:rPr>
        <w:t>3</w:t>
      </w:r>
      <w:r>
        <w:rPr>
          <w:rFonts w:hint="eastAsia"/>
          <w:highlight w:val="none"/>
        </w:rPr>
        <w:t>个月的依法缴纳社会保障资金的缴费凭证（专用收据或者社会保险缴纳清单或者社保部门出具的证明文件）复印件（或扫描件）；依法不需要缴纳社会保障资金的供应商，必须提供相应文件证明不需要缴纳社会保障资金；</w:t>
      </w:r>
      <w:r>
        <w:rPr>
          <w:highlight w:val="none"/>
        </w:rPr>
        <w:t>如投标人社保由上级公司缴纳的，须提供以下资料：上级公司营业执照副本复印件；上级公司出具的社保缴纳情况说明原件（附投标人拟投入人员名单）；上级公司于开标前最近一次</w:t>
      </w:r>
      <w:r>
        <w:rPr>
          <w:rFonts w:hint="eastAsia"/>
          <w:highlight w:val="none"/>
        </w:rPr>
        <w:t>社会保障资金的缴费凭证</w:t>
      </w:r>
      <w:r>
        <w:rPr>
          <w:highlight w:val="none"/>
        </w:rPr>
        <w:t>；上级公司于开标前最近一次缴纳社会保险的投标人拟投入人员明细；</w:t>
      </w:r>
      <w:r>
        <w:rPr>
          <w:rFonts w:hint="eastAsia"/>
          <w:highlight w:val="none"/>
        </w:rPr>
        <w:t>从成立之日起到投标文件提交截止时间止不足要求月数的只需提供从成立之日起的依法缴纳社会保障资金的相应证明文件）；</w:t>
      </w:r>
    </w:p>
    <w:p w14:paraId="00719796">
      <w:pPr>
        <w:bidi w:val="0"/>
        <w:rPr>
          <w:highlight w:val="none"/>
        </w:rPr>
      </w:pPr>
      <w:r>
        <w:rPr>
          <w:rFonts w:hint="eastAsia"/>
          <w:highlight w:val="none"/>
        </w:rPr>
        <w:t>▲（5）投标人202</w:t>
      </w:r>
      <w:r>
        <w:rPr>
          <w:rFonts w:hint="eastAsia"/>
          <w:highlight w:val="none"/>
          <w:lang w:val="en-US" w:eastAsia="zh-CN"/>
        </w:rPr>
        <w:t>3</w:t>
      </w:r>
      <w:r>
        <w:rPr>
          <w:rFonts w:hint="eastAsia"/>
          <w:highlight w:val="none"/>
        </w:rPr>
        <w:t>年</w:t>
      </w:r>
      <w:r>
        <w:rPr>
          <w:rFonts w:hint="eastAsia"/>
          <w:highlight w:val="none"/>
          <w:lang w:val="en-US" w:eastAsia="zh-CN"/>
        </w:rPr>
        <w:t>或</w:t>
      </w:r>
      <w:r>
        <w:rPr>
          <w:rFonts w:hint="eastAsia"/>
          <w:highlight w:val="none"/>
        </w:rPr>
        <w:t>202</w:t>
      </w:r>
      <w:r>
        <w:rPr>
          <w:rFonts w:hint="eastAsia"/>
          <w:highlight w:val="none"/>
          <w:lang w:val="en-US" w:eastAsia="zh-CN"/>
        </w:rPr>
        <w:t>4</w:t>
      </w:r>
      <w:r>
        <w:rPr>
          <w:rFonts w:hint="eastAsia"/>
          <w:highlight w:val="none"/>
        </w:rPr>
        <w:t xml:space="preserve">年财务状况报告复印件【①可以是经会计师事务所审计的财务报告，或是本公司出具的财务报表（供应商执行《企业会计准则》的，提供资产负债表、利润表、现金流量表、所有者权益变动表及其附注；供应商执行《小企业会计准则》的，提供资产负债表、利润表、现金流量表及其附注；供应商执行《政府会计制度》的，提供资产负债表、收入费用表和净资产变动表及其附注）；②新近成立不足半年的公司按实际提供财务报表】，或者银行出具的资信证明（说明：资信证明指：反映投标人资金结算无异常，无违规透支，无理拒付、无逾期（垫款）和欠息等不良记录，结算纪律良好的相关证明，并非指存款证明。如所提供该证明仅为存款数额信息的将作无效证明处理，并按无效投标处理）； </w:t>
      </w:r>
    </w:p>
    <w:p w14:paraId="257EFF05">
      <w:pPr>
        <w:bidi w:val="0"/>
        <w:rPr>
          <w:highlight w:val="none"/>
        </w:rPr>
      </w:pPr>
      <w:r>
        <w:rPr>
          <w:rFonts w:hint="eastAsia"/>
          <w:highlight w:val="none"/>
        </w:rPr>
        <w:t>▲（6）</w:t>
      </w:r>
      <w:r>
        <w:rPr>
          <w:highlight w:val="none"/>
        </w:rPr>
        <w:t>参加政府采购活动前三年内在经营活动中没有重大违法记录和不良信用记录的书面声明</w:t>
      </w:r>
      <w:r>
        <w:rPr>
          <w:rFonts w:hint="eastAsia"/>
          <w:highlight w:val="none"/>
        </w:rPr>
        <w:t>书</w:t>
      </w:r>
      <w:r>
        <w:rPr>
          <w:highlight w:val="none"/>
        </w:rPr>
        <w:t>（格式自拟）；</w:t>
      </w:r>
    </w:p>
    <w:p w14:paraId="01EAE387">
      <w:pPr>
        <w:bidi w:val="0"/>
        <w:rPr>
          <w:highlight w:val="none"/>
        </w:rPr>
      </w:pPr>
      <w:r>
        <w:rPr>
          <w:rFonts w:hint="eastAsia"/>
          <w:highlight w:val="none"/>
        </w:rPr>
        <w:t>▲（7）</w:t>
      </w:r>
      <w:r>
        <w:rPr>
          <w:highlight w:val="none"/>
        </w:rPr>
        <w:t>投标人如为分支机构投标的，须提供其总公司“营业执照”副本复印件和总公司对投标人</w:t>
      </w:r>
      <w:r>
        <w:rPr>
          <w:rFonts w:hint="eastAsia"/>
          <w:highlight w:val="none"/>
        </w:rPr>
        <w:t>参与本项目投标</w:t>
      </w:r>
      <w:r>
        <w:rPr>
          <w:highlight w:val="none"/>
        </w:rPr>
        <w:t>的授权书原件（格式自拟）；</w:t>
      </w:r>
    </w:p>
    <w:p w14:paraId="432C3F2A">
      <w:pPr>
        <w:bidi w:val="0"/>
        <w:rPr>
          <w:highlight w:val="none"/>
        </w:rPr>
      </w:pPr>
      <w:r>
        <w:rPr>
          <w:rFonts w:hint="eastAsia"/>
          <w:highlight w:val="none"/>
        </w:rPr>
        <w:t>▲（8）投标人直接控股、管理关系信息表(按第六章要求格式填写)；</w:t>
      </w:r>
    </w:p>
    <w:p w14:paraId="4B7C5E92">
      <w:pPr>
        <w:bidi w:val="0"/>
        <w:rPr>
          <w:highlight w:val="none"/>
        </w:rPr>
      </w:pPr>
      <w:r>
        <w:rPr>
          <w:rFonts w:hint="eastAsia"/>
          <w:highlight w:val="none"/>
        </w:rPr>
        <w:t>（9）联合体协议书；（联合体投标时必须提供，否则投标文件按无效响应处理）</w:t>
      </w:r>
    </w:p>
    <w:p w14:paraId="69B100E0">
      <w:pPr>
        <w:bidi w:val="0"/>
        <w:rPr>
          <w:highlight w:val="none"/>
        </w:rPr>
      </w:pPr>
      <w:r>
        <w:rPr>
          <w:rFonts w:hint="eastAsia"/>
          <w:highlight w:val="none"/>
        </w:rPr>
        <w:t>（10）中小企业声明函或残疾人福利性单位声明函或属于监狱企业的证明文件（由省级以上监狱管理局、戒毒管理局（含新疆生产建设兵团）出具）；</w:t>
      </w:r>
    </w:p>
    <w:p w14:paraId="20840DF8">
      <w:pPr>
        <w:bidi w:val="0"/>
        <w:rPr>
          <w:rFonts w:hint="eastAsia" w:eastAsia="宋体"/>
          <w:highlight w:val="none"/>
          <w:lang w:eastAsia="zh-CN"/>
        </w:rPr>
      </w:pPr>
      <w:r>
        <w:rPr>
          <w:rFonts w:hint="eastAsia"/>
          <w:highlight w:val="none"/>
        </w:rPr>
        <w:t>▲（11）特定资格条件：（必须提供，否则投标文件按无效响应处理）</w:t>
      </w:r>
      <w:r>
        <w:rPr>
          <w:rFonts w:hint="eastAsia"/>
          <w:highlight w:val="none"/>
          <w:lang w:eastAsia="zh-CN"/>
        </w:rPr>
        <w:t>；</w:t>
      </w:r>
    </w:p>
    <w:p w14:paraId="6688DDD7">
      <w:pPr>
        <w:pStyle w:val="36"/>
        <w:bidi w:val="0"/>
        <w:rPr>
          <w:highlight w:val="none"/>
        </w:rPr>
      </w:pPr>
      <w:r>
        <w:rPr>
          <w:rFonts w:hint="eastAsia"/>
          <w:highlight w:val="none"/>
        </w:rPr>
        <w:t>2.商务文件（以下文件标注“▲”的必须提供，“招标项目采购需求”要求“必须提供”的必须提供，其他可根据实际情况提供。第（1）（2）项由法定代表人签名，否则其投标无效）</w:t>
      </w:r>
    </w:p>
    <w:p w14:paraId="119DEDEA">
      <w:pPr>
        <w:pStyle w:val="36"/>
        <w:bidi w:val="0"/>
        <w:rPr>
          <w:highlight w:val="none"/>
        </w:rPr>
      </w:pPr>
      <w:r>
        <w:rPr>
          <w:rFonts w:hint="eastAsia"/>
          <w:highlight w:val="none"/>
        </w:rPr>
        <w:t>▲注：以下标注“▲”均要加盖投标人单位电子公章或自然人加盖手指指印，否则其投标无效。</w:t>
      </w:r>
    </w:p>
    <w:p w14:paraId="09E4A81F">
      <w:pPr>
        <w:bidi w:val="0"/>
        <w:rPr>
          <w:highlight w:val="none"/>
        </w:rPr>
      </w:pPr>
      <w:r>
        <w:rPr>
          <w:rFonts w:hint="eastAsia"/>
          <w:highlight w:val="none"/>
        </w:rPr>
        <w:t xml:space="preserve">▲（1）法定代表人身份证明书(按第六章要求格式填写)； </w:t>
      </w:r>
    </w:p>
    <w:p w14:paraId="256ECD0F">
      <w:pPr>
        <w:bidi w:val="0"/>
        <w:rPr>
          <w:highlight w:val="none"/>
        </w:rPr>
      </w:pPr>
      <w:r>
        <w:rPr>
          <w:rFonts w:hint="eastAsia"/>
          <w:highlight w:val="none"/>
        </w:rPr>
        <w:t>▲（2）法定代表人授权委托书及被授权委托人身份证复印件(委托代理时，按第六章要求格式填写)；</w:t>
      </w:r>
    </w:p>
    <w:p w14:paraId="5F17AA61">
      <w:pPr>
        <w:bidi w:val="0"/>
        <w:rPr>
          <w:highlight w:val="none"/>
        </w:rPr>
      </w:pPr>
      <w:r>
        <w:rPr>
          <w:rFonts w:hint="eastAsia"/>
          <w:highlight w:val="none"/>
        </w:rPr>
        <w:t>▲（3）投标保证金缴纳证明材料复印件（按第六章要求格式填写）；</w:t>
      </w:r>
    </w:p>
    <w:p w14:paraId="3409B16B">
      <w:pPr>
        <w:bidi w:val="0"/>
        <w:rPr>
          <w:rFonts w:hint="eastAsia"/>
          <w:highlight w:val="none"/>
        </w:rPr>
      </w:pPr>
      <w:r>
        <w:rPr>
          <w:rFonts w:hint="eastAsia"/>
          <w:highlight w:val="none"/>
        </w:rPr>
        <w:t>▲（4）商务响应表(按第六章要求格式填写)；</w:t>
      </w:r>
    </w:p>
    <w:p w14:paraId="0983F052">
      <w:pPr>
        <w:bidi w:val="0"/>
        <w:rPr>
          <w:highlight w:val="none"/>
        </w:rPr>
      </w:pPr>
      <w:r>
        <w:rPr>
          <w:rFonts w:hint="eastAsia"/>
          <w:highlight w:val="none"/>
        </w:rPr>
        <w:t>（5）代理服务费承诺书(按第六章要求格式填写)；</w:t>
      </w:r>
    </w:p>
    <w:p w14:paraId="2E948EAE">
      <w:pPr>
        <w:bidi w:val="0"/>
        <w:rPr>
          <w:highlight w:val="none"/>
        </w:rPr>
      </w:pPr>
      <w:r>
        <w:rPr>
          <w:rFonts w:hint="eastAsia"/>
          <w:highlight w:val="none"/>
        </w:rPr>
        <w:t>（6）投标人情况介绍（格式自拟）；</w:t>
      </w:r>
    </w:p>
    <w:p w14:paraId="5B8968B1">
      <w:pPr>
        <w:bidi w:val="0"/>
        <w:rPr>
          <w:highlight w:val="none"/>
        </w:rPr>
      </w:pPr>
      <w:r>
        <w:rPr>
          <w:rFonts w:hint="eastAsia"/>
          <w:highlight w:val="none"/>
        </w:rPr>
        <w:t>（7）投标人认为需要提供的其他证明材料。（投标人根据“第二章</w:t>
      </w:r>
      <w:r>
        <w:rPr>
          <w:highlight w:val="none"/>
        </w:rPr>
        <w:t xml:space="preserve"> </w:t>
      </w:r>
      <w:r>
        <w:rPr>
          <w:rFonts w:hint="eastAsia"/>
          <w:highlight w:val="none"/>
        </w:rPr>
        <w:t>采购需求”及“第四章</w:t>
      </w:r>
      <w:r>
        <w:rPr>
          <w:highlight w:val="none"/>
        </w:rPr>
        <w:t xml:space="preserve"> </w:t>
      </w:r>
      <w:r>
        <w:rPr>
          <w:rFonts w:hint="eastAsia"/>
          <w:highlight w:val="none"/>
        </w:rPr>
        <w:t>评标方法及评标标准”提供有关证明材料）。</w:t>
      </w:r>
    </w:p>
    <w:p w14:paraId="3903403D">
      <w:pPr>
        <w:pStyle w:val="36"/>
        <w:bidi w:val="0"/>
        <w:rPr>
          <w:highlight w:val="none"/>
        </w:rPr>
      </w:pPr>
      <w:r>
        <w:rPr>
          <w:rFonts w:hint="eastAsia"/>
          <w:highlight w:val="none"/>
        </w:rPr>
        <w:t>3.技术文件（以下文件标注“▲”的必须提供，“招标项目采购需求”要求“必须提供”的必须提供，其他可根据实际情况提供）</w:t>
      </w:r>
    </w:p>
    <w:p w14:paraId="38D1D8DB">
      <w:pPr>
        <w:pStyle w:val="36"/>
        <w:bidi w:val="0"/>
        <w:rPr>
          <w:highlight w:val="none"/>
        </w:rPr>
      </w:pPr>
      <w:r>
        <w:rPr>
          <w:rFonts w:hint="eastAsia"/>
          <w:highlight w:val="none"/>
        </w:rPr>
        <w:t>▲注：以下标注“▲”均要加盖投标人单位电子公章或自然人加盖手指指印，否则其投标无效。</w:t>
      </w:r>
    </w:p>
    <w:p w14:paraId="186A329A">
      <w:pPr>
        <w:bidi w:val="0"/>
        <w:rPr>
          <w:highlight w:val="none"/>
        </w:rPr>
      </w:pPr>
      <w:r>
        <w:rPr>
          <w:rFonts w:hint="eastAsia"/>
          <w:highlight w:val="none"/>
        </w:rPr>
        <w:t>▲（1）设备配置清单(按第六章要求格式填写)；</w:t>
      </w:r>
    </w:p>
    <w:p w14:paraId="3A7CC422">
      <w:pPr>
        <w:bidi w:val="0"/>
        <w:rPr>
          <w:highlight w:val="none"/>
        </w:rPr>
      </w:pPr>
      <w:r>
        <w:rPr>
          <w:rFonts w:hint="eastAsia"/>
          <w:highlight w:val="none"/>
        </w:rPr>
        <w:t>▲（2）技术响应表(按第六章要求格式填写，附“第三章采购需求”中要求提供的相关材料)；</w:t>
      </w:r>
    </w:p>
    <w:p w14:paraId="2F2D5F94">
      <w:pPr>
        <w:bidi w:val="0"/>
        <w:rPr>
          <w:highlight w:val="none"/>
        </w:rPr>
      </w:pPr>
      <w:r>
        <w:rPr>
          <w:rFonts w:hint="eastAsia"/>
          <w:highlight w:val="none"/>
        </w:rPr>
        <w:t>▲（3）项目实施方案；(按第六章要求格式填写)；</w:t>
      </w:r>
    </w:p>
    <w:p w14:paraId="53419982">
      <w:pPr>
        <w:bidi w:val="0"/>
        <w:rPr>
          <w:highlight w:val="none"/>
        </w:rPr>
      </w:pPr>
      <w:r>
        <w:rPr>
          <w:rFonts w:hint="eastAsia"/>
          <w:highlight w:val="none"/>
        </w:rPr>
        <w:t>▲（4）售后服务方案及承诺书(按第六章要求格式填写)；</w:t>
      </w:r>
    </w:p>
    <w:p w14:paraId="60C443D4">
      <w:pPr>
        <w:bidi w:val="0"/>
        <w:rPr>
          <w:highlight w:val="none"/>
        </w:rPr>
      </w:pPr>
      <w:r>
        <w:rPr>
          <w:rFonts w:hint="eastAsia"/>
          <w:highlight w:val="none"/>
        </w:rPr>
        <w:t>▲（5）选配件、专用耗材、售后服务优惠表(按第六章要求格式填写)；</w:t>
      </w:r>
    </w:p>
    <w:p w14:paraId="27FB4502">
      <w:pPr>
        <w:bidi w:val="0"/>
        <w:rPr>
          <w:highlight w:val="none"/>
        </w:rPr>
      </w:pPr>
      <w:r>
        <w:rPr>
          <w:rFonts w:hint="eastAsia"/>
          <w:highlight w:val="none"/>
        </w:rPr>
        <w:t>（6）投标人对本项目的合理化建议和改进措施（格式自拟）；</w:t>
      </w:r>
    </w:p>
    <w:p w14:paraId="36BE4AE2">
      <w:pPr>
        <w:bidi w:val="0"/>
        <w:rPr>
          <w:rFonts w:ascii="宋体" w:hAnsi="宋体"/>
          <w:szCs w:val="21"/>
          <w:highlight w:val="none"/>
        </w:rPr>
      </w:pPr>
      <w:r>
        <w:rPr>
          <w:rFonts w:hint="eastAsia"/>
          <w:highlight w:val="none"/>
        </w:rPr>
        <w:t>（7）投标人需要说明的其他文件和说明（格式自拟）。</w:t>
      </w:r>
    </w:p>
    <w:p w14:paraId="0562EB19">
      <w:pPr>
        <w:pStyle w:val="36"/>
        <w:bidi w:val="0"/>
        <w:rPr>
          <w:highlight w:val="none"/>
        </w:rPr>
      </w:pPr>
      <w:r>
        <w:rPr>
          <w:rFonts w:hint="eastAsia"/>
          <w:highlight w:val="none"/>
        </w:rPr>
        <w:t>4.报价文件（以下文件标注“▲”的必须提供，要求“必须提供”的必须提供，其他可根据实际情况提供）</w:t>
      </w:r>
    </w:p>
    <w:p w14:paraId="37310E38">
      <w:pPr>
        <w:pStyle w:val="36"/>
        <w:bidi w:val="0"/>
        <w:rPr>
          <w:highlight w:val="none"/>
        </w:rPr>
      </w:pPr>
      <w:r>
        <w:rPr>
          <w:rFonts w:hint="eastAsia"/>
          <w:highlight w:val="none"/>
        </w:rPr>
        <w:t>▲注：以下标注“▲”均要加盖投标人单位电子公章或自然人加盖手指指印，否则其投标无效。</w:t>
      </w:r>
    </w:p>
    <w:p w14:paraId="05AA5EBC">
      <w:pPr>
        <w:pageBreakBefore w:val="0"/>
        <w:kinsoku/>
        <w:wordWrap w:val="0"/>
        <w:overflowPunct/>
        <w:topLinePunct/>
        <w:autoSpaceDE w:val="0"/>
        <w:autoSpaceDN w:val="0"/>
        <w:bidi w:val="0"/>
        <w:snapToGrid w:val="0"/>
        <w:spacing w:line="360" w:lineRule="exact"/>
        <w:ind w:firstLine="472" w:firstLineChars="196"/>
        <w:jc w:val="left"/>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（1）投标函（按第六章要求格式填写）；</w:t>
      </w:r>
    </w:p>
    <w:p w14:paraId="0C893587">
      <w:pPr>
        <w:pageBreakBefore w:val="0"/>
        <w:kinsoku/>
        <w:wordWrap w:val="0"/>
        <w:overflowPunct/>
        <w:topLinePunct/>
        <w:autoSpaceDE w:val="0"/>
        <w:autoSpaceDN w:val="0"/>
        <w:bidi w:val="0"/>
        <w:snapToGrid w:val="0"/>
        <w:spacing w:line="400" w:lineRule="exact"/>
        <w:ind w:firstLine="420"/>
        <w:jc w:val="left"/>
        <w:rPr>
          <w:rFonts w:hint="eastAsia" w:ascii="宋体" w:hAnsi="宋体"/>
          <w:b/>
          <w:bCs/>
          <w:szCs w:val="21"/>
          <w:highlight w:val="none"/>
        </w:rPr>
      </w:pPr>
      <w:r>
        <w:rPr>
          <w:rFonts w:hint="eastAsia" w:ascii="宋体" w:hAnsi="宋体"/>
          <w:b/>
          <w:szCs w:val="21"/>
          <w:highlight w:val="none"/>
        </w:rPr>
        <w:t>▲</w:t>
      </w:r>
      <w:r>
        <w:rPr>
          <w:rFonts w:hint="eastAsia" w:ascii="宋体" w:hAnsi="宋体"/>
          <w:szCs w:val="21"/>
          <w:highlight w:val="none"/>
        </w:rPr>
        <w:t>（2）开标一览表(按第六章要求格式填写) ；</w:t>
      </w:r>
      <w:r>
        <w:rPr>
          <w:rFonts w:hint="eastAsia" w:ascii="宋体" w:hAnsi="宋体"/>
          <w:b/>
          <w:bCs/>
          <w:szCs w:val="21"/>
          <w:highlight w:val="none"/>
        </w:rPr>
        <w:t xml:space="preserve"> </w:t>
      </w:r>
    </w:p>
    <w:p w14:paraId="213DF5A9">
      <w:pPr>
        <w:bidi w:val="0"/>
        <w:rPr>
          <w:highlight w:val="none"/>
        </w:rPr>
      </w:pPr>
      <w:r>
        <w:rPr>
          <w:rFonts w:hint="eastAsia"/>
          <w:highlight w:val="none"/>
        </w:rPr>
        <w:t>（3）中小企业声明函（各货物制造商如为中小微型企业的请按第六章要求的格式提供，否则不予享受优惠政策）；</w:t>
      </w:r>
    </w:p>
    <w:p w14:paraId="788F1BA3">
      <w:pPr>
        <w:bidi w:val="0"/>
        <w:rPr>
          <w:highlight w:val="none"/>
        </w:rPr>
      </w:pPr>
      <w:r>
        <w:rPr>
          <w:rFonts w:hint="eastAsia"/>
          <w:highlight w:val="none"/>
        </w:rPr>
        <w:t>（4）监狱企业由省级以上监狱管理局、戒毒管理局（含新疆生产建设兵团）出具的属于监狱企业的证明文件；</w:t>
      </w:r>
    </w:p>
    <w:p w14:paraId="220D0F09">
      <w:pPr>
        <w:bidi w:val="0"/>
        <w:rPr>
          <w:highlight w:val="none"/>
        </w:rPr>
      </w:pPr>
      <w:r>
        <w:rPr>
          <w:rFonts w:hint="eastAsia"/>
          <w:highlight w:val="none"/>
        </w:rPr>
        <w:t>（5）残疾人福利性单位声明函（投标人如为残疾人福利性单位的请按第六章要求的格式提供，否则不予享受优惠政策）；</w:t>
      </w:r>
    </w:p>
    <w:p w14:paraId="4A1360AC">
      <w:pPr>
        <w:bidi w:val="0"/>
        <w:rPr>
          <w:highlight w:val="none"/>
        </w:rPr>
      </w:pPr>
      <w:r>
        <w:rPr>
          <w:rFonts w:hint="eastAsia"/>
          <w:highlight w:val="none"/>
        </w:rPr>
        <w:t>（6）投标人针对报价需要说明的其他文件和说明（如有，格式自拟）</w:t>
      </w:r>
    </w:p>
    <w:p w14:paraId="5E05F9F9">
      <w:pPr>
        <w:pStyle w:val="36"/>
        <w:bidi w:val="0"/>
        <w:rPr>
          <w:highlight w:val="none"/>
        </w:rPr>
      </w:pPr>
      <w:r>
        <w:rPr>
          <w:rFonts w:hint="eastAsia"/>
          <w:highlight w:val="none"/>
        </w:rPr>
        <w:t>注：若招标文件中有专门标注的某关联点，并要求供应商在电子投标系统中作出响应的，如供应商未对关联点进行响应或者在响应文件其它内容进行描述，造成电子评审不能查询的责任由供应商自行承担。</w:t>
      </w:r>
      <w:r>
        <w:rPr>
          <w:highlight w:val="none"/>
        </w:rPr>
        <w:t xml:space="preserve"> </w:t>
      </w:r>
    </w:p>
    <w:p w14:paraId="2444F99C">
      <w:pPr>
        <w:pStyle w:val="36"/>
        <w:bidi w:val="0"/>
        <w:rPr>
          <w:highlight w:val="none"/>
        </w:rPr>
      </w:pPr>
      <w:bookmarkStart w:id="65" w:name="_Toc254970678"/>
      <w:bookmarkStart w:id="66" w:name="_Toc254970537"/>
      <w:r>
        <w:rPr>
          <w:rFonts w:hint="eastAsia"/>
          <w:highlight w:val="none"/>
        </w:rPr>
        <w:t>（二）投标文件的语言及计量</w:t>
      </w:r>
      <w:bookmarkEnd w:id="65"/>
      <w:bookmarkEnd w:id="66"/>
    </w:p>
    <w:p w14:paraId="1556965D">
      <w:pPr>
        <w:bidi w:val="0"/>
        <w:rPr>
          <w:highlight w:val="none"/>
        </w:rPr>
      </w:pPr>
      <w:r>
        <w:rPr>
          <w:rFonts w:hint="eastAsia"/>
          <w:highlight w:val="none"/>
        </w:rPr>
        <w:t>1．投标文件以及投标方与招标方就有关投标事宜的所有来往函电，均应以中文汉语书写。除签名、盖章、专用名称等特殊情形外，以中文汉语以外的文字表述的投标文件视同未提供。</w:t>
      </w:r>
    </w:p>
    <w:p w14:paraId="09C21CFF">
      <w:pPr>
        <w:bidi w:val="0"/>
        <w:rPr>
          <w:highlight w:val="none"/>
        </w:rPr>
      </w:pPr>
      <w:r>
        <w:rPr>
          <w:rFonts w:hint="eastAsia"/>
          <w:highlight w:val="none"/>
        </w:rPr>
        <w:t>2．投标计量单位，招标文件已有明确规定的，使用招标文件规定的计量单位；招标文件没有规定的，应采用中华人民共和国法定计量单位（货币单位：人民币元），否则视同未响应。</w:t>
      </w:r>
    </w:p>
    <w:p w14:paraId="7A61642F">
      <w:pPr>
        <w:pStyle w:val="36"/>
        <w:bidi w:val="0"/>
        <w:rPr>
          <w:highlight w:val="none"/>
        </w:rPr>
      </w:pPr>
      <w:bookmarkStart w:id="67" w:name="_Toc254970679"/>
      <w:bookmarkStart w:id="68" w:name="_Toc254970538"/>
      <w:r>
        <w:rPr>
          <w:rFonts w:hint="eastAsia"/>
          <w:highlight w:val="none"/>
        </w:rPr>
        <w:t>（三）投标报价</w:t>
      </w:r>
      <w:bookmarkEnd w:id="67"/>
      <w:bookmarkEnd w:id="68"/>
    </w:p>
    <w:p w14:paraId="4BAC5D2F">
      <w:pPr>
        <w:bidi w:val="0"/>
        <w:rPr>
          <w:highlight w:val="none"/>
        </w:rPr>
      </w:pPr>
      <w:r>
        <w:rPr>
          <w:highlight w:val="none"/>
        </w:rPr>
        <w:t>1</w:t>
      </w:r>
      <w:r>
        <w:rPr>
          <w:rFonts w:hint="eastAsia"/>
          <w:highlight w:val="none"/>
        </w:rPr>
        <w:t>．</w:t>
      </w:r>
      <w:r>
        <w:rPr>
          <w:highlight w:val="none"/>
        </w:rPr>
        <w:t>投标报价应按招标文件中相关附表格式填写。</w:t>
      </w:r>
    </w:p>
    <w:p w14:paraId="122CDA30">
      <w:pPr>
        <w:bidi w:val="0"/>
        <w:rPr>
          <w:highlight w:val="none"/>
        </w:rPr>
      </w:pPr>
      <w:r>
        <w:rPr>
          <w:highlight w:val="none"/>
        </w:rPr>
        <w:t>2. 投标报价是履行合同的最终价格，应</w:t>
      </w:r>
      <w:r>
        <w:rPr>
          <w:rFonts w:hint="eastAsia"/>
          <w:highlight w:val="none"/>
        </w:rPr>
        <w:t>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w:t>
      </w:r>
    </w:p>
    <w:p w14:paraId="5A2B91F1">
      <w:pPr>
        <w:bidi w:val="0"/>
        <w:rPr>
          <w:highlight w:val="none"/>
        </w:rPr>
      </w:pPr>
      <w:r>
        <w:rPr>
          <w:highlight w:val="none"/>
        </w:rPr>
        <w:t>3. 投标文件只允许有一个报价，有选择的或有条件的报价将不予接受。</w:t>
      </w:r>
    </w:p>
    <w:p w14:paraId="3F51389E">
      <w:pPr>
        <w:pStyle w:val="36"/>
        <w:bidi w:val="0"/>
        <w:rPr>
          <w:highlight w:val="none"/>
        </w:rPr>
      </w:pPr>
      <w:r>
        <w:rPr>
          <w:rFonts w:hint="eastAsia"/>
          <w:highlight w:val="none"/>
        </w:rPr>
        <w:t>（四）投标文件的有效期</w:t>
      </w:r>
    </w:p>
    <w:p w14:paraId="4ADD1164">
      <w:pPr>
        <w:bidi w:val="0"/>
        <w:rPr>
          <w:highlight w:val="none"/>
        </w:rPr>
      </w:pPr>
      <w:r>
        <w:rPr>
          <w:rFonts w:hint="eastAsia"/>
          <w:highlight w:val="none"/>
        </w:rPr>
        <w:t>1.投标文件有效期：详见投标人须知前附表。有效期不足的投标文件将被拒绝。</w:t>
      </w:r>
    </w:p>
    <w:p w14:paraId="14CBDD9A">
      <w:pPr>
        <w:bidi w:val="0"/>
        <w:rPr>
          <w:highlight w:val="none"/>
        </w:rPr>
      </w:pPr>
      <w:r>
        <w:rPr>
          <w:rFonts w:hint="eastAsia"/>
          <w:highlight w:val="none"/>
        </w:rPr>
        <w:t>2.在特殊情况下，招标人可与投标人协商延长投标书的有效期，这种要求和答复均以书面形式进行。</w:t>
      </w:r>
    </w:p>
    <w:p w14:paraId="697109A4">
      <w:pPr>
        <w:bidi w:val="0"/>
        <w:rPr>
          <w:highlight w:val="none"/>
        </w:rPr>
      </w:pPr>
      <w:bookmarkStart w:id="69" w:name="_Toc254970680"/>
      <w:bookmarkStart w:id="70" w:name="_Toc254970539"/>
      <w:r>
        <w:rPr>
          <w:rFonts w:hint="eastAsia"/>
          <w:highlight w:val="none"/>
        </w:rPr>
        <w:t>3.投标人可拒绝接受延期要求而不会导致投标保证金被没收。同意延长有效期的投标人需要相应延长投标保证金的有效期，但不能修改投标文件。</w:t>
      </w:r>
      <w:bookmarkEnd w:id="69"/>
      <w:bookmarkEnd w:id="70"/>
      <w:r>
        <w:rPr>
          <w:rFonts w:hint="eastAsia"/>
          <w:highlight w:val="none"/>
        </w:rPr>
        <w:t xml:space="preserve"> </w:t>
      </w:r>
    </w:p>
    <w:p w14:paraId="4D38966E">
      <w:pPr>
        <w:bidi w:val="0"/>
        <w:rPr>
          <w:highlight w:val="none"/>
        </w:rPr>
      </w:pPr>
      <w:bookmarkStart w:id="71" w:name="_Toc254970681"/>
      <w:bookmarkStart w:id="72" w:name="_Toc254970540"/>
      <w:r>
        <w:rPr>
          <w:rFonts w:hint="eastAsia"/>
          <w:highlight w:val="none"/>
        </w:rPr>
        <w:t>4.中标人的投标文件自开标之日起至合同履行完毕止均应保持有效。</w:t>
      </w:r>
      <w:bookmarkEnd w:id="71"/>
      <w:bookmarkEnd w:id="72"/>
    </w:p>
    <w:p w14:paraId="11929406">
      <w:pPr>
        <w:pStyle w:val="36"/>
        <w:bidi w:val="0"/>
        <w:rPr>
          <w:highlight w:val="none"/>
        </w:rPr>
      </w:pPr>
      <w:bookmarkStart w:id="73" w:name="_Toc254970541"/>
      <w:bookmarkStart w:id="74" w:name="_Toc254970682"/>
      <w:r>
        <w:rPr>
          <w:rFonts w:hint="eastAsia"/>
          <w:highlight w:val="none"/>
        </w:rPr>
        <w:t>（五）投标保证金</w:t>
      </w:r>
      <w:bookmarkEnd w:id="73"/>
      <w:bookmarkEnd w:id="74"/>
    </w:p>
    <w:p w14:paraId="029E5F3B">
      <w:pPr>
        <w:bidi w:val="0"/>
        <w:rPr>
          <w:highlight w:val="none"/>
        </w:rPr>
      </w:pPr>
      <w:r>
        <w:rPr>
          <w:rFonts w:hint="eastAsia"/>
          <w:highlight w:val="none"/>
        </w:rPr>
        <w:t>1.投标保证金</w:t>
      </w:r>
      <w:r>
        <w:rPr>
          <w:rFonts w:hint="eastAsia"/>
          <w:highlight w:val="none"/>
          <w:lang w:val="en-US" w:eastAsia="zh-CN"/>
        </w:rPr>
        <w:t>缴纳</w:t>
      </w:r>
      <w:r>
        <w:rPr>
          <w:rFonts w:hint="eastAsia"/>
          <w:highlight w:val="none"/>
        </w:rPr>
        <w:t>：详见投标人须知前附表</w:t>
      </w:r>
      <w:r>
        <w:rPr>
          <w:highlight w:val="none"/>
        </w:rPr>
        <w:t>。</w:t>
      </w:r>
    </w:p>
    <w:p w14:paraId="2BA97F0B">
      <w:pPr>
        <w:bidi w:val="0"/>
        <w:rPr>
          <w:highlight w:val="none"/>
        </w:rPr>
      </w:pPr>
      <w:r>
        <w:rPr>
          <w:rFonts w:hint="eastAsia"/>
          <w:highlight w:val="none"/>
          <w:lang w:val="en-US" w:eastAsia="zh-CN"/>
        </w:rPr>
        <w:t>2</w:t>
      </w:r>
      <w:r>
        <w:rPr>
          <w:rFonts w:hint="eastAsia"/>
          <w:highlight w:val="none"/>
        </w:rPr>
        <w:t>.投标保证金的退还</w:t>
      </w:r>
    </w:p>
    <w:p w14:paraId="70EB3B21">
      <w:pPr>
        <w:bidi w:val="0"/>
        <w:rPr>
          <w:highlight w:val="none"/>
        </w:rPr>
      </w:pPr>
      <w:r>
        <w:rPr>
          <w:rFonts w:hint="eastAsia"/>
          <w:highlight w:val="none"/>
        </w:rPr>
        <w:t>（1）未中标人的投标保证金自中标通知书发出之日起4个工作日内退还，退还方式如下：</w:t>
      </w:r>
    </w:p>
    <w:p w14:paraId="67D41E64">
      <w:pPr>
        <w:bidi w:val="0"/>
        <w:rPr>
          <w:highlight w:val="none"/>
        </w:rPr>
      </w:pPr>
      <w:r>
        <w:rPr>
          <w:rFonts w:hint="eastAsia"/>
          <w:highlight w:val="none"/>
        </w:rPr>
        <w:t>①采用银行转账方式的，以转账方式退回到投标人银行账户。</w:t>
      </w:r>
    </w:p>
    <w:p w14:paraId="59EBE3FD">
      <w:pPr>
        <w:bidi w:val="0"/>
        <w:rPr>
          <w:highlight w:val="none"/>
        </w:rPr>
      </w:pPr>
      <w:r>
        <w:rPr>
          <w:rFonts w:hint="eastAsia"/>
          <w:highlight w:val="none"/>
        </w:rPr>
        <w:t>②采用支票、汇票或本票方式的，以转账方式退回到投标人银行账户或由投标人代表持相关授权证明材料至采购人或采购代理机构办理支票、汇票或本票原件退还手续。</w:t>
      </w:r>
    </w:p>
    <w:p w14:paraId="0C0E0211">
      <w:pPr>
        <w:bidi w:val="0"/>
        <w:rPr>
          <w:highlight w:val="none"/>
        </w:rPr>
      </w:pPr>
      <w:r>
        <w:rPr>
          <w:rFonts w:hint="eastAsia"/>
          <w:highlight w:val="none"/>
        </w:rPr>
        <w:t>③采用银行、保险机构出具的保函方式的，由投标人代表持相关授权证明材料在采购结果公告公布之日起四个工作日内至采购人或采购代理机构办理保函原件退还手续，投标人逾期领取所造成的后果由投标人自行承担。</w:t>
      </w:r>
    </w:p>
    <w:p w14:paraId="40FD708C">
      <w:pPr>
        <w:bidi w:val="0"/>
        <w:rPr>
          <w:highlight w:val="none"/>
        </w:rPr>
      </w:pPr>
      <w:r>
        <w:rPr>
          <w:rFonts w:hint="eastAsia"/>
          <w:highlight w:val="none"/>
        </w:rPr>
        <w:t>（2）成交人应在合同签订之日起2个工作日内向采购代理机构提供 壹 份合同副本备案。以配合采购代理机构按《关于进一步做好政府采购信息公开有关工作的通知》（桂财采【2016】7号文件第八条）的要求，在财政部门指定媒体上公告合同的主要内容。采购代理机构在合同签订之日起4个工作日退还成交人的投标保证金。对无法在上述要求期限内将合同送达采购代理机构的成交人，采购代理机构须凭成交人出具加盖公章的情况说明才能退还其投标保证金。投标保证金退还方式同未成交人的投标保证金的退还方式。</w:t>
      </w:r>
    </w:p>
    <w:p w14:paraId="5E861DE5">
      <w:pPr>
        <w:bidi w:val="0"/>
        <w:rPr>
          <w:highlight w:val="none"/>
        </w:rPr>
      </w:pPr>
      <w:r>
        <w:rPr>
          <w:rFonts w:hint="eastAsia"/>
          <w:highlight w:val="none"/>
        </w:rPr>
        <w:t>（3）投标保证金不计息。</w:t>
      </w:r>
    </w:p>
    <w:p w14:paraId="507039C7">
      <w:pPr>
        <w:bidi w:val="0"/>
        <w:rPr>
          <w:highlight w:val="none"/>
        </w:rPr>
      </w:pPr>
      <w:r>
        <w:rPr>
          <w:rFonts w:hint="eastAsia"/>
          <w:highlight w:val="none"/>
        </w:rPr>
        <w:t>10.投标人有下列情形之一的，投标保证金将不予退还：</w:t>
      </w:r>
    </w:p>
    <w:p w14:paraId="431E9E92">
      <w:pPr>
        <w:bidi w:val="0"/>
        <w:rPr>
          <w:highlight w:val="none"/>
        </w:rPr>
      </w:pPr>
      <w:r>
        <w:rPr>
          <w:rFonts w:hint="eastAsia"/>
          <w:highlight w:val="none"/>
        </w:rPr>
        <w:t>（1）投标人在投标有效期内撤回投标文件的；</w:t>
      </w:r>
    </w:p>
    <w:p w14:paraId="5B0FBEAC">
      <w:pPr>
        <w:bidi w:val="0"/>
        <w:rPr>
          <w:highlight w:val="none"/>
        </w:rPr>
      </w:pPr>
      <w:r>
        <w:rPr>
          <w:rFonts w:hint="eastAsia"/>
          <w:highlight w:val="none"/>
        </w:rPr>
        <w:t>（2）未按规定提交履约保证金的；</w:t>
      </w:r>
    </w:p>
    <w:p w14:paraId="40751BB3">
      <w:pPr>
        <w:bidi w:val="0"/>
        <w:rPr>
          <w:highlight w:val="none"/>
        </w:rPr>
      </w:pPr>
      <w:r>
        <w:rPr>
          <w:rFonts w:hint="eastAsia"/>
          <w:highlight w:val="none"/>
        </w:rPr>
        <w:t>（3）投标人在投标过程中弄虚作假，提供虚假材料的；</w:t>
      </w:r>
    </w:p>
    <w:p w14:paraId="6DBEDD96">
      <w:pPr>
        <w:bidi w:val="0"/>
        <w:rPr>
          <w:highlight w:val="none"/>
        </w:rPr>
      </w:pPr>
      <w:r>
        <w:rPr>
          <w:rFonts w:hint="eastAsia"/>
          <w:highlight w:val="none"/>
        </w:rPr>
        <w:t>（4）中标人无正当理由不与采购人签订合同的；</w:t>
      </w:r>
    </w:p>
    <w:p w14:paraId="3DA5360E">
      <w:pPr>
        <w:bidi w:val="0"/>
        <w:rPr>
          <w:highlight w:val="none"/>
        </w:rPr>
      </w:pPr>
      <w:r>
        <w:rPr>
          <w:rFonts w:hint="eastAsia"/>
          <w:highlight w:val="none"/>
        </w:rPr>
        <w:t>（5）将中标项目转让给他人或者在投标文件中未说明且未经招标采购单位同意，将中标项目分包给他人的；</w:t>
      </w:r>
    </w:p>
    <w:p w14:paraId="1D5B78E1">
      <w:pPr>
        <w:bidi w:val="0"/>
        <w:rPr>
          <w:highlight w:val="none"/>
        </w:rPr>
      </w:pPr>
      <w:r>
        <w:rPr>
          <w:rFonts w:hint="eastAsia"/>
          <w:highlight w:val="none"/>
        </w:rPr>
        <w:t>（6）拒绝履行合同义务的；</w:t>
      </w:r>
    </w:p>
    <w:p w14:paraId="5D006FC6">
      <w:pPr>
        <w:bidi w:val="0"/>
        <w:rPr>
          <w:highlight w:val="none"/>
        </w:rPr>
      </w:pPr>
      <w:r>
        <w:rPr>
          <w:rFonts w:hint="eastAsia"/>
          <w:highlight w:val="none"/>
        </w:rPr>
        <w:t>（7）其他严重扰乱招投标程序的；</w:t>
      </w:r>
    </w:p>
    <w:p w14:paraId="0B2FEFCD">
      <w:pPr>
        <w:pStyle w:val="36"/>
        <w:bidi w:val="0"/>
        <w:rPr>
          <w:highlight w:val="none"/>
        </w:rPr>
      </w:pPr>
      <w:bookmarkStart w:id="75" w:name="_Toc254970542"/>
      <w:bookmarkStart w:id="76" w:name="_Toc254970683"/>
      <w:r>
        <w:rPr>
          <w:rFonts w:hint="eastAsia"/>
          <w:highlight w:val="none"/>
        </w:rPr>
        <w:t>（六）投标文件的</w:t>
      </w:r>
      <w:bookmarkEnd w:id="75"/>
      <w:bookmarkEnd w:id="76"/>
      <w:r>
        <w:rPr>
          <w:rFonts w:hint="eastAsia"/>
          <w:highlight w:val="none"/>
        </w:rPr>
        <w:t>编制</w:t>
      </w:r>
    </w:p>
    <w:p w14:paraId="7EBD2600">
      <w:pPr>
        <w:bidi w:val="0"/>
        <w:rPr>
          <w:highlight w:val="none"/>
        </w:rPr>
      </w:pPr>
      <w:r>
        <w:rPr>
          <w:rFonts w:hint="eastAsia"/>
          <w:highlight w:val="none"/>
        </w:rPr>
        <w:t>1.投标人应按本招标文件规定的格式和顺序编制、装订投标文件并标注页码，投标文件内容不完整、编排混乱导致投标文件被误读、漏读或者查找不到相关内容的，是投标人的责任。</w:t>
      </w:r>
    </w:p>
    <w:p w14:paraId="2B211392">
      <w:pPr>
        <w:bidi w:val="0"/>
        <w:rPr>
          <w:highlight w:val="none"/>
        </w:rPr>
      </w:pPr>
      <w:r>
        <w:rPr>
          <w:highlight w:val="none"/>
        </w:rPr>
        <w:t>2.</w:t>
      </w:r>
      <w:r>
        <w:rPr>
          <w:rFonts w:hint="eastAsia"/>
          <w:highlight w:val="none"/>
        </w:rPr>
        <w:t xml:space="preserve"> 投标文件按照招标文件第六章格式要求在规定位置进行签署、盖章。投标人的投标文件未按照招标文件要求签署、盖章的，其投标无效。骑缝盖公章不视为在规定位置盖章。</w:t>
      </w:r>
    </w:p>
    <w:p w14:paraId="6F1A56F3">
      <w:pPr>
        <w:bidi w:val="0"/>
        <w:rPr>
          <w:highlight w:val="none"/>
        </w:rPr>
      </w:pPr>
      <w:r>
        <w:rPr>
          <w:rFonts w:hint="eastAsia"/>
          <w:highlight w:val="none"/>
        </w:rPr>
        <w:t>3.为确保网上操作合法、有效和安全，投标人应当在投标截止时间前完成在“政采云”平台的身份认证，确保在电子投标过程中能够对相关数据电文进行加密和使用电子签名。</w:t>
      </w:r>
    </w:p>
    <w:p w14:paraId="7A7B6E36">
      <w:pPr>
        <w:bidi w:val="0"/>
        <w:rPr>
          <w:highlight w:val="none"/>
        </w:rPr>
      </w:pPr>
      <w:r>
        <w:rPr>
          <w:rFonts w:hint="eastAsia"/>
          <w:highlight w:val="none"/>
        </w:rPr>
        <w:t>4.投标文件中标注的投标人名称应与主体资格证明（如营业执照、事业单位法人证书、执业许可证、自然人身份证等）及公章一致，否则作无效投标处理。</w:t>
      </w:r>
    </w:p>
    <w:p w14:paraId="7D66C1AF">
      <w:pPr>
        <w:bidi w:val="0"/>
        <w:rPr>
          <w:highlight w:val="none"/>
        </w:rPr>
      </w:pPr>
      <w:r>
        <w:rPr>
          <w:rFonts w:hint="eastAsia"/>
          <w:highlight w:val="none"/>
        </w:rPr>
        <w:t>5.对招标文件的实质性要求和条件作出响应是指投标人必须对招标文件中标注为实质性要求和条件的货物内容及要求、商务条款及其它内容作出满足或者优于原要求和条件的承诺。</w:t>
      </w:r>
    </w:p>
    <w:p w14:paraId="5B6AAF28">
      <w:pPr>
        <w:bidi w:val="0"/>
        <w:rPr>
          <w:highlight w:val="none"/>
        </w:rPr>
      </w:pPr>
      <w:r>
        <w:rPr>
          <w:rFonts w:hint="eastAsia"/>
          <w:highlight w:val="none"/>
        </w:rPr>
        <w:t>6.本项目为全流程电子化项目，异常情况见“第二节</w:t>
      </w:r>
      <w:r>
        <w:rPr>
          <w:highlight w:val="none"/>
        </w:rPr>
        <w:t xml:space="preserve"> </w:t>
      </w:r>
      <w:r>
        <w:rPr>
          <w:rFonts w:hint="eastAsia"/>
          <w:highlight w:val="none"/>
        </w:rPr>
        <w:t>投标人须知正文”中“四、（三）开标程序。</w:t>
      </w:r>
    </w:p>
    <w:p w14:paraId="7EC83539">
      <w:pPr>
        <w:pStyle w:val="36"/>
        <w:bidi w:val="0"/>
        <w:rPr>
          <w:highlight w:val="none"/>
        </w:rPr>
      </w:pPr>
      <w:r>
        <w:rPr>
          <w:rFonts w:hint="eastAsia"/>
          <w:highlight w:val="none"/>
        </w:rPr>
        <w:t>（七）投标文件的提交</w:t>
      </w:r>
    </w:p>
    <w:p w14:paraId="6C36FB8E">
      <w:pPr>
        <w:bidi w:val="0"/>
        <w:rPr>
          <w:highlight w:val="none"/>
        </w:rPr>
      </w:pPr>
      <w:r>
        <w:rPr>
          <w:rFonts w:hint="eastAsia"/>
          <w:highlight w:val="none"/>
        </w:rPr>
        <w:t>1.投标人必须在“投标人须知前附表”规定的投标文件接收时间和投标地点提交电子版投标文件。电子投标文件应在制作完成后，在投标截止时间前通过有效数字证书（</w:t>
      </w:r>
      <w:r>
        <w:rPr>
          <w:highlight w:val="none"/>
        </w:rPr>
        <w:t>CA</w:t>
      </w:r>
      <w:r>
        <w:rPr>
          <w:rFonts w:hint="eastAsia"/>
          <w:highlight w:val="none"/>
        </w:rPr>
        <w:t>认证锁）进行电子签章、加密，然后通过网络将加密的电子投标文件递交至“政采云平台”。</w:t>
      </w:r>
    </w:p>
    <w:p w14:paraId="04BBC48D">
      <w:pPr>
        <w:bidi w:val="0"/>
        <w:rPr>
          <w:highlight w:val="none"/>
        </w:rPr>
      </w:pPr>
      <w:r>
        <w:rPr>
          <w:rFonts w:hint="eastAsia"/>
          <w:highlight w:val="none"/>
        </w:rPr>
        <w:t>2.未在规定时间内提交或者未按照招标文件要求密封或者标记的电子投标文件，“政采云”平台将拒收。</w:t>
      </w:r>
    </w:p>
    <w:p w14:paraId="4F38DFDE">
      <w:pPr>
        <w:bidi w:val="0"/>
        <w:rPr>
          <w:highlight w:val="none"/>
        </w:rPr>
      </w:pPr>
      <w:r>
        <w:rPr>
          <w:rFonts w:hint="eastAsia"/>
          <w:highlight w:val="none"/>
        </w:rPr>
        <w:t>3.电子版投标文件提交方式见“招标公告”中“四、提交投标文件截止时间、开标时间和地点”。</w:t>
      </w:r>
    </w:p>
    <w:p w14:paraId="7EB2F14B">
      <w:pPr>
        <w:pStyle w:val="36"/>
        <w:bidi w:val="0"/>
        <w:rPr>
          <w:highlight w:val="none"/>
        </w:rPr>
      </w:pPr>
      <w:r>
        <w:rPr>
          <w:rFonts w:hint="eastAsia"/>
          <w:highlight w:val="none"/>
        </w:rPr>
        <w:t>（八）投标文件的补充、修改、撤回与退回</w:t>
      </w:r>
    </w:p>
    <w:p w14:paraId="5F17A86C">
      <w:pPr>
        <w:bidi w:val="0"/>
        <w:rPr>
          <w:highlight w:val="none"/>
        </w:rPr>
      </w:pPr>
      <w:r>
        <w:rPr>
          <w:rFonts w:hint="eastAsia"/>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w:t>
      </w:r>
    </w:p>
    <w:p w14:paraId="2834E626">
      <w:pPr>
        <w:bidi w:val="0"/>
        <w:rPr>
          <w:highlight w:val="none"/>
        </w:rPr>
      </w:pPr>
      <w:r>
        <w:rPr>
          <w:rFonts w:hint="eastAsia"/>
          <w:highlight w:val="none"/>
        </w:rPr>
        <w:t>2.“政采云”平台收到投标文件，将妥善保存并即时向供应商发出确认回执通知。在投标截止时间前，除供应商补充、修改或者撤回投标文件外，任何单位和个人不得解密或提取投标文件。</w:t>
      </w:r>
    </w:p>
    <w:p w14:paraId="5C6CE73D">
      <w:pPr>
        <w:bidi w:val="0"/>
        <w:rPr>
          <w:highlight w:val="none"/>
        </w:rPr>
      </w:pPr>
      <w:r>
        <w:rPr>
          <w:rFonts w:hint="eastAsia"/>
          <w:highlight w:val="none"/>
        </w:rPr>
        <w:t>3.在投标截止时间止提交电子版投标文件的投标人不足</w:t>
      </w:r>
      <w:r>
        <w:rPr>
          <w:highlight w:val="none"/>
        </w:rPr>
        <w:t>3</w:t>
      </w:r>
      <w:r>
        <w:rPr>
          <w:rFonts w:hint="eastAsia"/>
          <w:highlight w:val="none"/>
        </w:rPr>
        <w:t>家时，电子版投标文件由代理机构在“政采云”平台操作退回，除此之外采购人和采购代理机构对已提交的投标文件概不退回。</w:t>
      </w:r>
    </w:p>
    <w:p w14:paraId="4CE3A73E">
      <w:pPr>
        <w:pStyle w:val="36"/>
        <w:bidi w:val="0"/>
        <w:rPr>
          <w:highlight w:val="none"/>
        </w:rPr>
      </w:pPr>
      <w:bookmarkStart w:id="77" w:name="_Toc254970543"/>
      <w:bookmarkStart w:id="78" w:name="_Toc254970684"/>
      <w:r>
        <w:rPr>
          <w:rFonts w:hint="eastAsia"/>
          <w:highlight w:val="none"/>
        </w:rPr>
        <w:t>（九）投标无效的情形</w:t>
      </w:r>
      <w:bookmarkEnd w:id="77"/>
      <w:bookmarkEnd w:id="78"/>
    </w:p>
    <w:p w14:paraId="1EDA347D">
      <w:pPr>
        <w:bidi w:val="0"/>
        <w:rPr>
          <w:highlight w:val="none"/>
        </w:rPr>
      </w:pPr>
      <w:r>
        <w:rPr>
          <w:rFonts w:hint="eastAsia"/>
          <w:highlight w:val="none"/>
        </w:rPr>
        <w:t>实质上没有响应招标文件要求的投标将被视为无效投标。投标人不得通过修正或撤消不合要求的偏离或保留从而使其投标成为实质上响应的投标，修改或者补正投标文件必须以书面形式进行。限期内不补正或经补正后仍不符合招标文件要求的，应认定其投标无效。投标人修改、补正投标文件后，不影响评标委员会对其投标文件所作的评价和评分结果。</w:t>
      </w:r>
    </w:p>
    <w:p w14:paraId="22E4E8D9">
      <w:pPr>
        <w:pStyle w:val="36"/>
        <w:bidi w:val="0"/>
        <w:rPr>
          <w:highlight w:val="none"/>
        </w:rPr>
      </w:pPr>
      <w:r>
        <w:rPr>
          <w:rFonts w:hint="eastAsia"/>
          <w:highlight w:val="none"/>
        </w:rPr>
        <w:t>1、在资格审查时，如发现下列情形之一的，投标文件将被视为无效：</w:t>
      </w:r>
    </w:p>
    <w:p w14:paraId="464489A5">
      <w:pPr>
        <w:bidi w:val="0"/>
        <w:rPr>
          <w:highlight w:val="none"/>
        </w:rPr>
      </w:pPr>
      <w:r>
        <w:rPr>
          <w:rFonts w:hint="eastAsia"/>
          <w:highlight w:val="none"/>
        </w:rPr>
        <w:t>（1）不具备招标文件中规定的资格要求的；（注：其中信用查询由采购人或采购代理机构于资格审查时在“信用中国”网站和“中国政府采购网”对投标人进行信用查询，联合体成员存在不良信用记录的视同联合体存在不良信用记录。）</w:t>
      </w:r>
    </w:p>
    <w:p w14:paraId="7FB228F1">
      <w:pPr>
        <w:bidi w:val="0"/>
        <w:rPr>
          <w:highlight w:val="none"/>
        </w:rPr>
      </w:pPr>
      <w:r>
        <w:rPr>
          <w:rFonts w:hint="eastAsia"/>
          <w:highlight w:val="none"/>
        </w:rPr>
        <w:t>（2）未提供招标文件中“（一）投标文件的组成1.资格证明文件”要求必须提供的资料的；</w:t>
      </w:r>
    </w:p>
    <w:p w14:paraId="05256690">
      <w:pPr>
        <w:bidi w:val="0"/>
        <w:rPr>
          <w:highlight w:val="none"/>
        </w:rPr>
      </w:pPr>
      <w:r>
        <w:rPr>
          <w:rFonts w:hint="eastAsia"/>
          <w:highlight w:val="none"/>
        </w:rPr>
        <w:t>（3）法律、法规和招标文件规定的其他无效情形。</w:t>
      </w:r>
    </w:p>
    <w:p w14:paraId="2B5F0E0F">
      <w:pPr>
        <w:pStyle w:val="36"/>
        <w:bidi w:val="0"/>
        <w:rPr>
          <w:highlight w:val="none"/>
        </w:rPr>
      </w:pPr>
      <w:bookmarkStart w:id="79" w:name="_Toc254970544"/>
      <w:bookmarkStart w:id="80" w:name="_Toc254970685"/>
      <w:r>
        <w:rPr>
          <w:rFonts w:hint="eastAsia"/>
          <w:highlight w:val="none"/>
        </w:rPr>
        <w:t>2、在符合性审查时，如发现下列情形之一的，投标文件将被视为无效：</w:t>
      </w:r>
    </w:p>
    <w:p w14:paraId="649F746F">
      <w:pPr>
        <w:bidi w:val="0"/>
        <w:rPr>
          <w:highlight w:val="none"/>
        </w:rPr>
      </w:pPr>
      <w:r>
        <w:rPr>
          <w:rFonts w:hint="eastAsia"/>
          <w:highlight w:val="none"/>
        </w:rPr>
        <w:t>（1）未按照招标文件的规定提交投标保证金的；</w:t>
      </w:r>
    </w:p>
    <w:p w14:paraId="56C031F0">
      <w:pPr>
        <w:bidi w:val="0"/>
        <w:rPr>
          <w:highlight w:val="none"/>
        </w:rPr>
      </w:pPr>
      <w:r>
        <w:rPr>
          <w:rFonts w:hint="eastAsia"/>
          <w:highlight w:val="none"/>
        </w:rPr>
        <w:t>（2）投标文件未按招标文件要求签署、盖章的；</w:t>
      </w:r>
    </w:p>
    <w:p w14:paraId="6D2DC90D">
      <w:pPr>
        <w:bidi w:val="0"/>
        <w:rPr>
          <w:highlight w:val="none"/>
        </w:rPr>
      </w:pPr>
      <w:r>
        <w:rPr>
          <w:rFonts w:hint="eastAsia"/>
          <w:highlight w:val="none"/>
        </w:rPr>
        <w:t>（3）投标代表人未能出具身份证明或与法定代表人授权委托人身份不符的；</w:t>
      </w:r>
    </w:p>
    <w:p w14:paraId="1CBA71E7">
      <w:pPr>
        <w:bidi w:val="0"/>
        <w:rPr>
          <w:highlight w:val="none"/>
        </w:rPr>
      </w:pPr>
      <w:r>
        <w:rPr>
          <w:rFonts w:hint="eastAsia"/>
          <w:highlight w:val="none"/>
        </w:rPr>
        <w:t>（4）投标文件的实质性内容未使用中文表述、意思表述不明确、前后矛盾或者使用计量单位不符合招标文件要求的（经评标委员会认定并允许其当场更正的笔误除外）</w:t>
      </w:r>
    </w:p>
    <w:p w14:paraId="0395A25C">
      <w:pPr>
        <w:bidi w:val="0"/>
        <w:rPr>
          <w:highlight w:val="none"/>
        </w:rPr>
      </w:pPr>
      <w:r>
        <w:rPr>
          <w:rFonts w:hint="eastAsia"/>
          <w:highlight w:val="none"/>
        </w:rPr>
        <w:t>（5）投标有效期、交货时间、质保期等商务条款不能满足招标文件要求的；</w:t>
      </w:r>
    </w:p>
    <w:p w14:paraId="719BC7B5">
      <w:pPr>
        <w:bidi w:val="0"/>
        <w:rPr>
          <w:highlight w:val="none"/>
        </w:rPr>
      </w:pPr>
      <w:r>
        <w:rPr>
          <w:rFonts w:hint="eastAsia"/>
          <w:highlight w:val="none"/>
        </w:rPr>
        <w:t>（6）未实质性响应招标文件要求或者投标文件有招标方不能接受的附加条件的。</w:t>
      </w:r>
    </w:p>
    <w:p w14:paraId="46300652">
      <w:pPr>
        <w:bidi w:val="0"/>
        <w:rPr>
          <w:highlight w:val="none"/>
        </w:rPr>
      </w:pPr>
      <w:r>
        <w:rPr>
          <w:rFonts w:hint="eastAsia"/>
          <w:highlight w:val="none"/>
        </w:rPr>
        <w:t>（7）未提供招标文件中“（一）投标文件的组成2.商务文件、3.技术文件”要求必须提供的资料的；</w:t>
      </w:r>
    </w:p>
    <w:p w14:paraId="19170C1F">
      <w:pPr>
        <w:bidi w:val="0"/>
        <w:rPr>
          <w:highlight w:val="none"/>
        </w:rPr>
      </w:pPr>
      <w:r>
        <w:rPr>
          <w:rFonts w:hint="eastAsia"/>
          <w:highlight w:val="none"/>
        </w:rPr>
        <w:t>（8）未提供或未如实提供投标货物的技术参数，或者投标文件标明的响应或偏离与事实不符或虚假投标的；</w:t>
      </w:r>
    </w:p>
    <w:p w14:paraId="5A5076FE">
      <w:pPr>
        <w:bidi w:val="0"/>
        <w:rPr>
          <w:highlight w:val="none"/>
        </w:rPr>
      </w:pPr>
      <w:r>
        <w:rPr>
          <w:rFonts w:hint="eastAsia"/>
          <w:highlight w:val="none"/>
        </w:rPr>
        <w:t>（9）明显不符合招标文件要求的规格型号、质量标准和采购需求的，或者与招标文件中标“▲”的技术指标、主要功能项目发生实质性偏离的；</w:t>
      </w:r>
    </w:p>
    <w:p w14:paraId="5384A726">
      <w:pPr>
        <w:bidi w:val="0"/>
        <w:rPr>
          <w:highlight w:val="none"/>
        </w:rPr>
      </w:pPr>
      <w:r>
        <w:rPr>
          <w:rFonts w:hint="eastAsia"/>
          <w:highlight w:val="none"/>
        </w:rPr>
        <w:t>（10）投标技术方案不明确，存在一个或一个以上备选（替代）投标方案的。</w:t>
      </w:r>
    </w:p>
    <w:p w14:paraId="75366B79">
      <w:pPr>
        <w:bidi w:val="0"/>
        <w:rPr>
          <w:highlight w:val="none"/>
        </w:rPr>
      </w:pPr>
      <w:r>
        <w:rPr>
          <w:rFonts w:hint="eastAsia"/>
          <w:highlight w:val="none"/>
        </w:rPr>
        <w:t>（1</w:t>
      </w:r>
      <w:r>
        <w:rPr>
          <w:rFonts w:hint="eastAsia"/>
          <w:highlight w:val="none"/>
          <w:lang w:val="en-US" w:eastAsia="zh-CN"/>
        </w:rPr>
        <w:t>1</w:t>
      </w:r>
      <w:r>
        <w:rPr>
          <w:rFonts w:hint="eastAsia"/>
          <w:highlight w:val="none"/>
        </w:rPr>
        <w:t>）未提供招标文件中“（一）投标文件的组成4.报价文件”要求必须提供的资料的；</w:t>
      </w:r>
    </w:p>
    <w:p w14:paraId="3425AA49">
      <w:pPr>
        <w:bidi w:val="0"/>
        <w:rPr>
          <w:highlight w:val="none"/>
        </w:rPr>
      </w:pPr>
      <w:r>
        <w:rPr>
          <w:rFonts w:hint="eastAsia"/>
          <w:highlight w:val="none"/>
        </w:rPr>
        <w:t>（1</w:t>
      </w:r>
      <w:r>
        <w:rPr>
          <w:rFonts w:hint="eastAsia"/>
          <w:highlight w:val="none"/>
          <w:lang w:val="en-US" w:eastAsia="zh-CN"/>
        </w:rPr>
        <w:t>2</w:t>
      </w:r>
      <w:r>
        <w:rPr>
          <w:rFonts w:hint="eastAsia"/>
          <w:highlight w:val="none"/>
        </w:rPr>
        <w:t>）报价超过招标文件中规定的预算金额或者最高限价的；</w:t>
      </w:r>
    </w:p>
    <w:p w14:paraId="0F395EA1">
      <w:pPr>
        <w:bidi w:val="0"/>
        <w:rPr>
          <w:highlight w:val="none"/>
        </w:rPr>
      </w:pPr>
      <w:r>
        <w:rPr>
          <w:rFonts w:hint="eastAsia"/>
          <w:highlight w:val="none"/>
        </w:rPr>
        <w:t>（1</w:t>
      </w:r>
      <w:r>
        <w:rPr>
          <w:rFonts w:hint="eastAsia"/>
          <w:highlight w:val="none"/>
          <w:lang w:val="en-US" w:eastAsia="zh-CN"/>
        </w:rPr>
        <w:t>3</w:t>
      </w:r>
      <w:r>
        <w:rPr>
          <w:rFonts w:hint="eastAsia"/>
          <w:highlight w:val="none"/>
        </w:rPr>
        <w:t>）未采用人民币报价或者未按照招标文件标明的币种报价的；</w:t>
      </w:r>
    </w:p>
    <w:p w14:paraId="3786C46F">
      <w:pPr>
        <w:bidi w:val="0"/>
        <w:rPr>
          <w:highlight w:val="none"/>
        </w:rPr>
      </w:pPr>
      <w:r>
        <w:rPr>
          <w:rFonts w:hint="eastAsia"/>
          <w:highlight w:val="none"/>
        </w:rPr>
        <w:t>（1</w:t>
      </w:r>
      <w:r>
        <w:rPr>
          <w:rFonts w:hint="eastAsia"/>
          <w:highlight w:val="none"/>
          <w:lang w:val="en-US" w:eastAsia="zh-CN"/>
        </w:rPr>
        <w:t>4</w:t>
      </w:r>
      <w:r>
        <w:rPr>
          <w:rFonts w:hint="eastAsia"/>
          <w:highlight w:val="none"/>
        </w:rPr>
        <w:t>）投标报价具有选择性，或者开标价格与投标文件承诺的优惠（折扣）价格不一致的；</w:t>
      </w:r>
    </w:p>
    <w:p w14:paraId="1ED5EF8C">
      <w:pPr>
        <w:bidi w:val="0"/>
        <w:rPr>
          <w:highlight w:val="none"/>
        </w:rPr>
      </w:pPr>
      <w:r>
        <w:rPr>
          <w:rFonts w:hint="eastAsia"/>
          <w:highlight w:val="none"/>
        </w:rPr>
        <w:t>（1</w:t>
      </w:r>
      <w:r>
        <w:rPr>
          <w:rFonts w:hint="eastAsia"/>
          <w:highlight w:val="none"/>
          <w:lang w:val="en-US" w:eastAsia="zh-CN"/>
        </w:rPr>
        <w:t>5</w:t>
      </w:r>
      <w:r>
        <w:rPr>
          <w:rFonts w:hint="eastAsia"/>
          <w:highlight w:val="none"/>
        </w:rPr>
        <w:t>）法律、法规和招标文件规定的其他无效情形。</w:t>
      </w:r>
    </w:p>
    <w:p w14:paraId="6548CC29">
      <w:pPr>
        <w:pStyle w:val="36"/>
        <w:bidi w:val="0"/>
        <w:rPr>
          <w:highlight w:val="none"/>
        </w:rPr>
      </w:pPr>
      <w:r>
        <w:rPr>
          <w:rFonts w:hint="eastAsia"/>
          <w:highlight w:val="none"/>
        </w:rPr>
        <w:t>3、被拒绝的投标文件为无效；</w:t>
      </w:r>
    </w:p>
    <w:p w14:paraId="0820FFB0">
      <w:pPr>
        <w:pStyle w:val="4"/>
        <w:bidi w:val="0"/>
        <w:rPr>
          <w:highlight w:val="none"/>
        </w:rPr>
      </w:pPr>
      <w:r>
        <w:rPr>
          <w:rFonts w:hint="eastAsia"/>
          <w:highlight w:val="none"/>
        </w:rPr>
        <w:t>四、开标</w:t>
      </w:r>
      <w:bookmarkEnd w:id="79"/>
      <w:bookmarkEnd w:id="80"/>
    </w:p>
    <w:p w14:paraId="53BDBD97">
      <w:pPr>
        <w:pStyle w:val="36"/>
        <w:bidi w:val="0"/>
        <w:rPr>
          <w:highlight w:val="none"/>
        </w:rPr>
      </w:pPr>
      <w:r>
        <w:rPr>
          <w:rFonts w:hint="eastAsia"/>
          <w:highlight w:val="none"/>
        </w:rPr>
        <w:t>（一）开标时间和地点</w:t>
      </w:r>
    </w:p>
    <w:p w14:paraId="5D788F30">
      <w:pPr>
        <w:bidi w:val="0"/>
        <w:rPr>
          <w:highlight w:val="none"/>
        </w:rPr>
      </w:pPr>
      <w:r>
        <w:rPr>
          <w:rFonts w:hint="eastAsia"/>
          <w:highlight w:val="none"/>
        </w:rPr>
        <w:t>1.开标时间及地点详见“投标人须知前附表”</w:t>
      </w:r>
    </w:p>
    <w:p w14:paraId="69C8144A">
      <w:pPr>
        <w:bidi w:val="0"/>
        <w:rPr>
          <w:highlight w:val="none"/>
        </w:rPr>
      </w:pPr>
      <w:r>
        <w:rPr>
          <w:rFonts w:hint="eastAsia"/>
          <w:highlight w:val="none"/>
        </w:rPr>
        <w:t>2.如投标人成功解密投标文件，但未在“政采云”电子开标大厅参加开标的，视同认可开标过程和结果，由此产生的后果由投标人自行负责。投标人不足3家的，不得开标。</w:t>
      </w:r>
    </w:p>
    <w:p w14:paraId="4234684E">
      <w:pPr>
        <w:pStyle w:val="36"/>
        <w:bidi w:val="0"/>
        <w:rPr>
          <w:highlight w:val="none"/>
        </w:rPr>
      </w:pPr>
      <w:r>
        <w:rPr>
          <w:rFonts w:hint="eastAsia"/>
          <w:highlight w:val="none"/>
        </w:rPr>
        <w:t>（二）开标准备</w:t>
      </w:r>
    </w:p>
    <w:p w14:paraId="0DDA209E">
      <w:pPr>
        <w:bidi w:val="0"/>
        <w:rPr>
          <w:highlight w:val="none"/>
        </w:rPr>
      </w:pPr>
      <w:r>
        <w:rPr>
          <w:rFonts w:hint="eastAsia"/>
          <w:highlight w:val="none"/>
        </w:rPr>
        <w:t>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BE95148">
      <w:pPr>
        <w:pStyle w:val="36"/>
        <w:bidi w:val="0"/>
        <w:rPr>
          <w:highlight w:val="none"/>
        </w:rPr>
      </w:pPr>
      <w:r>
        <w:rPr>
          <w:rFonts w:hint="eastAsia"/>
          <w:highlight w:val="none"/>
        </w:rPr>
        <w:t>（三）开标程序：</w:t>
      </w:r>
    </w:p>
    <w:p w14:paraId="00DF34C6">
      <w:pPr>
        <w:bidi w:val="0"/>
        <w:rPr>
          <w:highlight w:val="none"/>
        </w:rPr>
      </w:pPr>
      <w:r>
        <w:rPr>
          <w:rFonts w:hint="eastAsia"/>
          <w:highlight w:val="none"/>
        </w:rPr>
        <w:t>（</w:t>
      </w:r>
      <w:r>
        <w:rPr>
          <w:highlight w:val="none"/>
        </w:rPr>
        <w:t>1</w:t>
      </w:r>
      <w:r>
        <w:rPr>
          <w:rFonts w:hint="eastAsia"/>
          <w:highlight w:val="none"/>
        </w:rPr>
        <w:t>）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w:t>
      </w:r>
      <w:r>
        <w:rPr>
          <w:highlight w:val="none"/>
        </w:rPr>
        <w:t>CA</w:t>
      </w:r>
      <w:r>
        <w:rPr>
          <w:rFonts w:hint="eastAsia"/>
          <w:highlight w:val="none"/>
        </w:rPr>
        <w:t>锁准时登录到“政采云”平台电子开标大厅签到并对电子投标文件解密。开标后</w:t>
      </w:r>
      <w:r>
        <w:rPr>
          <w:highlight w:val="none"/>
        </w:rPr>
        <w:t>5</w:t>
      </w:r>
      <w:r>
        <w:rPr>
          <w:rFonts w:hint="eastAsia"/>
          <w:highlight w:val="none"/>
        </w:rPr>
        <w:t>分钟投标人还未进行解密的，代理机构通知投标人。通知后，投标文件仍未按时解密，或者投标人没预留联系方式或预留联系方式无效，非代理机构原因导致代理机构无法联系到供应商进行解密的，均视为无效投标。</w:t>
      </w:r>
    </w:p>
    <w:p w14:paraId="56BBC1E6">
      <w:pPr>
        <w:bidi w:val="0"/>
        <w:rPr>
          <w:highlight w:val="none"/>
        </w:rPr>
      </w:pPr>
      <w:r>
        <w:rPr>
          <w:rFonts w:hint="eastAsia"/>
          <w:highlight w:val="none"/>
        </w:rPr>
        <w:t>（解密异常情况处理：详见本章第五点（九）电子交易活动的中止。）</w:t>
      </w:r>
    </w:p>
    <w:p w14:paraId="43F3DB41">
      <w:pPr>
        <w:bidi w:val="0"/>
        <w:rPr>
          <w:highlight w:val="none"/>
        </w:rPr>
      </w:pPr>
      <w:r>
        <w:rPr>
          <w:rFonts w:hint="eastAsia"/>
          <w:highlight w:val="none"/>
        </w:rPr>
        <w:t>（</w:t>
      </w:r>
      <w:r>
        <w:rPr>
          <w:highlight w:val="none"/>
        </w:rPr>
        <w:t>2</w:t>
      </w:r>
      <w:r>
        <w:rPr>
          <w:rFonts w:hint="eastAsia"/>
          <w:highlight w:val="none"/>
        </w:rPr>
        <w:t>）电子唱标。投标文件解密结束，各投标供应商报价均在“政采云”平台远程不见面开标大厅展示；</w:t>
      </w:r>
    </w:p>
    <w:p w14:paraId="457298B0">
      <w:pPr>
        <w:bidi w:val="0"/>
        <w:rPr>
          <w:highlight w:val="none"/>
        </w:rPr>
      </w:pPr>
      <w:r>
        <w:rPr>
          <w:rFonts w:hint="eastAsia"/>
          <w:highlight w:val="none"/>
        </w:rPr>
        <w:t>（</w:t>
      </w:r>
      <w:r>
        <w:rPr>
          <w:highlight w:val="none"/>
        </w:rPr>
        <w:t>3</w:t>
      </w:r>
      <w:r>
        <w:rPr>
          <w:rFonts w:hint="eastAsia"/>
          <w:highlight w:val="none"/>
        </w:rPr>
        <w:t>）签署电子《政府采购活动现场确认声明书》。通过邮件形式在远程不见面开标大厅发送各投标人签署电子《政府采购活动现场确认声明书》。</w:t>
      </w:r>
    </w:p>
    <w:p w14:paraId="1DC3C070">
      <w:pPr>
        <w:bidi w:val="0"/>
        <w:rPr>
          <w:highlight w:val="none"/>
        </w:rPr>
      </w:pPr>
      <w:r>
        <w:rPr>
          <w:rFonts w:hint="eastAsia"/>
          <w:highlight w:val="none"/>
        </w:rPr>
        <w:t>（</w:t>
      </w:r>
      <w:r>
        <w:rPr>
          <w:highlight w:val="none"/>
        </w:rPr>
        <w:t>4</w:t>
      </w:r>
      <w:r>
        <w:rPr>
          <w:rFonts w:hint="eastAsia"/>
          <w:highlight w:val="none"/>
        </w:rPr>
        <w:t>）开标过程由采购代理机构如实记录，并电子留痕，由参加电子开标的各投标人代表对电子开标记录在开标记录公布后</w:t>
      </w:r>
      <w:r>
        <w:rPr>
          <w:highlight w:val="none"/>
        </w:rPr>
        <w:t>15</w:t>
      </w:r>
      <w:r>
        <w:rPr>
          <w:rFonts w:hint="eastAsia"/>
          <w:highlight w:val="none"/>
        </w:rPr>
        <w:t>分钟内进行当场校核及勘误，并线上确认，未确认的视同认可开标结果。</w:t>
      </w:r>
    </w:p>
    <w:p w14:paraId="0A8D22E3">
      <w:pPr>
        <w:bidi w:val="0"/>
        <w:rPr>
          <w:highlight w:val="none"/>
        </w:rPr>
      </w:pPr>
      <w:r>
        <w:rPr>
          <w:rFonts w:hint="eastAsia"/>
          <w:highlight w:val="none"/>
        </w:rPr>
        <w:t>（</w:t>
      </w:r>
      <w:r>
        <w:rPr>
          <w:highlight w:val="none"/>
        </w:rPr>
        <w:t>5</w:t>
      </w:r>
      <w:r>
        <w:rPr>
          <w:rFonts w:hint="eastAsia"/>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3E201F5">
      <w:pPr>
        <w:bidi w:val="0"/>
        <w:rPr>
          <w:highlight w:val="none"/>
        </w:rPr>
      </w:pPr>
      <w:r>
        <w:rPr>
          <w:rFonts w:hint="eastAsia"/>
          <w:highlight w:val="none"/>
        </w:rPr>
        <w:t>（</w:t>
      </w:r>
      <w:r>
        <w:rPr>
          <w:highlight w:val="none"/>
        </w:rPr>
        <w:t>6</w:t>
      </w:r>
      <w:r>
        <w:rPr>
          <w:rFonts w:hint="eastAsia"/>
          <w:highlight w:val="none"/>
        </w:rPr>
        <w:t>）开标结束。</w:t>
      </w:r>
    </w:p>
    <w:p w14:paraId="7CD9B63B">
      <w:pPr>
        <w:bidi w:val="0"/>
        <w:rPr>
          <w:highlight w:val="none"/>
        </w:rPr>
      </w:pPr>
      <w:r>
        <w:rPr>
          <w:rFonts w:hint="eastAsia"/>
          <w:highlight w:val="none"/>
        </w:rPr>
        <w:t>特别说明：如遇“政采云”平台电子化开标或评审程序调整的，按调整后执行。</w:t>
      </w:r>
    </w:p>
    <w:p w14:paraId="07421458">
      <w:pPr>
        <w:pStyle w:val="4"/>
        <w:bidi w:val="0"/>
        <w:rPr>
          <w:highlight w:val="none"/>
        </w:rPr>
      </w:pPr>
      <w:bookmarkStart w:id="81" w:name="_Toc254970545"/>
      <w:bookmarkStart w:id="82" w:name="_Toc254970686"/>
      <w:r>
        <w:rPr>
          <w:rFonts w:hint="eastAsia"/>
          <w:highlight w:val="none"/>
        </w:rPr>
        <w:t>五、评标</w:t>
      </w:r>
      <w:bookmarkEnd w:id="81"/>
      <w:bookmarkEnd w:id="82"/>
    </w:p>
    <w:p w14:paraId="0E6208FF">
      <w:pPr>
        <w:pStyle w:val="36"/>
        <w:bidi w:val="0"/>
        <w:rPr>
          <w:highlight w:val="none"/>
        </w:rPr>
      </w:pPr>
      <w:r>
        <w:rPr>
          <w:rFonts w:hint="eastAsia"/>
          <w:highlight w:val="none"/>
        </w:rPr>
        <w:t>（一）组建评标委员会</w:t>
      </w:r>
    </w:p>
    <w:p w14:paraId="45218D17">
      <w:pPr>
        <w:bidi w:val="0"/>
        <w:rPr>
          <w:highlight w:val="none"/>
        </w:rPr>
      </w:pPr>
      <w:r>
        <w:rPr>
          <w:rFonts w:hint="eastAsia"/>
          <w:highlight w:val="none"/>
        </w:rPr>
        <w:t>本项目评标委员会由政府采购评审专家</w:t>
      </w:r>
      <w:r>
        <w:rPr>
          <w:rFonts w:hint="eastAsia"/>
          <w:highlight w:val="none"/>
          <w:u w:val="single"/>
          <w:lang w:val="en-US" w:eastAsia="zh-CN"/>
        </w:rPr>
        <w:t>4</w:t>
      </w:r>
      <w:r>
        <w:rPr>
          <w:rFonts w:hint="eastAsia"/>
          <w:highlight w:val="none"/>
        </w:rPr>
        <w:t>人和采购人代表</w:t>
      </w:r>
      <w:r>
        <w:rPr>
          <w:rFonts w:hint="eastAsia"/>
          <w:highlight w:val="none"/>
          <w:u w:val="single"/>
          <w:lang w:val="en-US" w:eastAsia="zh-CN"/>
        </w:rPr>
        <w:t>1</w:t>
      </w:r>
      <w:r>
        <w:rPr>
          <w:rFonts w:hint="eastAsia"/>
          <w:highlight w:val="none"/>
        </w:rPr>
        <w:t>人,共</w:t>
      </w:r>
      <w:r>
        <w:rPr>
          <w:rFonts w:hint="eastAsia"/>
          <w:highlight w:val="none"/>
          <w:u w:val="single"/>
          <w:lang w:val="en-US" w:eastAsia="zh-CN"/>
        </w:rPr>
        <w:t>5</w:t>
      </w:r>
      <w:r>
        <w:rPr>
          <w:rFonts w:hint="eastAsia"/>
          <w:highlight w:val="none"/>
        </w:rPr>
        <w:t>人组成。</w:t>
      </w:r>
    </w:p>
    <w:p w14:paraId="1CCE903D">
      <w:pPr>
        <w:pStyle w:val="36"/>
        <w:bidi w:val="0"/>
        <w:rPr>
          <w:highlight w:val="none"/>
        </w:rPr>
      </w:pPr>
      <w:r>
        <w:rPr>
          <w:rFonts w:hint="eastAsia"/>
          <w:highlight w:val="none"/>
        </w:rPr>
        <w:t>（二）评标的方式</w:t>
      </w:r>
    </w:p>
    <w:p w14:paraId="63DC2462">
      <w:pPr>
        <w:bidi w:val="0"/>
        <w:rPr>
          <w:highlight w:val="none"/>
        </w:rPr>
      </w:pPr>
      <w:r>
        <w:rPr>
          <w:rFonts w:hint="eastAsia"/>
          <w:highlight w:val="none"/>
        </w:rPr>
        <w:t>本项目采用不公开方式评标，评标的依据为招标文件和投标文件。</w:t>
      </w:r>
    </w:p>
    <w:p w14:paraId="41224422">
      <w:pPr>
        <w:pStyle w:val="36"/>
        <w:bidi w:val="0"/>
        <w:rPr>
          <w:highlight w:val="none"/>
        </w:rPr>
      </w:pPr>
      <w:r>
        <w:rPr>
          <w:rFonts w:hint="eastAsia"/>
          <w:highlight w:val="none"/>
        </w:rPr>
        <w:t>（三）评标程序</w:t>
      </w:r>
    </w:p>
    <w:p w14:paraId="50E0120C">
      <w:pPr>
        <w:pStyle w:val="36"/>
        <w:bidi w:val="0"/>
        <w:rPr>
          <w:highlight w:val="none"/>
        </w:rPr>
      </w:pPr>
      <w:r>
        <w:rPr>
          <w:rFonts w:hint="eastAsia"/>
          <w:highlight w:val="none"/>
        </w:rPr>
        <w:t>1.资格审查</w:t>
      </w:r>
    </w:p>
    <w:p w14:paraId="330A2850">
      <w:pPr>
        <w:bidi w:val="0"/>
        <w:rPr>
          <w:highlight w:val="none"/>
        </w:rPr>
      </w:pPr>
      <w:r>
        <w:rPr>
          <w:rFonts w:hint="eastAsia"/>
          <w:highlight w:val="none"/>
        </w:rPr>
        <w:t>采购人或采购机构依法通过电子投标文件对投标人的资格进行线上审查。合格投标人不足3家的，不得评标。</w:t>
      </w:r>
    </w:p>
    <w:p w14:paraId="08FEE855">
      <w:pPr>
        <w:pStyle w:val="36"/>
        <w:bidi w:val="0"/>
        <w:rPr>
          <w:highlight w:val="none"/>
        </w:rPr>
      </w:pPr>
      <w:r>
        <w:rPr>
          <w:rFonts w:hint="eastAsia"/>
          <w:highlight w:val="none"/>
        </w:rPr>
        <w:t>2.实质审查与比较</w:t>
      </w:r>
    </w:p>
    <w:p w14:paraId="3901EE04">
      <w:pPr>
        <w:bidi w:val="0"/>
        <w:rPr>
          <w:highlight w:val="none"/>
        </w:rPr>
      </w:pPr>
      <w:r>
        <w:rPr>
          <w:rFonts w:hint="eastAsia"/>
          <w:highlight w:val="none"/>
        </w:rPr>
        <w:t>（1）评标委员会审查投标文件的实质性内容是否符合招标文件的实质性要求。</w:t>
      </w:r>
    </w:p>
    <w:p w14:paraId="15591F20">
      <w:pPr>
        <w:bidi w:val="0"/>
        <w:rPr>
          <w:highlight w:val="none"/>
        </w:rPr>
      </w:pPr>
      <w:r>
        <w:rPr>
          <w:rFonts w:hint="eastAsia"/>
          <w:highlight w:val="none"/>
        </w:rPr>
        <w:t>（2）评标委员会将根据投标人的投标文件进行审查、核对,如有疑问,将对投标人进行询标,投标人要向评标委员会澄清有关问题,并最终以书面形式进行答复。</w:t>
      </w:r>
    </w:p>
    <w:p w14:paraId="285913AE">
      <w:pPr>
        <w:bidi w:val="0"/>
        <w:rPr>
          <w:highlight w:val="none"/>
        </w:rPr>
      </w:pPr>
      <w:r>
        <w:rPr>
          <w:rFonts w:hint="eastAsia"/>
          <w:highlight w:val="none"/>
        </w:rPr>
        <w:t>投标人代表未到场或者拒绝澄清或者澄清的内容改变了投标文件的实质性内容的，评标委员会有权对该投标文件作出不利于投标人的评判。</w:t>
      </w:r>
    </w:p>
    <w:p w14:paraId="0F7858BF">
      <w:pPr>
        <w:bidi w:val="0"/>
        <w:rPr>
          <w:highlight w:val="none"/>
        </w:rPr>
      </w:pPr>
      <w:r>
        <w:rPr>
          <w:rFonts w:hint="eastAsia"/>
          <w:highlight w:val="none"/>
        </w:rPr>
        <w:t>（3）评标委员会按照招标文件中规定的评标方法和标准，对符合性审查合格的投标文件进行商务、技术合报价评估，综合比较与评价。</w:t>
      </w:r>
    </w:p>
    <w:p w14:paraId="09B9D948">
      <w:pPr>
        <w:bidi w:val="0"/>
        <w:rPr>
          <w:highlight w:val="none"/>
        </w:rPr>
      </w:pPr>
      <w:r>
        <w:rPr>
          <w:rFonts w:hint="eastAsia"/>
          <w:highlight w:val="none"/>
        </w:rPr>
        <w:t>（4）各投标人的技术得分为所有评委的有效评分的算术平均数，由指定专人进行计算复核。</w:t>
      </w:r>
    </w:p>
    <w:p w14:paraId="44B85A92">
      <w:pPr>
        <w:bidi w:val="0"/>
        <w:rPr>
          <w:highlight w:val="none"/>
        </w:rPr>
      </w:pPr>
      <w:r>
        <w:rPr>
          <w:rFonts w:hint="eastAsia"/>
          <w:highlight w:val="none"/>
        </w:rPr>
        <w:t>（5）代理机构工作人员协助评标委员会根据本项目的评分标准计算各投标人的得分。</w:t>
      </w:r>
      <w:r>
        <w:rPr>
          <w:highlight w:val="none"/>
        </w:rPr>
        <w:t>对评审数据进行校对、核对，对畸高、畸低的重大差异评分提示评标委员会复核或书面说明理由。</w:t>
      </w:r>
    </w:p>
    <w:p w14:paraId="786AFC3A">
      <w:pPr>
        <w:bidi w:val="0"/>
        <w:rPr>
          <w:highlight w:val="none"/>
        </w:rPr>
      </w:pPr>
      <w:r>
        <w:rPr>
          <w:rFonts w:hint="eastAsia"/>
          <w:highlight w:val="none"/>
        </w:rPr>
        <w:t>（6）评标委员会完成评标后,评委对各部分得分汇总,</w:t>
      </w:r>
      <w:r>
        <w:rPr>
          <w:highlight w:val="none"/>
        </w:rPr>
        <w:t>计算出各有效投标人的综合得分。评标委员 会按评标原则推荐中标候选供应商同时编写评标报告。</w:t>
      </w:r>
    </w:p>
    <w:p w14:paraId="4483D68C">
      <w:pPr>
        <w:pStyle w:val="36"/>
        <w:bidi w:val="0"/>
        <w:rPr>
          <w:highlight w:val="none"/>
        </w:rPr>
      </w:pPr>
      <w:r>
        <w:rPr>
          <w:rFonts w:hint="eastAsia"/>
          <w:highlight w:val="none"/>
        </w:rPr>
        <w:t>（四）澄清问题的形式</w:t>
      </w:r>
    </w:p>
    <w:p w14:paraId="64752150">
      <w:pPr>
        <w:bidi w:val="0"/>
        <w:rPr>
          <w:highlight w:val="none"/>
        </w:rPr>
      </w:pPr>
      <w:r>
        <w:rPr>
          <w:rFonts w:hint="eastAsia"/>
          <w:highlight w:val="none"/>
        </w:rPr>
        <w:t>对于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w:t>
      </w:r>
      <w:r>
        <w:rPr>
          <w:highlight w:val="none"/>
        </w:rPr>
        <w:t>PDF</w:t>
      </w:r>
      <w:r>
        <w:rPr>
          <w:rFonts w:hint="eastAsia"/>
          <w:highlight w:val="none"/>
        </w:rPr>
        <w:t>格式回函，电子澄清答复函使用</w:t>
      </w:r>
      <w:r>
        <w:rPr>
          <w:highlight w:val="none"/>
        </w:rPr>
        <w:t>CA</w:t>
      </w:r>
      <w:r>
        <w:rPr>
          <w:rFonts w:hint="eastAsia"/>
          <w:highlight w:val="none"/>
        </w:rPr>
        <w:t>证书加盖单位公章后在线上传至评标委员会。投标人的澄清、说明或者补正不得超出投标文件的范围或者改变投标文件的实质性内容。投标人未在规定时间内进行澄清、说明或者补正的，按无效投标处理。</w:t>
      </w:r>
    </w:p>
    <w:p w14:paraId="3D37B3F7">
      <w:pPr>
        <w:bidi w:val="0"/>
        <w:rPr>
          <w:highlight w:val="none"/>
        </w:rPr>
      </w:pPr>
      <w:r>
        <w:rPr>
          <w:rFonts w:hint="eastAsia"/>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007A8A7">
      <w:pPr>
        <w:pStyle w:val="36"/>
        <w:bidi w:val="0"/>
        <w:rPr>
          <w:highlight w:val="none"/>
        </w:rPr>
      </w:pPr>
      <w:r>
        <w:rPr>
          <w:rFonts w:hint="eastAsia"/>
          <w:highlight w:val="none"/>
        </w:rPr>
        <w:t>（五）错误修正</w:t>
      </w:r>
    </w:p>
    <w:p w14:paraId="3098BD37">
      <w:pPr>
        <w:bidi w:val="0"/>
        <w:rPr>
          <w:highlight w:val="none"/>
        </w:rPr>
      </w:pPr>
      <w:r>
        <w:rPr>
          <w:rFonts w:hint="eastAsia"/>
          <w:highlight w:val="none"/>
        </w:rPr>
        <w:t>投标文件如果出现计算上的错误，修正错误的原则如下：</w:t>
      </w:r>
    </w:p>
    <w:p w14:paraId="630926BC">
      <w:pPr>
        <w:bidi w:val="0"/>
        <w:rPr>
          <w:highlight w:val="none"/>
        </w:rPr>
      </w:pPr>
      <w:r>
        <w:rPr>
          <w:rFonts w:hint="eastAsia"/>
          <w:highlight w:val="none"/>
        </w:rPr>
        <w:t>1.投标文件中开标一览表（报价表）内容与投标文件中相应内容不一致的，以开标一览表（报价表）为准；</w:t>
      </w:r>
    </w:p>
    <w:p w14:paraId="4B34BC3E">
      <w:pPr>
        <w:bidi w:val="0"/>
        <w:rPr>
          <w:highlight w:val="none"/>
        </w:rPr>
      </w:pPr>
      <w:r>
        <w:rPr>
          <w:rFonts w:hint="eastAsia"/>
          <w:highlight w:val="none"/>
        </w:rPr>
        <w:t>2.大写金额和小写金额不一致的，以大写金额为准；</w:t>
      </w:r>
    </w:p>
    <w:p w14:paraId="6E7F69B4">
      <w:pPr>
        <w:bidi w:val="0"/>
        <w:rPr>
          <w:highlight w:val="none"/>
        </w:rPr>
      </w:pPr>
      <w:r>
        <w:rPr>
          <w:rFonts w:hint="eastAsia"/>
          <w:highlight w:val="none"/>
        </w:rPr>
        <w:t>3.单价金额小数点或者百分比有明显错位的，以开标一览表的总价为准，并修改单价；</w:t>
      </w:r>
    </w:p>
    <w:p w14:paraId="0C9DC87E">
      <w:pPr>
        <w:bidi w:val="0"/>
        <w:rPr>
          <w:highlight w:val="none"/>
        </w:rPr>
      </w:pPr>
      <w:r>
        <w:rPr>
          <w:rFonts w:hint="eastAsia"/>
          <w:highlight w:val="none"/>
        </w:rPr>
        <w:t>4.总价金额与按单价汇总金额不一致的，以单价金额计算结果为准。</w:t>
      </w:r>
    </w:p>
    <w:p w14:paraId="02C84E3E">
      <w:pPr>
        <w:pStyle w:val="36"/>
        <w:bidi w:val="0"/>
        <w:rPr>
          <w:highlight w:val="none"/>
        </w:rPr>
      </w:pPr>
      <w:r>
        <w:rPr>
          <w:rFonts w:hint="eastAsia"/>
          <w:highlight w:val="none"/>
        </w:rPr>
        <w:t>同时出现两种以上不一致的，按照前款规定的顺序修正。修正后的报价经投标人确认并加盖公章或者由法定代表人或其授权的代表签字后产生约束力，投标人不确认的，其投标无效。</w:t>
      </w:r>
    </w:p>
    <w:p w14:paraId="7EC42578">
      <w:pPr>
        <w:pStyle w:val="36"/>
        <w:bidi w:val="0"/>
        <w:rPr>
          <w:highlight w:val="none"/>
        </w:rPr>
      </w:pPr>
      <w:r>
        <w:rPr>
          <w:rFonts w:hint="eastAsia"/>
          <w:highlight w:val="none"/>
        </w:rPr>
        <w:t>（六）评委表决</w:t>
      </w:r>
    </w:p>
    <w:p w14:paraId="0CF8CCCD">
      <w:pPr>
        <w:bidi w:val="0"/>
        <w:rPr>
          <w:highlight w:val="none"/>
        </w:rPr>
      </w:pPr>
      <w:r>
        <w:rPr>
          <w:rFonts w:hint="eastAsia"/>
          <w:highlight w:val="none"/>
        </w:rPr>
        <w:t>在评标过程中出现法律法规和招标文件均没有明确规定的情形时，由评标委员会现场协商解决，协</w:t>
      </w:r>
    </w:p>
    <w:p w14:paraId="664B1D44">
      <w:pPr>
        <w:bidi w:val="0"/>
        <w:rPr>
          <w:highlight w:val="none"/>
        </w:rPr>
      </w:pPr>
      <w:r>
        <w:rPr>
          <w:rFonts w:hint="eastAsia"/>
          <w:highlight w:val="none"/>
        </w:rPr>
        <w:t>商不一致的，由全体评委投票表决，以得票率二分之一以上专家的意见为准。</w:t>
      </w:r>
    </w:p>
    <w:p w14:paraId="06FD4E1F">
      <w:pPr>
        <w:pStyle w:val="36"/>
        <w:bidi w:val="0"/>
        <w:rPr>
          <w:highlight w:val="none"/>
        </w:rPr>
      </w:pPr>
      <w:r>
        <w:rPr>
          <w:rFonts w:hint="eastAsia"/>
          <w:highlight w:val="none"/>
        </w:rPr>
        <w:t>（七）评标原则和评标办法</w:t>
      </w:r>
    </w:p>
    <w:p w14:paraId="51F7444F">
      <w:pPr>
        <w:bidi w:val="0"/>
        <w:rPr>
          <w:highlight w:val="none"/>
        </w:rPr>
      </w:pPr>
      <w:r>
        <w:rPr>
          <w:rFonts w:hint="eastAsia"/>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45793BC">
      <w:pPr>
        <w:bidi w:val="0"/>
        <w:rPr>
          <w:highlight w:val="none"/>
        </w:rPr>
      </w:pPr>
      <w:r>
        <w:rPr>
          <w:rFonts w:hint="eastAsia"/>
          <w:highlight w:val="none"/>
        </w:rPr>
        <w:t>2.评标办法。本项目评标办法是综合评分法，具体评标内容及评分标准等详见《第四章：评标办法及评分标准》。</w:t>
      </w:r>
    </w:p>
    <w:p w14:paraId="6BE9A74F">
      <w:pPr>
        <w:bidi w:val="0"/>
        <w:rPr>
          <w:highlight w:val="none"/>
        </w:rPr>
      </w:pPr>
      <w:r>
        <w:rPr>
          <w:rFonts w:hint="eastAsia"/>
          <w:highlight w:val="none"/>
        </w:rPr>
        <w:t>3. 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C508407">
      <w:pPr>
        <w:pStyle w:val="36"/>
        <w:bidi w:val="0"/>
        <w:rPr>
          <w:highlight w:val="none"/>
        </w:rPr>
      </w:pPr>
      <w:r>
        <w:rPr>
          <w:rFonts w:hint="eastAsia"/>
          <w:highlight w:val="none"/>
        </w:rPr>
        <w:t>（八）评标过程的监控</w:t>
      </w:r>
    </w:p>
    <w:p w14:paraId="58E284BD">
      <w:pPr>
        <w:bidi w:val="0"/>
        <w:rPr>
          <w:highlight w:val="none"/>
        </w:rPr>
      </w:pPr>
      <w:r>
        <w:rPr>
          <w:rFonts w:hint="eastAsia"/>
          <w:highlight w:val="none"/>
        </w:rPr>
        <w:t>本项目电子评标过程实行网上留痕、全程录音、录像监控，投标人在评标过程中所进行的试图影响评标结果的不公正活动，可能导致其投标按无效处理。</w:t>
      </w:r>
    </w:p>
    <w:p w14:paraId="41FD6F22">
      <w:pPr>
        <w:pStyle w:val="36"/>
        <w:bidi w:val="0"/>
        <w:rPr>
          <w:highlight w:val="none"/>
        </w:rPr>
      </w:pPr>
      <w:r>
        <w:rPr>
          <w:rFonts w:hint="eastAsia"/>
          <w:highlight w:val="none"/>
        </w:rPr>
        <w:t>（九）电子交易活动的中止</w:t>
      </w:r>
    </w:p>
    <w:p w14:paraId="4D184524">
      <w:pPr>
        <w:bidi w:val="0"/>
        <w:rPr>
          <w:highlight w:val="none"/>
        </w:rPr>
      </w:pPr>
      <w:r>
        <w:rPr>
          <w:rFonts w:hint="eastAsia"/>
          <w:highlight w:val="none"/>
        </w:rPr>
        <w:t>1.采购过程中出现以下情形，导致电子交易平台无法正常运行，或者无法保证电子交易的公平、公正和安全时，采购机构可中止电子交易活动：</w:t>
      </w:r>
    </w:p>
    <w:p w14:paraId="4CCED747">
      <w:pPr>
        <w:bidi w:val="0"/>
        <w:rPr>
          <w:highlight w:val="none"/>
        </w:rPr>
      </w:pPr>
      <w:r>
        <w:rPr>
          <w:rFonts w:hint="eastAsia"/>
          <w:highlight w:val="none"/>
        </w:rPr>
        <w:t>（</w:t>
      </w:r>
      <w:r>
        <w:rPr>
          <w:highlight w:val="none"/>
        </w:rPr>
        <w:t>1</w:t>
      </w:r>
      <w:r>
        <w:rPr>
          <w:rFonts w:hint="eastAsia"/>
          <w:highlight w:val="none"/>
        </w:rPr>
        <w:t>）电子交易平台发生故障而无法登录访问的；</w:t>
      </w:r>
    </w:p>
    <w:p w14:paraId="37B978EB">
      <w:pPr>
        <w:bidi w:val="0"/>
        <w:rPr>
          <w:highlight w:val="none"/>
        </w:rPr>
      </w:pPr>
      <w:r>
        <w:rPr>
          <w:rFonts w:hint="eastAsia"/>
          <w:highlight w:val="none"/>
        </w:rPr>
        <w:t>（</w:t>
      </w:r>
      <w:r>
        <w:rPr>
          <w:highlight w:val="none"/>
        </w:rPr>
        <w:t>2</w:t>
      </w:r>
      <w:r>
        <w:rPr>
          <w:rFonts w:hint="eastAsia"/>
          <w:highlight w:val="none"/>
        </w:rPr>
        <w:t>）电子交易平台应用或数据库出现错误，不能进行正常操作的；</w:t>
      </w:r>
    </w:p>
    <w:p w14:paraId="320A5FF1">
      <w:pPr>
        <w:bidi w:val="0"/>
        <w:rPr>
          <w:highlight w:val="none"/>
        </w:rPr>
      </w:pPr>
      <w:r>
        <w:rPr>
          <w:rFonts w:hint="eastAsia"/>
          <w:highlight w:val="none"/>
        </w:rPr>
        <w:t>（</w:t>
      </w:r>
      <w:r>
        <w:rPr>
          <w:highlight w:val="none"/>
        </w:rPr>
        <w:t>3</w:t>
      </w:r>
      <w:r>
        <w:rPr>
          <w:rFonts w:hint="eastAsia"/>
          <w:highlight w:val="none"/>
        </w:rPr>
        <w:t>）电子交易平台发现严重安全漏洞，有潜在泄密危险的；</w:t>
      </w:r>
    </w:p>
    <w:p w14:paraId="77A080FF">
      <w:pPr>
        <w:bidi w:val="0"/>
        <w:rPr>
          <w:highlight w:val="none"/>
        </w:rPr>
      </w:pPr>
      <w:r>
        <w:rPr>
          <w:rFonts w:hint="eastAsia"/>
          <w:highlight w:val="none"/>
        </w:rPr>
        <w:t>（</w:t>
      </w:r>
      <w:r>
        <w:rPr>
          <w:highlight w:val="none"/>
        </w:rPr>
        <w:t>4</w:t>
      </w:r>
      <w:r>
        <w:rPr>
          <w:rFonts w:hint="eastAsia"/>
          <w:highlight w:val="none"/>
        </w:rPr>
        <w:t>）病毒发作导致不能进行正常操作的；</w:t>
      </w:r>
    </w:p>
    <w:p w14:paraId="71108ECA">
      <w:pPr>
        <w:bidi w:val="0"/>
        <w:rPr>
          <w:highlight w:val="none"/>
        </w:rPr>
      </w:pPr>
      <w:r>
        <w:rPr>
          <w:rFonts w:hint="eastAsia"/>
          <w:highlight w:val="none"/>
        </w:rPr>
        <w:t>（</w:t>
      </w:r>
      <w:r>
        <w:rPr>
          <w:highlight w:val="none"/>
        </w:rPr>
        <w:t>4</w:t>
      </w:r>
      <w:r>
        <w:rPr>
          <w:rFonts w:hint="eastAsia"/>
          <w:highlight w:val="none"/>
        </w:rPr>
        <w:t>）其他无法保证电子交易的公平、公正和安全的情况。</w:t>
      </w:r>
    </w:p>
    <w:p w14:paraId="48503950">
      <w:pPr>
        <w:bidi w:val="0"/>
        <w:rPr>
          <w:highlight w:val="none"/>
        </w:rPr>
      </w:pPr>
      <w:r>
        <w:rPr>
          <w:rFonts w:hint="eastAsia"/>
          <w:highlight w:val="none"/>
        </w:rPr>
        <w:t>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46EE53E">
      <w:pPr>
        <w:pStyle w:val="4"/>
        <w:bidi w:val="0"/>
        <w:rPr>
          <w:highlight w:val="none"/>
        </w:rPr>
      </w:pPr>
      <w:bookmarkStart w:id="83" w:name="_Toc254970687"/>
      <w:bookmarkStart w:id="84" w:name="_Toc254970546"/>
      <w:r>
        <w:rPr>
          <w:rFonts w:hint="eastAsia"/>
          <w:highlight w:val="none"/>
        </w:rPr>
        <w:t>六、</w:t>
      </w:r>
      <w:bookmarkEnd w:id="83"/>
      <w:bookmarkEnd w:id="84"/>
      <w:r>
        <w:rPr>
          <w:rFonts w:hint="eastAsia"/>
          <w:highlight w:val="none"/>
        </w:rPr>
        <w:t>评标结果</w:t>
      </w:r>
    </w:p>
    <w:p w14:paraId="05972D35">
      <w:pPr>
        <w:bidi w:val="0"/>
        <w:rPr>
          <w:highlight w:val="none"/>
        </w:rPr>
      </w:pPr>
      <w:r>
        <w:rPr>
          <w:rFonts w:hint="eastAsia"/>
          <w:highlight w:val="none"/>
        </w:rPr>
        <w:t>（一）采购代理机构在评标结束后二个工作日内将评标报告送采购人，采购人在五个工作日内按照评标报告中推荐的中标候选供应商顺序确定中标供应商。采购人也可以事先授权评标委员会直接确定中标供应商。</w:t>
      </w:r>
    </w:p>
    <w:p w14:paraId="7F829E04">
      <w:pPr>
        <w:bidi w:val="0"/>
        <w:rPr>
          <w:highlight w:val="none"/>
        </w:rPr>
      </w:pPr>
      <w:r>
        <w:rPr>
          <w:rFonts w:hint="eastAsia"/>
          <w:highlight w:val="none"/>
        </w:rPr>
        <w:t>（二）中标供应商确定后二个工作日内，采购代理机构或采购人应当对中标人信用进行核实，如其未被列入失信被执行人、</w:t>
      </w:r>
      <w:r>
        <w:rPr>
          <w:rFonts w:hint="eastAsia"/>
          <w:highlight w:val="none"/>
          <w:lang w:eastAsia="zh-CN"/>
        </w:rPr>
        <w:t>重大税收违法失信主体名单</w:t>
      </w:r>
      <w:r>
        <w:rPr>
          <w:rFonts w:hint="eastAsia"/>
          <w:highlight w:val="none"/>
        </w:rPr>
        <w:t>、政府采购严重违法失信行为记录名单，则采购代理机构在中国政府采购网、广西政府采购网发布中标公告；如其被列入失信被执行人、</w:t>
      </w:r>
      <w:r>
        <w:rPr>
          <w:rFonts w:hint="eastAsia"/>
          <w:highlight w:val="none"/>
          <w:lang w:eastAsia="zh-CN"/>
        </w:rPr>
        <w:t>重大税收违法失信主体名单</w:t>
      </w:r>
      <w:r>
        <w:rPr>
          <w:rFonts w:hint="eastAsia"/>
          <w:highlight w:val="none"/>
        </w:rPr>
        <w:t>、政府采购严重违法失信行为记录名单，则取消其中标资格，</w:t>
      </w:r>
      <w:r>
        <w:rPr>
          <w:highlight w:val="none"/>
        </w:rPr>
        <w:t>并确定排名第二的中标候选人为中标人。排名第二的中标候选人因前款规定的同样原因被取消中标资格的，采购人可以确定排名第三的中标候选人为中标人。以上信息查询记录及相关证据与采购文件一并保存。</w:t>
      </w:r>
    </w:p>
    <w:p w14:paraId="4D943EA2">
      <w:pPr>
        <w:bidi w:val="0"/>
        <w:rPr>
          <w:highlight w:val="none"/>
        </w:rPr>
      </w:pPr>
      <w:r>
        <w:rPr>
          <w:rFonts w:hint="eastAsia"/>
          <w:highlight w:val="none"/>
        </w:rPr>
        <w:t>（三）在发布中标公告的同时，采购代理机构向中标人通过“政采云”平台发出电子中标通知书。</w:t>
      </w:r>
    </w:p>
    <w:p w14:paraId="2039490D">
      <w:pPr>
        <w:bidi w:val="0"/>
        <w:rPr>
          <w:highlight w:val="none"/>
        </w:rPr>
      </w:pPr>
      <w:r>
        <w:rPr>
          <w:rFonts w:hint="eastAsia"/>
          <w:highlight w:val="none"/>
        </w:rPr>
        <w:t>（四）对未通过资格审查的投标人，采购人或采购机构应当告知其未通过的原因；采用综合评分办法评审的，采购人或采购机构还应当告知未中标人本人的评审得分与排序。</w:t>
      </w:r>
    </w:p>
    <w:p w14:paraId="589F97E0">
      <w:pPr>
        <w:bidi w:val="0"/>
        <w:rPr>
          <w:highlight w:val="none"/>
        </w:rPr>
      </w:pPr>
      <w:r>
        <w:rPr>
          <w:rFonts w:hint="eastAsia"/>
          <w:highlight w:val="none"/>
        </w:rPr>
        <w:t>（五）投标人认为招标文件、招标工程和中标结果使自己的权益受到损害的，可以在知道或者应知其权益受到损害之日起七个工作日内，以书面形式向采购代理机构提出质疑，并及时索要书面回执。</w:t>
      </w:r>
    </w:p>
    <w:p w14:paraId="3E98BE93">
      <w:pPr>
        <w:bidi w:val="0"/>
        <w:rPr>
          <w:highlight w:val="none"/>
        </w:rPr>
      </w:pPr>
      <w:r>
        <w:rPr>
          <w:rFonts w:hint="eastAsia"/>
          <w:highlight w:val="none"/>
        </w:rPr>
        <w:t>（六）采购代理机构应当按照有关规定就采购人委托范围内的事项在收到投标人的书面质疑后七个工作日内做出答复，但答复的内容不得涉及商业秘密。</w:t>
      </w:r>
    </w:p>
    <w:p w14:paraId="502E7A43">
      <w:pPr>
        <w:pStyle w:val="4"/>
        <w:bidi w:val="0"/>
        <w:rPr>
          <w:highlight w:val="none"/>
        </w:rPr>
      </w:pPr>
      <w:bookmarkStart w:id="85" w:name="_Toc254970547"/>
      <w:bookmarkStart w:id="86" w:name="_Toc254970688"/>
      <w:r>
        <w:rPr>
          <w:rFonts w:hint="eastAsia"/>
          <w:highlight w:val="none"/>
        </w:rPr>
        <w:t>七、</w:t>
      </w:r>
      <w:bookmarkEnd w:id="85"/>
      <w:bookmarkEnd w:id="86"/>
      <w:r>
        <w:rPr>
          <w:rFonts w:hint="eastAsia"/>
          <w:highlight w:val="none"/>
        </w:rPr>
        <w:t>签订合同</w:t>
      </w:r>
    </w:p>
    <w:p w14:paraId="77F7610E">
      <w:pPr>
        <w:bidi w:val="0"/>
        <w:rPr>
          <w:highlight w:val="none"/>
        </w:rPr>
      </w:pPr>
      <w:r>
        <w:rPr>
          <w:rFonts w:hint="eastAsia"/>
          <w:highlight w:val="none"/>
        </w:rPr>
        <w:t>（一）合同授予标准</w:t>
      </w:r>
    </w:p>
    <w:p w14:paraId="507248A3">
      <w:pPr>
        <w:bidi w:val="0"/>
        <w:rPr>
          <w:highlight w:val="none"/>
        </w:rPr>
      </w:pPr>
      <w:r>
        <w:rPr>
          <w:rFonts w:hint="eastAsia"/>
          <w:highlight w:val="none"/>
        </w:rPr>
        <w:t>合同将授予被确定实质上响应招标文件要求，具备履行合同能力，综合评分排名第一的投标人。</w:t>
      </w:r>
    </w:p>
    <w:p w14:paraId="19D2CB1A">
      <w:pPr>
        <w:pStyle w:val="36"/>
        <w:bidi w:val="0"/>
        <w:rPr>
          <w:highlight w:val="none"/>
        </w:rPr>
      </w:pPr>
      <w:r>
        <w:rPr>
          <w:rFonts w:hint="eastAsia"/>
          <w:highlight w:val="none"/>
        </w:rPr>
        <w:t>（二）签订合同、合同存档及合同公告</w:t>
      </w:r>
    </w:p>
    <w:p w14:paraId="23C49D64">
      <w:pPr>
        <w:bidi w:val="0"/>
        <w:rPr>
          <w:highlight w:val="none"/>
        </w:rPr>
      </w:pPr>
      <w:r>
        <w:rPr>
          <w:rFonts w:hint="eastAsia"/>
          <w:highlight w:val="none"/>
        </w:rPr>
        <w:t>（1）投标人领取电子中标通知书后，应按中标通知书规定的时间、地点与采购人签订电子采购合同。电子采购合同需要供应商通过有效</w:t>
      </w:r>
      <w:r>
        <w:rPr>
          <w:highlight w:val="none"/>
        </w:rPr>
        <w:t>CA</w:t>
      </w:r>
      <w:r>
        <w:rPr>
          <w:rFonts w:hint="eastAsia"/>
          <w:highlight w:val="none"/>
        </w:rPr>
        <w:t>证书进行电子签名与签章。</w:t>
      </w:r>
    </w:p>
    <w:p w14:paraId="61BE44C3">
      <w:pPr>
        <w:bidi w:val="0"/>
        <w:rPr>
          <w:highlight w:val="none"/>
        </w:rPr>
      </w:pPr>
      <w:r>
        <w:rPr>
          <w:rFonts w:hint="eastAsia"/>
          <w:highlight w:val="none"/>
        </w:rPr>
        <w:t>（2）如中标供应商不按中标通知书的规定签订合同，则按中标供应商违约处理，采购代理机构将没收中标供应商投标的全部投标保证金并上缴同级财政国库。</w:t>
      </w:r>
    </w:p>
    <w:p w14:paraId="69891945">
      <w:pPr>
        <w:bidi w:val="0"/>
        <w:rPr>
          <w:highlight w:val="none"/>
        </w:rPr>
      </w:pPr>
      <w:r>
        <w:rPr>
          <w:rFonts w:hint="eastAsia"/>
          <w:highlight w:val="none"/>
        </w:rPr>
        <w:t>（3）中标供应商因不可抗力或者自身原因不能履行采购合同的，采购人可以与中标供应商之后排名第一的中标候选供应商签订采购合同，以此类推，也可以重新组织采购。</w:t>
      </w:r>
    </w:p>
    <w:p w14:paraId="59E598A3">
      <w:pPr>
        <w:bidi w:val="0"/>
        <w:rPr>
          <w:highlight w:val="none"/>
        </w:rPr>
      </w:pPr>
      <w:r>
        <w:rPr>
          <w:rFonts w:hint="eastAsia"/>
          <w:highlight w:val="none"/>
        </w:rPr>
        <w:t>（4）</w:t>
      </w:r>
      <w:r>
        <w:rPr>
          <w:highlight w:val="none"/>
        </w:rPr>
        <w:t>政府采购合同公告：</w:t>
      </w:r>
      <w:r>
        <w:rPr>
          <w:rFonts w:hint="eastAsia"/>
          <w:highlight w:val="none"/>
        </w:rPr>
        <w:t>采购人或者受托采购代理机构应当自政府采购合同签订之日起</w:t>
      </w:r>
      <w:r>
        <w:rPr>
          <w:highlight w:val="none"/>
        </w:rPr>
        <w:t>2</w:t>
      </w:r>
      <w:r>
        <w:rPr>
          <w:rFonts w:hint="eastAsia"/>
          <w:highlight w:val="none"/>
        </w:rPr>
        <w:t>个工作日内，将政府采购合同在“广西政府采购网”（</w:t>
      </w:r>
      <w:r>
        <w:rPr>
          <w:highlight w:val="none"/>
        </w:rPr>
        <w:t>http://zfcg.gxzf.gov.cn</w:t>
      </w:r>
      <w:r>
        <w:rPr>
          <w:rFonts w:hint="eastAsia"/>
          <w:highlight w:val="none"/>
        </w:rPr>
        <w:t>）上发布公告，但政府采购合同中涉及国家秘密、商业秘密的内容除外。</w:t>
      </w:r>
      <w:r>
        <w:rPr>
          <w:highlight w:val="none"/>
        </w:rPr>
        <w:t>因此请各投标人应在投标文件中注明投标内容中涉及商业秘密的部分，未注明的视为投标文件中不涉及商业秘密。</w:t>
      </w:r>
    </w:p>
    <w:p w14:paraId="75F51431">
      <w:pPr>
        <w:pStyle w:val="36"/>
        <w:bidi w:val="0"/>
        <w:rPr>
          <w:highlight w:val="none"/>
        </w:rPr>
      </w:pPr>
      <w:r>
        <w:rPr>
          <w:rFonts w:hint="eastAsia"/>
          <w:highlight w:val="none"/>
        </w:rPr>
        <w:t>（三）履约保证金</w:t>
      </w:r>
    </w:p>
    <w:p w14:paraId="0656ECF0">
      <w:pPr>
        <w:bidi w:val="0"/>
        <w:rPr>
          <w:highlight w:val="none"/>
        </w:rPr>
      </w:pPr>
      <w:r>
        <w:rPr>
          <w:rFonts w:hint="eastAsia"/>
          <w:highlight w:val="none"/>
        </w:rPr>
        <w:t>1.履约保证金金额：详见投标人须知前附表</w:t>
      </w:r>
      <w:r>
        <w:rPr>
          <w:highlight w:val="none"/>
        </w:rPr>
        <w:t>。</w:t>
      </w:r>
    </w:p>
    <w:p w14:paraId="45FF6DE3">
      <w:pPr>
        <w:bidi w:val="0"/>
        <w:rPr>
          <w:highlight w:val="none"/>
        </w:rPr>
      </w:pPr>
      <w:r>
        <w:rPr>
          <w:rFonts w:hint="eastAsia"/>
          <w:highlight w:val="none"/>
        </w:rPr>
        <w:t>2.履约保证金递交时间：详见投标人须知前附表，未在规定时间内足额缴纳履约保证金的，不予签订合同</w:t>
      </w:r>
      <w:r>
        <w:rPr>
          <w:highlight w:val="none"/>
        </w:rPr>
        <w:t>。</w:t>
      </w:r>
    </w:p>
    <w:p w14:paraId="64F630AF">
      <w:pPr>
        <w:bidi w:val="0"/>
        <w:rPr>
          <w:highlight w:val="none"/>
        </w:rPr>
      </w:pPr>
      <w:r>
        <w:rPr>
          <w:rFonts w:hint="eastAsia"/>
          <w:highlight w:val="none"/>
        </w:rPr>
        <w:t>3.在履约保证金退还日期前，若中标供应商的开户名称、开户银行、帐号有变动的，请以书面形式通知保证金收取单位，否则由此产生的后果由中标供应商自负。</w:t>
      </w:r>
    </w:p>
    <w:p w14:paraId="14595EEB">
      <w:pPr>
        <w:pStyle w:val="4"/>
        <w:bidi w:val="0"/>
        <w:rPr>
          <w:highlight w:val="none"/>
        </w:rPr>
      </w:pPr>
      <w:r>
        <w:rPr>
          <w:rFonts w:hint="eastAsia"/>
          <w:highlight w:val="none"/>
        </w:rPr>
        <w:t>八、验收</w:t>
      </w:r>
    </w:p>
    <w:p w14:paraId="6562AF42">
      <w:pPr>
        <w:bidi w:val="0"/>
        <w:rPr>
          <w:highlight w:val="none"/>
        </w:rPr>
      </w:pPr>
      <w:r>
        <w:rPr>
          <w:rFonts w:hint="eastAsia"/>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E3E8E4">
      <w:pPr>
        <w:bidi w:val="0"/>
        <w:rPr>
          <w:highlight w:val="none"/>
        </w:rPr>
      </w:pPr>
      <w:r>
        <w:rPr>
          <w:rFonts w:hint="eastAsia"/>
          <w:highlight w:val="none"/>
        </w:rPr>
        <w:t>2.采购人可以邀请参加本项目的其他投标人或者第三方机构参与验收。参与验收的投标人或者第三方机构的意见作为验收书的参考资料一并存档。</w:t>
      </w:r>
    </w:p>
    <w:p w14:paraId="488217F9">
      <w:pPr>
        <w:bidi w:val="0"/>
        <w:rPr>
          <w:highlight w:val="none"/>
        </w:rPr>
      </w:pPr>
      <w:r>
        <w:rPr>
          <w:rFonts w:hint="eastAsia"/>
          <w:highlight w:val="none"/>
        </w:rPr>
        <w:t>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882989">
      <w:pPr>
        <w:bidi w:val="0"/>
        <w:rPr>
          <w:highlight w:val="none"/>
        </w:rPr>
      </w:pPr>
      <w:r>
        <w:rPr>
          <w:rFonts w:hint="eastAsia"/>
          <w:highlight w:val="none"/>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B883729">
      <w:pPr>
        <w:bidi w:val="0"/>
        <w:rPr>
          <w:highlight w:val="none"/>
        </w:rPr>
      </w:pPr>
      <w:r>
        <w:rPr>
          <w:rFonts w:hint="eastAsia"/>
          <w:highlight w:val="none"/>
        </w:rPr>
        <w:t>5.</w:t>
      </w:r>
      <w:r>
        <w:rPr>
          <w:highlight w:val="none"/>
        </w:rPr>
        <w:t xml:space="preserve"> 项目验收完毕，中标供应商将壹份《广西壮族自治区政府采购项目合同验收书》（格式详见附件）送采购代理机构存档。</w:t>
      </w:r>
    </w:p>
    <w:p w14:paraId="40806215">
      <w:pPr>
        <w:pStyle w:val="4"/>
        <w:bidi w:val="0"/>
        <w:rPr>
          <w:highlight w:val="none"/>
        </w:rPr>
      </w:pPr>
      <w:r>
        <w:rPr>
          <w:rFonts w:hint="eastAsia"/>
          <w:highlight w:val="none"/>
        </w:rPr>
        <w:t>九、其他事项</w:t>
      </w:r>
    </w:p>
    <w:p w14:paraId="096D7EB2">
      <w:pPr>
        <w:bidi w:val="0"/>
        <w:rPr>
          <w:highlight w:val="none"/>
        </w:rPr>
      </w:pPr>
      <w:r>
        <w:rPr>
          <w:rFonts w:hint="eastAsia"/>
          <w:highlight w:val="none"/>
        </w:rPr>
        <w:t>（一）需要补充的其他内容</w:t>
      </w:r>
    </w:p>
    <w:p w14:paraId="41849A77">
      <w:pPr>
        <w:bidi w:val="0"/>
        <w:rPr>
          <w:highlight w:val="none"/>
        </w:rPr>
      </w:pPr>
      <w:r>
        <w:rPr>
          <w:rFonts w:hint="eastAsia"/>
          <w:highlight w:val="none"/>
        </w:rPr>
        <w:t>1.本招标文件解释规则详见“投标人须知前附表”。</w:t>
      </w:r>
    </w:p>
    <w:p w14:paraId="3E63D8A6">
      <w:pPr>
        <w:bidi w:val="0"/>
        <w:rPr>
          <w:highlight w:val="none"/>
        </w:rPr>
      </w:pPr>
      <w:r>
        <w:rPr>
          <w:rFonts w:hint="eastAsia"/>
          <w:highlight w:val="none"/>
        </w:rPr>
        <w:t>2.其他事项详见“投标人须知前附表”。</w:t>
      </w:r>
    </w:p>
    <w:p w14:paraId="51FAEF22">
      <w:pPr>
        <w:bidi w:val="0"/>
        <w:rPr>
          <w:highlight w:val="none"/>
        </w:rPr>
      </w:pPr>
      <w:r>
        <w:rPr>
          <w:rFonts w:hint="eastAsia"/>
          <w:highlight w:val="none"/>
        </w:rPr>
        <w:t>（二）中标服务费</w:t>
      </w:r>
    </w:p>
    <w:p w14:paraId="51A11AAD">
      <w:pPr>
        <w:bidi w:val="0"/>
        <w:rPr>
          <w:highlight w:val="none"/>
        </w:rPr>
      </w:pPr>
      <w:r>
        <w:rPr>
          <w:rFonts w:hint="eastAsia"/>
          <w:highlight w:val="none"/>
        </w:rPr>
        <w:t>1.中标服务收费按国家发展计划委员会《招标代理服务收费管理暂行办法》（计价格[2002]1980号）收费标准和发改办[2003]857号文规定向中标人收取。领取中标通知书时，中标人应向采购代理机构一次付清中标服务费。</w:t>
      </w:r>
    </w:p>
    <w:p w14:paraId="0472B2BB">
      <w:pPr>
        <w:bidi w:val="0"/>
        <w:rPr>
          <w:highlight w:val="none"/>
        </w:rPr>
      </w:pPr>
      <w:r>
        <w:rPr>
          <w:rFonts w:hint="eastAsia"/>
          <w:highlight w:val="none"/>
        </w:rPr>
        <w:t>2.代理服务收费标准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715"/>
        <w:gridCol w:w="1955"/>
        <w:gridCol w:w="1910"/>
      </w:tblGrid>
      <w:tr w14:paraId="0700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68" w:type="dxa"/>
          </w:tcPr>
          <w:p w14:paraId="2A51C70F">
            <w:pPr>
              <w:pStyle w:val="34"/>
              <w:bidi w:val="0"/>
              <w:rPr>
                <w:rFonts w:hint="eastAsia"/>
                <w:highlight w:val="none"/>
                <w:lang w:val="en-US" w:eastAsia="zh-CN"/>
              </w:rPr>
            </w:pP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-81915</wp:posOffset>
                      </wp:positionH>
                      <wp:positionV relativeFrom="paragraph">
                        <wp:posOffset>15875</wp:posOffset>
                      </wp:positionV>
                      <wp:extent cx="2029460" cy="337185"/>
                      <wp:effectExtent l="635" t="4445" r="8255" b="20320"/>
                      <wp:wrapNone/>
                      <wp:docPr id="24" name="直接连接符 24"/>
                      <wp:cNvGraphicFramePr/>
                      <a:graphic xmlns:a="http://schemas.openxmlformats.org/drawingml/2006/main">
                        <a:graphicData uri="http://schemas.microsoft.com/office/word/2010/wordprocessingShape">
                          <wps:wsp>
                            <wps:cNvCnPr/>
                            <wps:spPr>
                              <a:xfrm flipH="1" flipV="1">
                                <a:off x="1071880" y="4848225"/>
                                <a:ext cx="2029460" cy="33718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6.45pt;margin-top:1.25pt;height:26.55pt;width:159.8pt;z-index:251663360;mso-width-relative:page;mso-height-relative:page;" filled="f" stroked="t" coordsize="21600,21600" o:gfxdata="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O5Mx2AAAAAgBAAAPAAAAAAAAAAEAIAAAACIAAABkcnMvZG93bnJldi54bWxQ&#10;SwECFAAUAAAACACHTuJA5xmGCvcBAADBAwAADgAAAAAAAAABACAAAAAnAQAAZHJzL2Uyb0RvYy54&#10;bWxQSwUGAAAAAAYABgBZAQAAkAUAAAAA&#10;">
                      <v:fill on="f" focussize="0,0"/>
                      <v:stroke weight="0.5pt" color="#000000 [3213]" joinstyle="round"/>
                      <v:imagedata o:title=""/>
                      <o:lock v:ext="edit" aspectratio="f"/>
                    </v:line>
                  </w:pict>
                </mc:Fallback>
              </mc:AlternateContent>
            </w:r>
            <w:r>
              <w:rPr>
                <w:rFonts w:hint="eastAsia"/>
                <w:highlight w:val="none"/>
                <w:lang w:val="en-US" w:eastAsia="zh-CN"/>
              </w:rPr>
              <w:t xml:space="preserve">           类型</w:t>
            </w:r>
          </w:p>
          <w:p w14:paraId="29CC9CFE">
            <w:pPr>
              <w:pStyle w:val="34"/>
              <w:bidi w:val="0"/>
              <w:rPr>
                <w:rFonts w:hint="default"/>
                <w:highlight w:val="none"/>
                <w:lang w:val="en-US" w:eastAsia="zh-CN"/>
              </w:rPr>
            </w:pPr>
            <w:r>
              <w:rPr>
                <w:rFonts w:hint="eastAsia"/>
                <w:highlight w:val="none"/>
                <w:lang w:val="en-US" w:eastAsia="zh-CN"/>
              </w:rPr>
              <w:t xml:space="preserve">金额             </w:t>
            </w:r>
          </w:p>
        </w:tc>
        <w:tc>
          <w:tcPr>
            <w:tcW w:w="1715" w:type="dxa"/>
            <w:vAlign w:val="center"/>
          </w:tcPr>
          <w:p w14:paraId="1BCE985E">
            <w:pPr>
              <w:pStyle w:val="34"/>
              <w:bidi w:val="0"/>
              <w:rPr>
                <w:highlight w:val="none"/>
              </w:rPr>
            </w:pPr>
            <w:r>
              <w:rPr>
                <w:rFonts w:hint="eastAsia"/>
                <w:highlight w:val="none"/>
              </w:rPr>
              <w:t>货物招标</w:t>
            </w:r>
          </w:p>
        </w:tc>
        <w:tc>
          <w:tcPr>
            <w:tcW w:w="1955" w:type="dxa"/>
            <w:vAlign w:val="center"/>
          </w:tcPr>
          <w:p w14:paraId="05DFDBC2">
            <w:pPr>
              <w:pStyle w:val="34"/>
              <w:bidi w:val="0"/>
              <w:rPr>
                <w:highlight w:val="none"/>
              </w:rPr>
            </w:pPr>
            <w:r>
              <w:rPr>
                <w:rFonts w:hint="eastAsia"/>
                <w:highlight w:val="none"/>
              </w:rPr>
              <w:t>服务招标</w:t>
            </w:r>
          </w:p>
        </w:tc>
        <w:tc>
          <w:tcPr>
            <w:tcW w:w="1910" w:type="dxa"/>
            <w:vAlign w:val="center"/>
          </w:tcPr>
          <w:p w14:paraId="34DB7CBB">
            <w:pPr>
              <w:pStyle w:val="34"/>
              <w:bidi w:val="0"/>
              <w:rPr>
                <w:highlight w:val="none"/>
              </w:rPr>
            </w:pPr>
            <w:r>
              <w:rPr>
                <w:rFonts w:hint="eastAsia"/>
                <w:highlight w:val="none"/>
              </w:rPr>
              <w:t>工程招标</w:t>
            </w:r>
          </w:p>
        </w:tc>
      </w:tr>
      <w:tr w14:paraId="70F9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7EFDB657">
            <w:pPr>
              <w:pStyle w:val="34"/>
              <w:bidi w:val="0"/>
              <w:rPr>
                <w:highlight w:val="none"/>
              </w:rPr>
            </w:pPr>
            <w:r>
              <w:rPr>
                <w:rFonts w:hint="eastAsia"/>
                <w:highlight w:val="none"/>
              </w:rPr>
              <w:t>100以下</w:t>
            </w:r>
          </w:p>
        </w:tc>
        <w:tc>
          <w:tcPr>
            <w:tcW w:w="1715" w:type="dxa"/>
            <w:vAlign w:val="center"/>
          </w:tcPr>
          <w:p w14:paraId="293B66DC">
            <w:pPr>
              <w:pStyle w:val="34"/>
              <w:bidi w:val="0"/>
              <w:rPr>
                <w:highlight w:val="none"/>
              </w:rPr>
            </w:pPr>
            <w:r>
              <w:rPr>
                <w:rFonts w:hint="eastAsia"/>
                <w:highlight w:val="none"/>
              </w:rPr>
              <w:t>1.5%</w:t>
            </w:r>
          </w:p>
        </w:tc>
        <w:tc>
          <w:tcPr>
            <w:tcW w:w="1955" w:type="dxa"/>
            <w:vAlign w:val="center"/>
          </w:tcPr>
          <w:p w14:paraId="5A812C87">
            <w:pPr>
              <w:pStyle w:val="34"/>
              <w:bidi w:val="0"/>
              <w:rPr>
                <w:highlight w:val="none"/>
              </w:rPr>
            </w:pPr>
            <w:r>
              <w:rPr>
                <w:rFonts w:hint="eastAsia"/>
                <w:highlight w:val="none"/>
              </w:rPr>
              <w:t>1.5%</w:t>
            </w:r>
          </w:p>
        </w:tc>
        <w:tc>
          <w:tcPr>
            <w:tcW w:w="1910" w:type="dxa"/>
            <w:vAlign w:val="center"/>
          </w:tcPr>
          <w:p w14:paraId="244A994F">
            <w:pPr>
              <w:pStyle w:val="34"/>
              <w:bidi w:val="0"/>
              <w:rPr>
                <w:highlight w:val="none"/>
              </w:rPr>
            </w:pPr>
            <w:r>
              <w:rPr>
                <w:rFonts w:hint="eastAsia"/>
                <w:highlight w:val="none"/>
              </w:rPr>
              <w:t>1.0%</w:t>
            </w:r>
          </w:p>
        </w:tc>
      </w:tr>
      <w:tr w14:paraId="1C6C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26808E7A">
            <w:pPr>
              <w:pStyle w:val="34"/>
              <w:bidi w:val="0"/>
              <w:rPr>
                <w:highlight w:val="none"/>
              </w:rPr>
            </w:pPr>
            <w:r>
              <w:rPr>
                <w:rFonts w:hint="eastAsia"/>
                <w:highlight w:val="none"/>
              </w:rPr>
              <w:t>100-500</w:t>
            </w:r>
          </w:p>
        </w:tc>
        <w:tc>
          <w:tcPr>
            <w:tcW w:w="1715" w:type="dxa"/>
            <w:vAlign w:val="center"/>
          </w:tcPr>
          <w:p w14:paraId="51D963A9">
            <w:pPr>
              <w:pStyle w:val="34"/>
              <w:bidi w:val="0"/>
              <w:rPr>
                <w:highlight w:val="none"/>
              </w:rPr>
            </w:pPr>
            <w:r>
              <w:rPr>
                <w:rFonts w:hint="eastAsia"/>
                <w:highlight w:val="none"/>
              </w:rPr>
              <w:t>1.1%</w:t>
            </w:r>
          </w:p>
        </w:tc>
        <w:tc>
          <w:tcPr>
            <w:tcW w:w="1955" w:type="dxa"/>
            <w:vAlign w:val="center"/>
          </w:tcPr>
          <w:p w14:paraId="482F63CF">
            <w:pPr>
              <w:pStyle w:val="34"/>
              <w:bidi w:val="0"/>
              <w:rPr>
                <w:highlight w:val="none"/>
              </w:rPr>
            </w:pPr>
            <w:r>
              <w:rPr>
                <w:rFonts w:hint="eastAsia"/>
                <w:highlight w:val="none"/>
              </w:rPr>
              <w:t>0.8%</w:t>
            </w:r>
          </w:p>
        </w:tc>
        <w:tc>
          <w:tcPr>
            <w:tcW w:w="1910" w:type="dxa"/>
            <w:vAlign w:val="center"/>
          </w:tcPr>
          <w:p w14:paraId="6D2CBE8C">
            <w:pPr>
              <w:pStyle w:val="34"/>
              <w:bidi w:val="0"/>
              <w:rPr>
                <w:highlight w:val="none"/>
              </w:rPr>
            </w:pPr>
            <w:r>
              <w:rPr>
                <w:rFonts w:hint="eastAsia"/>
                <w:highlight w:val="none"/>
              </w:rPr>
              <w:t>0.7%</w:t>
            </w:r>
          </w:p>
        </w:tc>
      </w:tr>
      <w:tr w14:paraId="49D3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35780870">
            <w:pPr>
              <w:pStyle w:val="34"/>
              <w:bidi w:val="0"/>
              <w:rPr>
                <w:highlight w:val="none"/>
              </w:rPr>
            </w:pPr>
            <w:r>
              <w:rPr>
                <w:rFonts w:hint="eastAsia"/>
                <w:highlight w:val="none"/>
              </w:rPr>
              <w:t>500-1000</w:t>
            </w:r>
          </w:p>
        </w:tc>
        <w:tc>
          <w:tcPr>
            <w:tcW w:w="1715" w:type="dxa"/>
            <w:vAlign w:val="center"/>
          </w:tcPr>
          <w:p w14:paraId="6E1DDA49">
            <w:pPr>
              <w:pStyle w:val="34"/>
              <w:bidi w:val="0"/>
              <w:rPr>
                <w:highlight w:val="none"/>
              </w:rPr>
            </w:pPr>
            <w:r>
              <w:rPr>
                <w:rFonts w:hint="eastAsia"/>
                <w:highlight w:val="none"/>
              </w:rPr>
              <w:t>0.8%</w:t>
            </w:r>
          </w:p>
        </w:tc>
        <w:tc>
          <w:tcPr>
            <w:tcW w:w="1955" w:type="dxa"/>
            <w:vAlign w:val="center"/>
          </w:tcPr>
          <w:p w14:paraId="6D9A1B54">
            <w:pPr>
              <w:pStyle w:val="34"/>
              <w:bidi w:val="0"/>
              <w:rPr>
                <w:highlight w:val="none"/>
              </w:rPr>
            </w:pPr>
            <w:r>
              <w:rPr>
                <w:rFonts w:hint="eastAsia"/>
                <w:highlight w:val="none"/>
              </w:rPr>
              <w:t>0.45%</w:t>
            </w:r>
          </w:p>
        </w:tc>
        <w:tc>
          <w:tcPr>
            <w:tcW w:w="1910" w:type="dxa"/>
            <w:vAlign w:val="center"/>
          </w:tcPr>
          <w:p w14:paraId="72D51EBC">
            <w:pPr>
              <w:pStyle w:val="34"/>
              <w:bidi w:val="0"/>
              <w:rPr>
                <w:highlight w:val="none"/>
              </w:rPr>
            </w:pPr>
            <w:r>
              <w:rPr>
                <w:rFonts w:hint="eastAsia"/>
                <w:highlight w:val="none"/>
              </w:rPr>
              <w:t>0.55%</w:t>
            </w:r>
          </w:p>
        </w:tc>
      </w:tr>
      <w:tr w14:paraId="7B53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26DB5161">
            <w:pPr>
              <w:pStyle w:val="34"/>
              <w:bidi w:val="0"/>
              <w:rPr>
                <w:highlight w:val="none"/>
              </w:rPr>
            </w:pPr>
            <w:r>
              <w:rPr>
                <w:rFonts w:hint="eastAsia"/>
                <w:highlight w:val="none"/>
              </w:rPr>
              <w:t>1000-5000</w:t>
            </w:r>
          </w:p>
        </w:tc>
        <w:tc>
          <w:tcPr>
            <w:tcW w:w="1715" w:type="dxa"/>
            <w:vAlign w:val="center"/>
          </w:tcPr>
          <w:p w14:paraId="7C525869">
            <w:pPr>
              <w:pStyle w:val="34"/>
              <w:bidi w:val="0"/>
              <w:rPr>
                <w:highlight w:val="none"/>
              </w:rPr>
            </w:pPr>
            <w:r>
              <w:rPr>
                <w:rFonts w:hint="eastAsia"/>
                <w:highlight w:val="none"/>
              </w:rPr>
              <w:t>0.5%</w:t>
            </w:r>
          </w:p>
        </w:tc>
        <w:tc>
          <w:tcPr>
            <w:tcW w:w="1955" w:type="dxa"/>
            <w:vAlign w:val="center"/>
          </w:tcPr>
          <w:p w14:paraId="23C67F0F">
            <w:pPr>
              <w:pStyle w:val="34"/>
              <w:bidi w:val="0"/>
              <w:rPr>
                <w:highlight w:val="none"/>
              </w:rPr>
            </w:pPr>
            <w:r>
              <w:rPr>
                <w:rFonts w:hint="eastAsia"/>
                <w:highlight w:val="none"/>
              </w:rPr>
              <w:t>0.25%</w:t>
            </w:r>
          </w:p>
        </w:tc>
        <w:tc>
          <w:tcPr>
            <w:tcW w:w="1910" w:type="dxa"/>
            <w:vAlign w:val="center"/>
          </w:tcPr>
          <w:p w14:paraId="11CCB83D">
            <w:pPr>
              <w:pStyle w:val="34"/>
              <w:bidi w:val="0"/>
              <w:rPr>
                <w:highlight w:val="none"/>
              </w:rPr>
            </w:pPr>
            <w:r>
              <w:rPr>
                <w:rFonts w:hint="eastAsia"/>
                <w:highlight w:val="none"/>
              </w:rPr>
              <w:t>0.35%</w:t>
            </w:r>
          </w:p>
        </w:tc>
      </w:tr>
      <w:tr w14:paraId="1E48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1955F6F6">
            <w:pPr>
              <w:pStyle w:val="34"/>
              <w:bidi w:val="0"/>
              <w:rPr>
                <w:highlight w:val="none"/>
              </w:rPr>
            </w:pPr>
            <w:r>
              <w:rPr>
                <w:rFonts w:hint="eastAsia"/>
                <w:highlight w:val="none"/>
              </w:rPr>
              <w:t>5000-10000</w:t>
            </w:r>
          </w:p>
        </w:tc>
        <w:tc>
          <w:tcPr>
            <w:tcW w:w="1715" w:type="dxa"/>
            <w:vAlign w:val="center"/>
          </w:tcPr>
          <w:p w14:paraId="703B423C">
            <w:pPr>
              <w:pStyle w:val="34"/>
              <w:bidi w:val="0"/>
              <w:rPr>
                <w:highlight w:val="none"/>
              </w:rPr>
            </w:pPr>
            <w:r>
              <w:rPr>
                <w:rFonts w:hint="eastAsia"/>
                <w:highlight w:val="none"/>
              </w:rPr>
              <w:t>0.25%</w:t>
            </w:r>
          </w:p>
        </w:tc>
        <w:tc>
          <w:tcPr>
            <w:tcW w:w="1955" w:type="dxa"/>
            <w:vAlign w:val="center"/>
          </w:tcPr>
          <w:p w14:paraId="708E1729">
            <w:pPr>
              <w:pStyle w:val="34"/>
              <w:bidi w:val="0"/>
              <w:rPr>
                <w:highlight w:val="none"/>
              </w:rPr>
            </w:pPr>
            <w:r>
              <w:rPr>
                <w:rFonts w:hint="eastAsia"/>
                <w:highlight w:val="none"/>
              </w:rPr>
              <w:t>0.1%</w:t>
            </w:r>
          </w:p>
        </w:tc>
        <w:tc>
          <w:tcPr>
            <w:tcW w:w="1910" w:type="dxa"/>
            <w:vAlign w:val="center"/>
          </w:tcPr>
          <w:p w14:paraId="61B0F4E7">
            <w:pPr>
              <w:pStyle w:val="34"/>
              <w:bidi w:val="0"/>
              <w:rPr>
                <w:highlight w:val="none"/>
              </w:rPr>
            </w:pPr>
            <w:r>
              <w:rPr>
                <w:rFonts w:hint="eastAsia"/>
                <w:highlight w:val="none"/>
              </w:rPr>
              <w:t>0.2%</w:t>
            </w:r>
          </w:p>
        </w:tc>
      </w:tr>
      <w:tr w14:paraId="5C05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062ECB02">
            <w:pPr>
              <w:pStyle w:val="34"/>
              <w:bidi w:val="0"/>
              <w:rPr>
                <w:highlight w:val="none"/>
              </w:rPr>
            </w:pPr>
            <w:r>
              <w:rPr>
                <w:rFonts w:hint="eastAsia"/>
                <w:highlight w:val="none"/>
              </w:rPr>
              <w:t>10000-100000</w:t>
            </w:r>
          </w:p>
        </w:tc>
        <w:tc>
          <w:tcPr>
            <w:tcW w:w="1715" w:type="dxa"/>
            <w:vAlign w:val="center"/>
          </w:tcPr>
          <w:p w14:paraId="7F9726C2">
            <w:pPr>
              <w:pStyle w:val="34"/>
              <w:bidi w:val="0"/>
              <w:rPr>
                <w:highlight w:val="none"/>
              </w:rPr>
            </w:pPr>
            <w:r>
              <w:rPr>
                <w:rFonts w:hint="eastAsia"/>
                <w:highlight w:val="none"/>
              </w:rPr>
              <w:t>0.05%</w:t>
            </w:r>
          </w:p>
        </w:tc>
        <w:tc>
          <w:tcPr>
            <w:tcW w:w="1955" w:type="dxa"/>
            <w:vAlign w:val="center"/>
          </w:tcPr>
          <w:p w14:paraId="338D94D7">
            <w:pPr>
              <w:pStyle w:val="34"/>
              <w:bidi w:val="0"/>
              <w:rPr>
                <w:highlight w:val="none"/>
              </w:rPr>
            </w:pPr>
            <w:r>
              <w:rPr>
                <w:rFonts w:hint="eastAsia"/>
                <w:highlight w:val="none"/>
              </w:rPr>
              <w:t>0.05%</w:t>
            </w:r>
          </w:p>
        </w:tc>
        <w:tc>
          <w:tcPr>
            <w:tcW w:w="1910" w:type="dxa"/>
            <w:vAlign w:val="center"/>
          </w:tcPr>
          <w:p w14:paraId="6A18032A">
            <w:pPr>
              <w:pStyle w:val="34"/>
              <w:bidi w:val="0"/>
              <w:rPr>
                <w:highlight w:val="none"/>
              </w:rPr>
            </w:pPr>
            <w:r>
              <w:rPr>
                <w:rFonts w:hint="eastAsia"/>
                <w:highlight w:val="none"/>
              </w:rPr>
              <w:t>0.05%</w:t>
            </w:r>
          </w:p>
        </w:tc>
      </w:tr>
      <w:tr w14:paraId="2D16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3167A4C7">
            <w:pPr>
              <w:pStyle w:val="34"/>
              <w:bidi w:val="0"/>
              <w:rPr>
                <w:highlight w:val="none"/>
              </w:rPr>
            </w:pPr>
            <w:r>
              <w:rPr>
                <w:rFonts w:hint="eastAsia"/>
                <w:highlight w:val="none"/>
              </w:rPr>
              <w:t>1000000以上</w:t>
            </w:r>
          </w:p>
        </w:tc>
        <w:tc>
          <w:tcPr>
            <w:tcW w:w="1715" w:type="dxa"/>
            <w:vAlign w:val="center"/>
          </w:tcPr>
          <w:p w14:paraId="61224A3F">
            <w:pPr>
              <w:pStyle w:val="34"/>
              <w:bidi w:val="0"/>
              <w:rPr>
                <w:highlight w:val="none"/>
              </w:rPr>
            </w:pPr>
            <w:r>
              <w:rPr>
                <w:rFonts w:hint="eastAsia"/>
                <w:highlight w:val="none"/>
              </w:rPr>
              <w:t>0.01%</w:t>
            </w:r>
          </w:p>
        </w:tc>
        <w:tc>
          <w:tcPr>
            <w:tcW w:w="1955" w:type="dxa"/>
            <w:vAlign w:val="center"/>
          </w:tcPr>
          <w:p w14:paraId="1CF7B1DA">
            <w:pPr>
              <w:pStyle w:val="34"/>
              <w:bidi w:val="0"/>
              <w:rPr>
                <w:highlight w:val="none"/>
              </w:rPr>
            </w:pPr>
            <w:r>
              <w:rPr>
                <w:rFonts w:hint="eastAsia"/>
                <w:highlight w:val="none"/>
              </w:rPr>
              <w:t>0.01%</w:t>
            </w:r>
          </w:p>
        </w:tc>
        <w:tc>
          <w:tcPr>
            <w:tcW w:w="1910" w:type="dxa"/>
            <w:vAlign w:val="center"/>
          </w:tcPr>
          <w:p w14:paraId="5BC69147">
            <w:pPr>
              <w:pStyle w:val="34"/>
              <w:bidi w:val="0"/>
              <w:rPr>
                <w:highlight w:val="none"/>
              </w:rPr>
            </w:pPr>
            <w:r>
              <w:rPr>
                <w:rFonts w:hint="eastAsia"/>
                <w:highlight w:val="none"/>
              </w:rPr>
              <w:t>0.01%</w:t>
            </w:r>
          </w:p>
        </w:tc>
      </w:tr>
    </w:tbl>
    <w:p w14:paraId="3A21C018">
      <w:pPr>
        <w:bidi w:val="0"/>
        <w:rPr>
          <w:highlight w:val="none"/>
        </w:rPr>
      </w:pPr>
      <w:r>
        <w:rPr>
          <w:rFonts w:hint="eastAsia"/>
          <w:highlight w:val="none"/>
        </w:rPr>
        <w:t>注：招标代理服务费收费按差额定率累进法计算。</w:t>
      </w:r>
      <w:bookmarkStart w:id="87" w:name="_Toc291688342"/>
    </w:p>
    <w:p w14:paraId="663F8C3A">
      <w:pPr>
        <w:bidi w:val="0"/>
        <w:rPr>
          <w:highlight w:val="none"/>
        </w:rPr>
      </w:pPr>
      <w:r>
        <w:rPr>
          <w:rFonts w:hint="eastAsia"/>
          <w:highlight w:val="none"/>
        </w:rPr>
        <w:t>（三）</w:t>
      </w:r>
      <w:r>
        <w:rPr>
          <w:highlight w:val="none"/>
        </w:rPr>
        <w:t>投标人信用查询</w:t>
      </w:r>
      <w:r>
        <w:rPr>
          <w:rFonts w:hint="eastAsia"/>
          <w:highlight w:val="none"/>
        </w:rPr>
        <w:t>相关规定</w:t>
      </w:r>
      <w:r>
        <w:rPr>
          <w:highlight w:val="none"/>
        </w:rPr>
        <w:t>：</w:t>
      </w:r>
    </w:p>
    <w:p w14:paraId="526F4E10">
      <w:pPr>
        <w:bidi w:val="0"/>
        <w:rPr>
          <w:highlight w:val="none"/>
        </w:rPr>
      </w:pPr>
      <w:r>
        <w:rPr>
          <w:rFonts w:hint="eastAsia"/>
          <w:highlight w:val="none"/>
        </w:rPr>
        <w:t>1.信用查询渠道</w:t>
      </w:r>
      <w:r>
        <w:rPr>
          <w:highlight w:val="none"/>
        </w:rPr>
        <w:t>：“信用中国”网站</w:t>
      </w:r>
      <w:r>
        <w:rPr>
          <w:highlight w:val="none"/>
        </w:rPr>
        <w:fldChar w:fldCharType="begin"/>
      </w:r>
      <w:r>
        <w:rPr>
          <w:highlight w:val="none"/>
        </w:rPr>
        <w:instrText xml:space="preserve"> HYPERLINK "http://www.creditchina.gov.cn/" \h </w:instrText>
      </w:r>
      <w:r>
        <w:rPr>
          <w:highlight w:val="none"/>
        </w:rPr>
        <w:fldChar w:fldCharType="separate"/>
      </w:r>
      <w:r>
        <w:rPr>
          <w:highlight w:val="none"/>
        </w:rPr>
        <w:t>（www.creditchina.gov.cn</w:t>
      </w:r>
      <w:r>
        <w:rPr>
          <w:highlight w:val="none"/>
        </w:rPr>
        <w:fldChar w:fldCharType="end"/>
      </w:r>
      <w:r>
        <w:rPr>
          <w:highlight w:val="none"/>
        </w:rPr>
        <w:t>）、中国政府采购网（</w:t>
      </w:r>
      <w:r>
        <w:rPr>
          <w:highlight w:val="none"/>
        </w:rPr>
        <w:fldChar w:fldCharType="begin"/>
      </w:r>
      <w:r>
        <w:rPr>
          <w:highlight w:val="none"/>
        </w:rPr>
        <w:instrText xml:space="preserve"> HYPERLINK "http://www.ccgp.gov.cn/" \h </w:instrText>
      </w:r>
      <w:r>
        <w:rPr>
          <w:highlight w:val="none"/>
        </w:rPr>
        <w:fldChar w:fldCharType="separate"/>
      </w:r>
      <w:r>
        <w:rPr>
          <w:highlight w:val="none"/>
        </w:rPr>
        <w:t>www.ccgp.gov.cn</w:t>
      </w:r>
      <w:r>
        <w:rPr>
          <w:highlight w:val="none"/>
        </w:rPr>
        <w:fldChar w:fldCharType="end"/>
      </w:r>
      <w:r>
        <w:rPr>
          <w:highlight w:val="none"/>
        </w:rPr>
        <w:t>）；</w:t>
      </w:r>
    </w:p>
    <w:p w14:paraId="40B92F3F">
      <w:pPr>
        <w:bidi w:val="0"/>
        <w:rPr>
          <w:highlight w:val="none"/>
        </w:rPr>
      </w:pPr>
      <w:r>
        <w:rPr>
          <w:rFonts w:hint="eastAsia"/>
          <w:highlight w:val="none"/>
        </w:rPr>
        <w:t>2.信用查询截止时点</w:t>
      </w:r>
      <w:r>
        <w:rPr>
          <w:highlight w:val="none"/>
        </w:rPr>
        <w:t>：</w:t>
      </w:r>
      <w:r>
        <w:rPr>
          <w:rFonts w:hint="eastAsia"/>
          <w:highlight w:val="none"/>
        </w:rPr>
        <w:t>资格审查时</w:t>
      </w:r>
      <w:r>
        <w:rPr>
          <w:highlight w:val="none"/>
        </w:rPr>
        <w:t>。</w:t>
      </w:r>
    </w:p>
    <w:p w14:paraId="33F65C33">
      <w:pPr>
        <w:bidi w:val="0"/>
        <w:rPr>
          <w:highlight w:val="none"/>
        </w:rPr>
      </w:pPr>
      <w:r>
        <w:rPr>
          <w:rFonts w:hint="eastAsia"/>
          <w:highlight w:val="none"/>
        </w:rPr>
        <w:t>3.信用信息查询记录</w:t>
      </w:r>
      <w:r>
        <w:rPr>
          <w:highlight w:val="none"/>
        </w:rPr>
        <w:t>：“列入失信被执行人”</w:t>
      </w:r>
      <w:r>
        <w:rPr>
          <w:rFonts w:hint="eastAsia"/>
          <w:highlight w:val="none"/>
        </w:rPr>
        <w:t>、</w:t>
      </w:r>
      <w:r>
        <w:rPr>
          <w:highlight w:val="none"/>
        </w:rPr>
        <w:t xml:space="preserve">“ </w:t>
      </w:r>
      <w:r>
        <w:rPr>
          <w:rFonts w:hint="eastAsia"/>
          <w:highlight w:val="none"/>
          <w:lang w:eastAsia="zh-CN"/>
        </w:rPr>
        <w:t>重大税收违法失信主体名单</w:t>
      </w:r>
      <w:r>
        <w:rPr>
          <w:highlight w:val="none"/>
        </w:rPr>
        <w:t>”、“政府采购严重违法失信行为记录名单”。</w:t>
      </w:r>
    </w:p>
    <w:p w14:paraId="07DE1D54">
      <w:pPr>
        <w:bidi w:val="0"/>
        <w:rPr>
          <w:highlight w:val="none"/>
        </w:rPr>
      </w:pPr>
      <w:r>
        <w:rPr>
          <w:rFonts w:hint="eastAsia"/>
          <w:highlight w:val="none"/>
        </w:rPr>
        <w:t>4.信用信息的使用规则：如投标人被列入</w:t>
      </w:r>
      <w:r>
        <w:rPr>
          <w:highlight w:val="none"/>
        </w:rPr>
        <w:t>“列入失信被执行人”、“ 重大税收违法案件当事 人名单”、“政府采购严重违法失信行为记录名单”等名单内的，将按照信用信息使用规则处理。</w:t>
      </w:r>
    </w:p>
    <w:p w14:paraId="383FB4AD">
      <w:pPr>
        <w:bidi w:val="0"/>
        <w:rPr>
          <w:highlight w:val="none"/>
        </w:rPr>
      </w:pPr>
      <w:r>
        <w:rPr>
          <w:rFonts w:hint="eastAsia"/>
          <w:highlight w:val="none"/>
        </w:rPr>
        <w:t>5.证据留存方式</w:t>
      </w:r>
      <w:r>
        <w:rPr>
          <w:highlight w:val="none"/>
        </w:rPr>
        <w:t>：</w:t>
      </w:r>
      <w:r>
        <w:rPr>
          <w:rFonts w:hint="eastAsia"/>
          <w:highlight w:val="none"/>
        </w:rPr>
        <w:t>在查询网站中直接截图查询记录，截图作为在“政采云”平台作为附件上传保存。</w:t>
      </w:r>
    </w:p>
    <w:p w14:paraId="634DFCE8">
      <w:pPr>
        <w:bidi w:val="0"/>
        <w:rPr>
          <w:highlight w:val="none"/>
        </w:rPr>
      </w:pPr>
      <w:r>
        <w:rPr>
          <w:rFonts w:hint="eastAsia"/>
          <w:highlight w:val="none"/>
        </w:rPr>
        <w:t>（四）关于中小企业的相关规定</w:t>
      </w:r>
    </w:p>
    <w:p w14:paraId="0A5EE5AC">
      <w:pPr>
        <w:bidi w:val="0"/>
        <w:rPr>
          <w:highlight w:val="none"/>
        </w:rPr>
      </w:pPr>
      <w:r>
        <w:rPr>
          <w:rFonts w:hint="eastAsia"/>
          <w:highlight w:val="none"/>
        </w:rPr>
        <w:t>1.根据《政府采购促进中小企业发展管理办法》（财库[2020]46号），本招标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269D450">
      <w:pPr>
        <w:bidi w:val="0"/>
        <w:rPr>
          <w:highlight w:val="none"/>
        </w:rPr>
      </w:pPr>
      <w:r>
        <w:rPr>
          <w:rFonts w:hint="eastAsia"/>
          <w:highlight w:val="none"/>
        </w:rPr>
        <w:t>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14:paraId="0100B061">
      <w:pPr>
        <w:bidi w:val="0"/>
        <w:rPr>
          <w:highlight w:val="none"/>
        </w:rPr>
      </w:pPr>
      <w:r>
        <w:rPr>
          <w:rFonts w:hint="eastAsia"/>
          <w:highlight w:val="none"/>
        </w:rPr>
        <w:t>3.在货物采购项目中，供应商提供的货物既有中小企业制造货物，也有大型企业制造货物的，不享受中小企业扶持政策。</w:t>
      </w:r>
    </w:p>
    <w:p w14:paraId="2B28EF3A">
      <w:pPr>
        <w:bidi w:val="0"/>
        <w:rPr>
          <w:highlight w:val="none"/>
        </w:rPr>
      </w:pPr>
      <w:r>
        <w:rPr>
          <w:rFonts w:hint="eastAsia"/>
          <w:highlight w:val="none"/>
        </w:rPr>
        <w:t>4.以联合体形式参加政府采购活动，联合体各方均为中小企业的，联合体视同中小企业。其中，联合体各方均为小微企业的，联合体视同小微企业。</w:t>
      </w:r>
    </w:p>
    <w:p w14:paraId="3131B6FC">
      <w:pPr>
        <w:bidi w:val="0"/>
        <w:rPr>
          <w:highlight w:val="none"/>
        </w:rPr>
      </w:pPr>
      <w:r>
        <w:rPr>
          <w:rFonts w:hint="eastAsia"/>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14:paraId="075B7326">
      <w:pPr>
        <w:bidi w:val="0"/>
        <w:rPr>
          <w:highlight w:val="none"/>
        </w:rPr>
      </w:pPr>
      <w:r>
        <w:rPr>
          <w:rFonts w:hint="eastAsia"/>
          <w:highlight w:val="none"/>
        </w:rPr>
        <w:t>5.享受中小企业扶持政策获得政府采购合同的，小微企业不得将合同分包给大中型企业，中型企业不得将合同分包给大型企业。</w:t>
      </w:r>
    </w:p>
    <w:p w14:paraId="4D96519D">
      <w:pPr>
        <w:bidi w:val="0"/>
        <w:rPr>
          <w:highlight w:val="none"/>
        </w:rPr>
      </w:pPr>
      <w:r>
        <w:rPr>
          <w:rFonts w:hint="eastAsia"/>
          <w:highlight w:val="none"/>
        </w:rPr>
        <w:t>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E300285">
      <w:pPr>
        <w:bidi w:val="0"/>
        <w:rPr>
          <w:highlight w:val="none"/>
        </w:rPr>
      </w:pPr>
      <w:r>
        <w:rPr>
          <w:rFonts w:hint="eastAsia"/>
          <w:highlight w:val="none"/>
        </w:rPr>
        <w:t>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14:paraId="72D4963C">
      <w:pPr>
        <w:bidi w:val="0"/>
        <w:rPr>
          <w:rFonts w:hAnsi="宋体"/>
          <w:highlight w:val="none"/>
        </w:rPr>
      </w:pPr>
      <w:r>
        <w:rPr>
          <w:rFonts w:hint="eastAsia"/>
          <w:highlight w:val="none"/>
        </w:rPr>
        <w:t>8.对于专门面向中小企业采购</w:t>
      </w:r>
      <w:r>
        <w:rPr>
          <w:highlight w:val="none"/>
        </w:rPr>
        <w:t>的采购项目或者采购包，通过发布公告方式邀请供应商后，符合资格条件的中小企业数量不足 3 家的，应当中止采购活动，视同</w:t>
      </w:r>
      <w:r>
        <w:rPr>
          <w:rFonts w:hint="eastAsia"/>
          <w:highlight w:val="none"/>
        </w:rPr>
        <w:t>非专门面向中小企业采购</w:t>
      </w:r>
      <w:r>
        <w:rPr>
          <w:highlight w:val="none"/>
        </w:rPr>
        <w:t>的采购项目或者采购包，按照</w:t>
      </w:r>
      <w:r>
        <w:rPr>
          <w:rFonts w:hint="eastAsia"/>
          <w:highlight w:val="none"/>
        </w:rPr>
        <w:t>《政府采购促进中小企业发展管理办法》（财库[2020]46号）</w:t>
      </w:r>
      <w:r>
        <w:rPr>
          <w:highlight w:val="none"/>
        </w:rPr>
        <w:t>第九条有关规定重新组织采购活动。</w:t>
      </w:r>
    </w:p>
    <w:p w14:paraId="0799CF9C">
      <w:pPr>
        <w:pageBreakBefore w:val="0"/>
        <w:widowControl/>
        <w:shd w:val="clear" w:color="auto" w:fill="FFFFFF"/>
        <w:kinsoku/>
        <w:wordWrap w:val="0"/>
        <w:overflowPunct/>
        <w:topLinePunct/>
        <w:autoSpaceDE w:val="0"/>
        <w:autoSpaceDN w:val="0"/>
        <w:bidi w:val="0"/>
        <w:spacing w:line="480" w:lineRule="atLeast"/>
        <w:ind w:left="0" w:leftChars="0" w:firstLine="0" w:firstLineChars="0"/>
        <w:jc w:val="both"/>
        <w:rPr>
          <w:rFonts w:hint="eastAsia" w:ascii="宋体" w:hAnsi="宋体" w:cs="宋体"/>
          <w:b/>
          <w:bCs/>
          <w:color w:val="000000"/>
          <w:kern w:val="0"/>
          <w:szCs w:val="21"/>
          <w:highlight w:val="none"/>
        </w:rPr>
        <w:sectPr>
          <w:pgSz w:w="11906" w:h="16839"/>
          <w:pgMar w:top="400" w:right="994" w:bottom="1156" w:left="1255" w:header="0" w:footer="994" w:gutter="0"/>
          <w:pgNumType w:fmt="decimal"/>
          <w:cols w:space="720" w:num="1"/>
        </w:sectPr>
      </w:pPr>
    </w:p>
    <w:p w14:paraId="63DE3586">
      <w:pPr>
        <w:pStyle w:val="35"/>
        <w:bidi w:val="0"/>
        <w:rPr>
          <w:highlight w:val="none"/>
        </w:rPr>
      </w:pPr>
      <w:r>
        <w:rPr>
          <w:rFonts w:hint="eastAsia"/>
          <w:highlight w:val="none"/>
        </w:rPr>
        <w:t>广西壮族自治区政府采购项目合同验收书（格式）</w:t>
      </w:r>
    </w:p>
    <w:p w14:paraId="37164446">
      <w:pPr>
        <w:bidi w:val="0"/>
        <w:rPr>
          <w:highlight w:val="none"/>
        </w:rPr>
      </w:pPr>
      <w:r>
        <w:rPr>
          <w:rFonts w:hint="eastAsia"/>
          <w:highlight w:val="none"/>
        </w:rPr>
        <w:t>根据政府采购项目（采购合同编号：</w:t>
      </w:r>
      <w:r>
        <w:rPr>
          <w:rFonts w:hint="eastAsia"/>
          <w:highlight w:val="none"/>
          <w:u w:val="single"/>
          <w:lang w:val="en-US" w:eastAsia="zh-CN"/>
        </w:rPr>
        <w:t xml:space="preserve">           </w:t>
      </w:r>
      <w:r>
        <w:rPr>
          <w:rFonts w:hint="eastAsia"/>
          <w:highlight w:val="none"/>
        </w:rPr>
        <w:t>）的约定，我单位对（</w:t>
      </w:r>
      <w:r>
        <w:rPr>
          <w:rFonts w:hint="eastAsia"/>
          <w:highlight w:val="none"/>
          <w:u w:val="single"/>
        </w:rPr>
        <w:t xml:space="preserve">项目名称 </w:t>
      </w:r>
      <w:r>
        <w:rPr>
          <w:rFonts w:hint="eastAsia"/>
          <w:highlight w:val="none"/>
        </w:rPr>
        <w:t>）政府采购项目中标供应商（</w:t>
      </w:r>
      <w:r>
        <w:rPr>
          <w:rFonts w:hint="eastAsia"/>
          <w:highlight w:val="none"/>
          <w:u w:val="single"/>
        </w:rPr>
        <w:t>  公司名称</w:t>
      </w:r>
      <w:r>
        <w:rPr>
          <w:rFonts w:hint="eastAsia"/>
          <w:highlight w:val="none"/>
        </w:rPr>
        <w:t>）提供的货物进行了验收，验收情况如下：</w:t>
      </w:r>
    </w:p>
    <w:tbl>
      <w:tblPr>
        <w:tblStyle w:val="24"/>
        <w:tblW w:w="0" w:type="auto"/>
        <w:jc w:val="center"/>
        <w:tblLayout w:type="fixed"/>
        <w:tblCellMar>
          <w:top w:w="0" w:type="dxa"/>
          <w:left w:w="0" w:type="dxa"/>
          <w:bottom w:w="0" w:type="dxa"/>
          <w:right w:w="0" w:type="dxa"/>
        </w:tblCellMar>
      </w:tblPr>
      <w:tblGrid>
        <w:gridCol w:w="1037"/>
        <w:gridCol w:w="2163"/>
        <w:gridCol w:w="1390"/>
        <w:gridCol w:w="2149"/>
        <w:gridCol w:w="219"/>
        <w:gridCol w:w="843"/>
        <w:gridCol w:w="1656"/>
      </w:tblGrid>
      <w:tr w14:paraId="2033D0D2">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14:paraId="6E50EA07">
            <w:pPr>
              <w:pStyle w:val="34"/>
              <w:bidi w:val="0"/>
              <w:rPr>
                <w:highlight w:val="none"/>
              </w:rPr>
            </w:pPr>
            <w:r>
              <w:rPr>
                <w:rFonts w:hint="eastAsia"/>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14:paraId="667C5863">
            <w:pPr>
              <w:pStyle w:val="34"/>
              <w:bidi w:val="0"/>
              <w:rPr>
                <w:highlight w:val="none"/>
              </w:rPr>
            </w:pPr>
            <w:r>
              <w:rPr>
                <w:rFonts w:hint="eastAsia"/>
                <w:highlight w:val="none"/>
              </w:rPr>
              <w:t>□自行验收</w:t>
            </w:r>
            <w:r>
              <w:rPr>
                <w:rFonts w:hint="eastAsia"/>
                <w:highlight w:val="none"/>
                <w:lang w:val="en-US" w:eastAsia="zh-CN"/>
              </w:rPr>
              <w:t xml:space="preserve">    </w:t>
            </w:r>
            <w:r>
              <w:rPr>
                <w:rFonts w:hint="eastAsia"/>
                <w:highlight w:val="none"/>
              </w:rPr>
              <w:t>□委托验收</w:t>
            </w:r>
          </w:p>
        </w:tc>
      </w:tr>
      <w:tr w14:paraId="1235EFF5">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14:paraId="283782DD">
            <w:pPr>
              <w:pStyle w:val="34"/>
              <w:bidi w:val="0"/>
              <w:rPr>
                <w:highlight w:val="none"/>
              </w:rPr>
            </w:pPr>
            <w:r>
              <w:rPr>
                <w:rFonts w:hint="eastAsia"/>
                <w:highlight w:val="none"/>
              </w:rPr>
              <w:t>序号</w:t>
            </w:r>
          </w:p>
        </w:tc>
        <w:tc>
          <w:tcPr>
            <w:tcW w:w="2163" w:type="dxa"/>
            <w:tcBorders>
              <w:top w:val="nil"/>
              <w:left w:val="nil"/>
              <w:bottom w:val="single" w:color="auto" w:sz="8" w:space="0"/>
              <w:right w:val="single" w:color="auto" w:sz="8" w:space="0"/>
            </w:tcBorders>
            <w:vAlign w:val="center"/>
          </w:tcPr>
          <w:p w14:paraId="1CFE6AF1">
            <w:pPr>
              <w:pStyle w:val="34"/>
              <w:bidi w:val="0"/>
              <w:rPr>
                <w:highlight w:val="none"/>
              </w:rPr>
            </w:pPr>
            <w:r>
              <w:rPr>
                <w:rFonts w:hint="eastAsia"/>
                <w:highlight w:val="none"/>
              </w:rPr>
              <w:t>名 称</w:t>
            </w:r>
          </w:p>
        </w:tc>
        <w:tc>
          <w:tcPr>
            <w:tcW w:w="3539" w:type="dxa"/>
            <w:gridSpan w:val="2"/>
            <w:tcBorders>
              <w:top w:val="nil"/>
              <w:left w:val="nil"/>
              <w:bottom w:val="single" w:color="auto" w:sz="8" w:space="0"/>
              <w:right w:val="single" w:color="auto" w:sz="8" w:space="0"/>
            </w:tcBorders>
            <w:vAlign w:val="center"/>
          </w:tcPr>
          <w:p w14:paraId="179B43D2">
            <w:pPr>
              <w:pStyle w:val="34"/>
              <w:bidi w:val="0"/>
              <w:rPr>
                <w:highlight w:val="none"/>
              </w:rPr>
            </w:pPr>
            <w:r>
              <w:rPr>
                <w:rFonts w:hint="eastAsia"/>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14:paraId="6174DFF9">
            <w:pPr>
              <w:pStyle w:val="34"/>
              <w:bidi w:val="0"/>
              <w:rPr>
                <w:highlight w:val="none"/>
              </w:rPr>
            </w:pPr>
            <w:r>
              <w:rPr>
                <w:rFonts w:hint="eastAsia"/>
                <w:highlight w:val="none"/>
              </w:rPr>
              <w:t>数量</w:t>
            </w:r>
          </w:p>
        </w:tc>
        <w:tc>
          <w:tcPr>
            <w:tcW w:w="1656" w:type="dxa"/>
            <w:tcBorders>
              <w:top w:val="nil"/>
              <w:left w:val="nil"/>
              <w:bottom w:val="single" w:color="auto" w:sz="8" w:space="0"/>
              <w:right w:val="single" w:color="auto" w:sz="8" w:space="0"/>
            </w:tcBorders>
            <w:vAlign w:val="center"/>
          </w:tcPr>
          <w:p w14:paraId="49634195">
            <w:pPr>
              <w:pStyle w:val="34"/>
              <w:bidi w:val="0"/>
              <w:rPr>
                <w:highlight w:val="none"/>
              </w:rPr>
            </w:pPr>
            <w:r>
              <w:rPr>
                <w:rFonts w:hint="eastAsia"/>
                <w:highlight w:val="none"/>
              </w:rPr>
              <w:t>金额</w:t>
            </w:r>
          </w:p>
        </w:tc>
      </w:tr>
      <w:tr w14:paraId="12E3716D">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6568C688">
            <w:pPr>
              <w:pStyle w:val="34"/>
              <w:bidi w:val="0"/>
              <w:rPr>
                <w:highlight w:val="none"/>
              </w:rPr>
            </w:pPr>
          </w:p>
        </w:tc>
        <w:tc>
          <w:tcPr>
            <w:tcW w:w="2163" w:type="dxa"/>
            <w:tcBorders>
              <w:top w:val="nil"/>
              <w:left w:val="nil"/>
              <w:bottom w:val="single" w:color="auto" w:sz="8" w:space="0"/>
              <w:right w:val="single" w:color="auto" w:sz="8" w:space="0"/>
            </w:tcBorders>
            <w:vAlign w:val="center"/>
          </w:tcPr>
          <w:p w14:paraId="070B41FE">
            <w:pPr>
              <w:pStyle w:val="34"/>
              <w:bidi w:val="0"/>
              <w:rPr>
                <w:highlight w:val="none"/>
              </w:rPr>
            </w:pPr>
          </w:p>
        </w:tc>
        <w:tc>
          <w:tcPr>
            <w:tcW w:w="3539" w:type="dxa"/>
            <w:gridSpan w:val="2"/>
            <w:tcBorders>
              <w:top w:val="nil"/>
              <w:left w:val="nil"/>
              <w:bottom w:val="single" w:color="auto" w:sz="8" w:space="0"/>
              <w:right w:val="single" w:color="auto" w:sz="8" w:space="0"/>
            </w:tcBorders>
            <w:vAlign w:val="center"/>
          </w:tcPr>
          <w:p w14:paraId="121292FA">
            <w:pPr>
              <w:pStyle w:val="34"/>
              <w:bidi w:val="0"/>
              <w:rPr>
                <w:highlight w:val="none"/>
              </w:rPr>
            </w:pPr>
          </w:p>
        </w:tc>
        <w:tc>
          <w:tcPr>
            <w:tcW w:w="1062" w:type="dxa"/>
            <w:gridSpan w:val="2"/>
            <w:tcBorders>
              <w:top w:val="nil"/>
              <w:left w:val="nil"/>
              <w:bottom w:val="single" w:color="auto" w:sz="8" w:space="0"/>
              <w:right w:val="single" w:color="auto" w:sz="8" w:space="0"/>
            </w:tcBorders>
            <w:vAlign w:val="center"/>
          </w:tcPr>
          <w:p w14:paraId="44CFA7A1">
            <w:pPr>
              <w:pStyle w:val="34"/>
              <w:bidi w:val="0"/>
              <w:rPr>
                <w:highlight w:val="none"/>
              </w:rPr>
            </w:pPr>
          </w:p>
        </w:tc>
        <w:tc>
          <w:tcPr>
            <w:tcW w:w="1656" w:type="dxa"/>
            <w:tcBorders>
              <w:top w:val="nil"/>
              <w:left w:val="nil"/>
              <w:bottom w:val="single" w:color="auto" w:sz="8" w:space="0"/>
              <w:right w:val="single" w:color="auto" w:sz="8" w:space="0"/>
            </w:tcBorders>
            <w:vAlign w:val="center"/>
          </w:tcPr>
          <w:p w14:paraId="448DF683">
            <w:pPr>
              <w:pStyle w:val="34"/>
              <w:bidi w:val="0"/>
              <w:rPr>
                <w:highlight w:val="none"/>
              </w:rPr>
            </w:pPr>
          </w:p>
        </w:tc>
      </w:tr>
      <w:tr w14:paraId="14A85F26">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5EBC3861">
            <w:pPr>
              <w:pStyle w:val="34"/>
              <w:bidi w:val="0"/>
              <w:rPr>
                <w:highlight w:val="none"/>
              </w:rPr>
            </w:pPr>
          </w:p>
        </w:tc>
        <w:tc>
          <w:tcPr>
            <w:tcW w:w="2163" w:type="dxa"/>
            <w:tcBorders>
              <w:top w:val="nil"/>
              <w:left w:val="nil"/>
              <w:bottom w:val="single" w:color="auto" w:sz="8" w:space="0"/>
              <w:right w:val="single" w:color="auto" w:sz="8" w:space="0"/>
            </w:tcBorders>
            <w:vAlign w:val="center"/>
          </w:tcPr>
          <w:p w14:paraId="6D81D04C">
            <w:pPr>
              <w:pStyle w:val="34"/>
              <w:bidi w:val="0"/>
              <w:rPr>
                <w:highlight w:val="none"/>
              </w:rPr>
            </w:pPr>
          </w:p>
        </w:tc>
        <w:tc>
          <w:tcPr>
            <w:tcW w:w="3539" w:type="dxa"/>
            <w:gridSpan w:val="2"/>
            <w:tcBorders>
              <w:top w:val="nil"/>
              <w:left w:val="nil"/>
              <w:bottom w:val="single" w:color="auto" w:sz="8" w:space="0"/>
              <w:right w:val="single" w:color="auto" w:sz="8" w:space="0"/>
            </w:tcBorders>
            <w:vAlign w:val="center"/>
          </w:tcPr>
          <w:p w14:paraId="40517F61">
            <w:pPr>
              <w:pStyle w:val="34"/>
              <w:bidi w:val="0"/>
              <w:rPr>
                <w:highlight w:val="none"/>
              </w:rPr>
            </w:pPr>
          </w:p>
        </w:tc>
        <w:tc>
          <w:tcPr>
            <w:tcW w:w="1062" w:type="dxa"/>
            <w:gridSpan w:val="2"/>
            <w:tcBorders>
              <w:top w:val="nil"/>
              <w:left w:val="nil"/>
              <w:bottom w:val="single" w:color="auto" w:sz="8" w:space="0"/>
              <w:right w:val="single" w:color="auto" w:sz="8" w:space="0"/>
            </w:tcBorders>
            <w:vAlign w:val="center"/>
          </w:tcPr>
          <w:p w14:paraId="0F818D63">
            <w:pPr>
              <w:pStyle w:val="34"/>
              <w:bidi w:val="0"/>
              <w:rPr>
                <w:highlight w:val="none"/>
              </w:rPr>
            </w:pPr>
          </w:p>
        </w:tc>
        <w:tc>
          <w:tcPr>
            <w:tcW w:w="1656" w:type="dxa"/>
            <w:tcBorders>
              <w:top w:val="nil"/>
              <w:left w:val="nil"/>
              <w:bottom w:val="single" w:color="auto" w:sz="8" w:space="0"/>
              <w:right w:val="single" w:color="auto" w:sz="8" w:space="0"/>
            </w:tcBorders>
            <w:vAlign w:val="center"/>
          </w:tcPr>
          <w:p w14:paraId="794627C5">
            <w:pPr>
              <w:pStyle w:val="34"/>
              <w:bidi w:val="0"/>
              <w:rPr>
                <w:highlight w:val="none"/>
              </w:rPr>
            </w:pPr>
          </w:p>
        </w:tc>
      </w:tr>
      <w:tr w14:paraId="17A7B9DA">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7A35CE9A">
            <w:pPr>
              <w:pStyle w:val="34"/>
              <w:bidi w:val="0"/>
              <w:rPr>
                <w:highlight w:val="none"/>
              </w:rPr>
            </w:pPr>
          </w:p>
        </w:tc>
        <w:tc>
          <w:tcPr>
            <w:tcW w:w="2163" w:type="dxa"/>
            <w:tcBorders>
              <w:top w:val="nil"/>
              <w:left w:val="nil"/>
              <w:bottom w:val="single" w:color="auto" w:sz="8" w:space="0"/>
              <w:right w:val="single" w:color="auto" w:sz="8" w:space="0"/>
            </w:tcBorders>
            <w:vAlign w:val="center"/>
          </w:tcPr>
          <w:p w14:paraId="75965056">
            <w:pPr>
              <w:pStyle w:val="34"/>
              <w:bidi w:val="0"/>
              <w:rPr>
                <w:highlight w:val="none"/>
              </w:rPr>
            </w:pPr>
          </w:p>
        </w:tc>
        <w:tc>
          <w:tcPr>
            <w:tcW w:w="3539" w:type="dxa"/>
            <w:gridSpan w:val="2"/>
            <w:tcBorders>
              <w:top w:val="nil"/>
              <w:left w:val="nil"/>
              <w:bottom w:val="single" w:color="auto" w:sz="8" w:space="0"/>
              <w:right w:val="single" w:color="auto" w:sz="8" w:space="0"/>
            </w:tcBorders>
            <w:vAlign w:val="center"/>
          </w:tcPr>
          <w:p w14:paraId="3CB0FE64">
            <w:pPr>
              <w:pStyle w:val="34"/>
              <w:bidi w:val="0"/>
              <w:rPr>
                <w:highlight w:val="none"/>
              </w:rPr>
            </w:pPr>
          </w:p>
        </w:tc>
        <w:tc>
          <w:tcPr>
            <w:tcW w:w="1062" w:type="dxa"/>
            <w:gridSpan w:val="2"/>
            <w:tcBorders>
              <w:top w:val="nil"/>
              <w:left w:val="nil"/>
              <w:bottom w:val="single" w:color="auto" w:sz="8" w:space="0"/>
              <w:right w:val="single" w:color="auto" w:sz="8" w:space="0"/>
            </w:tcBorders>
            <w:vAlign w:val="center"/>
          </w:tcPr>
          <w:p w14:paraId="5593986B">
            <w:pPr>
              <w:pStyle w:val="34"/>
              <w:bidi w:val="0"/>
              <w:rPr>
                <w:highlight w:val="none"/>
              </w:rPr>
            </w:pPr>
          </w:p>
        </w:tc>
        <w:tc>
          <w:tcPr>
            <w:tcW w:w="1656" w:type="dxa"/>
            <w:tcBorders>
              <w:top w:val="nil"/>
              <w:left w:val="nil"/>
              <w:bottom w:val="single" w:color="auto" w:sz="8" w:space="0"/>
              <w:right w:val="single" w:color="auto" w:sz="8" w:space="0"/>
            </w:tcBorders>
            <w:vAlign w:val="center"/>
          </w:tcPr>
          <w:p w14:paraId="1793CCCC">
            <w:pPr>
              <w:pStyle w:val="34"/>
              <w:bidi w:val="0"/>
              <w:rPr>
                <w:highlight w:val="none"/>
              </w:rPr>
            </w:pPr>
          </w:p>
        </w:tc>
      </w:tr>
      <w:tr w14:paraId="63E12308">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14:paraId="471D4EBE">
            <w:pPr>
              <w:pStyle w:val="34"/>
              <w:bidi w:val="0"/>
              <w:rPr>
                <w:highlight w:val="none"/>
              </w:rPr>
            </w:pPr>
            <w:r>
              <w:rPr>
                <w:rFonts w:hint="eastAsia"/>
                <w:highlight w:val="none"/>
              </w:rPr>
              <w:t>合计</w:t>
            </w:r>
          </w:p>
        </w:tc>
        <w:tc>
          <w:tcPr>
            <w:tcW w:w="1062" w:type="dxa"/>
            <w:gridSpan w:val="2"/>
            <w:tcBorders>
              <w:top w:val="nil"/>
              <w:left w:val="nil"/>
              <w:bottom w:val="single" w:color="auto" w:sz="8" w:space="0"/>
              <w:right w:val="single" w:color="auto" w:sz="8" w:space="0"/>
            </w:tcBorders>
            <w:vAlign w:val="center"/>
          </w:tcPr>
          <w:p w14:paraId="796A7DBB">
            <w:pPr>
              <w:pStyle w:val="34"/>
              <w:bidi w:val="0"/>
              <w:rPr>
                <w:highlight w:val="none"/>
              </w:rPr>
            </w:pPr>
          </w:p>
        </w:tc>
        <w:tc>
          <w:tcPr>
            <w:tcW w:w="1656" w:type="dxa"/>
            <w:tcBorders>
              <w:top w:val="nil"/>
              <w:left w:val="nil"/>
              <w:bottom w:val="single" w:color="auto" w:sz="8" w:space="0"/>
              <w:right w:val="single" w:color="auto" w:sz="8" w:space="0"/>
            </w:tcBorders>
            <w:vAlign w:val="center"/>
          </w:tcPr>
          <w:p w14:paraId="541A52D9">
            <w:pPr>
              <w:pStyle w:val="34"/>
              <w:bidi w:val="0"/>
              <w:rPr>
                <w:highlight w:val="none"/>
              </w:rPr>
            </w:pPr>
          </w:p>
        </w:tc>
      </w:tr>
      <w:tr w14:paraId="6CB6EB2C">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14:paraId="4D7A0520">
            <w:pPr>
              <w:pStyle w:val="34"/>
              <w:bidi w:val="0"/>
              <w:jc w:val="left"/>
              <w:rPr>
                <w:highlight w:val="none"/>
              </w:rPr>
            </w:pPr>
            <w:r>
              <w:rPr>
                <w:rFonts w:hint="eastAsia"/>
                <w:highlight w:val="none"/>
              </w:rPr>
              <w:t>合计大写金额：  仟   佰   拾   万   仟   佰   拾   元</w:t>
            </w:r>
          </w:p>
        </w:tc>
      </w:tr>
      <w:tr w14:paraId="4D560ABB">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14:paraId="7ED5D2CB">
            <w:pPr>
              <w:pStyle w:val="34"/>
              <w:bidi w:val="0"/>
              <w:rPr>
                <w:highlight w:val="none"/>
              </w:rPr>
            </w:pPr>
            <w:r>
              <w:rPr>
                <w:rFonts w:hint="eastAsia"/>
                <w:highlight w:val="none"/>
              </w:rPr>
              <w:t>实际供货日期</w:t>
            </w:r>
          </w:p>
        </w:tc>
        <w:tc>
          <w:tcPr>
            <w:tcW w:w="3553" w:type="dxa"/>
            <w:gridSpan w:val="2"/>
            <w:tcBorders>
              <w:top w:val="nil"/>
              <w:left w:val="nil"/>
              <w:bottom w:val="single" w:color="auto" w:sz="8" w:space="0"/>
              <w:right w:val="single" w:color="auto" w:sz="8" w:space="0"/>
            </w:tcBorders>
            <w:vAlign w:val="center"/>
          </w:tcPr>
          <w:p w14:paraId="65037D78">
            <w:pPr>
              <w:pStyle w:val="34"/>
              <w:bidi w:val="0"/>
              <w:rPr>
                <w:highlight w:val="none"/>
              </w:rPr>
            </w:pPr>
          </w:p>
        </w:tc>
        <w:tc>
          <w:tcPr>
            <w:tcW w:w="2368" w:type="dxa"/>
            <w:gridSpan w:val="2"/>
            <w:tcBorders>
              <w:top w:val="nil"/>
              <w:left w:val="nil"/>
              <w:bottom w:val="single" w:color="auto" w:sz="8" w:space="0"/>
              <w:right w:val="single" w:color="auto" w:sz="8" w:space="0"/>
            </w:tcBorders>
            <w:vAlign w:val="center"/>
          </w:tcPr>
          <w:p w14:paraId="1CD7C1B7">
            <w:pPr>
              <w:pStyle w:val="34"/>
              <w:bidi w:val="0"/>
              <w:rPr>
                <w:highlight w:val="none"/>
              </w:rPr>
            </w:pPr>
            <w:r>
              <w:rPr>
                <w:rFonts w:hint="eastAsia"/>
                <w:highlight w:val="none"/>
              </w:rPr>
              <w:t>合同交货验收日期</w:t>
            </w:r>
          </w:p>
        </w:tc>
        <w:tc>
          <w:tcPr>
            <w:tcW w:w="2499" w:type="dxa"/>
            <w:gridSpan w:val="2"/>
            <w:tcBorders>
              <w:top w:val="nil"/>
              <w:left w:val="nil"/>
              <w:bottom w:val="single" w:color="auto" w:sz="8" w:space="0"/>
              <w:right w:val="single" w:color="auto" w:sz="8" w:space="0"/>
            </w:tcBorders>
            <w:vAlign w:val="center"/>
          </w:tcPr>
          <w:p w14:paraId="007ED294">
            <w:pPr>
              <w:pStyle w:val="34"/>
              <w:bidi w:val="0"/>
              <w:rPr>
                <w:highlight w:val="none"/>
              </w:rPr>
            </w:pPr>
          </w:p>
        </w:tc>
      </w:tr>
      <w:tr w14:paraId="51D5967A">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14:paraId="7F60EBE5">
            <w:pPr>
              <w:pStyle w:val="34"/>
              <w:bidi w:val="0"/>
              <w:rPr>
                <w:highlight w:val="none"/>
              </w:rPr>
            </w:pPr>
          </w:p>
        </w:tc>
        <w:tc>
          <w:tcPr>
            <w:tcW w:w="3553" w:type="dxa"/>
            <w:gridSpan w:val="2"/>
            <w:tcBorders>
              <w:top w:val="nil"/>
              <w:left w:val="nil"/>
              <w:bottom w:val="single" w:color="auto" w:sz="8" w:space="0"/>
              <w:right w:val="single" w:color="auto" w:sz="8" w:space="0"/>
            </w:tcBorders>
            <w:vAlign w:val="center"/>
          </w:tcPr>
          <w:p w14:paraId="2CA098EE">
            <w:pPr>
              <w:pStyle w:val="34"/>
              <w:bidi w:val="0"/>
              <w:rPr>
                <w:highlight w:val="none"/>
              </w:rPr>
            </w:pPr>
          </w:p>
        </w:tc>
        <w:tc>
          <w:tcPr>
            <w:tcW w:w="2368" w:type="dxa"/>
            <w:gridSpan w:val="2"/>
            <w:tcBorders>
              <w:top w:val="nil"/>
              <w:left w:val="nil"/>
              <w:bottom w:val="single" w:color="auto" w:sz="8" w:space="0"/>
              <w:right w:val="single" w:color="auto" w:sz="8" w:space="0"/>
            </w:tcBorders>
            <w:vAlign w:val="center"/>
          </w:tcPr>
          <w:p w14:paraId="23A78AA1">
            <w:pPr>
              <w:pStyle w:val="34"/>
              <w:bidi w:val="0"/>
              <w:rPr>
                <w:highlight w:val="none"/>
              </w:rPr>
            </w:pPr>
          </w:p>
        </w:tc>
        <w:tc>
          <w:tcPr>
            <w:tcW w:w="2499" w:type="dxa"/>
            <w:gridSpan w:val="2"/>
            <w:tcBorders>
              <w:top w:val="nil"/>
              <w:left w:val="nil"/>
              <w:bottom w:val="single" w:color="auto" w:sz="8" w:space="0"/>
              <w:right w:val="single" w:color="auto" w:sz="8" w:space="0"/>
            </w:tcBorders>
            <w:vAlign w:val="center"/>
          </w:tcPr>
          <w:p w14:paraId="0B5F47BB">
            <w:pPr>
              <w:pStyle w:val="34"/>
              <w:bidi w:val="0"/>
              <w:rPr>
                <w:highlight w:val="none"/>
              </w:rPr>
            </w:pPr>
          </w:p>
        </w:tc>
      </w:tr>
      <w:tr w14:paraId="665C3A8C">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C9D794">
            <w:pPr>
              <w:pStyle w:val="34"/>
              <w:bidi w:val="0"/>
              <w:rPr>
                <w:highlight w:val="none"/>
              </w:rPr>
            </w:pPr>
            <w:r>
              <w:rPr>
                <w:rFonts w:hint="eastAsia"/>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6C8AB261">
            <w:pPr>
              <w:pStyle w:val="34"/>
              <w:bidi w:val="0"/>
              <w:jc w:val="both"/>
              <w:rPr>
                <w:highlight w:val="none"/>
              </w:rPr>
            </w:pPr>
            <w:r>
              <w:rPr>
                <w:rFonts w:hint="eastAsia"/>
                <w:highlight w:val="none"/>
              </w:rPr>
              <w:t>（应按采购合同、采购文件、投标响应文件及验收方案等进行验收；并核对中标供应商在安装调试等方面是否违反合同约定或服务规范要求、提供的质量保证证明材料是否齐全、应有的配件及附件是否达到合同约定等。可附件)</w:t>
            </w:r>
          </w:p>
        </w:tc>
      </w:tr>
      <w:tr w14:paraId="0D1109A4">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DA5928">
            <w:pPr>
              <w:pStyle w:val="34"/>
              <w:bidi w:val="0"/>
              <w:rPr>
                <w:highlight w:val="none"/>
              </w:rPr>
            </w:pPr>
            <w:r>
              <w:rPr>
                <w:rFonts w:hint="eastAsia"/>
                <w:highlight w:val="none"/>
              </w:rPr>
              <w:t>验收小组意见</w:t>
            </w:r>
          </w:p>
        </w:tc>
        <w:tc>
          <w:tcPr>
            <w:tcW w:w="8420" w:type="dxa"/>
            <w:gridSpan w:val="6"/>
            <w:tcBorders>
              <w:top w:val="nil"/>
              <w:left w:val="nil"/>
              <w:bottom w:val="single" w:color="auto" w:sz="8" w:space="0"/>
              <w:right w:val="single" w:color="auto" w:sz="8" w:space="0"/>
            </w:tcBorders>
            <w:vAlign w:val="center"/>
          </w:tcPr>
          <w:p w14:paraId="1CDD065E">
            <w:pPr>
              <w:pStyle w:val="34"/>
              <w:bidi w:val="0"/>
              <w:jc w:val="left"/>
              <w:rPr>
                <w:highlight w:val="none"/>
              </w:rPr>
            </w:pPr>
            <w:r>
              <w:rPr>
                <w:rFonts w:hint="eastAsia"/>
                <w:highlight w:val="none"/>
              </w:rPr>
              <w:t>验收结论性意见：</w:t>
            </w:r>
          </w:p>
        </w:tc>
      </w:tr>
      <w:tr w14:paraId="59093D80">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14:paraId="7C1D17A2">
            <w:pPr>
              <w:pStyle w:val="34"/>
              <w:bidi w:val="0"/>
              <w:rPr>
                <w:highlight w:val="none"/>
              </w:rPr>
            </w:pPr>
          </w:p>
        </w:tc>
        <w:tc>
          <w:tcPr>
            <w:tcW w:w="8420" w:type="dxa"/>
            <w:gridSpan w:val="6"/>
            <w:tcBorders>
              <w:top w:val="nil"/>
              <w:left w:val="nil"/>
              <w:bottom w:val="single" w:color="auto" w:sz="8" w:space="0"/>
              <w:right w:val="single" w:color="auto" w:sz="8" w:space="0"/>
            </w:tcBorders>
            <w:vAlign w:val="center"/>
          </w:tcPr>
          <w:p w14:paraId="67B41434">
            <w:pPr>
              <w:pStyle w:val="34"/>
              <w:bidi w:val="0"/>
              <w:jc w:val="left"/>
              <w:rPr>
                <w:highlight w:val="none"/>
              </w:rPr>
            </w:pPr>
            <w:r>
              <w:rPr>
                <w:rFonts w:hint="eastAsia"/>
                <w:highlight w:val="none"/>
              </w:rPr>
              <w:t>有异议的意见和说明理由：</w:t>
            </w:r>
          </w:p>
          <w:p w14:paraId="72CDFCB1">
            <w:pPr>
              <w:pStyle w:val="34"/>
              <w:bidi w:val="0"/>
              <w:rPr>
                <w:highlight w:val="none"/>
              </w:rPr>
            </w:pPr>
            <w:r>
              <w:rPr>
                <w:rFonts w:hint="eastAsia"/>
                <w:highlight w:val="none"/>
              </w:rPr>
              <w:t>签字：</w:t>
            </w:r>
          </w:p>
        </w:tc>
      </w:tr>
      <w:tr w14:paraId="37EAFB86">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9555C0">
            <w:pPr>
              <w:pStyle w:val="34"/>
              <w:bidi w:val="0"/>
              <w:jc w:val="left"/>
              <w:rPr>
                <w:highlight w:val="none"/>
              </w:rPr>
            </w:pPr>
            <w:r>
              <w:rPr>
                <w:rFonts w:hint="eastAsia"/>
                <w:highlight w:val="none"/>
              </w:rPr>
              <w:t>验收小组成员签字：</w:t>
            </w:r>
          </w:p>
        </w:tc>
      </w:tr>
      <w:tr w14:paraId="586F46C2">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498D9142">
            <w:pPr>
              <w:pStyle w:val="34"/>
              <w:bidi w:val="0"/>
              <w:jc w:val="left"/>
              <w:rPr>
                <w:highlight w:val="none"/>
              </w:rPr>
            </w:pPr>
            <w:r>
              <w:rPr>
                <w:rFonts w:hint="eastAsia"/>
                <w:highlight w:val="none"/>
              </w:rPr>
              <w:t>监督人员或其他相关人员签字：</w:t>
            </w:r>
          </w:p>
          <w:p w14:paraId="3154BB2C">
            <w:pPr>
              <w:pStyle w:val="34"/>
              <w:bidi w:val="0"/>
              <w:jc w:val="left"/>
              <w:rPr>
                <w:highlight w:val="none"/>
              </w:rPr>
            </w:pPr>
            <w:r>
              <w:rPr>
                <w:rFonts w:hint="eastAsia"/>
                <w:highlight w:val="none"/>
              </w:rPr>
              <w:t>或受邀机构的意见（盖章）：</w:t>
            </w:r>
          </w:p>
        </w:tc>
      </w:tr>
      <w:tr w14:paraId="197567E7">
        <w:tblPrEx>
          <w:tblCellMar>
            <w:top w:w="0" w:type="dxa"/>
            <w:left w:w="0" w:type="dxa"/>
            <w:bottom w:w="0" w:type="dxa"/>
            <w:right w:w="0" w:type="dxa"/>
          </w:tblCellMar>
        </w:tblPrEx>
        <w:trPr>
          <w:trHeight w:val="1485" w:hRule="atLeast"/>
          <w:jc w:val="center"/>
        </w:trPr>
        <w:tc>
          <w:tcPr>
            <w:tcW w:w="459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A4DEC7">
            <w:pPr>
              <w:pStyle w:val="34"/>
              <w:bidi w:val="0"/>
              <w:rPr>
                <w:highlight w:val="none"/>
              </w:rPr>
            </w:pPr>
            <w:r>
              <w:rPr>
                <w:rFonts w:hint="eastAsia"/>
                <w:highlight w:val="none"/>
              </w:rPr>
              <w:t>中标供应商负责人签字或盖章：</w:t>
            </w:r>
          </w:p>
          <w:p w14:paraId="0BB1C716">
            <w:pPr>
              <w:pStyle w:val="34"/>
              <w:bidi w:val="0"/>
              <w:rPr>
                <w:highlight w:val="none"/>
              </w:rPr>
            </w:pPr>
            <w:r>
              <w:rPr>
                <w:rFonts w:hint="eastAsia"/>
                <w:highlight w:val="none"/>
              </w:rPr>
              <w:t>联系电话：</w:t>
            </w: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tc>
        <w:tc>
          <w:tcPr>
            <w:tcW w:w="4867" w:type="dxa"/>
            <w:gridSpan w:val="4"/>
            <w:tcBorders>
              <w:top w:val="single" w:color="auto" w:sz="4" w:space="0"/>
              <w:left w:val="single" w:color="auto" w:sz="4" w:space="0"/>
              <w:bottom w:val="single" w:color="auto" w:sz="4" w:space="0"/>
              <w:right w:val="single" w:color="auto" w:sz="4" w:space="0"/>
            </w:tcBorders>
            <w:vAlign w:val="center"/>
          </w:tcPr>
          <w:p w14:paraId="7A925447">
            <w:pPr>
              <w:pStyle w:val="34"/>
              <w:bidi w:val="0"/>
              <w:rPr>
                <w:highlight w:val="none"/>
              </w:rPr>
            </w:pPr>
            <w:r>
              <w:rPr>
                <w:rFonts w:hint="eastAsia"/>
                <w:highlight w:val="none"/>
              </w:rPr>
              <w:t>采购人或受托机构的意见（盖章）：</w:t>
            </w:r>
          </w:p>
          <w:p w14:paraId="22B4FE96">
            <w:pPr>
              <w:pStyle w:val="34"/>
              <w:bidi w:val="0"/>
              <w:rPr>
                <w:highlight w:val="none"/>
              </w:rPr>
            </w:pPr>
            <w:r>
              <w:rPr>
                <w:rFonts w:hint="eastAsia"/>
                <w:highlight w:val="none"/>
              </w:rPr>
              <w:t>联系电话：</w:t>
            </w: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tc>
      </w:tr>
    </w:tbl>
    <w:p w14:paraId="0C7E713C">
      <w:pPr>
        <w:bidi w:val="0"/>
        <w:rPr>
          <w:highlight w:val="none"/>
        </w:rPr>
      </w:pPr>
    </w:p>
    <w:p w14:paraId="7541180A">
      <w:pPr>
        <w:pageBreakBefore w:val="0"/>
        <w:widowControl/>
        <w:kinsoku/>
        <w:wordWrap w:val="0"/>
        <w:overflowPunct/>
        <w:topLinePunct/>
        <w:autoSpaceDE w:val="0"/>
        <w:autoSpaceDN w:val="0"/>
        <w:bidi w:val="0"/>
        <w:spacing w:line="360" w:lineRule="exact"/>
        <w:ind w:left="480"/>
        <w:jc w:val="center"/>
        <w:outlineLvl w:val="0"/>
        <w:rPr>
          <w:rFonts w:hint="eastAsia" w:ascii="宋体" w:hAnsi="宋体" w:cs="Courier New"/>
          <w:b/>
          <w:sz w:val="28"/>
          <w:szCs w:val="28"/>
          <w:highlight w:val="none"/>
        </w:rPr>
        <w:sectPr>
          <w:pgSz w:w="11906" w:h="16839"/>
          <w:pgMar w:top="400" w:right="994" w:bottom="1156" w:left="1255" w:header="0" w:footer="994" w:gutter="0"/>
          <w:pgNumType w:fmt="decimal"/>
          <w:cols w:space="720" w:num="1"/>
        </w:sectPr>
      </w:pPr>
    </w:p>
    <w:p w14:paraId="35C1DD79">
      <w:pPr>
        <w:pStyle w:val="3"/>
        <w:bidi w:val="0"/>
        <w:rPr>
          <w:rFonts w:hAnsi="宋体"/>
          <w:sz w:val="28"/>
          <w:szCs w:val="28"/>
          <w:highlight w:val="none"/>
        </w:rPr>
      </w:pPr>
      <w:bookmarkStart w:id="88" w:name="_Toc18634"/>
      <w:r>
        <w:rPr>
          <w:rFonts w:hint="eastAsia"/>
          <w:highlight w:val="none"/>
        </w:rPr>
        <w:t>第四章 评标办法及评分标准</w:t>
      </w:r>
      <w:bookmarkEnd w:id="87"/>
      <w:bookmarkEnd w:id="88"/>
    </w:p>
    <w:p w14:paraId="10033AC0">
      <w:pPr>
        <w:pStyle w:val="4"/>
        <w:bidi w:val="0"/>
        <w:rPr>
          <w:highlight w:val="none"/>
        </w:rPr>
      </w:pPr>
      <w:bookmarkStart w:id="89" w:name="_Toc291688343"/>
      <w:r>
        <w:rPr>
          <w:highlight w:val="none"/>
        </w:rPr>
        <w:t>一、评标原则</w:t>
      </w:r>
    </w:p>
    <w:p w14:paraId="63895D7A">
      <w:pPr>
        <w:bidi w:val="0"/>
        <w:rPr>
          <w:highlight w:val="none"/>
        </w:rPr>
      </w:pPr>
      <w:r>
        <w:rPr>
          <w:highlight w:val="none"/>
        </w:rPr>
        <w:t>(一)评委构成：</w:t>
      </w:r>
      <w:r>
        <w:rPr>
          <w:rFonts w:hint="eastAsia"/>
          <w:highlight w:val="none"/>
        </w:rPr>
        <w:t>评标委员会由采购人代表和评审专家组成，成员人数应当为5人以上单数，其中评审专家不得少于成员总数的三分之二。</w:t>
      </w:r>
    </w:p>
    <w:p w14:paraId="0462B34B">
      <w:pPr>
        <w:bidi w:val="0"/>
        <w:rPr>
          <w:highlight w:val="none"/>
        </w:rPr>
      </w:pPr>
      <w:r>
        <w:rPr>
          <w:highlight w:val="none"/>
        </w:rPr>
        <w:t>(二)评标依据：</w:t>
      </w:r>
    </w:p>
    <w:p w14:paraId="2D04441A">
      <w:pPr>
        <w:bidi w:val="0"/>
        <w:rPr>
          <w:highlight w:val="none"/>
        </w:rPr>
      </w:pPr>
      <w:r>
        <w:rPr>
          <w:highlight w:val="none"/>
        </w:rPr>
        <w:t>1、评委将以招投标文件为评标依据，对投标人的投标报价、</w:t>
      </w:r>
      <w:r>
        <w:rPr>
          <w:rFonts w:hint="eastAsia"/>
          <w:highlight w:val="none"/>
        </w:rPr>
        <w:t>技术和货物方案、投标人的企业实力</w:t>
      </w:r>
      <w:r>
        <w:rPr>
          <w:highlight w:val="none"/>
        </w:rPr>
        <w:t>等方面内容按百分制打分。</w:t>
      </w:r>
    </w:p>
    <w:p w14:paraId="6265317B">
      <w:pPr>
        <w:bidi w:val="0"/>
        <w:rPr>
          <w:highlight w:val="none"/>
        </w:rPr>
      </w:pPr>
      <w:r>
        <w:rPr>
          <w:rFonts w:hint="eastAsia"/>
          <w:highlight w:val="none"/>
        </w:rPr>
        <w:t>2、评标报价为投标人的投标报价进行政策性扣除后的价格，评标报价只是作为评标时使用。最终中标人的中标金额等于投标报价。</w:t>
      </w:r>
    </w:p>
    <w:p w14:paraId="6D7EFEFC">
      <w:pPr>
        <w:bidi w:val="0"/>
        <w:rPr>
          <w:highlight w:val="none"/>
        </w:rPr>
      </w:pPr>
      <w:r>
        <w:rPr>
          <w:rFonts w:hint="eastAsia"/>
          <w:highlight w:val="none"/>
        </w:rPr>
        <w:t>按照《政府采购促进中小企业发展管理办法》（财库〔</w:t>
      </w:r>
      <w:r>
        <w:rPr>
          <w:highlight w:val="none"/>
        </w:rPr>
        <w:t>2020</w:t>
      </w:r>
      <w:r>
        <w:rPr>
          <w:rFonts w:hint="eastAsia"/>
          <w:highlight w:val="none"/>
        </w:rPr>
        <w:t>〕</w:t>
      </w:r>
      <w:r>
        <w:rPr>
          <w:highlight w:val="none"/>
        </w:rPr>
        <w:t>46</w:t>
      </w:r>
      <w:r>
        <w:rPr>
          <w:rFonts w:hint="eastAsia"/>
          <w:highlight w:val="none"/>
        </w:rPr>
        <w:t>号）的规定，投标人在其投标文件中按照格式要求提供《中小企业声明函》，且其投标产品全部为小型和微型企业产品的，对其最后报价给予</w:t>
      </w:r>
      <w:r>
        <w:rPr>
          <w:rFonts w:hint="eastAsia"/>
          <w:highlight w:val="none"/>
          <w:lang w:val="en-US" w:eastAsia="zh-CN"/>
        </w:rPr>
        <w:t>1</w:t>
      </w:r>
      <w:r>
        <w:rPr>
          <w:highlight w:val="none"/>
        </w:rPr>
        <w:t>0%</w:t>
      </w:r>
      <w:r>
        <w:rPr>
          <w:rFonts w:hint="eastAsia"/>
          <w:highlight w:val="none"/>
        </w:rPr>
        <w:t>的扣除。</w:t>
      </w:r>
    </w:p>
    <w:p w14:paraId="758A7FC0">
      <w:pPr>
        <w:bidi w:val="0"/>
        <w:rPr>
          <w:highlight w:val="none"/>
        </w:rPr>
      </w:pPr>
      <w:r>
        <w:rPr>
          <w:rFonts w:hint="eastAsia"/>
          <w:highlight w:val="none"/>
        </w:rPr>
        <w:t>按照《财政部、司法部关于政府采购支持监狱企业发展有关问题的通知》（财库〔</w:t>
      </w:r>
      <w:r>
        <w:rPr>
          <w:highlight w:val="none"/>
        </w:rPr>
        <w:t>2014</w:t>
      </w:r>
      <w:r>
        <w:rPr>
          <w:rFonts w:hint="eastAsia"/>
          <w:highlight w:val="none"/>
        </w:rPr>
        <w:t>〕</w:t>
      </w:r>
      <w:r>
        <w:rPr>
          <w:highlight w:val="none"/>
        </w:rPr>
        <w:t>68</w:t>
      </w:r>
      <w:r>
        <w:rPr>
          <w:rFonts w:hint="eastAsia"/>
          <w:highlight w:val="none"/>
        </w:rPr>
        <w:t>号）的规定，监狱企业视同小型、微型企业，享受预留份额、评审中价格扣除等促进中小企业发展的政府采购政策。监狱企业参加政府采购活动时，应当提供由省级以上监狱管理局、戒毒管理局</w:t>
      </w:r>
      <w:r>
        <w:rPr>
          <w:highlight w:val="none"/>
        </w:rPr>
        <w:t>(</w:t>
      </w:r>
      <w:r>
        <w:rPr>
          <w:rFonts w:hint="eastAsia"/>
          <w:highlight w:val="none"/>
        </w:rPr>
        <w:t>含新疆生产建设兵团</w:t>
      </w:r>
      <w:r>
        <w:rPr>
          <w:highlight w:val="none"/>
        </w:rPr>
        <w:t>)</w:t>
      </w:r>
      <w:r>
        <w:rPr>
          <w:rFonts w:hint="eastAsia"/>
          <w:highlight w:val="none"/>
        </w:rPr>
        <w:t>出具的属于监狱企业的证明文件。不重复享受政策。</w:t>
      </w:r>
    </w:p>
    <w:p w14:paraId="34A732D0">
      <w:pPr>
        <w:bidi w:val="0"/>
        <w:rPr>
          <w:highlight w:val="none"/>
        </w:rPr>
      </w:pPr>
      <w:r>
        <w:rPr>
          <w:rFonts w:hint="eastAsia"/>
          <w:highlight w:val="none"/>
        </w:rPr>
        <w:t>按照《关于促进残疾人就业政府采购政策的通知》（财库〔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8887FD6">
      <w:pPr>
        <w:bidi w:val="0"/>
        <w:rPr>
          <w:highlight w:val="none"/>
        </w:rPr>
      </w:pPr>
      <w:r>
        <w:rPr>
          <w:rFonts w:hint="eastAsia"/>
          <w:highlight w:val="none"/>
        </w:rPr>
        <w:t>在货物采购项目中，投标人投标全部货物（除招标文件明确的配件及辅材不做为主要标的物外）由小型和微型企业制造；对符合上述要求的投标人的投标报价给予</w:t>
      </w:r>
      <w:r>
        <w:rPr>
          <w:rFonts w:hint="eastAsia"/>
          <w:highlight w:val="none"/>
          <w:u w:val="single"/>
          <w:lang w:val="en-US" w:eastAsia="zh-CN"/>
        </w:rPr>
        <w:t>10</w:t>
      </w:r>
      <w:r>
        <w:rPr>
          <w:highlight w:val="none"/>
          <w:u w:val="single"/>
        </w:rPr>
        <w:t>%</w:t>
      </w:r>
      <w:r>
        <w:rPr>
          <w:rFonts w:hint="eastAsia"/>
          <w:highlight w:val="none"/>
        </w:rPr>
        <w:t>的扣除，扣除后的价格为评标报价，即评标报价</w:t>
      </w:r>
      <w:r>
        <w:rPr>
          <w:highlight w:val="none"/>
        </w:rPr>
        <w:t>=</w:t>
      </w:r>
      <w:r>
        <w:rPr>
          <w:rFonts w:hint="eastAsia"/>
          <w:highlight w:val="none"/>
        </w:rPr>
        <w:t>投标报价×（</w:t>
      </w:r>
      <w:r>
        <w:rPr>
          <w:highlight w:val="none"/>
        </w:rPr>
        <w:t>1-</w:t>
      </w:r>
      <w:r>
        <w:rPr>
          <w:rFonts w:hint="eastAsia"/>
          <w:highlight w:val="none"/>
          <w:lang w:val="en-US" w:eastAsia="zh-CN"/>
        </w:rPr>
        <w:t>1</w:t>
      </w:r>
      <w:r>
        <w:rPr>
          <w:highlight w:val="none"/>
        </w:rPr>
        <w:t>0%</w:t>
      </w:r>
      <w:r>
        <w:rPr>
          <w:rFonts w:hint="eastAsia"/>
          <w:highlight w:val="none"/>
        </w:rPr>
        <w:t>）。</w:t>
      </w:r>
    </w:p>
    <w:p w14:paraId="33C367D3">
      <w:pPr>
        <w:bidi w:val="0"/>
        <w:rPr>
          <w:highlight w:val="none"/>
        </w:rPr>
      </w:pPr>
      <w:r>
        <w:rPr>
          <w:rFonts w:hint="eastAsia"/>
          <w:highlight w:val="none"/>
        </w:rPr>
        <w:t>接受大中型企业与小微企业组成联合体或者允许大中型企业向一家或者多家小微企业分包的采购项目，联合协议或者分包意向协议约定小微企业的合同份额占到合同总金额</w:t>
      </w:r>
      <w:r>
        <w:rPr>
          <w:highlight w:val="none"/>
        </w:rPr>
        <w:t>30%</w:t>
      </w:r>
      <w:r>
        <w:rPr>
          <w:rFonts w:hint="eastAsia"/>
          <w:highlight w:val="none"/>
        </w:rPr>
        <w:t>以上的，采购人、采购代理机构应当对联合体或者大中型企业的报价给予</w:t>
      </w:r>
      <w:r>
        <w:rPr>
          <w:rFonts w:hint="eastAsia"/>
          <w:highlight w:val="none"/>
          <w:u w:val="single"/>
          <w:lang w:val="en-US" w:eastAsia="zh-CN"/>
        </w:rPr>
        <w:t>4</w:t>
      </w:r>
      <w:r>
        <w:rPr>
          <w:rFonts w:hint="eastAsia"/>
          <w:highlight w:val="none"/>
          <w:u w:val="single"/>
        </w:rPr>
        <w:t>%</w:t>
      </w:r>
      <w:r>
        <w:rPr>
          <w:rFonts w:hint="eastAsia"/>
          <w:highlight w:val="none"/>
        </w:rPr>
        <w:t>的扣除，用扣除后的价格参加评审，扣除后的价格为评标报价，即评标报价</w:t>
      </w:r>
      <w:r>
        <w:rPr>
          <w:highlight w:val="none"/>
        </w:rPr>
        <w:t>=</w:t>
      </w:r>
      <w:r>
        <w:rPr>
          <w:rFonts w:hint="eastAsia"/>
          <w:highlight w:val="none"/>
        </w:rPr>
        <w:t>投标报价×（</w:t>
      </w:r>
      <w:r>
        <w:rPr>
          <w:highlight w:val="none"/>
        </w:rPr>
        <w:t>1-</w:t>
      </w:r>
      <w:r>
        <w:rPr>
          <w:rFonts w:hint="eastAsia"/>
          <w:highlight w:val="none"/>
          <w:lang w:val="en-US" w:eastAsia="zh-CN"/>
        </w:rPr>
        <w:t>4</w:t>
      </w:r>
      <w:r>
        <w:rPr>
          <w:highlight w:val="none"/>
        </w:rPr>
        <w:t>%</w:t>
      </w:r>
      <w:r>
        <w:rPr>
          <w:rFonts w:hint="eastAsia"/>
          <w:highlight w:val="none"/>
        </w:rPr>
        <w:t>）。除上述情况外，评标报价</w:t>
      </w:r>
      <w:r>
        <w:rPr>
          <w:highlight w:val="none"/>
        </w:rPr>
        <w:t>=</w:t>
      </w:r>
      <w:r>
        <w:rPr>
          <w:rFonts w:hint="eastAsia"/>
          <w:highlight w:val="none"/>
        </w:rPr>
        <w:t>投标报价。</w:t>
      </w:r>
    </w:p>
    <w:p w14:paraId="7F5FFDF7">
      <w:pPr>
        <w:bidi w:val="0"/>
        <w:rPr>
          <w:highlight w:val="none"/>
        </w:rPr>
      </w:pPr>
      <w:r>
        <w:rPr>
          <w:rFonts w:hint="eastAsia"/>
          <w:highlight w:val="none"/>
        </w:rPr>
        <w:t>满足招标文件要求且评标报价最低的评标报价为评标基准价，其价格分为满分。</w:t>
      </w:r>
    </w:p>
    <w:p w14:paraId="7C09D648">
      <w:pPr>
        <w:pStyle w:val="36"/>
        <w:bidi w:val="0"/>
        <w:rPr>
          <w:highlight w:val="none"/>
        </w:rPr>
      </w:pPr>
      <w:r>
        <w:rPr>
          <w:rFonts w:hint="eastAsia"/>
          <w:highlight w:val="none"/>
        </w:rPr>
        <w:t>3、评标委员会认为投标人的报价明显低于其他通过符合性审查投标人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投标人也可直接在投标文件中提供上述资料以避免因无法及时提供说明而导致可能被评标委员会作为无效响应处理。如果投标人不能合理说明或者提供的有关证明材料不完整，不能证明其报价合理性的，评标委员会将其作为无效投标处理。投标人书面说明应当签字确认或者加盖公章，否则无效。</w:t>
      </w:r>
    </w:p>
    <w:p w14:paraId="279D7AA7">
      <w:pPr>
        <w:bidi w:val="0"/>
        <w:rPr>
          <w:highlight w:val="none"/>
        </w:rPr>
      </w:pPr>
      <w:r>
        <w:rPr>
          <w:highlight w:val="none"/>
        </w:rPr>
        <w:t>(三)评标方式：以封闭方式进行。</w:t>
      </w:r>
    </w:p>
    <w:p w14:paraId="4C6A4FBF">
      <w:pPr>
        <w:pStyle w:val="4"/>
        <w:bidi w:val="0"/>
        <w:rPr>
          <w:highlight w:val="none"/>
        </w:rPr>
      </w:pPr>
      <w:r>
        <w:rPr>
          <w:highlight w:val="none"/>
        </w:rPr>
        <w:t>二、评定方法</w:t>
      </w:r>
    </w:p>
    <w:p w14:paraId="5DE7587D">
      <w:pPr>
        <w:pStyle w:val="36"/>
        <w:bidi w:val="0"/>
        <w:rPr>
          <w:highlight w:val="none"/>
        </w:rPr>
      </w:pPr>
      <w:r>
        <w:rPr>
          <w:rFonts w:hint="eastAsia"/>
          <w:highlight w:val="none"/>
        </w:rPr>
        <w:t>（一）资格审查</w:t>
      </w:r>
    </w:p>
    <w:p w14:paraId="5C6075D0">
      <w:pPr>
        <w:bidi w:val="0"/>
        <w:rPr>
          <w:highlight w:val="none"/>
        </w:rPr>
      </w:pPr>
      <w:r>
        <w:rPr>
          <w:rFonts w:hint="eastAsia"/>
          <w:highlight w:val="none"/>
        </w:rPr>
        <w:t>开标结束后，采购人或采购代理机构，应当依法对投标人的资格进行审查。</w:t>
      </w:r>
    </w:p>
    <w:tbl>
      <w:tblPr>
        <w:tblStyle w:val="2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74"/>
        <w:gridCol w:w="3297"/>
        <w:gridCol w:w="5041"/>
      </w:tblGrid>
      <w:tr w14:paraId="5E09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vAlign w:val="center"/>
          </w:tcPr>
          <w:p w14:paraId="13ABC9A4">
            <w:pPr>
              <w:pStyle w:val="34"/>
              <w:bidi w:val="0"/>
              <w:rPr>
                <w:highlight w:val="none"/>
              </w:rPr>
            </w:pPr>
            <w:r>
              <w:rPr>
                <w:rFonts w:hint="eastAsia"/>
                <w:highlight w:val="none"/>
              </w:rPr>
              <w:t>序号</w:t>
            </w:r>
          </w:p>
        </w:tc>
        <w:tc>
          <w:tcPr>
            <w:tcW w:w="3871" w:type="dxa"/>
            <w:gridSpan w:val="2"/>
            <w:tcBorders>
              <w:top w:val="single" w:color="auto" w:sz="4" w:space="0"/>
              <w:left w:val="single" w:color="auto" w:sz="4" w:space="0"/>
              <w:bottom w:val="single" w:color="auto" w:sz="4" w:space="0"/>
              <w:right w:val="single" w:color="auto" w:sz="4" w:space="0"/>
            </w:tcBorders>
            <w:vAlign w:val="center"/>
          </w:tcPr>
          <w:p w14:paraId="6ECE1EC0">
            <w:pPr>
              <w:pStyle w:val="34"/>
              <w:bidi w:val="0"/>
              <w:rPr>
                <w:highlight w:val="none"/>
              </w:rPr>
            </w:pPr>
            <w:r>
              <w:rPr>
                <w:rFonts w:hint="eastAsia"/>
                <w:highlight w:val="none"/>
              </w:rPr>
              <w:t>检查因素</w:t>
            </w:r>
          </w:p>
        </w:tc>
        <w:tc>
          <w:tcPr>
            <w:tcW w:w="5041" w:type="dxa"/>
            <w:tcBorders>
              <w:top w:val="single" w:color="auto" w:sz="4" w:space="0"/>
              <w:left w:val="single" w:color="auto" w:sz="4" w:space="0"/>
              <w:bottom w:val="single" w:color="auto" w:sz="4" w:space="0"/>
              <w:right w:val="single" w:color="auto" w:sz="4" w:space="0"/>
            </w:tcBorders>
            <w:vAlign w:val="center"/>
          </w:tcPr>
          <w:p w14:paraId="2CE31C18">
            <w:pPr>
              <w:bidi w:val="0"/>
              <w:rPr>
                <w:highlight w:val="none"/>
              </w:rPr>
            </w:pPr>
            <w:r>
              <w:rPr>
                <w:rFonts w:hint="eastAsia"/>
                <w:highlight w:val="none"/>
              </w:rPr>
              <w:t>检查内容</w:t>
            </w:r>
          </w:p>
        </w:tc>
      </w:tr>
      <w:tr w14:paraId="02C4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restart"/>
            <w:tcBorders>
              <w:top w:val="single" w:color="auto" w:sz="4" w:space="0"/>
              <w:left w:val="single" w:color="auto" w:sz="4" w:space="0"/>
              <w:bottom w:val="single" w:color="auto" w:sz="4" w:space="0"/>
              <w:right w:val="single" w:color="auto" w:sz="4" w:space="0"/>
            </w:tcBorders>
            <w:vAlign w:val="center"/>
          </w:tcPr>
          <w:p w14:paraId="625E5B86">
            <w:pPr>
              <w:pStyle w:val="34"/>
              <w:bidi w:val="0"/>
              <w:rPr>
                <w:highlight w:val="none"/>
              </w:rPr>
            </w:pPr>
            <w:r>
              <w:rPr>
                <w:rFonts w:hint="eastAsia"/>
                <w:highlight w:val="none"/>
              </w:rPr>
              <w:t>（一）</w:t>
            </w:r>
          </w:p>
        </w:tc>
        <w:tc>
          <w:tcPr>
            <w:tcW w:w="574" w:type="dxa"/>
            <w:vMerge w:val="restart"/>
            <w:tcBorders>
              <w:top w:val="single" w:color="auto" w:sz="4" w:space="0"/>
              <w:left w:val="single" w:color="auto" w:sz="4" w:space="0"/>
              <w:bottom w:val="single" w:color="auto" w:sz="4" w:space="0"/>
              <w:right w:val="single" w:color="auto" w:sz="4" w:space="0"/>
            </w:tcBorders>
            <w:vAlign w:val="center"/>
          </w:tcPr>
          <w:p w14:paraId="4945B0E2">
            <w:pPr>
              <w:pStyle w:val="34"/>
              <w:bidi w:val="0"/>
              <w:rPr>
                <w:highlight w:val="none"/>
              </w:rPr>
            </w:pPr>
            <w:r>
              <w:rPr>
                <w:rFonts w:hint="eastAsia"/>
                <w:highlight w:val="none"/>
              </w:rPr>
              <w:t>投标人应符合的基本资格条件</w:t>
            </w:r>
          </w:p>
        </w:tc>
        <w:tc>
          <w:tcPr>
            <w:tcW w:w="3297" w:type="dxa"/>
            <w:tcBorders>
              <w:top w:val="single" w:color="auto" w:sz="4" w:space="0"/>
              <w:left w:val="single" w:color="auto" w:sz="4" w:space="0"/>
              <w:bottom w:val="single" w:color="auto" w:sz="4" w:space="0"/>
              <w:right w:val="single" w:color="auto" w:sz="4" w:space="0"/>
            </w:tcBorders>
            <w:vAlign w:val="center"/>
          </w:tcPr>
          <w:p w14:paraId="66EB903B">
            <w:pPr>
              <w:bidi w:val="0"/>
              <w:rPr>
                <w:highlight w:val="none"/>
              </w:rPr>
            </w:pPr>
            <w:r>
              <w:rPr>
                <w:rFonts w:hint="eastAsia"/>
                <w:highlight w:val="none"/>
              </w:rPr>
              <w:t>1.具有独立承担民事责任的能力</w:t>
            </w:r>
          </w:p>
        </w:tc>
        <w:tc>
          <w:tcPr>
            <w:tcW w:w="5041" w:type="dxa"/>
            <w:tcBorders>
              <w:top w:val="single" w:color="auto" w:sz="4" w:space="0"/>
              <w:left w:val="single" w:color="auto" w:sz="4" w:space="0"/>
              <w:bottom w:val="single" w:color="auto" w:sz="4" w:space="0"/>
              <w:right w:val="single" w:color="auto" w:sz="4" w:space="0"/>
            </w:tcBorders>
            <w:vAlign w:val="center"/>
          </w:tcPr>
          <w:p w14:paraId="380AFE88">
            <w:pPr>
              <w:bidi w:val="0"/>
              <w:rPr>
                <w:highlight w:val="none"/>
              </w:rPr>
            </w:pPr>
            <w:r>
              <w:rPr>
                <w:rFonts w:hint="eastAsia"/>
                <w:highlight w:val="none"/>
              </w:rPr>
              <w:t>1.投标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14:paraId="2E7FDC09">
            <w:pPr>
              <w:bidi w:val="0"/>
              <w:rPr>
                <w:rFonts w:hint="eastAsia"/>
                <w:highlight w:val="none"/>
                <w:lang w:eastAsia="zh-CN"/>
              </w:rPr>
            </w:pPr>
            <w:r>
              <w:rPr>
                <w:rFonts w:hint="eastAsia"/>
                <w:highlight w:val="none"/>
              </w:rPr>
              <w:t>2.如为分支机构投标的，须提供其总公司“营业执照”副本复印件和总公司对投标人参与本项目投标的授权书原件。</w:t>
            </w:r>
          </w:p>
        </w:tc>
      </w:tr>
      <w:tr w14:paraId="0FB2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tcBorders>
              <w:top w:val="single" w:color="auto" w:sz="4" w:space="0"/>
              <w:left w:val="single" w:color="auto" w:sz="4" w:space="0"/>
              <w:bottom w:val="single" w:color="auto" w:sz="4" w:space="0"/>
              <w:right w:val="single" w:color="auto" w:sz="4" w:space="0"/>
            </w:tcBorders>
            <w:vAlign w:val="center"/>
          </w:tcPr>
          <w:p w14:paraId="45389DBE">
            <w:pPr>
              <w:pStyle w:val="34"/>
              <w:bidi w:val="0"/>
              <w:rPr>
                <w:highlight w:val="none"/>
              </w:rPr>
            </w:pPr>
          </w:p>
        </w:tc>
        <w:tc>
          <w:tcPr>
            <w:tcW w:w="574" w:type="dxa"/>
            <w:vMerge w:val="continue"/>
            <w:tcBorders>
              <w:top w:val="single" w:color="auto" w:sz="4" w:space="0"/>
              <w:left w:val="single" w:color="auto" w:sz="4" w:space="0"/>
              <w:bottom w:val="single" w:color="auto" w:sz="4" w:space="0"/>
              <w:right w:val="single" w:color="auto" w:sz="4" w:space="0"/>
            </w:tcBorders>
            <w:vAlign w:val="center"/>
          </w:tcPr>
          <w:p w14:paraId="79E24853">
            <w:pPr>
              <w:pStyle w:val="34"/>
              <w:bidi w:val="0"/>
              <w:rPr>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5E3B67DF">
            <w:pPr>
              <w:bidi w:val="0"/>
              <w:rPr>
                <w:highlight w:val="none"/>
              </w:rPr>
            </w:pPr>
            <w:r>
              <w:rPr>
                <w:rFonts w:hint="eastAsia"/>
                <w:highlight w:val="none"/>
              </w:rPr>
              <w:t>2.具有良好的商业信誉和健全的财务会计制度</w:t>
            </w:r>
          </w:p>
        </w:tc>
        <w:tc>
          <w:tcPr>
            <w:tcW w:w="5041" w:type="dxa"/>
            <w:tcBorders>
              <w:top w:val="single" w:color="auto" w:sz="4" w:space="0"/>
              <w:left w:val="single" w:color="auto" w:sz="4" w:space="0"/>
              <w:bottom w:val="single" w:color="auto" w:sz="4" w:space="0"/>
              <w:right w:val="single" w:color="auto" w:sz="4" w:space="0"/>
            </w:tcBorders>
            <w:vAlign w:val="center"/>
          </w:tcPr>
          <w:p w14:paraId="39B217BE">
            <w:pPr>
              <w:bidi w:val="0"/>
              <w:rPr>
                <w:highlight w:val="none"/>
              </w:rPr>
            </w:pPr>
            <w:r>
              <w:rPr>
                <w:rFonts w:hint="eastAsia"/>
                <w:highlight w:val="none"/>
              </w:rPr>
              <w:t>提供下列1或2的证明材料。</w:t>
            </w:r>
          </w:p>
          <w:p w14:paraId="35FBCCBB">
            <w:pPr>
              <w:bidi w:val="0"/>
              <w:rPr>
                <w:highlight w:val="none"/>
              </w:rPr>
            </w:pPr>
            <w:r>
              <w:rPr>
                <w:rFonts w:hint="eastAsia"/>
                <w:highlight w:val="none"/>
              </w:rPr>
              <w:t>1.提供202</w:t>
            </w:r>
            <w:r>
              <w:rPr>
                <w:rFonts w:hint="eastAsia"/>
                <w:highlight w:val="none"/>
                <w:lang w:val="en-US" w:eastAsia="zh-CN"/>
              </w:rPr>
              <w:t>3</w:t>
            </w:r>
            <w:r>
              <w:rPr>
                <w:rFonts w:hint="eastAsia"/>
                <w:highlight w:val="none"/>
              </w:rPr>
              <w:t>年</w:t>
            </w:r>
            <w:r>
              <w:rPr>
                <w:rFonts w:hint="eastAsia"/>
                <w:highlight w:val="none"/>
                <w:lang w:val="en-US" w:eastAsia="zh-CN"/>
              </w:rPr>
              <w:t>或2024年</w:t>
            </w:r>
            <w:r>
              <w:rPr>
                <w:rFonts w:hint="eastAsia"/>
                <w:highlight w:val="none"/>
              </w:rPr>
              <w:t>财务状况报告复印件</w:t>
            </w:r>
          </w:p>
          <w:p w14:paraId="10E07215">
            <w:pPr>
              <w:bidi w:val="0"/>
              <w:rPr>
                <w:highlight w:val="none"/>
              </w:rPr>
            </w:pPr>
            <w:r>
              <w:rPr>
                <w:rFonts w:hint="eastAsia"/>
                <w:highlight w:val="none"/>
              </w:rPr>
              <w:t>①可以是经会计师事务所审计的财务报告，或是本公司出具的财务报表（供应商执行《企业会计准则》的，提供资产负债表、利润表、现金流量表、所有者权益变动表及其附注；供应商执行《小企业会计准则》的，提供资产负债表、利润表、现金流量表及其附注；供应商执行《政府会计制度》的，提供资产负债表、收入费用表和净资产变动表及其附注）；</w:t>
            </w:r>
          </w:p>
          <w:p w14:paraId="4B703816">
            <w:pPr>
              <w:bidi w:val="0"/>
              <w:rPr>
                <w:rFonts w:hint="eastAsia"/>
                <w:highlight w:val="none"/>
              </w:rPr>
            </w:pPr>
            <w:r>
              <w:rPr>
                <w:rFonts w:hint="eastAsia"/>
                <w:highlight w:val="none"/>
              </w:rPr>
              <w:t>②</w:t>
            </w:r>
            <w:r>
              <w:rPr>
                <w:rFonts w:hint="eastAsia"/>
                <w:highlight w:val="none"/>
                <w:lang w:val="en-US" w:eastAsia="zh-CN"/>
              </w:rPr>
              <w:t>供应商</w:t>
            </w:r>
            <w:r>
              <w:rPr>
                <w:rFonts w:hint="eastAsia"/>
                <w:highlight w:val="none"/>
              </w:rPr>
              <w:t>属于成立时间在规定年度之后的法人或其他组织，需提供成立之日起至提交投标文件截止时间前的月报表；</w:t>
            </w:r>
          </w:p>
          <w:p w14:paraId="36994ECD">
            <w:pPr>
              <w:bidi w:val="0"/>
              <w:rPr>
                <w:rFonts w:hint="eastAsia"/>
                <w:highlight w:val="none"/>
                <w:lang w:eastAsia="zh-CN"/>
              </w:rPr>
            </w:pPr>
            <w:r>
              <w:rPr>
                <w:rFonts w:hint="eastAsia"/>
                <w:highlight w:val="none"/>
              </w:rPr>
              <w:t>2.银行出具的资信证明（资信证明指：反映投标人资金结算无异常，无违规透支，无理拒付、无逾期（垫款）和欠息等不良记录，结算纪律良好的相关证明，并非指存款证明。如所提供该证明仅为存款数额信息的将作无效证明处理，并按无效投标处理）。</w:t>
            </w:r>
          </w:p>
        </w:tc>
      </w:tr>
      <w:tr w14:paraId="430F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tcBorders>
              <w:top w:val="single" w:color="auto" w:sz="4" w:space="0"/>
              <w:left w:val="single" w:color="auto" w:sz="4" w:space="0"/>
              <w:bottom w:val="single" w:color="auto" w:sz="4" w:space="0"/>
              <w:right w:val="single" w:color="auto" w:sz="4" w:space="0"/>
            </w:tcBorders>
            <w:vAlign w:val="center"/>
          </w:tcPr>
          <w:p w14:paraId="65209E5A">
            <w:pPr>
              <w:pStyle w:val="34"/>
              <w:bidi w:val="0"/>
              <w:rPr>
                <w:highlight w:val="none"/>
              </w:rPr>
            </w:pPr>
          </w:p>
        </w:tc>
        <w:tc>
          <w:tcPr>
            <w:tcW w:w="574" w:type="dxa"/>
            <w:vMerge w:val="continue"/>
            <w:tcBorders>
              <w:top w:val="single" w:color="auto" w:sz="4" w:space="0"/>
              <w:left w:val="single" w:color="auto" w:sz="4" w:space="0"/>
              <w:bottom w:val="single" w:color="auto" w:sz="4" w:space="0"/>
              <w:right w:val="single" w:color="auto" w:sz="4" w:space="0"/>
            </w:tcBorders>
            <w:vAlign w:val="center"/>
          </w:tcPr>
          <w:p w14:paraId="0CD86E1C">
            <w:pPr>
              <w:pStyle w:val="34"/>
              <w:bidi w:val="0"/>
              <w:rPr>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4778A006">
            <w:pPr>
              <w:bidi w:val="0"/>
              <w:rPr>
                <w:highlight w:val="none"/>
              </w:rPr>
            </w:pPr>
            <w:r>
              <w:rPr>
                <w:rFonts w:hint="eastAsia"/>
                <w:highlight w:val="none"/>
              </w:rPr>
              <w:t>3.有依法缴纳税收和社会保障金的良好记录</w:t>
            </w:r>
          </w:p>
        </w:tc>
        <w:tc>
          <w:tcPr>
            <w:tcW w:w="5041" w:type="dxa"/>
            <w:tcBorders>
              <w:top w:val="single" w:color="auto" w:sz="4" w:space="0"/>
              <w:left w:val="single" w:color="auto" w:sz="4" w:space="0"/>
              <w:bottom w:val="single" w:color="auto" w:sz="4" w:space="0"/>
              <w:right w:val="single" w:color="auto" w:sz="4" w:space="0"/>
            </w:tcBorders>
            <w:vAlign w:val="center"/>
          </w:tcPr>
          <w:p w14:paraId="24A9139C">
            <w:pPr>
              <w:bidi w:val="0"/>
              <w:rPr>
                <w:rFonts w:hint="eastAsia"/>
                <w:highlight w:val="none"/>
              </w:rPr>
            </w:pPr>
            <w:r>
              <w:rPr>
                <w:rFonts w:hint="eastAsia"/>
                <w:highlight w:val="none"/>
              </w:rPr>
              <w:t>1.提供投标供应商依法缴纳税收的相关材料（</w:t>
            </w:r>
            <w:r>
              <w:rPr>
                <w:rFonts w:hint="eastAsia"/>
                <w:highlight w:val="none"/>
                <w:lang w:eastAsia="zh-CN"/>
              </w:rPr>
              <w:t>2024年</w:t>
            </w:r>
            <w:r>
              <w:rPr>
                <w:rFonts w:hint="eastAsia"/>
                <w:highlight w:val="none"/>
                <w:lang w:val="en-US" w:eastAsia="zh-CN"/>
              </w:rPr>
              <w:t>10</w:t>
            </w:r>
            <w:r>
              <w:rPr>
                <w:rFonts w:hint="eastAsia"/>
                <w:highlight w:val="none"/>
                <w:lang w:eastAsia="zh-CN"/>
              </w:rPr>
              <w:t>月至202</w:t>
            </w:r>
            <w:r>
              <w:rPr>
                <w:rFonts w:hint="eastAsia"/>
                <w:highlight w:val="none"/>
                <w:lang w:val="en-US" w:eastAsia="zh-CN"/>
              </w:rPr>
              <w:t>5</w:t>
            </w:r>
            <w:r>
              <w:rPr>
                <w:rFonts w:hint="eastAsia"/>
                <w:highlight w:val="none"/>
                <w:lang w:eastAsia="zh-CN"/>
              </w:rPr>
              <w:t>年</w:t>
            </w:r>
            <w:r>
              <w:rPr>
                <w:rFonts w:hint="eastAsia"/>
                <w:highlight w:val="none"/>
                <w:lang w:val="en-US" w:eastAsia="zh-CN"/>
              </w:rPr>
              <w:t>3</w:t>
            </w:r>
            <w:r>
              <w:rPr>
                <w:rFonts w:hint="eastAsia"/>
                <w:highlight w:val="none"/>
                <w:lang w:eastAsia="zh-CN"/>
              </w:rPr>
              <w:t>月</w:t>
            </w:r>
            <w:r>
              <w:rPr>
                <w:rFonts w:hint="eastAsia"/>
                <w:highlight w:val="none"/>
              </w:rPr>
              <w:t>内连续</w:t>
            </w:r>
            <w:r>
              <w:rPr>
                <w:highlight w:val="none"/>
              </w:rPr>
              <w:t xml:space="preserve"> 3</w:t>
            </w:r>
            <w:r>
              <w:rPr>
                <w:rFonts w:hint="eastAsia"/>
                <w:highlight w:val="none"/>
              </w:rPr>
              <w:t>个月的依法缴纳税收的证明材料（凭证或税务机关出具的证明）复印件（或扫描件）；依法免税的供应商，必须提供相应文件证明其依法免税。从成立之日起到投标文件提交截止时间止不足要求月数的，只需提供从成立之日起的依法缴纳税收相应证明文件）</w:t>
            </w:r>
          </w:p>
          <w:p w14:paraId="20B0A96A">
            <w:pPr>
              <w:bidi w:val="0"/>
              <w:rPr>
                <w:rFonts w:hint="eastAsia"/>
                <w:highlight w:val="none"/>
                <w:lang w:eastAsia="zh-CN"/>
              </w:rPr>
            </w:pPr>
            <w:r>
              <w:rPr>
                <w:rFonts w:hint="eastAsia"/>
                <w:highlight w:val="none"/>
              </w:rPr>
              <w:t>2.提供投标供应商依法缴纳社会保障资金的相关材料（</w:t>
            </w:r>
            <w:r>
              <w:rPr>
                <w:rFonts w:hint="eastAsia"/>
                <w:highlight w:val="none"/>
                <w:lang w:eastAsia="zh-CN"/>
              </w:rPr>
              <w:t>2024年</w:t>
            </w:r>
            <w:r>
              <w:rPr>
                <w:rFonts w:hint="eastAsia"/>
                <w:highlight w:val="none"/>
                <w:lang w:val="en-US" w:eastAsia="zh-CN"/>
              </w:rPr>
              <w:t>10</w:t>
            </w:r>
            <w:r>
              <w:rPr>
                <w:rFonts w:hint="eastAsia"/>
                <w:highlight w:val="none"/>
                <w:lang w:eastAsia="zh-CN"/>
              </w:rPr>
              <w:t>月至202</w:t>
            </w:r>
            <w:r>
              <w:rPr>
                <w:rFonts w:hint="eastAsia"/>
                <w:highlight w:val="none"/>
                <w:lang w:val="en-US" w:eastAsia="zh-CN"/>
              </w:rPr>
              <w:t>5</w:t>
            </w:r>
            <w:r>
              <w:rPr>
                <w:rFonts w:hint="eastAsia"/>
                <w:highlight w:val="none"/>
                <w:lang w:eastAsia="zh-CN"/>
              </w:rPr>
              <w:t>年</w:t>
            </w:r>
            <w:r>
              <w:rPr>
                <w:rFonts w:hint="eastAsia"/>
                <w:highlight w:val="none"/>
                <w:lang w:val="en-US" w:eastAsia="zh-CN"/>
              </w:rPr>
              <w:t>3</w:t>
            </w:r>
            <w:r>
              <w:rPr>
                <w:rFonts w:hint="eastAsia"/>
                <w:highlight w:val="none"/>
                <w:lang w:eastAsia="zh-CN"/>
              </w:rPr>
              <w:t>月</w:t>
            </w:r>
            <w:r>
              <w:rPr>
                <w:rFonts w:hint="eastAsia"/>
                <w:highlight w:val="none"/>
              </w:rPr>
              <w:t>内连续</w:t>
            </w:r>
            <w:r>
              <w:rPr>
                <w:highlight w:val="none"/>
              </w:rPr>
              <w:t>3</w:t>
            </w:r>
            <w:r>
              <w:rPr>
                <w:rFonts w:hint="eastAsia"/>
                <w:highlight w:val="none"/>
              </w:rPr>
              <w:t>个月的依法缴纳社会保障资金的缴费凭证（专用收据或者社会保险缴纳清单或者社保部门出具的证明文件）复印件（或扫描件）；依法不需要缴纳社会保障资金的供应商，必须提供相应文件证明不需要缴纳社会保障资金；</w:t>
            </w:r>
            <w:r>
              <w:rPr>
                <w:highlight w:val="none"/>
              </w:rPr>
              <w:t>如投标人社保由上级公司缴纳的，须提供以下资料：上级公司营业执照副本复印件；上级公司出具的社保缴纳情况说明原件（附投标人拟投入人员名单）；上级公司于开标前最近一次</w:t>
            </w:r>
            <w:r>
              <w:rPr>
                <w:rFonts w:hint="eastAsia"/>
                <w:highlight w:val="none"/>
              </w:rPr>
              <w:t>社会保障资金的缴费凭证</w:t>
            </w:r>
            <w:r>
              <w:rPr>
                <w:highlight w:val="none"/>
              </w:rPr>
              <w:t>；上级公司于开标前最近一次缴纳社会保险的投标人拟投入人员明细；</w:t>
            </w:r>
            <w:r>
              <w:rPr>
                <w:rFonts w:hint="eastAsia"/>
                <w:highlight w:val="none"/>
              </w:rPr>
              <w:t>从成立之日起到投标文件提交截止时间止不足要求月数的只需提供从成立之日起的依法缴纳社会保障资金的相应证明文件）；</w:t>
            </w:r>
          </w:p>
        </w:tc>
      </w:tr>
      <w:tr w14:paraId="7CF1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6" w:type="dxa"/>
            <w:vMerge w:val="continue"/>
            <w:tcBorders>
              <w:top w:val="single" w:color="auto" w:sz="4" w:space="0"/>
              <w:left w:val="single" w:color="auto" w:sz="4" w:space="0"/>
              <w:bottom w:val="single" w:color="auto" w:sz="4" w:space="0"/>
              <w:right w:val="single" w:color="auto" w:sz="4" w:space="0"/>
            </w:tcBorders>
            <w:vAlign w:val="center"/>
          </w:tcPr>
          <w:p w14:paraId="73A7F662">
            <w:pPr>
              <w:pStyle w:val="34"/>
              <w:bidi w:val="0"/>
              <w:rPr>
                <w:highlight w:val="none"/>
              </w:rPr>
            </w:pPr>
          </w:p>
        </w:tc>
        <w:tc>
          <w:tcPr>
            <w:tcW w:w="574" w:type="dxa"/>
            <w:vMerge w:val="continue"/>
            <w:tcBorders>
              <w:top w:val="single" w:color="auto" w:sz="4" w:space="0"/>
              <w:left w:val="single" w:color="auto" w:sz="4" w:space="0"/>
              <w:bottom w:val="single" w:color="auto" w:sz="4" w:space="0"/>
              <w:right w:val="single" w:color="auto" w:sz="4" w:space="0"/>
            </w:tcBorders>
            <w:vAlign w:val="center"/>
          </w:tcPr>
          <w:p w14:paraId="7FB104B4">
            <w:pPr>
              <w:pStyle w:val="34"/>
              <w:bidi w:val="0"/>
              <w:rPr>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5335FCE2">
            <w:pPr>
              <w:bidi w:val="0"/>
              <w:rPr>
                <w:highlight w:val="none"/>
              </w:rPr>
            </w:pPr>
            <w:r>
              <w:rPr>
                <w:rFonts w:hint="eastAsia"/>
                <w:highlight w:val="none"/>
              </w:rPr>
              <w:t>4.具有履行合同所必需的设备和专业技术能力</w:t>
            </w:r>
          </w:p>
        </w:tc>
        <w:tc>
          <w:tcPr>
            <w:tcW w:w="5041" w:type="dxa"/>
            <w:tcBorders>
              <w:top w:val="single" w:color="auto" w:sz="4" w:space="0"/>
              <w:left w:val="single" w:color="auto" w:sz="4" w:space="0"/>
              <w:bottom w:val="single" w:color="auto" w:sz="4" w:space="0"/>
              <w:right w:val="single" w:color="auto" w:sz="4" w:space="0"/>
            </w:tcBorders>
            <w:vAlign w:val="center"/>
          </w:tcPr>
          <w:p w14:paraId="73C45377">
            <w:pPr>
              <w:bidi w:val="0"/>
              <w:rPr>
                <w:rFonts w:hint="eastAsia"/>
                <w:highlight w:val="none"/>
              </w:rPr>
            </w:pPr>
            <w:r>
              <w:rPr>
                <w:rFonts w:hint="eastAsia"/>
                <w:highlight w:val="none"/>
              </w:rPr>
              <w:t>提供投标声明书或相关证明材料。</w:t>
            </w:r>
          </w:p>
        </w:tc>
      </w:tr>
      <w:tr w14:paraId="64E8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tcBorders>
              <w:top w:val="single" w:color="auto" w:sz="4" w:space="0"/>
              <w:left w:val="single" w:color="auto" w:sz="4" w:space="0"/>
              <w:bottom w:val="single" w:color="auto" w:sz="4" w:space="0"/>
              <w:right w:val="single" w:color="auto" w:sz="4" w:space="0"/>
            </w:tcBorders>
            <w:vAlign w:val="center"/>
          </w:tcPr>
          <w:p w14:paraId="04F5F997">
            <w:pPr>
              <w:pStyle w:val="34"/>
              <w:bidi w:val="0"/>
              <w:rPr>
                <w:highlight w:val="none"/>
              </w:rPr>
            </w:pPr>
          </w:p>
        </w:tc>
        <w:tc>
          <w:tcPr>
            <w:tcW w:w="574" w:type="dxa"/>
            <w:vMerge w:val="continue"/>
            <w:tcBorders>
              <w:top w:val="single" w:color="auto" w:sz="4" w:space="0"/>
              <w:left w:val="single" w:color="auto" w:sz="4" w:space="0"/>
              <w:bottom w:val="single" w:color="auto" w:sz="4" w:space="0"/>
              <w:right w:val="single" w:color="auto" w:sz="4" w:space="0"/>
            </w:tcBorders>
            <w:vAlign w:val="center"/>
          </w:tcPr>
          <w:p w14:paraId="409DDD5F">
            <w:pPr>
              <w:pStyle w:val="34"/>
              <w:bidi w:val="0"/>
              <w:rPr>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71FA4F86">
            <w:pPr>
              <w:bidi w:val="0"/>
              <w:rPr>
                <w:highlight w:val="none"/>
              </w:rPr>
            </w:pPr>
            <w:r>
              <w:rPr>
                <w:rFonts w:hint="eastAsia"/>
                <w:highlight w:val="none"/>
              </w:rPr>
              <w:t>5.参加政府采购活动前三年内，在经营活动中没有重大违法记录</w:t>
            </w:r>
          </w:p>
        </w:tc>
        <w:tc>
          <w:tcPr>
            <w:tcW w:w="5041" w:type="dxa"/>
            <w:tcBorders>
              <w:top w:val="single" w:color="auto" w:sz="4" w:space="0"/>
              <w:left w:val="single" w:color="auto" w:sz="4" w:space="0"/>
              <w:bottom w:val="single" w:color="auto" w:sz="4" w:space="0"/>
              <w:right w:val="single" w:color="auto" w:sz="4" w:space="0"/>
            </w:tcBorders>
            <w:vAlign w:val="center"/>
          </w:tcPr>
          <w:p w14:paraId="47A1FCBC">
            <w:pPr>
              <w:bidi w:val="0"/>
              <w:rPr>
                <w:highlight w:val="none"/>
              </w:rPr>
            </w:pPr>
            <w:r>
              <w:rPr>
                <w:rFonts w:hint="eastAsia"/>
                <w:highlight w:val="none"/>
              </w:rPr>
              <w:t>1. 提供参加政府采购活动前三年内在经营活动中没有重大违法记录和不良信用记录的书面声明书。</w:t>
            </w:r>
          </w:p>
          <w:p w14:paraId="2894AD39">
            <w:pPr>
              <w:bidi w:val="0"/>
              <w:rPr>
                <w:rFonts w:hint="eastAsia"/>
                <w:highlight w:val="none"/>
              </w:rPr>
            </w:pPr>
            <w:r>
              <w:rPr>
                <w:rFonts w:hint="eastAsia"/>
                <w:highlight w:val="none"/>
              </w:rPr>
              <w:t>2.采购人或采购代理机构在资格审查时，将通过“信用中国”网站(www.creditchina.gov.cn)、"中国政府采购网"(www.ccgp.gov.cn)等渠道查询投标人信用记录，对列入失信被执行人、</w:t>
            </w:r>
            <w:r>
              <w:rPr>
                <w:rFonts w:hint="eastAsia"/>
                <w:highlight w:val="none"/>
                <w:lang w:eastAsia="zh-CN"/>
              </w:rPr>
              <w:t>重大税收违法失信主体名单</w:t>
            </w:r>
            <w:r>
              <w:rPr>
                <w:rFonts w:hint="eastAsia"/>
                <w:highlight w:val="none"/>
              </w:rPr>
              <w:t>、政府采购严重违法失信行为记录名单的投标人将拒绝其参与政府采购活动。</w:t>
            </w:r>
          </w:p>
        </w:tc>
      </w:tr>
      <w:tr w14:paraId="5346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826" w:type="dxa"/>
            <w:vMerge w:val="continue"/>
            <w:tcBorders>
              <w:top w:val="single" w:color="auto" w:sz="4" w:space="0"/>
              <w:left w:val="single" w:color="auto" w:sz="4" w:space="0"/>
              <w:bottom w:val="single" w:color="auto" w:sz="4" w:space="0"/>
              <w:right w:val="single" w:color="auto" w:sz="4" w:space="0"/>
            </w:tcBorders>
            <w:vAlign w:val="center"/>
          </w:tcPr>
          <w:p w14:paraId="385975B1">
            <w:pPr>
              <w:pStyle w:val="34"/>
              <w:bidi w:val="0"/>
              <w:rPr>
                <w:highlight w:val="none"/>
              </w:rPr>
            </w:pPr>
          </w:p>
        </w:tc>
        <w:tc>
          <w:tcPr>
            <w:tcW w:w="574" w:type="dxa"/>
            <w:vMerge w:val="continue"/>
            <w:tcBorders>
              <w:top w:val="single" w:color="auto" w:sz="4" w:space="0"/>
              <w:left w:val="single" w:color="auto" w:sz="4" w:space="0"/>
              <w:bottom w:val="single" w:color="auto" w:sz="4" w:space="0"/>
              <w:right w:val="single" w:color="auto" w:sz="4" w:space="0"/>
            </w:tcBorders>
            <w:vAlign w:val="center"/>
          </w:tcPr>
          <w:p w14:paraId="73B4E004">
            <w:pPr>
              <w:pStyle w:val="34"/>
              <w:bidi w:val="0"/>
              <w:rPr>
                <w:highlight w:val="none"/>
              </w:rPr>
            </w:pPr>
          </w:p>
        </w:tc>
        <w:tc>
          <w:tcPr>
            <w:tcW w:w="3297" w:type="dxa"/>
            <w:tcBorders>
              <w:top w:val="single" w:color="auto" w:sz="4" w:space="0"/>
              <w:left w:val="single" w:color="auto" w:sz="4" w:space="0"/>
              <w:right w:val="single" w:color="auto" w:sz="4" w:space="0"/>
            </w:tcBorders>
            <w:vAlign w:val="center"/>
          </w:tcPr>
          <w:p w14:paraId="694674F4">
            <w:pPr>
              <w:bidi w:val="0"/>
              <w:rPr>
                <w:highlight w:val="none"/>
              </w:rPr>
            </w:pPr>
            <w:r>
              <w:rPr>
                <w:rFonts w:hint="eastAsia"/>
                <w:highlight w:val="none"/>
              </w:rPr>
              <w:t>6.法律、行政法规规定的其他条件</w:t>
            </w:r>
          </w:p>
        </w:tc>
        <w:tc>
          <w:tcPr>
            <w:tcW w:w="5041" w:type="dxa"/>
            <w:tcBorders>
              <w:top w:val="single" w:color="auto" w:sz="4" w:space="0"/>
              <w:left w:val="single" w:color="auto" w:sz="4" w:space="0"/>
              <w:bottom w:val="single" w:color="auto" w:sz="4" w:space="0"/>
              <w:right w:val="single" w:color="auto" w:sz="4" w:space="0"/>
            </w:tcBorders>
            <w:vAlign w:val="center"/>
          </w:tcPr>
          <w:p w14:paraId="473886A7">
            <w:pPr>
              <w:bidi w:val="0"/>
              <w:rPr>
                <w:rFonts w:hint="eastAsia"/>
                <w:highlight w:val="none"/>
              </w:rPr>
            </w:pPr>
            <w:r>
              <w:rPr>
                <w:rFonts w:hint="eastAsia"/>
                <w:highlight w:val="none"/>
              </w:rPr>
              <w:t>1.单位负责人为同一人或者存在直接控股、管理关系的不同供应商，不得参加同一合同项下的政府采购活动。</w:t>
            </w:r>
          </w:p>
          <w:p w14:paraId="49CE946A">
            <w:pPr>
              <w:bidi w:val="0"/>
              <w:rPr>
                <w:highlight w:val="none"/>
              </w:rPr>
            </w:pPr>
            <w:r>
              <w:rPr>
                <w:rFonts w:hint="eastAsia"/>
                <w:highlight w:val="none"/>
                <w:lang w:val="en-US" w:eastAsia="zh-CN"/>
              </w:rPr>
              <w:t>2</w:t>
            </w:r>
            <w:r>
              <w:rPr>
                <w:rFonts w:hint="eastAsia"/>
                <w:highlight w:val="none"/>
              </w:rPr>
              <w:t>.为本项目提供过整体设计、规范编制或者项目管理、监理、检测等服务的供应商，不得再参加本项目上述服务以外的其他采购活动。</w:t>
            </w:r>
          </w:p>
          <w:p w14:paraId="0F3AA58D">
            <w:pPr>
              <w:bidi w:val="0"/>
              <w:rPr>
                <w:rFonts w:hint="eastAsia"/>
                <w:highlight w:val="none"/>
                <w:lang w:eastAsia="zh-CN"/>
              </w:rPr>
            </w:pPr>
            <w:r>
              <w:rPr>
                <w:rFonts w:hint="eastAsia"/>
                <w:highlight w:val="none"/>
              </w:rPr>
              <w:t>提供投标声明书。</w:t>
            </w:r>
          </w:p>
        </w:tc>
      </w:tr>
      <w:tr w14:paraId="1530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vAlign w:val="center"/>
          </w:tcPr>
          <w:p w14:paraId="370C7C79">
            <w:pPr>
              <w:pStyle w:val="34"/>
              <w:bidi w:val="0"/>
              <w:rPr>
                <w:highlight w:val="none"/>
              </w:rPr>
            </w:pPr>
            <w:r>
              <w:rPr>
                <w:rFonts w:hint="eastAsia"/>
                <w:highlight w:val="none"/>
              </w:rPr>
              <w:t>（二）</w:t>
            </w:r>
          </w:p>
        </w:tc>
        <w:tc>
          <w:tcPr>
            <w:tcW w:w="3871" w:type="dxa"/>
            <w:gridSpan w:val="2"/>
            <w:tcBorders>
              <w:top w:val="single" w:color="auto" w:sz="4" w:space="0"/>
              <w:left w:val="single" w:color="auto" w:sz="4" w:space="0"/>
              <w:bottom w:val="single" w:color="auto" w:sz="4" w:space="0"/>
              <w:right w:val="single" w:color="auto" w:sz="4" w:space="0"/>
            </w:tcBorders>
            <w:vAlign w:val="center"/>
          </w:tcPr>
          <w:p w14:paraId="3DDAA391">
            <w:pPr>
              <w:bidi w:val="0"/>
              <w:rPr>
                <w:highlight w:val="none"/>
              </w:rPr>
            </w:pPr>
            <w:r>
              <w:rPr>
                <w:rFonts w:hint="eastAsia"/>
                <w:highlight w:val="none"/>
              </w:rPr>
              <w:t>落实政府采购政策需满足的资格要求</w:t>
            </w:r>
          </w:p>
        </w:tc>
        <w:tc>
          <w:tcPr>
            <w:tcW w:w="5041" w:type="dxa"/>
            <w:tcBorders>
              <w:top w:val="single" w:color="auto" w:sz="4" w:space="0"/>
              <w:left w:val="single" w:color="auto" w:sz="4" w:space="0"/>
              <w:bottom w:val="single" w:color="auto" w:sz="4" w:space="0"/>
              <w:right w:val="single" w:color="auto" w:sz="4" w:space="0"/>
            </w:tcBorders>
            <w:vAlign w:val="center"/>
          </w:tcPr>
          <w:p w14:paraId="5E7ED55B">
            <w:pPr>
              <w:bidi w:val="0"/>
              <w:rPr>
                <w:highlight w:val="none"/>
              </w:rPr>
            </w:pPr>
            <w:r>
              <w:rPr>
                <w:rFonts w:hint="eastAsia"/>
                <w:highlight w:val="none"/>
              </w:rPr>
              <w:t>按招标公告“二、申请人的资格要求2.落实政府采购政策需满足的资格要求”的要求提交（如果有）。</w:t>
            </w:r>
          </w:p>
        </w:tc>
      </w:tr>
      <w:tr w14:paraId="64F8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1BA63A1A">
            <w:pPr>
              <w:pStyle w:val="34"/>
              <w:bidi w:val="0"/>
              <w:rPr>
                <w:highlight w:val="none"/>
              </w:rPr>
            </w:pPr>
            <w:r>
              <w:rPr>
                <w:rFonts w:hint="eastAsia"/>
                <w:highlight w:val="none"/>
              </w:rPr>
              <w:t>（三）</w:t>
            </w:r>
          </w:p>
        </w:tc>
        <w:tc>
          <w:tcPr>
            <w:tcW w:w="3871" w:type="dxa"/>
            <w:gridSpan w:val="2"/>
            <w:tcBorders>
              <w:top w:val="single" w:color="auto" w:sz="4" w:space="0"/>
              <w:left w:val="single" w:color="auto" w:sz="4" w:space="0"/>
              <w:bottom w:val="single" w:color="auto" w:sz="4" w:space="0"/>
              <w:right w:val="single" w:color="auto" w:sz="4" w:space="0"/>
            </w:tcBorders>
            <w:vAlign w:val="center"/>
          </w:tcPr>
          <w:p w14:paraId="16534E1D">
            <w:pPr>
              <w:bidi w:val="0"/>
              <w:rPr>
                <w:highlight w:val="none"/>
              </w:rPr>
            </w:pPr>
            <w:r>
              <w:rPr>
                <w:rFonts w:hint="eastAsia"/>
                <w:highlight w:val="none"/>
              </w:rPr>
              <w:t>特定资格条件</w:t>
            </w:r>
          </w:p>
        </w:tc>
        <w:tc>
          <w:tcPr>
            <w:tcW w:w="5041" w:type="dxa"/>
            <w:tcBorders>
              <w:top w:val="single" w:color="auto" w:sz="4" w:space="0"/>
              <w:left w:val="single" w:color="auto" w:sz="4" w:space="0"/>
              <w:bottom w:val="single" w:color="auto" w:sz="4" w:space="0"/>
              <w:right w:val="single" w:color="auto" w:sz="4" w:space="0"/>
            </w:tcBorders>
            <w:vAlign w:val="center"/>
          </w:tcPr>
          <w:p w14:paraId="11CBD448">
            <w:pPr>
              <w:bidi w:val="0"/>
              <w:rPr>
                <w:highlight w:val="none"/>
              </w:rPr>
            </w:pPr>
            <w:r>
              <w:rPr>
                <w:rFonts w:hint="eastAsia"/>
                <w:highlight w:val="none"/>
              </w:rPr>
              <w:t>按招标公告“二、申请人的资格要求3.本项目的特定资格要求”的要求提交（如有）。</w:t>
            </w:r>
          </w:p>
        </w:tc>
      </w:tr>
      <w:tr w14:paraId="0338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vAlign w:val="center"/>
          </w:tcPr>
          <w:p w14:paraId="29F75B5A">
            <w:pPr>
              <w:pStyle w:val="34"/>
              <w:bidi w:val="0"/>
              <w:rPr>
                <w:rFonts w:hint="eastAsia" w:eastAsia="宋体"/>
                <w:highlight w:val="none"/>
                <w:lang w:eastAsia="zh-CN"/>
              </w:rPr>
            </w:pPr>
            <w:r>
              <w:rPr>
                <w:rFonts w:hint="eastAsia"/>
                <w:highlight w:val="none"/>
                <w:lang w:eastAsia="zh-CN"/>
              </w:rPr>
              <w:t>（</w:t>
            </w:r>
            <w:r>
              <w:rPr>
                <w:rFonts w:hint="eastAsia"/>
                <w:highlight w:val="none"/>
                <w:lang w:val="en-US" w:eastAsia="zh-CN"/>
              </w:rPr>
              <w:t>四</w:t>
            </w:r>
            <w:r>
              <w:rPr>
                <w:rFonts w:hint="eastAsia"/>
                <w:highlight w:val="none"/>
                <w:lang w:eastAsia="zh-CN"/>
              </w:rPr>
              <w:t>）</w:t>
            </w:r>
          </w:p>
        </w:tc>
        <w:tc>
          <w:tcPr>
            <w:tcW w:w="3871" w:type="dxa"/>
            <w:gridSpan w:val="2"/>
            <w:tcBorders>
              <w:top w:val="single" w:color="auto" w:sz="4" w:space="0"/>
              <w:left w:val="single" w:color="auto" w:sz="4" w:space="0"/>
              <w:bottom w:val="single" w:color="auto" w:sz="4" w:space="0"/>
              <w:right w:val="single" w:color="auto" w:sz="4" w:space="0"/>
            </w:tcBorders>
            <w:vAlign w:val="center"/>
          </w:tcPr>
          <w:p w14:paraId="3BAFFCF6">
            <w:pPr>
              <w:bidi w:val="0"/>
              <w:rPr>
                <w:rFonts w:hint="default" w:eastAsia="宋体"/>
                <w:highlight w:val="none"/>
                <w:lang w:val="en-US" w:eastAsia="zh-CN"/>
              </w:rPr>
            </w:pPr>
            <w:r>
              <w:rPr>
                <w:rFonts w:hint="eastAsia"/>
                <w:highlight w:val="none"/>
                <w:lang w:val="en-US" w:eastAsia="zh-CN"/>
              </w:rPr>
              <w:t>其他要求</w:t>
            </w:r>
          </w:p>
        </w:tc>
        <w:tc>
          <w:tcPr>
            <w:tcW w:w="5041" w:type="dxa"/>
            <w:tcBorders>
              <w:top w:val="single" w:color="auto" w:sz="4" w:space="0"/>
              <w:left w:val="single" w:color="auto" w:sz="4" w:space="0"/>
              <w:bottom w:val="single" w:color="auto" w:sz="4" w:space="0"/>
              <w:right w:val="single" w:color="auto" w:sz="4" w:space="0"/>
            </w:tcBorders>
            <w:vAlign w:val="center"/>
          </w:tcPr>
          <w:p w14:paraId="4E1298E7">
            <w:pPr>
              <w:bidi w:val="0"/>
              <w:rPr>
                <w:rFonts w:hint="eastAsia"/>
                <w:highlight w:val="none"/>
              </w:rPr>
            </w:pPr>
            <w:r>
              <w:rPr>
                <w:rFonts w:hint="eastAsia"/>
                <w:highlight w:val="none"/>
              </w:rPr>
              <w:t>投标人直接控股、管理关系信息表(按第六章要求格式填写)</w:t>
            </w:r>
          </w:p>
        </w:tc>
      </w:tr>
    </w:tbl>
    <w:p w14:paraId="54E3E10A">
      <w:pPr>
        <w:pageBreakBefore w:val="0"/>
        <w:kinsoku/>
        <w:wordWrap w:val="0"/>
        <w:overflowPunct/>
        <w:topLinePunct/>
        <w:autoSpaceDE w:val="0"/>
        <w:autoSpaceDN w:val="0"/>
        <w:bidi w:val="0"/>
        <w:rPr>
          <w:highlight w:val="none"/>
        </w:rPr>
      </w:pPr>
    </w:p>
    <w:p w14:paraId="06B4788D">
      <w:pPr>
        <w:pStyle w:val="12"/>
        <w:pageBreakBefore w:val="0"/>
        <w:kinsoku/>
        <w:wordWrap w:val="0"/>
        <w:overflowPunct/>
        <w:topLinePunct/>
        <w:autoSpaceDE w:val="0"/>
        <w:autoSpaceDN w:val="0"/>
        <w:bidi w:val="0"/>
        <w:snapToGrid w:val="0"/>
        <w:spacing w:line="360" w:lineRule="exact"/>
        <w:ind w:firstLine="400" w:firstLineChars="200"/>
        <w:rPr>
          <w:rFonts w:hint="eastAsia" w:hAnsi="宋体"/>
          <w:highlight w:val="none"/>
        </w:rPr>
        <w:sectPr>
          <w:pgSz w:w="11906" w:h="16839"/>
          <w:pgMar w:top="400" w:right="994" w:bottom="1156" w:left="1255" w:header="0" w:footer="994" w:gutter="0"/>
          <w:pgNumType w:fmt="decimal"/>
          <w:cols w:space="720" w:num="1"/>
        </w:sectPr>
      </w:pPr>
    </w:p>
    <w:p w14:paraId="4B6BD9CC">
      <w:pPr>
        <w:pStyle w:val="36"/>
        <w:bidi w:val="0"/>
        <w:rPr>
          <w:highlight w:val="none"/>
        </w:rPr>
      </w:pPr>
      <w:r>
        <w:rPr>
          <w:rFonts w:hint="eastAsia"/>
          <w:highlight w:val="none"/>
        </w:rPr>
        <w:t>（二）符合性审查</w:t>
      </w:r>
    </w:p>
    <w:p w14:paraId="64716F96">
      <w:pPr>
        <w:bidi w:val="0"/>
        <w:rPr>
          <w:highlight w:val="none"/>
        </w:rPr>
      </w:pPr>
      <w:r>
        <w:rPr>
          <w:rFonts w:hint="eastAsia"/>
          <w:highlight w:val="none"/>
        </w:rPr>
        <w:t>评标委员会根据采购文件要求各投标人投标文件的有效性、完整性、响应性等进行审查，以确定是否对采购文件的实质性要求作出响应。</w:t>
      </w:r>
    </w:p>
    <w:tbl>
      <w:tblPr>
        <w:tblStyle w:val="2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02"/>
        <w:gridCol w:w="6663"/>
      </w:tblGrid>
      <w:tr w14:paraId="095A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CCFDBB1">
            <w:pPr>
              <w:pStyle w:val="34"/>
              <w:bidi w:val="0"/>
              <w:rPr>
                <w:highlight w:val="none"/>
              </w:rPr>
            </w:pPr>
            <w:r>
              <w:rPr>
                <w:rFonts w:hint="eastAsia"/>
                <w:highlight w:val="none"/>
              </w:rPr>
              <w:t>序号</w:t>
            </w:r>
          </w:p>
        </w:tc>
        <w:tc>
          <w:tcPr>
            <w:tcW w:w="2302" w:type="dxa"/>
            <w:tcBorders>
              <w:top w:val="single" w:color="auto" w:sz="4" w:space="0"/>
              <w:left w:val="single" w:color="auto" w:sz="4" w:space="0"/>
              <w:bottom w:val="single" w:color="auto" w:sz="4" w:space="0"/>
              <w:right w:val="single" w:color="auto" w:sz="4" w:space="0"/>
            </w:tcBorders>
            <w:vAlign w:val="center"/>
          </w:tcPr>
          <w:p w14:paraId="30999A29">
            <w:pPr>
              <w:pStyle w:val="34"/>
              <w:bidi w:val="0"/>
              <w:rPr>
                <w:highlight w:val="none"/>
              </w:rPr>
            </w:pPr>
            <w:r>
              <w:rPr>
                <w:rFonts w:hint="eastAsia"/>
                <w:highlight w:val="none"/>
              </w:rPr>
              <w:t>评审因素</w:t>
            </w:r>
          </w:p>
        </w:tc>
        <w:tc>
          <w:tcPr>
            <w:tcW w:w="6663" w:type="dxa"/>
            <w:tcBorders>
              <w:top w:val="single" w:color="auto" w:sz="4" w:space="0"/>
              <w:left w:val="single" w:color="auto" w:sz="4" w:space="0"/>
              <w:bottom w:val="single" w:color="auto" w:sz="4" w:space="0"/>
              <w:right w:val="single" w:color="auto" w:sz="4" w:space="0"/>
            </w:tcBorders>
            <w:vAlign w:val="center"/>
          </w:tcPr>
          <w:p w14:paraId="1BDDE4F0">
            <w:pPr>
              <w:pStyle w:val="34"/>
              <w:bidi w:val="0"/>
              <w:rPr>
                <w:highlight w:val="none"/>
              </w:rPr>
            </w:pPr>
            <w:r>
              <w:rPr>
                <w:rFonts w:hint="eastAsia"/>
                <w:highlight w:val="none"/>
              </w:rPr>
              <w:t>评审标准</w:t>
            </w:r>
          </w:p>
        </w:tc>
      </w:tr>
      <w:tr w14:paraId="1DAF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62CF367">
            <w:pPr>
              <w:pStyle w:val="34"/>
              <w:bidi w:val="0"/>
              <w:rPr>
                <w:highlight w:val="none"/>
              </w:rPr>
            </w:pPr>
            <w:r>
              <w:rPr>
                <w:rFonts w:hint="eastAsia"/>
                <w:highlight w:val="none"/>
              </w:rPr>
              <w:t>1</w:t>
            </w:r>
          </w:p>
        </w:tc>
        <w:tc>
          <w:tcPr>
            <w:tcW w:w="2302" w:type="dxa"/>
            <w:tcBorders>
              <w:top w:val="single" w:color="auto" w:sz="4" w:space="0"/>
              <w:left w:val="single" w:color="auto" w:sz="4" w:space="0"/>
              <w:bottom w:val="single" w:color="auto" w:sz="4" w:space="0"/>
              <w:right w:val="single" w:color="auto" w:sz="4" w:space="0"/>
            </w:tcBorders>
            <w:vAlign w:val="center"/>
          </w:tcPr>
          <w:p w14:paraId="4E3D6A1E">
            <w:pPr>
              <w:pStyle w:val="34"/>
              <w:bidi w:val="0"/>
              <w:rPr>
                <w:highlight w:val="none"/>
              </w:rPr>
            </w:pPr>
            <w:r>
              <w:rPr>
                <w:rFonts w:hint="eastAsia"/>
                <w:highlight w:val="none"/>
              </w:rPr>
              <w:t>商务文件审查</w:t>
            </w:r>
          </w:p>
        </w:tc>
        <w:tc>
          <w:tcPr>
            <w:tcW w:w="6663" w:type="dxa"/>
            <w:tcBorders>
              <w:top w:val="single" w:color="auto" w:sz="4" w:space="0"/>
              <w:left w:val="single" w:color="auto" w:sz="4" w:space="0"/>
              <w:bottom w:val="single" w:color="auto" w:sz="4" w:space="0"/>
              <w:right w:val="single" w:color="auto" w:sz="4" w:space="0"/>
            </w:tcBorders>
            <w:vAlign w:val="center"/>
          </w:tcPr>
          <w:p w14:paraId="32256BC0">
            <w:pPr>
              <w:bidi w:val="0"/>
              <w:rPr>
                <w:highlight w:val="none"/>
              </w:rPr>
            </w:pPr>
            <w:r>
              <w:rPr>
                <w:rFonts w:hint="eastAsia"/>
                <w:highlight w:val="none"/>
              </w:rPr>
              <w:t>1.投标文件未按招标文件要求签署、盖章的。</w:t>
            </w:r>
          </w:p>
          <w:p w14:paraId="0B840B3A">
            <w:pPr>
              <w:bidi w:val="0"/>
              <w:rPr>
                <w:highlight w:val="none"/>
              </w:rPr>
            </w:pPr>
            <w:r>
              <w:rPr>
                <w:rFonts w:hint="eastAsia"/>
                <w:highlight w:val="none"/>
              </w:rPr>
              <w:t>2.投标代表人未能出具身份证明或与法定代表人授权委托人身份不符的。</w:t>
            </w:r>
          </w:p>
          <w:p w14:paraId="2EC979A7">
            <w:pPr>
              <w:bidi w:val="0"/>
              <w:rPr>
                <w:highlight w:val="none"/>
              </w:rPr>
            </w:pPr>
            <w:r>
              <w:rPr>
                <w:rFonts w:hint="eastAsia"/>
                <w:highlight w:val="none"/>
              </w:rPr>
              <w:t>3.未按照招标文件的规定足额交纳投标保证金的。</w:t>
            </w:r>
          </w:p>
          <w:p w14:paraId="787389FE">
            <w:pPr>
              <w:bidi w:val="0"/>
              <w:rPr>
                <w:highlight w:val="none"/>
              </w:rPr>
            </w:pPr>
            <w:r>
              <w:rPr>
                <w:rFonts w:hint="eastAsia"/>
                <w:highlight w:val="none"/>
              </w:rPr>
              <w:t>4.未提供招标文件中“（一）投标文件的组成2.商务文件”要求必须提供的资料的；</w:t>
            </w:r>
          </w:p>
          <w:p w14:paraId="0C1EEEBF">
            <w:pPr>
              <w:bidi w:val="0"/>
              <w:rPr>
                <w:highlight w:val="none"/>
              </w:rPr>
            </w:pPr>
            <w:r>
              <w:rPr>
                <w:rFonts w:hint="eastAsia"/>
                <w:highlight w:val="none"/>
              </w:rPr>
              <w:t>5. 投标有效期、交货时间、质保期等商务条款不能满足招标文件要求的；</w:t>
            </w:r>
          </w:p>
          <w:p w14:paraId="0F143FDE">
            <w:pPr>
              <w:bidi w:val="0"/>
              <w:rPr>
                <w:highlight w:val="none"/>
              </w:rPr>
            </w:pPr>
            <w:r>
              <w:rPr>
                <w:rFonts w:hint="eastAsia"/>
                <w:highlight w:val="none"/>
              </w:rPr>
              <w:t>6.投标文件的实质性内容未使用中文表述、意思表述不明确、前后矛盾或者使用计量单位不符合招标文件要求的（经评标委员会认定并允许其当场更正的笔误除外）；</w:t>
            </w:r>
          </w:p>
          <w:p w14:paraId="0094B653">
            <w:pPr>
              <w:bidi w:val="0"/>
              <w:rPr>
                <w:highlight w:val="none"/>
              </w:rPr>
            </w:pPr>
            <w:r>
              <w:rPr>
                <w:rFonts w:hint="eastAsia"/>
                <w:highlight w:val="none"/>
              </w:rPr>
              <w:t>7.投标文件中的文件资料因填写不齐全或者内容虚假或者出现其他情形而导致被评标委员会认定无效的；</w:t>
            </w:r>
          </w:p>
          <w:p w14:paraId="166EFE86">
            <w:pPr>
              <w:bidi w:val="0"/>
              <w:rPr>
                <w:highlight w:val="none"/>
              </w:rPr>
            </w:pPr>
            <w:r>
              <w:rPr>
                <w:rFonts w:hint="eastAsia"/>
                <w:highlight w:val="none"/>
              </w:rPr>
              <w:t>8.投标文件未实质性响应招标文件要求或者投标文件有招标方不能接受的附加条件的。；</w:t>
            </w:r>
          </w:p>
          <w:p w14:paraId="03FF2E6E">
            <w:pPr>
              <w:bidi w:val="0"/>
              <w:rPr>
                <w:highlight w:val="none"/>
              </w:rPr>
            </w:pPr>
            <w:r>
              <w:rPr>
                <w:rFonts w:hint="eastAsia"/>
                <w:highlight w:val="none"/>
              </w:rPr>
              <w:t>9.属于投标人须知正文（八）特别说明第6点情形的；</w:t>
            </w:r>
          </w:p>
          <w:p w14:paraId="4C1486B4">
            <w:pPr>
              <w:bidi w:val="0"/>
              <w:rPr>
                <w:highlight w:val="none"/>
              </w:rPr>
            </w:pPr>
            <w:r>
              <w:rPr>
                <w:rFonts w:hint="eastAsia"/>
                <w:highlight w:val="none"/>
              </w:rPr>
              <w:t>10.法律、法规和招标文件规定的其他无效情形。</w:t>
            </w:r>
          </w:p>
        </w:tc>
      </w:tr>
      <w:tr w14:paraId="2655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F5AFA5D">
            <w:pPr>
              <w:pStyle w:val="34"/>
              <w:bidi w:val="0"/>
              <w:rPr>
                <w:highlight w:val="none"/>
              </w:rPr>
            </w:pPr>
            <w:r>
              <w:rPr>
                <w:rFonts w:hint="eastAsia"/>
                <w:highlight w:val="none"/>
              </w:rPr>
              <w:t>2</w:t>
            </w:r>
          </w:p>
        </w:tc>
        <w:tc>
          <w:tcPr>
            <w:tcW w:w="2302" w:type="dxa"/>
            <w:tcBorders>
              <w:top w:val="single" w:color="auto" w:sz="4" w:space="0"/>
              <w:left w:val="single" w:color="auto" w:sz="4" w:space="0"/>
              <w:bottom w:val="single" w:color="auto" w:sz="4" w:space="0"/>
              <w:right w:val="single" w:color="auto" w:sz="4" w:space="0"/>
            </w:tcBorders>
            <w:vAlign w:val="center"/>
          </w:tcPr>
          <w:p w14:paraId="532A940B">
            <w:pPr>
              <w:pStyle w:val="34"/>
              <w:bidi w:val="0"/>
              <w:rPr>
                <w:highlight w:val="none"/>
              </w:rPr>
            </w:pPr>
            <w:r>
              <w:rPr>
                <w:rFonts w:hint="eastAsia"/>
                <w:highlight w:val="none"/>
              </w:rPr>
              <w:t>技术文件审查</w:t>
            </w:r>
          </w:p>
        </w:tc>
        <w:tc>
          <w:tcPr>
            <w:tcW w:w="6663" w:type="dxa"/>
            <w:tcBorders>
              <w:top w:val="single" w:color="auto" w:sz="4" w:space="0"/>
              <w:left w:val="single" w:color="auto" w:sz="4" w:space="0"/>
              <w:bottom w:val="single" w:color="auto" w:sz="4" w:space="0"/>
              <w:right w:val="single" w:color="auto" w:sz="4" w:space="0"/>
            </w:tcBorders>
            <w:vAlign w:val="center"/>
          </w:tcPr>
          <w:p w14:paraId="5C1C572F">
            <w:pPr>
              <w:bidi w:val="0"/>
              <w:rPr>
                <w:highlight w:val="none"/>
              </w:rPr>
            </w:pPr>
            <w:r>
              <w:rPr>
                <w:rFonts w:hint="eastAsia"/>
                <w:highlight w:val="none"/>
              </w:rPr>
              <w:t>1.明显不符合招标文件要求的规格型号、质量标准和采购需求的，或者与招标文件中标“▲”的技术指标、主要功能项目发生实质性偏离的；</w:t>
            </w:r>
          </w:p>
          <w:p w14:paraId="09D12BDA">
            <w:pPr>
              <w:bidi w:val="0"/>
              <w:rPr>
                <w:highlight w:val="none"/>
              </w:rPr>
            </w:pPr>
            <w:r>
              <w:rPr>
                <w:rFonts w:hint="eastAsia"/>
                <w:highlight w:val="none"/>
                <w:lang w:val="en-US" w:eastAsia="zh-CN"/>
              </w:rPr>
              <w:t>2</w:t>
            </w:r>
            <w:r>
              <w:rPr>
                <w:rFonts w:hint="eastAsia"/>
                <w:highlight w:val="none"/>
              </w:rPr>
              <w:t>.未提供或未如实提供投标货物的技术参数，或者投标文件标明的响应或偏离与事实不符或虚假投标的；</w:t>
            </w:r>
          </w:p>
          <w:p w14:paraId="0CB350BA">
            <w:pPr>
              <w:bidi w:val="0"/>
              <w:rPr>
                <w:highlight w:val="none"/>
              </w:rPr>
            </w:pPr>
            <w:r>
              <w:rPr>
                <w:rFonts w:hint="eastAsia"/>
                <w:highlight w:val="none"/>
                <w:lang w:val="en-US" w:eastAsia="zh-CN"/>
              </w:rPr>
              <w:t>3</w:t>
            </w:r>
            <w:r>
              <w:rPr>
                <w:rFonts w:hint="eastAsia"/>
                <w:highlight w:val="none"/>
              </w:rPr>
              <w:t>.未提供招标文件中“（一）投标文件的组成3.技术文件”要求必须提供的资料的；</w:t>
            </w:r>
          </w:p>
          <w:p w14:paraId="6C111FC4">
            <w:pPr>
              <w:bidi w:val="0"/>
              <w:rPr>
                <w:highlight w:val="none"/>
              </w:rPr>
            </w:pPr>
            <w:r>
              <w:rPr>
                <w:rFonts w:hint="eastAsia"/>
                <w:highlight w:val="none"/>
                <w:lang w:val="en-US" w:eastAsia="zh-CN"/>
              </w:rPr>
              <w:t>4</w:t>
            </w:r>
            <w:r>
              <w:rPr>
                <w:rFonts w:hint="eastAsia"/>
                <w:highlight w:val="none"/>
              </w:rPr>
              <w:t>.投标技术方案不明确，存在一个或一个以上备选（替代）投标方案的。</w:t>
            </w:r>
          </w:p>
        </w:tc>
      </w:tr>
      <w:tr w14:paraId="2529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53E11F2">
            <w:pPr>
              <w:pStyle w:val="34"/>
              <w:bidi w:val="0"/>
              <w:rPr>
                <w:highlight w:val="none"/>
              </w:rPr>
            </w:pPr>
            <w:r>
              <w:rPr>
                <w:rFonts w:hint="eastAsia"/>
                <w:highlight w:val="none"/>
              </w:rPr>
              <w:t>3</w:t>
            </w:r>
          </w:p>
        </w:tc>
        <w:tc>
          <w:tcPr>
            <w:tcW w:w="2302" w:type="dxa"/>
            <w:tcBorders>
              <w:top w:val="single" w:color="auto" w:sz="4" w:space="0"/>
              <w:left w:val="single" w:color="auto" w:sz="4" w:space="0"/>
              <w:bottom w:val="single" w:color="auto" w:sz="4" w:space="0"/>
              <w:right w:val="single" w:color="auto" w:sz="4" w:space="0"/>
            </w:tcBorders>
            <w:vAlign w:val="center"/>
          </w:tcPr>
          <w:p w14:paraId="0C24980C">
            <w:pPr>
              <w:pStyle w:val="34"/>
              <w:bidi w:val="0"/>
              <w:rPr>
                <w:highlight w:val="none"/>
              </w:rPr>
            </w:pPr>
            <w:r>
              <w:rPr>
                <w:rFonts w:hint="eastAsia"/>
                <w:highlight w:val="none"/>
              </w:rPr>
              <w:t>报价文件审查</w:t>
            </w:r>
          </w:p>
        </w:tc>
        <w:tc>
          <w:tcPr>
            <w:tcW w:w="6663" w:type="dxa"/>
            <w:tcBorders>
              <w:top w:val="single" w:color="auto" w:sz="4" w:space="0"/>
              <w:left w:val="single" w:color="auto" w:sz="4" w:space="0"/>
              <w:bottom w:val="single" w:color="auto" w:sz="4" w:space="0"/>
              <w:right w:val="single" w:color="auto" w:sz="4" w:space="0"/>
            </w:tcBorders>
            <w:vAlign w:val="center"/>
          </w:tcPr>
          <w:p w14:paraId="0D4380C5">
            <w:pPr>
              <w:bidi w:val="0"/>
              <w:rPr>
                <w:highlight w:val="none"/>
              </w:rPr>
            </w:pPr>
            <w:r>
              <w:rPr>
                <w:rFonts w:hint="eastAsia"/>
                <w:highlight w:val="none"/>
              </w:rPr>
              <w:t>1.报价超过招标文件中规定的预算金额的；</w:t>
            </w:r>
          </w:p>
          <w:p w14:paraId="5DECE4CA">
            <w:pPr>
              <w:bidi w:val="0"/>
              <w:rPr>
                <w:highlight w:val="none"/>
              </w:rPr>
            </w:pPr>
            <w:r>
              <w:rPr>
                <w:rFonts w:hint="eastAsia"/>
                <w:highlight w:val="none"/>
              </w:rPr>
              <w:t>2.未采用人民币报价或者未按照招标文件标明的币种报价的；</w:t>
            </w:r>
          </w:p>
          <w:p w14:paraId="503C54BA">
            <w:pPr>
              <w:bidi w:val="0"/>
              <w:rPr>
                <w:highlight w:val="none"/>
              </w:rPr>
            </w:pPr>
            <w:r>
              <w:rPr>
                <w:rFonts w:hint="eastAsia"/>
                <w:highlight w:val="none"/>
              </w:rPr>
              <w:t>3.投标报价具有选择性，或者开标价格与投标文件承诺的优惠（折扣）价格不一致的；</w:t>
            </w:r>
          </w:p>
          <w:p w14:paraId="652EB0A6">
            <w:pPr>
              <w:bidi w:val="0"/>
              <w:rPr>
                <w:highlight w:val="none"/>
              </w:rPr>
            </w:pPr>
            <w:r>
              <w:rPr>
                <w:rFonts w:hint="eastAsia"/>
                <w:highlight w:val="none"/>
              </w:rPr>
              <w:t>4.修正后的报价，投标人不确认的；</w:t>
            </w:r>
          </w:p>
          <w:p w14:paraId="1D776E3C">
            <w:pPr>
              <w:bidi w:val="0"/>
              <w:rPr>
                <w:highlight w:val="none"/>
              </w:rPr>
            </w:pPr>
            <w:r>
              <w:rPr>
                <w:rFonts w:hint="eastAsia"/>
                <w:highlight w:val="none"/>
              </w:rPr>
              <w:t>5.未提供招标文件中“（一）投标文件的组成4.报价文件”要求必须提供的资料的；</w:t>
            </w:r>
          </w:p>
          <w:p w14:paraId="7E31633A">
            <w:pPr>
              <w:bidi w:val="0"/>
              <w:rPr>
                <w:highlight w:val="none"/>
              </w:rPr>
            </w:pPr>
            <w:r>
              <w:rPr>
                <w:rFonts w:hint="eastAsia"/>
                <w:highlight w:val="none"/>
              </w:rPr>
              <w:t>6.出现恶意竞争低于成本价的情形。</w:t>
            </w:r>
          </w:p>
        </w:tc>
      </w:tr>
    </w:tbl>
    <w:p w14:paraId="613508BF">
      <w:pPr>
        <w:pStyle w:val="12"/>
        <w:pageBreakBefore w:val="0"/>
        <w:kinsoku/>
        <w:wordWrap w:val="0"/>
        <w:overflowPunct/>
        <w:topLinePunct/>
        <w:autoSpaceDE w:val="0"/>
        <w:autoSpaceDN w:val="0"/>
        <w:bidi w:val="0"/>
        <w:snapToGrid w:val="0"/>
        <w:spacing w:line="360" w:lineRule="exact"/>
        <w:ind w:firstLine="400" w:firstLineChars="200"/>
        <w:rPr>
          <w:rFonts w:hAnsi="宋体"/>
          <w:highlight w:val="none"/>
        </w:rPr>
      </w:pPr>
    </w:p>
    <w:p w14:paraId="44261E91">
      <w:pPr>
        <w:pStyle w:val="12"/>
        <w:pageBreakBefore w:val="0"/>
        <w:kinsoku/>
        <w:wordWrap w:val="0"/>
        <w:overflowPunct/>
        <w:topLinePunct/>
        <w:autoSpaceDE w:val="0"/>
        <w:autoSpaceDN w:val="0"/>
        <w:bidi w:val="0"/>
        <w:snapToGrid w:val="0"/>
        <w:spacing w:line="360" w:lineRule="exact"/>
        <w:ind w:firstLine="400" w:firstLineChars="200"/>
        <w:rPr>
          <w:rFonts w:hint="eastAsia" w:hAnsi="宋体"/>
          <w:highlight w:val="none"/>
        </w:rPr>
        <w:sectPr>
          <w:pgSz w:w="11906" w:h="16839"/>
          <w:pgMar w:top="400" w:right="994" w:bottom="1156" w:left="1255" w:header="0" w:footer="994" w:gutter="0"/>
          <w:pgNumType w:fmt="decimal"/>
          <w:cols w:space="720" w:num="1"/>
        </w:sectPr>
      </w:pPr>
    </w:p>
    <w:p w14:paraId="7DE4E4C5">
      <w:pPr>
        <w:pStyle w:val="36"/>
        <w:bidi w:val="0"/>
        <w:rPr>
          <w:highlight w:val="none"/>
        </w:rPr>
      </w:pPr>
      <w:r>
        <w:rPr>
          <w:rFonts w:hint="eastAsia"/>
          <w:highlight w:val="none"/>
        </w:rPr>
        <w:t>（三）详细评审</w:t>
      </w:r>
    </w:p>
    <w:p w14:paraId="3E08477E">
      <w:pPr>
        <w:bidi w:val="0"/>
        <w:rPr>
          <w:rFonts w:hint="eastAsia"/>
          <w:highlight w:val="none"/>
          <w:lang w:eastAsia="zh-CN"/>
        </w:rPr>
      </w:pPr>
      <w:r>
        <w:rPr>
          <w:rFonts w:hint="eastAsia"/>
          <w:highlight w:val="none"/>
          <w:lang w:val="en-US" w:eastAsia="zh-CN"/>
        </w:rPr>
        <w:t>1、</w:t>
      </w:r>
      <w:r>
        <w:rPr>
          <w:rFonts w:hint="eastAsia"/>
          <w:highlight w:val="none"/>
        </w:rPr>
        <w:t>对进入详评的，采用百分制综合评分法，计分办法（按四舍五入取至百分位）</w:t>
      </w:r>
      <w:r>
        <w:rPr>
          <w:rFonts w:hint="eastAsia"/>
          <w:highlight w:val="none"/>
          <w:lang w:eastAsia="zh-CN"/>
        </w:rPr>
        <w:t>。</w:t>
      </w:r>
    </w:p>
    <w:p w14:paraId="0D56643B">
      <w:pPr>
        <w:bidi w:val="0"/>
        <w:rPr>
          <w:rFonts w:hint="eastAsia"/>
          <w:highlight w:val="none"/>
        </w:rPr>
      </w:pPr>
      <w:r>
        <w:rPr>
          <w:rFonts w:hint="eastAsia"/>
          <w:highlight w:val="none"/>
        </w:rPr>
        <w:t>2、商务技术评审因素为客观评分项的，应在评分项目或评分标准中予以标注为“客观分”。对投标人的客观评分项目，各评标专家评分应当一致。</w:t>
      </w:r>
    </w:p>
    <w:p w14:paraId="2C8720F2">
      <w:pPr>
        <w:pStyle w:val="36"/>
        <w:bidi w:val="0"/>
        <w:rPr>
          <w:highlight w:val="none"/>
        </w:rPr>
      </w:pPr>
      <w:r>
        <w:rPr>
          <w:rFonts w:hint="eastAsia"/>
          <w:highlight w:val="none"/>
          <w:lang w:val="en-US" w:eastAsia="zh-CN"/>
        </w:rPr>
        <w:t>标项一：</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15"/>
        <w:gridCol w:w="6288"/>
        <w:gridCol w:w="951"/>
      </w:tblGrid>
      <w:tr w14:paraId="0F17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1" w:type="dxa"/>
            <w:noWrap w:val="0"/>
            <w:vAlign w:val="center"/>
          </w:tcPr>
          <w:p w14:paraId="3B5FEA9D">
            <w:pPr>
              <w:pStyle w:val="34"/>
              <w:bidi w:val="0"/>
              <w:rPr>
                <w:rFonts w:hint="eastAsia"/>
                <w:highlight w:val="none"/>
              </w:rPr>
            </w:pPr>
            <w:r>
              <w:rPr>
                <w:rFonts w:hint="eastAsia"/>
                <w:highlight w:val="none"/>
              </w:rPr>
              <w:t>序号</w:t>
            </w:r>
          </w:p>
        </w:tc>
        <w:tc>
          <w:tcPr>
            <w:tcW w:w="1415" w:type="dxa"/>
            <w:noWrap w:val="0"/>
            <w:vAlign w:val="center"/>
          </w:tcPr>
          <w:p w14:paraId="66FA2A46">
            <w:pPr>
              <w:pStyle w:val="34"/>
              <w:bidi w:val="0"/>
              <w:rPr>
                <w:rFonts w:hint="eastAsia"/>
                <w:highlight w:val="none"/>
              </w:rPr>
            </w:pPr>
            <w:r>
              <w:rPr>
                <w:rFonts w:hint="eastAsia"/>
                <w:highlight w:val="none"/>
              </w:rPr>
              <w:t>评审因素</w:t>
            </w:r>
          </w:p>
        </w:tc>
        <w:tc>
          <w:tcPr>
            <w:tcW w:w="6288" w:type="dxa"/>
            <w:noWrap w:val="0"/>
            <w:vAlign w:val="center"/>
          </w:tcPr>
          <w:p w14:paraId="3EDA0CC5">
            <w:pPr>
              <w:bidi w:val="0"/>
              <w:rPr>
                <w:rFonts w:hint="eastAsia"/>
                <w:highlight w:val="none"/>
              </w:rPr>
            </w:pPr>
            <w:r>
              <w:rPr>
                <w:rFonts w:hint="eastAsia"/>
                <w:highlight w:val="none"/>
              </w:rPr>
              <w:t>评分标准</w:t>
            </w:r>
          </w:p>
        </w:tc>
        <w:tc>
          <w:tcPr>
            <w:tcW w:w="951" w:type="dxa"/>
            <w:noWrap w:val="0"/>
            <w:vAlign w:val="center"/>
          </w:tcPr>
          <w:p w14:paraId="6B4E29B2">
            <w:pPr>
              <w:pStyle w:val="34"/>
              <w:bidi w:val="0"/>
              <w:rPr>
                <w:rFonts w:hint="eastAsia"/>
                <w:highlight w:val="none"/>
              </w:rPr>
            </w:pPr>
            <w:r>
              <w:rPr>
                <w:rFonts w:hint="eastAsia"/>
                <w:highlight w:val="none"/>
              </w:rPr>
              <w:t>分值</w:t>
            </w:r>
          </w:p>
        </w:tc>
      </w:tr>
      <w:tr w14:paraId="746E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1" w:type="dxa"/>
            <w:noWrap w:val="0"/>
            <w:vAlign w:val="center"/>
          </w:tcPr>
          <w:p w14:paraId="377AC8B0">
            <w:pPr>
              <w:pStyle w:val="34"/>
              <w:bidi w:val="0"/>
              <w:rPr>
                <w:rFonts w:hint="eastAsia"/>
                <w:highlight w:val="none"/>
              </w:rPr>
            </w:pPr>
            <w:r>
              <w:rPr>
                <w:rFonts w:hint="eastAsia"/>
                <w:highlight w:val="none"/>
              </w:rPr>
              <w:t>1</w:t>
            </w:r>
          </w:p>
        </w:tc>
        <w:tc>
          <w:tcPr>
            <w:tcW w:w="1415" w:type="dxa"/>
            <w:noWrap w:val="0"/>
            <w:vAlign w:val="center"/>
          </w:tcPr>
          <w:p w14:paraId="011B76D2">
            <w:pPr>
              <w:pStyle w:val="34"/>
              <w:bidi w:val="0"/>
              <w:rPr>
                <w:rFonts w:hint="eastAsia"/>
                <w:highlight w:val="none"/>
              </w:rPr>
            </w:pPr>
            <w:r>
              <w:rPr>
                <w:rFonts w:hint="eastAsia"/>
                <w:highlight w:val="none"/>
              </w:rPr>
              <w:t>价格分</w:t>
            </w:r>
          </w:p>
          <w:p w14:paraId="42140136">
            <w:pPr>
              <w:pStyle w:val="34"/>
              <w:bidi w:val="0"/>
              <w:rPr>
                <w:rFonts w:hint="eastAsia"/>
                <w:highlight w:val="none"/>
              </w:rPr>
            </w:pPr>
            <w:r>
              <w:rPr>
                <w:rFonts w:hint="eastAsia"/>
                <w:highlight w:val="none"/>
              </w:rPr>
              <w:t>（30分）</w:t>
            </w:r>
          </w:p>
        </w:tc>
        <w:tc>
          <w:tcPr>
            <w:tcW w:w="6288" w:type="dxa"/>
            <w:noWrap w:val="0"/>
            <w:vAlign w:val="top"/>
          </w:tcPr>
          <w:p w14:paraId="6AC0C9D1">
            <w:pPr>
              <w:bidi w:val="0"/>
              <w:rPr>
                <w:rFonts w:hint="eastAsia"/>
                <w:highlight w:val="none"/>
              </w:rPr>
            </w:pPr>
            <w:r>
              <w:rPr>
                <w:rFonts w:hint="eastAsia"/>
                <w:highlight w:val="none"/>
              </w:rPr>
              <w:t xml:space="preserve">（1）评标报价为投标人的投标报价进行政策性扣除后的价格，评标报价只是作为评标时使用。最终中标人的中标金额等于投标报价。 </w:t>
            </w:r>
          </w:p>
          <w:p w14:paraId="314D84B9">
            <w:pPr>
              <w:bidi w:val="0"/>
              <w:rPr>
                <w:rFonts w:hint="eastAsia"/>
                <w:highlight w:val="none"/>
              </w:rPr>
            </w:pPr>
            <w:r>
              <w:rPr>
                <w:rFonts w:hint="eastAsia"/>
                <w:highlight w:val="none"/>
              </w:rPr>
              <w:t>（2）按照《政府采购促进中小企业发展管理办法》（财库﹝2020﹞46 号）、《广西壮族自治区财政厅关于进一步发挥政府采购政策功能促进企业发展的通知》（桂财采〔2022〕30 号）等规定，投标人为小型和微型企业，并在其投标文件中提供《中小企业声明函》，且其所投标产品全部为小型和微型企业产品的，对其投标价格给予</w:t>
            </w:r>
            <w:r>
              <w:rPr>
                <w:rFonts w:hint="eastAsia"/>
                <w:highlight w:val="none"/>
                <w:lang w:val="en-US" w:eastAsia="zh-CN"/>
              </w:rPr>
              <w:t>10</w:t>
            </w:r>
            <w:r>
              <w:rPr>
                <w:rFonts w:hint="eastAsia"/>
                <w:highlight w:val="none"/>
              </w:rPr>
              <w:t xml:space="preserve">%的扣除。 </w:t>
            </w:r>
          </w:p>
          <w:p w14:paraId="0A31C801">
            <w:pPr>
              <w:bidi w:val="0"/>
              <w:rPr>
                <w:rFonts w:hint="eastAsia"/>
                <w:highlight w:val="none"/>
              </w:rPr>
            </w:pPr>
            <w:r>
              <w:rPr>
                <w:rFonts w:hint="eastAsia"/>
                <w:highlight w:val="none"/>
              </w:rPr>
              <w:t xml:space="preserve">（3）大型企业在其投标文件中提供制造商《中小企业声明函》且提供的所有采购标的均为小微企业制造的，对其投标价格给予 </w:t>
            </w:r>
            <w:r>
              <w:rPr>
                <w:rFonts w:hint="eastAsia"/>
                <w:highlight w:val="none"/>
                <w:lang w:val="en-US" w:eastAsia="zh-CN"/>
              </w:rPr>
              <w:t>10</w:t>
            </w:r>
            <w:r>
              <w:rPr>
                <w:rFonts w:hint="eastAsia"/>
                <w:highlight w:val="none"/>
              </w:rPr>
              <w:t xml:space="preserve">%的扣除。 </w:t>
            </w:r>
          </w:p>
          <w:p w14:paraId="0EE00B39">
            <w:pPr>
              <w:bidi w:val="0"/>
              <w:rPr>
                <w:rFonts w:hint="eastAsia"/>
                <w:highlight w:val="none"/>
              </w:rPr>
            </w:pPr>
            <w:r>
              <w:rPr>
                <w:rFonts w:hint="eastAsia"/>
                <w:highlight w:val="none"/>
              </w:rPr>
              <w:t>（4）按照《财政部、司法部关于政府采购支持监狱企业发展有关问题的通知》（财库〔2014〕68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2B35CEC">
            <w:pPr>
              <w:bidi w:val="0"/>
              <w:rPr>
                <w:rFonts w:hint="eastAsia"/>
                <w:highlight w:val="none"/>
              </w:rPr>
            </w:pPr>
            <w:r>
              <w:rPr>
                <w:rFonts w:hint="eastAsia"/>
                <w:highlight w:val="none"/>
              </w:rPr>
              <w:t xml:space="preserve">（5）按照《关于促进残疾人就业政府采购政策的通知》（财库〔2017〕141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 </w:t>
            </w:r>
          </w:p>
          <w:p w14:paraId="26EC827B">
            <w:pPr>
              <w:bidi w:val="0"/>
              <w:rPr>
                <w:rFonts w:hint="eastAsia"/>
                <w:highlight w:val="none"/>
              </w:rPr>
            </w:pPr>
            <w:r>
              <w:rPr>
                <w:rFonts w:hint="eastAsia"/>
                <w:highlight w:val="none"/>
              </w:rPr>
              <w:t xml:space="preserve">（6）政策性扣除计算方法。 </w:t>
            </w:r>
          </w:p>
          <w:p w14:paraId="7B1C2234">
            <w:pPr>
              <w:bidi w:val="0"/>
              <w:rPr>
                <w:rFonts w:hint="eastAsia"/>
                <w:highlight w:val="none"/>
              </w:rPr>
            </w:pPr>
            <w:r>
              <w:rPr>
                <w:rFonts w:hint="eastAsia"/>
                <w:highlight w:val="none"/>
              </w:rPr>
              <w:t>投标人被评定为监狱企业或者残疾人福利性单位或者小型和微型企业且其所投标全部产品为小型和微型企业产品的，该投标人的投标报价给予</w:t>
            </w:r>
            <w:r>
              <w:rPr>
                <w:rFonts w:hint="eastAsia"/>
                <w:highlight w:val="none"/>
                <w:lang w:val="en-US" w:eastAsia="zh-CN"/>
              </w:rPr>
              <w:t>1</w:t>
            </w:r>
            <w:r>
              <w:rPr>
                <w:rFonts w:hint="eastAsia"/>
                <w:highlight w:val="none"/>
              </w:rPr>
              <w:t>0%的扣除，扣除后的价格为评标报价，即评标报价=投标报价×（1-</w:t>
            </w:r>
            <w:r>
              <w:rPr>
                <w:rFonts w:hint="eastAsia"/>
                <w:highlight w:val="none"/>
                <w:lang w:val="en-US" w:eastAsia="zh-CN"/>
              </w:rPr>
              <w:t>1</w:t>
            </w:r>
            <w:r>
              <w:rPr>
                <w:rFonts w:hint="eastAsia"/>
                <w:highlight w:val="none"/>
              </w:rPr>
              <w:t>0%）；大中型企业和其他自然人、法人或者其他组织与小型、微型企业组成联合体投标，且联合体协议中约定小型、微型企业的协议合同金额占到联合体协议合同总金额30%以上的，联合体投标价给予 4 %的扣除，扣除后的价格为评标价，即评标报价=投标报价×（1-4%）；除上述情况外，评标报价=投标报价。</w:t>
            </w:r>
          </w:p>
          <w:p w14:paraId="3AB9494B">
            <w:pPr>
              <w:bidi w:val="0"/>
              <w:rPr>
                <w:rFonts w:hint="eastAsia"/>
                <w:highlight w:val="none"/>
              </w:rPr>
            </w:pPr>
            <w:r>
              <w:rPr>
                <w:rFonts w:hint="eastAsia"/>
                <w:highlight w:val="none"/>
              </w:rPr>
              <w:t xml:space="preserve">（7）满足招标文件要求且评标报价最低的评标报价为评标基准价，基准价报价得分为 30 分。 </w:t>
            </w:r>
          </w:p>
          <w:p w14:paraId="5E873962">
            <w:pPr>
              <w:bidi w:val="0"/>
              <w:rPr>
                <w:rFonts w:hint="eastAsia"/>
                <w:highlight w:val="none"/>
              </w:rPr>
            </w:pPr>
            <w:r>
              <w:rPr>
                <w:rFonts w:hint="eastAsia"/>
                <w:highlight w:val="none"/>
              </w:rPr>
              <w:t>（8）价格分计算公式：价格分=(评标基准价／评标报价)×30分。</w:t>
            </w:r>
          </w:p>
        </w:tc>
        <w:tc>
          <w:tcPr>
            <w:tcW w:w="951" w:type="dxa"/>
            <w:noWrap w:val="0"/>
            <w:vAlign w:val="center"/>
          </w:tcPr>
          <w:p w14:paraId="0AED4890">
            <w:pPr>
              <w:pStyle w:val="34"/>
              <w:bidi w:val="0"/>
              <w:rPr>
                <w:rFonts w:hint="eastAsia"/>
                <w:highlight w:val="none"/>
              </w:rPr>
            </w:pPr>
            <w:r>
              <w:rPr>
                <w:rFonts w:hint="eastAsia"/>
                <w:highlight w:val="none"/>
              </w:rPr>
              <w:t>30分</w:t>
            </w:r>
          </w:p>
        </w:tc>
      </w:tr>
      <w:tr w14:paraId="76D1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1" w:type="dxa"/>
            <w:vMerge w:val="restart"/>
            <w:noWrap w:val="0"/>
            <w:vAlign w:val="center"/>
          </w:tcPr>
          <w:p w14:paraId="78827099">
            <w:pPr>
              <w:pStyle w:val="34"/>
              <w:bidi w:val="0"/>
              <w:rPr>
                <w:rFonts w:hint="eastAsia"/>
                <w:highlight w:val="none"/>
                <w:lang w:val="en-US" w:eastAsia="zh-CN"/>
              </w:rPr>
            </w:pPr>
            <w:r>
              <w:rPr>
                <w:rFonts w:hint="eastAsia"/>
                <w:highlight w:val="none"/>
              </w:rPr>
              <w:t>2</w:t>
            </w:r>
          </w:p>
        </w:tc>
        <w:tc>
          <w:tcPr>
            <w:tcW w:w="1415" w:type="dxa"/>
            <w:vMerge w:val="restart"/>
            <w:noWrap w:val="0"/>
            <w:vAlign w:val="center"/>
          </w:tcPr>
          <w:p w14:paraId="4908A84E">
            <w:pPr>
              <w:pStyle w:val="34"/>
              <w:bidi w:val="0"/>
              <w:rPr>
                <w:rFonts w:hint="eastAsia"/>
                <w:highlight w:val="none"/>
              </w:rPr>
            </w:pPr>
            <w:r>
              <w:rPr>
                <w:rFonts w:hint="eastAsia"/>
                <w:highlight w:val="none"/>
              </w:rPr>
              <w:t>技术分（满分</w:t>
            </w:r>
            <w:r>
              <w:rPr>
                <w:rFonts w:hint="eastAsia"/>
                <w:highlight w:val="none"/>
                <w:lang w:val="en-US" w:eastAsia="zh-CN"/>
              </w:rPr>
              <w:t xml:space="preserve">  43</w:t>
            </w:r>
            <w:r>
              <w:rPr>
                <w:rFonts w:hint="eastAsia"/>
                <w:highlight w:val="none"/>
              </w:rPr>
              <w:t>分）</w:t>
            </w:r>
          </w:p>
        </w:tc>
        <w:tc>
          <w:tcPr>
            <w:tcW w:w="7239" w:type="dxa"/>
            <w:gridSpan w:val="2"/>
            <w:noWrap w:val="0"/>
            <w:vAlign w:val="top"/>
          </w:tcPr>
          <w:p w14:paraId="1D2E5B18">
            <w:pPr>
              <w:bidi w:val="0"/>
              <w:rPr>
                <w:rFonts w:hint="eastAsia"/>
                <w:highlight w:val="none"/>
              </w:rPr>
            </w:pPr>
            <w:r>
              <w:rPr>
                <w:rFonts w:hint="eastAsia"/>
                <w:highlight w:val="none"/>
              </w:rPr>
              <w:t>评审因素</w:t>
            </w:r>
          </w:p>
        </w:tc>
      </w:tr>
      <w:tr w14:paraId="629C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vMerge w:val="continue"/>
            <w:noWrap w:val="0"/>
            <w:vAlign w:val="center"/>
          </w:tcPr>
          <w:p w14:paraId="70DD09C8">
            <w:pPr>
              <w:pStyle w:val="34"/>
              <w:bidi w:val="0"/>
              <w:rPr>
                <w:rFonts w:hint="eastAsia"/>
                <w:highlight w:val="none"/>
                <w:lang w:val="en-US" w:eastAsia="zh-CN"/>
              </w:rPr>
            </w:pPr>
          </w:p>
        </w:tc>
        <w:tc>
          <w:tcPr>
            <w:tcW w:w="1415" w:type="dxa"/>
            <w:vMerge w:val="continue"/>
            <w:noWrap w:val="0"/>
            <w:vAlign w:val="center"/>
          </w:tcPr>
          <w:p w14:paraId="68C4272B">
            <w:pPr>
              <w:pStyle w:val="34"/>
              <w:bidi w:val="0"/>
              <w:rPr>
                <w:rFonts w:hint="eastAsia"/>
                <w:highlight w:val="none"/>
              </w:rPr>
            </w:pPr>
          </w:p>
        </w:tc>
        <w:tc>
          <w:tcPr>
            <w:tcW w:w="6288" w:type="dxa"/>
            <w:noWrap w:val="0"/>
            <w:vAlign w:val="center"/>
          </w:tcPr>
          <w:p w14:paraId="0266305B">
            <w:pPr>
              <w:bidi w:val="0"/>
              <w:rPr>
                <w:rFonts w:hint="eastAsia"/>
                <w:highlight w:val="none"/>
              </w:rPr>
            </w:pPr>
            <w:r>
              <w:rPr>
                <w:rFonts w:hint="eastAsia"/>
                <w:highlight w:val="none"/>
                <w:lang w:val="en-US" w:eastAsia="zh-CN"/>
              </w:rPr>
              <w:t>一般技术参数</w:t>
            </w:r>
            <w:r>
              <w:rPr>
                <w:rFonts w:hint="eastAsia"/>
                <w:highlight w:val="none"/>
                <w:lang w:eastAsia="zh-CN"/>
              </w:rPr>
              <w:t>（</w:t>
            </w:r>
            <w:r>
              <w:rPr>
                <w:rFonts w:hint="eastAsia"/>
                <w:color w:val="FF0000"/>
                <w:highlight w:val="none"/>
                <w:lang w:val="en-US" w:eastAsia="zh-CN"/>
              </w:rPr>
              <w:t>未标记</w:t>
            </w:r>
            <w:r>
              <w:rPr>
                <w:rFonts w:hint="eastAsia"/>
                <w:highlight w:val="none"/>
                <w:lang w:val="en-US" w:eastAsia="zh-CN"/>
              </w:rPr>
              <w:t>“▲”及“</w:t>
            </w:r>
            <w:r>
              <w:rPr>
                <w:rFonts w:hint="eastAsia" w:ascii="宋体" w:hAnsi="宋体" w:eastAsia="宋体" w:cs="宋体"/>
                <w:color w:val="auto"/>
                <w:sz w:val="24"/>
                <w:highlight w:val="none"/>
              </w:rPr>
              <w:t>●</w:t>
            </w:r>
            <w:r>
              <w:rPr>
                <w:rFonts w:hint="eastAsia"/>
                <w:highlight w:val="none"/>
                <w:lang w:val="en-US" w:eastAsia="zh-CN"/>
              </w:rPr>
              <w:t>”</w:t>
            </w:r>
            <w:r>
              <w:rPr>
                <w:rFonts w:hint="eastAsia"/>
                <w:highlight w:val="none"/>
                <w:lang w:eastAsia="zh-CN"/>
              </w:rPr>
              <w:t>，</w:t>
            </w:r>
            <w:r>
              <w:rPr>
                <w:rFonts w:hint="eastAsia"/>
                <w:highlight w:val="none"/>
                <w:lang w:val="en-US" w:eastAsia="zh-CN"/>
              </w:rPr>
              <w:t>共计</w:t>
            </w:r>
            <w:r>
              <w:rPr>
                <w:rFonts w:hint="eastAsia"/>
                <w:highlight w:val="none"/>
                <w:u w:val="single"/>
                <w:lang w:val="en-US" w:eastAsia="zh-CN"/>
              </w:rPr>
              <w:t>28</w:t>
            </w:r>
            <w:r>
              <w:rPr>
                <w:rFonts w:hint="eastAsia"/>
                <w:highlight w:val="none"/>
                <w:lang w:val="en-US" w:eastAsia="zh-CN"/>
              </w:rPr>
              <w:t>项</w:t>
            </w:r>
            <w:r>
              <w:rPr>
                <w:rFonts w:hint="eastAsia"/>
                <w:highlight w:val="none"/>
                <w:lang w:eastAsia="zh-CN"/>
              </w:rPr>
              <w:t>）</w:t>
            </w:r>
            <w:r>
              <w:rPr>
                <w:rFonts w:hint="eastAsia"/>
                <w:highlight w:val="none"/>
              </w:rPr>
              <w:t>响应分：</w:t>
            </w:r>
          </w:p>
          <w:p w14:paraId="4EF6FB57">
            <w:pPr>
              <w:bidi w:val="0"/>
              <w:rPr>
                <w:rFonts w:hint="eastAsia"/>
                <w:highlight w:val="none"/>
                <w:lang w:val="en-US" w:eastAsia="zh-CN"/>
              </w:rPr>
            </w:pPr>
            <w:r>
              <w:rPr>
                <w:rFonts w:hint="eastAsia"/>
                <w:highlight w:val="none"/>
                <w:lang w:val="en-US" w:eastAsia="zh-CN"/>
              </w:rPr>
              <w:t>一般技术参数是指“第二章采购需求”的“</w:t>
            </w:r>
            <w:r>
              <w:rPr>
                <w:rFonts w:hint="eastAsia"/>
                <w:highlight w:val="none"/>
              </w:rPr>
              <w:t>技术参数及性能（配置）要求</w:t>
            </w:r>
            <w:r>
              <w:rPr>
                <w:rFonts w:hint="eastAsia"/>
                <w:highlight w:val="none"/>
                <w:lang w:val="en-US" w:eastAsia="zh-CN"/>
              </w:rPr>
              <w:t>”中未标注“▲”及“</w:t>
            </w:r>
            <w:r>
              <w:rPr>
                <w:rFonts w:hint="eastAsia" w:ascii="宋体" w:hAnsi="宋体" w:eastAsia="宋体" w:cs="宋体"/>
                <w:color w:val="auto"/>
                <w:sz w:val="24"/>
                <w:highlight w:val="none"/>
              </w:rPr>
              <w:t>●</w:t>
            </w:r>
            <w:r>
              <w:rPr>
                <w:rFonts w:hint="eastAsia"/>
                <w:highlight w:val="none"/>
                <w:lang w:val="en-US" w:eastAsia="zh-CN"/>
              </w:rPr>
              <w:t>”的技术参数（其中“2.1.3控温自动进样器”标题及其5条细项算6项，“三、配置清单”算1项），</w:t>
            </w:r>
            <w:r>
              <w:rPr>
                <w:rFonts w:hint="eastAsia"/>
                <w:highlight w:val="none"/>
              </w:rPr>
              <w:t>完全响应无偏离得</w:t>
            </w:r>
            <w:r>
              <w:rPr>
                <w:rFonts w:hint="eastAsia"/>
                <w:highlight w:val="none"/>
                <w:u w:val="single"/>
                <w:lang w:val="en-US" w:eastAsia="zh-CN"/>
              </w:rPr>
              <w:t>28</w:t>
            </w:r>
            <w:r>
              <w:rPr>
                <w:rFonts w:hint="eastAsia"/>
                <w:highlight w:val="none"/>
              </w:rPr>
              <w:t>分</w:t>
            </w:r>
            <w:r>
              <w:rPr>
                <w:rFonts w:hint="eastAsia"/>
                <w:highlight w:val="none"/>
                <w:lang w:eastAsia="zh-CN"/>
              </w:rPr>
              <w:t>，</w:t>
            </w:r>
            <w:r>
              <w:rPr>
                <w:rFonts w:hint="eastAsia"/>
                <w:highlight w:val="none"/>
                <w:lang w:val="en-US" w:eastAsia="zh-CN"/>
              </w:rPr>
              <w:t>每有一项负偏离或漏项的扣</w:t>
            </w:r>
            <w:r>
              <w:rPr>
                <w:rFonts w:hint="eastAsia"/>
                <w:highlight w:val="none"/>
                <w:u w:val="single"/>
                <w:lang w:val="en-US" w:eastAsia="zh-CN"/>
              </w:rPr>
              <w:t>1</w:t>
            </w:r>
            <w:r>
              <w:rPr>
                <w:rFonts w:hint="eastAsia"/>
                <w:highlight w:val="none"/>
                <w:lang w:val="en-US" w:eastAsia="zh-CN"/>
              </w:rPr>
              <w:t>分。</w:t>
            </w:r>
          </w:p>
          <w:p w14:paraId="4E682474">
            <w:pPr>
              <w:bidi w:val="0"/>
              <w:rPr>
                <w:rFonts w:hint="eastAsia"/>
                <w:highlight w:val="none"/>
                <w:lang w:val="en-US" w:eastAsia="zh-CN"/>
              </w:rPr>
            </w:pPr>
            <w:r>
              <w:rPr>
                <w:rFonts w:hint="eastAsia"/>
                <w:highlight w:val="none"/>
                <w:lang w:val="en-US" w:eastAsia="zh-CN"/>
              </w:rPr>
              <w:t>说明：一般技术参数负偏离或漏项超过</w:t>
            </w:r>
            <w:r>
              <w:rPr>
                <w:rFonts w:hint="eastAsia"/>
                <w:highlight w:val="none"/>
                <w:u w:val="single"/>
                <w:lang w:val="en-US" w:eastAsia="zh-CN"/>
              </w:rPr>
              <w:t>6</w:t>
            </w:r>
            <w:r>
              <w:rPr>
                <w:rFonts w:hint="eastAsia"/>
                <w:highlight w:val="none"/>
                <w:lang w:val="en-US" w:eastAsia="zh-CN"/>
              </w:rPr>
              <w:t>项的，视为严重背离采购需求，一般技术指标响应得分按0分计算。</w:t>
            </w:r>
          </w:p>
        </w:tc>
        <w:tc>
          <w:tcPr>
            <w:tcW w:w="951" w:type="dxa"/>
            <w:noWrap w:val="0"/>
            <w:vAlign w:val="center"/>
          </w:tcPr>
          <w:p w14:paraId="0A7FD68C">
            <w:pPr>
              <w:pStyle w:val="34"/>
              <w:bidi w:val="0"/>
              <w:rPr>
                <w:rFonts w:hint="eastAsia"/>
                <w:highlight w:val="none"/>
              </w:rPr>
            </w:pPr>
            <w:r>
              <w:rPr>
                <w:rFonts w:hint="eastAsia"/>
                <w:highlight w:val="none"/>
                <w:lang w:val="en-US" w:eastAsia="zh-CN"/>
              </w:rPr>
              <w:t>28</w:t>
            </w:r>
            <w:r>
              <w:rPr>
                <w:rFonts w:hint="eastAsia"/>
                <w:highlight w:val="none"/>
              </w:rPr>
              <w:t>分</w:t>
            </w:r>
          </w:p>
        </w:tc>
      </w:tr>
      <w:tr w14:paraId="5DA7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1" w:type="dxa"/>
            <w:vMerge w:val="continue"/>
            <w:noWrap w:val="0"/>
            <w:vAlign w:val="center"/>
          </w:tcPr>
          <w:p w14:paraId="34E92BAB">
            <w:pPr>
              <w:pStyle w:val="34"/>
              <w:bidi w:val="0"/>
              <w:rPr>
                <w:rFonts w:hint="eastAsia"/>
                <w:highlight w:val="none"/>
              </w:rPr>
            </w:pPr>
          </w:p>
        </w:tc>
        <w:tc>
          <w:tcPr>
            <w:tcW w:w="1415" w:type="dxa"/>
            <w:vMerge w:val="continue"/>
            <w:noWrap w:val="0"/>
            <w:vAlign w:val="center"/>
          </w:tcPr>
          <w:p w14:paraId="6DBBAD6E">
            <w:pPr>
              <w:pStyle w:val="34"/>
              <w:bidi w:val="0"/>
              <w:rPr>
                <w:rFonts w:hint="eastAsia"/>
                <w:highlight w:val="none"/>
              </w:rPr>
            </w:pPr>
          </w:p>
        </w:tc>
        <w:tc>
          <w:tcPr>
            <w:tcW w:w="6288" w:type="dxa"/>
            <w:noWrap w:val="0"/>
            <w:vAlign w:val="center"/>
          </w:tcPr>
          <w:p w14:paraId="676D26B2">
            <w:pPr>
              <w:bidi w:val="0"/>
              <w:rPr>
                <w:rFonts w:hint="eastAsia"/>
                <w:highlight w:val="none"/>
                <w:lang w:val="en-US" w:eastAsia="zh-CN"/>
              </w:rPr>
            </w:pPr>
            <w:r>
              <w:rPr>
                <w:rFonts w:hint="eastAsia"/>
                <w:highlight w:val="none"/>
                <w:lang w:val="en-US" w:eastAsia="zh-CN"/>
              </w:rPr>
              <w:t>重要技术参数</w:t>
            </w:r>
            <w:r>
              <w:rPr>
                <w:rFonts w:hint="eastAsia"/>
                <w:highlight w:val="none"/>
                <w:lang w:eastAsia="zh-CN"/>
              </w:rPr>
              <w:t>（</w:t>
            </w:r>
            <w:r>
              <w:rPr>
                <w:rFonts w:hint="eastAsia"/>
                <w:color w:val="FF0000"/>
                <w:highlight w:val="none"/>
                <w:lang w:val="en-US" w:eastAsia="zh-CN"/>
              </w:rPr>
              <w:t>标记</w:t>
            </w:r>
            <w:r>
              <w:rPr>
                <w:rFonts w:hint="eastAsia"/>
                <w:highlight w:val="none"/>
                <w:lang w:val="en-US" w:eastAsia="zh-CN"/>
              </w:rPr>
              <w:t>“</w:t>
            </w:r>
            <w:r>
              <w:rPr>
                <w:rFonts w:hint="eastAsia" w:ascii="宋体" w:hAnsi="宋体" w:eastAsia="宋体" w:cs="宋体"/>
                <w:color w:val="auto"/>
                <w:sz w:val="24"/>
                <w:highlight w:val="none"/>
              </w:rPr>
              <w:t>●</w:t>
            </w:r>
            <w:r>
              <w:rPr>
                <w:rFonts w:hint="eastAsia"/>
                <w:highlight w:val="none"/>
                <w:lang w:val="en-US" w:eastAsia="zh-CN"/>
              </w:rPr>
              <w:t>”的参数</w:t>
            </w:r>
            <w:r>
              <w:rPr>
                <w:rFonts w:hint="eastAsia"/>
                <w:highlight w:val="none"/>
                <w:lang w:eastAsia="zh-CN"/>
              </w:rPr>
              <w:t>，</w:t>
            </w:r>
            <w:r>
              <w:rPr>
                <w:rFonts w:hint="eastAsia"/>
                <w:highlight w:val="none"/>
                <w:lang w:val="en-US" w:eastAsia="zh-CN"/>
              </w:rPr>
              <w:t>共计</w:t>
            </w:r>
            <w:r>
              <w:rPr>
                <w:rFonts w:hint="eastAsia"/>
                <w:highlight w:val="none"/>
                <w:u w:val="single"/>
                <w:lang w:val="en-US" w:eastAsia="zh-CN"/>
              </w:rPr>
              <w:t>2</w:t>
            </w:r>
            <w:r>
              <w:rPr>
                <w:rFonts w:hint="eastAsia"/>
                <w:highlight w:val="none"/>
                <w:lang w:val="en-US" w:eastAsia="zh-CN"/>
              </w:rPr>
              <w:t>项</w:t>
            </w:r>
            <w:r>
              <w:rPr>
                <w:rFonts w:hint="eastAsia"/>
                <w:highlight w:val="none"/>
                <w:lang w:eastAsia="zh-CN"/>
              </w:rPr>
              <w:t>）</w:t>
            </w:r>
            <w:r>
              <w:rPr>
                <w:rFonts w:hint="eastAsia"/>
                <w:highlight w:val="none"/>
                <w:lang w:val="en-US" w:eastAsia="zh-CN"/>
              </w:rPr>
              <w:t>响应分：</w:t>
            </w:r>
          </w:p>
          <w:p w14:paraId="2C24F1E3">
            <w:pPr>
              <w:bidi w:val="0"/>
              <w:rPr>
                <w:rFonts w:hint="default"/>
                <w:highlight w:val="none"/>
                <w:lang w:val="en-US" w:eastAsia="zh-CN"/>
              </w:rPr>
            </w:pPr>
            <w:r>
              <w:rPr>
                <w:rFonts w:hint="eastAsia"/>
                <w:highlight w:val="none"/>
                <w:lang w:val="en-US" w:eastAsia="zh-CN"/>
              </w:rPr>
              <w:t>重要技术参数是指“第二章采购需求”的“</w:t>
            </w:r>
            <w:r>
              <w:rPr>
                <w:rFonts w:hint="eastAsia"/>
                <w:highlight w:val="none"/>
              </w:rPr>
              <w:t>技术参数及性能（配置）要求</w:t>
            </w:r>
            <w:r>
              <w:rPr>
                <w:rFonts w:hint="eastAsia"/>
                <w:highlight w:val="none"/>
                <w:lang w:val="en-US" w:eastAsia="zh-CN"/>
              </w:rPr>
              <w:t>”中标注“</w:t>
            </w:r>
            <w:r>
              <w:rPr>
                <w:rFonts w:hint="eastAsia" w:ascii="宋体" w:hAnsi="宋体" w:eastAsia="宋体" w:cs="宋体"/>
                <w:color w:val="auto"/>
                <w:sz w:val="24"/>
                <w:highlight w:val="none"/>
              </w:rPr>
              <w:t>●</w:t>
            </w:r>
            <w:r>
              <w:rPr>
                <w:rFonts w:hint="eastAsia"/>
                <w:highlight w:val="none"/>
                <w:lang w:val="en-US" w:eastAsia="zh-CN"/>
              </w:rPr>
              <w:t>”的技术参数，</w:t>
            </w:r>
            <w:r>
              <w:rPr>
                <w:rFonts w:hint="eastAsia"/>
                <w:highlight w:val="none"/>
              </w:rPr>
              <w:t>完全响应无偏离得</w:t>
            </w:r>
            <w:r>
              <w:rPr>
                <w:rFonts w:hint="eastAsia"/>
                <w:highlight w:val="none"/>
                <w:u w:val="single"/>
                <w:lang w:val="en-US" w:eastAsia="zh-CN"/>
              </w:rPr>
              <w:t>10</w:t>
            </w:r>
            <w:r>
              <w:rPr>
                <w:rFonts w:hint="eastAsia"/>
                <w:highlight w:val="none"/>
              </w:rPr>
              <w:t>分</w:t>
            </w:r>
            <w:r>
              <w:rPr>
                <w:rFonts w:hint="eastAsia"/>
                <w:highlight w:val="none"/>
                <w:lang w:eastAsia="zh-CN"/>
              </w:rPr>
              <w:t>，</w:t>
            </w:r>
            <w:r>
              <w:rPr>
                <w:rFonts w:hint="eastAsia"/>
                <w:highlight w:val="none"/>
                <w:lang w:val="en-US" w:eastAsia="zh-CN"/>
              </w:rPr>
              <w:t>每有一项负偏离或漏项的扣</w:t>
            </w:r>
            <w:r>
              <w:rPr>
                <w:rFonts w:hint="eastAsia"/>
                <w:highlight w:val="none"/>
                <w:u w:val="single"/>
                <w:lang w:val="en-US" w:eastAsia="zh-CN"/>
              </w:rPr>
              <w:t>5</w:t>
            </w:r>
            <w:r>
              <w:rPr>
                <w:rFonts w:hint="eastAsia"/>
                <w:highlight w:val="none"/>
                <w:lang w:val="en-US" w:eastAsia="zh-CN"/>
              </w:rPr>
              <w:t>分。</w:t>
            </w:r>
          </w:p>
        </w:tc>
        <w:tc>
          <w:tcPr>
            <w:tcW w:w="951" w:type="dxa"/>
            <w:noWrap w:val="0"/>
            <w:vAlign w:val="center"/>
          </w:tcPr>
          <w:p w14:paraId="11486731">
            <w:pPr>
              <w:pStyle w:val="34"/>
              <w:bidi w:val="0"/>
              <w:rPr>
                <w:rFonts w:hint="default"/>
                <w:highlight w:val="none"/>
                <w:lang w:val="en-US" w:eastAsia="zh-CN"/>
              </w:rPr>
            </w:pPr>
            <w:r>
              <w:rPr>
                <w:rFonts w:hint="eastAsia"/>
                <w:highlight w:val="none"/>
                <w:lang w:val="en-US" w:eastAsia="zh-CN"/>
              </w:rPr>
              <w:t>10分</w:t>
            </w:r>
          </w:p>
        </w:tc>
      </w:tr>
      <w:tr w14:paraId="7BAA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1" w:type="dxa"/>
            <w:vMerge w:val="continue"/>
            <w:noWrap w:val="0"/>
            <w:vAlign w:val="center"/>
          </w:tcPr>
          <w:p w14:paraId="6E696B71">
            <w:pPr>
              <w:pStyle w:val="34"/>
              <w:bidi w:val="0"/>
              <w:rPr>
                <w:rFonts w:hint="eastAsia"/>
                <w:highlight w:val="none"/>
              </w:rPr>
            </w:pPr>
          </w:p>
        </w:tc>
        <w:tc>
          <w:tcPr>
            <w:tcW w:w="1415" w:type="dxa"/>
            <w:vMerge w:val="continue"/>
            <w:noWrap w:val="0"/>
            <w:vAlign w:val="center"/>
          </w:tcPr>
          <w:p w14:paraId="4B5F9116">
            <w:pPr>
              <w:pStyle w:val="34"/>
              <w:bidi w:val="0"/>
              <w:rPr>
                <w:rFonts w:hint="eastAsia"/>
                <w:highlight w:val="none"/>
              </w:rPr>
            </w:pPr>
          </w:p>
        </w:tc>
        <w:tc>
          <w:tcPr>
            <w:tcW w:w="6288" w:type="dxa"/>
            <w:noWrap w:val="0"/>
            <w:vAlign w:val="center"/>
          </w:tcPr>
          <w:p w14:paraId="5FDD2D6F">
            <w:pPr>
              <w:bidi w:val="0"/>
              <w:rPr>
                <w:rFonts w:hint="eastAsia"/>
                <w:highlight w:val="none"/>
              </w:rPr>
            </w:pPr>
            <w:r>
              <w:rPr>
                <w:rFonts w:hint="eastAsia"/>
                <w:highlight w:val="none"/>
                <w:lang w:val="en-US" w:eastAsia="zh-CN"/>
              </w:rPr>
              <w:t>1、</w:t>
            </w:r>
            <w:r>
              <w:rPr>
                <w:rFonts w:hint="eastAsia"/>
                <w:highlight w:val="none"/>
              </w:rPr>
              <w:t>一般技术指标</w:t>
            </w:r>
            <w:r>
              <w:rPr>
                <w:rFonts w:hint="eastAsia"/>
                <w:highlight w:val="none"/>
                <w:lang w:eastAsia="zh-CN"/>
              </w:rPr>
              <w:t>（</w:t>
            </w:r>
            <w:r>
              <w:rPr>
                <w:rFonts w:hint="eastAsia"/>
                <w:highlight w:val="none"/>
                <w:lang w:val="en-US" w:eastAsia="zh-CN"/>
              </w:rPr>
              <w:t>未标记</w:t>
            </w:r>
            <w:r>
              <w:rPr>
                <w:rFonts w:hint="eastAsia"/>
                <w:highlight w:val="none"/>
              </w:rPr>
              <w:t>▲</w:t>
            </w:r>
            <w:r>
              <w:rPr>
                <w:rFonts w:hint="eastAsia"/>
                <w:highlight w:val="none"/>
                <w:lang w:eastAsia="zh-CN"/>
              </w:rPr>
              <w:t>、</w:t>
            </w:r>
            <w:r>
              <w:rPr>
                <w:rFonts w:hint="eastAsia" w:ascii="宋体" w:hAnsi="宋体" w:eastAsia="宋体" w:cs="宋体"/>
                <w:color w:val="auto"/>
                <w:sz w:val="24"/>
                <w:highlight w:val="none"/>
              </w:rPr>
              <w:t>●</w:t>
            </w:r>
            <w:r>
              <w:rPr>
                <w:rFonts w:hint="eastAsia"/>
                <w:highlight w:val="none"/>
                <w:lang w:eastAsia="zh-CN"/>
              </w:rPr>
              <w:t>）</w:t>
            </w:r>
            <w:r>
              <w:rPr>
                <w:rFonts w:hint="eastAsia"/>
                <w:highlight w:val="none"/>
              </w:rPr>
              <w:t>有优于招标文件要求且评标时被评标委员会接受的，每优于一项加</w:t>
            </w:r>
            <w:r>
              <w:rPr>
                <w:rFonts w:hint="eastAsia"/>
                <w:highlight w:val="none"/>
                <w:u w:val="single"/>
                <w:lang w:val="en-US" w:eastAsia="zh-CN"/>
              </w:rPr>
              <w:t>1</w:t>
            </w:r>
            <w:r>
              <w:rPr>
                <w:rFonts w:hint="eastAsia"/>
                <w:highlight w:val="none"/>
              </w:rPr>
              <w:t>分</w:t>
            </w:r>
            <w:r>
              <w:rPr>
                <w:rFonts w:hint="eastAsia"/>
                <w:highlight w:val="none"/>
                <w:lang w:eastAsia="zh-CN"/>
              </w:rPr>
              <w:t>，</w:t>
            </w:r>
            <w:r>
              <w:rPr>
                <w:rFonts w:hint="eastAsia"/>
                <w:highlight w:val="none"/>
              </w:rPr>
              <w:t>满分</w:t>
            </w:r>
            <w:r>
              <w:rPr>
                <w:rFonts w:hint="eastAsia"/>
                <w:highlight w:val="none"/>
                <w:lang w:val="en-US" w:eastAsia="zh-CN"/>
              </w:rPr>
              <w:t>5</w:t>
            </w:r>
            <w:r>
              <w:rPr>
                <w:rFonts w:hint="eastAsia"/>
                <w:highlight w:val="none"/>
              </w:rPr>
              <w:t>分。</w:t>
            </w:r>
          </w:p>
          <w:p w14:paraId="0D921F79">
            <w:pPr>
              <w:bidi w:val="0"/>
              <w:rPr>
                <w:rFonts w:hint="eastAsia"/>
                <w:highlight w:val="none"/>
                <w:lang w:val="en-US" w:eastAsia="zh-CN"/>
              </w:rPr>
            </w:pPr>
            <w:r>
              <w:rPr>
                <w:rFonts w:hint="eastAsia"/>
                <w:highlight w:val="none"/>
              </w:rPr>
              <w:t>注：功能目标及技术指标有优于的，投标人须在投标文件中提供提供国家认可的有资质的第三方检测机构出具的检测报告或产品说明书或产品生产厂家出具的技术参数说明或投标产品的彩页证明作为佐证，以上佐证材料复印件（或扫描件）均需加盖生产厂家公章或投标人（附生产厂家授权资料）投标人公章（或投标人电子签章）,并在技术要求偏离表中的“偏离说明”中注明该功能目标及技术指标及证明材料在投标文件中的页码，否则评标委员会有权不接受其优于。</w:t>
            </w:r>
          </w:p>
        </w:tc>
        <w:tc>
          <w:tcPr>
            <w:tcW w:w="951" w:type="dxa"/>
            <w:noWrap w:val="0"/>
            <w:vAlign w:val="center"/>
          </w:tcPr>
          <w:p w14:paraId="59D687FA">
            <w:pPr>
              <w:pStyle w:val="34"/>
              <w:bidi w:val="0"/>
              <w:rPr>
                <w:rFonts w:hint="eastAsia"/>
                <w:highlight w:val="none"/>
                <w:lang w:val="en-US" w:eastAsia="zh-CN"/>
              </w:rPr>
            </w:pPr>
            <w:r>
              <w:rPr>
                <w:rFonts w:hint="eastAsia"/>
                <w:highlight w:val="none"/>
                <w:lang w:val="en-US" w:eastAsia="zh-CN"/>
              </w:rPr>
              <w:t>5分</w:t>
            </w:r>
          </w:p>
        </w:tc>
      </w:tr>
      <w:tr w14:paraId="4F13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71" w:type="dxa"/>
            <w:noWrap w:val="0"/>
            <w:vAlign w:val="center"/>
          </w:tcPr>
          <w:p w14:paraId="56B5D2BA">
            <w:pPr>
              <w:pStyle w:val="34"/>
              <w:bidi w:val="0"/>
              <w:rPr>
                <w:rFonts w:hint="eastAsia"/>
                <w:highlight w:val="none"/>
                <w:lang w:eastAsia="zh-CN"/>
              </w:rPr>
            </w:pPr>
            <w:r>
              <w:rPr>
                <w:rFonts w:hint="eastAsia"/>
                <w:highlight w:val="none"/>
                <w:lang w:val="en-US" w:eastAsia="zh-CN"/>
              </w:rPr>
              <w:t>3</w:t>
            </w:r>
          </w:p>
        </w:tc>
        <w:tc>
          <w:tcPr>
            <w:tcW w:w="1415" w:type="dxa"/>
            <w:noWrap w:val="0"/>
            <w:vAlign w:val="center"/>
          </w:tcPr>
          <w:p w14:paraId="5665A859">
            <w:pPr>
              <w:pStyle w:val="34"/>
              <w:bidi w:val="0"/>
              <w:rPr>
                <w:rFonts w:hint="eastAsia"/>
                <w:highlight w:val="none"/>
              </w:rPr>
            </w:pPr>
            <w:r>
              <w:rPr>
                <w:rFonts w:hint="eastAsia"/>
                <w:highlight w:val="none"/>
              </w:rPr>
              <w:t>项目实施方案（满分</w:t>
            </w:r>
            <w:r>
              <w:rPr>
                <w:rFonts w:hint="eastAsia"/>
                <w:highlight w:val="none"/>
                <w:lang w:val="en-US" w:eastAsia="zh-CN"/>
              </w:rPr>
              <w:t>5</w:t>
            </w:r>
            <w:r>
              <w:rPr>
                <w:rFonts w:hint="eastAsia"/>
                <w:highlight w:val="none"/>
              </w:rPr>
              <w:t>分）</w:t>
            </w:r>
          </w:p>
        </w:tc>
        <w:tc>
          <w:tcPr>
            <w:tcW w:w="6288" w:type="dxa"/>
            <w:noWrap w:val="0"/>
            <w:vAlign w:val="center"/>
          </w:tcPr>
          <w:p w14:paraId="3672E5C7">
            <w:pPr>
              <w:bidi w:val="0"/>
              <w:rPr>
                <w:rFonts w:hint="eastAsia"/>
                <w:highlight w:val="none"/>
              </w:rPr>
            </w:pPr>
            <w:r>
              <w:rPr>
                <w:rFonts w:hint="eastAsia"/>
                <w:highlight w:val="none"/>
              </w:rPr>
              <w:t>一档（</w:t>
            </w:r>
            <w:r>
              <w:rPr>
                <w:rFonts w:hint="eastAsia"/>
                <w:highlight w:val="none"/>
                <w:lang w:val="en-US" w:eastAsia="zh-CN"/>
              </w:rPr>
              <w:t>2</w:t>
            </w:r>
            <w:r>
              <w:rPr>
                <w:rFonts w:hint="eastAsia"/>
                <w:highlight w:val="none"/>
              </w:rPr>
              <w:t>分）：</w:t>
            </w:r>
            <w:r>
              <w:rPr>
                <w:rFonts w:hint="eastAsia"/>
                <w:highlight w:val="none"/>
                <w:lang w:val="en-US" w:eastAsia="zh-CN"/>
              </w:rPr>
              <w:t>提供有项目实施方案，方案内容包括</w:t>
            </w:r>
            <w:r>
              <w:rPr>
                <w:rFonts w:hint="eastAsia"/>
                <w:highlight w:val="none"/>
              </w:rPr>
              <w:t>管理措施、具体实施流程、进度安排、质量保证措施等</w:t>
            </w:r>
            <w:r>
              <w:rPr>
                <w:rFonts w:hint="eastAsia"/>
                <w:highlight w:val="none"/>
                <w:lang w:eastAsia="zh-CN"/>
              </w:rPr>
              <w:t>，</w:t>
            </w:r>
            <w:r>
              <w:rPr>
                <w:rFonts w:hint="eastAsia"/>
                <w:highlight w:val="none"/>
                <w:lang w:val="en-US" w:eastAsia="zh-CN"/>
              </w:rPr>
              <w:t>实施方案基本满足采购项目需求</w:t>
            </w:r>
            <w:r>
              <w:rPr>
                <w:rFonts w:hint="eastAsia"/>
                <w:highlight w:val="none"/>
              </w:rPr>
              <w:t>。</w:t>
            </w:r>
          </w:p>
          <w:p w14:paraId="5E52C1A2">
            <w:pPr>
              <w:bidi w:val="0"/>
              <w:rPr>
                <w:rFonts w:hint="eastAsia"/>
                <w:highlight w:val="none"/>
              </w:rPr>
            </w:pPr>
            <w:r>
              <w:rPr>
                <w:rFonts w:hint="eastAsia"/>
                <w:highlight w:val="none"/>
              </w:rPr>
              <w:t>二档（</w:t>
            </w:r>
            <w:r>
              <w:rPr>
                <w:rFonts w:hint="eastAsia"/>
                <w:highlight w:val="none"/>
                <w:lang w:val="en-US" w:eastAsia="zh-CN"/>
              </w:rPr>
              <w:t>5</w:t>
            </w:r>
            <w:r>
              <w:rPr>
                <w:rFonts w:hint="eastAsia"/>
                <w:highlight w:val="none"/>
              </w:rPr>
              <w:t>分）：</w:t>
            </w:r>
            <w:r>
              <w:rPr>
                <w:rFonts w:hint="eastAsia"/>
                <w:highlight w:val="none"/>
                <w:lang w:val="en-US" w:eastAsia="zh-CN"/>
              </w:rPr>
              <w:t>满足一档的基础上</w:t>
            </w:r>
            <w:r>
              <w:rPr>
                <w:rFonts w:hint="eastAsia"/>
                <w:highlight w:val="none"/>
              </w:rPr>
              <w:t>，方案</w:t>
            </w:r>
            <w:r>
              <w:rPr>
                <w:rFonts w:hint="eastAsia"/>
                <w:highlight w:val="none"/>
                <w:lang w:val="en-US" w:eastAsia="zh-CN"/>
              </w:rPr>
              <w:t>内容详细、</w:t>
            </w:r>
            <w:r>
              <w:rPr>
                <w:rFonts w:hint="eastAsia"/>
                <w:highlight w:val="none"/>
              </w:rPr>
              <w:t>有可行性（无明显错误），有有利于采购项目实施的增值服务或合理性建议</w:t>
            </w:r>
            <w:r>
              <w:rPr>
                <w:rFonts w:hint="eastAsia"/>
                <w:highlight w:val="none"/>
                <w:lang w:val="en-US" w:eastAsia="zh-CN"/>
              </w:rPr>
              <w:t>且被评标委员会认可的</w:t>
            </w:r>
            <w:r>
              <w:rPr>
                <w:rFonts w:hint="eastAsia"/>
                <w:highlight w:val="none"/>
              </w:rPr>
              <w:t>。</w:t>
            </w:r>
          </w:p>
          <w:p w14:paraId="51892EC9">
            <w:pPr>
              <w:bidi w:val="0"/>
              <w:rPr>
                <w:rFonts w:hint="eastAsia"/>
                <w:highlight w:val="none"/>
              </w:rPr>
            </w:pPr>
            <w:r>
              <w:rPr>
                <w:rFonts w:hint="eastAsia"/>
                <w:highlight w:val="none"/>
                <w:lang w:val="en-US" w:eastAsia="zh-CN"/>
              </w:rPr>
              <w:t>未提供实施方案或方案不可行的不得分。</w:t>
            </w:r>
          </w:p>
        </w:tc>
        <w:tc>
          <w:tcPr>
            <w:tcW w:w="951" w:type="dxa"/>
            <w:noWrap w:val="0"/>
            <w:vAlign w:val="center"/>
          </w:tcPr>
          <w:p w14:paraId="4E27A9AB">
            <w:pPr>
              <w:pStyle w:val="34"/>
              <w:bidi w:val="0"/>
              <w:rPr>
                <w:rFonts w:hint="eastAsia"/>
                <w:highlight w:val="none"/>
              </w:rPr>
            </w:pPr>
            <w:r>
              <w:rPr>
                <w:rFonts w:hint="eastAsia"/>
                <w:highlight w:val="none"/>
                <w:lang w:val="en-US" w:eastAsia="zh-CN"/>
              </w:rPr>
              <w:t>5</w:t>
            </w:r>
            <w:r>
              <w:rPr>
                <w:rFonts w:hint="eastAsia"/>
                <w:highlight w:val="none"/>
              </w:rPr>
              <w:t>分</w:t>
            </w:r>
          </w:p>
        </w:tc>
      </w:tr>
      <w:tr w14:paraId="4FD2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871" w:type="dxa"/>
            <w:noWrap w:val="0"/>
            <w:vAlign w:val="center"/>
          </w:tcPr>
          <w:p w14:paraId="2E13D6B7">
            <w:pPr>
              <w:pStyle w:val="34"/>
              <w:bidi w:val="0"/>
              <w:rPr>
                <w:rFonts w:hint="eastAsia"/>
                <w:highlight w:val="none"/>
                <w:lang w:val="en-US" w:eastAsia="zh-CN"/>
              </w:rPr>
            </w:pPr>
            <w:r>
              <w:rPr>
                <w:rFonts w:hint="eastAsia"/>
                <w:highlight w:val="none"/>
                <w:lang w:val="en-US" w:eastAsia="zh-CN"/>
              </w:rPr>
              <w:t>4</w:t>
            </w:r>
          </w:p>
        </w:tc>
        <w:tc>
          <w:tcPr>
            <w:tcW w:w="1415" w:type="dxa"/>
            <w:noWrap w:val="0"/>
            <w:vAlign w:val="center"/>
          </w:tcPr>
          <w:p w14:paraId="47560FD6">
            <w:pPr>
              <w:pStyle w:val="34"/>
              <w:bidi w:val="0"/>
              <w:rPr>
                <w:rFonts w:hint="eastAsia"/>
                <w:highlight w:val="none"/>
              </w:rPr>
            </w:pPr>
            <w:r>
              <w:rPr>
                <w:rFonts w:hint="eastAsia"/>
                <w:highlight w:val="none"/>
              </w:rPr>
              <w:t>售后服务分（满分</w:t>
            </w:r>
            <w:r>
              <w:rPr>
                <w:rFonts w:hint="eastAsia"/>
                <w:highlight w:val="none"/>
                <w:lang w:val="en-US" w:eastAsia="zh-CN"/>
              </w:rPr>
              <w:t>12</w:t>
            </w:r>
            <w:r>
              <w:rPr>
                <w:rFonts w:hint="eastAsia"/>
                <w:highlight w:val="none"/>
              </w:rPr>
              <w:t>分）</w:t>
            </w:r>
          </w:p>
        </w:tc>
        <w:tc>
          <w:tcPr>
            <w:tcW w:w="6288" w:type="dxa"/>
            <w:noWrap w:val="0"/>
            <w:vAlign w:val="top"/>
          </w:tcPr>
          <w:p w14:paraId="761C7298">
            <w:pPr>
              <w:bidi w:val="0"/>
              <w:rPr>
                <w:rFonts w:hint="eastAsia"/>
                <w:highlight w:val="none"/>
              </w:rPr>
            </w:pPr>
            <w:r>
              <w:rPr>
                <w:rFonts w:hint="eastAsia"/>
                <w:highlight w:val="none"/>
              </w:rPr>
              <w:t>1、保修期</w:t>
            </w:r>
            <w:r>
              <w:rPr>
                <w:rFonts w:hint="eastAsia"/>
                <w:highlight w:val="none"/>
                <w:lang w:eastAsia="zh-CN"/>
              </w:rPr>
              <w:t>（</w:t>
            </w:r>
            <w:r>
              <w:rPr>
                <w:rFonts w:hint="eastAsia"/>
                <w:highlight w:val="none"/>
              </w:rPr>
              <w:t>质保期</w:t>
            </w:r>
            <w:r>
              <w:rPr>
                <w:rFonts w:hint="eastAsia"/>
                <w:highlight w:val="none"/>
                <w:lang w:eastAsia="zh-CN"/>
              </w:rPr>
              <w:t>）</w:t>
            </w:r>
            <w:r>
              <w:rPr>
                <w:rFonts w:hint="eastAsia"/>
                <w:highlight w:val="none"/>
              </w:rPr>
              <w:t>（满分</w:t>
            </w:r>
            <w:r>
              <w:rPr>
                <w:rFonts w:hint="eastAsia"/>
                <w:highlight w:val="none"/>
                <w:lang w:val="en-US" w:eastAsia="zh-CN"/>
              </w:rPr>
              <w:t>2</w:t>
            </w:r>
            <w:r>
              <w:rPr>
                <w:rFonts w:hint="eastAsia"/>
                <w:highlight w:val="none"/>
              </w:rPr>
              <w:t>分）</w:t>
            </w:r>
          </w:p>
          <w:p w14:paraId="3E23AF59">
            <w:pPr>
              <w:bidi w:val="0"/>
              <w:rPr>
                <w:rFonts w:hint="eastAsia"/>
                <w:highlight w:val="none"/>
              </w:rPr>
            </w:pPr>
            <w:r>
              <w:rPr>
                <w:rFonts w:hint="eastAsia"/>
                <w:highlight w:val="none"/>
              </w:rPr>
              <w:t>在满足基本保修期</w:t>
            </w:r>
            <w:r>
              <w:rPr>
                <w:rFonts w:hint="eastAsia"/>
                <w:highlight w:val="none"/>
                <w:lang w:eastAsia="zh-CN"/>
              </w:rPr>
              <w:t>（</w:t>
            </w:r>
            <w:r>
              <w:rPr>
                <w:rFonts w:hint="eastAsia"/>
                <w:highlight w:val="none"/>
                <w:lang w:val="en-US" w:eastAsia="zh-CN"/>
              </w:rPr>
              <w:t>5年</w:t>
            </w:r>
            <w:r>
              <w:rPr>
                <w:rFonts w:hint="eastAsia"/>
                <w:highlight w:val="none"/>
                <w:lang w:eastAsia="zh-CN"/>
              </w:rPr>
              <w:t>）的</w:t>
            </w:r>
            <w:r>
              <w:rPr>
                <w:rFonts w:hint="eastAsia"/>
                <w:highlight w:val="none"/>
                <w:lang w:val="en-US" w:eastAsia="zh-CN"/>
              </w:rPr>
              <w:t>基础上</w:t>
            </w:r>
            <w:r>
              <w:rPr>
                <w:rFonts w:hint="eastAsia"/>
                <w:highlight w:val="none"/>
              </w:rPr>
              <w:t>，免费保修期每延长</w:t>
            </w:r>
            <w:r>
              <w:rPr>
                <w:rFonts w:hint="eastAsia"/>
                <w:highlight w:val="none"/>
                <w:lang w:val="en-US" w:eastAsia="zh-CN"/>
              </w:rPr>
              <w:t>6个月得0.5</w:t>
            </w:r>
            <w:r>
              <w:rPr>
                <w:rFonts w:hint="eastAsia"/>
                <w:highlight w:val="none"/>
              </w:rPr>
              <w:t>分（以设备生产厂家承诺为准，投标文件中提供厂家证明文件复印件加盖投标单位公章），满分</w:t>
            </w:r>
            <w:r>
              <w:rPr>
                <w:rFonts w:hint="eastAsia"/>
                <w:highlight w:val="none"/>
                <w:lang w:val="en-US" w:eastAsia="zh-CN"/>
              </w:rPr>
              <w:t>2</w:t>
            </w:r>
            <w:r>
              <w:rPr>
                <w:rFonts w:hint="eastAsia"/>
                <w:highlight w:val="none"/>
              </w:rPr>
              <w:t>分。</w:t>
            </w:r>
          </w:p>
          <w:p w14:paraId="0FCE6A45">
            <w:pPr>
              <w:bidi w:val="0"/>
              <w:rPr>
                <w:rFonts w:hint="eastAsia"/>
                <w:highlight w:val="none"/>
              </w:rPr>
            </w:pPr>
            <w:r>
              <w:rPr>
                <w:rFonts w:hint="eastAsia"/>
                <w:highlight w:val="none"/>
              </w:rPr>
              <w:t>2、服务方案（满分</w:t>
            </w:r>
            <w:r>
              <w:rPr>
                <w:rFonts w:hint="eastAsia"/>
                <w:highlight w:val="none"/>
                <w:lang w:val="en-US" w:eastAsia="zh-CN"/>
              </w:rPr>
              <w:t>5</w:t>
            </w:r>
            <w:r>
              <w:rPr>
                <w:rFonts w:hint="eastAsia"/>
                <w:highlight w:val="none"/>
              </w:rPr>
              <w:t>分）</w:t>
            </w:r>
          </w:p>
          <w:p w14:paraId="1E4AA31B">
            <w:pPr>
              <w:bidi w:val="0"/>
              <w:rPr>
                <w:rFonts w:hint="eastAsia"/>
                <w:highlight w:val="none"/>
              </w:rPr>
            </w:pPr>
            <w:r>
              <w:rPr>
                <w:rFonts w:hint="eastAsia"/>
                <w:highlight w:val="none"/>
              </w:rPr>
              <w:t>一档（</w:t>
            </w:r>
            <w:r>
              <w:rPr>
                <w:rFonts w:hint="eastAsia"/>
                <w:highlight w:val="none"/>
                <w:lang w:val="en-US" w:eastAsia="zh-CN"/>
              </w:rPr>
              <w:t>2</w:t>
            </w:r>
            <w:r>
              <w:rPr>
                <w:rFonts w:hint="eastAsia"/>
                <w:highlight w:val="none"/>
              </w:rPr>
              <w:t>分）：售后服务方案仅满足招标文件基本要求。</w:t>
            </w:r>
          </w:p>
          <w:p w14:paraId="7367A161">
            <w:pPr>
              <w:bidi w:val="0"/>
              <w:rPr>
                <w:rFonts w:hint="eastAsia"/>
                <w:highlight w:val="none"/>
              </w:rPr>
            </w:pPr>
            <w:r>
              <w:rPr>
                <w:rFonts w:hint="eastAsia"/>
                <w:highlight w:val="none"/>
              </w:rPr>
              <w:t>二档（</w:t>
            </w:r>
            <w:r>
              <w:rPr>
                <w:rFonts w:hint="eastAsia"/>
                <w:highlight w:val="none"/>
                <w:lang w:val="en-US" w:eastAsia="zh-CN"/>
              </w:rPr>
              <w:t>5</w:t>
            </w:r>
            <w:r>
              <w:rPr>
                <w:rFonts w:hint="eastAsia"/>
                <w:highlight w:val="none"/>
              </w:rPr>
              <w:t>分）：售后服务方案细致、合理、可行，能提供生产厂家售后服务承诺书原件，有详细的售后服务管理制度、售后服务流程、应急预案、发生故障时提供备用机或其他替代解决的具体措施、质量保障方案。</w:t>
            </w:r>
          </w:p>
          <w:p w14:paraId="37D835BD">
            <w:pPr>
              <w:bidi w:val="0"/>
              <w:rPr>
                <w:rFonts w:hint="eastAsia"/>
                <w:highlight w:val="none"/>
              </w:rPr>
            </w:pPr>
            <w:r>
              <w:rPr>
                <w:rFonts w:hint="eastAsia"/>
                <w:highlight w:val="none"/>
                <w:lang w:val="en-US" w:eastAsia="zh-CN"/>
              </w:rPr>
              <w:t>未提供或不可行的不得分。</w:t>
            </w:r>
          </w:p>
          <w:p w14:paraId="7EA0C6C5">
            <w:pPr>
              <w:bidi w:val="0"/>
              <w:rPr>
                <w:rFonts w:hint="eastAsia"/>
                <w:highlight w:val="none"/>
              </w:rPr>
            </w:pPr>
            <w:r>
              <w:rPr>
                <w:rFonts w:hint="eastAsia"/>
                <w:highlight w:val="none"/>
                <w:lang w:val="en-US" w:eastAsia="zh-CN"/>
              </w:rPr>
              <w:t>3</w:t>
            </w:r>
            <w:r>
              <w:rPr>
                <w:rFonts w:hint="eastAsia"/>
                <w:highlight w:val="none"/>
              </w:rPr>
              <w:t>、</w:t>
            </w:r>
            <w:r>
              <w:rPr>
                <w:rFonts w:hint="eastAsia"/>
                <w:highlight w:val="none"/>
                <w:lang w:val="en-US" w:eastAsia="zh-CN"/>
              </w:rPr>
              <w:t>培训方案</w:t>
            </w:r>
            <w:r>
              <w:rPr>
                <w:rFonts w:hint="eastAsia"/>
                <w:highlight w:val="none"/>
              </w:rPr>
              <w:t>（满分</w:t>
            </w:r>
            <w:r>
              <w:rPr>
                <w:rFonts w:hint="eastAsia"/>
                <w:highlight w:val="none"/>
                <w:lang w:val="en-US" w:eastAsia="zh-CN"/>
              </w:rPr>
              <w:t>5</w:t>
            </w:r>
            <w:r>
              <w:rPr>
                <w:rFonts w:hint="eastAsia"/>
                <w:highlight w:val="none"/>
              </w:rPr>
              <w:t>分）</w:t>
            </w:r>
          </w:p>
          <w:p w14:paraId="602824F0">
            <w:pPr>
              <w:bidi w:val="0"/>
              <w:rPr>
                <w:rFonts w:hint="eastAsia"/>
                <w:highlight w:val="none"/>
              </w:rPr>
            </w:pPr>
            <w:r>
              <w:rPr>
                <w:rFonts w:hint="eastAsia"/>
                <w:highlight w:val="none"/>
              </w:rPr>
              <w:t>一档（</w:t>
            </w:r>
            <w:r>
              <w:rPr>
                <w:rFonts w:hint="eastAsia"/>
                <w:highlight w:val="none"/>
                <w:lang w:val="en-US" w:eastAsia="zh-CN"/>
              </w:rPr>
              <w:t>2</w:t>
            </w:r>
            <w:r>
              <w:rPr>
                <w:rFonts w:hint="eastAsia"/>
                <w:highlight w:val="none"/>
              </w:rPr>
              <w:t>分）：</w:t>
            </w:r>
            <w:r>
              <w:rPr>
                <w:rFonts w:hint="eastAsia"/>
                <w:highlight w:val="none"/>
                <w:lang w:val="en-US" w:eastAsia="zh-CN"/>
              </w:rPr>
              <w:t>提供有</w:t>
            </w:r>
            <w:r>
              <w:rPr>
                <w:rFonts w:hint="eastAsia"/>
                <w:highlight w:val="none"/>
              </w:rPr>
              <w:t>培训</w:t>
            </w:r>
            <w:r>
              <w:rPr>
                <w:rFonts w:hint="eastAsia"/>
                <w:highlight w:val="none"/>
                <w:lang w:val="en-US" w:eastAsia="zh-CN"/>
              </w:rPr>
              <w:t>方案，方案内容</w:t>
            </w:r>
            <w:r>
              <w:rPr>
                <w:rFonts w:hint="eastAsia"/>
                <w:highlight w:val="none"/>
              </w:rPr>
              <w:t>满足招标文件基本要求，培训计划安排清晰合理（包括培训人员安排，培训内容安排）。</w:t>
            </w:r>
          </w:p>
          <w:p w14:paraId="2A7B021C">
            <w:pPr>
              <w:bidi w:val="0"/>
              <w:rPr>
                <w:rFonts w:hint="eastAsia"/>
                <w:highlight w:val="none"/>
              </w:rPr>
            </w:pPr>
            <w:r>
              <w:rPr>
                <w:rFonts w:hint="eastAsia"/>
                <w:highlight w:val="none"/>
                <w:lang w:val="en-US" w:eastAsia="zh-CN"/>
              </w:rPr>
              <w:t>二</w:t>
            </w:r>
            <w:r>
              <w:rPr>
                <w:rFonts w:hint="eastAsia"/>
                <w:highlight w:val="none"/>
              </w:rPr>
              <w:t>档（</w:t>
            </w:r>
            <w:r>
              <w:rPr>
                <w:rFonts w:hint="eastAsia"/>
                <w:highlight w:val="none"/>
                <w:lang w:val="en-US" w:eastAsia="zh-CN"/>
              </w:rPr>
              <w:t>5</w:t>
            </w:r>
            <w:r>
              <w:rPr>
                <w:rFonts w:hint="eastAsia"/>
                <w:highlight w:val="none"/>
              </w:rPr>
              <w:t>分）培训计划优于招标文件基本要求，培训方案详细、具体，有可行性，方案内容包括培训时间安排，师资人员安排，培训内容安排，其中培训内容安排包括设备功能理论培训计划、操作培训计划、设备常见问题的基本维修操作培训计划。</w:t>
            </w:r>
          </w:p>
          <w:p w14:paraId="1C0253EE">
            <w:pPr>
              <w:bidi w:val="0"/>
              <w:rPr>
                <w:rFonts w:hint="eastAsia"/>
                <w:highlight w:val="none"/>
              </w:rPr>
            </w:pPr>
            <w:r>
              <w:rPr>
                <w:rFonts w:hint="eastAsia"/>
                <w:highlight w:val="none"/>
                <w:lang w:val="en-US" w:eastAsia="zh-CN"/>
              </w:rPr>
              <w:t>未提供或不可行的不得分。</w:t>
            </w:r>
          </w:p>
        </w:tc>
        <w:tc>
          <w:tcPr>
            <w:tcW w:w="951" w:type="dxa"/>
            <w:noWrap w:val="0"/>
            <w:vAlign w:val="center"/>
          </w:tcPr>
          <w:p w14:paraId="0A566703">
            <w:pPr>
              <w:pStyle w:val="34"/>
              <w:bidi w:val="0"/>
              <w:rPr>
                <w:rFonts w:hint="eastAsia"/>
                <w:highlight w:val="none"/>
              </w:rPr>
            </w:pPr>
            <w:r>
              <w:rPr>
                <w:rFonts w:hint="eastAsia"/>
                <w:highlight w:val="none"/>
                <w:lang w:val="en-US" w:eastAsia="zh-CN"/>
              </w:rPr>
              <w:t>12</w:t>
            </w:r>
            <w:r>
              <w:rPr>
                <w:rFonts w:hint="eastAsia"/>
                <w:highlight w:val="none"/>
              </w:rPr>
              <w:t>分</w:t>
            </w:r>
          </w:p>
        </w:tc>
      </w:tr>
      <w:tr w14:paraId="156C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noWrap w:val="0"/>
            <w:vAlign w:val="center"/>
          </w:tcPr>
          <w:p w14:paraId="33084D7C">
            <w:pPr>
              <w:pStyle w:val="34"/>
              <w:bidi w:val="0"/>
              <w:rPr>
                <w:rFonts w:hint="eastAsia"/>
                <w:highlight w:val="none"/>
                <w:lang w:eastAsia="zh-CN"/>
              </w:rPr>
            </w:pPr>
            <w:r>
              <w:rPr>
                <w:rFonts w:hint="eastAsia"/>
                <w:highlight w:val="none"/>
                <w:lang w:val="en-US" w:eastAsia="zh-CN"/>
              </w:rPr>
              <w:t>5</w:t>
            </w:r>
          </w:p>
        </w:tc>
        <w:tc>
          <w:tcPr>
            <w:tcW w:w="1415" w:type="dxa"/>
            <w:noWrap w:val="0"/>
            <w:vAlign w:val="center"/>
          </w:tcPr>
          <w:p w14:paraId="2F4CC35A">
            <w:pPr>
              <w:pStyle w:val="34"/>
              <w:bidi w:val="0"/>
              <w:rPr>
                <w:rFonts w:hint="eastAsia"/>
                <w:highlight w:val="none"/>
              </w:rPr>
            </w:pPr>
            <w:r>
              <w:rPr>
                <w:rFonts w:hint="eastAsia"/>
                <w:highlight w:val="none"/>
              </w:rPr>
              <w:t>商务分</w:t>
            </w:r>
          </w:p>
        </w:tc>
        <w:tc>
          <w:tcPr>
            <w:tcW w:w="7239" w:type="dxa"/>
            <w:gridSpan w:val="2"/>
            <w:noWrap w:val="0"/>
            <w:vAlign w:val="center"/>
          </w:tcPr>
          <w:p w14:paraId="7FD8EBDC">
            <w:pPr>
              <w:bidi w:val="0"/>
              <w:rPr>
                <w:rFonts w:hint="eastAsia"/>
                <w:highlight w:val="none"/>
              </w:rPr>
            </w:pPr>
            <w:r>
              <w:rPr>
                <w:rFonts w:hint="eastAsia"/>
                <w:highlight w:val="none"/>
              </w:rPr>
              <w:t>评审因素</w:t>
            </w:r>
          </w:p>
        </w:tc>
      </w:tr>
      <w:tr w14:paraId="295D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noWrap w:val="0"/>
            <w:vAlign w:val="center"/>
          </w:tcPr>
          <w:p w14:paraId="1A4DFA57">
            <w:pPr>
              <w:pStyle w:val="34"/>
              <w:bidi w:val="0"/>
              <w:rPr>
                <w:rFonts w:hint="eastAsia"/>
                <w:highlight w:val="none"/>
              </w:rPr>
            </w:pPr>
            <w:r>
              <w:rPr>
                <w:rFonts w:hint="eastAsia"/>
                <w:highlight w:val="none"/>
                <w:lang w:val="en-US" w:eastAsia="zh-CN"/>
              </w:rPr>
              <w:t>5</w:t>
            </w:r>
            <w:r>
              <w:rPr>
                <w:rFonts w:hint="eastAsia"/>
                <w:highlight w:val="none"/>
              </w:rPr>
              <w:t>.1</w:t>
            </w:r>
          </w:p>
        </w:tc>
        <w:tc>
          <w:tcPr>
            <w:tcW w:w="1415" w:type="dxa"/>
            <w:noWrap w:val="0"/>
            <w:vAlign w:val="center"/>
          </w:tcPr>
          <w:p w14:paraId="64362521">
            <w:pPr>
              <w:pStyle w:val="34"/>
              <w:bidi w:val="0"/>
              <w:rPr>
                <w:rFonts w:hint="eastAsia"/>
                <w:highlight w:val="none"/>
              </w:rPr>
            </w:pPr>
            <w:r>
              <w:rPr>
                <w:rFonts w:hint="eastAsia"/>
                <w:highlight w:val="none"/>
              </w:rPr>
              <w:t>信誉及业绩（满分</w:t>
            </w:r>
            <w:r>
              <w:rPr>
                <w:rFonts w:hint="eastAsia"/>
                <w:highlight w:val="none"/>
                <w:lang w:val="en-US" w:eastAsia="zh-CN"/>
              </w:rPr>
              <w:t>8</w:t>
            </w:r>
            <w:r>
              <w:rPr>
                <w:rFonts w:hint="eastAsia"/>
                <w:highlight w:val="none"/>
              </w:rPr>
              <w:t>分）</w:t>
            </w:r>
          </w:p>
        </w:tc>
        <w:tc>
          <w:tcPr>
            <w:tcW w:w="6288" w:type="dxa"/>
            <w:noWrap w:val="0"/>
            <w:vAlign w:val="top"/>
          </w:tcPr>
          <w:p w14:paraId="04CF5DC7">
            <w:pPr>
              <w:bidi w:val="0"/>
              <w:rPr>
                <w:rFonts w:hint="eastAsia"/>
                <w:highlight w:val="none"/>
              </w:rPr>
            </w:pPr>
            <w:r>
              <w:rPr>
                <w:rFonts w:hint="eastAsia"/>
                <w:highlight w:val="none"/>
              </w:rPr>
              <w:t>（1）投标人或投标产品生产厂家通过ISO9001系列国际质量体系认证、ISO13485医疗器械质量管理体系认证及ISO14001环境管理体系认证的，每有1项得</w:t>
            </w:r>
            <w:r>
              <w:rPr>
                <w:rFonts w:hint="eastAsia"/>
                <w:highlight w:val="none"/>
                <w:lang w:val="en-US" w:eastAsia="zh-CN"/>
              </w:rPr>
              <w:t>1</w:t>
            </w:r>
            <w:r>
              <w:rPr>
                <w:rFonts w:hint="eastAsia"/>
                <w:highlight w:val="none"/>
              </w:rPr>
              <w:t>分，满分</w:t>
            </w:r>
            <w:r>
              <w:rPr>
                <w:rFonts w:hint="eastAsia"/>
                <w:highlight w:val="none"/>
                <w:lang w:val="en-US" w:eastAsia="zh-CN"/>
              </w:rPr>
              <w:t>3</w:t>
            </w:r>
            <w:r>
              <w:rPr>
                <w:rFonts w:hint="eastAsia"/>
                <w:highlight w:val="none"/>
              </w:rPr>
              <w:t>分（投标文件中提供有效的证书复印件，非中文文本的请提供中文翻译文本，否则不予以计分）。</w:t>
            </w:r>
          </w:p>
          <w:p w14:paraId="0E3E8270">
            <w:pPr>
              <w:bidi w:val="0"/>
              <w:rPr>
                <w:rFonts w:hint="eastAsia"/>
                <w:highlight w:val="none"/>
              </w:rPr>
            </w:pPr>
            <w:r>
              <w:rPr>
                <w:rFonts w:hint="eastAsia"/>
                <w:highlight w:val="none"/>
              </w:rPr>
              <w:t>（2）投标人20</w:t>
            </w:r>
            <w:r>
              <w:rPr>
                <w:rFonts w:hint="eastAsia"/>
                <w:highlight w:val="none"/>
                <w:lang w:val="en-US" w:eastAsia="zh-CN"/>
              </w:rPr>
              <w:t>20</w:t>
            </w:r>
            <w:r>
              <w:rPr>
                <w:rFonts w:hint="eastAsia"/>
                <w:highlight w:val="none"/>
              </w:rPr>
              <w:t>年1月1日至今同类项目业绩，每有1项得</w:t>
            </w:r>
            <w:r>
              <w:rPr>
                <w:rFonts w:hint="eastAsia"/>
                <w:highlight w:val="none"/>
                <w:lang w:val="en-US" w:eastAsia="zh-CN"/>
              </w:rPr>
              <w:t>1</w:t>
            </w:r>
            <w:r>
              <w:rPr>
                <w:rFonts w:hint="eastAsia"/>
                <w:highlight w:val="none"/>
              </w:rPr>
              <w:t>分，满分</w:t>
            </w:r>
            <w:r>
              <w:rPr>
                <w:rFonts w:hint="eastAsia"/>
                <w:highlight w:val="none"/>
                <w:lang w:val="en-US" w:eastAsia="zh-CN"/>
              </w:rPr>
              <w:t>5</w:t>
            </w:r>
            <w:r>
              <w:rPr>
                <w:rFonts w:hint="eastAsia"/>
                <w:highlight w:val="none"/>
              </w:rPr>
              <w:t>分（投标文件中提供有效的中标通知书或合同复印件，否则不予以计分）。</w:t>
            </w:r>
          </w:p>
        </w:tc>
        <w:tc>
          <w:tcPr>
            <w:tcW w:w="951" w:type="dxa"/>
            <w:noWrap w:val="0"/>
            <w:vAlign w:val="center"/>
          </w:tcPr>
          <w:p w14:paraId="4C2DBFFC">
            <w:pPr>
              <w:pStyle w:val="34"/>
              <w:bidi w:val="0"/>
              <w:rPr>
                <w:rFonts w:hint="eastAsia"/>
                <w:highlight w:val="none"/>
              </w:rPr>
            </w:pPr>
            <w:r>
              <w:rPr>
                <w:rFonts w:hint="eastAsia"/>
                <w:highlight w:val="none"/>
                <w:lang w:val="en-US" w:eastAsia="zh-CN"/>
              </w:rPr>
              <w:t>8</w:t>
            </w:r>
            <w:r>
              <w:rPr>
                <w:rFonts w:hint="eastAsia"/>
                <w:highlight w:val="none"/>
              </w:rPr>
              <w:t>分</w:t>
            </w:r>
          </w:p>
        </w:tc>
      </w:tr>
      <w:tr w14:paraId="73C6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871" w:type="dxa"/>
            <w:noWrap w:val="0"/>
            <w:vAlign w:val="center"/>
          </w:tcPr>
          <w:p w14:paraId="5505FBC9">
            <w:pPr>
              <w:pStyle w:val="34"/>
              <w:bidi w:val="0"/>
              <w:rPr>
                <w:rFonts w:hint="eastAsia"/>
                <w:highlight w:val="none"/>
              </w:rPr>
            </w:pPr>
            <w:r>
              <w:rPr>
                <w:rFonts w:hint="eastAsia"/>
                <w:highlight w:val="none"/>
                <w:lang w:val="en-US" w:eastAsia="zh-CN"/>
              </w:rPr>
              <w:t>5</w:t>
            </w:r>
            <w:r>
              <w:rPr>
                <w:rFonts w:hint="eastAsia"/>
                <w:highlight w:val="none"/>
              </w:rPr>
              <w:t>.2</w:t>
            </w:r>
          </w:p>
        </w:tc>
        <w:tc>
          <w:tcPr>
            <w:tcW w:w="1415" w:type="dxa"/>
            <w:noWrap w:val="0"/>
            <w:vAlign w:val="center"/>
          </w:tcPr>
          <w:p w14:paraId="76752D46">
            <w:pPr>
              <w:pStyle w:val="34"/>
              <w:bidi w:val="0"/>
              <w:rPr>
                <w:rFonts w:hint="eastAsia"/>
                <w:highlight w:val="none"/>
              </w:rPr>
            </w:pPr>
            <w:r>
              <w:rPr>
                <w:rFonts w:hint="eastAsia"/>
                <w:highlight w:val="none"/>
              </w:rPr>
              <w:t>政策功能分（2分）</w:t>
            </w:r>
          </w:p>
        </w:tc>
        <w:tc>
          <w:tcPr>
            <w:tcW w:w="6288" w:type="dxa"/>
            <w:noWrap w:val="0"/>
            <w:vAlign w:val="top"/>
          </w:tcPr>
          <w:p w14:paraId="2299E702">
            <w:pPr>
              <w:bidi w:val="0"/>
              <w:rPr>
                <w:rFonts w:hint="eastAsia"/>
                <w:highlight w:val="none"/>
              </w:rPr>
            </w:pPr>
            <w:r>
              <w:rPr>
                <w:rFonts w:hint="eastAsia"/>
                <w:highlight w:val="none"/>
              </w:rPr>
              <w:t>节能、环保、区内产品分（满分2分）</w:t>
            </w:r>
          </w:p>
          <w:p w14:paraId="10944D92">
            <w:pPr>
              <w:bidi w:val="0"/>
              <w:rPr>
                <w:rFonts w:hint="eastAsia"/>
                <w:highlight w:val="none"/>
              </w:rPr>
            </w:pPr>
            <w:r>
              <w:rPr>
                <w:rFonts w:hint="eastAsia"/>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得0至1分，满分1分。</w:t>
            </w:r>
          </w:p>
          <w:p w14:paraId="6A4B40B0">
            <w:pPr>
              <w:bidi w:val="0"/>
              <w:rPr>
                <w:rFonts w:hint="eastAsia"/>
                <w:highlight w:val="none"/>
              </w:rPr>
            </w:pPr>
            <w:r>
              <w:rPr>
                <w:rFonts w:hint="eastAsia"/>
                <w:highlight w:val="none"/>
              </w:rPr>
              <w:t>（2）属于财政部《环境标志产品政府采购品目清单》内的产品[投标文件中提供有效的认证证书复印件及品目清单（标注出投标产品在品目清单中所属的品目），并加盖投标人公章]，根据其所占项目（或者分标）预算金额比例得 0 至 1 分，满分 1 分；</w:t>
            </w:r>
          </w:p>
          <w:p w14:paraId="5E8B180D">
            <w:pPr>
              <w:bidi w:val="0"/>
              <w:rPr>
                <w:rFonts w:hint="eastAsia"/>
                <w:highlight w:val="none"/>
              </w:rPr>
            </w:pPr>
            <w:r>
              <w:rPr>
                <w:rFonts w:hint="eastAsia"/>
                <w:highlight w:val="none"/>
              </w:rPr>
              <w:t xml:space="preserve">(3)非节能、环境标志产品的不得分。 </w:t>
            </w:r>
          </w:p>
        </w:tc>
        <w:tc>
          <w:tcPr>
            <w:tcW w:w="951" w:type="dxa"/>
            <w:noWrap w:val="0"/>
            <w:vAlign w:val="center"/>
          </w:tcPr>
          <w:p w14:paraId="3F4C9D27">
            <w:pPr>
              <w:pStyle w:val="34"/>
              <w:bidi w:val="0"/>
              <w:rPr>
                <w:rFonts w:hint="eastAsia"/>
                <w:highlight w:val="none"/>
              </w:rPr>
            </w:pPr>
            <w:r>
              <w:rPr>
                <w:rFonts w:hint="eastAsia"/>
                <w:highlight w:val="none"/>
              </w:rPr>
              <w:t>2分</w:t>
            </w:r>
          </w:p>
        </w:tc>
      </w:tr>
      <w:tr w14:paraId="4FCF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74" w:type="dxa"/>
            <w:gridSpan w:val="3"/>
            <w:noWrap w:val="0"/>
            <w:vAlign w:val="center"/>
          </w:tcPr>
          <w:p w14:paraId="14AD417B">
            <w:pPr>
              <w:bidi w:val="0"/>
              <w:rPr>
                <w:rFonts w:hint="eastAsia"/>
                <w:highlight w:val="none"/>
                <w:lang w:val="en-US" w:eastAsia="zh-CN"/>
              </w:rPr>
            </w:pPr>
            <w:r>
              <w:rPr>
                <w:rFonts w:hint="eastAsia"/>
                <w:highlight w:val="none"/>
              </w:rPr>
              <w:t>总得分＝1＋2＋3＋</w:t>
            </w:r>
            <w:r>
              <w:rPr>
                <w:rFonts w:hint="eastAsia"/>
                <w:highlight w:val="none"/>
                <w:lang w:val="en-US" w:eastAsia="zh-CN"/>
              </w:rPr>
              <w:t>4</w:t>
            </w:r>
            <w:r>
              <w:rPr>
                <w:rFonts w:hint="eastAsia"/>
                <w:highlight w:val="none"/>
              </w:rPr>
              <w:t>＋</w:t>
            </w:r>
            <w:r>
              <w:rPr>
                <w:rFonts w:hint="eastAsia"/>
                <w:highlight w:val="none"/>
                <w:lang w:val="en-US" w:eastAsia="zh-CN"/>
              </w:rPr>
              <w:t>5</w:t>
            </w:r>
          </w:p>
        </w:tc>
        <w:tc>
          <w:tcPr>
            <w:tcW w:w="951" w:type="dxa"/>
            <w:noWrap w:val="0"/>
            <w:vAlign w:val="center"/>
          </w:tcPr>
          <w:p w14:paraId="5981F9DE">
            <w:pPr>
              <w:pStyle w:val="34"/>
              <w:bidi w:val="0"/>
              <w:rPr>
                <w:rFonts w:hint="eastAsia"/>
                <w:highlight w:val="none"/>
              </w:rPr>
            </w:pPr>
          </w:p>
        </w:tc>
      </w:tr>
    </w:tbl>
    <w:p w14:paraId="77CC0B4C">
      <w:pPr>
        <w:pStyle w:val="36"/>
        <w:bidi w:val="0"/>
        <w:rPr>
          <w:rFonts w:hint="eastAsia"/>
          <w:b w:val="0"/>
          <w:bCs w:val="0"/>
          <w:highlight w:val="none"/>
          <w:lang w:val="en-US" w:eastAsia="zh-CN"/>
        </w:rPr>
        <w:sectPr>
          <w:pgSz w:w="11906" w:h="16839"/>
          <w:pgMar w:top="400" w:right="994" w:bottom="1156" w:left="1255" w:header="0" w:footer="994" w:gutter="0"/>
          <w:pgNumType w:fmt="decimal"/>
          <w:cols w:space="720" w:num="1"/>
        </w:sectPr>
      </w:pPr>
    </w:p>
    <w:p w14:paraId="591F05F5">
      <w:pPr>
        <w:pStyle w:val="36"/>
        <w:bidi w:val="0"/>
        <w:rPr>
          <w:rFonts w:hint="default"/>
          <w:highlight w:val="none"/>
          <w:lang w:val="en-US" w:eastAsia="zh-CN"/>
        </w:rPr>
      </w:pPr>
      <w:r>
        <w:rPr>
          <w:rFonts w:hint="eastAsia"/>
          <w:highlight w:val="none"/>
          <w:lang w:val="en-US" w:eastAsia="zh-CN"/>
        </w:rPr>
        <w:t>标项二：</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15"/>
        <w:gridCol w:w="6288"/>
        <w:gridCol w:w="951"/>
      </w:tblGrid>
      <w:tr w14:paraId="5F2C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1" w:type="dxa"/>
            <w:noWrap w:val="0"/>
            <w:vAlign w:val="center"/>
          </w:tcPr>
          <w:p w14:paraId="3106B6D4">
            <w:pPr>
              <w:pStyle w:val="34"/>
              <w:bidi w:val="0"/>
              <w:rPr>
                <w:rFonts w:hint="eastAsia"/>
                <w:highlight w:val="none"/>
              </w:rPr>
            </w:pPr>
            <w:r>
              <w:rPr>
                <w:rFonts w:hint="eastAsia"/>
                <w:highlight w:val="none"/>
              </w:rPr>
              <w:t>序号</w:t>
            </w:r>
          </w:p>
        </w:tc>
        <w:tc>
          <w:tcPr>
            <w:tcW w:w="1415" w:type="dxa"/>
            <w:noWrap w:val="0"/>
            <w:vAlign w:val="center"/>
          </w:tcPr>
          <w:p w14:paraId="3CE1A978">
            <w:pPr>
              <w:pStyle w:val="34"/>
              <w:bidi w:val="0"/>
              <w:rPr>
                <w:rFonts w:hint="eastAsia"/>
                <w:highlight w:val="none"/>
              </w:rPr>
            </w:pPr>
            <w:r>
              <w:rPr>
                <w:rFonts w:hint="eastAsia"/>
                <w:highlight w:val="none"/>
              </w:rPr>
              <w:t>评审因素</w:t>
            </w:r>
          </w:p>
        </w:tc>
        <w:tc>
          <w:tcPr>
            <w:tcW w:w="6288" w:type="dxa"/>
            <w:noWrap w:val="0"/>
            <w:vAlign w:val="center"/>
          </w:tcPr>
          <w:p w14:paraId="37920C30">
            <w:pPr>
              <w:bidi w:val="0"/>
              <w:rPr>
                <w:rFonts w:hint="eastAsia"/>
                <w:highlight w:val="none"/>
              </w:rPr>
            </w:pPr>
            <w:r>
              <w:rPr>
                <w:rFonts w:hint="eastAsia"/>
                <w:highlight w:val="none"/>
              </w:rPr>
              <w:t>评分标准</w:t>
            </w:r>
          </w:p>
        </w:tc>
        <w:tc>
          <w:tcPr>
            <w:tcW w:w="951" w:type="dxa"/>
            <w:noWrap w:val="0"/>
            <w:vAlign w:val="center"/>
          </w:tcPr>
          <w:p w14:paraId="6E45B69A">
            <w:pPr>
              <w:pStyle w:val="34"/>
              <w:bidi w:val="0"/>
              <w:rPr>
                <w:rFonts w:hint="eastAsia"/>
                <w:highlight w:val="none"/>
              </w:rPr>
            </w:pPr>
            <w:r>
              <w:rPr>
                <w:rFonts w:hint="eastAsia"/>
                <w:highlight w:val="none"/>
              </w:rPr>
              <w:t>分值</w:t>
            </w:r>
          </w:p>
        </w:tc>
      </w:tr>
      <w:tr w14:paraId="3983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1" w:type="dxa"/>
            <w:noWrap w:val="0"/>
            <w:vAlign w:val="center"/>
          </w:tcPr>
          <w:p w14:paraId="2CE46543">
            <w:pPr>
              <w:pStyle w:val="34"/>
              <w:bidi w:val="0"/>
              <w:rPr>
                <w:rFonts w:hint="eastAsia"/>
                <w:highlight w:val="none"/>
              </w:rPr>
            </w:pPr>
            <w:r>
              <w:rPr>
                <w:rFonts w:hint="eastAsia"/>
                <w:highlight w:val="none"/>
              </w:rPr>
              <w:t>1</w:t>
            </w:r>
          </w:p>
        </w:tc>
        <w:tc>
          <w:tcPr>
            <w:tcW w:w="1415" w:type="dxa"/>
            <w:noWrap w:val="0"/>
            <w:vAlign w:val="center"/>
          </w:tcPr>
          <w:p w14:paraId="0D484C30">
            <w:pPr>
              <w:pStyle w:val="34"/>
              <w:bidi w:val="0"/>
              <w:rPr>
                <w:rFonts w:hint="eastAsia"/>
                <w:highlight w:val="none"/>
              </w:rPr>
            </w:pPr>
            <w:r>
              <w:rPr>
                <w:rFonts w:hint="eastAsia"/>
                <w:highlight w:val="none"/>
              </w:rPr>
              <w:t>价格分</w:t>
            </w:r>
          </w:p>
          <w:p w14:paraId="461CBB78">
            <w:pPr>
              <w:pStyle w:val="34"/>
              <w:bidi w:val="0"/>
              <w:rPr>
                <w:rFonts w:hint="eastAsia"/>
                <w:highlight w:val="none"/>
              </w:rPr>
            </w:pPr>
            <w:r>
              <w:rPr>
                <w:rFonts w:hint="eastAsia"/>
                <w:highlight w:val="none"/>
              </w:rPr>
              <w:t>（30分）</w:t>
            </w:r>
          </w:p>
        </w:tc>
        <w:tc>
          <w:tcPr>
            <w:tcW w:w="6288" w:type="dxa"/>
            <w:noWrap w:val="0"/>
            <w:vAlign w:val="top"/>
          </w:tcPr>
          <w:p w14:paraId="598C045B">
            <w:pPr>
              <w:bidi w:val="0"/>
              <w:rPr>
                <w:rFonts w:hint="eastAsia"/>
                <w:highlight w:val="none"/>
              </w:rPr>
            </w:pPr>
            <w:r>
              <w:rPr>
                <w:rFonts w:hint="eastAsia"/>
                <w:highlight w:val="none"/>
              </w:rPr>
              <w:t xml:space="preserve">（1）评标报价为投标人的投标报价进行政策性扣除后的价格，评标报价只是作为评标时使用。最终中标人的中标金额等于投标报价。 </w:t>
            </w:r>
          </w:p>
          <w:p w14:paraId="31E2B7D7">
            <w:pPr>
              <w:bidi w:val="0"/>
              <w:rPr>
                <w:rFonts w:hint="eastAsia"/>
                <w:highlight w:val="none"/>
              </w:rPr>
            </w:pPr>
            <w:r>
              <w:rPr>
                <w:rFonts w:hint="eastAsia"/>
                <w:highlight w:val="none"/>
              </w:rPr>
              <w:t>（2）按照《政府采购促进中小企业发展管理办法》（财库﹝2020﹞46 号）、《广西壮族自治区财政厅关于进一步发挥政府采购政策功能促进企业发展的通知》（桂财采〔2022〕30 号）等规定，投标人为小型和微型企业，并在其投标文件中提供《中小企业声明函》，且其所投标产品全部为小型和微型企业产品的，对其投标价格给予</w:t>
            </w:r>
            <w:r>
              <w:rPr>
                <w:rFonts w:hint="eastAsia"/>
                <w:highlight w:val="none"/>
                <w:lang w:val="en-US" w:eastAsia="zh-CN"/>
              </w:rPr>
              <w:t>1</w:t>
            </w:r>
            <w:r>
              <w:rPr>
                <w:rFonts w:hint="eastAsia"/>
                <w:highlight w:val="none"/>
              </w:rPr>
              <w:t xml:space="preserve">0%的扣除。 </w:t>
            </w:r>
          </w:p>
          <w:p w14:paraId="01DC6443">
            <w:pPr>
              <w:bidi w:val="0"/>
              <w:rPr>
                <w:rFonts w:hint="eastAsia"/>
                <w:highlight w:val="none"/>
              </w:rPr>
            </w:pPr>
            <w:r>
              <w:rPr>
                <w:rFonts w:hint="eastAsia"/>
                <w:highlight w:val="none"/>
              </w:rPr>
              <w:t>（3）大型企业在其投标文件中提供制造商《中小企业声明函》且提供的所有采购标的均为小微企业制造的，对其投标价格给予</w:t>
            </w:r>
            <w:r>
              <w:rPr>
                <w:rFonts w:hint="eastAsia"/>
                <w:highlight w:val="none"/>
                <w:lang w:val="en-US" w:eastAsia="zh-CN"/>
              </w:rPr>
              <w:t>10</w:t>
            </w:r>
            <w:r>
              <w:rPr>
                <w:rFonts w:hint="eastAsia"/>
                <w:highlight w:val="none"/>
              </w:rPr>
              <w:t xml:space="preserve">%的扣除。 </w:t>
            </w:r>
          </w:p>
          <w:p w14:paraId="24576B56">
            <w:pPr>
              <w:bidi w:val="0"/>
              <w:rPr>
                <w:rFonts w:hint="eastAsia"/>
                <w:highlight w:val="none"/>
              </w:rPr>
            </w:pPr>
            <w:r>
              <w:rPr>
                <w:rFonts w:hint="eastAsia"/>
                <w:highlight w:val="none"/>
              </w:rPr>
              <w:t>（4）按照《财政部、司法部关于政府采购支持监狱企业发展有关问题的通知》（财库〔2014〕68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DD7BA7E">
            <w:pPr>
              <w:bidi w:val="0"/>
              <w:rPr>
                <w:rFonts w:hint="eastAsia"/>
                <w:highlight w:val="none"/>
              </w:rPr>
            </w:pPr>
            <w:r>
              <w:rPr>
                <w:rFonts w:hint="eastAsia"/>
                <w:highlight w:val="none"/>
              </w:rPr>
              <w:t xml:space="preserve">（5）按照《关于促进残疾人就业政府采购政策的通知》（财库〔2017〕141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 </w:t>
            </w:r>
          </w:p>
          <w:p w14:paraId="7D341766">
            <w:pPr>
              <w:bidi w:val="0"/>
              <w:rPr>
                <w:rFonts w:hint="eastAsia"/>
                <w:highlight w:val="none"/>
              </w:rPr>
            </w:pPr>
            <w:r>
              <w:rPr>
                <w:rFonts w:hint="eastAsia"/>
                <w:highlight w:val="none"/>
              </w:rPr>
              <w:t xml:space="preserve">（6）政策性扣除计算方法。 </w:t>
            </w:r>
          </w:p>
          <w:p w14:paraId="6E319EBA">
            <w:pPr>
              <w:bidi w:val="0"/>
              <w:rPr>
                <w:rFonts w:hint="eastAsia"/>
                <w:highlight w:val="none"/>
              </w:rPr>
            </w:pPr>
            <w:r>
              <w:rPr>
                <w:rFonts w:hint="eastAsia"/>
                <w:highlight w:val="none"/>
              </w:rPr>
              <w:t>投标人被评定为监狱企业或者残疾人福利性单位或者小型和微型企业且其所投标全部产品为小型和微型企业产品的，该投标人的投标报价给予</w:t>
            </w:r>
            <w:r>
              <w:rPr>
                <w:rFonts w:hint="eastAsia"/>
                <w:highlight w:val="none"/>
                <w:lang w:val="en-US" w:eastAsia="zh-CN"/>
              </w:rPr>
              <w:t>1</w:t>
            </w:r>
            <w:r>
              <w:rPr>
                <w:rFonts w:hint="eastAsia"/>
                <w:highlight w:val="none"/>
              </w:rPr>
              <w:t>0%的扣除，扣除后的价格为评标报价，即评标报价=投标报价×（1-</w:t>
            </w:r>
            <w:r>
              <w:rPr>
                <w:rFonts w:hint="eastAsia"/>
                <w:highlight w:val="none"/>
                <w:lang w:val="en-US" w:eastAsia="zh-CN"/>
              </w:rPr>
              <w:t>10</w:t>
            </w:r>
            <w:r>
              <w:rPr>
                <w:rFonts w:hint="eastAsia"/>
                <w:highlight w:val="none"/>
              </w:rPr>
              <w:t>%）；大中型企业和其他自然人、法人或者其他组织与小型、微型企业组成联合体投标，且联合体协议中约定小型、微型企业的协议合同金额占到联合体协议合同总金额30%以上的，联合体投标价给予 4 %的扣除，扣除后的价格为评标价，即评标报价=投标报价×（1-4%）；除上述情况外，评标报价=投标报价。</w:t>
            </w:r>
          </w:p>
          <w:p w14:paraId="63C2E483">
            <w:pPr>
              <w:bidi w:val="0"/>
              <w:rPr>
                <w:rFonts w:hint="eastAsia"/>
                <w:highlight w:val="none"/>
              </w:rPr>
            </w:pPr>
            <w:r>
              <w:rPr>
                <w:rFonts w:hint="eastAsia"/>
                <w:highlight w:val="none"/>
              </w:rPr>
              <w:t xml:space="preserve">（7）满足招标文件要求且评标报价最低的评标报价为评标基准价，基准价报价得分为 30 分。 </w:t>
            </w:r>
          </w:p>
          <w:p w14:paraId="35990A8E">
            <w:pPr>
              <w:bidi w:val="0"/>
              <w:rPr>
                <w:rFonts w:hint="eastAsia"/>
                <w:highlight w:val="none"/>
              </w:rPr>
            </w:pPr>
            <w:r>
              <w:rPr>
                <w:rFonts w:hint="eastAsia"/>
                <w:highlight w:val="none"/>
              </w:rPr>
              <w:t>（8）价格分计算公式：价格分=(评标基准价／评标报价)×30分。</w:t>
            </w:r>
          </w:p>
        </w:tc>
        <w:tc>
          <w:tcPr>
            <w:tcW w:w="951" w:type="dxa"/>
            <w:noWrap w:val="0"/>
            <w:vAlign w:val="center"/>
          </w:tcPr>
          <w:p w14:paraId="6A2AF1EF">
            <w:pPr>
              <w:pStyle w:val="34"/>
              <w:bidi w:val="0"/>
              <w:rPr>
                <w:rFonts w:hint="eastAsia"/>
                <w:highlight w:val="none"/>
              </w:rPr>
            </w:pPr>
            <w:r>
              <w:rPr>
                <w:rFonts w:hint="eastAsia"/>
                <w:highlight w:val="none"/>
              </w:rPr>
              <w:t>30分</w:t>
            </w:r>
          </w:p>
        </w:tc>
      </w:tr>
      <w:tr w14:paraId="59D1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1" w:type="dxa"/>
            <w:vMerge w:val="restart"/>
            <w:noWrap w:val="0"/>
            <w:vAlign w:val="center"/>
          </w:tcPr>
          <w:p w14:paraId="6360070A">
            <w:pPr>
              <w:pStyle w:val="34"/>
              <w:bidi w:val="0"/>
              <w:rPr>
                <w:rFonts w:hint="eastAsia"/>
                <w:highlight w:val="none"/>
                <w:lang w:val="en-US" w:eastAsia="zh-CN"/>
              </w:rPr>
            </w:pPr>
            <w:r>
              <w:rPr>
                <w:rFonts w:hint="eastAsia"/>
                <w:highlight w:val="none"/>
              </w:rPr>
              <w:t>2</w:t>
            </w:r>
          </w:p>
        </w:tc>
        <w:tc>
          <w:tcPr>
            <w:tcW w:w="1415" w:type="dxa"/>
            <w:vMerge w:val="restart"/>
            <w:noWrap w:val="0"/>
            <w:vAlign w:val="center"/>
          </w:tcPr>
          <w:p w14:paraId="3FF06676">
            <w:pPr>
              <w:pStyle w:val="34"/>
              <w:bidi w:val="0"/>
              <w:rPr>
                <w:rFonts w:hint="eastAsia"/>
                <w:highlight w:val="none"/>
              </w:rPr>
            </w:pPr>
            <w:r>
              <w:rPr>
                <w:rFonts w:hint="eastAsia"/>
                <w:highlight w:val="none"/>
              </w:rPr>
              <w:t>技术分（满分</w:t>
            </w:r>
            <w:r>
              <w:rPr>
                <w:rFonts w:hint="eastAsia"/>
                <w:highlight w:val="none"/>
                <w:lang w:val="en-US" w:eastAsia="zh-CN"/>
              </w:rPr>
              <w:t xml:space="preserve">  40</w:t>
            </w:r>
            <w:r>
              <w:rPr>
                <w:rFonts w:hint="eastAsia"/>
                <w:highlight w:val="none"/>
              </w:rPr>
              <w:t>分）</w:t>
            </w:r>
          </w:p>
        </w:tc>
        <w:tc>
          <w:tcPr>
            <w:tcW w:w="7239" w:type="dxa"/>
            <w:gridSpan w:val="2"/>
            <w:noWrap w:val="0"/>
            <w:vAlign w:val="top"/>
          </w:tcPr>
          <w:p w14:paraId="244B7BEC">
            <w:pPr>
              <w:bidi w:val="0"/>
              <w:rPr>
                <w:rFonts w:hint="eastAsia"/>
                <w:highlight w:val="none"/>
              </w:rPr>
            </w:pPr>
            <w:r>
              <w:rPr>
                <w:rFonts w:hint="eastAsia"/>
                <w:highlight w:val="none"/>
              </w:rPr>
              <w:t>评审因素</w:t>
            </w:r>
          </w:p>
        </w:tc>
      </w:tr>
      <w:tr w14:paraId="0ECF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vMerge w:val="continue"/>
            <w:noWrap w:val="0"/>
            <w:vAlign w:val="center"/>
          </w:tcPr>
          <w:p w14:paraId="05032008">
            <w:pPr>
              <w:pStyle w:val="34"/>
              <w:bidi w:val="0"/>
              <w:rPr>
                <w:rFonts w:hint="eastAsia"/>
                <w:highlight w:val="none"/>
                <w:lang w:val="en-US" w:eastAsia="zh-CN"/>
              </w:rPr>
            </w:pPr>
          </w:p>
        </w:tc>
        <w:tc>
          <w:tcPr>
            <w:tcW w:w="1415" w:type="dxa"/>
            <w:vMerge w:val="continue"/>
            <w:noWrap w:val="0"/>
            <w:vAlign w:val="center"/>
          </w:tcPr>
          <w:p w14:paraId="55770D42">
            <w:pPr>
              <w:pStyle w:val="34"/>
              <w:bidi w:val="0"/>
              <w:rPr>
                <w:rFonts w:hint="eastAsia"/>
                <w:highlight w:val="none"/>
              </w:rPr>
            </w:pPr>
          </w:p>
        </w:tc>
        <w:tc>
          <w:tcPr>
            <w:tcW w:w="6288" w:type="dxa"/>
            <w:noWrap w:val="0"/>
            <w:vAlign w:val="center"/>
          </w:tcPr>
          <w:p w14:paraId="34700E42">
            <w:pPr>
              <w:bidi w:val="0"/>
              <w:rPr>
                <w:rFonts w:hint="eastAsia"/>
                <w:highlight w:val="none"/>
              </w:rPr>
            </w:pPr>
            <w:r>
              <w:rPr>
                <w:rFonts w:hint="eastAsia"/>
                <w:highlight w:val="none"/>
                <w:lang w:val="en-US" w:eastAsia="zh-CN"/>
              </w:rPr>
              <w:t>一般技术参数</w:t>
            </w:r>
            <w:r>
              <w:rPr>
                <w:rFonts w:hint="eastAsia"/>
                <w:highlight w:val="none"/>
                <w:lang w:eastAsia="zh-CN"/>
              </w:rPr>
              <w:t>（</w:t>
            </w:r>
            <w:r>
              <w:rPr>
                <w:rFonts w:hint="eastAsia"/>
                <w:color w:val="FF0000"/>
                <w:highlight w:val="none"/>
                <w:lang w:val="en-US" w:eastAsia="zh-CN"/>
              </w:rPr>
              <w:t>未标记</w:t>
            </w:r>
            <w:r>
              <w:rPr>
                <w:rFonts w:hint="eastAsia"/>
                <w:highlight w:val="none"/>
                <w:lang w:val="en-US" w:eastAsia="zh-CN"/>
              </w:rPr>
              <w:t>“▲”及“</w:t>
            </w:r>
            <w:r>
              <w:rPr>
                <w:rFonts w:hint="eastAsia" w:ascii="宋体" w:hAnsi="宋体" w:eastAsia="宋体" w:cs="宋体"/>
                <w:color w:val="auto"/>
                <w:sz w:val="24"/>
                <w:highlight w:val="none"/>
              </w:rPr>
              <w:t>●</w:t>
            </w:r>
            <w:r>
              <w:rPr>
                <w:rFonts w:hint="eastAsia"/>
                <w:highlight w:val="none"/>
                <w:lang w:val="en-US" w:eastAsia="zh-CN"/>
              </w:rPr>
              <w:t>”</w:t>
            </w:r>
            <w:r>
              <w:rPr>
                <w:rFonts w:hint="eastAsia"/>
                <w:highlight w:val="none"/>
                <w:lang w:eastAsia="zh-CN"/>
              </w:rPr>
              <w:t>，</w:t>
            </w:r>
            <w:r>
              <w:rPr>
                <w:rFonts w:hint="eastAsia"/>
                <w:highlight w:val="none"/>
                <w:lang w:val="en-US" w:eastAsia="zh-CN"/>
              </w:rPr>
              <w:t>共计</w:t>
            </w:r>
            <w:r>
              <w:rPr>
                <w:rFonts w:hint="eastAsia"/>
                <w:highlight w:val="none"/>
                <w:u w:val="single"/>
                <w:lang w:val="en-US" w:eastAsia="zh-CN"/>
              </w:rPr>
              <w:t>10</w:t>
            </w:r>
            <w:r>
              <w:rPr>
                <w:rFonts w:hint="eastAsia"/>
                <w:highlight w:val="none"/>
                <w:lang w:val="en-US" w:eastAsia="zh-CN"/>
              </w:rPr>
              <w:t>项</w:t>
            </w:r>
            <w:r>
              <w:rPr>
                <w:rFonts w:hint="eastAsia"/>
                <w:highlight w:val="none"/>
                <w:lang w:eastAsia="zh-CN"/>
              </w:rPr>
              <w:t>）</w:t>
            </w:r>
            <w:r>
              <w:rPr>
                <w:rFonts w:hint="eastAsia"/>
                <w:highlight w:val="none"/>
              </w:rPr>
              <w:t>响应分：</w:t>
            </w:r>
          </w:p>
          <w:p w14:paraId="2D53B7F6">
            <w:pPr>
              <w:bidi w:val="0"/>
              <w:rPr>
                <w:rFonts w:hint="eastAsia"/>
                <w:highlight w:val="none"/>
                <w:lang w:val="en-US" w:eastAsia="zh-CN"/>
              </w:rPr>
            </w:pPr>
            <w:r>
              <w:rPr>
                <w:rFonts w:hint="eastAsia"/>
                <w:highlight w:val="none"/>
                <w:lang w:val="en-US" w:eastAsia="zh-CN"/>
              </w:rPr>
              <w:t>一般技术参数是指“第二章采购需求”的“</w:t>
            </w:r>
            <w:r>
              <w:rPr>
                <w:rFonts w:hint="eastAsia"/>
                <w:highlight w:val="none"/>
              </w:rPr>
              <w:t>技术参数及性能（配置）要求</w:t>
            </w:r>
            <w:r>
              <w:rPr>
                <w:rFonts w:hint="eastAsia"/>
                <w:highlight w:val="none"/>
                <w:lang w:val="en-US" w:eastAsia="zh-CN"/>
              </w:rPr>
              <w:t>”中未标注“▲”及“</w:t>
            </w:r>
            <w:r>
              <w:rPr>
                <w:rFonts w:hint="eastAsia" w:ascii="宋体" w:hAnsi="宋体" w:eastAsia="宋体" w:cs="宋体"/>
                <w:color w:val="auto"/>
                <w:sz w:val="24"/>
                <w:highlight w:val="none"/>
              </w:rPr>
              <w:t>●</w:t>
            </w:r>
            <w:r>
              <w:rPr>
                <w:rFonts w:hint="eastAsia"/>
                <w:highlight w:val="none"/>
                <w:lang w:val="en-US" w:eastAsia="zh-CN"/>
              </w:rPr>
              <w:t>”的技术参数（“二、配置清单”算1项），</w:t>
            </w:r>
            <w:r>
              <w:rPr>
                <w:rFonts w:hint="eastAsia"/>
                <w:highlight w:val="none"/>
              </w:rPr>
              <w:t>完全响应无偏离得</w:t>
            </w:r>
            <w:r>
              <w:rPr>
                <w:rFonts w:hint="eastAsia"/>
                <w:highlight w:val="none"/>
                <w:u w:val="single"/>
                <w:lang w:val="en-US" w:eastAsia="zh-CN"/>
              </w:rPr>
              <w:t>15</w:t>
            </w:r>
            <w:r>
              <w:rPr>
                <w:rFonts w:hint="eastAsia"/>
                <w:highlight w:val="none"/>
              </w:rPr>
              <w:t>分</w:t>
            </w:r>
            <w:r>
              <w:rPr>
                <w:rFonts w:hint="eastAsia"/>
                <w:highlight w:val="none"/>
                <w:lang w:eastAsia="zh-CN"/>
              </w:rPr>
              <w:t>，</w:t>
            </w:r>
            <w:r>
              <w:rPr>
                <w:rFonts w:hint="eastAsia"/>
                <w:highlight w:val="none"/>
                <w:lang w:val="en-US" w:eastAsia="zh-CN"/>
              </w:rPr>
              <w:t>每有一项负偏离或漏项的扣</w:t>
            </w:r>
            <w:r>
              <w:rPr>
                <w:rFonts w:hint="eastAsia"/>
                <w:highlight w:val="none"/>
                <w:u w:val="single"/>
                <w:lang w:val="en-US" w:eastAsia="zh-CN"/>
              </w:rPr>
              <w:t>1.5</w:t>
            </w:r>
            <w:r>
              <w:rPr>
                <w:rFonts w:hint="eastAsia"/>
                <w:highlight w:val="none"/>
                <w:lang w:val="en-US" w:eastAsia="zh-CN"/>
              </w:rPr>
              <w:t>分。</w:t>
            </w:r>
          </w:p>
          <w:p w14:paraId="36C3EDCC">
            <w:pPr>
              <w:bidi w:val="0"/>
              <w:rPr>
                <w:rFonts w:hint="eastAsia"/>
                <w:highlight w:val="none"/>
                <w:lang w:val="en-US" w:eastAsia="zh-CN"/>
              </w:rPr>
            </w:pPr>
            <w:r>
              <w:rPr>
                <w:rFonts w:hint="eastAsia"/>
                <w:highlight w:val="none"/>
                <w:lang w:val="en-US" w:eastAsia="zh-CN"/>
              </w:rPr>
              <w:t>说明：一般技术参数负偏离或漏项超过</w:t>
            </w:r>
            <w:r>
              <w:rPr>
                <w:rFonts w:hint="eastAsia"/>
                <w:highlight w:val="none"/>
                <w:u w:val="single"/>
                <w:lang w:val="en-US" w:eastAsia="zh-CN"/>
              </w:rPr>
              <w:t>3</w:t>
            </w:r>
            <w:r>
              <w:rPr>
                <w:rFonts w:hint="eastAsia"/>
                <w:highlight w:val="none"/>
                <w:lang w:val="en-US" w:eastAsia="zh-CN"/>
              </w:rPr>
              <w:t>项的，视为严重背离采购需求，一般技术指标响应得分按0分计算。</w:t>
            </w:r>
          </w:p>
        </w:tc>
        <w:tc>
          <w:tcPr>
            <w:tcW w:w="951" w:type="dxa"/>
            <w:noWrap w:val="0"/>
            <w:vAlign w:val="center"/>
          </w:tcPr>
          <w:p w14:paraId="5C70A8E9">
            <w:pPr>
              <w:pStyle w:val="34"/>
              <w:bidi w:val="0"/>
              <w:rPr>
                <w:rFonts w:hint="eastAsia"/>
                <w:highlight w:val="none"/>
              </w:rPr>
            </w:pPr>
            <w:r>
              <w:rPr>
                <w:rFonts w:hint="eastAsia"/>
                <w:highlight w:val="none"/>
                <w:lang w:val="en-US" w:eastAsia="zh-CN"/>
              </w:rPr>
              <w:t>15</w:t>
            </w:r>
            <w:r>
              <w:rPr>
                <w:rFonts w:hint="eastAsia"/>
                <w:highlight w:val="none"/>
              </w:rPr>
              <w:t>分</w:t>
            </w:r>
          </w:p>
        </w:tc>
      </w:tr>
      <w:tr w14:paraId="6CE4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1" w:type="dxa"/>
            <w:vMerge w:val="continue"/>
            <w:noWrap w:val="0"/>
            <w:vAlign w:val="center"/>
          </w:tcPr>
          <w:p w14:paraId="5BB0D73B">
            <w:pPr>
              <w:pStyle w:val="34"/>
              <w:bidi w:val="0"/>
              <w:rPr>
                <w:rFonts w:hint="eastAsia"/>
                <w:highlight w:val="none"/>
              </w:rPr>
            </w:pPr>
          </w:p>
        </w:tc>
        <w:tc>
          <w:tcPr>
            <w:tcW w:w="1415" w:type="dxa"/>
            <w:vMerge w:val="continue"/>
            <w:noWrap w:val="0"/>
            <w:vAlign w:val="center"/>
          </w:tcPr>
          <w:p w14:paraId="66F421EB">
            <w:pPr>
              <w:pStyle w:val="34"/>
              <w:bidi w:val="0"/>
              <w:rPr>
                <w:rFonts w:hint="eastAsia"/>
                <w:highlight w:val="none"/>
              </w:rPr>
            </w:pPr>
          </w:p>
        </w:tc>
        <w:tc>
          <w:tcPr>
            <w:tcW w:w="6288" w:type="dxa"/>
            <w:noWrap w:val="0"/>
            <w:vAlign w:val="center"/>
          </w:tcPr>
          <w:p w14:paraId="0C7B555C">
            <w:pPr>
              <w:bidi w:val="0"/>
              <w:rPr>
                <w:rFonts w:hint="eastAsia"/>
                <w:highlight w:val="none"/>
                <w:lang w:val="en-US" w:eastAsia="zh-CN"/>
              </w:rPr>
            </w:pPr>
            <w:r>
              <w:rPr>
                <w:rFonts w:hint="eastAsia"/>
                <w:highlight w:val="none"/>
                <w:lang w:val="en-US" w:eastAsia="zh-CN"/>
              </w:rPr>
              <w:t>重要技术参数</w:t>
            </w:r>
            <w:r>
              <w:rPr>
                <w:rFonts w:hint="eastAsia"/>
                <w:highlight w:val="none"/>
                <w:lang w:eastAsia="zh-CN"/>
              </w:rPr>
              <w:t>（</w:t>
            </w:r>
            <w:r>
              <w:rPr>
                <w:rFonts w:hint="eastAsia"/>
                <w:color w:val="FF0000"/>
                <w:highlight w:val="none"/>
                <w:lang w:val="en-US" w:eastAsia="zh-CN"/>
              </w:rPr>
              <w:t>标记</w:t>
            </w:r>
            <w:r>
              <w:rPr>
                <w:rFonts w:hint="eastAsia"/>
                <w:highlight w:val="none"/>
                <w:lang w:val="en-US" w:eastAsia="zh-CN"/>
              </w:rPr>
              <w:t>“</w:t>
            </w:r>
            <w:r>
              <w:rPr>
                <w:rFonts w:hint="eastAsia" w:ascii="宋体" w:hAnsi="宋体" w:eastAsia="宋体" w:cs="宋体"/>
                <w:color w:val="auto"/>
                <w:sz w:val="24"/>
                <w:highlight w:val="none"/>
              </w:rPr>
              <w:t>●</w:t>
            </w:r>
            <w:r>
              <w:rPr>
                <w:rFonts w:hint="eastAsia"/>
                <w:highlight w:val="none"/>
                <w:lang w:val="en-US" w:eastAsia="zh-CN"/>
              </w:rPr>
              <w:t>”的参数</w:t>
            </w:r>
            <w:r>
              <w:rPr>
                <w:rFonts w:hint="eastAsia"/>
                <w:highlight w:val="none"/>
                <w:lang w:eastAsia="zh-CN"/>
              </w:rPr>
              <w:t>，</w:t>
            </w:r>
            <w:r>
              <w:rPr>
                <w:rFonts w:hint="eastAsia"/>
                <w:highlight w:val="none"/>
                <w:lang w:val="en-US" w:eastAsia="zh-CN"/>
              </w:rPr>
              <w:t>共计</w:t>
            </w:r>
            <w:r>
              <w:rPr>
                <w:rFonts w:hint="eastAsia"/>
                <w:highlight w:val="none"/>
                <w:u w:val="single"/>
                <w:lang w:val="en-US" w:eastAsia="zh-CN"/>
              </w:rPr>
              <w:t>6</w:t>
            </w:r>
            <w:r>
              <w:rPr>
                <w:rFonts w:hint="eastAsia"/>
                <w:highlight w:val="none"/>
                <w:lang w:val="en-US" w:eastAsia="zh-CN"/>
              </w:rPr>
              <w:t>项</w:t>
            </w:r>
            <w:r>
              <w:rPr>
                <w:rFonts w:hint="eastAsia"/>
                <w:highlight w:val="none"/>
                <w:lang w:eastAsia="zh-CN"/>
              </w:rPr>
              <w:t>）</w:t>
            </w:r>
            <w:r>
              <w:rPr>
                <w:rFonts w:hint="eastAsia"/>
                <w:highlight w:val="none"/>
                <w:lang w:val="en-US" w:eastAsia="zh-CN"/>
              </w:rPr>
              <w:t>响应分：</w:t>
            </w:r>
          </w:p>
          <w:p w14:paraId="7D456104">
            <w:pPr>
              <w:bidi w:val="0"/>
              <w:rPr>
                <w:rFonts w:hint="eastAsia"/>
                <w:highlight w:val="none"/>
              </w:rPr>
            </w:pPr>
            <w:r>
              <w:rPr>
                <w:rFonts w:hint="eastAsia"/>
                <w:highlight w:val="none"/>
                <w:lang w:val="en-US" w:eastAsia="zh-CN"/>
              </w:rPr>
              <w:t>重要技术参数是指“第二章采购需求”的“</w:t>
            </w:r>
            <w:r>
              <w:rPr>
                <w:rFonts w:hint="eastAsia"/>
                <w:highlight w:val="none"/>
              </w:rPr>
              <w:t>技术参数及性能（配置）要求</w:t>
            </w:r>
            <w:r>
              <w:rPr>
                <w:rFonts w:hint="eastAsia"/>
                <w:highlight w:val="none"/>
                <w:lang w:val="en-US" w:eastAsia="zh-CN"/>
              </w:rPr>
              <w:t>”中标注“</w:t>
            </w:r>
            <w:r>
              <w:rPr>
                <w:rFonts w:hint="eastAsia" w:ascii="宋体" w:hAnsi="宋体" w:eastAsia="宋体" w:cs="宋体"/>
                <w:color w:val="auto"/>
                <w:sz w:val="24"/>
                <w:highlight w:val="none"/>
              </w:rPr>
              <w:t>●</w:t>
            </w:r>
            <w:r>
              <w:rPr>
                <w:rFonts w:hint="eastAsia"/>
                <w:highlight w:val="none"/>
                <w:lang w:val="en-US" w:eastAsia="zh-CN"/>
              </w:rPr>
              <w:t>”的技术参数，</w:t>
            </w:r>
            <w:r>
              <w:rPr>
                <w:rFonts w:hint="eastAsia"/>
                <w:highlight w:val="none"/>
              </w:rPr>
              <w:t>完全响应无偏离得</w:t>
            </w:r>
            <w:r>
              <w:rPr>
                <w:rFonts w:hint="eastAsia"/>
                <w:highlight w:val="none"/>
                <w:u w:val="single"/>
                <w:lang w:val="en-US" w:eastAsia="zh-CN"/>
              </w:rPr>
              <w:t>18</w:t>
            </w:r>
            <w:r>
              <w:rPr>
                <w:rFonts w:hint="eastAsia"/>
                <w:highlight w:val="none"/>
              </w:rPr>
              <w:t>分</w:t>
            </w:r>
            <w:r>
              <w:rPr>
                <w:rFonts w:hint="eastAsia"/>
                <w:highlight w:val="none"/>
                <w:lang w:eastAsia="zh-CN"/>
              </w:rPr>
              <w:t>，</w:t>
            </w:r>
            <w:r>
              <w:rPr>
                <w:rFonts w:hint="eastAsia"/>
                <w:highlight w:val="none"/>
                <w:lang w:val="en-US" w:eastAsia="zh-CN"/>
              </w:rPr>
              <w:t>每有一项负偏离或漏项的扣</w:t>
            </w:r>
            <w:r>
              <w:rPr>
                <w:rFonts w:hint="eastAsia"/>
                <w:highlight w:val="none"/>
                <w:u w:val="single"/>
                <w:lang w:val="en-US" w:eastAsia="zh-CN"/>
              </w:rPr>
              <w:t>3</w:t>
            </w:r>
            <w:r>
              <w:rPr>
                <w:rFonts w:hint="eastAsia"/>
                <w:highlight w:val="none"/>
                <w:lang w:val="en-US" w:eastAsia="zh-CN"/>
              </w:rPr>
              <w:t>分。</w:t>
            </w:r>
          </w:p>
        </w:tc>
        <w:tc>
          <w:tcPr>
            <w:tcW w:w="951" w:type="dxa"/>
            <w:noWrap w:val="0"/>
            <w:vAlign w:val="center"/>
          </w:tcPr>
          <w:p w14:paraId="1F1BF87F">
            <w:pPr>
              <w:pStyle w:val="34"/>
              <w:bidi w:val="0"/>
              <w:rPr>
                <w:rFonts w:hint="default"/>
                <w:highlight w:val="none"/>
                <w:lang w:val="en-US" w:eastAsia="zh-CN"/>
              </w:rPr>
            </w:pPr>
            <w:r>
              <w:rPr>
                <w:rFonts w:hint="eastAsia"/>
                <w:highlight w:val="none"/>
                <w:lang w:val="en-US" w:eastAsia="zh-CN"/>
              </w:rPr>
              <w:t>18</w:t>
            </w:r>
          </w:p>
        </w:tc>
      </w:tr>
      <w:tr w14:paraId="05A8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1" w:type="dxa"/>
            <w:vMerge w:val="continue"/>
            <w:noWrap w:val="0"/>
            <w:vAlign w:val="center"/>
          </w:tcPr>
          <w:p w14:paraId="1D8126CA">
            <w:pPr>
              <w:pStyle w:val="34"/>
              <w:bidi w:val="0"/>
              <w:rPr>
                <w:rFonts w:hint="eastAsia"/>
                <w:highlight w:val="none"/>
              </w:rPr>
            </w:pPr>
          </w:p>
        </w:tc>
        <w:tc>
          <w:tcPr>
            <w:tcW w:w="1415" w:type="dxa"/>
            <w:vMerge w:val="continue"/>
            <w:noWrap w:val="0"/>
            <w:vAlign w:val="center"/>
          </w:tcPr>
          <w:p w14:paraId="4D4B1D20">
            <w:pPr>
              <w:pStyle w:val="34"/>
              <w:bidi w:val="0"/>
              <w:rPr>
                <w:rFonts w:hint="eastAsia"/>
                <w:highlight w:val="none"/>
              </w:rPr>
            </w:pPr>
          </w:p>
        </w:tc>
        <w:tc>
          <w:tcPr>
            <w:tcW w:w="6288" w:type="dxa"/>
            <w:noWrap w:val="0"/>
            <w:vAlign w:val="center"/>
          </w:tcPr>
          <w:p w14:paraId="31BE99CE">
            <w:pPr>
              <w:bidi w:val="0"/>
              <w:rPr>
                <w:rFonts w:hint="eastAsia"/>
                <w:highlight w:val="none"/>
              </w:rPr>
            </w:pPr>
            <w:r>
              <w:rPr>
                <w:rFonts w:hint="eastAsia"/>
                <w:highlight w:val="none"/>
                <w:lang w:val="en-US" w:eastAsia="zh-CN"/>
              </w:rPr>
              <w:t>1、</w:t>
            </w:r>
            <w:r>
              <w:rPr>
                <w:rFonts w:hint="eastAsia"/>
                <w:highlight w:val="none"/>
              </w:rPr>
              <w:t>一般技术指标</w:t>
            </w:r>
            <w:r>
              <w:rPr>
                <w:rFonts w:hint="eastAsia"/>
                <w:highlight w:val="none"/>
                <w:lang w:eastAsia="zh-CN"/>
              </w:rPr>
              <w:t>（</w:t>
            </w:r>
            <w:r>
              <w:rPr>
                <w:rFonts w:hint="eastAsia"/>
                <w:highlight w:val="none"/>
                <w:lang w:val="en-US" w:eastAsia="zh-CN"/>
              </w:rPr>
              <w:t>未标记</w:t>
            </w:r>
            <w:r>
              <w:rPr>
                <w:rFonts w:hint="eastAsia"/>
                <w:highlight w:val="none"/>
              </w:rPr>
              <w:t>▲</w:t>
            </w:r>
            <w:r>
              <w:rPr>
                <w:rFonts w:hint="eastAsia"/>
                <w:highlight w:val="none"/>
                <w:lang w:eastAsia="zh-CN"/>
              </w:rPr>
              <w:t>、</w:t>
            </w:r>
            <w:r>
              <w:rPr>
                <w:rFonts w:hint="eastAsia" w:ascii="宋体" w:hAnsi="宋体" w:eastAsia="宋体" w:cs="宋体"/>
                <w:color w:val="auto"/>
                <w:sz w:val="24"/>
                <w:highlight w:val="none"/>
              </w:rPr>
              <w:t>●</w:t>
            </w:r>
            <w:r>
              <w:rPr>
                <w:rFonts w:hint="eastAsia"/>
                <w:highlight w:val="none"/>
                <w:lang w:eastAsia="zh-CN"/>
              </w:rPr>
              <w:t>）</w:t>
            </w:r>
            <w:r>
              <w:rPr>
                <w:rFonts w:hint="eastAsia"/>
                <w:highlight w:val="none"/>
              </w:rPr>
              <w:t>有优于招标文件要求且评标时被评标委员会接受的，每优于一项加</w:t>
            </w:r>
            <w:r>
              <w:rPr>
                <w:rFonts w:hint="eastAsia"/>
                <w:highlight w:val="none"/>
                <w:u w:val="single"/>
                <w:lang w:val="en-US" w:eastAsia="zh-CN"/>
              </w:rPr>
              <w:t>1</w:t>
            </w:r>
            <w:r>
              <w:rPr>
                <w:rFonts w:hint="eastAsia"/>
                <w:highlight w:val="none"/>
              </w:rPr>
              <w:t>分</w:t>
            </w:r>
            <w:r>
              <w:rPr>
                <w:rFonts w:hint="eastAsia"/>
                <w:highlight w:val="none"/>
                <w:lang w:eastAsia="zh-CN"/>
              </w:rPr>
              <w:t>，</w:t>
            </w:r>
            <w:r>
              <w:rPr>
                <w:rFonts w:hint="eastAsia"/>
                <w:highlight w:val="none"/>
              </w:rPr>
              <w:t>满分</w:t>
            </w:r>
            <w:r>
              <w:rPr>
                <w:rFonts w:hint="eastAsia"/>
                <w:highlight w:val="none"/>
                <w:u w:val="single"/>
                <w:lang w:val="en-US" w:eastAsia="zh-CN"/>
              </w:rPr>
              <w:t>3</w:t>
            </w:r>
            <w:r>
              <w:rPr>
                <w:rFonts w:hint="eastAsia"/>
                <w:highlight w:val="none"/>
              </w:rPr>
              <w:t>分。</w:t>
            </w:r>
          </w:p>
          <w:p w14:paraId="38DAE279">
            <w:pPr>
              <w:bidi w:val="0"/>
              <w:rPr>
                <w:rFonts w:hint="eastAsia"/>
                <w:highlight w:val="none"/>
              </w:rPr>
            </w:pPr>
            <w:r>
              <w:rPr>
                <w:rFonts w:hint="eastAsia"/>
                <w:highlight w:val="none"/>
                <w:lang w:val="en-US" w:eastAsia="zh-CN"/>
              </w:rPr>
              <w:t>2、</w:t>
            </w:r>
            <w:r>
              <w:rPr>
                <w:rFonts w:hint="eastAsia"/>
                <w:highlight w:val="none"/>
              </w:rPr>
              <w:t>标</w:t>
            </w:r>
            <w:r>
              <w:rPr>
                <w:rFonts w:hint="eastAsia" w:ascii="宋体" w:hAnsi="宋体" w:eastAsia="宋体" w:cs="宋体"/>
                <w:color w:val="auto"/>
                <w:sz w:val="24"/>
                <w:highlight w:val="none"/>
              </w:rPr>
              <w:t>●</w:t>
            </w:r>
            <w:r>
              <w:rPr>
                <w:rFonts w:hint="eastAsia"/>
                <w:highlight w:val="none"/>
              </w:rPr>
              <w:t>的技术参数有优于招标文件要求且评标时被评标委员会接受的，每优于一项加</w:t>
            </w:r>
            <w:r>
              <w:rPr>
                <w:rFonts w:hint="eastAsia"/>
                <w:highlight w:val="none"/>
                <w:lang w:val="en-US" w:eastAsia="zh-CN"/>
              </w:rPr>
              <w:t>2</w:t>
            </w:r>
            <w:r>
              <w:rPr>
                <w:rFonts w:hint="eastAsia"/>
                <w:highlight w:val="none"/>
              </w:rPr>
              <w:t>分</w:t>
            </w:r>
            <w:r>
              <w:rPr>
                <w:rFonts w:hint="eastAsia"/>
                <w:highlight w:val="none"/>
                <w:lang w:eastAsia="zh-CN"/>
              </w:rPr>
              <w:t>，</w:t>
            </w:r>
            <w:r>
              <w:rPr>
                <w:rFonts w:hint="eastAsia"/>
                <w:highlight w:val="none"/>
              </w:rPr>
              <w:t>满分</w:t>
            </w:r>
            <w:r>
              <w:rPr>
                <w:rFonts w:hint="eastAsia"/>
                <w:highlight w:val="none"/>
                <w:lang w:val="en-US" w:eastAsia="zh-CN"/>
              </w:rPr>
              <w:t>4</w:t>
            </w:r>
            <w:r>
              <w:rPr>
                <w:rFonts w:hint="eastAsia"/>
                <w:highlight w:val="none"/>
              </w:rPr>
              <w:t>分。</w:t>
            </w:r>
          </w:p>
          <w:p w14:paraId="45D3EEC5">
            <w:pPr>
              <w:bidi w:val="0"/>
              <w:rPr>
                <w:rFonts w:hint="eastAsia"/>
                <w:highlight w:val="none"/>
                <w:lang w:val="en-US" w:eastAsia="zh-CN"/>
              </w:rPr>
            </w:pPr>
            <w:r>
              <w:rPr>
                <w:rFonts w:hint="eastAsia"/>
                <w:highlight w:val="none"/>
              </w:rPr>
              <w:t>注：功能目标及技术指标有优于的，投标人须在投标文件中提供提供国家认可的有资质的第三方检测机构出具的检测报告或产品说明书或产品生产厂家出具的技术参数说明或投标产品的彩页证明作为佐证，以上佐证材料复印件（或扫描件）均需加盖生产厂家公章或投标人（附生产厂家授权资料）投标人公章（或投标人电子签章）,并在技术要求偏离表中的“偏离说明”中注明该功能目标及技术指标及证明材料在投标文件中的页码，否则评标委员会有权不接受其优于。</w:t>
            </w:r>
          </w:p>
        </w:tc>
        <w:tc>
          <w:tcPr>
            <w:tcW w:w="951" w:type="dxa"/>
            <w:noWrap w:val="0"/>
            <w:vAlign w:val="center"/>
          </w:tcPr>
          <w:p w14:paraId="52C9C674">
            <w:pPr>
              <w:pStyle w:val="34"/>
              <w:bidi w:val="0"/>
              <w:rPr>
                <w:rFonts w:hint="eastAsia"/>
                <w:highlight w:val="none"/>
                <w:lang w:val="en-US" w:eastAsia="zh-CN"/>
              </w:rPr>
            </w:pPr>
            <w:r>
              <w:rPr>
                <w:rFonts w:hint="eastAsia"/>
                <w:highlight w:val="none"/>
                <w:lang w:val="en-US" w:eastAsia="zh-CN"/>
              </w:rPr>
              <w:t>7分</w:t>
            </w:r>
          </w:p>
        </w:tc>
      </w:tr>
      <w:tr w14:paraId="2DE3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71" w:type="dxa"/>
            <w:noWrap w:val="0"/>
            <w:vAlign w:val="center"/>
          </w:tcPr>
          <w:p w14:paraId="6DF76D1C">
            <w:pPr>
              <w:pStyle w:val="34"/>
              <w:bidi w:val="0"/>
              <w:rPr>
                <w:rFonts w:hint="eastAsia"/>
                <w:highlight w:val="none"/>
                <w:lang w:eastAsia="zh-CN"/>
              </w:rPr>
            </w:pPr>
            <w:r>
              <w:rPr>
                <w:rFonts w:hint="eastAsia"/>
                <w:highlight w:val="none"/>
                <w:lang w:val="en-US" w:eastAsia="zh-CN"/>
              </w:rPr>
              <w:t>3</w:t>
            </w:r>
          </w:p>
        </w:tc>
        <w:tc>
          <w:tcPr>
            <w:tcW w:w="1415" w:type="dxa"/>
            <w:noWrap w:val="0"/>
            <w:vAlign w:val="center"/>
          </w:tcPr>
          <w:p w14:paraId="7D922FE4">
            <w:pPr>
              <w:pStyle w:val="34"/>
              <w:bidi w:val="0"/>
              <w:rPr>
                <w:rFonts w:hint="eastAsia"/>
                <w:highlight w:val="none"/>
              </w:rPr>
            </w:pPr>
            <w:r>
              <w:rPr>
                <w:rFonts w:hint="eastAsia"/>
                <w:highlight w:val="none"/>
              </w:rPr>
              <w:t>项目实施方案（满分</w:t>
            </w:r>
            <w:r>
              <w:rPr>
                <w:rFonts w:hint="eastAsia"/>
                <w:highlight w:val="none"/>
                <w:lang w:val="en-US" w:eastAsia="zh-CN"/>
              </w:rPr>
              <w:t>5</w:t>
            </w:r>
            <w:r>
              <w:rPr>
                <w:rFonts w:hint="eastAsia"/>
                <w:highlight w:val="none"/>
              </w:rPr>
              <w:t>分）</w:t>
            </w:r>
          </w:p>
        </w:tc>
        <w:tc>
          <w:tcPr>
            <w:tcW w:w="6288" w:type="dxa"/>
            <w:noWrap w:val="0"/>
            <w:vAlign w:val="center"/>
          </w:tcPr>
          <w:p w14:paraId="1ACDF33C">
            <w:pPr>
              <w:bidi w:val="0"/>
              <w:rPr>
                <w:rFonts w:hint="eastAsia"/>
                <w:highlight w:val="none"/>
              </w:rPr>
            </w:pPr>
            <w:r>
              <w:rPr>
                <w:rFonts w:hint="eastAsia"/>
                <w:highlight w:val="none"/>
              </w:rPr>
              <w:t>一档（</w:t>
            </w:r>
            <w:r>
              <w:rPr>
                <w:rFonts w:hint="eastAsia"/>
                <w:highlight w:val="none"/>
                <w:lang w:val="en-US" w:eastAsia="zh-CN"/>
              </w:rPr>
              <w:t>2</w:t>
            </w:r>
            <w:r>
              <w:rPr>
                <w:rFonts w:hint="eastAsia"/>
                <w:highlight w:val="none"/>
              </w:rPr>
              <w:t>分）：</w:t>
            </w:r>
            <w:r>
              <w:rPr>
                <w:rFonts w:hint="eastAsia"/>
                <w:highlight w:val="none"/>
                <w:lang w:val="en-US" w:eastAsia="zh-CN"/>
              </w:rPr>
              <w:t>提供有项目实施方案，方案内容包括</w:t>
            </w:r>
            <w:r>
              <w:rPr>
                <w:rFonts w:hint="eastAsia"/>
                <w:highlight w:val="none"/>
              </w:rPr>
              <w:t>管理措施、具体实施流程、进度安排、质量保证措施等</w:t>
            </w:r>
            <w:r>
              <w:rPr>
                <w:rFonts w:hint="eastAsia"/>
                <w:highlight w:val="none"/>
                <w:lang w:eastAsia="zh-CN"/>
              </w:rPr>
              <w:t>，</w:t>
            </w:r>
            <w:r>
              <w:rPr>
                <w:rFonts w:hint="eastAsia"/>
                <w:highlight w:val="none"/>
                <w:lang w:val="en-US" w:eastAsia="zh-CN"/>
              </w:rPr>
              <w:t>实施方案基本满足采购项目需求</w:t>
            </w:r>
            <w:r>
              <w:rPr>
                <w:rFonts w:hint="eastAsia"/>
                <w:highlight w:val="none"/>
              </w:rPr>
              <w:t>。</w:t>
            </w:r>
          </w:p>
          <w:p w14:paraId="0942217F">
            <w:pPr>
              <w:bidi w:val="0"/>
              <w:rPr>
                <w:rFonts w:hint="eastAsia"/>
                <w:highlight w:val="none"/>
              </w:rPr>
            </w:pPr>
            <w:r>
              <w:rPr>
                <w:rFonts w:hint="eastAsia"/>
                <w:highlight w:val="none"/>
              </w:rPr>
              <w:t>二档（</w:t>
            </w:r>
            <w:r>
              <w:rPr>
                <w:rFonts w:hint="eastAsia"/>
                <w:highlight w:val="none"/>
                <w:lang w:val="en-US" w:eastAsia="zh-CN"/>
              </w:rPr>
              <w:t>5</w:t>
            </w:r>
            <w:r>
              <w:rPr>
                <w:rFonts w:hint="eastAsia"/>
                <w:highlight w:val="none"/>
              </w:rPr>
              <w:t>分）：</w:t>
            </w:r>
            <w:r>
              <w:rPr>
                <w:rFonts w:hint="eastAsia"/>
                <w:highlight w:val="none"/>
                <w:lang w:val="en-US" w:eastAsia="zh-CN"/>
              </w:rPr>
              <w:t>满足一档的基础上</w:t>
            </w:r>
            <w:r>
              <w:rPr>
                <w:rFonts w:hint="eastAsia"/>
                <w:highlight w:val="none"/>
              </w:rPr>
              <w:t>，方案</w:t>
            </w:r>
            <w:r>
              <w:rPr>
                <w:rFonts w:hint="eastAsia"/>
                <w:highlight w:val="none"/>
                <w:lang w:val="en-US" w:eastAsia="zh-CN"/>
              </w:rPr>
              <w:t>内容详细、</w:t>
            </w:r>
            <w:r>
              <w:rPr>
                <w:rFonts w:hint="eastAsia"/>
                <w:highlight w:val="none"/>
              </w:rPr>
              <w:t>有可行性（无明显错误），有有利于采购项目实施的增值服务或合理性建议</w:t>
            </w:r>
            <w:r>
              <w:rPr>
                <w:rFonts w:hint="eastAsia"/>
                <w:highlight w:val="none"/>
                <w:lang w:val="en-US" w:eastAsia="zh-CN"/>
              </w:rPr>
              <w:t>且被评标委员会认可的</w:t>
            </w:r>
            <w:r>
              <w:rPr>
                <w:rFonts w:hint="eastAsia"/>
                <w:highlight w:val="none"/>
              </w:rPr>
              <w:t>。</w:t>
            </w:r>
          </w:p>
          <w:p w14:paraId="3AFE2929">
            <w:pPr>
              <w:bidi w:val="0"/>
              <w:rPr>
                <w:rFonts w:hint="eastAsia"/>
                <w:highlight w:val="none"/>
              </w:rPr>
            </w:pPr>
            <w:r>
              <w:rPr>
                <w:rFonts w:hint="eastAsia"/>
                <w:highlight w:val="none"/>
                <w:lang w:val="en-US" w:eastAsia="zh-CN"/>
              </w:rPr>
              <w:t>未提供实施方案或方案不可行的不得分。</w:t>
            </w:r>
          </w:p>
        </w:tc>
        <w:tc>
          <w:tcPr>
            <w:tcW w:w="951" w:type="dxa"/>
            <w:noWrap w:val="0"/>
            <w:vAlign w:val="center"/>
          </w:tcPr>
          <w:p w14:paraId="6C580CF9">
            <w:pPr>
              <w:pStyle w:val="34"/>
              <w:bidi w:val="0"/>
              <w:rPr>
                <w:rFonts w:hint="eastAsia"/>
                <w:highlight w:val="none"/>
              </w:rPr>
            </w:pPr>
            <w:r>
              <w:rPr>
                <w:rFonts w:hint="eastAsia"/>
                <w:highlight w:val="none"/>
                <w:lang w:val="en-US" w:eastAsia="zh-CN"/>
              </w:rPr>
              <w:t>5</w:t>
            </w:r>
            <w:r>
              <w:rPr>
                <w:rFonts w:hint="eastAsia"/>
                <w:highlight w:val="none"/>
              </w:rPr>
              <w:t>分</w:t>
            </w:r>
          </w:p>
        </w:tc>
      </w:tr>
      <w:tr w14:paraId="47E5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871" w:type="dxa"/>
            <w:noWrap w:val="0"/>
            <w:vAlign w:val="center"/>
          </w:tcPr>
          <w:p w14:paraId="2D16C388">
            <w:pPr>
              <w:pStyle w:val="34"/>
              <w:bidi w:val="0"/>
              <w:rPr>
                <w:rFonts w:hint="eastAsia"/>
                <w:highlight w:val="none"/>
                <w:lang w:val="en-US" w:eastAsia="zh-CN"/>
              </w:rPr>
            </w:pPr>
            <w:r>
              <w:rPr>
                <w:rFonts w:hint="eastAsia"/>
                <w:highlight w:val="none"/>
                <w:lang w:val="en-US" w:eastAsia="zh-CN"/>
              </w:rPr>
              <w:t>4</w:t>
            </w:r>
          </w:p>
        </w:tc>
        <w:tc>
          <w:tcPr>
            <w:tcW w:w="1415" w:type="dxa"/>
            <w:noWrap w:val="0"/>
            <w:vAlign w:val="center"/>
          </w:tcPr>
          <w:p w14:paraId="7D5065BD">
            <w:pPr>
              <w:pStyle w:val="34"/>
              <w:bidi w:val="0"/>
              <w:rPr>
                <w:rFonts w:hint="eastAsia"/>
                <w:highlight w:val="none"/>
              </w:rPr>
            </w:pPr>
            <w:r>
              <w:rPr>
                <w:rFonts w:hint="eastAsia"/>
                <w:highlight w:val="none"/>
              </w:rPr>
              <w:t>售后服务分（满分</w:t>
            </w:r>
            <w:r>
              <w:rPr>
                <w:rFonts w:hint="eastAsia"/>
                <w:highlight w:val="none"/>
                <w:lang w:val="en-US" w:eastAsia="zh-CN"/>
              </w:rPr>
              <w:t>12</w:t>
            </w:r>
            <w:r>
              <w:rPr>
                <w:rFonts w:hint="eastAsia"/>
                <w:highlight w:val="none"/>
              </w:rPr>
              <w:t>分）</w:t>
            </w:r>
          </w:p>
        </w:tc>
        <w:tc>
          <w:tcPr>
            <w:tcW w:w="6288" w:type="dxa"/>
            <w:noWrap w:val="0"/>
            <w:vAlign w:val="top"/>
          </w:tcPr>
          <w:p w14:paraId="69C60C60">
            <w:pPr>
              <w:bidi w:val="0"/>
              <w:rPr>
                <w:rFonts w:hint="eastAsia"/>
                <w:highlight w:val="none"/>
              </w:rPr>
            </w:pPr>
            <w:r>
              <w:rPr>
                <w:rFonts w:hint="eastAsia"/>
                <w:highlight w:val="none"/>
              </w:rPr>
              <w:t>1、保修期</w:t>
            </w:r>
            <w:r>
              <w:rPr>
                <w:rFonts w:hint="eastAsia"/>
                <w:highlight w:val="none"/>
                <w:lang w:eastAsia="zh-CN"/>
              </w:rPr>
              <w:t>（</w:t>
            </w:r>
            <w:r>
              <w:rPr>
                <w:rFonts w:hint="eastAsia"/>
                <w:highlight w:val="none"/>
              </w:rPr>
              <w:t>质保期</w:t>
            </w:r>
            <w:r>
              <w:rPr>
                <w:rFonts w:hint="eastAsia"/>
                <w:highlight w:val="none"/>
                <w:lang w:eastAsia="zh-CN"/>
              </w:rPr>
              <w:t>）</w:t>
            </w:r>
            <w:r>
              <w:rPr>
                <w:rFonts w:hint="eastAsia"/>
                <w:highlight w:val="none"/>
              </w:rPr>
              <w:t>（满分</w:t>
            </w:r>
            <w:r>
              <w:rPr>
                <w:rFonts w:hint="eastAsia"/>
                <w:highlight w:val="none"/>
                <w:lang w:val="en-US" w:eastAsia="zh-CN"/>
              </w:rPr>
              <w:t>2</w:t>
            </w:r>
            <w:r>
              <w:rPr>
                <w:rFonts w:hint="eastAsia"/>
                <w:highlight w:val="none"/>
              </w:rPr>
              <w:t>分）</w:t>
            </w:r>
          </w:p>
          <w:p w14:paraId="20001D35">
            <w:pPr>
              <w:bidi w:val="0"/>
              <w:rPr>
                <w:rFonts w:hint="eastAsia"/>
                <w:highlight w:val="none"/>
              </w:rPr>
            </w:pPr>
            <w:r>
              <w:rPr>
                <w:rFonts w:hint="eastAsia"/>
                <w:highlight w:val="none"/>
              </w:rPr>
              <w:t>在满足基本保修期</w:t>
            </w:r>
            <w:r>
              <w:rPr>
                <w:rFonts w:hint="eastAsia"/>
                <w:highlight w:val="none"/>
                <w:lang w:eastAsia="zh-CN"/>
              </w:rPr>
              <w:t>（</w:t>
            </w:r>
            <w:r>
              <w:rPr>
                <w:rFonts w:hint="eastAsia"/>
                <w:highlight w:val="none"/>
                <w:lang w:val="en-US" w:eastAsia="zh-CN"/>
              </w:rPr>
              <w:t>5年</w:t>
            </w:r>
            <w:r>
              <w:rPr>
                <w:rFonts w:hint="eastAsia"/>
                <w:highlight w:val="none"/>
                <w:lang w:eastAsia="zh-CN"/>
              </w:rPr>
              <w:t>）的</w:t>
            </w:r>
            <w:r>
              <w:rPr>
                <w:rFonts w:hint="eastAsia"/>
                <w:highlight w:val="none"/>
                <w:lang w:val="en-US" w:eastAsia="zh-CN"/>
              </w:rPr>
              <w:t>基础上</w:t>
            </w:r>
            <w:r>
              <w:rPr>
                <w:rFonts w:hint="eastAsia"/>
                <w:highlight w:val="none"/>
              </w:rPr>
              <w:t>，免费保修期每延长</w:t>
            </w:r>
            <w:r>
              <w:rPr>
                <w:rFonts w:hint="eastAsia"/>
                <w:highlight w:val="none"/>
                <w:lang w:val="en-US" w:eastAsia="zh-CN"/>
              </w:rPr>
              <w:t>6个月得0.5</w:t>
            </w:r>
            <w:r>
              <w:rPr>
                <w:rFonts w:hint="eastAsia"/>
                <w:highlight w:val="none"/>
              </w:rPr>
              <w:t>分（以设备生产厂家承诺为准，投标文件中提供厂家证明文件复印件加盖投标单位公章），满分</w:t>
            </w:r>
            <w:r>
              <w:rPr>
                <w:rFonts w:hint="eastAsia"/>
                <w:highlight w:val="none"/>
                <w:lang w:val="en-US" w:eastAsia="zh-CN"/>
              </w:rPr>
              <w:t>2</w:t>
            </w:r>
            <w:r>
              <w:rPr>
                <w:rFonts w:hint="eastAsia"/>
                <w:highlight w:val="none"/>
              </w:rPr>
              <w:t>分。</w:t>
            </w:r>
          </w:p>
          <w:p w14:paraId="2B43C312">
            <w:pPr>
              <w:bidi w:val="0"/>
              <w:rPr>
                <w:rFonts w:hint="eastAsia"/>
                <w:highlight w:val="none"/>
              </w:rPr>
            </w:pPr>
            <w:r>
              <w:rPr>
                <w:rFonts w:hint="eastAsia"/>
                <w:highlight w:val="none"/>
              </w:rPr>
              <w:t>2、服务方案（满分</w:t>
            </w:r>
            <w:r>
              <w:rPr>
                <w:rFonts w:hint="eastAsia"/>
                <w:highlight w:val="none"/>
                <w:lang w:val="en-US" w:eastAsia="zh-CN"/>
              </w:rPr>
              <w:t>5</w:t>
            </w:r>
            <w:r>
              <w:rPr>
                <w:rFonts w:hint="eastAsia"/>
                <w:highlight w:val="none"/>
              </w:rPr>
              <w:t>分）</w:t>
            </w:r>
          </w:p>
          <w:p w14:paraId="6EBEECC5">
            <w:pPr>
              <w:bidi w:val="0"/>
              <w:rPr>
                <w:rFonts w:hint="eastAsia"/>
                <w:highlight w:val="none"/>
              </w:rPr>
            </w:pPr>
            <w:r>
              <w:rPr>
                <w:rFonts w:hint="eastAsia"/>
                <w:highlight w:val="none"/>
              </w:rPr>
              <w:t>一档（</w:t>
            </w:r>
            <w:r>
              <w:rPr>
                <w:rFonts w:hint="eastAsia"/>
                <w:highlight w:val="none"/>
                <w:lang w:val="en-US" w:eastAsia="zh-CN"/>
              </w:rPr>
              <w:t>2</w:t>
            </w:r>
            <w:r>
              <w:rPr>
                <w:rFonts w:hint="eastAsia"/>
                <w:highlight w:val="none"/>
              </w:rPr>
              <w:t>分）：售后服务方案仅满足招标文件基本要求。</w:t>
            </w:r>
          </w:p>
          <w:p w14:paraId="4B94B9A6">
            <w:pPr>
              <w:bidi w:val="0"/>
              <w:rPr>
                <w:rFonts w:hint="eastAsia"/>
                <w:highlight w:val="none"/>
              </w:rPr>
            </w:pPr>
            <w:r>
              <w:rPr>
                <w:rFonts w:hint="eastAsia"/>
                <w:highlight w:val="none"/>
              </w:rPr>
              <w:t>二档（</w:t>
            </w:r>
            <w:r>
              <w:rPr>
                <w:rFonts w:hint="eastAsia"/>
                <w:highlight w:val="none"/>
                <w:lang w:val="en-US" w:eastAsia="zh-CN"/>
              </w:rPr>
              <w:t>5</w:t>
            </w:r>
            <w:r>
              <w:rPr>
                <w:rFonts w:hint="eastAsia"/>
                <w:highlight w:val="none"/>
              </w:rPr>
              <w:t>分）：售后服务方案细致、合理、可行，能提供生产厂家售后服务承诺书原件，有详细的售后服务管理制度、售后服务流程、应急预案、发生故障时提供备用机或其他替代解决的具体措施、质量保障方案。</w:t>
            </w:r>
          </w:p>
          <w:p w14:paraId="6A75BF3A">
            <w:pPr>
              <w:bidi w:val="0"/>
              <w:rPr>
                <w:rFonts w:hint="eastAsia"/>
                <w:highlight w:val="none"/>
              </w:rPr>
            </w:pPr>
            <w:r>
              <w:rPr>
                <w:rFonts w:hint="eastAsia"/>
                <w:highlight w:val="none"/>
                <w:lang w:val="en-US" w:eastAsia="zh-CN"/>
              </w:rPr>
              <w:t>未提供或不可行的不得分。</w:t>
            </w:r>
          </w:p>
          <w:p w14:paraId="6014A499">
            <w:pPr>
              <w:bidi w:val="0"/>
              <w:rPr>
                <w:rFonts w:hint="eastAsia"/>
                <w:highlight w:val="none"/>
              </w:rPr>
            </w:pPr>
            <w:r>
              <w:rPr>
                <w:rFonts w:hint="eastAsia"/>
                <w:highlight w:val="none"/>
                <w:lang w:val="en-US" w:eastAsia="zh-CN"/>
              </w:rPr>
              <w:t>3</w:t>
            </w:r>
            <w:r>
              <w:rPr>
                <w:rFonts w:hint="eastAsia"/>
                <w:highlight w:val="none"/>
              </w:rPr>
              <w:t>、</w:t>
            </w:r>
            <w:r>
              <w:rPr>
                <w:rFonts w:hint="eastAsia"/>
                <w:highlight w:val="none"/>
                <w:lang w:val="en-US" w:eastAsia="zh-CN"/>
              </w:rPr>
              <w:t>培训方案</w:t>
            </w:r>
            <w:r>
              <w:rPr>
                <w:rFonts w:hint="eastAsia"/>
                <w:highlight w:val="none"/>
              </w:rPr>
              <w:t>（满分</w:t>
            </w:r>
            <w:r>
              <w:rPr>
                <w:rFonts w:hint="eastAsia"/>
                <w:highlight w:val="none"/>
                <w:lang w:val="en-US" w:eastAsia="zh-CN"/>
              </w:rPr>
              <w:t>5</w:t>
            </w:r>
            <w:r>
              <w:rPr>
                <w:rFonts w:hint="eastAsia"/>
                <w:highlight w:val="none"/>
              </w:rPr>
              <w:t>分）</w:t>
            </w:r>
          </w:p>
          <w:p w14:paraId="11C2F265">
            <w:pPr>
              <w:bidi w:val="0"/>
              <w:rPr>
                <w:rFonts w:hint="eastAsia"/>
                <w:highlight w:val="none"/>
              </w:rPr>
            </w:pPr>
            <w:r>
              <w:rPr>
                <w:rFonts w:hint="eastAsia"/>
                <w:highlight w:val="none"/>
              </w:rPr>
              <w:t>一档（</w:t>
            </w:r>
            <w:r>
              <w:rPr>
                <w:rFonts w:hint="eastAsia"/>
                <w:highlight w:val="none"/>
                <w:lang w:val="en-US" w:eastAsia="zh-CN"/>
              </w:rPr>
              <w:t>2</w:t>
            </w:r>
            <w:r>
              <w:rPr>
                <w:rFonts w:hint="eastAsia"/>
                <w:highlight w:val="none"/>
              </w:rPr>
              <w:t>分）：</w:t>
            </w:r>
            <w:r>
              <w:rPr>
                <w:rFonts w:hint="eastAsia"/>
                <w:highlight w:val="none"/>
                <w:lang w:val="en-US" w:eastAsia="zh-CN"/>
              </w:rPr>
              <w:t>提供有</w:t>
            </w:r>
            <w:r>
              <w:rPr>
                <w:rFonts w:hint="eastAsia"/>
                <w:highlight w:val="none"/>
              </w:rPr>
              <w:t>培训</w:t>
            </w:r>
            <w:r>
              <w:rPr>
                <w:rFonts w:hint="eastAsia"/>
                <w:highlight w:val="none"/>
                <w:lang w:val="en-US" w:eastAsia="zh-CN"/>
              </w:rPr>
              <w:t>方案，方案内容</w:t>
            </w:r>
            <w:r>
              <w:rPr>
                <w:rFonts w:hint="eastAsia"/>
                <w:highlight w:val="none"/>
              </w:rPr>
              <w:t>满足招标文件基本要求，培训计划安排清晰合理（包括培训人员安排，培训内容安排）。</w:t>
            </w:r>
          </w:p>
          <w:p w14:paraId="0143A54A">
            <w:pPr>
              <w:bidi w:val="0"/>
              <w:rPr>
                <w:rFonts w:hint="eastAsia"/>
                <w:highlight w:val="none"/>
              </w:rPr>
            </w:pPr>
            <w:r>
              <w:rPr>
                <w:rFonts w:hint="eastAsia"/>
                <w:highlight w:val="none"/>
                <w:lang w:val="en-US" w:eastAsia="zh-CN"/>
              </w:rPr>
              <w:t>二</w:t>
            </w:r>
            <w:r>
              <w:rPr>
                <w:rFonts w:hint="eastAsia"/>
                <w:highlight w:val="none"/>
              </w:rPr>
              <w:t>档（</w:t>
            </w:r>
            <w:r>
              <w:rPr>
                <w:rFonts w:hint="eastAsia"/>
                <w:highlight w:val="none"/>
                <w:lang w:val="en-US" w:eastAsia="zh-CN"/>
              </w:rPr>
              <w:t>5</w:t>
            </w:r>
            <w:r>
              <w:rPr>
                <w:rFonts w:hint="eastAsia"/>
                <w:highlight w:val="none"/>
              </w:rPr>
              <w:t>分）培训计划优于招标文件基本要求，培训方案详细、具体，有可行性，方案内容包括培训时间安排，师资人员安排，培训内容安排，其中培训内容安排包括设备功能理论培训计划、操作培训计划、设备常见问题的基本维修操作培训计划。</w:t>
            </w:r>
          </w:p>
          <w:p w14:paraId="544CD814">
            <w:pPr>
              <w:bidi w:val="0"/>
              <w:rPr>
                <w:rFonts w:hint="eastAsia"/>
                <w:highlight w:val="none"/>
              </w:rPr>
            </w:pPr>
            <w:r>
              <w:rPr>
                <w:rFonts w:hint="eastAsia"/>
                <w:highlight w:val="none"/>
                <w:lang w:val="en-US" w:eastAsia="zh-CN"/>
              </w:rPr>
              <w:t>未提供或不可行的不得分。</w:t>
            </w:r>
          </w:p>
        </w:tc>
        <w:tc>
          <w:tcPr>
            <w:tcW w:w="951" w:type="dxa"/>
            <w:noWrap w:val="0"/>
            <w:vAlign w:val="center"/>
          </w:tcPr>
          <w:p w14:paraId="20206BC5">
            <w:pPr>
              <w:pStyle w:val="34"/>
              <w:bidi w:val="0"/>
              <w:rPr>
                <w:rFonts w:hint="eastAsia"/>
                <w:highlight w:val="none"/>
              </w:rPr>
            </w:pPr>
            <w:r>
              <w:rPr>
                <w:rFonts w:hint="eastAsia"/>
                <w:highlight w:val="none"/>
                <w:lang w:val="en-US" w:eastAsia="zh-CN"/>
              </w:rPr>
              <w:t>12</w:t>
            </w:r>
            <w:r>
              <w:rPr>
                <w:rFonts w:hint="eastAsia"/>
                <w:highlight w:val="none"/>
              </w:rPr>
              <w:t>分</w:t>
            </w:r>
          </w:p>
        </w:tc>
      </w:tr>
      <w:tr w14:paraId="678B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noWrap w:val="0"/>
            <w:vAlign w:val="center"/>
          </w:tcPr>
          <w:p w14:paraId="20C4C12B">
            <w:pPr>
              <w:pStyle w:val="34"/>
              <w:bidi w:val="0"/>
              <w:rPr>
                <w:rFonts w:hint="eastAsia"/>
                <w:highlight w:val="none"/>
                <w:lang w:eastAsia="zh-CN"/>
              </w:rPr>
            </w:pPr>
            <w:r>
              <w:rPr>
                <w:rFonts w:hint="eastAsia"/>
                <w:highlight w:val="none"/>
                <w:lang w:val="en-US" w:eastAsia="zh-CN"/>
              </w:rPr>
              <w:t>5</w:t>
            </w:r>
          </w:p>
        </w:tc>
        <w:tc>
          <w:tcPr>
            <w:tcW w:w="1415" w:type="dxa"/>
            <w:noWrap w:val="0"/>
            <w:vAlign w:val="center"/>
          </w:tcPr>
          <w:p w14:paraId="1DDDA3C5">
            <w:pPr>
              <w:pStyle w:val="34"/>
              <w:bidi w:val="0"/>
              <w:rPr>
                <w:rFonts w:hint="eastAsia"/>
                <w:highlight w:val="none"/>
              </w:rPr>
            </w:pPr>
            <w:r>
              <w:rPr>
                <w:rFonts w:hint="eastAsia"/>
                <w:highlight w:val="none"/>
              </w:rPr>
              <w:t>商务分</w:t>
            </w:r>
          </w:p>
        </w:tc>
        <w:tc>
          <w:tcPr>
            <w:tcW w:w="7239" w:type="dxa"/>
            <w:gridSpan w:val="2"/>
            <w:noWrap w:val="0"/>
            <w:vAlign w:val="center"/>
          </w:tcPr>
          <w:p w14:paraId="3AD65D07">
            <w:pPr>
              <w:bidi w:val="0"/>
              <w:rPr>
                <w:rFonts w:hint="eastAsia"/>
                <w:highlight w:val="none"/>
              </w:rPr>
            </w:pPr>
            <w:r>
              <w:rPr>
                <w:rFonts w:hint="eastAsia"/>
                <w:highlight w:val="none"/>
              </w:rPr>
              <w:t>评审因素</w:t>
            </w:r>
          </w:p>
        </w:tc>
      </w:tr>
      <w:tr w14:paraId="0D66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noWrap w:val="0"/>
            <w:vAlign w:val="center"/>
          </w:tcPr>
          <w:p w14:paraId="4E3944CA">
            <w:pPr>
              <w:pStyle w:val="34"/>
              <w:bidi w:val="0"/>
              <w:rPr>
                <w:rFonts w:hint="eastAsia"/>
                <w:highlight w:val="none"/>
              </w:rPr>
            </w:pPr>
            <w:r>
              <w:rPr>
                <w:rFonts w:hint="eastAsia"/>
                <w:highlight w:val="none"/>
                <w:lang w:val="en-US" w:eastAsia="zh-CN"/>
              </w:rPr>
              <w:t>5</w:t>
            </w:r>
            <w:r>
              <w:rPr>
                <w:rFonts w:hint="eastAsia"/>
                <w:highlight w:val="none"/>
              </w:rPr>
              <w:t>.1</w:t>
            </w:r>
          </w:p>
        </w:tc>
        <w:tc>
          <w:tcPr>
            <w:tcW w:w="1415" w:type="dxa"/>
            <w:noWrap w:val="0"/>
            <w:vAlign w:val="center"/>
          </w:tcPr>
          <w:p w14:paraId="2AA91945">
            <w:pPr>
              <w:pStyle w:val="34"/>
              <w:bidi w:val="0"/>
              <w:rPr>
                <w:rFonts w:hint="eastAsia"/>
                <w:highlight w:val="none"/>
              </w:rPr>
            </w:pPr>
            <w:r>
              <w:rPr>
                <w:rFonts w:hint="eastAsia"/>
                <w:highlight w:val="none"/>
              </w:rPr>
              <w:t>信誉及业绩（满分</w:t>
            </w:r>
            <w:r>
              <w:rPr>
                <w:rFonts w:hint="eastAsia"/>
                <w:highlight w:val="none"/>
                <w:lang w:val="en-US" w:eastAsia="zh-CN"/>
              </w:rPr>
              <w:t>11</w:t>
            </w:r>
            <w:r>
              <w:rPr>
                <w:rFonts w:hint="eastAsia"/>
                <w:highlight w:val="none"/>
              </w:rPr>
              <w:t>分）</w:t>
            </w:r>
          </w:p>
        </w:tc>
        <w:tc>
          <w:tcPr>
            <w:tcW w:w="6288" w:type="dxa"/>
            <w:noWrap w:val="0"/>
            <w:vAlign w:val="top"/>
          </w:tcPr>
          <w:p w14:paraId="316A2958">
            <w:pPr>
              <w:bidi w:val="0"/>
              <w:rPr>
                <w:rFonts w:hint="eastAsia"/>
                <w:highlight w:val="none"/>
              </w:rPr>
            </w:pPr>
            <w:r>
              <w:rPr>
                <w:rFonts w:hint="eastAsia"/>
                <w:highlight w:val="none"/>
              </w:rPr>
              <w:t>（1）投标人或投标产品生产厂家通过ISO9001系列国际质量体系认证、ISO13485医疗器械质量管理体系认证及ISO 14001环境管理体系认证的，每有1项得</w:t>
            </w:r>
            <w:r>
              <w:rPr>
                <w:rFonts w:hint="eastAsia"/>
                <w:highlight w:val="none"/>
                <w:lang w:val="en-US" w:eastAsia="zh-CN"/>
              </w:rPr>
              <w:t>1</w:t>
            </w:r>
            <w:r>
              <w:rPr>
                <w:rFonts w:hint="eastAsia"/>
                <w:highlight w:val="none"/>
              </w:rPr>
              <w:t>分，满分</w:t>
            </w:r>
            <w:r>
              <w:rPr>
                <w:rFonts w:hint="eastAsia"/>
                <w:highlight w:val="none"/>
                <w:lang w:val="en-US" w:eastAsia="zh-CN"/>
              </w:rPr>
              <w:t>3</w:t>
            </w:r>
            <w:r>
              <w:rPr>
                <w:rFonts w:hint="eastAsia"/>
                <w:highlight w:val="none"/>
              </w:rPr>
              <w:t>分（投标文件中提供有效的证书复印件，非中文文本的请提供中文翻译文本，否则不予以计分）。</w:t>
            </w:r>
          </w:p>
          <w:p w14:paraId="4B769A3B">
            <w:pPr>
              <w:bidi w:val="0"/>
              <w:rPr>
                <w:rFonts w:hint="eastAsia"/>
                <w:highlight w:val="none"/>
              </w:rPr>
            </w:pPr>
            <w:r>
              <w:rPr>
                <w:rFonts w:hint="eastAsia"/>
                <w:highlight w:val="none"/>
              </w:rPr>
              <w:t>（2）投标人20</w:t>
            </w:r>
            <w:r>
              <w:rPr>
                <w:rFonts w:hint="eastAsia"/>
                <w:highlight w:val="none"/>
                <w:lang w:val="en-US" w:eastAsia="zh-CN"/>
              </w:rPr>
              <w:t>20</w:t>
            </w:r>
            <w:r>
              <w:rPr>
                <w:rFonts w:hint="eastAsia"/>
                <w:highlight w:val="none"/>
              </w:rPr>
              <w:t>年1月1日至今同类项目业绩，每有1项得</w:t>
            </w:r>
            <w:r>
              <w:rPr>
                <w:rFonts w:hint="eastAsia"/>
                <w:highlight w:val="none"/>
                <w:lang w:val="en-US" w:eastAsia="zh-CN"/>
              </w:rPr>
              <w:t>2</w:t>
            </w:r>
            <w:r>
              <w:rPr>
                <w:rFonts w:hint="eastAsia"/>
                <w:highlight w:val="none"/>
              </w:rPr>
              <w:t>分，满分</w:t>
            </w:r>
            <w:r>
              <w:rPr>
                <w:rFonts w:hint="eastAsia"/>
                <w:highlight w:val="none"/>
                <w:lang w:val="en-US" w:eastAsia="zh-CN"/>
              </w:rPr>
              <w:t>8</w:t>
            </w:r>
            <w:r>
              <w:rPr>
                <w:rFonts w:hint="eastAsia"/>
                <w:highlight w:val="none"/>
              </w:rPr>
              <w:t>分（投标文件中提供有效的中标通知书或合同复印件，否则不予以计分）。</w:t>
            </w:r>
          </w:p>
        </w:tc>
        <w:tc>
          <w:tcPr>
            <w:tcW w:w="951" w:type="dxa"/>
            <w:noWrap w:val="0"/>
            <w:vAlign w:val="center"/>
          </w:tcPr>
          <w:p w14:paraId="4AEFEA3B">
            <w:pPr>
              <w:pStyle w:val="34"/>
              <w:bidi w:val="0"/>
              <w:rPr>
                <w:rFonts w:hint="eastAsia"/>
                <w:highlight w:val="none"/>
              </w:rPr>
            </w:pPr>
            <w:r>
              <w:rPr>
                <w:rFonts w:hint="eastAsia"/>
                <w:highlight w:val="none"/>
                <w:lang w:val="en-US" w:eastAsia="zh-CN"/>
              </w:rPr>
              <w:t>11</w:t>
            </w:r>
            <w:r>
              <w:rPr>
                <w:rFonts w:hint="eastAsia"/>
                <w:highlight w:val="none"/>
              </w:rPr>
              <w:t>分</w:t>
            </w:r>
          </w:p>
        </w:tc>
      </w:tr>
      <w:tr w14:paraId="10EA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871" w:type="dxa"/>
            <w:noWrap w:val="0"/>
            <w:vAlign w:val="center"/>
          </w:tcPr>
          <w:p w14:paraId="68CBBF51">
            <w:pPr>
              <w:pStyle w:val="34"/>
              <w:bidi w:val="0"/>
              <w:rPr>
                <w:rFonts w:hint="eastAsia"/>
                <w:highlight w:val="none"/>
              </w:rPr>
            </w:pPr>
            <w:r>
              <w:rPr>
                <w:rFonts w:hint="eastAsia"/>
                <w:highlight w:val="none"/>
                <w:lang w:val="en-US" w:eastAsia="zh-CN"/>
              </w:rPr>
              <w:t>5</w:t>
            </w:r>
            <w:r>
              <w:rPr>
                <w:rFonts w:hint="eastAsia"/>
                <w:highlight w:val="none"/>
              </w:rPr>
              <w:t>.2</w:t>
            </w:r>
          </w:p>
        </w:tc>
        <w:tc>
          <w:tcPr>
            <w:tcW w:w="1415" w:type="dxa"/>
            <w:noWrap w:val="0"/>
            <w:vAlign w:val="center"/>
          </w:tcPr>
          <w:p w14:paraId="612CF3AE">
            <w:pPr>
              <w:pStyle w:val="34"/>
              <w:bidi w:val="0"/>
              <w:rPr>
                <w:rFonts w:hint="eastAsia"/>
                <w:highlight w:val="none"/>
              </w:rPr>
            </w:pPr>
            <w:r>
              <w:rPr>
                <w:rFonts w:hint="eastAsia"/>
                <w:highlight w:val="none"/>
              </w:rPr>
              <w:t>政策功能分（2分）</w:t>
            </w:r>
          </w:p>
        </w:tc>
        <w:tc>
          <w:tcPr>
            <w:tcW w:w="6288" w:type="dxa"/>
            <w:noWrap w:val="0"/>
            <w:vAlign w:val="top"/>
          </w:tcPr>
          <w:p w14:paraId="6B178CE2">
            <w:pPr>
              <w:bidi w:val="0"/>
              <w:rPr>
                <w:rFonts w:hint="eastAsia"/>
                <w:highlight w:val="none"/>
              </w:rPr>
            </w:pPr>
            <w:r>
              <w:rPr>
                <w:rFonts w:hint="eastAsia"/>
                <w:highlight w:val="none"/>
              </w:rPr>
              <w:t>节能、环保、区内产品分（满分2分）</w:t>
            </w:r>
          </w:p>
          <w:p w14:paraId="7BAA0882">
            <w:pPr>
              <w:bidi w:val="0"/>
              <w:rPr>
                <w:rFonts w:hint="eastAsia"/>
                <w:highlight w:val="none"/>
              </w:rPr>
            </w:pPr>
            <w:r>
              <w:rPr>
                <w:rFonts w:hint="eastAsia"/>
                <w:highlight w:val="none"/>
              </w:rPr>
              <w:t xml:space="preserve">（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 </w:t>
            </w:r>
          </w:p>
          <w:p w14:paraId="6F5A88CD">
            <w:pPr>
              <w:bidi w:val="0"/>
              <w:rPr>
                <w:rFonts w:hint="eastAsia"/>
                <w:highlight w:val="none"/>
              </w:rPr>
            </w:pPr>
            <w:r>
              <w:rPr>
                <w:rFonts w:hint="eastAsia"/>
                <w:highlight w:val="none"/>
              </w:rPr>
              <w:t>得 0 至 1 分，满分 1 分。</w:t>
            </w:r>
          </w:p>
          <w:p w14:paraId="6AAA2A2F">
            <w:pPr>
              <w:bidi w:val="0"/>
              <w:rPr>
                <w:rFonts w:hint="eastAsia"/>
                <w:highlight w:val="none"/>
              </w:rPr>
            </w:pPr>
            <w:r>
              <w:rPr>
                <w:rFonts w:hint="eastAsia"/>
                <w:highlight w:val="none"/>
              </w:rPr>
              <w:t>（2）属于财政部《环境标志产品政府采购品目清单》内的产品[投标文件中提供有效的认证证书复印件及品目清单（标注出投标产品在品目清单中所属的品目），并加盖投标人公章]，根据其所占项目（或者分标）预算金额比例得 0 至 1 分，满分 1 分；</w:t>
            </w:r>
          </w:p>
          <w:p w14:paraId="01807141">
            <w:pPr>
              <w:bidi w:val="0"/>
              <w:rPr>
                <w:rFonts w:hint="eastAsia"/>
                <w:highlight w:val="none"/>
              </w:rPr>
            </w:pPr>
            <w:r>
              <w:rPr>
                <w:rFonts w:hint="eastAsia"/>
                <w:highlight w:val="none"/>
              </w:rPr>
              <w:t xml:space="preserve">(3)非节能、环境标志产品的不得分。 </w:t>
            </w:r>
          </w:p>
        </w:tc>
        <w:tc>
          <w:tcPr>
            <w:tcW w:w="951" w:type="dxa"/>
            <w:noWrap w:val="0"/>
            <w:vAlign w:val="center"/>
          </w:tcPr>
          <w:p w14:paraId="51324FC1">
            <w:pPr>
              <w:pStyle w:val="34"/>
              <w:bidi w:val="0"/>
              <w:rPr>
                <w:rFonts w:hint="eastAsia"/>
                <w:highlight w:val="none"/>
              </w:rPr>
            </w:pPr>
            <w:r>
              <w:rPr>
                <w:rFonts w:hint="eastAsia"/>
                <w:highlight w:val="none"/>
              </w:rPr>
              <w:t>2分</w:t>
            </w:r>
          </w:p>
        </w:tc>
      </w:tr>
      <w:tr w14:paraId="4B9E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74" w:type="dxa"/>
            <w:gridSpan w:val="3"/>
            <w:noWrap w:val="0"/>
            <w:vAlign w:val="center"/>
          </w:tcPr>
          <w:p w14:paraId="3784EDFC">
            <w:pPr>
              <w:bidi w:val="0"/>
              <w:rPr>
                <w:rFonts w:hint="eastAsia"/>
                <w:highlight w:val="none"/>
                <w:lang w:val="en-US" w:eastAsia="zh-CN"/>
              </w:rPr>
            </w:pPr>
            <w:r>
              <w:rPr>
                <w:rFonts w:hint="eastAsia"/>
                <w:highlight w:val="none"/>
              </w:rPr>
              <w:t>总得分＝1＋2＋3＋</w:t>
            </w:r>
            <w:r>
              <w:rPr>
                <w:rFonts w:hint="eastAsia"/>
                <w:highlight w:val="none"/>
                <w:lang w:val="en-US" w:eastAsia="zh-CN"/>
              </w:rPr>
              <w:t>4</w:t>
            </w:r>
            <w:r>
              <w:rPr>
                <w:rFonts w:hint="eastAsia"/>
                <w:highlight w:val="none"/>
              </w:rPr>
              <w:t>＋</w:t>
            </w:r>
            <w:r>
              <w:rPr>
                <w:rFonts w:hint="eastAsia"/>
                <w:highlight w:val="none"/>
                <w:lang w:val="en-US" w:eastAsia="zh-CN"/>
              </w:rPr>
              <w:t>5</w:t>
            </w:r>
          </w:p>
        </w:tc>
        <w:tc>
          <w:tcPr>
            <w:tcW w:w="951" w:type="dxa"/>
            <w:noWrap w:val="0"/>
            <w:vAlign w:val="center"/>
          </w:tcPr>
          <w:p w14:paraId="44FCFB18">
            <w:pPr>
              <w:pStyle w:val="34"/>
              <w:bidi w:val="0"/>
              <w:rPr>
                <w:rFonts w:hint="eastAsia"/>
                <w:highlight w:val="none"/>
              </w:rPr>
            </w:pPr>
          </w:p>
        </w:tc>
      </w:tr>
    </w:tbl>
    <w:p w14:paraId="126BC4C5">
      <w:pPr>
        <w:bidi w:val="0"/>
        <w:rPr>
          <w:highlight w:val="none"/>
        </w:rPr>
      </w:pPr>
    </w:p>
    <w:p w14:paraId="55C0DBB8">
      <w:pPr>
        <w:pStyle w:val="4"/>
        <w:bidi w:val="0"/>
        <w:rPr>
          <w:highlight w:val="none"/>
        </w:rPr>
      </w:pPr>
      <w:r>
        <w:rPr>
          <w:highlight w:val="none"/>
        </w:rPr>
        <w:t>三、中标候选人推荐原则</w:t>
      </w:r>
    </w:p>
    <w:p w14:paraId="356349B3">
      <w:pPr>
        <w:bidi w:val="0"/>
        <w:rPr>
          <w:highlight w:val="none"/>
        </w:rPr>
      </w:pPr>
      <w:r>
        <w:rPr>
          <w:highlight w:val="none"/>
        </w:rPr>
        <w:t>评标委员会将根据得分由高到低排列次序（得分相同时，以投标报价由低到高顺序排列；得分相同且投标报价相同的，按技术</w:t>
      </w:r>
      <w:r>
        <w:rPr>
          <w:rFonts w:hint="eastAsia"/>
          <w:highlight w:val="none"/>
        </w:rPr>
        <w:t>分</w:t>
      </w:r>
      <w:r>
        <w:rPr>
          <w:highlight w:val="none"/>
        </w:rPr>
        <w:t>优劣顺序排列</w:t>
      </w:r>
      <w:r>
        <w:rPr>
          <w:rFonts w:hint="eastAsia"/>
          <w:highlight w:val="none"/>
        </w:rPr>
        <w:t>；</w:t>
      </w:r>
      <w:r>
        <w:rPr>
          <w:highlight w:val="none"/>
        </w:rPr>
        <w:t>得分</w:t>
      </w:r>
      <w:r>
        <w:rPr>
          <w:rFonts w:hint="eastAsia"/>
          <w:highlight w:val="none"/>
        </w:rPr>
        <w:t>、</w:t>
      </w:r>
      <w:r>
        <w:rPr>
          <w:highlight w:val="none"/>
        </w:rPr>
        <w:t>投标报价</w:t>
      </w:r>
      <w:r>
        <w:rPr>
          <w:rFonts w:hint="eastAsia"/>
          <w:highlight w:val="none"/>
        </w:rPr>
        <w:t>、技术分</w:t>
      </w:r>
      <w:r>
        <w:rPr>
          <w:highlight w:val="none"/>
        </w:rPr>
        <w:t>相同的，按</w:t>
      </w:r>
      <w:r>
        <w:rPr>
          <w:rFonts w:hint="eastAsia"/>
          <w:highlight w:val="none"/>
        </w:rPr>
        <w:t>优先采购节能环保产品的</w:t>
      </w:r>
      <w:r>
        <w:rPr>
          <w:highlight w:val="none"/>
        </w:rPr>
        <w:t>顺序排列）并推荐中标候选人。招标采购单位应当确定评审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highlight w:val="none"/>
        </w:rPr>
        <w:t>，或重新组织采购</w:t>
      </w:r>
      <w:r>
        <w:rPr>
          <w:highlight w:val="none"/>
        </w:rPr>
        <w:t>。</w:t>
      </w:r>
    </w:p>
    <w:p w14:paraId="60D7FE3B">
      <w:pPr>
        <w:bidi w:val="0"/>
        <w:rPr>
          <w:highlight w:val="none"/>
        </w:rPr>
      </w:pPr>
    </w:p>
    <w:p w14:paraId="38D9ED50">
      <w:pPr>
        <w:pStyle w:val="12"/>
        <w:pageBreakBefore w:val="0"/>
        <w:kinsoku/>
        <w:wordWrap w:val="0"/>
        <w:overflowPunct/>
        <w:topLinePunct/>
        <w:autoSpaceDE w:val="0"/>
        <w:autoSpaceDN w:val="0"/>
        <w:bidi w:val="0"/>
        <w:snapToGrid w:val="0"/>
        <w:spacing w:before="120" w:after="120" w:line="320" w:lineRule="exact"/>
        <w:jc w:val="center"/>
        <w:outlineLvl w:val="0"/>
        <w:rPr>
          <w:rFonts w:hint="eastAsia" w:hAnsi="宋体"/>
          <w:sz w:val="28"/>
          <w:szCs w:val="28"/>
          <w:highlight w:val="none"/>
        </w:rPr>
        <w:sectPr>
          <w:pgSz w:w="11906" w:h="16839"/>
          <w:pgMar w:top="400" w:right="994" w:bottom="1156" w:left="1255" w:header="0" w:footer="994" w:gutter="0"/>
          <w:pgNumType w:fmt="decimal"/>
          <w:cols w:space="720" w:num="1"/>
        </w:sectPr>
      </w:pPr>
    </w:p>
    <w:p w14:paraId="4D310E26">
      <w:pPr>
        <w:pStyle w:val="3"/>
        <w:bidi w:val="0"/>
        <w:rPr>
          <w:highlight w:val="none"/>
        </w:rPr>
      </w:pPr>
      <w:bookmarkStart w:id="90" w:name="_Toc29572"/>
      <w:r>
        <w:rPr>
          <w:rFonts w:hint="eastAsia"/>
          <w:highlight w:val="none"/>
        </w:rPr>
        <w:t>第五章 合同主要条款格式</w:t>
      </w:r>
      <w:bookmarkEnd w:id="89"/>
      <w:bookmarkEnd w:id="90"/>
    </w:p>
    <w:p w14:paraId="74B6FDD6">
      <w:pPr>
        <w:widowControl w:val="0"/>
        <w:tabs>
          <w:tab w:val="left" w:pos="422"/>
          <w:tab w:val="center" w:pos="5198"/>
        </w:tabs>
        <w:spacing w:line="840" w:lineRule="exact"/>
        <w:jc w:val="center"/>
        <w:rPr>
          <w:rFonts w:hint="eastAsia" w:ascii="华文中宋" w:hAnsi="华文中宋" w:eastAsia="华文中宋" w:cs="华文中宋"/>
          <w:b/>
          <w:bCs/>
          <w:kern w:val="2"/>
          <w:sz w:val="72"/>
          <w:szCs w:val="20"/>
          <w:highlight w:val="none"/>
          <w:lang w:val="en-US" w:eastAsia="zh-CN" w:bidi="ar-SA"/>
        </w:rPr>
      </w:pPr>
      <w:r>
        <w:rPr>
          <w:rFonts w:hint="eastAsia" w:ascii="华文中宋" w:hAnsi="华文中宋" w:eastAsia="华文中宋" w:cs="华文中宋"/>
          <w:b/>
          <w:bCs/>
          <w:kern w:val="2"/>
          <w:sz w:val="72"/>
          <w:szCs w:val="20"/>
          <w:highlight w:val="none"/>
          <w:lang w:val="en-US" w:eastAsia="zh-CN" w:bidi="ar-SA"/>
        </w:rPr>
        <w:t>广西壮族自治区人民医院</w:t>
      </w:r>
    </w:p>
    <w:p w14:paraId="191564E0">
      <w:pPr>
        <w:widowControl w:val="0"/>
        <w:tabs>
          <w:tab w:val="left" w:pos="422"/>
          <w:tab w:val="center" w:pos="5198"/>
        </w:tabs>
        <w:spacing w:line="840" w:lineRule="exact"/>
        <w:ind w:firstLine="420"/>
        <w:jc w:val="center"/>
        <w:rPr>
          <w:rFonts w:hint="eastAsia" w:ascii="华文中宋" w:hAnsi="华文中宋" w:eastAsia="华文中宋" w:cs="华文中宋"/>
          <w:b/>
          <w:bCs/>
          <w:kern w:val="2"/>
          <w:sz w:val="72"/>
          <w:szCs w:val="20"/>
          <w:highlight w:val="none"/>
          <w:lang w:val="en-US" w:eastAsia="zh-CN" w:bidi="ar-SA"/>
        </w:rPr>
      </w:pPr>
      <w:r>
        <w:rPr>
          <w:rFonts w:hint="eastAsia" w:ascii="华文中宋" w:hAnsi="华文中宋" w:eastAsia="华文中宋" w:cs="华文中宋"/>
          <w:b/>
          <w:bCs/>
          <w:kern w:val="2"/>
          <w:sz w:val="72"/>
          <w:szCs w:val="20"/>
          <w:highlight w:val="none"/>
          <w:lang w:val="en-US" w:eastAsia="zh-CN" w:bidi="ar-SA"/>
        </w:rPr>
        <w:t>采购合同书</w:t>
      </w:r>
    </w:p>
    <w:p w14:paraId="4DDBBD42">
      <w:pPr>
        <w:widowControl w:val="0"/>
        <w:spacing w:line="340" w:lineRule="exact"/>
        <w:ind w:firstLine="420"/>
        <w:jc w:val="both"/>
        <w:rPr>
          <w:rFonts w:hint="eastAsia" w:ascii="Times New Roman" w:hAnsi="宋体" w:eastAsia="宋体" w:cs="Times New Roman"/>
          <w:kern w:val="2"/>
          <w:sz w:val="21"/>
          <w:szCs w:val="20"/>
          <w:highlight w:val="none"/>
          <w:lang w:val="en-US" w:eastAsia="zh-CN" w:bidi="ar-SA"/>
        </w:rPr>
      </w:pPr>
    </w:p>
    <w:p w14:paraId="0F951B8F">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427F83CD">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6DD5E223">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1F1A3CA7">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6C93AF8E">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5D603F98">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3FCE93C8">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620A2D04">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560DB70D">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1B93C53E">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2DF01110">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39C74A76">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4A5677D8">
      <w:pPr>
        <w:widowControl w:val="0"/>
        <w:spacing w:line="500" w:lineRule="exact"/>
        <w:ind w:left="1913" w:leftChars="797" w:firstLine="5" w:firstLineChars="0"/>
        <w:jc w:val="both"/>
        <w:rPr>
          <w:rFonts w:hint="eastAsia" w:ascii="Times New Roman" w:hAnsi="宋体" w:eastAsia="宋体" w:cs="Times New Roman"/>
          <w:b/>
          <w:spacing w:val="37"/>
          <w:kern w:val="0"/>
          <w:sz w:val="30"/>
          <w:szCs w:val="30"/>
          <w:highlight w:val="none"/>
          <w:fitText w:val="337" w:id="1939154515"/>
          <w:lang w:val="en-US" w:eastAsia="zh-CN" w:bidi="ar-SA"/>
        </w:rPr>
      </w:pPr>
    </w:p>
    <w:p w14:paraId="09D3C35D">
      <w:pPr>
        <w:widowControl w:val="0"/>
        <w:spacing w:line="500" w:lineRule="exact"/>
        <w:ind w:left="1913" w:leftChars="797" w:firstLine="5" w:firstLineChars="0"/>
        <w:jc w:val="both"/>
        <w:rPr>
          <w:rFonts w:hint="eastAsia" w:ascii="Times New Roman" w:hAnsi="宋体" w:eastAsia="宋体" w:cs="Times New Roman"/>
          <w:b/>
          <w:kern w:val="0"/>
          <w:sz w:val="30"/>
          <w:szCs w:val="30"/>
          <w:highlight w:val="none"/>
          <w:lang w:val="en-US" w:eastAsia="zh-CN" w:bidi="ar-SA"/>
        </w:rPr>
      </w:pPr>
    </w:p>
    <w:p w14:paraId="6D03F111">
      <w:pPr>
        <w:widowControl w:val="0"/>
        <w:spacing w:line="500" w:lineRule="exact"/>
        <w:ind w:left="1913" w:leftChars="797" w:firstLine="5" w:firstLineChars="0"/>
        <w:jc w:val="both"/>
        <w:rPr>
          <w:rFonts w:hint="eastAsia" w:ascii="Times New Roman" w:hAnsi="宋体" w:eastAsia="宋体" w:cs="Times New Roman"/>
          <w:b/>
          <w:kern w:val="0"/>
          <w:sz w:val="30"/>
          <w:szCs w:val="30"/>
          <w:highlight w:val="none"/>
          <w:lang w:val="en-US" w:eastAsia="zh-CN" w:bidi="ar-SA"/>
        </w:rPr>
      </w:pPr>
    </w:p>
    <w:tbl>
      <w:tblPr>
        <w:tblStyle w:val="25"/>
        <w:tblpPr w:leftFromText="180" w:rightFromText="180" w:vertAnchor="text" w:horzAnchor="page" w:tblpX="3029" w:tblpY="8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0"/>
        <w:gridCol w:w="5239"/>
      </w:tblGrid>
      <w:tr w14:paraId="2292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760" w:type="dxa"/>
            <w:noWrap w:val="0"/>
            <w:vAlign w:val="bottom"/>
          </w:tcPr>
          <w:p w14:paraId="2D061341">
            <w:pPr>
              <w:pStyle w:val="34"/>
              <w:bidi w:val="0"/>
              <w:jc w:val="both"/>
              <w:rPr>
                <w:rFonts w:hint="eastAsia" w:ascii="Times New Roman" w:hAnsi="宋体" w:eastAsia="宋体" w:cs="Times New Roman"/>
                <w:b/>
                <w:spacing w:val="97"/>
                <w:kern w:val="0"/>
                <w:szCs w:val="30"/>
                <w:highlight w:val="none"/>
                <w:fitText w:val="337" w:id="1939154515"/>
                <w:vertAlign w:val="baseline"/>
                <w:lang w:val="en-US" w:eastAsia="zh-CN" w:bidi="ar-SA"/>
              </w:rPr>
            </w:pPr>
            <w:r>
              <w:rPr>
                <w:rFonts w:hint="eastAsia" w:ascii="Times New Roman" w:hAnsi="宋体" w:eastAsia="宋体" w:cs="Times New Roman"/>
                <w:b/>
                <w:spacing w:val="150"/>
                <w:kern w:val="0"/>
                <w:szCs w:val="30"/>
                <w:highlight w:val="none"/>
                <w:fitText w:val="1800" w:id="92736346"/>
                <w:lang w:val="en-US" w:eastAsia="zh-CN" w:bidi="ar-SA"/>
              </w:rPr>
              <w:t>合同名称</w:t>
            </w:r>
            <w:r>
              <w:rPr>
                <w:rFonts w:hint="eastAsia" w:ascii="Times New Roman" w:hAnsi="宋体" w:eastAsia="宋体" w:cs="Times New Roman"/>
                <w:b/>
                <w:spacing w:val="0"/>
                <w:kern w:val="0"/>
                <w:szCs w:val="30"/>
                <w:highlight w:val="none"/>
                <w:fitText w:val="1800" w:id="92736346"/>
                <w:lang w:val="en-US" w:eastAsia="zh-CN" w:bidi="ar-SA"/>
              </w:rPr>
              <w:t>：</w:t>
            </w:r>
          </w:p>
        </w:tc>
        <w:tc>
          <w:tcPr>
            <w:tcW w:w="5239" w:type="dxa"/>
            <w:tcBorders>
              <w:bottom w:val="nil"/>
            </w:tcBorders>
            <w:noWrap w:val="0"/>
            <w:vAlign w:val="bottom"/>
          </w:tcPr>
          <w:p w14:paraId="3D461B19">
            <w:pPr>
              <w:pStyle w:val="34"/>
              <w:bidi w:val="0"/>
              <w:jc w:val="both"/>
              <w:rPr>
                <w:rFonts w:hint="default"/>
                <w:highlight w:val="none"/>
                <w:u w:val="single"/>
                <w:lang w:val="en-US" w:eastAsia="zh-CN"/>
              </w:rPr>
            </w:pPr>
          </w:p>
        </w:tc>
      </w:tr>
      <w:tr w14:paraId="0D92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60" w:type="dxa"/>
            <w:noWrap w:val="0"/>
            <w:vAlign w:val="bottom"/>
          </w:tcPr>
          <w:p w14:paraId="0CBEE14E">
            <w:pPr>
              <w:pStyle w:val="34"/>
              <w:bidi w:val="0"/>
              <w:jc w:val="both"/>
              <w:rPr>
                <w:rFonts w:hint="eastAsia"/>
                <w:highlight w:val="none"/>
                <w:lang w:val="en-US" w:eastAsia="zh-CN"/>
              </w:rPr>
            </w:pPr>
            <w:r>
              <w:rPr>
                <w:rFonts w:hint="eastAsia" w:ascii="Times New Roman" w:hAnsi="宋体" w:eastAsia="宋体" w:cs="Times New Roman"/>
                <w:b/>
                <w:spacing w:val="150"/>
                <w:kern w:val="0"/>
                <w:szCs w:val="30"/>
                <w:highlight w:val="none"/>
                <w:fitText w:val="1800" w:id="1949855581"/>
                <w:lang w:val="en-US" w:eastAsia="zh-CN" w:bidi="ar-SA"/>
              </w:rPr>
              <w:t>合同编号</w:t>
            </w:r>
            <w:r>
              <w:rPr>
                <w:rFonts w:hint="eastAsia" w:ascii="Times New Roman" w:hAnsi="宋体" w:eastAsia="宋体" w:cs="Times New Roman"/>
                <w:b/>
                <w:spacing w:val="0"/>
                <w:kern w:val="0"/>
                <w:szCs w:val="30"/>
                <w:highlight w:val="none"/>
                <w:fitText w:val="1800" w:id="1949855581"/>
                <w:lang w:val="en-US" w:eastAsia="zh-CN" w:bidi="ar-SA"/>
              </w:rPr>
              <w:t>：</w:t>
            </w:r>
          </w:p>
        </w:tc>
        <w:tc>
          <w:tcPr>
            <w:tcW w:w="5239" w:type="dxa"/>
            <w:tcBorders>
              <w:top w:val="nil"/>
              <w:bottom w:val="nil"/>
            </w:tcBorders>
            <w:noWrap w:val="0"/>
            <w:vAlign w:val="bottom"/>
          </w:tcPr>
          <w:p w14:paraId="3C098948">
            <w:pPr>
              <w:pStyle w:val="34"/>
              <w:bidi w:val="0"/>
              <w:jc w:val="both"/>
              <w:rPr>
                <w:rFonts w:hint="eastAsia"/>
                <w:highlight w:val="none"/>
                <w:u w:val="single"/>
                <w:lang w:val="en-US" w:eastAsia="zh-CN"/>
              </w:rPr>
            </w:pPr>
          </w:p>
        </w:tc>
      </w:tr>
      <w:tr w14:paraId="5132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60" w:type="dxa"/>
            <w:noWrap w:val="0"/>
            <w:vAlign w:val="bottom"/>
          </w:tcPr>
          <w:p w14:paraId="4D72F8B3">
            <w:pPr>
              <w:pStyle w:val="34"/>
              <w:bidi w:val="0"/>
              <w:jc w:val="both"/>
              <w:rPr>
                <w:rFonts w:hint="eastAsia"/>
                <w:highlight w:val="none"/>
                <w:lang w:val="en-US" w:eastAsia="zh-CN"/>
              </w:rPr>
            </w:pPr>
            <w:r>
              <w:rPr>
                <w:rFonts w:hint="eastAsia" w:ascii="Times New Roman" w:hAnsi="宋体" w:eastAsia="宋体" w:cs="Times New Roman"/>
                <w:b/>
                <w:spacing w:val="73"/>
                <w:kern w:val="0"/>
                <w:szCs w:val="30"/>
                <w:highlight w:val="none"/>
                <w:fitText w:val="1800" w:id="1194818629"/>
                <w:lang w:val="en-US" w:eastAsia="zh-CN" w:bidi="ar-SA"/>
              </w:rPr>
              <w:t>需方(甲方)</w:t>
            </w:r>
            <w:r>
              <w:rPr>
                <w:rFonts w:hint="eastAsia" w:ascii="Times New Roman" w:hAnsi="宋体" w:eastAsia="宋体" w:cs="Times New Roman"/>
                <w:b/>
                <w:spacing w:val="2"/>
                <w:kern w:val="0"/>
                <w:szCs w:val="30"/>
                <w:highlight w:val="none"/>
                <w:fitText w:val="1800" w:id="1194818629"/>
                <w:lang w:val="en-US" w:eastAsia="zh-CN" w:bidi="ar-SA"/>
              </w:rPr>
              <w:t>：</w:t>
            </w:r>
          </w:p>
        </w:tc>
        <w:tc>
          <w:tcPr>
            <w:tcW w:w="5239" w:type="dxa"/>
            <w:tcBorders>
              <w:top w:val="nil"/>
              <w:bottom w:val="nil"/>
            </w:tcBorders>
            <w:noWrap w:val="0"/>
            <w:vAlign w:val="bottom"/>
          </w:tcPr>
          <w:p w14:paraId="24E8F8B3">
            <w:pPr>
              <w:pStyle w:val="34"/>
              <w:bidi w:val="0"/>
              <w:jc w:val="both"/>
              <w:rPr>
                <w:rFonts w:hint="eastAsia" w:ascii="Times New Roman" w:hAnsi="宋体" w:eastAsia="宋体" w:cs="Times New Roman"/>
                <w:b/>
                <w:spacing w:val="97"/>
                <w:kern w:val="0"/>
                <w:szCs w:val="30"/>
                <w:highlight w:val="none"/>
                <w:u w:val="single"/>
                <w:fitText w:val="337" w:id="1939154515"/>
                <w:vertAlign w:val="baseline"/>
                <w:lang w:val="en-US" w:eastAsia="zh-CN" w:bidi="ar-SA"/>
              </w:rPr>
            </w:pPr>
            <w:r>
              <w:rPr>
                <w:rFonts w:hint="eastAsia"/>
                <w:highlight w:val="none"/>
                <w:u w:val="single"/>
                <w:lang w:val="en-US" w:eastAsia="zh-CN"/>
              </w:rPr>
              <w:t>广西壮族自治区人民医院</w:t>
            </w:r>
          </w:p>
        </w:tc>
      </w:tr>
      <w:tr w14:paraId="712E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60" w:type="dxa"/>
            <w:noWrap w:val="0"/>
            <w:vAlign w:val="bottom"/>
          </w:tcPr>
          <w:p w14:paraId="0F16D207">
            <w:pPr>
              <w:pStyle w:val="34"/>
              <w:bidi w:val="0"/>
              <w:jc w:val="both"/>
              <w:rPr>
                <w:rFonts w:hint="eastAsia" w:ascii="Times New Roman" w:hAnsi="宋体" w:eastAsia="宋体" w:cs="Times New Roman"/>
                <w:b/>
                <w:spacing w:val="1560"/>
                <w:kern w:val="0"/>
                <w:szCs w:val="30"/>
                <w:highlight w:val="none"/>
                <w:fitText w:val="1800" w:id="1300850442"/>
                <w:lang w:val="en-US" w:eastAsia="zh-CN" w:bidi="ar-SA"/>
              </w:rPr>
            </w:pPr>
            <w:r>
              <w:rPr>
                <w:rFonts w:hint="eastAsia" w:ascii="Times New Roman" w:hAnsi="宋体" w:eastAsia="宋体" w:cs="Times New Roman"/>
                <w:b/>
                <w:color w:val="0000FF"/>
                <w:spacing w:val="73"/>
                <w:kern w:val="0"/>
                <w:szCs w:val="30"/>
                <w:highlight w:val="none"/>
                <w:fitText w:val="1800" w:id="1037764677"/>
                <w:lang w:val="en-US" w:eastAsia="zh-CN" w:bidi="ar-SA"/>
              </w:rPr>
              <w:t>供方(乙方)</w:t>
            </w:r>
            <w:r>
              <w:rPr>
                <w:rFonts w:hint="eastAsia" w:ascii="Times New Roman" w:hAnsi="宋体" w:eastAsia="宋体" w:cs="Times New Roman"/>
                <w:b/>
                <w:color w:val="0000FF"/>
                <w:spacing w:val="2"/>
                <w:kern w:val="0"/>
                <w:szCs w:val="30"/>
                <w:highlight w:val="none"/>
                <w:fitText w:val="1800" w:id="1037764677"/>
                <w:lang w:val="en-US" w:eastAsia="zh-CN" w:bidi="ar-SA"/>
              </w:rPr>
              <w:t>：</w:t>
            </w:r>
          </w:p>
        </w:tc>
        <w:tc>
          <w:tcPr>
            <w:tcW w:w="5239" w:type="dxa"/>
            <w:tcBorders>
              <w:top w:val="nil"/>
              <w:bottom w:val="nil"/>
            </w:tcBorders>
            <w:noWrap w:val="0"/>
            <w:vAlign w:val="bottom"/>
          </w:tcPr>
          <w:p w14:paraId="1FEA91A5">
            <w:pPr>
              <w:pStyle w:val="34"/>
              <w:bidi w:val="0"/>
              <w:jc w:val="both"/>
              <w:rPr>
                <w:rFonts w:hint="eastAsia"/>
                <w:highlight w:val="none"/>
                <w:u w:val="single"/>
                <w:lang w:val="en-US" w:eastAsia="zh-CN"/>
              </w:rPr>
            </w:pPr>
          </w:p>
        </w:tc>
      </w:tr>
      <w:tr w14:paraId="680C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60" w:type="dxa"/>
            <w:noWrap w:val="0"/>
            <w:vAlign w:val="bottom"/>
          </w:tcPr>
          <w:p w14:paraId="3EBC3CC7">
            <w:pPr>
              <w:pStyle w:val="34"/>
              <w:bidi w:val="0"/>
              <w:jc w:val="both"/>
              <w:rPr>
                <w:rFonts w:hint="eastAsia" w:ascii="Times New Roman" w:hAnsi="宋体" w:eastAsia="宋体" w:cs="Times New Roman"/>
                <w:b/>
                <w:spacing w:val="1560"/>
                <w:kern w:val="0"/>
                <w:szCs w:val="30"/>
                <w:highlight w:val="none"/>
                <w:fitText w:val="1800" w:id="1300850442"/>
                <w:lang w:val="en-US" w:eastAsia="zh-CN" w:bidi="ar-SA"/>
              </w:rPr>
            </w:pPr>
            <w:r>
              <w:rPr>
                <w:rFonts w:hint="eastAsia" w:ascii="Times New Roman" w:hAnsi="宋体" w:eastAsia="宋体" w:cs="Times New Roman"/>
                <w:b/>
                <w:spacing w:val="150"/>
                <w:kern w:val="0"/>
                <w:szCs w:val="30"/>
                <w:highlight w:val="none"/>
                <w:fitText w:val="1800" w:id="758339461"/>
                <w:lang w:val="en-US" w:eastAsia="zh-CN" w:bidi="ar-SA"/>
              </w:rPr>
              <w:t>签订地点</w:t>
            </w:r>
            <w:r>
              <w:rPr>
                <w:rFonts w:hint="eastAsia" w:ascii="Times New Roman" w:hAnsi="宋体" w:eastAsia="宋体" w:cs="Times New Roman"/>
                <w:b/>
                <w:spacing w:val="0"/>
                <w:kern w:val="0"/>
                <w:szCs w:val="30"/>
                <w:highlight w:val="none"/>
                <w:fitText w:val="1800" w:id="758339461"/>
                <w:lang w:val="en-US" w:eastAsia="zh-CN" w:bidi="ar-SA"/>
              </w:rPr>
              <w:t>：</w:t>
            </w:r>
          </w:p>
        </w:tc>
        <w:tc>
          <w:tcPr>
            <w:tcW w:w="5239" w:type="dxa"/>
            <w:tcBorders>
              <w:top w:val="nil"/>
              <w:bottom w:val="nil"/>
            </w:tcBorders>
            <w:noWrap w:val="0"/>
            <w:vAlign w:val="bottom"/>
          </w:tcPr>
          <w:p w14:paraId="3CE605A2">
            <w:pPr>
              <w:pStyle w:val="34"/>
              <w:bidi w:val="0"/>
              <w:jc w:val="both"/>
              <w:rPr>
                <w:rFonts w:hint="eastAsia" w:ascii="Times New Roman" w:hAnsi="宋体" w:eastAsia="宋体" w:cs="Times New Roman"/>
                <w:b/>
                <w:spacing w:val="97"/>
                <w:kern w:val="0"/>
                <w:szCs w:val="30"/>
                <w:highlight w:val="none"/>
                <w:u w:val="single"/>
                <w:fitText w:val="337" w:id="1939154515"/>
                <w:vertAlign w:val="baseline"/>
                <w:lang w:val="en-US" w:eastAsia="zh-CN" w:bidi="ar-SA"/>
              </w:rPr>
            </w:pPr>
            <w:r>
              <w:rPr>
                <w:rFonts w:hint="eastAsia"/>
                <w:highlight w:val="none"/>
                <w:u w:val="single"/>
                <w:lang w:val="en-US" w:eastAsia="zh-CN"/>
              </w:rPr>
              <w:t>南宁市青秀区</w:t>
            </w:r>
          </w:p>
        </w:tc>
      </w:tr>
      <w:tr w14:paraId="6833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60" w:type="dxa"/>
            <w:noWrap w:val="0"/>
            <w:vAlign w:val="bottom"/>
          </w:tcPr>
          <w:p w14:paraId="0F976EB1">
            <w:pPr>
              <w:pStyle w:val="34"/>
              <w:bidi w:val="0"/>
              <w:jc w:val="both"/>
              <w:rPr>
                <w:rFonts w:hint="eastAsia" w:ascii="Times New Roman" w:hAnsi="宋体" w:eastAsia="宋体" w:cs="Times New Roman"/>
                <w:b/>
                <w:spacing w:val="1560"/>
                <w:kern w:val="0"/>
                <w:szCs w:val="30"/>
                <w:highlight w:val="none"/>
                <w:fitText w:val="1800" w:id="1300850442"/>
                <w:lang w:val="en-US" w:eastAsia="zh-CN" w:bidi="ar-SA"/>
              </w:rPr>
            </w:pPr>
            <w:r>
              <w:rPr>
                <w:rFonts w:hint="eastAsia" w:ascii="Times New Roman" w:hAnsi="宋体" w:eastAsia="宋体" w:cs="Times New Roman"/>
                <w:b/>
                <w:spacing w:val="150"/>
                <w:kern w:val="0"/>
                <w:szCs w:val="30"/>
                <w:highlight w:val="none"/>
                <w:fitText w:val="1800" w:id="635899475"/>
                <w:lang w:val="en-US" w:eastAsia="zh-CN" w:bidi="ar-SA"/>
              </w:rPr>
              <w:t>签订时间</w:t>
            </w:r>
            <w:r>
              <w:rPr>
                <w:rFonts w:hint="eastAsia" w:ascii="Times New Roman" w:hAnsi="宋体" w:eastAsia="宋体" w:cs="Times New Roman"/>
                <w:b/>
                <w:spacing w:val="0"/>
                <w:kern w:val="0"/>
                <w:szCs w:val="30"/>
                <w:highlight w:val="none"/>
                <w:fitText w:val="1800" w:id="635899475"/>
                <w:lang w:val="en-US" w:eastAsia="zh-CN" w:bidi="ar-SA"/>
              </w:rPr>
              <w:t>：</w:t>
            </w:r>
          </w:p>
        </w:tc>
        <w:tc>
          <w:tcPr>
            <w:tcW w:w="5239" w:type="dxa"/>
            <w:tcBorders>
              <w:top w:val="nil"/>
              <w:bottom w:val="nil"/>
            </w:tcBorders>
            <w:noWrap w:val="0"/>
            <w:vAlign w:val="bottom"/>
          </w:tcPr>
          <w:p w14:paraId="16E22F58">
            <w:pPr>
              <w:pStyle w:val="34"/>
              <w:bidi w:val="0"/>
              <w:jc w:val="both"/>
              <w:rPr>
                <w:rFonts w:hint="eastAsia" w:ascii="Times New Roman" w:hAnsi="宋体" w:eastAsia="宋体" w:cs="Times New Roman"/>
                <w:b/>
                <w:spacing w:val="97"/>
                <w:kern w:val="0"/>
                <w:szCs w:val="30"/>
                <w:highlight w:val="none"/>
                <w:u w:val="single"/>
                <w:fitText w:val="337" w:id="1939154515"/>
                <w:vertAlign w:val="baseline"/>
                <w:lang w:val="en-US" w:eastAsia="zh-CN" w:bidi="ar-SA"/>
              </w:rPr>
            </w:pPr>
            <w:r>
              <w:rPr>
                <w:rFonts w:hint="eastAsia"/>
                <w:highlight w:val="none"/>
                <w:u w:val="single"/>
                <w:lang w:val="en-US" w:eastAsia="zh-CN"/>
              </w:rPr>
              <w:t xml:space="preserve">        年   月   日</w:t>
            </w:r>
          </w:p>
        </w:tc>
      </w:tr>
    </w:tbl>
    <w:p w14:paraId="75BD90F3">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19749409">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2D9152AE">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07B6C64A">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63EF488E">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773ECD5D">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132007EF">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03F38875">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232E1947">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4B2EC4AC">
      <w:pPr>
        <w:snapToGrid w:val="0"/>
        <w:spacing w:line="400" w:lineRule="exact"/>
        <w:jc w:val="center"/>
        <w:rPr>
          <w:rFonts w:hint="eastAsia" w:ascii="微软雅黑" w:hAnsi="微软雅黑" w:eastAsia="微软雅黑"/>
          <w:b/>
          <w:bCs/>
          <w:color w:val="000000"/>
          <w:sz w:val="32"/>
          <w:szCs w:val="32"/>
          <w:highlight w:val="none"/>
        </w:rPr>
        <w:sectPr>
          <w:headerReference r:id="rId8" w:type="default"/>
          <w:pgSz w:w="11906" w:h="16838"/>
          <w:pgMar w:top="1440" w:right="1800" w:bottom="1440" w:left="1800" w:header="851" w:footer="992" w:gutter="0"/>
          <w:pgNumType w:fmt="decimal"/>
          <w:cols w:space="720" w:num="1"/>
          <w:docGrid w:type="lines" w:linePitch="312" w:charSpace="0"/>
        </w:sectPr>
      </w:pPr>
    </w:p>
    <w:p w14:paraId="0FF38A36">
      <w:pPr>
        <w:widowControl w:val="0"/>
        <w:kinsoku/>
        <w:wordWrap/>
        <w:topLinePunct w:val="0"/>
        <w:autoSpaceDE/>
        <w:autoSpaceDN/>
        <w:adjustRightInd/>
        <w:snapToGrid w:val="0"/>
        <w:spacing w:line="400" w:lineRule="exact"/>
        <w:ind w:firstLine="0" w:firstLineChars="0"/>
        <w:jc w:val="center"/>
        <w:textAlignment w:val="auto"/>
        <w:rPr>
          <w:rFonts w:ascii="微软雅黑" w:hAnsi="微软雅黑" w:eastAsia="微软雅黑" w:cs="Times New Roman"/>
          <w:b/>
          <w:bCs/>
          <w:snapToGrid/>
          <w:color w:val="000000"/>
          <w:kern w:val="2"/>
          <w:sz w:val="32"/>
          <w:szCs w:val="32"/>
          <w:highlight w:val="none"/>
          <w:lang w:eastAsia="zh-CN"/>
        </w:rPr>
      </w:pPr>
      <w:r>
        <w:rPr>
          <w:rFonts w:hint="eastAsia" w:ascii="微软雅黑" w:hAnsi="微软雅黑" w:eastAsia="微软雅黑" w:cs="Times New Roman"/>
          <w:b/>
          <w:bCs/>
          <w:snapToGrid/>
          <w:color w:val="000000"/>
          <w:kern w:val="2"/>
          <w:sz w:val="32"/>
          <w:szCs w:val="32"/>
          <w:highlight w:val="none"/>
          <w:lang w:eastAsia="zh-CN"/>
        </w:rPr>
        <w:t>广西壮族自治区人民医院采购合同</w:t>
      </w:r>
    </w:p>
    <w:p w14:paraId="2ECEABF4">
      <w:pPr>
        <w:widowControl w:val="0"/>
        <w:kinsoku/>
        <w:wordWrap/>
        <w:topLinePunct w:val="0"/>
        <w:autoSpaceDE/>
        <w:autoSpaceDN/>
        <w:adjustRightInd/>
        <w:snapToGrid w:val="0"/>
        <w:spacing w:line="400" w:lineRule="exact"/>
        <w:ind w:firstLine="0" w:firstLineChars="0"/>
        <w:jc w:val="center"/>
        <w:textAlignment w:val="auto"/>
        <w:rPr>
          <w:rFonts w:ascii="微软雅黑" w:hAnsi="微软雅黑" w:eastAsia="微软雅黑" w:cs="Times New Roman"/>
          <w:b/>
          <w:bCs/>
          <w:snapToGrid/>
          <w:color w:val="000000"/>
          <w:kern w:val="2"/>
          <w:sz w:val="32"/>
          <w:szCs w:val="32"/>
          <w:highlight w:val="none"/>
          <w:lang w:eastAsia="zh-CN"/>
        </w:rPr>
      </w:pPr>
    </w:p>
    <w:p w14:paraId="3176797A">
      <w:pPr>
        <w:widowControl w:val="0"/>
        <w:kinsoku/>
        <w:wordWrap/>
        <w:topLinePunct w:val="0"/>
        <w:autoSpaceDE/>
        <w:autoSpaceDN/>
        <w:adjustRightInd/>
        <w:snapToGrid w:val="0"/>
        <w:spacing w:line="400" w:lineRule="exact"/>
        <w:ind w:right="480" w:firstLine="0" w:firstLineChars="0"/>
        <w:jc w:val="right"/>
        <w:textAlignment w:val="auto"/>
        <w:rPr>
          <w:rFonts w:ascii="微软雅黑" w:hAnsi="微软雅黑" w:eastAsia="微软雅黑" w:cs="Times New Roman"/>
          <w:bCs/>
          <w:snapToGrid/>
          <w:color w:val="000000"/>
          <w:kern w:val="2"/>
          <w:sz w:val="21"/>
          <w:szCs w:val="21"/>
          <w:highlight w:val="none"/>
          <w:lang w:eastAsia="zh-CN"/>
        </w:rPr>
      </w:pPr>
      <w:r>
        <w:rPr>
          <w:rFonts w:hint="eastAsia" w:ascii="微软雅黑" w:hAnsi="微软雅黑" w:eastAsia="微软雅黑" w:cs="Times New Roman"/>
          <w:bCs/>
          <w:snapToGrid/>
          <w:color w:val="000000"/>
          <w:kern w:val="2"/>
          <w:sz w:val="15"/>
          <w:szCs w:val="15"/>
          <w:highlight w:val="none"/>
          <w:lang w:eastAsia="zh-CN"/>
        </w:rPr>
        <w:t>【202</w:t>
      </w:r>
      <w:r>
        <w:rPr>
          <w:rFonts w:hint="eastAsia" w:ascii="微软雅黑" w:hAnsi="微软雅黑" w:eastAsia="微软雅黑" w:cs="Times New Roman"/>
          <w:bCs/>
          <w:snapToGrid/>
          <w:color w:val="000000"/>
          <w:kern w:val="2"/>
          <w:sz w:val="15"/>
          <w:szCs w:val="15"/>
          <w:highlight w:val="none"/>
          <w:lang w:val="en-US" w:eastAsia="zh-CN"/>
        </w:rPr>
        <w:t>5</w:t>
      </w:r>
      <w:r>
        <w:rPr>
          <w:rFonts w:hint="eastAsia" w:ascii="微软雅黑" w:hAnsi="微软雅黑" w:eastAsia="微软雅黑" w:cs="Times New Roman"/>
          <w:bCs/>
          <w:snapToGrid/>
          <w:color w:val="000000"/>
          <w:kern w:val="2"/>
          <w:sz w:val="15"/>
          <w:szCs w:val="15"/>
          <w:highlight w:val="none"/>
          <w:lang w:eastAsia="zh-CN"/>
        </w:rPr>
        <w:t>年</w:t>
      </w:r>
      <w:r>
        <w:rPr>
          <w:rFonts w:hint="eastAsia" w:ascii="微软雅黑" w:hAnsi="微软雅黑" w:eastAsia="微软雅黑" w:cs="Times New Roman"/>
          <w:bCs/>
          <w:snapToGrid/>
          <w:color w:val="000000"/>
          <w:kern w:val="2"/>
          <w:sz w:val="15"/>
          <w:szCs w:val="15"/>
          <w:highlight w:val="none"/>
          <w:lang w:val="en-US" w:eastAsia="zh-CN"/>
        </w:rPr>
        <w:t>4</w:t>
      </w:r>
      <w:r>
        <w:rPr>
          <w:rFonts w:hint="eastAsia" w:ascii="微软雅黑" w:hAnsi="微软雅黑" w:eastAsia="微软雅黑" w:cs="Times New Roman"/>
          <w:bCs/>
          <w:snapToGrid/>
          <w:color w:val="000000"/>
          <w:kern w:val="2"/>
          <w:sz w:val="15"/>
          <w:szCs w:val="15"/>
          <w:highlight w:val="none"/>
          <w:lang w:eastAsia="zh-CN"/>
        </w:rPr>
        <w:t>月版】</w:t>
      </w:r>
    </w:p>
    <w:p w14:paraId="177222D8">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u w:val="single"/>
          <w:lang w:eastAsia="zh-CN"/>
        </w:rPr>
      </w:pPr>
      <w:r>
        <w:rPr>
          <w:rFonts w:hint="eastAsia" w:ascii="微软雅黑" w:hAnsi="微软雅黑" w:eastAsia="微软雅黑" w:cs="Times New Roman"/>
          <w:snapToGrid/>
          <w:color w:val="000000"/>
          <w:kern w:val="2"/>
          <w:sz w:val="21"/>
          <w:szCs w:val="21"/>
          <w:highlight w:val="none"/>
          <w:lang w:eastAsia="zh-CN"/>
        </w:rPr>
        <w:t>采购单位（甲方）</w:t>
      </w:r>
      <w:r>
        <w:rPr>
          <w:rFonts w:hint="eastAsia" w:ascii="微软雅黑" w:hAnsi="微软雅黑" w:eastAsia="微软雅黑" w:cs="Times New Roman"/>
          <w:snapToGrid/>
          <w:color w:val="000000"/>
          <w:kern w:val="2"/>
          <w:sz w:val="21"/>
          <w:szCs w:val="21"/>
          <w:highlight w:val="none"/>
          <w:u w:val="single"/>
          <w:lang w:eastAsia="zh-CN"/>
        </w:rPr>
        <w:t xml:space="preserve">  广西壮族自治区人民医院     </w:t>
      </w:r>
      <w:r>
        <w:rPr>
          <w:rFonts w:hint="eastAsia" w:ascii="微软雅黑" w:hAnsi="微软雅黑" w:eastAsia="微软雅黑" w:cs="Times New Roman"/>
          <w:snapToGrid/>
          <w:color w:val="000000"/>
          <w:kern w:val="2"/>
          <w:sz w:val="21"/>
          <w:szCs w:val="21"/>
          <w:highlight w:val="none"/>
          <w:lang w:eastAsia="zh-CN"/>
        </w:rPr>
        <w:t xml:space="preserve">  </w:t>
      </w:r>
    </w:p>
    <w:p w14:paraId="7237E1AE">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u w:val="single"/>
          <w:lang w:eastAsia="zh-CN"/>
        </w:rPr>
      </w:pPr>
      <w:r>
        <w:rPr>
          <w:rFonts w:hint="eastAsia" w:ascii="微软雅黑" w:hAnsi="微软雅黑" w:eastAsia="微软雅黑" w:cs="Times New Roman"/>
          <w:snapToGrid/>
          <w:color w:val="000000"/>
          <w:kern w:val="2"/>
          <w:sz w:val="21"/>
          <w:szCs w:val="21"/>
          <w:highlight w:val="none"/>
          <w:lang w:eastAsia="zh-CN"/>
        </w:rPr>
        <w:t>供 应 商（乙方）</w:t>
      </w:r>
      <w:r>
        <w:rPr>
          <w:rFonts w:hint="eastAsia" w:ascii="微软雅黑" w:hAnsi="微软雅黑" w:eastAsia="微软雅黑" w:cs="Times New Roman"/>
          <w:snapToGrid/>
          <w:color w:val="000000"/>
          <w:kern w:val="2"/>
          <w:sz w:val="21"/>
          <w:szCs w:val="21"/>
          <w:highlight w:val="none"/>
          <w:u w:val="single"/>
          <w:lang w:eastAsia="zh-CN"/>
        </w:rPr>
        <w:t xml:space="preserve">  </w:t>
      </w:r>
      <w:r>
        <w:rPr>
          <w:rFonts w:hint="eastAsia" w:ascii="微软雅黑" w:hAnsi="微软雅黑" w:eastAsia="微软雅黑" w:cs="Times New Roman"/>
          <w:snapToGrid/>
          <w:color w:val="000000"/>
          <w:kern w:val="2"/>
          <w:sz w:val="21"/>
          <w:szCs w:val="21"/>
          <w:highlight w:val="none"/>
          <w:u w:val="single"/>
          <w:lang w:val="en-US" w:eastAsia="zh-CN"/>
        </w:rPr>
        <w:t xml:space="preserve">                      </w:t>
      </w:r>
      <w:r>
        <w:rPr>
          <w:rFonts w:hint="eastAsia" w:ascii="微软雅黑" w:hAnsi="微软雅黑" w:eastAsia="微软雅黑" w:cs="Times New Roman"/>
          <w:snapToGrid/>
          <w:color w:val="000000"/>
          <w:kern w:val="2"/>
          <w:sz w:val="21"/>
          <w:szCs w:val="21"/>
          <w:highlight w:val="none"/>
          <w:u w:val="single"/>
          <w:lang w:eastAsia="zh-CN"/>
        </w:rPr>
        <w:t xml:space="preserve">   </w:t>
      </w:r>
      <w:r>
        <w:rPr>
          <w:rFonts w:hint="eastAsia" w:ascii="微软雅黑" w:hAnsi="微软雅黑" w:eastAsia="微软雅黑" w:cs="Times New Roman"/>
          <w:snapToGrid/>
          <w:color w:val="000000"/>
          <w:kern w:val="2"/>
          <w:sz w:val="21"/>
          <w:szCs w:val="21"/>
          <w:highlight w:val="none"/>
          <w:u w:val="single"/>
          <w:lang w:val="en-US" w:eastAsia="zh-CN"/>
        </w:rPr>
        <w:t xml:space="preserve">  </w:t>
      </w:r>
      <w:r>
        <w:rPr>
          <w:rFonts w:hint="eastAsia" w:ascii="微软雅黑" w:hAnsi="微软雅黑" w:eastAsia="微软雅黑" w:cs="Times New Roman"/>
          <w:snapToGrid/>
          <w:color w:val="000000"/>
          <w:kern w:val="2"/>
          <w:sz w:val="21"/>
          <w:szCs w:val="21"/>
          <w:highlight w:val="none"/>
          <w:lang w:eastAsia="zh-CN"/>
        </w:rPr>
        <w:t xml:space="preserve">  合 同 编 号</w:t>
      </w:r>
      <w:r>
        <w:rPr>
          <w:rFonts w:hint="eastAsia" w:ascii="微软雅黑" w:hAnsi="微软雅黑" w:eastAsia="微软雅黑" w:cs="Times New Roman"/>
          <w:snapToGrid/>
          <w:color w:val="000000"/>
          <w:kern w:val="2"/>
          <w:sz w:val="21"/>
          <w:szCs w:val="21"/>
          <w:highlight w:val="none"/>
          <w:u w:val="single"/>
          <w:lang w:eastAsia="zh-CN"/>
        </w:rPr>
        <w:t xml:space="preserve">  </w:t>
      </w:r>
      <w:r>
        <w:rPr>
          <w:rFonts w:hint="eastAsia" w:ascii="微软雅黑" w:hAnsi="微软雅黑" w:eastAsia="微软雅黑" w:cs="Times New Roman"/>
          <w:snapToGrid/>
          <w:color w:val="000000"/>
          <w:kern w:val="2"/>
          <w:sz w:val="21"/>
          <w:szCs w:val="21"/>
          <w:highlight w:val="none"/>
          <w:u w:val="single"/>
          <w:lang w:val="en-US" w:eastAsia="zh-CN"/>
        </w:rPr>
        <w:t xml:space="preserve">                </w:t>
      </w:r>
      <w:r>
        <w:rPr>
          <w:rFonts w:hint="eastAsia" w:ascii="微软雅黑" w:hAnsi="微软雅黑" w:eastAsia="微软雅黑" w:cs="Times New Roman"/>
          <w:snapToGrid/>
          <w:color w:val="000000"/>
          <w:kern w:val="2"/>
          <w:sz w:val="21"/>
          <w:szCs w:val="21"/>
          <w:highlight w:val="none"/>
          <w:u w:val="single"/>
          <w:lang w:eastAsia="zh-CN"/>
        </w:rPr>
        <w:t xml:space="preserve">  </w:t>
      </w:r>
    </w:p>
    <w:p w14:paraId="6AD964CF">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u w:val="single"/>
          <w:lang w:eastAsia="zh-CN"/>
        </w:rPr>
      </w:pPr>
      <w:r>
        <w:rPr>
          <w:rFonts w:hint="eastAsia" w:ascii="微软雅黑" w:hAnsi="微软雅黑" w:eastAsia="微软雅黑" w:cs="Times New Roman"/>
          <w:snapToGrid/>
          <w:color w:val="000000"/>
          <w:kern w:val="2"/>
          <w:sz w:val="21"/>
          <w:szCs w:val="21"/>
          <w:highlight w:val="none"/>
          <w:lang w:eastAsia="zh-CN"/>
        </w:rPr>
        <w:t xml:space="preserve">签  订  地  点  </w:t>
      </w:r>
      <w:r>
        <w:rPr>
          <w:rFonts w:hint="eastAsia" w:ascii="微软雅黑" w:hAnsi="微软雅黑" w:eastAsia="微软雅黑" w:cs="Times New Roman"/>
          <w:snapToGrid/>
          <w:color w:val="000000"/>
          <w:kern w:val="2"/>
          <w:sz w:val="21"/>
          <w:szCs w:val="21"/>
          <w:highlight w:val="none"/>
          <w:u w:val="single"/>
          <w:lang w:eastAsia="zh-CN"/>
        </w:rPr>
        <w:t xml:space="preserve">    南宁市青秀区             </w:t>
      </w:r>
      <w:r>
        <w:rPr>
          <w:rFonts w:hint="eastAsia" w:ascii="微软雅黑" w:hAnsi="微软雅黑" w:eastAsia="微软雅黑" w:cs="Times New Roman"/>
          <w:snapToGrid/>
          <w:color w:val="000000"/>
          <w:kern w:val="2"/>
          <w:sz w:val="21"/>
          <w:szCs w:val="21"/>
          <w:highlight w:val="none"/>
          <w:lang w:eastAsia="zh-CN"/>
        </w:rPr>
        <w:t xml:space="preserve">  签 订 时 间</w:t>
      </w:r>
      <w:r>
        <w:rPr>
          <w:rFonts w:hint="eastAsia" w:ascii="微软雅黑" w:hAnsi="微软雅黑" w:eastAsia="微软雅黑" w:cs="Times New Roman"/>
          <w:snapToGrid/>
          <w:color w:val="000000"/>
          <w:kern w:val="2"/>
          <w:sz w:val="21"/>
          <w:szCs w:val="21"/>
          <w:highlight w:val="none"/>
          <w:u w:val="single"/>
          <w:lang w:eastAsia="zh-CN"/>
        </w:rPr>
        <w:t xml:space="preserve"> </w:t>
      </w:r>
      <w:r>
        <w:rPr>
          <w:rFonts w:hint="eastAsia" w:ascii="微软雅黑" w:hAnsi="微软雅黑" w:eastAsia="微软雅黑" w:cs="Times New Roman"/>
          <w:snapToGrid/>
          <w:color w:val="000000"/>
          <w:kern w:val="2"/>
          <w:sz w:val="21"/>
          <w:szCs w:val="21"/>
          <w:highlight w:val="none"/>
          <w:u w:val="single"/>
          <w:lang w:val="en-US" w:eastAsia="zh-CN"/>
        </w:rPr>
        <w:t xml:space="preserve">      </w:t>
      </w:r>
      <w:r>
        <w:rPr>
          <w:rFonts w:hint="eastAsia" w:ascii="微软雅黑" w:hAnsi="微软雅黑" w:eastAsia="微软雅黑" w:cs="Times New Roman"/>
          <w:snapToGrid/>
          <w:color w:val="000000"/>
          <w:kern w:val="2"/>
          <w:sz w:val="21"/>
          <w:szCs w:val="21"/>
          <w:highlight w:val="none"/>
          <w:u w:val="single"/>
          <w:lang w:eastAsia="zh-CN"/>
        </w:rPr>
        <w:t xml:space="preserve">年 </w:t>
      </w:r>
      <w:r>
        <w:rPr>
          <w:rFonts w:hint="eastAsia" w:ascii="微软雅黑" w:hAnsi="微软雅黑" w:eastAsia="微软雅黑" w:cs="Times New Roman"/>
          <w:snapToGrid/>
          <w:color w:val="000000"/>
          <w:kern w:val="2"/>
          <w:sz w:val="21"/>
          <w:szCs w:val="21"/>
          <w:highlight w:val="none"/>
          <w:u w:val="single"/>
          <w:lang w:val="en-US" w:eastAsia="zh-CN"/>
        </w:rPr>
        <w:t xml:space="preserve"> </w:t>
      </w:r>
      <w:r>
        <w:rPr>
          <w:rFonts w:hint="eastAsia" w:ascii="微软雅黑" w:hAnsi="微软雅黑" w:eastAsia="微软雅黑" w:cs="Times New Roman"/>
          <w:snapToGrid/>
          <w:color w:val="000000"/>
          <w:kern w:val="2"/>
          <w:sz w:val="21"/>
          <w:szCs w:val="21"/>
          <w:highlight w:val="none"/>
          <w:u w:val="single"/>
          <w:lang w:eastAsia="zh-CN"/>
        </w:rPr>
        <w:t xml:space="preserve"> 月 </w:t>
      </w:r>
      <w:r>
        <w:rPr>
          <w:rFonts w:hint="eastAsia" w:ascii="微软雅黑" w:hAnsi="微软雅黑" w:eastAsia="微软雅黑" w:cs="Times New Roman"/>
          <w:snapToGrid/>
          <w:color w:val="000000"/>
          <w:kern w:val="2"/>
          <w:sz w:val="21"/>
          <w:szCs w:val="21"/>
          <w:highlight w:val="none"/>
          <w:u w:val="single"/>
          <w:lang w:val="en-US" w:eastAsia="zh-CN"/>
        </w:rPr>
        <w:t xml:space="preserve"> </w:t>
      </w:r>
      <w:r>
        <w:rPr>
          <w:rFonts w:hint="eastAsia" w:ascii="微软雅黑" w:hAnsi="微软雅黑" w:eastAsia="微软雅黑" w:cs="Times New Roman"/>
          <w:snapToGrid/>
          <w:color w:val="000000"/>
          <w:kern w:val="2"/>
          <w:sz w:val="21"/>
          <w:szCs w:val="21"/>
          <w:highlight w:val="none"/>
          <w:u w:val="single"/>
          <w:lang w:eastAsia="zh-CN"/>
        </w:rPr>
        <w:t xml:space="preserve"> 日 </w:t>
      </w:r>
    </w:p>
    <w:p w14:paraId="7BF55203">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根据《中华人民共和国政府采购法》《中华人民共和国民法典》等法律法规规定，按照采购文件规定条款和中标供应商承诺，甲乙双方签订本合同。</w:t>
      </w:r>
    </w:p>
    <w:p w14:paraId="65379A32">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第一条 合同标的</w:t>
      </w:r>
    </w:p>
    <w:p w14:paraId="6193DFA1">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供货一览表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250"/>
        <w:gridCol w:w="1250"/>
        <w:gridCol w:w="1574"/>
        <w:gridCol w:w="1232"/>
        <w:gridCol w:w="1210"/>
        <w:gridCol w:w="1230"/>
        <w:gridCol w:w="1363"/>
      </w:tblGrid>
      <w:tr w14:paraId="3A1D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87" w:type="pct"/>
            <w:noWrap w:val="0"/>
            <w:vAlign w:val="center"/>
          </w:tcPr>
          <w:p w14:paraId="1E8DBF7F">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序号</w:t>
            </w:r>
          </w:p>
        </w:tc>
        <w:tc>
          <w:tcPr>
            <w:tcW w:w="633" w:type="pct"/>
            <w:noWrap w:val="0"/>
            <w:vAlign w:val="center"/>
          </w:tcPr>
          <w:p w14:paraId="7EE325B7">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产品名称</w:t>
            </w:r>
          </w:p>
        </w:tc>
        <w:tc>
          <w:tcPr>
            <w:tcW w:w="633" w:type="pct"/>
            <w:noWrap w:val="0"/>
            <w:vAlign w:val="center"/>
          </w:tcPr>
          <w:p w14:paraId="022BF6FA">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商标品牌</w:t>
            </w:r>
          </w:p>
        </w:tc>
        <w:tc>
          <w:tcPr>
            <w:tcW w:w="797" w:type="pct"/>
            <w:noWrap w:val="0"/>
            <w:vAlign w:val="center"/>
          </w:tcPr>
          <w:p w14:paraId="0BAE67E8">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规格型号</w:t>
            </w:r>
          </w:p>
        </w:tc>
        <w:tc>
          <w:tcPr>
            <w:tcW w:w="624" w:type="pct"/>
            <w:noWrap w:val="0"/>
            <w:vAlign w:val="center"/>
          </w:tcPr>
          <w:p w14:paraId="0427E434">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生产厂家</w:t>
            </w:r>
          </w:p>
        </w:tc>
        <w:tc>
          <w:tcPr>
            <w:tcW w:w="613" w:type="pct"/>
            <w:noWrap w:val="0"/>
            <w:vAlign w:val="center"/>
          </w:tcPr>
          <w:p w14:paraId="1A18DD50">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数量</w:t>
            </w:r>
          </w:p>
          <w:p w14:paraId="7662DC9B">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单位</w:t>
            </w:r>
          </w:p>
        </w:tc>
        <w:tc>
          <w:tcPr>
            <w:tcW w:w="623" w:type="pct"/>
            <w:noWrap w:val="0"/>
            <w:vAlign w:val="center"/>
          </w:tcPr>
          <w:p w14:paraId="112DCE9A">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单价(元)</w:t>
            </w:r>
          </w:p>
        </w:tc>
        <w:tc>
          <w:tcPr>
            <w:tcW w:w="689" w:type="pct"/>
            <w:noWrap w:val="0"/>
            <w:vAlign w:val="center"/>
          </w:tcPr>
          <w:p w14:paraId="33370664">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金额(元)</w:t>
            </w:r>
          </w:p>
        </w:tc>
      </w:tr>
      <w:tr w14:paraId="2022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87" w:type="pct"/>
            <w:noWrap w:val="0"/>
            <w:vAlign w:val="center"/>
          </w:tcPr>
          <w:p w14:paraId="4C93C10D">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1</w:t>
            </w:r>
          </w:p>
        </w:tc>
        <w:tc>
          <w:tcPr>
            <w:tcW w:w="633" w:type="pct"/>
            <w:noWrap w:val="0"/>
            <w:vAlign w:val="center"/>
          </w:tcPr>
          <w:p w14:paraId="38956A67">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0"/>
                <w:szCs w:val="20"/>
                <w:highlight w:val="none"/>
                <w:lang w:eastAsia="zh-CN"/>
              </w:rPr>
              <w:t>（</w:t>
            </w:r>
            <w:r>
              <w:rPr>
                <w:rFonts w:hint="eastAsia" w:ascii="宋体" w:hAnsi="宋体" w:eastAsia="宋体" w:cs="宋体"/>
                <w:snapToGrid/>
                <w:color w:val="0000FF"/>
                <w:kern w:val="2"/>
                <w:sz w:val="21"/>
                <w:szCs w:val="21"/>
                <w:highlight w:val="none"/>
                <w:lang w:eastAsia="zh-CN"/>
              </w:rPr>
              <w:t>产品名称</w:t>
            </w:r>
            <w:r>
              <w:rPr>
                <w:rFonts w:hint="eastAsia" w:ascii="宋体" w:hAnsi="宋体" w:eastAsia="宋体" w:cs="宋体"/>
                <w:snapToGrid/>
                <w:color w:val="0000FF"/>
                <w:kern w:val="2"/>
                <w:sz w:val="21"/>
                <w:szCs w:val="21"/>
                <w:highlight w:val="none"/>
                <w:lang w:val="en-US" w:eastAsia="zh-CN"/>
              </w:rPr>
              <w:t>必须</w:t>
            </w:r>
            <w:r>
              <w:rPr>
                <w:rFonts w:hint="eastAsia" w:ascii="宋体" w:hAnsi="宋体" w:eastAsia="宋体" w:cs="宋体"/>
                <w:snapToGrid/>
                <w:color w:val="0000FF"/>
                <w:kern w:val="2"/>
                <w:sz w:val="21"/>
                <w:szCs w:val="21"/>
                <w:highlight w:val="none"/>
                <w:lang w:eastAsia="zh-CN"/>
              </w:rPr>
              <w:t>与注册证一致</w:t>
            </w:r>
            <w:r>
              <w:rPr>
                <w:rFonts w:hint="eastAsia" w:ascii="微软雅黑" w:hAnsi="微软雅黑" w:eastAsia="微软雅黑" w:cs="Times New Roman"/>
                <w:snapToGrid/>
                <w:color w:val="0000FF"/>
                <w:kern w:val="2"/>
                <w:sz w:val="20"/>
                <w:szCs w:val="20"/>
                <w:highlight w:val="none"/>
                <w:lang w:eastAsia="zh-CN"/>
              </w:rPr>
              <w:t>）</w:t>
            </w:r>
          </w:p>
        </w:tc>
        <w:tc>
          <w:tcPr>
            <w:tcW w:w="633" w:type="pct"/>
            <w:noWrap w:val="0"/>
            <w:vAlign w:val="center"/>
          </w:tcPr>
          <w:p w14:paraId="1F835CEF">
            <w:pPr>
              <w:widowControl w:val="0"/>
              <w:kinsoku/>
              <w:wordWrap/>
              <w:topLinePunct w:val="0"/>
              <w:autoSpaceDE/>
              <w:autoSpaceDN/>
              <w:adjustRightInd/>
              <w:snapToGrid/>
              <w:spacing w:line="360" w:lineRule="exact"/>
              <w:ind w:firstLine="0" w:firstLineChars="0"/>
              <w:jc w:val="both"/>
              <w:textAlignment w:val="auto"/>
              <w:rPr>
                <w:rFonts w:ascii="微软雅黑" w:hAnsi="微软雅黑" w:eastAsia="微软雅黑" w:cs="Times New Roman"/>
                <w:snapToGrid/>
                <w:color w:val="0000FF"/>
                <w:kern w:val="2"/>
                <w:sz w:val="21"/>
                <w:szCs w:val="21"/>
                <w:highlight w:val="none"/>
                <w:lang w:eastAsia="zh-CN"/>
              </w:rPr>
            </w:pPr>
          </w:p>
        </w:tc>
        <w:tc>
          <w:tcPr>
            <w:tcW w:w="797" w:type="pct"/>
            <w:noWrap w:val="0"/>
            <w:vAlign w:val="center"/>
          </w:tcPr>
          <w:p w14:paraId="0617E5A9">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宋体" w:hAnsi="宋体" w:eastAsia="宋体" w:cs="宋体"/>
                <w:snapToGrid/>
                <w:color w:val="0000FF"/>
                <w:kern w:val="2"/>
                <w:sz w:val="22"/>
                <w:szCs w:val="22"/>
                <w:highlight w:val="none"/>
                <w:lang w:val="en-US" w:eastAsia="zh-CN"/>
              </w:rPr>
              <w:t>（规格型号必须与注册证一致</w:t>
            </w:r>
            <w:r>
              <w:rPr>
                <w:rFonts w:hint="eastAsia" w:ascii="宋体" w:hAnsi="宋体" w:eastAsia="宋体" w:cs="宋体"/>
                <w:snapToGrid/>
                <w:color w:val="0000FF"/>
                <w:kern w:val="2"/>
                <w:sz w:val="22"/>
                <w:szCs w:val="22"/>
                <w:highlight w:val="none"/>
                <w:lang w:eastAsia="zh-CN"/>
              </w:rPr>
              <w:t>）</w:t>
            </w:r>
          </w:p>
        </w:tc>
        <w:tc>
          <w:tcPr>
            <w:tcW w:w="624" w:type="pct"/>
            <w:noWrap w:val="0"/>
            <w:vAlign w:val="center"/>
          </w:tcPr>
          <w:p w14:paraId="6309C3A8">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p>
        </w:tc>
        <w:tc>
          <w:tcPr>
            <w:tcW w:w="613" w:type="pct"/>
            <w:noWrap w:val="0"/>
            <w:vAlign w:val="center"/>
          </w:tcPr>
          <w:p w14:paraId="24C9EA8C">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p>
        </w:tc>
        <w:tc>
          <w:tcPr>
            <w:tcW w:w="623" w:type="pct"/>
            <w:noWrap w:val="0"/>
            <w:vAlign w:val="center"/>
          </w:tcPr>
          <w:p w14:paraId="17944332">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p>
        </w:tc>
        <w:tc>
          <w:tcPr>
            <w:tcW w:w="689" w:type="pct"/>
            <w:noWrap w:val="0"/>
            <w:vAlign w:val="center"/>
          </w:tcPr>
          <w:p w14:paraId="7EFD251D">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p>
        </w:tc>
      </w:tr>
      <w:tr w14:paraId="387D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00" w:type="pct"/>
            <w:gridSpan w:val="8"/>
            <w:noWrap w:val="0"/>
            <w:vAlign w:val="center"/>
          </w:tcPr>
          <w:p w14:paraId="03E14500">
            <w:pPr>
              <w:widowControl w:val="0"/>
              <w:kinsoku/>
              <w:wordWrap/>
              <w:topLinePunct w:val="0"/>
              <w:autoSpaceDE/>
              <w:autoSpaceDN/>
              <w:adjustRightInd/>
              <w:snapToGrid/>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人民币合计金额（含税）</w:t>
            </w:r>
            <w:r>
              <w:rPr>
                <w:rFonts w:hint="eastAsia" w:ascii="微软雅黑" w:hAnsi="微软雅黑" w:eastAsia="微软雅黑" w:cs="Times New Roman"/>
                <w:snapToGrid/>
                <w:color w:val="0000FF"/>
                <w:kern w:val="2"/>
                <w:sz w:val="21"/>
                <w:szCs w:val="21"/>
                <w:highlight w:val="none"/>
                <w:lang w:eastAsia="zh-CN"/>
              </w:rPr>
              <w:t xml:space="preserve">(大写) </w:t>
            </w:r>
            <w:r>
              <w:rPr>
                <w:rFonts w:hint="eastAsia" w:ascii="微软雅黑" w:hAnsi="微软雅黑" w:eastAsia="微软雅黑" w:cs="Times New Roman"/>
                <w:snapToGrid/>
                <w:color w:val="0000FF"/>
                <w:kern w:val="2"/>
                <w:sz w:val="21"/>
                <w:szCs w:val="21"/>
                <w:highlight w:val="none"/>
                <w:u w:val="single"/>
                <w:lang w:eastAsia="zh-CN"/>
              </w:rPr>
              <w:t xml:space="preserve">             </w:t>
            </w:r>
            <w:r>
              <w:rPr>
                <w:rFonts w:hint="eastAsia" w:ascii="微软雅黑" w:hAnsi="微软雅黑" w:eastAsia="微软雅黑" w:cs="Times New Roman"/>
                <w:snapToGrid/>
                <w:color w:val="0000FF"/>
                <w:kern w:val="2"/>
                <w:sz w:val="21"/>
                <w:szCs w:val="21"/>
                <w:highlight w:val="none"/>
                <w:lang w:eastAsia="zh-CN"/>
              </w:rPr>
              <w:t>元整(小写)（</w:t>
            </w:r>
            <w:r>
              <w:rPr>
                <w:rFonts w:ascii="Arial" w:hAnsi="Arial" w:eastAsia="微软雅黑" w:cs="Arial"/>
                <w:snapToGrid/>
                <w:color w:val="0000FF"/>
                <w:kern w:val="2"/>
                <w:sz w:val="21"/>
                <w:szCs w:val="21"/>
                <w:highlight w:val="none"/>
                <w:lang w:eastAsia="zh-CN"/>
              </w:rPr>
              <w:t>¥</w:t>
            </w:r>
            <w:r>
              <w:rPr>
                <w:rFonts w:hint="eastAsia" w:ascii="微软雅黑" w:hAnsi="微软雅黑" w:eastAsia="微软雅黑" w:cs="Times New Roman"/>
                <w:snapToGrid/>
                <w:color w:val="0000FF"/>
                <w:kern w:val="2"/>
                <w:sz w:val="21"/>
                <w:szCs w:val="21"/>
                <w:highlight w:val="none"/>
                <w:u w:val="single"/>
                <w:lang w:eastAsia="zh-CN"/>
              </w:rPr>
              <w:t xml:space="preserve">       </w:t>
            </w:r>
            <w:r>
              <w:rPr>
                <w:rFonts w:hint="eastAsia" w:ascii="微软雅黑" w:hAnsi="微软雅黑" w:eastAsia="微软雅黑" w:cs="Times New Roman"/>
                <w:snapToGrid/>
                <w:color w:val="0000FF"/>
                <w:kern w:val="2"/>
                <w:sz w:val="21"/>
                <w:szCs w:val="21"/>
                <w:highlight w:val="none"/>
                <w:lang w:eastAsia="zh-CN"/>
              </w:rPr>
              <w:t>）</w:t>
            </w:r>
            <w:r>
              <w:rPr>
                <w:rFonts w:hint="eastAsia" w:ascii="微软雅黑" w:hAnsi="微软雅黑" w:eastAsia="微软雅黑" w:cs="Times New Roman"/>
                <w:snapToGrid/>
                <w:color w:val="000000"/>
                <w:kern w:val="2"/>
                <w:sz w:val="21"/>
                <w:szCs w:val="21"/>
                <w:highlight w:val="none"/>
                <w:lang w:eastAsia="zh-CN"/>
              </w:rPr>
              <w:t xml:space="preserve"> </w:t>
            </w:r>
          </w:p>
        </w:tc>
      </w:tr>
    </w:tbl>
    <w:p w14:paraId="1EEAFDE1">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合同合计金额包括货物价款，备件、专用工具、安装、调试、检验、技术培训及技术资料和包装、运输、搬卸、税金、售后服务、软件升级等全部费用。如公告规定、采购文件及投标文件对其另有规定的，从其规定。</w:t>
      </w:r>
    </w:p>
    <w:p w14:paraId="037B1B65">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第二条 质量保证</w:t>
      </w:r>
    </w:p>
    <w:p w14:paraId="7CF7F2FE">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乙方所提供的货物型号、技术规格、技术参数等应符合</w:t>
      </w:r>
      <w:r>
        <w:rPr>
          <w:rFonts w:hint="eastAsia" w:ascii="微软雅黑" w:hAnsi="微软雅黑" w:eastAsia="微软雅黑" w:cs="Arial"/>
          <w:snapToGrid/>
          <w:color w:val="000000"/>
          <w:kern w:val="2"/>
          <w:sz w:val="21"/>
          <w:szCs w:val="21"/>
          <w:highlight w:val="none"/>
          <w:lang w:eastAsia="zh-Hans"/>
        </w:rPr>
        <w:t>国家标准、行业标准、地方标准等标准、规范（上述标准、规范有出入的，以较严格为准）</w:t>
      </w:r>
      <w:r>
        <w:rPr>
          <w:rFonts w:hint="eastAsia" w:ascii="微软雅黑" w:hAnsi="微软雅黑" w:eastAsia="微软雅黑" w:cs="Arial"/>
          <w:snapToGrid/>
          <w:color w:val="000000"/>
          <w:kern w:val="2"/>
          <w:sz w:val="21"/>
          <w:szCs w:val="21"/>
          <w:highlight w:val="none"/>
          <w:lang w:eastAsia="zh-CN"/>
        </w:rPr>
        <w:t>，并与公告规定、采购文件及投标文件承诺的质量相一致，以确保使用过程的安全有效</w:t>
      </w:r>
      <w:r>
        <w:rPr>
          <w:rFonts w:hint="eastAsia" w:ascii="微软雅黑" w:hAnsi="微软雅黑" w:eastAsia="微软雅黑" w:cs="Arial"/>
          <w:snapToGrid/>
          <w:color w:val="000000"/>
          <w:kern w:val="2"/>
          <w:sz w:val="21"/>
          <w:szCs w:val="21"/>
          <w:highlight w:val="none"/>
          <w:lang w:eastAsia="zh-Hans"/>
        </w:rPr>
        <w:t>，如采购文件中明确对货物提出更高的技术要求的，乙方还应当确保符合采购文件提出的技术要求</w:t>
      </w:r>
      <w:r>
        <w:rPr>
          <w:rFonts w:hint="eastAsia" w:ascii="微软雅黑" w:hAnsi="微软雅黑" w:eastAsia="微软雅黑" w:cs="Arial"/>
          <w:snapToGrid/>
          <w:color w:val="000000"/>
          <w:kern w:val="2"/>
          <w:sz w:val="21"/>
          <w:szCs w:val="21"/>
          <w:highlight w:val="none"/>
          <w:lang w:eastAsia="zh-CN"/>
        </w:rPr>
        <w:t>。</w:t>
      </w:r>
    </w:p>
    <w:p w14:paraId="690B3856">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乙方所提供的货物必须是全新、未使用的原装产品，且在正常安装、使用和保养条件下，其使用寿命期内各项指标均达到公告规定、采购文件或投标文件承诺的质量要求。</w:t>
      </w:r>
    </w:p>
    <w:p w14:paraId="2085C19D">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第三条 权利保证</w:t>
      </w:r>
    </w:p>
    <w:p w14:paraId="6D0CBE59">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乙方应保证所提供货物在使用时不会侵犯任何第三方的专利权、商标权、工业设计权或其他权利。</w:t>
      </w:r>
    </w:p>
    <w:p w14:paraId="1CBDD3DB">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乙方应按公告规定、采购文件或投标文件承诺的时间向甲方提供使用货物的有关技术资料。</w:t>
      </w:r>
    </w:p>
    <w:p w14:paraId="4DBB6955">
      <w:pPr>
        <w:widowControl w:val="0"/>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3</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该保密义务为永久性，不因本合同的解除、撤销、无效、终止而免除。</w:t>
      </w:r>
    </w:p>
    <w:p w14:paraId="64ADB5AA">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4</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乙方保证将要交付的货物的所有权完全属于乙方，且无任何抵押、质押、查封、留置等产权瑕疵。</w:t>
      </w:r>
    </w:p>
    <w:p w14:paraId="5CD40D4E">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第四条 包装和运输</w:t>
      </w:r>
    </w:p>
    <w:p w14:paraId="76E76E0F">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乙方提供的货物均应按照公告规定、采购文件或投标文件承诺的包装材料、包装标准、包装方式进行包装，每一包装单元内应附详细的装箱单和质量合格证。</w:t>
      </w:r>
    </w:p>
    <w:p w14:paraId="547B36E4">
      <w:pPr>
        <w:widowControl w:val="0"/>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货物的运输方式：</w:t>
      </w:r>
      <w:r>
        <w:rPr>
          <w:rFonts w:hint="eastAsia" w:ascii="微软雅黑" w:hAnsi="微软雅黑" w:eastAsia="微软雅黑" w:cs="Times New Roman"/>
          <w:snapToGrid/>
          <w:color w:val="0000FF"/>
          <w:kern w:val="2"/>
          <w:sz w:val="21"/>
          <w:szCs w:val="21"/>
          <w:highlight w:val="none"/>
          <w:u w:val="single"/>
          <w:lang w:eastAsia="zh-CN"/>
        </w:rPr>
        <w:t xml:space="preserve">  </w:t>
      </w:r>
      <w:r>
        <w:rPr>
          <w:rFonts w:ascii="微软雅黑" w:hAnsi="微软雅黑" w:eastAsia="微软雅黑" w:cs="Arial"/>
          <w:snapToGrid/>
          <w:color w:val="0000FF"/>
          <w:kern w:val="1"/>
          <w:sz w:val="21"/>
          <w:szCs w:val="21"/>
          <w:highlight w:val="none"/>
          <w:u w:val="single"/>
          <w:lang w:eastAsia="zh-CN"/>
        </w:rPr>
        <w:t>不限</w:t>
      </w:r>
      <w:r>
        <w:rPr>
          <w:rFonts w:hint="eastAsia" w:ascii="微软雅黑" w:hAnsi="微软雅黑" w:eastAsia="微软雅黑" w:cs="Times New Roman"/>
          <w:snapToGrid/>
          <w:color w:val="0000FF"/>
          <w:kern w:val="2"/>
          <w:sz w:val="21"/>
          <w:szCs w:val="21"/>
          <w:highlight w:val="none"/>
          <w:u w:val="single"/>
          <w:lang w:eastAsia="zh-CN"/>
        </w:rPr>
        <w:t xml:space="preserve">        </w:t>
      </w:r>
    </w:p>
    <w:p w14:paraId="56C65972">
      <w:pPr>
        <w:widowControl w:val="0"/>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3</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乙方负责货物运输及相关费用，货物运输合理损耗及计算方法：</w:t>
      </w:r>
      <w:r>
        <w:rPr>
          <w:rFonts w:hint="eastAsia" w:ascii="微软雅黑" w:hAnsi="微软雅黑" w:eastAsia="微软雅黑" w:cs="Times New Roman"/>
          <w:snapToGrid/>
          <w:color w:val="000000"/>
          <w:kern w:val="2"/>
          <w:sz w:val="21"/>
          <w:szCs w:val="21"/>
          <w:highlight w:val="none"/>
          <w:u w:val="single"/>
          <w:lang w:eastAsia="zh-CN"/>
        </w:rPr>
        <w:t>货物运输保险费已包含在合同总价中，乙方须确保货物安全无损地运抵安装地点</w:t>
      </w:r>
      <w:r>
        <w:rPr>
          <w:rFonts w:hint="eastAsia" w:ascii="微软雅黑" w:hAnsi="微软雅黑" w:eastAsia="微软雅黑" w:cs="Times New Roman"/>
          <w:snapToGrid/>
          <w:color w:val="000000"/>
          <w:kern w:val="2"/>
          <w:sz w:val="21"/>
          <w:szCs w:val="21"/>
          <w:highlight w:val="none"/>
          <w:lang w:eastAsia="zh-CN"/>
        </w:rPr>
        <w:t>。</w:t>
      </w:r>
    </w:p>
    <w:p w14:paraId="5F3D417E">
      <w:pPr>
        <w:widowControl w:val="0"/>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第五条 交付和验收</w:t>
      </w:r>
    </w:p>
    <w:p w14:paraId="4D4EEF44">
      <w:pPr>
        <w:widowControl w:val="0"/>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交货时间：</w:t>
      </w:r>
      <w:r>
        <w:rPr>
          <w:rFonts w:hint="eastAsia" w:ascii="微软雅黑" w:hAnsi="微软雅黑" w:eastAsia="微软雅黑" w:cs="Times New Roman"/>
          <w:snapToGrid/>
          <w:color w:val="0000FF"/>
          <w:kern w:val="2"/>
          <w:sz w:val="21"/>
          <w:szCs w:val="21"/>
          <w:highlight w:val="none"/>
          <w:u w:val="single"/>
          <w:lang w:eastAsia="zh-CN"/>
        </w:rPr>
        <w:t xml:space="preserve">自合同签订之日起     天内全部货物交货并安装调试完毕  </w:t>
      </w:r>
      <w:r>
        <w:rPr>
          <w:rFonts w:hint="eastAsia" w:ascii="微软雅黑" w:hAnsi="微软雅黑" w:eastAsia="微软雅黑" w:cs="Times New Roman"/>
          <w:snapToGrid/>
          <w:color w:val="0000FF"/>
          <w:kern w:val="2"/>
          <w:sz w:val="21"/>
          <w:szCs w:val="21"/>
          <w:highlight w:val="none"/>
          <w:lang w:eastAsia="zh-CN"/>
        </w:rPr>
        <w:t>。</w:t>
      </w:r>
    </w:p>
    <w:p w14:paraId="13281223">
      <w:pPr>
        <w:widowControl w:val="0"/>
        <w:kinsoku/>
        <w:wordWrap/>
        <w:topLinePunct w:val="0"/>
        <w:autoSpaceDE/>
        <w:autoSpaceDN/>
        <w:adjustRightInd/>
        <w:snapToGrid/>
        <w:spacing w:line="360" w:lineRule="exact"/>
        <w:ind w:firstLine="630" w:firstLineChars="3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 xml:space="preserve"> 交货地点：</w:t>
      </w:r>
      <w:r>
        <w:rPr>
          <w:rFonts w:hint="eastAsia" w:ascii="微软雅黑" w:hAnsi="微软雅黑" w:eastAsia="微软雅黑" w:cs="Times New Roman"/>
          <w:snapToGrid/>
          <w:color w:val="0000FF"/>
          <w:kern w:val="1"/>
          <w:sz w:val="21"/>
          <w:szCs w:val="21"/>
          <w:highlight w:val="none"/>
          <w:u w:val="single"/>
          <w:lang w:eastAsia="zh-CN"/>
        </w:rPr>
        <w:t>甲方指定地点</w:t>
      </w:r>
      <w:r>
        <w:rPr>
          <w:rFonts w:hint="eastAsia" w:ascii="微软雅黑" w:hAnsi="微软雅黑" w:eastAsia="微软雅黑" w:cs="Times New Roman"/>
          <w:snapToGrid/>
          <w:color w:val="0000FF"/>
          <w:kern w:val="2"/>
          <w:sz w:val="21"/>
          <w:szCs w:val="21"/>
          <w:highlight w:val="none"/>
          <w:lang w:eastAsia="zh-CN"/>
        </w:rPr>
        <w:t>。</w:t>
      </w:r>
    </w:p>
    <w:p w14:paraId="5109EF60">
      <w:pPr>
        <w:widowControl w:val="0"/>
        <w:numPr>
          <w:ilvl w:val="0"/>
          <w:numId w:val="3"/>
        </w:numPr>
        <w:kinsoku/>
        <w:wordWrap/>
        <w:topLinePunct w:val="0"/>
        <w:autoSpaceDE/>
        <w:autoSpaceDN/>
        <w:adjustRightInd/>
        <w:snapToGrid w:val="0"/>
        <w:spacing w:before="120" w:after="120" w:line="360" w:lineRule="exact"/>
        <w:ind w:firstLine="420" w:firstLineChars="200"/>
        <w:jc w:val="left"/>
        <w:textAlignment w:val="auto"/>
        <w:rPr>
          <w:rFonts w:hint="eastAsia" w:ascii="微软雅黑" w:hAnsi="微软雅黑" w:eastAsia="微软雅黑" w:cs="Arial"/>
          <w:bCs/>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甲方对乙方提交的货物依据采购文件上的技术规格要求和国家有关质量标准进行现</w:t>
      </w:r>
      <w:r>
        <w:rPr>
          <w:rFonts w:ascii="微软雅黑" w:hAnsi="微软雅黑" w:eastAsia="微软雅黑" w:cs="Arial"/>
          <w:bCs/>
          <w:snapToGrid/>
          <w:color w:val="000000"/>
          <w:kern w:val="2"/>
          <w:sz w:val="21"/>
          <w:szCs w:val="21"/>
          <w:highlight w:val="none"/>
          <w:lang w:eastAsia="zh-CN"/>
        </w:rPr>
        <w:t>场</w:t>
      </w:r>
      <w:r>
        <w:rPr>
          <w:rFonts w:hint="eastAsia" w:ascii="微软雅黑" w:hAnsi="微软雅黑" w:eastAsia="微软雅黑" w:cs="Arial"/>
          <w:bCs/>
          <w:snapToGrid/>
          <w:color w:val="000000"/>
          <w:kern w:val="2"/>
          <w:sz w:val="21"/>
          <w:szCs w:val="21"/>
          <w:highlight w:val="none"/>
          <w:lang w:eastAsia="zh-CN"/>
        </w:rPr>
        <w:t>签收</w:t>
      </w:r>
      <w:r>
        <w:rPr>
          <w:rFonts w:ascii="微软雅黑" w:hAnsi="微软雅黑" w:eastAsia="微软雅黑" w:cs="Arial"/>
          <w:bCs/>
          <w:snapToGrid/>
          <w:color w:val="000000"/>
          <w:kern w:val="2"/>
          <w:sz w:val="21"/>
          <w:szCs w:val="21"/>
          <w:highlight w:val="none"/>
          <w:lang w:eastAsia="zh-CN"/>
        </w:rPr>
        <w:t>，外观、说明书符合采购文件技术要求的，给予签收，不合格的不予签收。</w:t>
      </w:r>
      <w:r>
        <w:rPr>
          <w:rFonts w:hint="eastAsia" w:ascii="微软雅黑" w:hAnsi="微软雅黑" w:eastAsia="微软雅黑" w:cs="Arial"/>
          <w:bCs/>
          <w:snapToGrid/>
          <w:color w:val="000000"/>
          <w:kern w:val="2"/>
          <w:sz w:val="21"/>
          <w:szCs w:val="21"/>
          <w:highlight w:val="none"/>
          <w:lang w:eastAsia="zh-CN"/>
        </w:rPr>
        <w:t>该签收仅指外观、说明书符合采购文件技术要求而非认可货物验收合格。</w:t>
      </w:r>
    </w:p>
    <w:p w14:paraId="583B1DB5">
      <w:pPr>
        <w:widowControl w:val="0"/>
        <w:numPr>
          <w:ilvl w:val="0"/>
          <w:numId w:val="3"/>
        </w:numPr>
        <w:kinsoku/>
        <w:wordWrap/>
        <w:topLinePunct w:val="0"/>
        <w:autoSpaceDE/>
        <w:autoSpaceDN/>
        <w:adjustRightInd/>
        <w:snapToGrid w:val="0"/>
        <w:spacing w:before="120" w:after="120" w:line="360" w:lineRule="exact"/>
        <w:ind w:firstLine="420" w:firstLineChars="200"/>
        <w:jc w:val="left"/>
        <w:textAlignment w:val="auto"/>
        <w:rPr>
          <w:rFonts w:hint="eastAsia" w:ascii="微软雅黑" w:hAnsi="微软雅黑" w:eastAsia="微软雅黑" w:cs="Arial"/>
          <w:bCs/>
          <w:snapToGrid/>
          <w:color w:val="000000"/>
          <w:kern w:val="2"/>
          <w:sz w:val="21"/>
          <w:szCs w:val="21"/>
          <w:highlight w:val="none"/>
          <w:lang w:eastAsia="zh-CN"/>
        </w:rPr>
      </w:pPr>
      <w:r>
        <w:rPr>
          <w:rFonts w:hint="eastAsia" w:ascii="微软雅黑" w:hAnsi="微软雅黑" w:eastAsia="微软雅黑" w:cs="Arial"/>
          <w:bCs/>
          <w:snapToGrid/>
          <w:color w:val="000000"/>
          <w:kern w:val="2"/>
          <w:sz w:val="21"/>
          <w:szCs w:val="21"/>
          <w:highlight w:val="none"/>
          <w:lang w:eastAsia="zh-CN"/>
        </w:rPr>
        <w:t>甲方如发现乙方所交付的货物有短装、次品、损坏或其它不符合</w:t>
      </w:r>
      <w:r>
        <w:rPr>
          <w:rFonts w:hint="eastAsia" w:ascii="微软雅黑" w:hAnsi="微软雅黑" w:eastAsia="微软雅黑" w:cs="Times New Roman"/>
          <w:snapToGrid/>
          <w:color w:val="000000"/>
          <w:kern w:val="2"/>
          <w:sz w:val="21"/>
          <w:szCs w:val="21"/>
          <w:highlight w:val="none"/>
          <w:lang w:eastAsia="zh-CN"/>
        </w:rPr>
        <w:t>公告规定、采购文件、投标文件承诺、</w:t>
      </w:r>
      <w:r>
        <w:rPr>
          <w:rFonts w:hint="eastAsia" w:ascii="微软雅黑" w:hAnsi="微软雅黑" w:eastAsia="微软雅黑" w:cs="Arial"/>
          <w:bCs/>
          <w:snapToGrid/>
          <w:color w:val="000000"/>
          <w:kern w:val="2"/>
          <w:sz w:val="21"/>
          <w:szCs w:val="21"/>
          <w:highlight w:val="none"/>
          <w:lang w:eastAsia="zh-CN"/>
        </w:rPr>
        <w:t>本合同规定之情形的，甲方有权拒绝接受并根据货物具体情形做出现场记录（或由甲乙双方签署备忘录），此现场记录（或备忘录）可用作证明货物应补充更换、存在损坏的有效证据。乙方应负责免费补充、更换货物，由此产生的时间延误与有关费用由乙方承担，验收期限相应顺延。</w:t>
      </w:r>
      <w:r>
        <w:rPr>
          <w:rFonts w:hint="eastAsia" w:ascii="微软雅黑" w:hAnsi="微软雅黑" w:eastAsia="微软雅黑" w:cs="Arial"/>
          <w:bCs/>
          <w:snapToGrid/>
          <w:color w:val="000000"/>
          <w:kern w:val="2"/>
          <w:sz w:val="21"/>
          <w:szCs w:val="21"/>
          <w:highlight w:val="none"/>
          <w:lang w:val="en-US" w:eastAsia="zh-CN"/>
        </w:rPr>
        <w:t>如乙方</w:t>
      </w:r>
      <w:r>
        <w:rPr>
          <w:rFonts w:hint="eastAsia" w:ascii="微软雅黑" w:hAnsi="微软雅黑" w:eastAsia="微软雅黑" w:cs="Arial"/>
          <w:bCs/>
          <w:snapToGrid/>
          <w:color w:val="000000"/>
          <w:kern w:val="2"/>
          <w:sz w:val="21"/>
          <w:szCs w:val="21"/>
          <w:highlight w:val="none"/>
          <w:lang w:eastAsia="zh-CN"/>
        </w:rPr>
        <w:t>补充、更换的货物</w:t>
      </w:r>
      <w:r>
        <w:rPr>
          <w:rFonts w:hint="eastAsia" w:ascii="微软雅黑" w:hAnsi="微软雅黑" w:eastAsia="微软雅黑" w:cs="Arial"/>
          <w:bCs/>
          <w:snapToGrid/>
          <w:color w:val="000000"/>
          <w:kern w:val="2"/>
          <w:sz w:val="21"/>
          <w:szCs w:val="21"/>
          <w:highlight w:val="none"/>
          <w:lang w:val="en-US" w:eastAsia="zh-CN"/>
        </w:rPr>
        <w:t>仍然</w:t>
      </w:r>
      <w:r>
        <w:rPr>
          <w:rFonts w:hint="eastAsia" w:ascii="微软雅黑" w:hAnsi="微软雅黑" w:eastAsia="微软雅黑" w:cs="Arial"/>
          <w:bCs/>
          <w:snapToGrid/>
          <w:color w:val="000000"/>
          <w:kern w:val="2"/>
          <w:sz w:val="21"/>
          <w:szCs w:val="21"/>
          <w:highlight w:val="none"/>
          <w:lang w:eastAsia="zh-CN"/>
        </w:rPr>
        <w:t>不符合公告规定、采购文件、投标文件承诺、本合同规定之情形的，</w:t>
      </w:r>
      <w:r>
        <w:rPr>
          <w:rFonts w:hint="eastAsia" w:ascii="微软雅黑" w:hAnsi="微软雅黑" w:eastAsia="微软雅黑" w:cs="Arial"/>
          <w:bCs/>
          <w:snapToGrid/>
          <w:color w:val="000000"/>
          <w:kern w:val="2"/>
          <w:sz w:val="21"/>
          <w:szCs w:val="21"/>
          <w:highlight w:val="none"/>
          <w:lang w:val="en-US" w:eastAsia="zh-CN"/>
        </w:rPr>
        <w:t>视为验收不合格。</w:t>
      </w:r>
    </w:p>
    <w:p w14:paraId="26B07F42">
      <w:pPr>
        <w:widowControl w:val="0"/>
        <w:kinsoku/>
        <w:wordWrap/>
        <w:topLinePunct w:val="0"/>
        <w:autoSpaceDE/>
        <w:autoSpaceDN/>
        <w:adjustRightInd/>
        <w:snapToGrid/>
        <w:spacing w:line="360" w:lineRule="exact"/>
        <w:ind w:firstLine="420" w:firstLineChars="200"/>
        <w:jc w:val="both"/>
        <w:textAlignment w:val="auto"/>
        <w:rPr>
          <w:rFonts w:hint="eastAsia"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4</w:t>
      </w:r>
      <w:r>
        <w:rPr>
          <w:rFonts w:ascii="微软雅黑" w:hAnsi="微软雅黑" w:eastAsia="微软雅黑" w:cs="Times New Roman"/>
          <w:snapToGrid/>
          <w:color w:val="000000"/>
          <w:kern w:val="2"/>
          <w:sz w:val="21"/>
          <w:szCs w:val="21"/>
          <w:highlight w:val="none"/>
          <w:lang w:eastAsia="zh-CN"/>
        </w:rPr>
        <w:t>.</w:t>
      </w:r>
      <w:r>
        <w:rPr>
          <w:rFonts w:hint="eastAsia" w:ascii="微软雅黑" w:hAnsi="微软雅黑" w:eastAsia="微软雅黑" w:cs="Times New Roman"/>
          <w:snapToGrid/>
          <w:color w:val="000000"/>
          <w:kern w:val="2"/>
          <w:sz w:val="21"/>
          <w:szCs w:val="21"/>
          <w:highlight w:val="none"/>
          <w:lang w:eastAsia="zh-CN"/>
        </w:rPr>
        <w:t xml:space="preserve"> </w:t>
      </w:r>
      <w:r>
        <w:rPr>
          <w:rFonts w:ascii="微软雅黑" w:hAnsi="微软雅黑" w:eastAsia="微软雅黑" w:cs="Arial"/>
          <w:bCs/>
          <w:snapToGrid/>
          <w:color w:val="000000"/>
          <w:kern w:val="2"/>
          <w:sz w:val="21"/>
          <w:szCs w:val="21"/>
          <w:highlight w:val="none"/>
          <w:lang w:eastAsia="zh-CN"/>
        </w:rPr>
        <w:t>乙方交货前应对</w:t>
      </w:r>
      <w:r>
        <w:rPr>
          <w:rFonts w:hint="eastAsia" w:ascii="微软雅黑" w:hAnsi="微软雅黑" w:eastAsia="微软雅黑" w:cs="Arial"/>
          <w:bCs/>
          <w:snapToGrid/>
          <w:color w:val="000000"/>
          <w:kern w:val="2"/>
          <w:sz w:val="21"/>
          <w:szCs w:val="21"/>
          <w:highlight w:val="none"/>
          <w:lang w:eastAsia="zh-CN"/>
        </w:rPr>
        <w:t>拟提交的货物</w:t>
      </w:r>
      <w:r>
        <w:rPr>
          <w:rFonts w:ascii="微软雅黑" w:hAnsi="微软雅黑" w:eastAsia="微软雅黑" w:cs="Arial"/>
          <w:bCs/>
          <w:snapToGrid/>
          <w:color w:val="000000"/>
          <w:kern w:val="2"/>
          <w:sz w:val="21"/>
          <w:szCs w:val="21"/>
          <w:highlight w:val="none"/>
          <w:lang w:eastAsia="zh-CN"/>
        </w:rPr>
        <w:t>作出全面检查和对验收文件进行整理，并列出清单，作为甲方收货验收和使用的技术条件依据，检验的结果</w:t>
      </w:r>
      <w:r>
        <w:rPr>
          <w:rFonts w:hint="eastAsia" w:ascii="微软雅黑" w:hAnsi="微软雅黑" w:eastAsia="微软雅黑" w:cs="Arial"/>
          <w:bCs/>
          <w:snapToGrid/>
          <w:color w:val="000000"/>
          <w:kern w:val="2"/>
          <w:sz w:val="21"/>
          <w:szCs w:val="21"/>
          <w:highlight w:val="none"/>
          <w:lang w:eastAsia="zh-CN"/>
        </w:rPr>
        <w:t>同样</w:t>
      </w:r>
      <w:r>
        <w:rPr>
          <w:rFonts w:ascii="微软雅黑" w:hAnsi="微软雅黑" w:eastAsia="微软雅黑" w:cs="Arial"/>
          <w:bCs/>
          <w:snapToGrid/>
          <w:color w:val="000000"/>
          <w:kern w:val="2"/>
          <w:sz w:val="21"/>
          <w:szCs w:val="21"/>
          <w:highlight w:val="none"/>
          <w:lang w:eastAsia="zh-CN"/>
        </w:rPr>
        <w:t>应随货物交甲方。</w:t>
      </w:r>
      <w:r>
        <w:rPr>
          <w:rFonts w:hint="eastAsia" w:ascii="微软雅黑" w:hAnsi="微软雅黑" w:eastAsia="微软雅黑" w:cs="Arial"/>
          <w:bCs/>
          <w:snapToGrid/>
          <w:color w:val="000000"/>
          <w:kern w:val="2"/>
          <w:sz w:val="21"/>
          <w:szCs w:val="21"/>
          <w:highlight w:val="none"/>
          <w:lang w:eastAsia="zh-CN"/>
        </w:rPr>
        <w:t>同时，</w:t>
      </w:r>
      <w:r>
        <w:rPr>
          <w:rFonts w:ascii="微软雅黑" w:hAnsi="微软雅黑" w:eastAsia="微软雅黑" w:cs="Times New Roman"/>
          <w:snapToGrid/>
          <w:color w:val="000000"/>
          <w:kern w:val="2"/>
          <w:sz w:val="21"/>
          <w:szCs w:val="21"/>
          <w:highlight w:val="none"/>
          <w:lang w:eastAsia="zh-CN"/>
        </w:rPr>
        <w:t>乙方应将所提供货物的装箱清单、用户手册、原厂保修卡、随机资料、工具和备品、备件等</w:t>
      </w:r>
      <w:r>
        <w:rPr>
          <w:rFonts w:hint="eastAsia" w:ascii="微软雅黑" w:hAnsi="微软雅黑" w:eastAsia="微软雅黑" w:cs="Times New Roman"/>
          <w:snapToGrid/>
          <w:color w:val="000000"/>
          <w:kern w:val="2"/>
          <w:sz w:val="21"/>
          <w:szCs w:val="21"/>
          <w:highlight w:val="none"/>
          <w:lang w:eastAsia="zh-CN"/>
        </w:rPr>
        <w:t>一并</w:t>
      </w:r>
      <w:r>
        <w:rPr>
          <w:rFonts w:ascii="微软雅黑" w:hAnsi="微软雅黑" w:eastAsia="微软雅黑" w:cs="Times New Roman"/>
          <w:snapToGrid/>
          <w:color w:val="000000"/>
          <w:kern w:val="2"/>
          <w:sz w:val="21"/>
          <w:szCs w:val="21"/>
          <w:highlight w:val="none"/>
          <w:lang w:eastAsia="zh-CN"/>
        </w:rPr>
        <w:t>交付给甲方。</w:t>
      </w:r>
      <w:r>
        <w:rPr>
          <w:rFonts w:ascii="微软雅黑" w:hAnsi="微软雅黑" w:eastAsia="微软雅黑" w:cs="Arial"/>
          <w:bCs/>
          <w:snapToGrid/>
          <w:color w:val="000000"/>
          <w:kern w:val="2"/>
          <w:sz w:val="21"/>
          <w:szCs w:val="21"/>
          <w:highlight w:val="none"/>
          <w:lang w:eastAsia="zh-CN"/>
        </w:rPr>
        <w:t>乙方不能完整交付货物及本款规定的单证和工具的，必须负责补齐，否则视为</w:t>
      </w:r>
      <w:r>
        <w:rPr>
          <w:rFonts w:hint="eastAsia" w:ascii="微软雅黑" w:hAnsi="微软雅黑" w:eastAsia="微软雅黑" w:cs="Arial"/>
          <w:bCs/>
          <w:snapToGrid/>
          <w:color w:val="000000"/>
          <w:kern w:val="2"/>
          <w:sz w:val="21"/>
          <w:szCs w:val="21"/>
          <w:highlight w:val="none"/>
          <w:lang w:eastAsia="zh-CN"/>
        </w:rPr>
        <w:t>逾期交货</w:t>
      </w:r>
      <w:r>
        <w:rPr>
          <w:rFonts w:ascii="微软雅黑" w:hAnsi="微软雅黑" w:eastAsia="微软雅黑" w:cs="Arial"/>
          <w:bCs/>
          <w:snapToGrid/>
          <w:color w:val="000000"/>
          <w:kern w:val="2"/>
          <w:sz w:val="21"/>
          <w:szCs w:val="21"/>
          <w:highlight w:val="none"/>
          <w:lang w:eastAsia="zh-CN"/>
        </w:rPr>
        <w:t>。</w:t>
      </w:r>
    </w:p>
    <w:p w14:paraId="58ECDA6E">
      <w:pPr>
        <w:widowControl w:val="0"/>
        <w:numPr>
          <w:ilvl w:val="0"/>
          <w:numId w:val="4"/>
        </w:numPr>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乙方需负责</w:t>
      </w:r>
      <w:r>
        <w:rPr>
          <w:rFonts w:hint="eastAsia" w:ascii="微软雅黑" w:hAnsi="微软雅黑" w:eastAsia="微软雅黑" w:cs="Times New Roman"/>
          <w:snapToGrid/>
          <w:color w:val="000000"/>
          <w:kern w:val="2"/>
          <w:sz w:val="21"/>
          <w:szCs w:val="21"/>
          <w:highlight w:val="none"/>
          <w:lang w:eastAsia="zh-CN"/>
        </w:rPr>
        <w:t>货物的</w:t>
      </w:r>
      <w:r>
        <w:rPr>
          <w:rFonts w:ascii="微软雅黑" w:hAnsi="微软雅黑" w:eastAsia="微软雅黑" w:cs="Times New Roman"/>
          <w:snapToGrid/>
          <w:color w:val="000000"/>
          <w:kern w:val="2"/>
          <w:sz w:val="21"/>
          <w:szCs w:val="21"/>
          <w:highlight w:val="none"/>
          <w:lang w:eastAsia="zh-CN"/>
        </w:rPr>
        <w:t>安装、调试，并培训甲方的使用操作人员，直到设备运行符合技术要求，甲方方可验收。</w:t>
      </w:r>
    </w:p>
    <w:p w14:paraId="04F426FE">
      <w:pPr>
        <w:widowControl w:val="0"/>
        <w:numPr>
          <w:ilvl w:val="0"/>
          <w:numId w:val="4"/>
        </w:numPr>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甲方应当在到货并安装、调试完后</w:t>
      </w:r>
      <w:r>
        <w:rPr>
          <w:rFonts w:hint="eastAsia" w:ascii="微软雅黑" w:hAnsi="微软雅黑" w:eastAsia="微软雅黑" w:cs="Times New Roman"/>
          <w:snapToGrid/>
          <w:color w:val="000000"/>
          <w:kern w:val="2"/>
          <w:sz w:val="21"/>
          <w:szCs w:val="21"/>
          <w:highlight w:val="none"/>
          <w:lang w:eastAsia="zh-CN"/>
        </w:rPr>
        <w:t>一个月内</w:t>
      </w:r>
      <w:r>
        <w:rPr>
          <w:rFonts w:ascii="微软雅黑" w:hAnsi="微软雅黑" w:eastAsia="微软雅黑" w:cs="Times New Roman"/>
          <w:snapToGrid/>
          <w:color w:val="000000"/>
          <w:kern w:val="2"/>
          <w:sz w:val="21"/>
          <w:szCs w:val="21"/>
          <w:highlight w:val="none"/>
          <w:lang w:eastAsia="zh-CN"/>
        </w:rPr>
        <w:t>进行验收，逾期不验收的，</w:t>
      </w:r>
      <w:r>
        <w:rPr>
          <w:rFonts w:hint="eastAsia" w:ascii="微软雅黑" w:hAnsi="微软雅黑" w:eastAsia="微软雅黑" w:cs="Times New Roman"/>
          <w:snapToGrid/>
          <w:color w:val="000000"/>
          <w:kern w:val="2"/>
          <w:sz w:val="21"/>
          <w:szCs w:val="21"/>
          <w:highlight w:val="none"/>
          <w:lang w:eastAsia="zh-CN"/>
        </w:rPr>
        <w:t>亦不免除</w:t>
      </w:r>
      <w:r>
        <w:rPr>
          <w:rFonts w:ascii="微软雅黑" w:hAnsi="微软雅黑" w:eastAsia="微软雅黑" w:cs="Times New Roman"/>
          <w:snapToGrid/>
          <w:color w:val="000000"/>
          <w:kern w:val="2"/>
          <w:sz w:val="21"/>
          <w:szCs w:val="21"/>
          <w:highlight w:val="none"/>
          <w:lang w:eastAsia="zh-CN"/>
        </w:rPr>
        <w:t>乙方</w:t>
      </w:r>
      <w:r>
        <w:rPr>
          <w:rFonts w:hint="eastAsia" w:ascii="微软雅黑" w:hAnsi="微软雅黑" w:eastAsia="微软雅黑" w:cs="Times New Roman"/>
          <w:snapToGrid/>
          <w:color w:val="000000"/>
          <w:kern w:val="2"/>
          <w:sz w:val="21"/>
          <w:szCs w:val="21"/>
          <w:highlight w:val="none"/>
          <w:lang w:eastAsia="zh-CN"/>
        </w:rPr>
        <w:t>质量保证责任</w:t>
      </w:r>
      <w:r>
        <w:rPr>
          <w:rFonts w:ascii="微软雅黑" w:hAnsi="微软雅黑" w:eastAsia="微软雅黑" w:cs="Times New Roman"/>
          <w:snapToGrid/>
          <w:color w:val="000000"/>
          <w:kern w:val="2"/>
          <w:sz w:val="21"/>
          <w:szCs w:val="21"/>
          <w:highlight w:val="none"/>
          <w:lang w:eastAsia="zh-CN"/>
        </w:rPr>
        <w:t>。</w:t>
      </w:r>
      <w:r>
        <w:rPr>
          <w:rFonts w:ascii="微软雅黑" w:hAnsi="微软雅黑" w:eastAsia="微软雅黑" w:cs="Arial"/>
          <w:snapToGrid/>
          <w:color w:val="000000"/>
          <w:kern w:val="2"/>
          <w:sz w:val="21"/>
          <w:szCs w:val="21"/>
          <w:highlight w:val="none"/>
          <w:lang w:eastAsia="zh-CN"/>
        </w:rPr>
        <w:t>甲方组织验收</w:t>
      </w:r>
      <w:r>
        <w:rPr>
          <w:rFonts w:hint="eastAsia" w:ascii="微软雅黑" w:hAnsi="微软雅黑" w:eastAsia="微软雅黑" w:cs="Arial"/>
          <w:snapToGrid/>
          <w:color w:val="000000"/>
          <w:kern w:val="2"/>
          <w:sz w:val="21"/>
          <w:szCs w:val="21"/>
          <w:highlight w:val="none"/>
          <w:lang w:eastAsia="zh-CN"/>
        </w:rPr>
        <w:t>，</w:t>
      </w:r>
      <w:r>
        <w:rPr>
          <w:rFonts w:ascii="微软雅黑" w:hAnsi="微软雅黑" w:eastAsia="微软雅黑" w:cs="Arial"/>
          <w:bCs/>
          <w:snapToGrid/>
          <w:color w:val="000000"/>
          <w:kern w:val="2"/>
          <w:sz w:val="21"/>
          <w:szCs w:val="21"/>
          <w:highlight w:val="none"/>
          <w:lang w:eastAsia="zh-CN"/>
        </w:rPr>
        <w:t>乙方必须</w:t>
      </w:r>
      <w:r>
        <w:rPr>
          <w:rFonts w:hint="eastAsia" w:ascii="微软雅黑" w:hAnsi="微软雅黑" w:eastAsia="微软雅黑" w:cs="Arial"/>
          <w:bCs/>
          <w:snapToGrid/>
          <w:color w:val="000000"/>
          <w:kern w:val="2"/>
          <w:sz w:val="21"/>
          <w:szCs w:val="21"/>
          <w:highlight w:val="none"/>
          <w:lang w:eastAsia="zh-CN"/>
        </w:rPr>
        <w:t>到场</w:t>
      </w:r>
      <w:r>
        <w:rPr>
          <w:rFonts w:ascii="微软雅黑" w:hAnsi="微软雅黑" w:eastAsia="微软雅黑" w:cs="Arial"/>
          <w:snapToGrid/>
          <w:color w:val="000000"/>
          <w:kern w:val="2"/>
          <w:sz w:val="21"/>
          <w:szCs w:val="21"/>
          <w:highlight w:val="none"/>
          <w:lang w:eastAsia="zh-CN"/>
        </w:rPr>
        <w:t>配合</w:t>
      </w:r>
      <w:r>
        <w:rPr>
          <w:rFonts w:hint="eastAsia" w:ascii="微软雅黑" w:hAnsi="微软雅黑" w:eastAsia="微软雅黑" w:cs="Arial"/>
          <w:snapToGrid/>
          <w:color w:val="000000"/>
          <w:kern w:val="2"/>
          <w:sz w:val="21"/>
          <w:szCs w:val="21"/>
          <w:highlight w:val="none"/>
          <w:lang w:eastAsia="zh-CN"/>
        </w:rPr>
        <w:t>，</w:t>
      </w:r>
      <w:r>
        <w:rPr>
          <w:rFonts w:ascii="微软雅黑" w:hAnsi="微软雅黑" w:eastAsia="微软雅黑" w:cs="Times New Roman"/>
          <w:snapToGrid/>
          <w:color w:val="000000"/>
          <w:kern w:val="2"/>
          <w:sz w:val="21"/>
          <w:szCs w:val="21"/>
          <w:highlight w:val="none"/>
          <w:lang w:eastAsia="zh-CN"/>
        </w:rPr>
        <w:t>验收合格后由甲乙双方签署货物验收单并加盖</w:t>
      </w:r>
      <w:r>
        <w:rPr>
          <w:rFonts w:hint="eastAsia" w:ascii="微软雅黑" w:hAnsi="微软雅黑" w:eastAsia="微软雅黑" w:cs="Times New Roman"/>
          <w:snapToGrid/>
          <w:color w:val="000000"/>
          <w:kern w:val="2"/>
          <w:sz w:val="21"/>
          <w:szCs w:val="21"/>
          <w:highlight w:val="none"/>
          <w:lang w:eastAsia="zh-CN"/>
        </w:rPr>
        <w:t>双方</w:t>
      </w:r>
      <w:r>
        <w:rPr>
          <w:rFonts w:ascii="微软雅黑" w:hAnsi="微软雅黑" w:eastAsia="微软雅黑" w:cs="Times New Roman"/>
          <w:snapToGrid/>
          <w:color w:val="000000"/>
          <w:kern w:val="2"/>
          <w:sz w:val="21"/>
          <w:szCs w:val="21"/>
          <w:highlight w:val="none"/>
          <w:lang w:eastAsia="zh-CN"/>
        </w:rPr>
        <w:t>公章，甲乙双方各执一份。</w:t>
      </w:r>
      <w:r>
        <w:rPr>
          <w:rFonts w:ascii="微软雅黑" w:hAnsi="微软雅黑" w:eastAsia="微软雅黑" w:cs="Arial"/>
          <w:snapToGrid/>
          <w:color w:val="000000"/>
          <w:kern w:val="2"/>
          <w:sz w:val="21"/>
          <w:szCs w:val="21"/>
          <w:highlight w:val="none"/>
          <w:lang w:eastAsia="zh-CN"/>
        </w:rPr>
        <w:t>对技术复杂的货物，甲方</w:t>
      </w:r>
      <w:r>
        <w:rPr>
          <w:rFonts w:hint="eastAsia" w:ascii="微软雅黑" w:hAnsi="微软雅黑" w:eastAsia="微软雅黑" w:cs="Arial"/>
          <w:snapToGrid/>
          <w:color w:val="000000"/>
          <w:kern w:val="2"/>
          <w:sz w:val="21"/>
          <w:szCs w:val="21"/>
          <w:highlight w:val="none"/>
          <w:lang w:eastAsia="zh-CN"/>
        </w:rPr>
        <w:t>可请</w:t>
      </w:r>
      <w:r>
        <w:rPr>
          <w:rFonts w:ascii="微软雅黑" w:hAnsi="微软雅黑" w:eastAsia="微软雅黑" w:cs="Arial"/>
          <w:snapToGrid/>
          <w:color w:val="000000"/>
          <w:kern w:val="2"/>
          <w:sz w:val="21"/>
          <w:szCs w:val="21"/>
          <w:highlight w:val="none"/>
          <w:lang w:eastAsia="zh-CN"/>
        </w:rPr>
        <w:t>国家认可的专业检测机构参与验收，</w:t>
      </w:r>
      <w:r>
        <w:rPr>
          <w:rFonts w:hint="eastAsia" w:ascii="微软雅黑" w:hAnsi="微软雅黑" w:eastAsia="微软雅黑" w:cs="Arial"/>
          <w:snapToGrid/>
          <w:color w:val="000000"/>
          <w:kern w:val="2"/>
          <w:sz w:val="21"/>
          <w:szCs w:val="21"/>
          <w:highlight w:val="none"/>
          <w:lang w:eastAsia="zh-CN"/>
        </w:rPr>
        <w:t>费用由</w:t>
      </w:r>
      <w:r>
        <w:rPr>
          <w:rFonts w:ascii="微软雅黑" w:hAnsi="微软雅黑" w:eastAsia="微软雅黑" w:cs="Arial"/>
          <w:snapToGrid/>
          <w:color w:val="000000"/>
          <w:kern w:val="2"/>
          <w:sz w:val="21"/>
          <w:szCs w:val="21"/>
          <w:highlight w:val="none"/>
          <w:lang w:eastAsia="zh-CN"/>
        </w:rPr>
        <w:t>乙方</w:t>
      </w:r>
      <w:r>
        <w:rPr>
          <w:rFonts w:hint="eastAsia" w:ascii="微软雅黑" w:hAnsi="微软雅黑" w:eastAsia="微软雅黑" w:cs="Arial"/>
          <w:snapToGrid/>
          <w:color w:val="000000"/>
          <w:kern w:val="2"/>
          <w:sz w:val="21"/>
          <w:szCs w:val="21"/>
          <w:highlight w:val="none"/>
          <w:lang w:eastAsia="zh-CN"/>
        </w:rPr>
        <w:t>承担。</w:t>
      </w:r>
    </w:p>
    <w:p w14:paraId="1FA04906">
      <w:pPr>
        <w:widowControl w:val="0"/>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7</w:t>
      </w:r>
      <w:r>
        <w:rPr>
          <w:rFonts w:ascii="微软雅黑" w:hAnsi="微软雅黑" w:eastAsia="微软雅黑" w:cs="Times New Roman"/>
          <w:snapToGrid/>
          <w:color w:val="000000"/>
          <w:kern w:val="2"/>
          <w:sz w:val="21"/>
          <w:szCs w:val="21"/>
          <w:highlight w:val="none"/>
          <w:lang w:eastAsia="zh-CN"/>
        </w:rPr>
        <w:t>.</w:t>
      </w:r>
      <w:r>
        <w:rPr>
          <w:rFonts w:hint="eastAsia" w:ascii="微软雅黑" w:hAnsi="微软雅黑" w:eastAsia="微软雅黑" w:cs="Times New Roman"/>
          <w:snapToGrid/>
          <w:color w:val="000000"/>
          <w:kern w:val="2"/>
          <w:sz w:val="21"/>
          <w:szCs w:val="21"/>
          <w:highlight w:val="none"/>
          <w:lang w:eastAsia="zh-CN"/>
        </w:rPr>
        <w:t xml:space="preserve"> 若</w:t>
      </w:r>
      <w:r>
        <w:rPr>
          <w:rFonts w:ascii="微软雅黑" w:hAnsi="微软雅黑" w:eastAsia="微软雅黑" w:cs="Times New Roman"/>
          <w:snapToGrid/>
          <w:color w:val="000000"/>
          <w:kern w:val="2"/>
          <w:sz w:val="21"/>
          <w:szCs w:val="21"/>
          <w:highlight w:val="none"/>
          <w:lang w:eastAsia="zh-CN"/>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r>
        <w:rPr>
          <w:rFonts w:hint="eastAsia" w:ascii="微软雅黑" w:hAnsi="微软雅黑" w:eastAsia="微软雅黑" w:cs="Times New Roman"/>
          <w:snapToGrid/>
          <w:kern w:val="2"/>
          <w:sz w:val="21"/>
          <w:szCs w:val="21"/>
          <w:highlight w:val="none"/>
          <w:lang w:eastAsia="zh-CN"/>
        </w:rPr>
        <w:t>，在此期间，甲方不承担逾期付款责任</w:t>
      </w:r>
      <w:r>
        <w:rPr>
          <w:rFonts w:ascii="微软雅黑" w:hAnsi="微软雅黑" w:eastAsia="微软雅黑" w:cs="Times New Roman"/>
          <w:snapToGrid/>
          <w:color w:val="000000"/>
          <w:kern w:val="2"/>
          <w:sz w:val="21"/>
          <w:szCs w:val="21"/>
          <w:highlight w:val="none"/>
          <w:lang w:eastAsia="zh-CN"/>
        </w:rPr>
        <w:t>。</w:t>
      </w:r>
    </w:p>
    <w:p w14:paraId="7A6B66C9">
      <w:pPr>
        <w:widowControl w:val="0"/>
        <w:kinsoku/>
        <w:wordWrap/>
        <w:topLinePunct w:val="0"/>
        <w:autoSpaceDE/>
        <w:autoSpaceDN/>
        <w:adjustRightInd/>
        <w:snapToGrid/>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8</w:t>
      </w:r>
      <w:r>
        <w:rPr>
          <w:rFonts w:ascii="微软雅黑" w:hAnsi="微软雅黑" w:eastAsia="微软雅黑" w:cs="Times New Roman"/>
          <w:snapToGrid/>
          <w:color w:val="000000"/>
          <w:kern w:val="2"/>
          <w:sz w:val="21"/>
          <w:szCs w:val="21"/>
          <w:highlight w:val="none"/>
          <w:lang w:eastAsia="zh-CN"/>
        </w:rPr>
        <w:t>.</w:t>
      </w:r>
      <w:r>
        <w:rPr>
          <w:rFonts w:hint="eastAsia" w:ascii="微软雅黑" w:hAnsi="微软雅黑" w:eastAsia="微软雅黑" w:cs="Times New Roman"/>
          <w:snapToGrid/>
          <w:color w:val="000000"/>
          <w:kern w:val="2"/>
          <w:sz w:val="21"/>
          <w:szCs w:val="21"/>
          <w:highlight w:val="none"/>
          <w:lang w:eastAsia="zh-CN"/>
        </w:rPr>
        <w:t xml:space="preserve"> </w:t>
      </w:r>
      <w:r>
        <w:rPr>
          <w:rFonts w:ascii="微软雅黑" w:hAnsi="微软雅黑" w:eastAsia="微软雅黑" w:cs="Times New Roman"/>
          <w:snapToGrid/>
          <w:color w:val="000000"/>
          <w:kern w:val="2"/>
          <w:sz w:val="21"/>
          <w:szCs w:val="21"/>
          <w:highlight w:val="none"/>
          <w:lang w:eastAsia="zh-CN"/>
        </w:rPr>
        <w:t>甲方对验收有异议的，在验收后五个工作日内以书面形式向乙方提出，乙方应自收到甲方书面异议后</w:t>
      </w:r>
      <w:r>
        <w:rPr>
          <w:rFonts w:hint="eastAsia" w:ascii="微软雅黑" w:hAnsi="微软雅黑" w:eastAsia="微软雅黑" w:cs="Times New Roman"/>
          <w:snapToGrid/>
          <w:color w:val="000000"/>
          <w:kern w:val="2"/>
          <w:sz w:val="21"/>
          <w:szCs w:val="21"/>
          <w:highlight w:val="none"/>
          <w:lang w:eastAsia="zh-CN"/>
        </w:rPr>
        <w:t>三</w:t>
      </w:r>
      <w:r>
        <w:rPr>
          <w:rFonts w:ascii="微软雅黑" w:hAnsi="微软雅黑" w:eastAsia="微软雅黑" w:cs="Times New Roman"/>
          <w:snapToGrid/>
          <w:color w:val="000000"/>
          <w:kern w:val="2"/>
          <w:sz w:val="21"/>
          <w:szCs w:val="21"/>
          <w:highlight w:val="none"/>
          <w:lang w:eastAsia="zh-CN"/>
        </w:rPr>
        <w:t>日内及时予以解决</w:t>
      </w:r>
      <w:r>
        <w:rPr>
          <w:rFonts w:hint="eastAsia" w:ascii="微软雅黑" w:hAnsi="微软雅黑" w:eastAsia="微软雅黑" w:cs="Times New Roman"/>
          <w:snapToGrid/>
          <w:color w:val="000000"/>
          <w:kern w:val="2"/>
          <w:sz w:val="21"/>
          <w:szCs w:val="21"/>
          <w:highlight w:val="none"/>
          <w:lang w:eastAsia="zh-CN"/>
        </w:rPr>
        <w:t>，乙方不予答复或未予以实质解决的，视为认可甲方异议及处置意见</w:t>
      </w:r>
      <w:r>
        <w:rPr>
          <w:rFonts w:ascii="微软雅黑" w:hAnsi="微软雅黑" w:eastAsia="微软雅黑" w:cs="Times New Roman"/>
          <w:snapToGrid/>
          <w:color w:val="000000"/>
          <w:kern w:val="2"/>
          <w:sz w:val="21"/>
          <w:szCs w:val="21"/>
          <w:highlight w:val="none"/>
          <w:lang w:eastAsia="zh-CN"/>
        </w:rPr>
        <w:t>。</w:t>
      </w:r>
    </w:p>
    <w:p w14:paraId="1ADE5430">
      <w:pPr>
        <w:widowControl w:val="0"/>
        <w:kinsoku/>
        <w:wordWrap/>
        <w:topLinePunct w:val="0"/>
        <w:autoSpaceDE/>
        <w:autoSpaceDN/>
        <w:adjustRightInd/>
        <w:snapToGrid w:val="0"/>
        <w:spacing w:before="120" w:after="120" w:line="360" w:lineRule="exact"/>
        <w:ind w:firstLine="420" w:firstLineChars="200"/>
        <w:jc w:val="left"/>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9</w:t>
      </w:r>
      <w:r>
        <w:rPr>
          <w:rFonts w:ascii="微软雅黑" w:hAnsi="微软雅黑" w:eastAsia="微软雅黑" w:cs="Arial"/>
          <w:snapToGrid/>
          <w:color w:val="000000"/>
          <w:kern w:val="2"/>
          <w:sz w:val="21"/>
          <w:szCs w:val="21"/>
          <w:highlight w:val="none"/>
          <w:lang w:eastAsia="zh-CN"/>
        </w:rPr>
        <w:t>.</w:t>
      </w:r>
      <w:r>
        <w:rPr>
          <w:rFonts w:hint="eastAsia" w:ascii="微软雅黑" w:hAnsi="微软雅黑" w:eastAsia="微软雅黑" w:cs="Arial"/>
          <w:snapToGrid/>
          <w:color w:val="000000"/>
          <w:kern w:val="2"/>
          <w:sz w:val="21"/>
          <w:szCs w:val="21"/>
          <w:highlight w:val="none"/>
          <w:lang w:eastAsia="zh-CN"/>
        </w:rPr>
        <w:t xml:space="preserve"> </w:t>
      </w:r>
      <w:r>
        <w:rPr>
          <w:rFonts w:ascii="微软雅黑" w:hAnsi="微软雅黑" w:eastAsia="微软雅黑" w:cs="Arial"/>
          <w:snapToGrid/>
          <w:color w:val="000000"/>
          <w:kern w:val="2"/>
          <w:sz w:val="21"/>
          <w:szCs w:val="21"/>
          <w:highlight w:val="none"/>
          <w:lang w:eastAsia="zh-CN"/>
        </w:rPr>
        <w:t>其他未尽事宜应严格</w:t>
      </w:r>
      <w:r>
        <w:rPr>
          <w:rFonts w:hint="eastAsia" w:ascii="微软雅黑" w:hAnsi="微软雅黑" w:eastAsia="微软雅黑" w:cs="Arial"/>
          <w:snapToGrid/>
          <w:color w:val="000000"/>
          <w:kern w:val="2"/>
          <w:sz w:val="21"/>
          <w:szCs w:val="21"/>
          <w:highlight w:val="none"/>
          <w:lang w:eastAsia="zh-CN"/>
        </w:rPr>
        <w:t>参</w:t>
      </w:r>
      <w:r>
        <w:rPr>
          <w:rFonts w:ascii="微软雅黑" w:hAnsi="微软雅黑" w:eastAsia="微软雅黑" w:cs="Arial"/>
          <w:snapToGrid/>
          <w:color w:val="000000"/>
          <w:kern w:val="2"/>
          <w:sz w:val="21"/>
          <w:szCs w:val="21"/>
          <w:highlight w:val="none"/>
          <w:lang w:eastAsia="zh-CN"/>
        </w:rPr>
        <w:t>照《关于印发广西壮族自治区政府采购项目履约验收管理办法的通知》[桂财采〔2015〕22号]以及《财政部关于进一步加强政府采购需求和履约验收管理的指导意见》[财库〔2016〕205号]规定执行</w:t>
      </w:r>
      <w:r>
        <w:rPr>
          <w:rFonts w:hint="eastAsia" w:ascii="微软雅黑" w:hAnsi="微软雅黑" w:eastAsia="微软雅黑" w:cs="Arial"/>
          <w:snapToGrid/>
          <w:color w:val="000000"/>
          <w:kern w:val="2"/>
          <w:sz w:val="21"/>
          <w:szCs w:val="21"/>
          <w:highlight w:val="none"/>
          <w:lang w:eastAsia="zh-CN"/>
        </w:rPr>
        <w:t>。</w:t>
      </w:r>
    </w:p>
    <w:p w14:paraId="5D5F007E">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第六条 安装和培训</w:t>
      </w:r>
    </w:p>
    <w:p w14:paraId="1BE05655">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甲方应提供必要安装条件（如场地、电源、水源等）。</w:t>
      </w:r>
      <w:r>
        <w:rPr>
          <w:rFonts w:ascii="微软雅黑" w:hAnsi="微软雅黑" w:eastAsia="微软雅黑" w:cs="Arial"/>
          <w:snapToGrid/>
          <w:color w:val="000000"/>
          <w:kern w:val="2"/>
          <w:sz w:val="21"/>
          <w:szCs w:val="21"/>
          <w:highlight w:val="none"/>
          <w:lang w:eastAsia="zh-CN"/>
        </w:rPr>
        <w:t>乙方应在到货之日起</w:t>
      </w:r>
      <w:r>
        <w:rPr>
          <w:rFonts w:ascii="微软雅黑" w:hAnsi="微软雅黑" w:eastAsia="微软雅黑" w:cs="Arial"/>
          <w:snapToGrid/>
          <w:color w:val="000000"/>
          <w:kern w:val="2"/>
          <w:sz w:val="21"/>
          <w:szCs w:val="21"/>
          <w:highlight w:val="none"/>
          <w:u w:val="single"/>
          <w:lang w:eastAsia="zh-CN"/>
        </w:rPr>
        <w:t xml:space="preserve"> </w:t>
      </w:r>
      <w:r>
        <w:rPr>
          <w:rFonts w:hint="eastAsia" w:ascii="微软雅黑" w:hAnsi="微软雅黑" w:eastAsia="微软雅黑" w:cs="Arial"/>
          <w:snapToGrid/>
          <w:color w:val="0000FF"/>
          <w:kern w:val="2"/>
          <w:sz w:val="21"/>
          <w:szCs w:val="21"/>
          <w:highlight w:val="none"/>
          <w:u w:val="single"/>
          <w:lang w:eastAsia="zh-CN"/>
        </w:rPr>
        <w:t>5</w:t>
      </w:r>
      <w:r>
        <w:rPr>
          <w:rFonts w:ascii="微软雅黑" w:hAnsi="微软雅黑" w:eastAsia="微软雅黑" w:cs="Arial"/>
          <w:i/>
          <w:iCs/>
          <w:snapToGrid/>
          <w:color w:val="000000"/>
          <w:kern w:val="2"/>
          <w:sz w:val="21"/>
          <w:szCs w:val="21"/>
          <w:highlight w:val="none"/>
          <w:u w:val="single"/>
          <w:lang w:eastAsia="zh-CN"/>
        </w:rPr>
        <w:t xml:space="preserve"> </w:t>
      </w:r>
      <w:r>
        <w:rPr>
          <w:rFonts w:ascii="微软雅黑" w:hAnsi="微软雅黑" w:eastAsia="微软雅黑" w:cs="Arial"/>
          <w:snapToGrid/>
          <w:color w:val="000000"/>
          <w:kern w:val="2"/>
          <w:sz w:val="21"/>
          <w:szCs w:val="21"/>
          <w:highlight w:val="none"/>
          <w:lang w:eastAsia="zh-CN"/>
        </w:rPr>
        <w:t>个工作日内对货物进行安装、调试。</w:t>
      </w:r>
    </w:p>
    <w:p w14:paraId="7E5069A6">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乙方负责甲方有关人员的培训</w:t>
      </w:r>
      <w:r>
        <w:rPr>
          <w:rFonts w:hint="eastAsia" w:ascii="微软雅黑" w:hAnsi="微软雅黑" w:eastAsia="微软雅黑" w:cs="Arial"/>
          <w:snapToGrid/>
          <w:color w:val="000000"/>
          <w:kern w:val="2"/>
          <w:sz w:val="21"/>
          <w:szCs w:val="21"/>
          <w:highlight w:val="none"/>
          <w:lang w:eastAsia="zh-Hans"/>
        </w:rPr>
        <w:t>，具体培训时间由甲方予以确定</w:t>
      </w:r>
      <w:r>
        <w:rPr>
          <w:rFonts w:hint="eastAsia" w:ascii="微软雅黑" w:hAnsi="微软雅黑" w:eastAsia="微软雅黑" w:cs="Arial"/>
          <w:snapToGrid/>
          <w:color w:val="000000"/>
          <w:kern w:val="2"/>
          <w:sz w:val="21"/>
          <w:szCs w:val="21"/>
          <w:highlight w:val="none"/>
          <w:lang w:eastAsia="zh-CN"/>
        </w:rPr>
        <w:t>。</w:t>
      </w:r>
    </w:p>
    <w:p w14:paraId="4D809A22">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第七条 售后服务、质保期</w:t>
      </w:r>
    </w:p>
    <w:p w14:paraId="3EC66341">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乙方应按照国家有关法律法规和“三包”规定以及公告、</w:t>
      </w:r>
      <w:r>
        <w:rPr>
          <w:rFonts w:hint="eastAsia" w:ascii="微软雅黑" w:hAnsi="微软雅黑" w:eastAsia="微软雅黑" w:cs="Arial"/>
          <w:snapToGrid/>
          <w:color w:val="000000"/>
          <w:kern w:val="2"/>
          <w:sz w:val="21"/>
          <w:szCs w:val="21"/>
          <w:highlight w:val="none"/>
          <w:lang w:eastAsia="zh-CN"/>
        </w:rPr>
        <w:t>采购文件、</w:t>
      </w:r>
      <w:r>
        <w:rPr>
          <w:rFonts w:hint="eastAsia" w:ascii="微软雅黑" w:hAnsi="微软雅黑" w:eastAsia="微软雅黑" w:cs="Times New Roman"/>
          <w:snapToGrid/>
          <w:color w:val="000000"/>
          <w:kern w:val="2"/>
          <w:sz w:val="21"/>
          <w:szCs w:val="21"/>
          <w:highlight w:val="none"/>
          <w:lang w:eastAsia="zh-CN"/>
        </w:rPr>
        <w:t>投标文件和本合同所附的《服务承诺》，为甲方提供售后服务。</w:t>
      </w:r>
    </w:p>
    <w:p w14:paraId="4B3297C5">
      <w:pPr>
        <w:widowControl w:val="0"/>
        <w:kinsoku/>
        <w:wordWrap/>
        <w:topLinePunct w:val="0"/>
        <w:autoSpaceDE/>
        <w:autoSpaceDN/>
        <w:adjustRightInd/>
        <w:snapToGrid/>
        <w:spacing w:after="124" w:afterLines="40" w:line="360" w:lineRule="exact"/>
        <w:ind w:firstLine="420" w:firstLineChars="200"/>
        <w:jc w:val="both"/>
        <w:textAlignment w:val="auto"/>
        <w:rPr>
          <w:rFonts w:hint="default" w:ascii="微软雅黑" w:hAnsi="微软雅黑" w:eastAsia="微软雅黑" w:cs="Times New Roman"/>
          <w:snapToGrid/>
          <w:color w:val="000000"/>
          <w:kern w:val="2"/>
          <w:sz w:val="21"/>
          <w:szCs w:val="21"/>
          <w:highlight w:val="none"/>
          <w:lang w:val="en-US" w:eastAsia="zh-CN"/>
        </w:rPr>
      </w:pPr>
      <w:r>
        <w:rPr>
          <w:rFonts w:hint="eastAsia" w:ascii="微软雅黑" w:hAnsi="微软雅黑" w:eastAsia="微软雅黑" w:cs="Times New Roman"/>
          <w:snapToGrid/>
          <w:color w:val="000000"/>
          <w:kern w:val="2"/>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货物保修期：</w:t>
      </w:r>
      <w:r>
        <w:rPr>
          <w:rFonts w:hint="eastAsia" w:ascii="微软雅黑" w:hAnsi="微软雅黑" w:eastAsia="微软雅黑" w:cs="Times New Roman"/>
          <w:snapToGrid/>
          <w:color w:val="0000FF"/>
          <w:kern w:val="2"/>
          <w:sz w:val="21"/>
          <w:szCs w:val="21"/>
          <w:highlight w:val="none"/>
          <w:u w:val="single"/>
          <w:lang w:eastAsia="zh-CN"/>
        </w:rPr>
        <w:t xml:space="preserve">  自验收合格之日起   年。</w:t>
      </w:r>
      <w:r>
        <w:rPr>
          <w:rFonts w:hint="eastAsia" w:ascii="微软雅黑" w:hAnsi="微软雅黑" w:eastAsia="微软雅黑" w:cs="Times New Roman"/>
          <w:snapToGrid/>
          <w:color w:val="0000FF"/>
          <w:kern w:val="2"/>
          <w:sz w:val="21"/>
          <w:szCs w:val="21"/>
          <w:highlight w:val="none"/>
          <w:u w:val="single"/>
          <w:lang w:val="en-US" w:eastAsia="zh-CN"/>
        </w:rPr>
        <w:t xml:space="preserve">  </w:t>
      </w:r>
    </w:p>
    <w:p w14:paraId="121D6131">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3</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乙方提供的服务承诺和售后服务及质保期责任等其它具体约定事项（见合同附件)。</w:t>
      </w:r>
    </w:p>
    <w:p w14:paraId="2C5FB35E">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第八条 付款方式</w:t>
      </w:r>
    </w:p>
    <w:p w14:paraId="79754B0D">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1. 当采购数量与实际使用数量不一致时，乙方应根据实际使用量供货，合同的最终结算金额按实际使用量乘以中标单价进行计算。如最终结算金额超过本合同约定合计金额的，双方应在不改变本合同其他条款的情况下签订补充合同，否则甲方有权拒绝支付超过部分的合同款且无须承担违约责任，但所有补充合同的采购金额不得超过本合同约定合计金额的10%。</w:t>
      </w:r>
    </w:p>
    <w:p w14:paraId="2B2B285C">
      <w:pPr>
        <w:widowControl w:val="0"/>
        <w:suppressAutoHyphens/>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1"/>
          <w:sz w:val="21"/>
          <w:szCs w:val="21"/>
          <w:highlight w:val="none"/>
          <w:u w:val="single"/>
          <w:lang w:eastAsia="zh-CN"/>
        </w:rPr>
      </w:pPr>
      <w:r>
        <w:rPr>
          <w:rFonts w:hint="eastAsia" w:ascii="微软雅黑" w:hAnsi="微软雅黑" w:eastAsia="微软雅黑" w:cs="Times New Roman"/>
          <w:snapToGrid/>
          <w:color w:val="000000"/>
          <w:kern w:val="1"/>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1"/>
          <w:sz w:val="21"/>
          <w:szCs w:val="21"/>
          <w:highlight w:val="none"/>
          <w:lang w:eastAsia="zh-CN"/>
        </w:rPr>
        <w:t>付款方式：</w:t>
      </w:r>
      <w:r>
        <w:rPr>
          <w:rFonts w:hint="eastAsia" w:ascii="微软雅黑" w:hAnsi="微软雅黑" w:eastAsia="微软雅黑" w:cs="Times New Roman"/>
          <w:snapToGrid/>
          <w:color w:val="000000"/>
          <w:kern w:val="1"/>
          <w:sz w:val="21"/>
          <w:szCs w:val="21"/>
          <w:highlight w:val="none"/>
          <w:u w:val="single"/>
          <w:lang w:eastAsia="zh-CN"/>
        </w:rPr>
        <w:t>乙方所有货物交货安装调试完毕并验收合格后，甲方凭乙方开具的合法有效的全额发票，于收到发票后一次性支付合同款。乙方未开具合法有效的全额发票的，甲方有权不支付合同款。</w:t>
      </w:r>
    </w:p>
    <w:p w14:paraId="52462900">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ascii="微软雅黑" w:hAnsi="微软雅黑" w:eastAsia="微软雅黑" w:cs="Times New Roman"/>
          <w:b/>
          <w:bCs/>
          <w:snapToGrid/>
          <w:color w:val="000000"/>
          <w:kern w:val="2"/>
          <w:sz w:val="21"/>
          <w:szCs w:val="21"/>
          <w:highlight w:val="none"/>
          <w:lang w:eastAsia="zh-CN"/>
        </w:rPr>
        <w:t>第九条</w:t>
      </w:r>
      <w:r>
        <w:rPr>
          <w:rFonts w:hint="eastAsia" w:ascii="微软雅黑" w:hAnsi="微软雅黑" w:eastAsia="微软雅黑" w:cs="Times New Roman"/>
          <w:b/>
          <w:bCs/>
          <w:snapToGrid/>
          <w:color w:val="000000"/>
          <w:kern w:val="2"/>
          <w:sz w:val="21"/>
          <w:szCs w:val="21"/>
          <w:highlight w:val="none"/>
          <w:lang w:eastAsia="zh-CN"/>
        </w:rPr>
        <w:t xml:space="preserve"> </w:t>
      </w:r>
      <w:r>
        <w:rPr>
          <w:rFonts w:ascii="微软雅黑" w:hAnsi="微软雅黑" w:eastAsia="微软雅黑" w:cs="Times New Roman"/>
          <w:b/>
          <w:bCs/>
          <w:snapToGrid/>
          <w:color w:val="000000"/>
          <w:kern w:val="2"/>
          <w:sz w:val="21"/>
          <w:szCs w:val="21"/>
          <w:highlight w:val="none"/>
          <w:lang w:eastAsia="zh-CN"/>
        </w:rPr>
        <w:t>履约保证金</w:t>
      </w:r>
    </w:p>
    <w:p w14:paraId="6EB0400B">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FF"/>
          <w:kern w:val="1"/>
          <w:sz w:val="21"/>
          <w:szCs w:val="21"/>
          <w:highlight w:val="none"/>
          <w:u w:val="single"/>
          <w:lang w:eastAsia="zh-CN"/>
        </w:rPr>
      </w:pPr>
      <w:r>
        <w:rPr>
          <w:rFonts w:ascii="微软雅黑" w:hAnsi="微软雅黑" w:eastAsia="微软雅黑" w:cs="Arial"/>
          <w:snapToGrid/>
          <w:color w:val="auto"/>
          <w:kern w:val="1"/>
          <w:sz w:val="21"/>
          <w:szCs w:val="21"/>
          <w:highlight w:val="none"/>
          <w:u w:val="none"/>
          <w:lang w:eastAsia="zh-CN"/>
        </w:rPr>
        <w:t>履约保证金：</w:t>
      </w:r>
      <w:r>
        <w:rPr>
          <w:rFonts w:hint="eastAsia" w:ascii="微软雅黑" w:hAnsi="微软雅黑" w:eastAsia="微软雅黑" w:cs="Times New Roman"/>
          <w:snapToGrid/>
          <w:color w:val="auto"/>
          <w:kern w:val="1"/>
          <w:sz w:val="21"/>
          <w:szCs w:val="21"/>
          <w:highlight w:val="none"/>
          <w:u w:val="single"/>
          <w:lang w:eastAsia="zh-CN"/>
        </w:rPr>
        <w:t>按中标金额的</w:t>
      </w:r>
      <w:r>
        <w:rPr>
          <w:rFonts w:hint="eastAsia" w:ascii="微软雅黑" w:hAnsi="微软雅黑" w:eastAsia="微软雅黑" w:cs="Times New Roman"/>
          <w:snapToGrid/>
          <w:color w:val="auto"/>
          <w:kern w:val="1"/>
          <w:sz w:val="21"/>
          <w:szCs w:val="21"/>
          <w:highlight w:val="none"/>
          <w:u w:val="single"/>
          <w:lang w:val="en-US" w:eastAsia="zh-CN"/>
        </w:rPr>
        <w:t>5</w:t>
      </w:r>
      <w:r>
        <w:rPr>
          <w:rFonts w:hint="eastAsia" w:ascii="微软雅黑" w:hAnsi="微软雅黑" w:eastAsia="微软雅黑" w:cs="Times New Roman"/>
          <w:snapToGrid/>
          <w:color w:val="auto"/>
          <w:kern w:val="1"/>
          <w:sz w:val="21"/>
          <w:szCs w:val="21"/>
          <w:highlight w:val="none"/>
          <w:u w:val="single"/>
          <w:lang w:eastAsia="zh-CN"/>
        </w:rPr>
        <w:t>%</w:t>
      </w:r>
      <w:r>
        <w:rPr>
          <w:rFonts w:hint="eastAsia" w:ascii="微软雅黑" w:hAnsi="微软雅黑" w:eastAsia="微软雅黑" w:cs="Times New Roman"/>
          <w:snapToGrid/>
          <w:color w:val="FF0000"/>
          <w:kern w:val="1"/>
          <w:sz w:val="21"/>
          <w:szCs w:val="21"/>
          <w:highlight w:val="none"/>
          <w:u w:val="single"/>
          <w:lang w:val="en-US" w:eastAsia="zh-CN"/>
        </w:rPr>
        <w:t>(如为中小微企业按2%计算)</w:t>
      </w:r>
      <w:r>
        <w:rPr>
          <w:rFonts w:hint="eastAsia" w:ascii="微软雅黑" w:hAnsi="微软雅黑" w:eastAsia="微软雅黑" w:cs="Times New Roman"/>
          <w:snapToGrid/>
          <w:color w:val="auto"/>
          <w:kern w:val="1"/>
          <w:sz w:val="21"/>
          <w:szCs w:val="21"/>
          <w:highlight w:val="none"/>
          <w:u w:val="single"/>
          <w:lang w:eastAsia="zh-CN"/>
        </w:rPr>
        <w:t>：</w:t>
      </w:r>
      <w:r>
        <w:rPr>
          <w:rFonts w:hint="eastAsia" w:ascii="微软雅黑" w:hAnsi="微软雅黑" w:eastAsia="微软雅黑" w:cs="Times New Roman"/>
          <w:snapToGrid/>
          <w:color w:val="0000FF"/>
          <w:kern w:val="1"/>
          <w:sz w:val="21"/>
          <w:szCs w:val="21"/>
          <w:highlight w:val="none"/>
          <w:u w:val="single"/>
          <w:lang w:val="en-US" w:eastAsia="zh-CN"/>
        </w:rPr>
        <w:t>人民币</w:t>
      </w:r>
      <w:r>
        <w:rPr>
          <w:rFonts w:hint="eastAsia" w:ascii="微软雅黑" w:hAnsi="微软雅黑" w:eastAsia="微软雅黑" w:cs="Times New Roman"/>
          <w:snapToGrid/>
          <w:color w:val="0000FF"/>
          <w:kern w:val="1"/>
          <w:sz w:val="21"/>
          <w:szCs w:val="21"/>
          <w:highlight w:val="none"/>
          <w:u w:val="single"/>
          <w:lang w:eastAsia="zh-CN"/>
        </w:rPr>
        <w:t xml:space="preserve">  </w:t>
      </w:r>
      <w:r>
        <w:rPr>
          <w:rFonts w:hint="eastAsia" w:ascii="微软雅黑" w:hAnsi="微软雅黑" w:eastAsia="微软雅黑" w:cs="Times New Roman"/>
          <w:snapToGrid/>
          <w:color w:val="0000FF"/>
          <w:kern w:val="1"/>
          <w:sz w:val="21"/>
          <w:szCs w:val="21"/>
          <w:highlight w:val="none"/>
          <w:u w:val="single"/>
          <w:lang w:val="en-US" w:eastAsia="zh-CN"/>
        </w:rPr>
        <w:t xml:space="preserve">   元</w:t>
      </w:r>
      <w:r>
        <w:rPr>
          <w:rFonts w:hint="eastAsia" w:ascii="微软雅黑" w:hAnsi="微软雅黑" w:eastAsia="微软雅黑" w:cs="Times New Roman"/>
          <w:snapToGrid/>
          <w:color w:val="0000FF"/>
          <w:kern w:val="1"/>
          <w:sz w:val="21"/>
          <w:szCs w:val="21"/>
          <w:highlight w:val="none"/>
          <w:u w:val="single"/>
          <w:lang w:eastAsia="zh-CN"/>
        </w:rPr>
        <w:t>（¥      ）</w:t>
      </w:r>
      <w:r>
        <w:rPr>
          <w:rFonts w:ascii="微软雅黑" w:hAnsi="微软雅黑" w:eastAsia="微软雅黑" w:cs="Arial"/>
          <w:snapToGrid/>
          <w:color w:val="0000FF"/>
          <w:kern w:val="1"/>
          <w:sz w:val="21"/>
          <w:szCs w:val="21"/>
          <w:highlight w:val="none"/>
          <w:u w:val="single"/>
          <w:lang w:eastAsia="zh-CN"/>
        </w:rPr>
        <w:t>。</w:t>
      </w:r>
    </w:p>
    <w:p w14:paraId="670C299B">
      <w:pPr>
        <w:widowControl w:val="0"/>
        <w:suppressAutoHyphens/>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Arial"/>
          <w:snapToGrid/>
          <w:color w:val="000000"/>
          <w:kern w:val="1"/>
          <w:sz w:val="21"/>
          <w:szCs w:val="21"/>
          <w:highlight w:val="none"/>
          <w:lang w:val="en-US" w:eastAsia="zh-CN"/>
        </w:rPr>
      </w:pPr>
      <w:r>
        <w:rPr>
          <w:rFonts w:hint="eastAsia" w:ascii="微软雅黑" w:hAnsi="微软雅黑" w:eastAsia="微软雅黑" w:cs="Arial"/>
          <w:snapToGrid/>
          <w:color w:val="000000"/>
          <w:kern w:val="1"/>
          <w:sz w:val="21"/>
          <w:szCs w:val="21"/>
          <w:highlight w:val="none"/>
          <w:lang w:eastAsia="zh-CN"/>
        </w:rPr>
        <w:t>履约保证金递交方式：银行转账或电汇。</w:t>
      </w:r>
    </w:p>
    <w:p w14:paraId="2828ACDA">
      <w:pPr>
        <w:widowControl w:val="0"/>
        <w:suppressAutoHyphens/>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备注：在签订合同之前，乙方需把履约保证金足额交到甲方指定账户。未提交履约保证金的，不予签订本合同。履约保证金自项目验收合格后，待乙方履行完质保义务且无违约的情况下，由乙方提出书面退还申请，甲方在收到乙方书面申请后无息退还。本合同履行期间，乙方存在违约的，甲方有权从履约保证金中先行扣除违约金、赔偿金等按本合同约定乙方应付款项，不足部分由乙方另行支付，甲方直接从履约保证金中扣除违约金、赔偿金等按本合同约定乙方应付的其他款项的，乙方应于接到甲方补足履约保证金通知之日起3个工作日内补足。</w:t>
      </w:r>
    </w:p>
    <w:p w14:paraId="7C2B8338">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履约保证金指定账户：</w:t>
      </w:r>
    </w:p>
    <w:p w14:paraId="37D20C2F">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开户名称：广西壮族自治区人民医院</w:t>
      </w:r>
    </w:p>
    <w:p w14:paraId="0E44B81D">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开户银行：中国民生银行股份有限公司南宁金湖支行</w:t>
      </w:r>
    </w:p>
    <w:p w14:paraId="4CF2EB22">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履约保证金的银行账户为：6313 33260</w:t>
      </w:r>
    </w:p>
    <w:p w14:paraId="683568C3">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w:t>
      </w:r>
      <w:r>
        <w:rPr>
          <w:rFonts w:ascii="微软雅黑" w:hAnsi="微软雅黑" w:eastAsia="微软雅黑" w:cs="Times New Roman"/>
          <w:b/>
          <w:bCs/>
          <w:snapToGrid/>
          <w:color w:val="000000"/>
          <w:kern w:val="2"/>
          <w:sz w:val="21"/>
          <w:szCs w:val="21"/>
          <w:highlight w:val="none"/>
          <w:lang w:eastAsia="zh-CN"/>
        </w:rPr>
        <w:t>十</w:t>
      </w:r>
      <w:r>
        <w:rPr>
          <w:rFonts w:hint="eastAsia" w:ascii="微软雅黑" w:hAnsi="微软雅黑" w:eastAsia="微软雅黑" w:cs="Times New Roman"/>
          <w:b/>
          <w:bCs/>
          <w:snapToGrid/>
          <w:color w:val="000000"/>
          <w:kern w:val="2"/>
          <w:sz w:val="21"/>
          <w:szCs w:val="21"/>
          <w:highlight w:val="none"/>
          <w:lang w:eastAsia="zh-CN"/>
        </w:rPr>
        <w:t>条 税费</w:t>
      </w:r>
    </w:p>
    <w:p w14:paraId="685340FB">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本合同执行中相关的一切税费均由乙方负担。</w:t>
      </w:r>
    </w:p>
    <w:p w14:paraId="1F6A286E">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ascii="微软雅黑" w:hAnsi="微软雅黑" w:eastAsia="微软雅黑" w:cs="Times New Roman"/>
          <w:b/>
          <w:bCs/>
          <w:snapToGrid/>
          <w:color w:val="000000"/>
          <w:kern w:val="2"/>
          <w:sz w:val="21"/>
          <w:szCs w:val="21"/>
          <w:highlight w:val="none"/>
          <w:lang w:eastAsia="zh-CN"/>
        </w:rPr>
        <w:t>第十</w:t>
      </w:r>
      <w:r>
        <w:rPr>
          <w:rFonts w:hint="eastAsia" w:ascii="微软雅黑" w:hAnsi="微软雅黑" w:eastAsia="微软雅黑" w:cs="Times New Roman"/>
          <w:b/>
          <w:bCs/>
          <w:snapToGrid/>
          <w:color w:val="000000"/>
          <w:kern w:val="2"/>
          <w:sz w:val="21"/>
          <w:szCs w:val="21"/>
          <w:highlight w:val="none"/>
          <w:lang w:eastAsia="zh-CN"/>
        </w:rPr>
        <w:t>一</w:t>
      </w:r>
      <w:r>
        <w:rPr>
          <w:rFonts w:ascii="微软雅黑" w:hAnsi="微软雅黑" w:eastAsia="微软雅黑" w:cs="Times New Roman"/>
          <w:b/>
          <w:bCs/>
          <w:snapToGrid/>
          <w:color w:val="000000"/>
          <w:kern w:val="2"/>
          <w:sz w:val="21"/>
          <w:szCs w:val="21"/>
          <w:highlight w:val="none"/>
          <w:lang w:eastAsia="zh-CN"/>
        </w:rPr>
        <w:t>条</w:t>
      </w:r>
      <w:r>
        <w:rPr>
          <w:rFonts w:hint="eastAsia" w:ascii="微软雅黑" w:hAnsi="微软雅黑" w:eastAsia="微软雅黑" w:cs="Times New Roman"/>
          <w:b/>
          <w:bCs/>
          <w:snapToGrid/>
          <w:color w:val="000000"/>
          <w:kern w:val="2"/>
          <w:sz w:val="21"/>
          <w:szCs w:val="21"/>
          <w:highlight w:val="none"/>
          <w:lang w:eastAsia="zh-CN"/>
        </w:rPr>
        <w:t xml:space="preserve"> </w:t>
      </w:r>
      <w:r>
        <w:rPr>
          <w:rFonts w:ascii="微软雅黑" w:hAnsi="微软雅黑" w:eastAsia="微软雅黑" w:cs="Times New Roman"/>
          <w:b/>
          <w:bCs/>
          <w:snapToGrid/>
          <w:color w:val="000000"/>
          <w:kern w:val="2"/>
          <w:sz w:val="21"/>
          <w:szCs w:val="21"/>
          <w:highlight w:val="none"/>
          <w:lang w:eastAsia="zh-CN"/>
        </w:rPr>
        <w:t>质量保证及售后服务</w:t>
      </w:r>
    </w:p>
    <w:p w14:paraId="51031A7C">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 乙方应按采购文件规定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52DCE315">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（1）更换：</w:t>
      </w:r>
      <w:r>
        <w:rPr>
          <w:rFonts w:hint="eastAsia" w:ascii="微软雅黑" w:hAnsi="微软雅黑" w:eastAsia="微软雅黑" w:cs="Arial"/>
          <w:snapToGrid/>
          <w:color w:val="000000"/>
          <w:kern w:val="1"/>
          <w:sz w:val="21"/>
          <w:szCs w:val="21"/>
          <w:highlight w:val="none"/>
          <w:lang w:eastAsia="zh-CN"/>
        </w:rPr>
        <w:t>产品出现质量问题、</w:t>
      </w:r>
      <w:r>
        <w:rPr>
          <w:rFonts w:ascii="微软雅黑" w:hAnsi="微软雅黑" w:eastAsia="微软雅黑" w:cs="Arial"/>
          <w:snapToGrid/>
          <w:color w:val="000000"/>
          <w:kern w:val="1"/>
          <w:sz w:val="21"/>
          <w:szCs w:val="21"/>
          <w:highlight w:val="none"/>
          <w:lang w:eastAsia="zh-CN"/>
        </w:rPr>
        <w:t>经乙方</w:t>
      </w:r>
      <w:r>
        <w:rPr>
          <w:rFonts w:hint="eastAsia" w:ascii="微软雅黑" w:hAnsi="微软雅黑" w:eastAsia="微软雅黑" w:cs="Arial"/>
          <w:snapToGrid/>
          <w:color w:val="000000"/>
          <w:kern w:val="1"/>
          <w:sz w:val="21"/>
          <w:szCs w:val="21"/>
          <w:highlight w:val="none"/>
          <w:u w:val="none"/>
          <w:lang w:eastAsia="zh-CN"/>
        </w:rPr>
        <w:t>1</w:t>
      </w:r>
      <w:r>
        <w:rPr>
          <w:rFonts w:ascii="微软雅黑" w:hAnsi="微软雅黑" w:eastAsia="微软雅黑" w:cs="Arial"/>
          <w:snapToGrid/>
          <w:color w:val="000000"/>
          <w:kern w:val="1"/>
          <w:sz w:val="21"/>
          <w:szCs w:val="21"/>
          <w:highlight w:val="none"/>
          <w:lang w:eastAsia="zh-CN"/>
        </w:rPr>
        <w:t>次维修仍不能达到合同约定的质量标准</w:t>
      </w:r>
      <w:r>
        <w:rPr>
          <w:rFonts w:hint="eastAsia" w:ascii="微软雅黑" w:hAnsi="微软雅黑" w:eastAsia="微软雅黑" w:cs="Arial"/>
          <w:snapToGrid/>
          <w:color w:val="000000"/>
          <w:kern w:val="1"/>
          <w:sz w:val="21"/>
          <w:szCs w:val="21"/>
          <w:highlight w:val="none"/>
          <w:lang w:eastAsia="zh-CN"/>
        </w:rPr>
        <w:t>的，</w:t>
      </w:r>
      <w:r>
        <w:rPr>
          <w:rFonts w:ascii="微软雅黑" w:hAnsi="微软雅黑" w:eastAsia="微软雅黑" w:cs="Arial"/>
          <w:snapToGrid/>
          <w:color w:val="000000"/>
          <w:kern w:val="1"/>
          <w:sz w:val="21"/>
          <w:szCs w:val="21"/>
          <w:highlight w:val="none"/>
          <w:lang w:eastAsia="zh-CN"/>
        </w:rPr>
        <w:t>甲方有权</w:t>
      </w:r>
      <w:r>
        <w:rPr>
          <w:rFonts w:hint="eastAsia" w:ascii="微软雅黑" w:hAnsi="微软雅黑" w:eastAsia="微软雅黑" w:cs="Arial"/>
          <w:snapToGrid/>
          <w:color w:val="000000"/>
          <w:kern w:val="1"/>
          <w:sz w:val="21"/>
          <w:szCs w:val="21"/>
          <w:highlight w:val="none"/>
          <w:lang w:eastAsia="zh-CN"/>
        </w:rPr>
        <w:t>更换，并</w:t>
      </w:r>
      <w:r>
        <w:rPr>
          <w:rFonts w:ascii="微软雅黑" w:hAnsi="微软雅黑" w:eastAsia="微软雅黑" w:cs="Arial"/>
          <w:snapToGrid/>
          <w:color w:val="000000"/>
          <w:kern w:val="1"/>
          <w:sz w:val="21"/>
          <w:szCs w:val="21"/>
          <w:highlight w:val="none"/>
          <w:lang w:eastAsia="zh-CN"/>
        </w:rPr>
        <w:t>由乙方承担所发生的全部费用。</w:t>
      </w:r>
    </w:p>
    <w:p w14:paraId="11CCDE6F">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（2）贬值处理：</w:t>
      </w:r>
      <w:r>
        <w:rPr>
          <w:rFonts w:hint="eastAsia" w:ascii="微软雅黑" w:hAnsi="微软雅黑" w:eastAsia="微软雅黑" w:cs="Arial"/>
          <w:snapToGrid/>
          <w:color w:val="000000"/>
          <w:kern w:val="1"/>
          <w:sz w:val="21"/>
          <w:szCs w:val="21"/>
          <w:highlight w:val="none"/>
          <w:lang w:eastAsia="zh-Hans"/>
        </w:rPr>
        <w:t>因乙方</w:t>
      </w:r>
      <w:r>
        <w:rPr>
          <w:rFonts w:hint="eastAsia" w:ascii="微软雅黑" w:hAnsi="微软雅黑" w:eastAsia="微软雅黑" w:cs="Arial"/>
          <w:snapToGrid/>
          <w:color w:val="000000"/>
          <w:kern w:val="1"/>
          <w:sz w:val="21"/>
          <w:szCs w:val="21"/>
          <w:highlight w:val="none"/>
          <w:lang w:eastAsia="zh-CN"/>
        </w:rPr>
        <w:t>产品出现质量问题</w:t>
      </w:r>
      <w:r>
        <w:rPr>
          <w:rFonts w:hint="eastAsia" w:ascii="微软雅黑" w:hAnsi="微软雅黑" w:eastAsia="微软雅黑" w:cs="Arial"/>
          <w:snapToGrid/>
          <w:color w:val="000000"/>
          <w:kern w:val="1"/>
          <w:sz w:val="21"/>
          <w:szCs w:val="21"/>
          <w:highlight w:val="none"/>
          <w:lang w:eastAsia="zh-Hans"/>
        </w:rPr>
        <w:t>造成退换货产生的贬值由乙方自行承担</w:t>
      </w:r>
      <w:r>
        <w:rPr>
          <w:rFonts w:ascii="微软雅黑" w:hAnsi="微软雅黑" w:eastAsia="微软雅黑" w:cs="Arial"/>
          <w:snapToGrid/>
          <w:color w:val="000000"/>
          <w:kern w:val="1"/>
          <w:sz w:val="21"/>
          <w:szCs w:val="21"/>
          <w:highlight w:val="none"/>
          <w:lang w:eastAsia="zh-CN"/>
        </w:rPr>
        <w:t>。</w:t>
      </w:r>
    </w:p>
    <w:p w14:paraId="450FB483">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（3）退货处理：</w:t>
      </w:r>
      <w:r>
        <w:rPr>
          <w:rFonts w:hint="eastAsia" w:ascii="微软雅黑" w:hAnsi="微软雅黑" w:eastAsia="微软雅黑" w:cs="Arial"/>
          <w:snapToGrid/>
          <w:color w:val="000000"/>
          <w:kern w:val="1"/>
          <w:sz w:val="21"/>
          <w:szCs w:val="21"/>
          <w:highlight w:val="none"/>
          <w:lang w:eastAsia="zh-CN"/>
        </w:rPr>
        <w:t>产品出现严重质量问题（如主部件损坏、反应迟钝、无法满足需求、更换一次后仍出现质量问题）的，</w:t>
      </w:r>
      <w:r>
        <w:rPr>
          <w:rFonts w:ascii="微软雅黑" w:hAnsi="微软雅黑" w:eastAsia="微软雅黑" w:cs="Arial"/>
          <w:snapToGrid/>
          <w:color w:val="000000"/>
          <w:kern w:val="1"/>
          <w:sz w:val="21"/>
          <w:szCs w:val="21"/>
          <w:highlight w:val="none"/>
          <w:lang w:eastAsia="zh-CN"/>
        </w:rPr>
        <w:t>甲方有权退货</w:t>
      </w:r>
      <w:r>
        <w:rPr>
          <w:rFonts w:hint="eastAsia" w:ascii="微软雅黑" w:hAnsi="微软雅黑" w:eastAsia="微软雅黑" w:cs="Arial"/>
          <w:snapToGrid/>
          <w:color w:val="000000"/>
          <w:kern w:val="1"/>
          <w:sz w:val="21"/>
          <w:szCs w:val="21"/>
          <w:highlight w:val="none"/>
          <w:lang w:eastAsia="zh-CN"/>
        </w:rPr>
        <w:t>，</w:t>
      </w:r>
      <w:r>
        <w:rPr>
          <w:rFonts w:ascii="微软雅黑" w:hAnsi="微软雅黑" w:eastAsia="微软雅黑" w:cs="Arial"/>
          <w:snapToGrid/>
          <w:color w:val="000000"/>
          <w:kern w:val="1"/>
          <w:sz w:val="21"/>
          <w:szCs w:val="21"/>
          <w:highlight w:val="none"/>
          <w:lang w:eastAsia="zh-CN"/>
        </w:rPr>
        <w:t>乙方应退还甲方支付的合同款，同时承担</w:t>
      </w:r>
      <w:r>
        <w:rPr>
          <w:rFonts w:hint="eastAsia" w:ascii="微软雅黑" w:hAnsi="微软雅黑" w:eastAsia="微软雅黑" w:cs="Arial"/>
          <w:snapToGrid/>
          <w:color w:val="000000"/>
          <w:kern w:val="1"/>
          <w:sz w:val="21"/>
          <w:szCs w:val="21"/>
          <w:highlight w:val="none"/>
          <w:lang w:eastAsia="zh-CN"/>
        </w:rPr>
        <w:t>退</w:t>
      </w:r>
      <w:r>
        <w:rPr>
          <w:rFonts w:ascii="微软雅黑" w:hAnsi="微软雅黑" w:eastAsia="微软雅黑" w:cs="Arial"/>
          <w:snapToGrid/>
          <w:color w:val="000000"/>
          <w:kern w:val="1"/>
          <w:sz w:val="21"/>
          <w:szCs w:val="21"/>
          <w:highlight w:val="none"/>
          <w:lang w:eastAsia="zh-CN"/>
        </w:rPr>
        <w:t>货</w:t>
      </w:r>
      <w:r>
        <w:rPr>
          <w:rFonts w:hint="eastAsia" w:ascii="微软雅黑" w:hAnsi="微软雅黑" w:eastAsia="微软雅黑" w:cs="Arial"/>
          <w:snapToGrid/>
          <w:color w:val="000000"/>
          <w:kern w:val="1"/>
          <w:sz w:val="21"/>
          <w:szCs w:val="21"/>
          <w:highlight w:val="none"/>
          <w:lang w:eastAsia="zh-CN"/>
        </w:rPr>
        <w:t>所发生的</w:t>
      </w:r>
      <w:r>
        <w:rPr>
          <w:rFonts w:ascii="微软雅黑" w:hAnsi="微软雅黑" w:eastAsia="微软雅黑" w:cs="Arial"/>
          <w:snapToGrid/>
          <w:color w:val="000000"/>
          <w:kern w:val="1"/>
          <w:sz w:val="21"/>
          <w:szCs w:val="21"/>
          <w:highlight w:val="none"/>
          <w:lang w:eastAsia="zh-CN"/>
        </w:rPr>
        <w:t>所有费用（运输、保险、检验、货款利息及银行手续费等）</w:t>
      </w:r>
      <w:r>
        <w:rPr>
          <w:rFonts w:hint="eastAsia" w:ascii="微软雅黑" w:hAnsi="微软雅黑" w:eastAsia="微软雅黑" w:cs="Arial"/>
          <w:snapToGrid/>
          <w:color w:val="000000"/>
          <w:kern w:val="1"/>
          <w:sz w:val="21"/>
          <w:szCs w:val="21"/>
          <w:highlight w:val="none"/>
          <w:lang w:eastAsia="zh-CN"/>
        </w:rPr>
        <w:t>，</w:t>
      </w:r>
      <w:r>
        <w:rPr>
          <w:rFonts w:ascii="微软雅黑" w:hAnsi="微软雅黑" w:eastAsia="微软雅黑" w:cs="Arial"/>
          <w:snapToGrid/>
          <w:color w:val="000000"/>
          <w:kern w:val="1"/>
          <w:sz w:val="21"/>
          <w:szCs w:val="21"/>
          <w:highlight w:val="none"/>
          <w:lang w:eastAsia="zh-CN"/>
        </w:rPr>
        <w:t>并视作乙方不能交付货物而须支付违约赔偿金给甲方，甲方还可依法追究乙方的违约责任</w:t>
      </w:r>
      <w:r>
        <w:rPr>
          <w:rFonts w:hint="eastAsia" w:ascii="微软雅黑" w:hAnsi="微软雅黑" w:eastAsia="微软雅黑" w:cs="Arial"/>
          <w:snapToGrid/>
          <w:color w:val="000000"/>
          <w:kern w:val="1"/>
          <w:sz w:val="21"/>
          <w:szCs w:val="21"/>
          <w:highlight w:val="none"/>
          <w:lang w:eastAsia="zh-CN"/>
        </w:rPr>
        <w:t>，且甲方有权终止合同，由此造成的损失由乙方负责</w:t>
      </w:r>
      <w:r>
        <w:rPr>
          <w:rFonts w:ascii="微软雅黑" w:hAnsi="微软雅黑" w:eastAsia="微软雅黑" w:cs="Arial"/>
          <w:snapToGrid/>
          <w:color w:val="000000"/>
          <w:kern w:val="1"/>
          <w:sz w:val="21"/>
          <w:szCs w:val="21"/>
          <w:highlight w:val="none"/>
          <w:lang w:eastAsia="zh-CN"/>
        </w:rPr>
        <w:t>。</w:t>
      </w:r>
    </w:p>
    <w:p w14:paraId="19437964">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2. 如在使用过程中</w:t>
      </w:r>
      <w:r>
        <w:rPr>
          <w:rFonts w:hint="eastAsia" w:ascii="微软雅黑" w:hAnsi="微软雅黑" w:eastAsia="微软雅黑" w:cs="Arial"/>
          <w:snapToGrid/>
          <w:color w:val="000000"/>
          <w:kern w:val="2"/>
          <w:sz w:val="21"/>
          <w:szCs w:val="21"/>
          <w:highlight w:val="none"/>
          <w:lang w:eastAsia="zh-CN"/>
        </w:rPr>
        <w:t>出现故障</w:t>
      </w:r>
      <w:r>
        <w:rPr>
          <w:rFonts w:ascii="微软雅黑" w:hAnsi="微软雅黑" w:eastAsia="微软雅黑" w:cs="Arial"/>
          <w:snapToGrid/>
          <w:color w:val="000000"/>
          <w:kern w:val="2"/>
          <w:sz w:val="21"/>
          <w:szCs w:val="21"/>
          <w:highlight w:val="none"/>
          <w:lang w:eastAsia="zh-CN"/>
        </w:rPr>
        <w:t>，乙方</w:t>
      </w:r>
      <w:r>
        <w:rPr>
          <w:rFonts w:hint="eastAsia" w:ascii="微软雅黑" w:hAnsi="微软雅黑" w:eastAsia="微软雅黑" w:cs="Arial"/>
          <w:snapToGrid/>
          <w:color w:val="000000"/>
          <w:kern w:val="2"/>
          <w:sz w:val="21"/>
          <w:szCs w:val="21"/>
          <w:highlight w:val="none"/>
          <w:lang w:eastAsia="zh-CN"/>
        </w:rPr>
        <w:t>应</w:t>
      </w:r>
      <w:r>
        <w:rPr>
          <w:rFonts w:ascii="微软雅黑" w:hAnsi="微软雅黑" w:eastAsia="微软雅黑" w:cs="Arial"/>
          <w:snapToGrid/>
          <w:color w:val="000000"/>
          <w:kern w:val="2"/>
          <w:sz w:val="21"/>
          <w:szCs w:val="21"/>
          <w:highlight w:val="none"/>
          <w:lang w:eastAsia="zh-CN"/>
        </w:rPr>
        <w:t>在接到甲方通知后</w:t>
      </w:r>
      <w:r>
        <w:rPr>
          <w:rFonts w:hint="eastAsia" w:ascii="微软雅黑" w:hAnsi="微软雅黑" w:eastAsia="微软雅黑" w:cs="Arial"/>
          <w:snapToGrid/>
          <w:color w:val="0000FF"/>
          <w:kern w:val="2"/>
          <w:sz w:val="21"/>
          <w:szCs w:val="21"/>
          <w:highlight w:val="none"/>
          <w:u w:val="single"/>
          <w:lang w:eastAsia="zh-CN"/>
        </w:rPr>
        <w:t xml:space="preserve">    </w:t>
      </w:r>
      <w:r>
        <w:rPr>
          <w:rFonts w:hint="eastAsia" w:ascii="微软雅黑" w:hAnsi="微软雅黑" w:eastAsia="微软雅黑" w:cs="Arial"/>
          <w:snapToGrid/>
          <w:color w:val="0000FF"/>
          <w:kern w:val="2"/>
          <w:sz w:val="21"/>
          <w:szCs w:val="21"/>
          <w:highlight w:val="none"/>
          <w:lang w:eastAsia="zh-CN"/>
        </w:rPr>
        <w:t>小时内响应，</w:t>
      </w:r>
      <w:r>
        <w:rPr>
          <w:rFonts w:hint="eastAsia" w:ascii="微软雅黑" w:hAnsi="微软雅黑" w:eastAsia="微软雅黑" w:cs="Arial"/>
          <w:snapToGrid/>
          <w:color w:val="0000FF"/>
          <w:kern w:val="2"/>
          <w:sz w:val="21"/>
          <w:szCs w:val="21"/>
          <w:highlight w:val="none"/>
          <w:u w:val="single"/>
          <w:lang w:eastAsia="zh-CN"/>
        </w:rPr>
        <w:t xml:space="preserve">  </w:t>
      </w:r>
      <w:r>
        <w:rPr>
          <w:rFonts w:ascii="微软雅黑" w:hAnsi="微软雅黑" w:eastAsia="微软雅黑" w:cs="Arial"/>
          <w:snapToGrid/>
          <w:color w:val="0000FF"/>
          <w:kern w:val="2"/>
          <w:sz w:val="21"/>
          <w:szCs w:val="21"/>
          <w:highlight w:val="none"/>
          <w:u w:val="single"/>
          <w:lang w:eastAsia="zh-CN"/>
        </w:rPr>
        <w:t xml:space="preserve"> </w:t>
      </w:r>
      <w:r>
        <w:rPr>
          <w:rFonts w:hint="eastAsia" w:ascii="微软雅黑" w:hAnsi="微软雅黑" w:eastAsia="微软雅黑" w:cs="Arial"/>
          <w:snapToGrid/>
          <w:color w:val="0000FF"/>
          <w:kern w:val="2"/>
          <w:sz w:val="21"/>
          <w:szCs w:val="21"/>
          <w:highlight w:val="none"/>
          <w:u w:val="single"/>
          <w:lang w:eastAsia="zh-CN"/>
        </w:rPr>
        <w:t xml:space="preserve"> </w:t>
      </w:r>
      <w:r>
        <w:rPr>
          <w:rFonts w:hint="eastAsia" w:ascii="微软雅黑" w:hAnsi="微软雅黑" w:eastAsia="微软雅黑" w:cs="Arial"/>
          <w:snapToGrid/>
          <w:color w:val="0000FF"/>
          <w:kern w:val="2"/>
          <w:sz w:val="21"/>
          <w:szCs w:val="21"/>
          <w:highlight w:val="none"/>
          <w:lang w:eastAsia="zh-CN"/>
        </w:rPr>
        <w:t>小时内解决故障，否则须在</w:t>
      </w:r>
      <w:r>
        <w:rPr>
          <w:rFonts w:hint="eastAsia" w:ascii="微软雅黑" w:hAnsi="微软雅黑" w:eastAsia="微软雅黑" w:cs="Arial"/>
          <w:snapToGrid/>
          <w:color w:val="0000FF"/>
          <w:kern w:val="2"/>
          <w:sz w:val="21"/>
          <w:szCs w:val="21"/>
          <w:highlight w:val="none"/>
          <w:u w:val="single"/>
          <w:lang w:eastAsia="zh-CN"/>
        </w:rPr>
        <w:t xml:space="preserve">    </w:t>
      </w:r>
      <w:r>
        <w:rPr>
          <w:rFonts w:hint="eastAsia" w:ascii="微软雅黑" w:hAnsi="微软雅黑" w:eastAsia="微软雅黑" w:cs="Arial"/>
          <w:snapToGrid/>
          <w:color w:val="0000FF"/>
          <w:kern w:val="2"/>
          <w:sz w:val="21"/>
          <w:szCs w:val="21"/>
          <w:highlight w:val="none"/>
          <w:lang w:eastAsia="zh-CN"/>
        </w:rPr>
        <w:t>工作日</w:t>
      </w:r>
      <w:r>
        <w:rPr>
          <w:rFonts w:hint="eastAsia" w:ascii="微软雅黑" w:hAnsi="微软雅黑" w:eastAsia="微软雅黑" w:cs="Arial"/>
          <w:snapToGrid/>
          <w:color w:val="000000"/>
          <w:kern w:val="2"/>
          <w:sz w:val="21"/>
          <w:szCs w:val="21"/>
          <w:highlight w:val="none"/>
          <w:lang w:eastAsia="zh-CN"/>
        </w:rPr>
        <w:t>内提供与原设备技术参数要求相同或高于原设备技术参数要求的备用产品，以保证甲方的正常工作。</w:t>
      </w:r>
      <w:r>
        <w:rPr>
          <w:rFonts w:hint="eastAsia" w:ascii="微软雅黑" w:hAnsi="微软雅黑" w:eastAsia="微软雅黑" w:cs="Arial"/>
          <w:snapToGrid/>
          <w:kern w:val="2"/>
          <w:sz w:val="21"/>
          <w:szCs w:val="21"/>
          <w:highlight w:val="none"/>
          <w:lang w:eastAsia="zh-CN"/>
        </w:rPr>
        <w:t>乙方在接到甲方通知后拒不响应或解决故障的，甲方有权聘请第三方进行维修，由此产生的费用由乙方承担。</w:t>
      </w:r>
    </w:p>
    <w:p w14:paraId="4217D289">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3. 在质保期内，乙方应对货物出现的质量及安全问题负责处理解决并承担一切费用。</w:t>
      </w:r>
      <w:r>
        <w:rPr>
          <w:rFonts w:hint="eastAsia" w:ascii="微软雅黑" w:hAnsi="微软雅黑" w:eastAsia="微软雅黑" w:cs="Arial"/>
          <w:snapToGrid/>
          <w:color w:val="000000"/>
          <w:kern w:val="2"/>
          <w:sz w:val="21"/>
          <w:szCs w:val="21"/>
          <w:highlight w:val="none"/>
          <w:lang w:eastAsia="zh-CN"/>
        </w:rPr>
        <w:t>如有产品质量争议，则按照国家相关法律法规及行业标准</w:t>
      </w:r>
      <w:r>
        <w:rPr>
          <w:rFonts w:hint="eastAsia" w:ascii="微软雅黑" w:hAnsi="微软雅黑" w:eastAsia="微软雅黑" w:cs="Arial"/>
          <w:snapToGrid/>
          <w:color w:val="000000"/>
          <w:kern w:val="2"/>
          <w:sz w:val="21"/>
          <w:szCs w:val="21"/>
          <w:highlight w:val="none"/>
          <w:lang w:eastAsia="zh-Hans"/>
        </w:rPr>
        <w:t>、地方标准等标准、规范解决（上述标准、规范有出入的，以较严格为准）</w:t>
      </w:r>
      <w:r>
        <w:rPr>
          <w:rFonts w:hint="eastAsia" w:ascii="微软雅黑" w:hAnsi="微软雅黑" w:eastAsia="微软雅黑" w:cs="Arial"/>
          <w:snapToGrid/>
          <w:color w:val="000000"/>
          <w:kern w:val="2"/>
          <w:sz w:val="21"/>
          <w:szCs w:val="21"/>
          <w:highlight w:val="none"/>
          <w:lang w:eastAsia="zh-CN"/>
        </w:rPr>
        <w:t>，</w:t>
      </w:r>
      <w:r>
        <w:rPr>
          <w:rFonts w:hint="eastAsia" w:ascii="微软雅黑" w:hAnsi="微软雅黑" w:eastAsia="微软雅黑" w:cs="Arial"/>
          <w:snapToGrid/>
          <w:color w:val="000000"/>
          <w:kern w:val="2"/>
          <w:sz w:val="21"/>
          <w:szCs w:val="21"/>
          <w:highlight w:val="none"/>
          <w:lang w:eastAsia="zh-Hans"/>
        </w:rPr>
        <w:t>如采购文件中明确对货物提出更高的技术要求的，乙方还应当确保符合采购文件提出的技术要求</w:t>
      </w:r>
      <w:r>
        <w:rPr>
          <w:rFonts w:hint="eastAsia" w:ascii="微软雅黑" w:hAnsi="微软雅黑" w:eastAsia="微软雅黑" w:cs="Arial"/>
          <w:snapToGrid/>
          <w:color w:val="000000"/>
          <w:kern w:val="2"/>
          <w:sz w:val="21"/>
          <w:szCs w:val="21"/>
          <w:highlight w:val="none"/>
          <w:lang w:eastAsia="zh-CN"/>
        </w:rPr>
        <w:t>。</w:t>
      </w:r>
    </w:p>
    <w:p w14:paraId="3A0F9908">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4.</w:t>
      </w:r>
      <w:r>
        <w:rPr>
          <w:rFonts w:hint="eastAsia" w:ascii="微软雅黑" w:hAnsi="微软雅黑" w:eastAsia="微软雅黑" w:cs="Arial"/>
          <w:snapToGrid/>
          <w:color w:val="000000"/>
          <w:kern w:val="2"/>
          <w:sz w:val="21"/>
          <w:szCs w:val="21"/>
          <w:highlight w:val="none"/>
          <w:lang w:val="en-US" w:eastAsia="zh-CN"/>
        </w:rPr>
        <w:t xml:space="preserve"> </w:t>
      </w:r>
      <w:r>
        <w:rPr>
          <w:rFonts w:ascii="微软雅黑" w:hAnsi="微软雅黑" w:eastAsia="微软雅黑" w:cs="Arial"/>
          <w:snapToGrid/>
          <w:color w:val="000000"/>
          <w:kern w:val="2"/>
          <w:sz w:val="21"/>
          <w:szCs w:val="21"/>
          <w:highlight w:val="none"/>
          <w:lang w:eastAsia="zh-CN"/>
        </w:rPr>
        <w:t>上述的货物因人为因素出现的故障不在免费保修范围内。超过质保期的机器设备，终生维修，维修时只收</w:t>
      </w:r>
      <w:r>
        <w:rPr>
          <w:rFonts w:hint="eastAsia" w:ascii="微软雅黑" w:hAnsi="微软雅黑" w:eastAsia="微软雅黑" w:cs="Arial"/>
          <w:snapToGrid/>
          <w:color w:val="000000"/>
          <w:kern w:val="2"/>
          <w:sz w:val="21"/>
          <w:szCs w:val="21"/>
          <w:highlight w:val="none"/>
          <w:lang w:eastAsia="zh-CN"/>
        </w:rPr>
        <w:t>取</w:t>
      </w:r>
      <w:r>
        <w:rPr>
          <w:rFonts w:ascii="微软雅黑" w:hAnsi="微软雅黑" w:eastAsia="微软雅黑" w:cs="Arial"/>
          <w:snapToGrid/>
          <w:color w:val="000000"/>
          <w:kern w:val="2"/>
          <w:sz w:val="21"/>
          <w:szCs w:val="21"/>
          <w:highlight w:val="none"/>
          <w:lang w:eastAsia="zh-CN"/>
        </w:rPr>
        <w:t>部件成本费。</w:t>
      </w:r>
    </w:p>
    <w:p w14:paraId="7B721599">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b/>
          <w:snapToGrid/>
          <w:color w:val="000000"/>
          <w:kern w:val="2"/>
          <w:sz w:val="21"/>
          <w:szCs w:val="21"/>
          <w:highlight w:val="none"/>
          <w:lang w:eastAsia="zh-CN"/>
        </w:rPr>
        <w:t>第十</w:t>
      </w:r>
      <w:r>
        <w:rPr>
          <w:rFonts w:hint="eastAsia" w:ascii="微软雅黑" w:hAnsi="微软雅黑" w:eastAsia="微软雅黑" w:cs="Arial"/>
          <w:b/>
          <w:snapToGrid/>
          <w:color w:val="000000"/>
          <w:kern w:val="2"/>
          <w:sz w:val="21"/>
          <w:szCs w:val="21"/>
          <w:highlight w:val="none"/>
          <w:lang w:eastAsia="zh-CN"/>
        </w:rPr>
        <w:t>二</w:t>
      </w:r>
      <w:r>
        <w:rPr>
          <w:rFonts w:ascii="微软雅黑" w:hAnsi="微软雅黑" w:eastAsia="微软雅黑" w:cs="Arial"/>
          <w:b/>
          <w:snapToGrid/>
          <w:color w:val="000000"/>
          <w:kern w:val="2"/>
          <w:sz w:val="21"/>
          <w:szCs w:val="21"/>
          <w:highlight w:val="none"/>
          <w:lang w:eastAsia="zh-CN"/>
        </w:rPr>
        <w:t>条</w:t>
      </w:r>
      <w:r>
        <w:rPr>
          <w:rFonts w:hint="eastAsia" w:ascii="微软雅黑" w:hAnsi="微软雅黑" w:eastAsia="微软雅黑" w:cs="Arial"/>
          <w:b/>
          <w:snapToGrid/>
          <w:color w:val="000000"/>
          <w:kern w:val="2"/>
          <w:sz w:val="21"/>
          <w:szCs w:val="21"/>
          <w:highlight w:val="none"/>
          <w:lang w:eastAsia="zh-CN"/>
        </w:rPr>
        <w:t xml:space="preserve"> </w:t>
      </w:r>
      <w:r>
        <w:rPr>
          <w:rFonts w:ascii="微软雅黑" w:hAnsi="微软雅黑" w:eastAsia="微软雅黑" w:cs="Arial"/>
          <w:b/>
          <w:snapToGrid/>
          <w:color w:val="000000"/>
          <w:kern w:val="2"/>
          <w:sz w:val="21"/>
          <w:szCs w:val="21"/>
          <w:highlight w:val="none"/>
          <w:lang w:eastAsia="zh-CN"/>
        </w:rPr>
        <w:t>货物包装、发运及运输</w:t>
      </w:r>
    </w:p>
    <w:p w14:paraId="7AA8EEB3">
      <w:pPr>
        <w:widowControl w:val="0"/>
        <w:kinsoku/>
        <w:wordWrap/>
        <w:topLinePunct w:val="0"/>
        <w:autoSpaceDE/>
        <w:autoSpaceDN/>
        <w:adjustRightInd/>
        <w:snapToGrid w:val="0"/>
        <w:spacing w:before="120" w:after="120" w:line="360" w:lineRule="exact"/>
        <w:ind w:firstLine="420" w:firstLineChars="200"/>
        <w:jc w:val="left"/>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1. 乙方应在货物发运前对其进行满足运输距离、防潮、防震、防锈和防破损装卸等要求包装，以保证货物安全运达甲方指定地点。</w:t>
      </w:r>
    </w:p>
    <w:p w14:paraId="717E15A5">
      <w:pPr>
        <w:widowControl w:val="0"/>
        <w:kinsoku/>
        <w:wordWrap/>
        <w:topLinePunct w:val="0"/>
        <w:autoSpaceDE/>
        <w:autoSpaceDN/>
        <w:adjustRightInd/>
        <w:snapToGrid w:val="0"/>
        <w:spacing w:before="120" w:after="120" w:line="360" w:lineRule="exact"/>
        <w:ind w:firstLine="420" w:firstLineChars="200"/>
        <w:jc w:val="left"/>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2. 使用说明书、质量检验证明书、随配附件和工具以及清单一并附于货物内。</w:t>
      </w:r>
    </w:p>
    <w:p w14:paraId="14455405">
      <w:pPr>
        <w:widowControl w:val="0"/>
        <w:kinsoku/>
        <w:wordWrap/>
        <w:topLinePunct w:val="0"/>
        <w:autoSpaceDE/>
        <w:autoSpaceDN/>
        <w:adjustRightInd/>
        <w:snapToGrid w:val="0"/>
        <w:spacing w:before="120" w:after="120" w:line="360" w:lineRule="exact"/>
        <w:ind w:firstLine="420" w:firstLineChars="200"/>
        <w:jc w:val="left"/>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3. 乙方在货物发运手续办理完毕后二十四小时内或货到甲方四十八小时前通知甲方，以准备接货。</w:t>
      </w:r>
    </w:p>
    <w:p w14:paraId="2312DE2E">
      <w:pPr>
        <w:widowControl w:val="0"/>
        <w:kinsoku/>
        <w:wordWrap/>
        <w:topLinePunct w:val="0"/>
        <w:autoSpaceDE/>
        <w:autoSpaceDN/>
        <w:adjustRightInd/>
        <w:snapToGrid w:val="0"/>
        <w:spacing w:before="120" w:after="120" w:line="360" w:lineRule="exact"/>
        <w:ind w:firstLine="420" w:firstLineChars="200"/>
        <w:jc w:val="left"/>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4. 货物在交付甲方</w:t>
      </w:r>
      <w:r>
        <w:rPr>
          <w:rFonts w:hint="eastAsia" w:ascii="微软雅黑" w:hAnsi="微软雅黑" w:eastAsia="微软雅黑" w:cs="Arial"/>
          <w:snapToGrid/>
          <w:color w:val="000000"/>
          <w:kern w:val="2"/>
          <w:sz w:val="21"/>
          <w:szCs w:val="21"/>
          <w:highlight w:val="none"/>
          <w:lang w:eastAsia="zh-CN"/>
        </w:rPr>
        <w:t>签收</w:t>
      </w:r>
      <w:r>
        <w:rPr>
          <w:rFonts w:ascii="微软雅黑" w:hAnsi="微软雅黑" w:eastAsia="微软雅黑" w:cs="Arial"/>
          <w:snapToGrid/>
          <w:color w:val="000000"/>
          <w:kern w:val="2"/>
          <w:sz w:val="21"/>
          <w:szCs w:val="21"/>
          <w:highlight w:val="none"/>
          <w:lang w:eastAsia="zh-CN"/>
        </w:rPr>
        <w:t>前发生的风险均由乙方负责。</w:t>
      </w:r>
    </w:p>
    <w:p w14:paraId="298A0FFA">
      <w:pPr>
        <w:widowControl w:val="0"/>
        <w:kinsoku/>
        <w:wordWrap/>
        <w:topLinePunct w:val="0"/>
        <w:autoSpaceDE/>
        <w:autoSpaceDN/>
        <w:adjustRightInd/>
        <w:snapToGrid w:val="0"/>
        <w:spacing w:before="120" w:after="120" w:line="360" w:lineRule="exact"/>
        <w:ind w:firstLine="420" w:firstLineChars="200"/>
        <w:jc w:val="left"/>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5. 货物在规定的交付期限内由乙方送达甲方指定的地点。</w:t>
      </w:r>
    </w:p>
    <w:p w14:paraId="5BEA6FC1">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b/>
          <w:snapToGrid/>
          <w:color w:val="000000"/>
          <w:kern w:val="2"/>
          <w:sz w:val="21"/>
          <w:szCs w:val="21"/>
          <w:highlight w:val="none"/>
          <w:lang w:eastAsia="zh-CN"/>
        </w:rPr>
      </w:pPr>
      <w:r>
        <w:rPr>
          <w:rFonts w:ascii="微软雅黑" w:hAnsi="微软雅黑" w:eastAsia="微软雅黑" w:cs="Arial"/>
          <w:b/>
          <w:snapToGrid/>
          <w:color w:val="000000"/>
          <w:kern w:val="2"/>
          <w:sz w:val="21"/>
          <w:szCs w:val="21"/>
          <w:highlight w:val="none"/>
          <w:lang w:eastAsia="zh-CN"/>
        </w:rPr>
        <w:t>第十</w:t>
      </w:r>
      <w:r>
        <w:rPr>
          <w:rFonts w:hint="eastAsia" w:ascii="微软雅黑" w:hAnsi="微软雅黑" w:eastAsia="微软雅黑" w:cs="Arial"/>
          <w:b/>
          <w:snapToGrid/>
          <w:color w:val="000000"/>
          <w:kern w:val="2"/>
          <w:sz w:val="21"/>
          <w:szCs w:val="21"/>
          <w:highlight w:val="none"/>
          <w:lang w:eastAsia="zh-CN"/>
        </w:rPr>
        <w:t>三</w:t>
      </w:r>
      <w:r>
        <w:rPr>
          <w:rFonts w:ascii="微软雅黑" w:hAnsi="微软雅黑" w:eastAsia="微软雅黑" w:cs="Arial"/>
          <w:b/>
          <w:snapToGrid/>
          <w:color w:val="000000"/>
          <w:kern w:val="2"/>
          <w:sz w:val="21"/>
          <w:szCs w:val="21"/>
          <w:highlight w:val="none"/>
          <w:lang w:eastAsia="zh-CN"/>
        </w:rPr>
        <w:t>条</w:t>
      </w:r>
      <w:r>
        <w:rPr>
          <w:rFonts w:hint="eastAsia" w:ascii="微软雅黑" w:hAnsi="微软雅黑" w:eastAsia="微软雅黑" w:cs="Arial"/>
          <w:b/>
          <w:snapToGrid/>
          <w:color w:val="000000"/>
          <w:kern w:val="2"/>
          <w:sz w:val="21"/>
          <w:szCs w:val="21"/>
          <w:highlight w:val="none"/>
          <w:lang w:eastAsia="zh-CN"/>
        </w:rPr>
        <w:t xml:space="preserve"> </w:t>
      </w:r>
      <w:r>
        <w:rPr>
          <w:rFonts w:ascii="微软雅黑" w:hAnsi="微软雅黑" w:eastAsia="微软雅黑" w:cs="Arial"/>
          <w:b/>
          <w:snapToGrid/>
          <w:color w:val="000000"/>
          <w:kern w:val="2"/>
          <w:sz w:val="21"/>
          <w:szCs w:val="21"/>
          <w:highlight w:val="none"/>
          <w:lang w:eastAsia="zh-CN"/>
        </w:rPr>
        <w:t>违约责任</w:t>
      </w:r>
    </w:p>
    <w:p w14:paraId="7C213138">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乙方所提供的货物规格、技术标准、材料</w:t>
      </w:r>
      <w:r>
        <w:rPr>
          <w:rFonts w:hint="eastAsia" w:ascii="微软雅黑" w:hAnsi="微软雅黑" w:eastAsia="微软雅黑" w:cs="Arial"/>
          <w:snapToGrid/>
          <w:color w:val="000000"/>
          <w:kern w:val="1"/>
          <w:sz w:val="21"/>
          <w:szCs w:val="21"/>
          <w:highlight w:val="none"/>
          <w:lang w:eastAsia="zh-CN"/>
        </w:rPr>
        <w:t>、品牌</w:t>
      </w:r>
      <w:r>
        <w:rPr>
          <w:rFonts w:ascii="微软雅黑" w:hAnsi="微软雅黑" w:eastAsia="微软雅黑" w:cs="Arial"/>
          <w:snapToGrid/>
          <w:color w:val="000000"/>
          <w:kern w:val="1"/>
          <w:sz w:val="21"/>
          <w:szCs w:val="21"/>
          <w:highlight w:val="none"/>
          <w:lang w:eastAsia="zh-CN"/>
        </w:rPr>
        <w:t>等</w:t>
      </w:r>
      <w:r>
        <w:rPr>
          <w:rFonts w:hint="eastAsia" w:ascii="微软雅黑" w:hAnsi="微软雅黑" w:eastAsia="微软雅黑" w:cs="Arial"/>
          <w:snapToGrid/>
          <w:color w:val="000000"/>
          <w:kern w:val="1"/>
          <w:sz w:val="21"/>
          <w:szCs w:val="21"/>
          <w:highlight w:val="none"/>
          <w:lang w:eastAsia="zh-CN"/>
        </w:rPr>
        <w:t>不符合采购文件、投标文件、国家质量标准、行业质量标准</w:t>
      </w:r>
      <w:r>
        <w:rPr>
          <w:rFonts w:ascii="微软雅黑" w:hAnsi="微软雅黑" w:eastAsia="微软雅黑" w:cs="Arial"/>
          <w:snapToGrid/>
          <w:color w:val="000000"/>
          <w:kern w:val="1"/>
          <w:sz w:val="21"/>
          <w:szCs w:val="21"/>
          <w:highlight w:val="none"/>
          <w:lang w:eastAsia="zh-CN"/>
        </w:rPr>
        <w:t>的，应</w:t>
      </w:r>
      <w:r>
        <w:rPr>
          <w:rFonts w:hint="eastAsia" w:ascii="微软雅黑" w:hAnsi="微软雅黑" w:eastAsia="微软雅黑" w:cs="Arial"/>
          <w:snapToGrid/>
          <w:color w:val="000000"/>
          <w:kern w:val="1"/>
          <w:sz w:val="21"/>
          <w:szCs w:val="21"/>
          <w:highlight w:val="none"/>
          <w:lang w:eastAsia="zh-CN"/>
        </w:rPr>
        <w:t>在</w:t>
      </w:r>
      <w:r>
        <w:rPr>
          <w:rFonts w:hint="eastAsia" w:ascii="微软雅黑" w:hAnsi="微软雅黑" w:eastAsia="微软雅黑" w:cs="Arial"/>
          <w:snapToGrid/>
          <w:color w:val="000000"/>
          <w:kern w:val="1"/>
          <w:sz w:val="21"/>
          <w:szCs w:val="21"/>
          <w:highlight w:val="none"/>
          <w:u w:val="single"/>
          <w:lang w:val="en-US" w:eastAsia="zh-CN"/>
        </w:rPr>
        <w:t xml:space="preserve"> </w:t>
      </w:r>
      <w:r>
        <w:rPr>
          <w:rFonts w:hint="eastAsia" w:ascii="微软雅黑" w:hAnsi="微软雅黑" w:eastAsia="微软雅黑" w:cs="Arial"/>
          <w:snapToGrid/>
          <w:color w:val="0000FF"/>
          <w:kern w:val="2"/>
          <w:sz w:val="21"/>
          <w:szCs w:val="21"/>
          <w:highlight w:val="none"/>
          <w:u w:val="single"/>
          <w:lang w:eastAsia="zh-CN"/>
        </w:rPr>
        <w:t xml:space="preserve">15 </w:t>
      </w:r>
      <w:r>
        <w:rPr>
          <w:rFonts w:hint="eastAsia" w:ascii="微软雅黑" w:hAnsi="微软雅黑" w:eastAsia="微软雅黑" w:cs="Arial"/>
          <w:snapToGrid/>
          <w:color w:val="000000"/>
          <w:kern w:val="1"/>
          <w:sz w:val="21"/>
          <w:szCs w:val="21"/>
          <w:highlight w:val="none"/>
          <w:lang w:eastAsia="zh-CN"/>
        </w:rPr>
        <w:t>个工作日内更换，换货期间计入乙方交货时间，如因换货导致逾期交货的，乙方应承担相应违约责任。乙方拒绝更换或更换货物后仍不符合本合同约定</w:t>
      </w:r>
      <w:r>
        <w:rPr>
          <w:rFonts w:hint="eastAsia" w:ascii="微软雅黑" w:hAnsi="微软雅黑" w:eastAsia="微软雅黑" w:cs="Arial"/>
          <w:snapToGrid/>
          <w:color w:val="000000"/>
          <w:kern w:val="1"/>
          <w:sz w:val="21"/>
          <w:szCs w:val="21"/>
          <w:highlight w:val="none"/>
          <w:lang w:val="en-US" w:eastAsia="zh-CN"/>
        </w:rPr>
        <w:t>或验收不合格</w:t>
      </w:r>
      <w:r>
        <w:rPr>
          <w:rFonts w:hint="eastAsia" w:ascii="微软雅黑" w:hAnsi="微软雅黑" w:eastAsia="微软雅黑" w:cs="Arial"/>
          <w:snapToGrid/>
          <w:color w:val="000000"/>
          <w:kern w:val="1"/>
          <w:sz w:val="21"/>
          <w:szCs w:val="21"/>
          <w:highlight w:val="none"/>
          <w:lang w:eastAsia="zh-CN"/>
        </w:rPr>
        <w:t>的，该货物的价款不计入结算金额（或从合同合计金额中扣除），且乙方应按合同合计金额的</w:t>
      </w:r>
      <w:r>
        <w:rPr>
          <w:rFonts w:ascii="微软雅黑" w:hAnsi="微软雅黑" w:eastAsia="微软雅黑" w:cs="Arial"/>
          <w:snapToGrid/>
          <w:color w:val="000000"/>
          <w:kern w:val="1"/>
          <w:sz w:val="21"/>
          <w:szCs w:val="21"/>
          <w:highlight w:val="none"/>
          <w:u w:val="none"/>
          <w:lang w:eastAsia="zh-CN"/>
        </w:rPr>
        <w:t>30</w:t>
      </w:r>
      <w:r>
        <w:rPr>
          <w:rFonts w:hint="eastAsia" w:ascii="微软雅黑" w:hAnsi="微软雅黑" w:eastAsia="微软雅黑" w:cs="Arial"/>
          <w:snapToGrid/>
          <w:color w:val="000000"/>
          <w:kern w:val="1"/>
          <w:sz w:val="21"/>
          <w:szCs w:val="21"/>
          <w:highlight w:val="none"/>
          <w:u w:val="none"/>
          <w:lang w:eastAsia="zh-CN"/>
        </w:rPr>
        <w:t>%</w:t>
      </w:r>
      <w:r>
        <w:rPr>
          <w:rFonts w:hint="eastAsia" w:ascii="微软雅黑" w:hAnsi="微软雅黑" w:eastAsia="微软雅黑" w:cs="Arial"/>
          <w:snapToGrid/>
          <w:color w:val="000000"/>
          <w:kern w:val="1"/>
          <w:sz w:val="21"/>
          <w:szCs w:val="21"/>
          <w:highlight w:val="none"/>
          <w:lang w:eastAsia="zh-CN"/>
        </w:rPr>
        <w:t>向甲方支付违约金；乙方所提供的货物仅存在不影响使用的质量瑕疵且特殊情况下甲方同意接收的</w:t>
      </w:r>
      <w:r>
        <w:rPr>
          <w:rFonts w:ascii="微软雅黑" w:hAnsi="微软雅黑" w:eastAsia="微软雅黑" w:cs="Arial"/>
          <w:snapToGrid/>
          <w:color w:val="000000"/>
          <w:kern w:val="1"/>
          <w:sz w:val="21"/>
          <w:szCs w:val="21"/>
          <w:highlight w:val="none"/>
          <w:lang w:eastAsia="zh-CN"/>
        </w:rPr>
        <w:t>，乙方应向甲方支付违约货款额</w:t>
      </w:r>
      <w:r>
        <w:rPr>
          <w:rFonts w:ascii="微软雅黑" w:hAnsi="微软雅黑" w:eastAsia="微软雅黑" w:cs="Arial"/>
          <w:snapToGrid/>
          <w:color w:val="000000"/>
          <w:kern w:val="1"/>
          <w:sz w:val="21"/>
          <w:szCs w:val="21"/>
          <w:highlight w:val="none"/>
          <w:u w:val="none"/>
          <w:lang w:eastAsia="zh-CN"/>
        </w:rPr>
        <w:t>5%</w:t>
      </w:r>
      <w:r>
        <w:rPr>
          <w:rFonts w:hint="eastAsia" w:ascii="微软雅黑" w:hAnsi="微软雅黑" w:eastAsia="微软雅黑" w:cs="Arial"/>
          <w:snapToGrid/>
          <w:color w:val="000000"/>
          <w:kern w:val="1"/>
          <w:sz w:val="21"/>
          <w:szCs w:val="21"/>
          <w:highlight w:val="none"/>
          <w:lang w:eastAsia="zh-CN"/>
        </w:rPr>
        <w:t>的</w:t>
      </w:r>
      <w:r>
        <w:rPr>
          <w:rFonts w:ascii="微软雅黑" w:hAnsi="微软雅黑" w:eastAsia="微软雅黑" w:cs="Arial"/>
          <w:snapToGrid/>
          <w:color w:val="000000"/>
          <w:kern w:val="1"/>
          <w:sz w:val="21"/>
          <w:szCs w:val="21"/>
          <w:highlight w:val="none"/>
          <w:lang w:eastAsia="zh-CN"/>
        </w:rPr>
        <w:t>违约金。</w:t>
      </w:r>
    </w:p>
    <w:p w14:paraId="7094E106">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2.</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乙方提供的货物如侵犯了第三方合法权益</w:t>
      </w:r>
      <w:r>
        <w:rPr>
          <w:rFonts w:hint="eastAsia" w:ascii="微软雅黑" w:hAnsi="微软雅黑" w:eastAsia="微软雅黑" w:cs="Arial"/>
          <w:snapToGrid/>
          <w:color w:val="000000"/>
          <w:kern w:val="1"/>
          <w:sz w:val="21"/>
          <w:szCs w:val="21"/>
          <w:highlight w:val="none"/>
          <w:lang w:eastAsia="zh-CN"/>
        </w:rPr>
        <w:t>（包括但不限于知识产权、所有权、用益物权、担保物权等）</w:t>
      </w:r>
      <w:r>
        <w:rPr>
          <w:rFonts w:ascii="微软雅黑" w:hAnsi="微软雅黑" w:eastAsia="微软雅黑" w:cs="Arial"/>
          <w:snapToGrid/>
          <w:color w:val="000000"/>
          <w:kern w:val="1"/>
          <w:sz w:val="21"/>
          <w:szCs w:val="21"/>
          <w:highlight w:val="none"/>
          <w:lang w:eastAsia="zh-CN"/>
        </w:rPr>
        <w:t>而引发的任何纠纷或诉讼，均由乙方负责交涉并承担全部责任。</w:t>
      </w:r>
      <w:r>
        <w:rPr>
          <w:rFonts w:hint="eastAsia" w:ascii="微软雅黑" w:hAnsi="微软雅黑" w:eastAsia="微软雅黑" w:cs="Arial"/>
          <w:snapToGrid/>
          <w:color w:val="000000"/>
          <w:kern w:val="1"/>
          <w:sz w:val="21"/>
          <w:szCs w:val="21"/>
          <w:highlight w:val="none"/>
          <w:lang w:eastAsia="zh-CN"/>
        </w:rPr>
        <w:t>在处理纠纷或诉讼的过程中，乙方应为甲方取得继续使用该货物的权利，或者将该货物替换或修改，以便使用该货物不再侵权。如果乙方不能合理地完成这些补救措施，并且甲方必须停止使用侵权的货物，甲方有权解除合同，要求乙方需退还甲方已付价款，没收履约保证金，并有权要求乙方按合同合计金额的</w:t>
      </w:r>
      <w:r>
        <w:rPr>
          <w:rFonts w:ascii="微软雅黑" w:hAnsi="微软雅黑" w:eastAsia="微软雅黑" w:cs="Arial"/>
          <w:snapToGrid/>
          <w:color w:val="000000"/>
          <w:kern w:val="1"/>
          <w:sz w:val="21"/>
          <w:szCs w:val="21"/>
          <w:highlight w:val="none"/>
          <w:u w:val="none"/>
          <w:lang w:eastAsia="zh-CN"/>
        </w:rPr>
        <w:t>30</w:t>
      </w:r>
      <w:r>
        <w:rPr>
          <w:rFonts w:hint="eastAsia" w:ascii="微软雅黑" w:hAnsi="微软雅黑" w:eastAsia="微软雅黑" w:cs="Arial"/>
          <w:snapToGrid/>
          <w:color w:val="000000"/>
          <w:kern w:val="1"/>
          <w:sz w:val="21"/>
          <w:szCs w:val="21"/>
          <w:highlight w:val="none"/>
          <w:u w:val="none"/>
          <w:lang w:eastAsia="zh-CN"/>
        </w:rPr>
        <w:t>%</w:t>
      </w:r>
      <w:r>
        <w:rPr>
          <w:rFonts w:hint="eastAsia" w:ascii="微软雅黑" w:hAnsi="微软雅黑" w:eastAsia="微软雅黑" w:cs="Arial"/>
          <w:snapToGrid/>
          <w:color w:val="000000"/>
          <w:kern w:val="1"/>
          <w:sz w:val="21"/>
          <w:szCs w:val="21"/>
          <w:highlight w:val="none"/>
          <w:lang w:eastAsia="zh-CN"/>
        </w:rPr>
        <w:t>支付违约金。</w:t>
      </w:r>
    </w:p>
    <w:p w14:paraId="30A3340B">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3.</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因包装、运输引起的货物损坏，</w:t>
      </w:r>
      <w:r>
        <w:rPr>
          <w:rFonts w:hint="eastAsia" w:ascii="微软雅黑" w:hAnsi="微软雅黑" w:eastAsia="微软雅黑" w:cs="Arial"/>
          <w:snapToGrid/>
          <w:color w:val="000000"/>
          <w:kern w:val="1"/>
          <w:sz w:val="21"/>
          <w:szCs w:val="21"/>
          <w:highlight w:val="none"/>
          <w:lang w:eastAsia="zh-Hans"/>
        </w:rPr>
        <w:t>甲方有权选择不予接收或</w:t>
      </w:r>
      <w:r>
        <w:rPr>
          <w:rFonts w:ascii="微软雅黑" w:hAnsi="微软雅黑" w:eastAsia="微软雅黑" w:cs="Arial"/>
          <w:snapToGrid/>
          <w:color w:val="000000"/>
          <w:kern w:val="1"/>
          <w:sz w:val="21"/>
          <w:szCs w:val="21"/>
          <w:highlight w:val="none"/>
          <w:lang w:eastAsia="zh-CN"/>
        </w:rPr>
        <w:t>按质量不合格</w:t>
      </w:r>
      <w:r>
        <w:rPr>
          <w:rFonts w:hint="eastAsia" w:ascii="微软雅黑" w:hAnsi="微软雅黑" w:eastAsia="微软雅黑" w:cs="Arial"/>
          <w:snapToGrid/>
          <w:color w:val="000000"/>
          <w:kern w:val="1"/>
          <w:sz w:val="21"/>
          <w:szCs w:val="21"/>
          <w:highlight w:val="none"/>
          <w:lang w:eastAsia="zh-CN"/>
        </w:rPr>
        <w:t>要求乙方承担相应违约责任</w:t>
      </w:r>
      <w:r>
        <w:rPr>
          <w:rFonts w:ascii="微软雅黑" w:hAnsi="微软雅黑" w:eastAsia="微软雅黑" w:cs="Arial"/>
          <w:snapToGrid/>
          <w:color w:val="000000"/>
          <w:kern w:val="1"/>
          <w:sz w:val="21"/>
          <w:szCs w:val="21"/>
          <w:highlight w:val="none"/>
          <w:lang w:eastAsia="zh-CN"/>
        </w:rPr>
        <w:t>。</w:t>
      </w:r>
    </w:p>
    <w:p w14:paraId="213E16C3">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4.</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甲方无故延期接收货物</w:t>
      </w:r>
      <w:r>
        <w:rPr>
          <w:rFonts w:hint="eastAsia" w:ascii="微软雅黑" w:hAnsi="微软雅黑" w:eastAsia="微软雅黑" w:cs="Arial"/>
          <w:snapToGrid/>
          <w:color w:val="000000"/>
          <w:kern w:val="1"/>
          <w:sz w:val="21"/>
          <w:szCs w:val="21"/>
          <w:highlight w:val="none"/>
          <w:lang w:eastAsia="zh-CN"/>
        </w:rPr>
        <w:t>的</w:t>
      </w:r>
      <w:r>
        <w:rPr>
          <w:rFonts w:hint="eastAsia" w:ascii="微软雅黑" w:hAnsi="微软雅黑" w:eastAsia="微软雅黑" w:cs="Arial"/>
          <w:snapToGrid/>
          <w:kern w:val="2"/>
          <w:sz w:val="21"/>
          <w:highlight w:val="none"/>
          <w:lang w:eastAsia="zh-CN"/>
        </w:rPr>
        <w:t>，</w:t>
      </w:r>
      <w:r>
        <w:rPr>
          <w:rFonts w:ascii="微软雅黑" w:hAnsi="微软雅黑" w:eastAsia="微软雅黑" w:cs="Arial"/>
          <w:snapToGrid/>
          <w:kern w:val="2"/>
          <w:sz w:val="21"/>
          <w:highlight w:val="none"/>
          <w:lang w:eastAsia="zh-CN"/>
        </w:rPr>
        <w:t>需补偿乙方</w:t>
      </w:r>
      <w:r>
        <w:rPr>
          <w:rFonts w:hint="eastAsia" w:ascii="微软雅黑" w:hAnsi="微软雅黑" w:eastAsia="微软雅黑" w:cs="Arial"/>
          <w:snapToGrid/>
          <w:kern w:val="2"/>
          <w:sz w:val="21"/>
          <w:highlight w:val="none"/>
          <w:lang w:eastAsia="zh-CN"/>
        </w:rPr>
        <w:t>因</w:t>
      </w:r>
      <w:r>
        <w:rPr>
          <w:rFonts w:ascii="微软雅黑" w:hAnsi="微软雅黑" w:eastAsia="微软雅黑" w:cs="Arial"/>
          <w:snapToGrid/>
          <w:kern w:val="2"/>
          <w:sz w:val="21"/>
          <w:highlight w:val="none"/>
          <w:lang w:eastAsia="zh-CN"/>
        </w:rPr>
        <w:t>此</w:t>
      </w:r>
      <w:r>
        <w:rPr>
          <w:rFonts w:hint="eastAsia" w:ascii="微软雅黑" w:hAnsi="微软雅黑" w:eastAsia="微软雅黑" w:cs="Arial"/>
          <w:snapToGrid/>
          <w:kern w:val="2"/>
          <w:sz w:val="21"/>
          <w:highlight w:val="none"/>
          <w:lang w:eastAsia="zh-CN"/>
        </w:rPr>
        <w:t>增加</w:t>
      </w:r>
      <w:r>
        <w:rPr>
          <w:rFonts w:ascii="微软雅黑" w:hAnsi="微软雅黑" w:eastAsia="微软雅黑" w:cs="Arial"/>
          <w:snapToGrid/>
          <w:kern w:val="2"/>
          <w:sz w:val="21"/>
          <w:highlight w:val="none"/>
          <w:lang w:eastAsia="zh-CN"/>
        </w:rPr>
        <w:t>的直接成本</w:t>
      </w:r>
      <w:r>
        <w:rPr>
          <w:rFonts w:hint="eastAsia" w:ascii="微软雅黑" w:hAnsi="微软雅黑" w:eastAsia="微软雅黑" w:cs="Arial"/>
          <w:snapToGrid/>
          <w:kern w:val="2"/>
          <w:sz w:val="21"/>
          <w:highlight w:val="none"/>
          <w:lang w:eastAsia="zh-CN"/>
        </w:rPr>
        <w:t>。</w:t>
      </w:r>
      <w:r>
        <w:rPr>
          <w:rFonts w:ascii="微软雅黑" w:hAnsi="微软雅黑" w:eastAsia="微软雅黑" w:cs="Arial"/>
          <w:snapToGrid/>
          <w:color w:val="000000"/>
          <w:kern w:val="1"/>
          <w:sz w:val="21"/>
          <w:szCs w:val="21"/>
          <w:highlight w:val="none"/>
          <w:lang w:eastAsia="zh-CN"/>
        </w:rPr>
        <w:t>乙方逾期交货的，每天向</w:t>
      </w:r>
      <w:r>
        <w:rPr>
          <w:rFonts w:hint="eastAsia" w:ascii="微软雅黑" w:hAnsi="微软雅黑" w:eastAsia="微软雅黑" w:cs="Arial"/>
          <w:snapToGrid/>
          <w:color w:val="000000"/>
          <w:kern w:val="1"/>
          <w:sz w:val="21"/>
          <w:szCs w:val="21"/>
          <w:highlight w:val="none"/>
          <w:lang w:eastAsia="zh-CN"/>
        </w:rPr>
        <w:t>甲</w:t>
      </w:r>
      <w:r>
        <w:rPr>
          <w:rFonts w:ascii="微软雅黑" w:hAnsi="微软雅黑" w:eastAsia="微软雅黑" w:cs="Arial"/>
          <w:snapToGrid/>
          <w:color w:val="000000"/>
          <w:kern w:val="1"/>
          <w:sz w:val="21"/>
          <w:szCs w:val="21"/>
          <w:highlight w:val="none"/>
          <w:lang w:eastAsia="zh-CN"/>
        </w:rPr>
        <w:t>方偿付违约货款额</w:t>
      </w:r>
      <w:r>
        <w:rPr>
          <w:rFonts w:hint="eastAsia" w:ascii="微软雅黑" w:hAnsi="微软雅黑" w:eastAsia="微软雅黑" w:cs="Arial"/>
          <w:snapToGrid/>
          <w:color w:val="000000"/>
          <w:kern w:val="1"/>
          <w:sz w:val="21"/>
          <w:szCs w:val="21"/>
          <w:highlight w:val="none"/>
          <w:u w:val="none"/>
          <w:lang w:eastAsia="zh-CN"/>
        </w:rPr>
        <w:t>0.4</w:t>
      </w:r>
      <w:r>
        <w:rPr>
          <w:rFonts w:ascii="微软雅黑" w:hAnsi="微软雅黑" w:eastAsia="微软雅黑" w:cs="Arial"/>
          <w:snapToGrid/>
          <w:color w:val="000000"/>
          <w:kern w:val="1"/>
          <w:sz w:val="21"/>
          <w:szCs w:val="21"/>
          <w:highlight w:val="none"/>
          <w:u w:val="none"/>
          <w:lang w:eastAsia="zh-CN"/>
        </w:rPr>
        <w:t>‰</w:t>
      </w:r>
      <w:r>
        <w:rPr>
          <w:rFonts w:hint="eastAsia" w:ascii="微软雅黑" w:hAnsi="微软雅黑" w:eastAsia="微软雅黑" w:cs="Arial"/>
          <w:snapToGrid/>
          <w:color w:val="000000"/>
          <w:kern w:val="1"/>
          <w:sz w:val="21"/>
          <w:szCs w:val="21"/>
          <w:highlight w:val="none"/>
          <w:lang w:eastAsia="zh-CN"/>
        </w:rPr>
        <w:t>的</w:t>
      </w:r>
      <w:r>
        <w:rPr>
          <w:rFonts w:ascii="微软雅黑" w:hAnsi="微软雅黑" w:eastAsia="微软雅黑" w:cs="Arial"/>
          <w:snapToGrid/>
          <w:color w:val="000000"/>
          <w:kern w:val="1"/>
          <w:sz w:val="21"/>
          <w:szCs w:val="21"/>
          <w:highlight w:val="none"/>
          <w:lang w:eastAsia="zh-CN"/>
        </w:rPr>
        <w:t>违约金，超过</w:t>
      </w:r>
      <w:r>
        <w:rPr>
          <w:rFonts w:ascii="微软雅黑" w:hAnsi="微软雅黑" w:eastAsia="微软雅黑" w:cs="Arial"/>
          <w:snapToGrid/>
          <w:color w:val="000000"/>
          <w:kern w:val="1"/>
          <w:sz w:val="21"/>
          <w:szCs w:val="21"/>
          <w:highlight w:val="none"/>
          <w:u w:val="none"/>
          <w:lang w:eastAsia="zh-CN"/>
        </w:rPr>
        <w:t>30</w:t>
      </w:r>
      <w:r>
        <w:rPr>
          <w:rFonts w:ascii="微软雅黑" w:hAnsi="微软雅黑" w:eastAsia="微软雅黑" w:cs="Arial"/>
          <w:snapToGrid/>
          <w:color w:val="000000"/>
          <w:kern w:val="1"/>
          <w:sz w:val="21"/>
          <w:szCs w:val="21"/>
          <w:highlight w:val="none"/>
          <w:lang w:eastAsia="zh-CN"/>
        </w:rPr>
        <w:t>天</w:t>
      </w:r>
      <w:r>
        <w:rPr>
          <w:rFonts w:hint="eastAsia" w:ascii="微软雅黑" w:hAnsi="微软雅黑" w:eastAsia="微软雅黑" w:cs="Arial"/>
          <w:snapToGrid/>
          <w:color w:val="000000"/>
          <w:kern w:val="1"/>
          <w:sz w:val="21"/>
          <w:szCs w:val="21"/>
          <w:highlight w:val="none"/>
          <w:lang w:eastAsia="zh-CN"/>
        </w:rPr>
        <w:t>甲</w:t>
      </w:r>
      <w:r>
        <w:rPr>
          <w:rFonts w:ascii="微软雅黑" w:hAnsi="微软雅黑" w:eastAsia="微软雅黑" w:cs="Arial"/>
          <w:snapToGrid/>
          <w:color w:val="000000"/>
          <w:kern w:val="1"/>
          <w:sz w:val="21"/>
          <w:szCs w:val="21"/>
          <w:highlight w:val="none"/>
          <w:lang w:eastAsia="zh-CN"/>
        </w:rPr>
        <w:t>方有权解除合同；甲方延期付货款的，每天向乙方偿付延期货款额</w:t>
      </w:r>
      <w:r>
        <w:rPr>
          <w:rFonts w:hint="eastAsia" w:ascii="微软雅黑" w:hAnsi="微软雅黑" w:eastAsia="微软雅黑" w:cs="Arial"/>
          <w:snapToGrid/>
          <w:color w:val="000000"/>
          <w:kern w:val="1"/>
          <w:sz w:val="21"/>
          <w:szCs w:val="21"/>
          <w:highlight w:val="none"/>
          <w:u w:val="none"/>
          <w:lang w:eastAsia="zh-CN"/>
        </w:rPr>
        <w:t>0.1</w:t>
      </w:r>
      <w:r>
        <w:rPr>
          <w:rFonts w:ascii="微软雅黑" w:hAnsi="微软雅黑" w:eastAsia="微软雅黑" w:cs="Arial"/>
          <w:snapToGrid/>
          <w:color w:val="000000"/>
          <w:kern w:val="1"/>
          <w:sz w:val="21"/>
          <w:szCs w:val="21"/>
          <w:highlight w:val="none"/>
          <w:u w:val="none"/>
          <w:lang w:eastAsia="zh-CN"/>
        </w:rPr>
        <w:t>‰</w:t>
      </w:r>
      <w:r>
        <w:rPr>
          <w:rFonts w:hint="eastAsia" w:ascii="微软雅黑" w:hAnsi="微软雅黑" w:eastAsia="微软雅黑" w:cs="Arial"/>
          <w:snapToGrid/>
          <w:color w:val="000000"/>
          <w:kern w:val="1"/>
          <w:sz w:val="21"/>
          <w:szCs w:val="21"/>
          <w:highlight w:val="none"/>
          <w:lang w:val="en-US" w:eastAsia="zh-CN"/>
        </w:rPr>
        <w:t>违约金</w:t>
      </w:r>
      <w:r>
        <w:rPr>
          <w:rFonts w:ascii="微软雅黑" w:hAnsi="微软雅黑" w:eastAsia="微软雅黑" w:cs="Arial"/>
          <w:snapToGrid/>
          <w:color w:val="000000"/>
          <w:kern w:val="1"/>
          <w:sz w:val="21"/>
          <w:szCs w:val="21"/>
          <w:highlight w:val="none"/>
          <w:lang w:eastAsia="zh-CN"/>
        </w:rPr>
        <w:t>，但</w:t>
      </w:r>
      <w:r>
        <w:rPr>
          <w:rFonts w:hint="eastAsia" w:ascii="微软雅黑" w:hAnsi="微软雅黑" w:eastAsia="微软雅黑" w:cs="Arial"/>
          <w:snapToGrid/>
          <w:color w:val="000000"/>
          <w:kern w:val="1"/>
          <w:sz w:val="21"/>
          <w:szCs w:val="21"/>
          <w:highlight w:val="none"/>
          <w:lang w:val="en-US" w:eastAsia="zh-CN"/>
        </w:rPr>
        <w:t>违约金</w:t>
      </w:r>
      <w:r>
        <w:rPr>
          <w:rFonts w:ascii="微软雅黑" w:hAnsi="微软雅黑" w:eastAsia="微软雅黑" w:cs="Arial"/>
          <w:snapToGrid/>
          <w:color w:val="000000"/>
          <w:kern w:val="1"/>
          <w:sz w:val="21"/>
          <w:szCs w:val="21"/>
          <w:highlight w:val="none"/>
          <w:lang w:eastAsia="zh-CN"/>
        </w:rPr>
        <w:t>累计不得超过延期货款额</w:t>
      </w:r>
      <w:r>
        <w:rPr>
          <w:rFonts w:ascii="微软雅黑" w:hAnsi="微软雅黑" w:eastAsia="微软雅黑" w:cs="Arial"/>
          <w:snapToGrid/>
          <w:color w:val="000000"/>
          <w:kern w:val="1"/>
          <w:sz w:val="21"/>
          <w:szCs w:val="21"/>
          <w:highlight w:val="none"/>
          <w:u w:val="none"/>
          <w:lang w:eastAsia="zh-CN"/>
        </w:rPr>
        <w:t>5%</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乙方逾期交付货物核心部件导致货物无法使用的，乙方须赔偿甲方所受到的全部损失（包括但不限于：替代物购置及安装费用等）并按本合同合计金额的</w:t>
      </w:r>
      <w:r>
        <w:rPr>
          <w:rFonts w:hint="eastAsia" w:ascii="微软雅黑" w:hAnsi="微软雅黑" w:eastAsia="微软雅黑" w:cs="Arial"/>
          <w:snapToGrid/>
          <w:color w:val="000000"/>
          <w:kern w:val="1"/>
          <w:sz w:val="21"/>
          <w:szCs w:val="21"/>
          <w:highlight w:val="none"/>
          <w:u w:val="none"/>
          <w:lang w:eastAsia="zh-CN"/>
        </w:rPr>
        <w:t>30%</w:t>
      </w:r>
      <w:r>
        <w:rPr>
          <w:rFonts w:hint="eastAsia" w:ascii="微软雅黑" w:hAnsi="微软雅黑" w:eastAsia="微软雅黑" w:cs="Arial"/>
          <w:snapToGrid/>
          <w:color w:val="000000"/>
          <w:kern w:val="1"/>
          <w:sz w:val="21"/>
          <w:szCs w:val="21"/>
          <w:highlight w:val="none"/>
          <w:lang w:eastAsia="zh-CN"/>
        </w:rPr>
        <w:t>支付违约金。</w:t>
      </w:r>
    </w:p>
    <w:p w14:paraId="2C88812C">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5.</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乙方未按本合同和投标文件中规定的服务承诺提供售后服务的，</w:t>
      </w:r>
      <w:r>
        <w:rPr>
          <w:rFonts w:hint="eastAsia" w:ascii="微软雅黑" w:hAnsi="微软雅黑" w:eastAsia="微软雅黑" w:cs="Arial"/>
          <w:snapToGrid/>
          <w:color w:val="000000"/>
          <w:kern w:val="1"/>
          <w:sz w:val="21"/>
          <w:szCs w:val="21"/>
          <w:highlight w:val="none"/>
          <w:lang w:eastAsia="zh-CN"/>
        </w:rPr>
        <w:t>每出现一次，</w:t>
      </w:r>
      <w:r>
        <w:rPr>
          <w:rFonts w:ascii="微软雅黑" w:hAnsi="微软雅黑" w:eastAsia="微软雅黑" w:cs="Arial"/>
          <w:snapToGrid/>
          <w:color w:val="000000"/>
          <w:kern w:val="1"/>
          <w:sz w:val="21"/>
          <w:szCs w:val="21"/>
          <w:highlight w:val="none"/>
          <w:lang w:eastAsia="zh-CN"/>
        </w:rPr>
        <w:t>乙方应按本合同合计金额</w:t>
      </w:r>
      <w:r>
        <w:rPr>
          <w:rFonts w:hint="eastAsia" w:ascii="微软雅黑" w:hAnsi="微软雅黑" w:eastAsia="微软雅黑" w:cs="Arial"/>
          <w:snapToGrid/>
          <w:color w:val="000000"/>
          <w:kern w:val="1"/>
          <w:sz w:val="21"/>
          <w:szCs w:val="21"/>
          <w:highlight w:val="none"/>
          <w:lang w:eastAsia="zh-CN"/>
        </w:rPr>
        <w:t>的</w:t>
      </w:r>
      <w:r>
        <w:rPr>
          <w:rFonts w:ascii="微软雅黑" w:hAnsi="微软雅黑" w:eastAsia="微软雅黑" w:cs="Arial"/>
          <w:snapToGrid/>
          <w:color w:val="000000"/>
          <w:kern w:val="1"/>
          <w:sz w:val="21"/>
          <w:szCs w:val="21"/>
          <w:highlight w:val="none"/>
          <w:u w:val="none"/>
          <w:lang w:eastAsia="zh-CN"/>
        </w:rPr>
        <w:t>5%</w:t>
      </w:r>
      <w:r>
        <w:rPr>
          <w:rFonts w:ascii="微软雅黑" w:hAnsi="微软雅黑" w:eastAsia="微软雅黑" w:cs="Arial"/>
          <w:snapToGrid/>
          <w:color w:val="000000"/>
          <w:kern w:val="1"/>
          <w:sz w:val="21"/>
          <w:szCs w:val="21"/>
          <w:highlight w:val="none"/>
          <w:lang w:eastAsia="zh-CN"/>
        </w:rPr>
        <w:t>向甲方支付违约金</w:t>
      </w:r>
      <w:r>
        <w:rPr>
          <w:rFonts w:hint="eastAsia" w:ascii="微软雅黑" w:hAnsi="微软雅黑" w:eastAsia="微软雅黑" w:cs="Arial"/>
          <w:snapToGrid/>
          <w:color w:val="000000"/>
          <w:kern w:val="1"/>
          <w:sz w:val="21"/>
          <w:szCs w:val="21"/>
          <w:highlight w:val="none"/>
          <w:lang w:eastAsia="zh-CN"/>
        </w:rPr>
        <w:t>，同时甲方有权根据本合同第十一条第2项的约定自行交由第三方提供售后服务，乙方每次除向甲方支付违约金外，还需承担甲方为此支出的配件费、工时费等一切售后服务相关费用。</w:t>
      </w:r>
    </w:p>
    <w:p w14:paraId="5A31D2E4">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6.</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乙方提供的货物在质量保证期内，因设计、工艺或材料的缺陷和其它质量原因造成</w:t>
      </w:r>
      <w:r>
        <w:rPr>
          <w:rFonts w:hint="eastAsia" w:ascii="微软雅黑" w:hAnsi="微软雅黑" w:eastAsia="微软雅黑" w:cs="Arial"/>
          <w:snapToGrid/>
          <w:color w:val="000000"/>
          <w:kern w:val="1"/>
          <w:sz w:val="21"/>
          <w:szCs w:val="21"/>
          <w:highlight w:val="none"/>
          <w:lang w:eastAsia="zh-CN"/>
        </w:rPr>
        <w:t>甲方人员（含经允许进入甲方场地的第三人）、该货物之外的其他物品受到伤害（损坏）的，由乙方负责承担由此产生的一切赔偿责任。赔偿款</w:t>
      </w:r>
      <w:r>
        <w:rPr>
          <w:rFonts w:ascii="微软雅黑" w:hAnsi="微软雅黑" w:eastAsia="微软雅黑" w:cs="Arial"/>
          <w:snapToGrid/>
          <w:color w:val="000000"/>
          <w:kern w:val="1"/>
          <w:sz w:val="21"/>
          <w:szCs w:val="21"/>
          <w:highlight w:val="none"/>
          <w:lang w:eastAsia="zh-CN"/>
        </w:rPr>
        <w:t>从履约保证金中扣除，履约保证金不足以支付的，由乙方另行支付。</w:t>
      </w:r>
    </w:p>
    <w:p w14:paraId="3C9D606F">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7.</w:t>
      </w:r>
      <w:r>
        <w:rPr>
          <w:rFonts w:hint="eastAsia" w:ascii="微软雅黑" w:hAnsi="微软雅黑" w:eastAsia="微软雅黑" w:cs="Arial"/>
          <w:snapToGrid/>
          <w:color w:val="000000"/>
          <w:kern w:val="1"/>
          <w:sz w:val="21"/>
          <w:szCs w:val="21"/>
          <w:highlight w:val="none"/>
          <w:lang w:val="en-US" w:eastAsia="zh-CN"/>
        </w:rPr>
        <w:t xml:space="preserve"> </w:t>
      </w:r>
      <w:r>
        <w:rPr>
          <w:rFonts w:hint="eastAsia" w:ascii="微软雅黑" w:hAnsi="微软雅黑" w:eastAsia="微软雅黑" w:cs="Arial"/>
          <w:snapToGrid/>
          <w:color w:val="000000"/>
          <w:kern w:val="1"/>
          <w:sz w:val="21"/>
          <w:szCs w:val="21"/>
          <w:highlight w:val="none"/>
          <w:lang w:eastAsia="zh-CN"/>
        </w:rPr>
        <w:t>未经甲方书面许可，乙方擅自将本合同项下义务交由第三方完成的，视为乙方根本违约，甲方有权解除本合同。</w:t>
      </w:r>
    </w:p>
    <w:p w14:paraId="779E81B6">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8.</w:t>
      </w:r>
      <w:r>
        <w:rPr>
          <w:rFonts w:hint="eastAsia" w:ascii="微软雅黑" w:hAnsi="微软雅黑" w:eastAsia="微软雅黑" w:cs="Arial"/>
          <w:snapToGrid/>
          <w:color w:val="000000"/>
          <w:kern w:val="1"/>
          <w:sz w:val="21"/>
          <w:szCs w:val="21"/>
          <w:highlight w:val="none"/>
          <w:lang w:val="en-US" w:eastAsia="zh-CN"/>
        </w:rPr>
        <w:t xml:space="preserve"> </w:t>
      </w:r>
      <w:r>
        <w:rPr>
          <w:rFonts w:hint="eastAsia" w:ascii="微软雅黑" w:hAnsi="微软雅黑" w:eastAsia="微软雅黑" w:cs="Arial"/>
          <w:snapToGrid/>
          <w:color w:val="000000"/>
          <w:kern w:val="1"/>
          <w:sz w:val="21"/>
          <w:szCs w:val="21"/>
          <w:highlight w:val="none"/>
          <w:lang w:eastAsia="zh-CN"/>
        </w:rPr>
        <w:t>乙方未按约提供合法有效的足额发票的，除须向甲方补开发票外，还须向甲方支付相当于不符合合同约定的发票票面金额30%的违约金，</w:t>
      </w:r>
      <w:r>
        <w:rPr>
          <w:rFonts w:hint="eastAsia" w:ascii="微软雅黑" w:hAnsi="微软雅黑" w:eastAsia="微软雅黑" w:cs="Arial"/>
          <w:snapToGrid/>
          <w:color w:val="auto"/>
          <w:kern w:val="1"/>
          <w:sz w:val="21"/>
          <w:szCs w:val="21"/>
          <w:highlight w:val="none"/>
          <w:lang w:eastAsia="zh-CN"/>
        </w:rPr>
        <w:t>且甲方有权解除合同，要求乙方退还已付款项。</w:t>
      </w:r>
    </w:p>
    <w:p w14:paraId="02463904">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9</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val="en-US" w:eastAsia="zh-CN"/>
        </w:rPr>
        <w:t xml:space="preserve"> </w:t>
      </w:r>
      <w:r>
        <w:rPr>
          <w:rFonts w:hint="eastAsia" w:ascii="微软雅黑" w:hAnsi="微软雅黑" w:eastAsia="微软雅黑" w:cs="Arial"/>
          <w:snapToGrid/>
          <w:color w:val="000000"/>
          <w:kern w:val="2"/>
          <w:sz w:val="21"/>
          <w:szCs w:val="21"/>
          <w:highlight w:val="none"/>
          <w:lang w:eastAsia="zh-CN"/>
        </w:rPr>
        <w:t>乙方违反</w:t>
      </w:r>
      <w:r>
        <w:rPr>
          <w:rFonts w:hint="eastAsia" w:ascii="微软雅黑" w:hAnsi="微软雅黑" w:eastAsia="微软雅黑" w:cs="Arial"/>
          <w:snapToGrid/>
          <w:color w:val="000000"/>
          <w:kern w:val="1"/>
          <w:sz w:val="21"/>
          <w:szCs w:val="21"/>
          <w:highlight w:val="none"/>
          <w:lang w:eastAsia="zh-CN"/>
        </w:rPr>
        <w:t>第三条第3款</w:t>
      </w:r>
      <w:r>
        <w:rPr>
          <w:rFonts w:hint="eastAsia" w:ascii="微软雅黑" w:hAnsi="微软雅黑" w:eastAsia="微软雅黑" w:cs="Arial"/>
          <w:snapToGrid/>
          <w:color w:val="000000"/>
          <w:kern w:val="2"/>
          <w:sz w:val="21"/>
          <w:szCs w:val="21"/>
          <w:highlight w:val="none"/>
          <w:lang w:eastAsia="zh-CN"/>
        </w:rPr>
        <w:t>约定的，应向甲方一次性支付合同合计金额30%的违约金。</w:t>
      </w:r>
    </w:p>
    <w:p w14:paraId="59676A4D">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10.乙方的</w:t>
      </w:r>
      <w:r>
        <w:rPr>
          <w:rFonts w:ascii="微软雅黑" w:hAnsi="微软雅黑" w:eastAsia="微软雅黑" w:cs="Arial"/>
          <w:snapToGrid/>
          <w:color w:val="000000"/>
          <w:kern w:val="1"/>
          <w:sz w:val="21"/>
          <w:szCs w:val="21"/>
          <w:highlight w:val="none"/>
          <w:lang w:eastAsia="zh-CN"/>
        </w:rPr>
        <w:t>其它违约行为</w:t>
      </w:r>
      <w:r>
        <w:rPr>
          <w:rFonts w:hint="eastAsia" w:ascii="微软雅黑" w:hAnsi="微软雅黑" w:eastAsia="微软雅黑" w:cs="Arial"/>
          <w:snapToGrid/>
          <w:color w:val="000000"/>
          <w:kern w:val="1"/>
          <w:sz w:val="21"/>
          <w:szCs w:val="21"/>
          <w:highlight w:val="none"/>
          <w:lang w:eastAsia="zh-CN"/>
        </w:rPr>
        <w:t>，</w:t>
      </w:r>
      <w:r>
        <w:rPr>
          <w:rFonts w:ascii="微软雅黑" w:hAnsi="微软雅黑" w:eastAsia="微软雅黑" w:cs="Arial"/>
          <w:snapToGrid/>
          <w:color w:val="000000"/>
          <w:kern w:val="1"/>
          <w:sz w:val="21"/>
          <w:szCs w:val="21"/>
          <w:highlight w:val="none"/>
          <w:lang w:eastAsia="zh-CN"/>
        </w:rPr>
        <w:t>按违约货款额5%收取违约金。</w:t>
      </w:r>
    </w:p>
    <w:p w14:paraId="2252FCB0">
      <w:pPr>
        <w:widowControl w:val="0"/>
        <w:suppressAutoHyphens/>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11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甲方解除合同的，除有权要求乙方按相应违约条款承担违约责任外，还有权要求乙方按本合同合计金额的30%支付违约金。</w:t>
      </w:r>
    </w:p>
    <w:p w14:paraId="4B182498">
      <w:pPr>
        <w:widowControl w:val="0"/>
        <w:suppressAutoHyphens/>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Arial"/>
          <w:snapToGrid/>
          <w:color w:val="000000"/>
          <w:kern w:val="1"/>
          <w:sz w:val="21"/>
          <w:szCs w:val="21"/>
          <w:highlight w:val="none"/>
          <w:lang w:eastAsia="zh-Hans"/>
        </w:rPr>
      </w:pPr>
      <w:r>
        <w:rPr>
          <w:rFonts w:hint="eastAsia" w:ascii="微软雅黑" w:hAnsi="微软雅黑" w:eastAsia="微软雅黑" w:cs="Arial"/>
          <w:snapToGrid/>
          <w:color w:val="000000"/>
          <w:kern w:val="1"/>
          <w:sz w:val="21"/>
          <w:szCs w:val="21"/>
          <w:highlight w:val="none"/>
          <w:lang w:eastAsia="zh-CN"/>
        </w:rPr>
        <w:t>12.</w:t>
      </w:r>
      <w:r>
        <w:rPr>
          <w:rFonts w:hint="eastAsia" w:ascii="微软雅黑" w:hAnsi="微软雅黑" w:eastAsia="微软雅黑" w:cs="Arial"/>
          <w:snapToGrid/>
          <w:color w:val="000000"/>
          <w:kern w:val="1"/>
          <w:sz w:val="21"/>
          <w:szCs w:val="21"/>
          <w:highlight w:val="none"/>
          <w:lang w:eastAsia="zh-Hans"/>
        </w:rPr>
        <w:t>任何一方存在任何违约行为的，除按合同约定承担</w:t>
      </w:r>
      <w:r>
        <w:rPr>
          <w:rFonts w:hint="eastAsia" w:ascii="微软雅黑" w:hAnsi="微软雅黑" w:eastAsia="微软雅黑" w:cs="Arial"/>
          <w:snapToGrid/>
          <w:color w:val="000000"/>
          <w:kern w:val="1"/>
          <w:sz w:val="21"/>
          <w:szCs w:val="21"/>
          <w:highlight w:val="none"/>
          <w:lang w:eastAsia="zh-CN"/>
        </w:rPr>
        <w:t>违约</w:t>
      </w:r>
      <w:r>
        <w:rPr>
          <w:rFonts w:hint="eastAsia" w:ascii="微软雅黑" w:hAnsi="微软雅黑" w:eastAsia="微软雅黑" w:cs="Arial"/>
          <w:snapToGrid/>
          <w:color w:val="000000"/>
          <w:kern w:val="1"/>
          <w:sz w:val="21"/>
          <w:szCs w:val="21"/>
          <w:highlight w:val="none"/>
          <w:lang w:eastAsia="zh-Hans"/>
        </w:rPr>
        <w:t>责任外，还应赔偿守约方的一切</w:t>
      </w:r>
      <w:r>
        <w:rPr>
          <w:rFonts w:hint="eastAsia" w:ascii="微软雅黑" w:hAnsi="微软雅黑" w:eastAsia="微软雅黑" w:cs="Arial"/>
          <w:snapToGrid/>
          <w:color w:val="000000"/>
          <w:kern w:val="1"/>
          <w:sz w:val="21"/>
          <w:szCs w:val="21"/>
          <w:highlight w:val="none"/>
          <w:lang w:eastAsia="zh-CN"/>
        </w:rPr>
        <w:t>经济</w:t>
      </w:r>
      <w:r>
        <w:rPr>
          <w:rFonts w:hint="eastAsia" w:ascii="微软雅黑" w:hAnsi="微软雅黑" w:eastAsia="微软雅黑" w:cs="Arial"/>
          <w:snapToGrid/>
          <w:color w:val="000000"/>
          <w:kern w:val="1"/>
          <w:sz w:val="21"/>
          <w:szCs w:val="21"/>
          <w:highlight w:val="none"/>
          <w:lang w:eastAsia="zh-Hans"/>
        </w:rPr>
        <w:t>损失（包括但不限于向第三方支付</w:t>
      </w:r>
      <w:r>
        <w:rPr>
          <w:rFonts w:hint="eastAsia" w:ascii="微软雅黑" w:hAnsi="微软雅黑" w:eastAsia="微软雅黑" w:cs="Arial"/>
          <w:snapToGrid/>
          <w:color w:val="000000"/>
          <w:kern w:val="1"/>
          <w:sz w:val="21"/>
          <w:szCs w:val="21"/>
          <w:highlight w:val="none"/>
          <w:lang w:eastAsia="zh-CN"/>
        </w:rPr>
        <w:t>的</w:t>
      </w:r>
      <w:r>
        <w:rPr>
          <w:rFonts w:hint="eastAsia" w:ascii="微软雅黑" w:hAnsi="微软雅黑" w:eastAsia="微软雅黑" w:cs="Arial"/>
          <w:snapToGrid/>
          <w:color w:val="000000"/>
          <w:kern w:val="1"/>
          <w:sz w:val="21"/>
          <w:szCs w:val="21"/>
          <w:highlight w:val="none"/>
          <w:lang w:eastAsia="zh-Hans"/>
        </w:rPr>
        <w:t>赔偿金、补偿金、违约金等，为实现债权而支付的律师费、公证费、诉讼费、保全费、公告费、鉴定费、诉讼财产保全责任险保</w:t>
      </w:r>
      <w:r>
        <w:rPr>
          <w:rFonts w:hint="eastAsia" w:ascii="微软雅黑" w:hAnsi="微软雅黑" w:eastAsia="微软雅黑" w:cs="Arial"/>
          <w:snapToGrid/>
          <w:color w:val="000000"/>
          <w:kern w:val="1"/>
          <w:sz w:val="21"/>
          <w:szCs w:val="21"/>
          <w:highlight w:val="none"/>
          <w:lang w:eastAsia="zh-CN"/>
        </w:rPr>
        <w:t>险</w:t>
      </w:r>
      <w:r>
        <w:rPr>
          <w:rFonts w:hint="eastAsia" w:ascii="微软雅黑" w:hAnsi="微软雅黑" w:eastAsia="微软雅黑" w:cs="Arial"/>
          <w:snapToGrid/>
          <w:color w:val="000000"/>
          <w:kern w:val="1"/>
          <w:sz w:val="21"/>
          <w:szCs w:val="21"/>
          <w:highlight w:val="none"/>
          <w:lang w:eastAsia="zh-Hans"/>
        </w:rPr>
        <w:t>费等一切费用）。</w:t>
      </w:r>
    </w:p>
    <w:p w14:paraId="202657C7">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b/>
          <w:snapToGrid/>
          <w:color w:val="000000"/>
          <w:kern w:val="2"/>
          <w:sz w:val="21"/>
          <w:szCs w:val="21"/>
          <w:highlight w:val="none"/>
          <w:lang w:eastAsia="zh-CN"/>
        </w:rPr>
      </w:pPr>
      <w:r>
        <w:rPr>
          <w:rFonts w:ascii="微软雅黑" w:hAnsi="微软雅黑" w:eastAsia="微软雅黑" w:cs="Arial"/>
          <w:b/>
          <w:snapToGrid/>
          <w:color w:val="000000"/>
          <w:kern w:val="2"/>
          <w:sz w:val="21"/>
          <w:szCs w:val="21"/>
          <w:highlight w:val="none"/>
          <w:lang w:eastAsia="zh-CN"/>
        </w:rPr>
        <w:t>第十</w:t>
      </w:r>
      <w:r>
        <w:rPr>
          <w:rFonts w:hint="eastAsia" w:ascii="微软雅黑" w:hAnsi="微软雅黑" w:eastAsia="微软雅黑" w:cs="Arial"/>
          <w:b/>
          <w:snapToGrid/>
          <w:color w:val="000000"/>
          <w:kern w:val="2"/>
          <w:sz w:val="21"/>
          <w:szCs w:val="21"/>
          <w:highlight w:val="none"/>
          <w:lang w:eastAsia="zh-CN"/>
        </w:rPr>
        <w:t>四</w:t>
      </w:r>
      <w:r>
        <w:rPr>
          <w:rFonts w:ascii="微软雅黑" w:hAnsi="微软雅黑" w:eastAsia="微软雅黑" w:cs="Arial"/>
          <w:b/>
          <w:snapToGrid/>
          <w:color w:val="000000"/>
          <w:kern w:val="2"/>
          <w:sz w:val="21"/>
          <w:szCs w:val="21"/>
          <w:highlight w:val="none"/>
          <w:lang w:eastAsia="zh-CN"/>
        </w:rPr>
        <w:t>条</w:t>
      </w:r>
      <w:r>
        <w:rPr>
          <w:rFonts w:hint="eastAsia" w:ascii="微软雅黑" w:hAnsi="微软雅黑" w:eastAsia="微软雅黑" w:cs="Arial"/>
          <w:b/>
          <w:snapToGrid/>
          <w:color w:val="000000"/>
          <w:kern w:val="2"/>
          <w:sz w:val="21"/>
          <w:szCs w:val="21"/>
          <w:highlight w:val="none"/>
          <w:lang w:eastAsia="zh-CN"/>
        </w:rPr>
        <w:t xml:space="preserve"> </w:t>
      </w:r>
      <w:r>
        <w:rPr>
          <w:rFonts w:ascii="微软雅黑" w:hAnsi="微软雅黑" w:eastAsia="微软雅黑" w:cs="Arial"/>
          <w:b/>
          <w:snapToGrid/>
          <w:color w:val="000000"/>
          <w:kern w:val="2"/>
          <w:sz w:val="21"/>
          <w:szCs w:val="21"/>
          <w:highlight w:val="none"/>
          <w:lang w:eastAsia="zh-CN"/>
        </w:rPr>
        <w:t>不可抗力事件处理</w:t>
      </w:r>
    </w:p>
    <w:p w14:paraId="15E8C5E9">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 在合同有效期内，任何一方因不可抗力事件导致不能履行合同，则合同履行期可延长，其延长期与不可抗力影响期相同。</w:t>
      </w:r>
    </w:p>
    <w:p w14:paraId="35981AA3">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2. 不可抗力事件发生后，应立即通知对方，并寄送有关权威机构出具的证明。</w:t>
      </w:r>
    </w:p>
    <w:p w14:paraId="79A1CA18">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3. 不可抗力事件延续一百二十天以上，双方应通过友好协商，确定是否继续履行合同。</w:t>
      </w:r>
    </w:p>
    <w:p w14:paraId="08718B64">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b/>
          <w:snapToGrid/>
          <w:color w:val="000000"/>
          <w:kern w:val="2"/>
          <w:sz w:val="21"/>
          <w:szCs w:val="21"/>
          <w:highlight w:val="none"/>
          <w:lang w:eastAsia="zh-CN"/>
        </w:rPr>
      </w:pPr>
      <w:r>
        <w:rPr>
          <w:rFonts w:ascii="微软雅黑" w:hAnsi="微软雅黑" w:eastAsia="微软雅黑" w:cs="Arial"/>
          <w:b/>
          <w:snapToGrid/>
          <w:color w:val="000000"/>
          <w:kern w:val="2"/>
          <w:sz w:val="21"/>
          <w:szCs w:val="21"/>
          <w:highlight w:val="none"/>
          <w:lang w:eastAsia="zh-CN"/>
        </w:rPr>
        <w:t>第十</w:t>
      </w:r>
      <w:r>
        <w:rPr>
          <w:rFonts w:hint="eastAsia" w:ascii="微软雅黑" w:hAnsi="微软雅黑" w:eastAsia="微软雅黑" w:cs="Arial"/>
          <w:b/>
          <w:snapToGrid/>
          <w:color w:val="000000"/>
          <w:kern w:val="2"/>
          <w:sz w:val="21"/>
          <w:szCs w:val="21"/>
          <w:highlight w:val="none"/>
          <w:lang w:eastAsia="zh-CN"/>
        </w:rPr>
        <w:t>五</w:t>
      </w:r>
      <w:r>
        <w:rPr>
          <w:rFonts w:ascii="微软雅黑" w:hAnsi="微软雅黑" w:eastAsia="微软雅黑" w:cs="Arial"/>
          <w:b/>
          <w:snapToGrid/>
          <w:color w:val="000000"/>
          <w:kern w:val="2"/>
          <w:sz w:val="21"/>
          <w:szCs w:val="21"/>
          <w:highlight w:val="none"/>
          <w:lang w:eastAsia="zh-CN"/>
        </w:rPr>
        <w:t>条</w:t>
      </w:r>
      <w:r>
        <w:rPr>
          <w:rFonts w:hint="eastAsia" w:ascii="微软雅黑" w:hAnsi="微软雅黑" w:eastAsia="微软雅黑" w:cs="Arial"/>
          <w:b/>
          <w:snapToGrid/>
          <w:color w:val="000000"/>
          <w:kern w:val="2"/>
          <w:sz w:val="21"/>
          <w:szCs w:val="21"/>
          <w:highlight w:val="none"/>
          <w:lang w:eastAsia="zh-CN"/>
        </w:rPr>
        <w:t xml:space="preserve"> </w:t>
      </w:r>
      <w:r>
        <w:rPr>
          <w:rFonts w:ascii="微软雅黑" w:hAnsi="微软雅黑" w:eastAsia="微软雅黑" w:cs="Arial"/>
          <w:b/>
          <w:snapToGrid/>
          <w:color w:val="000000"/>
          <w:kern w:val="2"/>
          <w:sz w:val="21"/>
          <w:szCs w:val="21"/>
          <w:highlight w:val="none"/>
          <w:lang w:eastAsia="zh-CN"/>
        </w:rPr>
        <w:t>合同争议解决</w:t>
      </w:r>
    </w:p>
    <w:p w14:paraId="7AA767B3">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 因货物质量问题发生争议的，应邀请国家认可的质量检测机构按照国家标准对货物质量进行</w:t>
      </w:r>
      <w:r>
        <w:rPr>
          <w:rFonts w:hint="eastAsia" w:ascii="微软雅黑" w:hAnsi="微软雅黑" w:eastAsia="微软雅黑" w:cs="Arial"/>
          <w:snapToGrid/>
          <w:color w:val="000000"/>
          <w:kern w:val="1"/>
          <w:sz w:val="21"/>
          <w:szCs w:val="21"/>
          <w:highlight w:val="none"/>
          <w:lang w:eastAsia="zh-Hans"/>
        </w:rPr>
        <w:t>鉴定</w:t>
      </w:r>
      <w:r>
        <w:rPr>
          <w:rFonts w:ascii="微软雅黑" w:hAnsi="微软雅黑" w:eastAsia="微软雅黑" w:cs="Arial"/>
          <w:snapToGrid/>
          <w:color w:val="000000"/>
          <w:kern w:val="1"/>
          <w:sz w:val="21"/>
          <w:szCs w:val="21"/>
          <w:highlight w:val="none"/>
          <w:lang w:eastAsia="zh-CN"/>
        </w:rPr>
        <w:t>。货物符合国家标准的，鉴定费由甲方承担；货物不符合国家标准的，鉴定费由乙方承担。</w:t>
      </w:r>
    </w:p>
    <w:p w14:paraId="42461F11">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2. 因履行本合同引起的或与本合同有关的争议，甲乙双方应首先通过友好协商解决，如果协商不能解决，可向甲方所在地人民法院提起诉讼。</w:t>
      </w:r>
    </w:p>
    <w:p w14:paraId="723243F1">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3. 诉讼期间，本合同继续履行。</w:t>
      </w:r>
    </w:p>
    <w:p w14:paraId="206D303D">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b/>
          <w:snapToGrid/>
          <w:color w:val="000000"/>
          <w:kern w:val="2"/>
          <w:sz w:val="21"/>
          <w:szCs w:val="21"/>
          <w:highlight w:val="none"/>
          <w:lang w:eastAsia="zh-CN"/>
        </w:rPr>
      </w:pPr>
      <w:r>
        <w:rPr>
          <w:rFonts w:ascii="微软雅黑" w:hAnsi="微软雅黑" w:eastAsia="微软雅黑" w:cs="Arial"/>
          <w:b/>
          <w:snapToGrid/>
          <w:color w:val="000000"/>
          <w:kern w:val="2"/>
          <w:sz w:val="21"/>
          <w:szCs w:val="21"/>
          <w:highlight w:val="none"/>
          <w:lang w:eastAsia="zh-CN"/>
        </w:rPr>
        <w:t>第十</w:t>
      </w:r>
      <w:r>
        <w:rPr>
          <w:rFonts w:hint="eastAsia" w:ascii="微软雅黑" w:hAnsi="微软雅黑" w:eastAsia="微软雅黑" w:cs="Arial"/>
          <w:b/>
          <w:snapToGrid/>
          <w:color w:val="000000"/>
          <w:kern w:val="2"/>
          <w:sz w:val="21"/>
          <w:szCs w:val="21"/>
          <w:highlight w:val="none"/>
          <w:lang w:eastAsia="zh-CN"/>
        </w:rPr>
        <w:t>六</w:t>
      </w:r>
      <w:r>
        <w:rPr>
          <w:rFonts w:ascii="微软雅黑" w:hAnsi="微软雅黑" w:eastAsia="微软雅黑" w:cs="Arial"/>
          <w:b/>
          <w:snapToGrid/>
          <w:color w:val="000000"/>
          <w:kern w:val="2"/>
          <w:sz w:val="21"/>
          <w:szCs w:val="21"/>
          <w:highlight w:val="none"/>
          <w:lang w:eastAsia="zh-CN"/>
        </w:rPr>
        <w:t>条</w:t>
      </w:r>
      <w:r>
        <w:rPr>
          <w:rFonts w:hint="eastAsia" w:ascii="微软雅黑" w:hAnsi="微软雅黑" w:eastAsia="微软雅黑" w:cs="Arial"/>
          <w:b/>
          <w:snapToGrid/>
          <w:color w:val="000000"/>
          <w:kern w:val="2"/>
          <w:sz w:val="21"/>
          <w:szCs w:val="21"/>
          <w:highlight w:val="none"/>
          <w:lang w:eastAsia="zh-CN"/>
        </w:rPr>
        <w:t xml:space="preserve"> </w:t>
      </w:r>
      <w:r>
        <w:rPr>
          <w:rFonts w:ascii="微软雅黑" w:hAnsi="微软雅黑" w:eastAsia="微软雅黑" w:cs="Arial"/>
          <w:b/>
          <w:snapToGrid/>
          <w:color w:val="000000"/>
          <w:kern w:val="2"/>
          <w:sz w:val="21"/>
          <w:szCs w:val="21"/>
          <w:highlight w:val="none"/>
          <w:lang w:eastAsia="zh-CN"/>
        </w:rPr>
        <w:t>合同生效及其它</w:t>
      </w:r>
    </w:p>
    <w:p w14:paraId="7D0D7E9C">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合同履行地点为：</w:t>
      </w:r>
      <w:r>
        <w:rPr>
          <w:rFonts w:ascii="微软雅黑" w:hAnsi="微软雅黑" w:eastAsia="微软雅黑" w:cs="Arial"/>
          <w:snapToGrid/>
          <w:color w:val="000000"/>
          <w:kern w:val="1"/>
          <w:sz w:val="21"/>
          <w:szCs w:val="21"/>
          <w:highlight w:val="none"/>
          <w:u w:val="single"/>
          <w:lang w:eastAsia="zh-CN"/>
        </w:rPr>
        <w:t>广西壮族自治区人民医院</w:t>
      </w:r>
      <w:r>
        <w:rPr>
          <w:rFonts w:ascii="微软雅黑" w:hAnsi="微软雅黑" w:eastAsia="微软雅黑" w:cs="Arial"/>
          <w:snapToGrid/>
          <w:color w:val="000000"/>
          <w:kern w:val="1"/>
          <w:sz w:val="21"/>
          <w:szCs w:val="21"/>
          <w:highlight w:val="none"/>
          <w:lang w:eastAsia="zh-CN"/>
        </w:rPr>
        <w:t>；合同履行的方式：</w:t>
      </w:r>
      <w:r>
        <w:rPr>
          <w:rFonts w:ascii="微软雅黑" w:hAnsi="微软雅黑" w:eastAsia="微软雅黑" w:cs="Arial"/>
          <w:snapToGrid/>
          <w:color w:val="000000"/>
          <w:kern w:val="1"/>
          <w:sz w:val="21"/>
          <w:szCs w:val="21"/>
          <w:highlight w:val="none"/>
          <w:u w:val="single"/>
          <w:lang w:eastAsia="zh-CN"/>
        </w:rPr>
        <w:t>按照本合同约定</w:t>
      </w:r>
      <w:r>
        <w:rPr>
          <w:rFonts w:ascii="微软雅黑" w:hAnsi="微软雅黑" w:eastAsia="微软雅黑" w:cs="Arial"/>
          <w:snapToGrid/>
          <w:color w:val="000000"/>
          <w:kern w:val="1"/>
          <w:sz w:val="21"/>
          <w:szCs w:val="21"/>
          <w:highlight w:val="none"/>
          <w:lang w:eastAsia="zh-CN"/>
        </w:rPr>
        <w:t>。</w:t>
      </w:r>
    </w:p>
    <w:p w14:paraId="011A0077">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2.</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1"/>
          <w:sz w:val="21"/>
          <w:szCs w:val="21"/>
          <w:highlight w:val="none"/>
          <w:lang w:val="en-US" w:eastAsia="zh-CN"/>
        </w:rPr>
        <w:t>本</w:t>
      </w:r>
      <w:r>
        <w:rPr>
          <w:rFonts w:ascii="微软雅黑" w:hAnsi="微软雅黑" w:eastAsia="微软雅黑" w:cs="Arial"/>
          <w:snapToGrid/>
          <w:color w:val="000000"/>
          <w:kern w:val="1"/>
          <w:sz w:val="21"/>
          <w:szCs w:val="21"/>
          <w:highlight w:val="none"/>
          <w:lang w:eastAsia="zh-CN"/>
        </w:rPr>
        <w:t>合同经双方法定代表人或</w:t>
      </w:r>
      <w:r>
        <w:rPr>
          <w:rFonts w:hint="eastAsia" w:ascii="微软雅黑" w:hAnsi="微软雅黑" w:eastAsia="微软雅黑" w:cs="Arial"/>
          <w:snapToGrid/>
          <w:color w:val="000000"/>
          <w:kern w:val="1"/>
          <w:sz w:val="21"/>
          <w:szCs w:val="21"/>
          <w:highlight w:val="none"/>
          <w:lang w:eastAsia="zh-CN"/>
        </w:rPr>
        <w:t>委托代理人</w:t>
      </w:r>
      <w:r>
        <w:rPr>
          <w:rFonts w:ascii="微软雅黑" w:hAnsi="微软雅黑" w:eastAsia="微软雅黑" w:cs="Arial"/>
          <w:snapToGrid/>
          <w:color w:val="000000"/>
          <w:kern w:val="1"/>
          <w:sz w:val="21"/>
          <w:szCs w:val="21"/>
          <w:highlight w:val="none"/>
          <w:lang w:eastAsia="zh-CN"/>
        </w:rPr>
        <w:t>签字并加盖</w:t>
      </w:r>
      <w:r>
        <w:rPr>
          <w:rFonts w:hint="eastAsia" w:ascii="微软雅黑" w:hAnsi="微软雅黑" w:eastAsia="微软雅黑" w:cs="Arial"/>
          <w:snapToGrid/>
          <w:color w:val="000000"/>
          <w:kern w:val="1"/>
          <w:sz w:val="21"/>
          <w:szCs w:val="21"/>
          <w:highlight w:val="none"/>
          <w:lang w:val="en-US" w:eastAsia="zh-CN"/>
        </w:rPr>
        <w:t>双方</w:t>
      </w:r>
      <w:r>
        <w:rPr>
          <w:rFonts w:ascii="微软雅黑" w:hAnsi="微软雅黑" w:eastAsia="微软雅黑" w:cs="Arial"/>
          <w:snapToGrid/>
          <w:color w:val="000000"/>
          <w:kern w:val="1"/>
          <w:sz w:val="21"/>
          <w:szCs w:val="21"/>
          <w:highlight w:val="none"/>
          <w:lang w:eastAsia="zh-CN"/>
        </w:rPr>
        <w:t>单位公章后生效。</w:t>
      </w:r>
    </w:p>
    <w:p w14:paraId="6EBAC288">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3.</w:t>
      </w:r>
      <w:r>
        <w:rPr>
          <w:rFonts w:hint="eastAsia" w:ascii="微软雅黑" w:hAnsi="微软雅黑" w:eastAsia="微软雅黑" w:cs="Arial"/>
          <w:snapToGrid/>
          <w:color w:val="000000"/>
          <w:kern w:val="1"/>
          <w:sz w:val="21"/>
          <w:szCs w:val="21"/>
          <w:highlight w:val="none"/>
          <w:lang w:eastAsia="zh-CN"/>
        </w:rPr>
        <w:t xml:space="preserve"> </w:t>
      </w:r>
      <w:r>
        <w:rPr>
          <w:rFonts w:ascii="微软雅黑" w:hAnsi="微软雅黑" w:eastAsia="微软雅黑" w:cs="Times New Roman"/>
          <w:snapToGrid/>
          <w:color w:val="000000"/>
          <w:kern w:val="2"/>
          <w:sz w:val="21"/>
          <w:szCs w:val="21"/>
          <w:highlight w:val="none"/>
          <w:lang w:eastAsia="zh-CN"/>
        </w:rPr>
        <w:t>合同执行中涉及采购内容修改或补充的，按政府采购相关规定要求签订书面补充协议，并作为主合同不可分割的一部分</w:t>
      </w:r>
      <w:r>
        <w:rPr>
          <w:rFonts w:ascii="微软雅黑" w:hAnsi="微软雅黑" w:eastAsia="微软雅黑" w:cs="Arial"/>
          <w:snapToGrid/>
          <w:color w:val="000000"/>
          <w:kern w:val="1"/>
          <w:sz w:val="21"/>
          <w:szCs w:val="21"/>
          <w:highlight w:val="none"/>
          <w:lang w:eastAsia="zh-CN"/>
        </w:rPr>
        <w:t>。</w:t>
      </w:r>
    </w:p>
    <w:p w14:paraId="16EABDA4">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4.</w:t>
      </w:r>
      <w:r>
        <w:rPr>
          <w:rFonts w:hint="eastAsia" w:ascii="微软雅黑" w:hAnsi="微软雅黑" w:eastAsia="微软雅黑" w:cs="Arial"/>
          <w:snapToGrid/>
          <w:color w:val="000000"/>
          <w:kern w:val="1"/>
          <w:sz w:val="21"/>
          <w:szCs w:val="21"/>
          <w:highlight w:val="none"/>
          <w:lang w:eastAsia="zh-CN"/>
        </w:rPr>
        <w:t xml:space="preserve"> </w:t>
      </w:r>
      <w:r>
        <w:rPr>
          <w:rFonts w:ascii="微软雅黑" w:hAnsi="微软雅黑" w:eastAsia="微软雅黑" w:cs="Arial"/>
          <w:snapToGrid/>
          <w:color w:val="000000"/>
          <w:kern w:val="1"/>
          <w:sz w:val="21"/>
          <w:szCs w:val="21"/>
          <w:highlight w:val="none"/>
          <w:lang w:eastAsia="zh-CN"/>
        </w:rPr>
        <w:t>本合同未尽事宜，遵照《</w:t>
      </w:r>
      <w:r>
        <w:rPr>
          <w:rFonts w:hint="eastAsia" w:ascii="微软雅黑" w:hAnsi="微软雅黑" w:eastAsia="微软雅黑" w:cs="Arial"/>
          <w:snapToGrid/>
          <w:color w:val="000000"/>
          <w:kern w:val="1"/>
          <w:sz w:val="21"/>
          <w:szCs w:val="21"/>
          <w:highlight w:val="none"/>
          <w:lang w:eastAsia="zh-CN"/>
        </w:rPr>
        <w:t>中华人民共和国民法典</w:t>
      </w:r>
      <w:r>
        <w:rPr>
          <w:rFonts w:ascii="微软雅黑" w:hAnsi="微软雅黑" w:eastAsia="微软雅黑" w:cs="Arial"/>
          <w:snapToGrid/>
          <w:color w:val="000000"/>
          <w:kern w:val="1"/>
          <w:sz w:val="21"/>
          <w:szCs w:val="21"/>
          <w:highlight w:val="none"/>
          <w:lang w:eastAsia="zh-CN"/>
        </w:rPr>
        <w:t>》有关条文执行。</w:t>
      </w:r>
    </w:p>
    <w:p w14:paraId="61E8B11A">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b/>
          <w:snapToGrid/>
          <w:color w:val="000000"/>
          <w:kern w:val="2"/>
          <w:sz w:val="21"/>
          <w:szCs w:val="21"/>
          <w:highlight w:val="none"/>
          <w:lang w:eastAsia="zh-CN"/>
        </w:rPr>
      </w:pPr>
      <w:r>
        <w:rPr>
          <w:rFonts w:ascii="微软雅黑" w:hAnsi="微软雅黑" w:eastAsia="微软雅黑" w:cs="Arial"/>
          <w:b/>
          <w:snapToGrid/>
          <w:color w:val="000000"/>
          <w:kern w:val="2"/>
          <w:sz w:val="21"/>
          <w:szCs w:val="21"/>
          <w:highlight w:val="none"/>
          <w:lang w:eastAsia="zh-CN"/>
        </w:rPr>
        <w:t>第十</w:t>
      </w:r>
      <w:r>
        <w:rPr>
          <w:rFonts w:hint="eastAsia" w:ascii="微软雅黑" w:hAnsi="微软雅黑" w:eastAsia="微软雅黑" w:cs="Arial"/>
          <w:b/>
          <w:snapToGrid/>
          <w:color w:val="000000"/>
          <w:kern w:val="2"/>
          <w:sz w:val="21"/>
          <w:szCs w:val="21"/>
          <w:highlight w:val="none"/>
          <w:lang w:eastAsia="zh-CN"/>
        </w:rPr>
        <w:t>七</w:t>
      </w:r>
      <w:r>
        <w:rPr>
          <w:rFonts w:ascii="微软雅黑" w:hAnsi="微软雅黑" w:eastAsia="微软雅黑" w:cs="Arial"/>
          <w:b/>
          <w:snapToGrid/>
          <w:color w:val="000000"/>
          <w:kern w:val="2"/>
          <w:sz w:val="21"/>
          <w:szCs w:val="21"/>
          <w:highlight w:val="none"/>
          <w:lang w:eastAsia="zh-CN"/>
        </w:rPr>
        <w:t>条</w:t>
      </w:r>
      <w:r>
        <w:rPr>
          <w:rFonts w:hint="eastAsia" w:ascii="微软雅黑" w:hAnsi="微软雅黑" w:eastAsia="微软雅黑" w:cs="Arial"/>
          <w:b/>
          <w:snapToGrid/>
          <w:color w:val="000000"/>
          <w:kern w:val="2"/>
          <w:sz w:val="21"/>
          <w:szCs w:val="21"/>
          <w:highlight w:val="none"/>
          <w:lang w:eastAsia="zh-CN"/>
        </w:rPr>
        <w:t xml:space="preserve"> </w:t>
      </w:r>
      <w:r>
        <w:rPr>
          <w:rFonts w:ascii="微软雅黑" w:hAnsi="微软雅黑" w:eastAsia="微软雅黑" w:cs="Arial"/>
          <w:b/>
          <w:snapToGrid/>
          <w:color w:val="000000"/>
          <w:kern w:val="2"/>
          <w:sz w:val="21"/>
          <w:szCs w:val="21"/>
          <w:highlight w:val="none"/>
          <w:lang w:eastAsia="zh-CN"/>
        </w:rPr>
        <w:t>合同的变更、终止与转让</w:t>
      </w:r>
    </w:p>
    <w:p w14:paraId="569C8B98">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本合同一经签订，甲乙双方不得擅自变更、中止或终止。</w:t>
      </w:r>
    </w:p>
    <w:p w14:paraId="15A2A0EA">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2.</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未经甲方书面同意，乙方不得擅自转让</w:t>
      </w:r>
      <w:r>
        <w:rPr>
          <w:rFonts w:hint="eastAsia" w:ascii="微软雅黑" w:hAnsi="微软雅黑" w:eastAsia="微软雅黑" w:cs="Arial"/>
          <w:snapToGrid/>
          <w:color w:val="000000"/>
          <w:kern w:val="1"/>
          <w:sz w:val="21"/>
          <w:szCs w:val="21"/>
          <w:highlight w:val="none"/>
          <w:lang w:eastAsia="zh-Hans"/>
        </w:rPr>
        <w:t>、分包</w:t>
      </w:r>
      <w:r>
        <w:rPr>
          <w:rFonts w:ascii="微软雅黑" w:hAnsi="微软雅黑" w:eastAsia="微软雅黑" w:cs="Arial"/>
          <w:snapToGrid/>
          <w:color w:val="000000"/>
          <w:kern w:val="1"/>
          <w:sz w:val="21"/>
          <w:szCs w:val="21"/>
          <w:highlight w:val="none"/>
          <w:lang w:eastAsia="zh-CN"/>
        </w:rPr>
        <w:t>（无进口资格的乙方委托进口货物除外）其应履行的合同义务。</w:t>
      </w:r>
    </w:p>
    <w:p w14:paraId="258D0904">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Arial"/>
          <w:b/>
          <w:snapToGrid/>
          <w:color w:val="000000"/>
          <w:kern w:val="1"/>
          <w:sz w:val="21"/>
          <w:szCs w:val="21"/>
          <w:highlight w:val="none"/>
          <w:lang w:eastAsia="zh-CN"/>
        </w:rPr>
      </w:pPr>
      <w:r>
        <w:rPr>
          <w:rFonts w:hint="eastAsia" w:ascii="微软雅黑" w:hAnsi="微软雅黑" w:eastAsia="微软雅黑" w:cs="Arial"/>
          <w:b/>
          <w:snapToGrid/>
          <w:color w:val="000000"/>
          <w:kern w:val="1"/>
          <w:sz w:val="21"/>
          <w:szCs w:val="21"/>
          <w:highlight w:val="none"/>
          <w:lang w:eastAsia="zh-CN"/>
        </w:rPr>
        <w:t>第十八条 签订本合同依据</w:t>
      </w:r>
    </w:p>
    <w:p w14:paraId="6F2B3D56">
      <w:pPr>
        <w:widowControl w:val="0"/>
        <w:kinsoku/>
        <w:wordWrap/>
        <w:topLinePunct w:val="0"/>
        <w:autoSpaceDE/>
        <w:autoSpaceDN/>
        <w:adjustRightInd/>
        <w:snapToGrid/>
        <w:spacing w:after="124" w:afterLines="40" w:line="360" w:lineRule="exact"/>
        <w:ind w:firstLine="420" w:firstLineChars="200"/>
        <w:jc w:val="both"/>
        <w:textAlignment w:val="auto"/>
        <w:rPr>
          <w:rFonts w:hint="eastAsia" w:ascii="微软雅黑" w:hAnsi="微软雅黑" w:eastAsia="微软雅黑" w:cs="Arial"/>
          <w:snapToGrid/>
          <w:color w:val="000000"/>
          <w:kern w:val="1"/>
          <w:sz w:val="21"/>
          <w:szCs w:val="21"/>
          <w:highlight w:val="none"/>
          <w:lang w:eastAsia="zh-CN"/>
        </w:rPr>
      </w:pPr>
      <w:r>
        <w:rPr>
          <w:rFonts w:hint="eastAsia" w:ascii="微软雅黑" w:hAnsi="微软雅黑" w:eastAsia="微软雅黑" w:cs="Times New Roman"/>
          <w:snapToGrid/>
          <w:color w:val="000000"/>
          <w:kern w:val="1"/>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本合同； </w:t>
      </w:r>
    </w:p>
    <w:p w14:paraId="0FAC0447">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2. 中标（成交）</w:t>
      </w:r>
      <w:r>
        <w:rPr>
          <w:rFonts w:ascii="微软雅黑" w:hAnsi="微软雅黑" w:eastAsia="微软雅黑" w:cs="Arial"/>
          <w:snapToGrid/>
          <w:color w:val="000000"/>
          <w:kern w:val="1"/>
          <w:sz w:val="21"/>
          <w:szCs w:val="21"/>
          <w:highlight w:val="none"/>
          <w:lang w:eastAsia="zh-CN"/>
        </w:rPr>
        <w:t>通知书；</w:t>
      </w:r>
    </w:p>
    <w:p w14:paraId="5CAF813A">
      <w:pPr>
        <w:widowControl w:val="0"/>
        <w:suppressAutoHyphens/>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1"/>
          <w:sz w:val="21"/>
          <w:szCs w:val="21"/>
          <w:highlight w:val="none"/>
          <w:lang w:eastAsia="zh-CN"/>
        </w:rPr>
      </w:pPr>
      <w:r>
        <w:rPr>
          <w:rFonts w:hint="eastAsia" w:ascii="微软雅黑" w:hAnsi="微软雅黑" w:eastAsia="微软雅黑" w:cs="Times New Roman"/>
          <w:snapToGrid/>
          <w:color w:val="000000"/>
          <w:kern w:val="1"/>
          <w:sz w:val="21"/>
          <w:szCs w:val="21"/>
          <w:highlight w:val="none"/>
          <w:lang w:eastAsia="zh-CN"/>
        </w:rPr>
        <w:t>3</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ascii="微软雅黑" w:hAnsi="微软雅黑" w:eastAsia="微软雅黑" w:cs="Arial"/>
          <w:snapToGrid/>
          <w:color w:val="000000"/>
          <w:kern w:val="1"/>
          <w:sz w:val="21"/>
          <w:szCs w:val="21"/>
          <w:highlight w:val="none"/>
          <w:lang w:eastAsia="zh-CN"/>
        </w:rPr>
        <w:t>乙方提供的投标</w:t>
      </w:r>
      <w:r>
        <w:rPr>
          <w:rFonts w:hint="eastAsia" w:ascii="微软雅黑" w:hAnsi="微软雅黑" w:eastAsia="微软雅黑" w:cs="Arial"/>
          <w:snapToGrid/>
          <w:color w:val="000000"/>
          <w:kern w:val="1"/>
          <w:sz w:val="21"/>
          <w:szCs w:val="21"/>
          <w:highlight w:val="none"/>
          <w:lang w:eastAsia="zh-CN"/>
        </w:rPr>
        <w:t>（响应）</w:t>
      </w:r>
      <w:r>
        <w:rPr>
          <w:rFonts w:ascii="微软雅黑" w:hAnsi="微软雅黑" w:eastAsia="微软雅黑" w:cs="Arial"/>
          <w:snapToGrid/>
          <w:color w:val="000000"/>
          <w:kern w:val="1"/>
          <w:sz w:val="21"/>
          <w:szCs w:val="21"/>
          <w:highlight w:val="none"/>
          <w:lang w:eastAsia="zh-CN"/>
        </w:rPr>
        <w:t>文件</w:t>
      </w:r>
      <w:r>
        <w:rPr>
          <w:rFonts w:hint="eastAsia" w:ascii="微软雅黑" w:hAnsi="微软雅黑" w:eastAsia="微软雅黑" w:cs="Times New Roman"/>
          <w:snapToGrid/>
          <w:color w:val="000000"/>
          <w:kern w:val="1"/>
          <w:sz w:val="21"/>
          <w:szCs w:val="21"/>
          <w:highlight w:val="none"/>
          <w:lang w:eastAsia="zh-CN"/>
        </w:rPr>
        <w:t>；</w:t>
      </w:r>
    </w:p>
    <w:p w14:paraId="124BBD81">
      <w:pPr>
        <w:widowControl w:val="0"/>
        <w:suppressAutoHyphens/>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1"/>
          <w:sz w:val="21"/>
          <w:szCs w:val="21"/>
          <w:highlight w:val="none"/>
          <w:lang w:eastAsia="zh-CN"/>
        </w:rPr>
      </w:pPr>
      <w:r>
        <w:rPr>
          <w:rFonts w:hint="eastAsia" w:ascii="微软雅黑" w:hAnsi="微软雅黑" w:eastAsia="微软雅黑" w:cs="Times New Roman"/>
          <w:snapToGrid/>
          <w:color w:val="000000"/>
          <w:kern w:val="1"/>
          <w:sz w:val="21"/>
          <w:szCs w:val="21"/>
          <w:highlight w:val="none"/>
          <w:lang w:eastAsia="zh-CN"/>
        </w:rPr>
        <w:t>4</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ascii="微软雅黑" w:hAnsi="微软雅黑" w:eastAsia="微软雅黑" w:cs="Arial"/>
          <w:snapToGrid/>
          <w:color w:val="000000"/>
          <w:kern w:val="1"/>
          <w:sz w:val="21"/>
          <w:szCs w:val="21"/>
          <w:highlight w:val="none"/>
          <w:lang w:eastAsia="zh-CN"/>
        </w:rPr>
        <w:t>采购文件</w:t>
      </w:r>
      <w:r>
        <w:rPr>
          <w:rFonts w:hint="eastAsia" w:ascii="微软雅黑" w:hAnsi="微软雅黑" w:eastAsia="微软雅黑" w:cs="Times New Roman"/>
          <w:snapToGrid/>
          <w:color w:val="000000"/>
          <w:kern w:val="1"/>
          <w:sz w:val="21"/>
          <w:szCs w:val="21"/>
          <w:highlight w:val="none"/>
          <w:lang w:eastAsia="zh-CN"/>
        </w:rPr>
        <w:t>。</w:t>
      </w:r>
    </w:p>
    <w:p w14:paraId="1AE3A39D">
      <w:pPr>
        <w:widowControl w:val="0"/>
        <w:kinsoku/>
        <w:wordWrap/>
        <w:topLinePunct w:val="0"/>
        <w:autoSpaceDE w:val="0"/>
        <w:autoSpaceDN w:val="0"/>
        <w:adjustRightInd w:val="0"/>
        <w:snapToGrid/>
        <w:spacing w:line="420" w:lineRule="exact"/>
        <w:ind w:firstLine="420" w:firstLineChars="200"/>
        <w:jc w:val="both"/>
        <w:textAlignment w:val="auto"/>
        <w:outlineLvl w:val="9"/>
        <w:rPr>
          <w:rFonts w:ascii="微软雅黑" w:hAnsi="微软雅黑" w:eastAsia="微软雅黑" w:cs="仿宋"/>
          <w:b/>
          <w:bCs/>
          <w:snapToGrid/>
          <w:color w:val="000000"/>
          <w:kern w:val="1"/>
          <w:sz w:val="21"/>
          <w:szCs w:val="21"/>
          <w:highlight w:val="none"/>
          <w:lang w:eastAsia="zh-CN"/>
        </w:rPr>
      </w:pPr>
      <w:r>
        <w:rPr>
          <w:rFonts w:hint="eastAsia" w:ascii="微软雅黑" w:hAnsi="微软雅黑" w:eastAsia="微软雅黑" w:cs="仿宋"/>
          <w:b/>
          <w:bCs/>
          <w:snapToGrid/>
          <w:color w:val="000000"/>
          <w:kern w:val="1"/>
          <w:sz w:val="21"/>
          <w:szCs w:val="21"/>
          <w:highlight w:val="none"/>
          <w:lang w:eastAsia="zh-CN"/>
        </w:rPr>
        <w:t>上述合同文件互相补充和解释。如果合同文件之间存在矛盾或者不一致之处，以上述文件的排列顺序在先者为准。</w:t>
      </w:r>
    </w:p>
    <w:p w14:paraId="1D851868">
      <w:pPr>
        <w:widowControl w:val="0"/>
        <w:kinsoku/>
        <w:wordWrap/>
        <w:topLinePunct w:val="0"/>
        <w:autoSpaceDE/>
        <w:autoSpaceDN/>
        <w:adjustRightInd/>
        <w:snapToGrid w:val="0"/>
        <w:spacing w:line="420" w:lineRule="exact"/>
        <w:ind w:firstLine="420" w:firstLineChars="200"/>
        <w:jc w:val="left"/>
        <w:textAlignment w:val="auto"/>
        <w:rPr>
          <w:rFonts w:ascii="微软雅黑" w:hAnsi="微软雅黑" w:eastAsia="微软雅黑" w:cs="仿宋"/>
          <w:snapToGrid/>
          <w:color w:val="000000"/>
          <w:kern w:val="1"/>
          <w:sz w:val="21"/>
          <w:szCs w:val="21"/>
          <w:highlight w:val="none"/>
          <w:lang w:eastAsia="zh-CN"/>
        </w:rPr>
      </w:pPr>
      <w:r>
        <w:rPr>
          <w:rFonts w:hint="eastAsia" w:ascii="微软雅黑" w:hAnsi="微软雅黑" w:eastAsia="微软雅黑" w:cs="仿宋"/>
          <w:b/>
          <w:snapToGrid/>
          <w:color w:val="000000"/>
          <w:kern w:val="2"/>
          <w:sz w:val="21"/>
          <w:szCs w:val="21"/>
          <w:highlight w:val="none"/>
          <w:lang w:eastAsia="zh-CN"/>
        </w:rPr>
        <w:t xml:space="preserve">第十九条 </w:t>
      </w:r>
      <w:r>
        <w:rPr>
          <w:rFonts w:hint="eastAsia" w:ascii="微软雅黑" w:hAnsi="微软雅黑" w:eastAsia="微软雅黑" w:cs="仿宋"/>
          <w:b/>
          <w:snapToGrid/>
          <w:color w:val="000000"/>
          <w:kern w:val="2"/>
          <w:sz w:val="21"/>
          <w:szCs w:val="21"/>
          <w:highlight w:val="none"/>
          <w:lang w:eastAsia="zh-Hans"/>
        </w:rPr>
        <w:t>通知</w:t>
      </w:r>
    </w:p>
    <w:p w14:paraId="2BBB4497">
      <w:pPr>
        <w:widowControl w:val="0"/>
        <w:kinsoku/>
        <w:wordWrap/>
        <w:topLinePunct w:val="0"/>
        <w:autoSpaceDE/>
        <w:autoSpaceDN/>
        <w:adjustRightInd/>
        <w:snapToGrid w:val="0"/>
        <w:spacing w:line="420" w:lineRule="exact"/>
        <w:ind w:firstLine="420" w:firstLineChars="200"/>
        <w:jc w:val="left"/>
        <w:textAlignment w:val="auto"/>
        <w:rPr>
          <w:rFonts w:hint="eastAsia" w:ascii="微软雅黑" w:hAnsi="微软雅黑" w:eastAsia="微软雅黑" w:cs="Times New Roman"/>
          <w:snapToGrid/>
          <w:color w:val="000000"/>
          <w:kern w:val="1"/>
          <w:sz w:val="21"/>
          <w:szCs w:val="21"/>
          <w:highlight w:val="none"/>
          <w:lang w:eastAsia="zh-CN"/>
        </w:rPr>
      </w:pPr>
      <w:r>
        <w:rPr>
          <w:rFonts w:hint="eastAsia" w:ascii="微软雅黑" w:hAnsi="微软雅黑" w:eastAsia="微软雅黑" w:cs="仿宋"/>
          <w:snapToGrid/>
          <w:color w:val="000000"/>
          <w:kern w:val="1"/>
          <w:sz w:val="21"/>
          <w:szCs w:val="21"/>
          <w:highlight w:val="none"/>
          <w:lang w:eastAsia="zh-CN"/>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电子邮件、传真送达的，一经发送，即视为送达。</w:t>
      </w:r>
    </w:p>
    <w:p w14:paraId="730547A6">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b/>
          <w:snapToGrid/>
          <w:color w:val="000000"/>
          <w:kern w:val="2"/>
          <w:sz w:val="21"/>
          <w:szCs w:val="21"/>
          <w:highlight w:val="none"/>
          <w:lang w:eastAsia="zh-CN"/>
        </w:rPr>
        <w:t xml:space="preserve">第二十条 </w:t>
      </w:r>
      <w:r>
        <w:rPr>
          <w:rFonts w:ascii="微软雅黑" w:hAnsi="微软雅黑" w:eastAsia="微软雅黑" w:cs="Arial"/>
          <w:snapToGrid/>
          <w:color w:val="000000"/>
          <w:kern w:val="1"/>
          <w:sz w:val="21"/>
          <w:szCs w:val="21"/>
          <w:highlight w:val="none"/>
          <w:lang w:eastAsia="zh-CN"/>
        </w:rPr>
        <w:t>本合同一式</w:t>
      </w:r>
      <w:r>
        <w:rPr>
          <w:rFonts w:hint="eastAsia" w:ascii="微软雅黑" w:hAnsi="微软雅黑" w:eastAsia="微软雅黑" w:cs="Arial"/>
          <w:snapToGrid/>
          <w:color w:val="000000"/>
          <w:kern w:val="1"/>
          <w:sz w:val="21"/>
          <w:szCs w:val="21"/>
          <w:highlight w:val="none"/>
          <w:lang w:val="en-US" w:eastAsia="zh-CN"/>
        </w:rPr>
        <w:t>四</w:t>
      </w:r>
      <w:r>
        <w:rPr>
          <w:rFonts w:ascii="微软雅黑" w:hAnsi="微软雅黑" w:eastAsia="微软雅黑" w:cs="Arial"/>
          <w:snapToGrid/>
          <w:color w:val="000000"/>
          <w:kern w:val="1"/>
          <w:sz w:val="21"/>
          <w:szCs w:val="21"/>
          <w:highlight w:val="none"/>
          <w:lang w:eastAsia="zh-CN"/>
        </w:rPr>
        <w:t>份，具有同等法律效力。甲方</w:t>
      </w:r>
      <w:r>
        <w:rPr>
          <w:rFonts w:hint="eastAsia" w:ascii="微软雅黑" w:hAnsi="微软雅黑" w:eastAsia="微软雅黑" w:cs="Arial"/>
          <w:snapToGrid/>
          <w:color w:val="000000"/>
          <w:kern w:val="1"/>
          <w:sz w:val="21"/>
          <w:szCs w:val="21"/>
          <w:highlight w:val="none"/>
          <w:lang w:eastAsia="zh-CN"/>
        </w:rPr>
        <w:t>二</w:t>
      </w:r>
      <w:r>
        <w:rPr>
          <w:rFonts w:ascii="微软雅黑" w:hAnsi="微软雅黑" w:eastAsia="微软雅黑" w:cs="Arial"/>
          <w:snapToGrid/>
          <w:color w:val="000000"/>
          <w:kern w:val="1"/>
          <w:sz w:val="21"/>
          <w:szCs w:val="21"/>
          <w:highlight w:val="none"/>
          <w:lang w:eastAsia="zh-CN"/>
        </w:rPr>
        <w:t>份，乙方</w:t>
      </w:r>
      <w:r>
        <w:rPr>
          <w:rFonts w:hint="eastAsia" w:ascii="微软雅黑" w:hAnsi="微软雅黑" w:eastAsia="微软雅黑" w:cs="Arial"/>
          <w:snapToGrid/>
          <w:color w:val="000000"/>
          <w:kern w:val="1"/>
          <w:sz w:val="21"/>
          <w:szCs w:val="21"/>
          <w:highlight w:val="none"/>
          <w:lang w:val="en-US" w:eastAsia="zh-CN"/>
        </w:rPr>
        <w:t>二</w:t>
      </w:r>
      <w:r>
        <w:rPr>
          <w:rFonts w:ascii="微软雅黑" w:hAnsi="微软雅黑" w:eastAsia="微软雅黑" w:cs="Arial"/>
          <w:snapToGrid/>
          <w:color w:val="000000"/>
          <w:kern w:val="1"/>
          <w:sz w:val="21"/>
          <w:szCs w:val="21"/>
          <w:highlight w:val="none"/>
          <w:lang w:eastAsia="zh-CN"/>
        </w:rPr>
        <w:t>份。</w:t>
      </w:r>
    </w:p>
    <w:p w14:paraId="71E50854">
      <w:pPr>
        <w:widowControl w:val="0"/>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（以下为签章页，无正文）</w:t>
      </w:r>
    </w:p>
    <w:p w14:paraId="365A615F">
      <w:pPr>
        <w:widowControl w:val="0"/>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Times New Roman"/>
          <w:snapToGrid/>
          <w:color w:val="000000"/>
          <w:kern w:val="2"/>
          <w:sz w:val="21"/>
          <w:szCs w:val="21"/>
          <w:highlight w:val="none"/>
          <w:lang w:eastAsia="zh-CN"/>
        </w:rPr>
      </w:pPr>
    </w:p>
    <w:tbl>
      <w:tblPr>
        <w:tblStyle w:val="24"/>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4"/>
        <w:gridCol w:w="5237"/>
      </w:tblGrid>
      <w:tr w14:paraId="6398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2425" w:type="pct"/>
            <w:noWrap w:val="0"/>
            <w:vAlign w:val="center"/>
          </w:tcPr>
          <w:p w14:paraId="592B66DA">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甲方（章）</w:t>
            </w:r>
            <w:r>
              <w:rPr>
                <w:rFonts w:hint="eastAsia" w:ascii="微软雅黑" w:hAnsi="微软雅黑" w:eastAsia="微软雅黑" w:cs="Arial"/>
                <w:snapToGrid/>
                <w:color w:val="000000"/>
                <w:kern w:val="2"/>
                <w:sz w:val="21"/>
                <w:szCs w:val="21"/>
                <w:highlight w:val="none"/>
                <w:lang w:eastAsia="zh-CN"/>
              </w:rPr>
              <w:t>广西壮族自治区人民医院</w:t>
            </w:r>
            <w:r>
              <w:rPr>
                <w:rFonts w:hint="eastAsia" w:ascii="微软雅黑" w:hAnsi="微软雅黑" w:eastAsia="微软雅黑" w:cs="Times New Roman"/>
                <w:snapToGrid/>
                <w:color w:val="000000"/>
                <w:kern w:val="2"/>
                <w:sz w:val="21"/>
                <w:szCs w:val="21"/>
                <w:highlight w:val="none"/>
                <w:lang w:eastAsia="zh-CN"/>
              </w:rPr>
              <w:t xml:space="preserve"> </w:t>
            </w:r>
          </w:p>
          <w:p w14:paraId="58F7F7B7">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p>
          <w:p w14:paraId="719801DE">
            <w:pPr>
              <w:widowControl w:val="0"/>
              <w:spacing w:line="0" w:lineRule="atLeast"/>
              <w:jc w:val="both"/>
              <w:rPr>
                <w:rFonts w:ascii="Times New Roman" w:hAnsi="Times New Roman" w:eastAsia="宋体" w:cs="Times New Roman"/>
                <w:kern w:val="2"/>
                <w:sz w:val="30"/>
                <w:szCs w:val="24"/>
                <w:highlight w:val="none"/>
                <w:lang w:val="en-US" w:eastAsia="zh-CN" w:bidi="ar-SA"/>
              </w:rPr>
            </w:pPr>
          </w:p>
          <w:p w14:paraId="26E32BB6">
            <w:pPr>
              <w:widowControl w:val="0"/>
              <w:spacing w:line="0" w:lineRule="atLeast"/>
              <w:jc w:val="both"/>
              <w:rPr>
                <w:rFonts w:ascii="Times New Roman" w:hAnsi="Times New Roman" w:eastAsia="宋体" w:cs="Times New Roman"/>
                <w:kern w:val="2"/>
                <w:sz w:val="30"/>
                <w:szCs w:val="24"/>
                <w:highlight w:val="none"/>
                <w:lang w:val="en-US" w:eastAsia="zh-CN" w:bidi="ar-SA"/>
              </w:rPr>
            </w:pPr>
          </w:p>
          <w:p w14:paraId="1A05BCAF">
            <w:pPr>
              <w:widowControl w:val="0"/>
              <w:spacing w:line="0" w:lineRule="atLeast"/>
              <w:jc w:val="both"/>
              <w:rPr>
                <w:rFonts w:ascii="Times New Roman" w:hAnsi="Times New Roman" w:eastAsia="宋体" w:cs="Times New Roman"/>
                <w:kern w:val="2"/>
                <w:sz w:val="30"/>
                <w:szCs w:val="24"/>
                <w:highlight w:val="none"/>
                <w:lang w:val="en-US" w:eastAsia="zh-CN" w:bidi="ar-SA"/>
              </w:rPr>
            </w:pPr>
          </w:p>
          <w:p w14:paraId="238164C1">
            <w:pPr>
              <w:widowControl w:val="0"/>
              <w:kinsoku/>
              <w:wordWrap/>
              <w:topLinePunct w:val="0"/>
              <w:autoSpaceDE/>
              <w:autoSpaceDN/>
              <w:adjustRightInd/>
              <w:snapToGrid w:val="0"/>
              <w:spacing w:line="360" w:lineRule="exact"/>
              <w:ind w:firstLine="945" w:firstLineChars="450"/>
              <w:jc w:val="right"/>
              <w:textAlignment w:val="auto"/>
              <w:rPr>
                <w:rFonts w:ascii="微软雅黑" w:hAnsi="微软雅黑" w:eastAsia="微软雅黑" w:cs="Times New Roman"/>
                <w:snapToGrid/>
                <w:color w:val="000000"/>
                <w:kern w:val="2"/>
                <w:sz w:val="21"/>
                <w:szCs w:val="21"/>
                <w:highlight w:val="none"/>
                <w:lang w:eastAsia="zh-CN"/>
              </w:rPr>
            </w:pPr>
          </w:p>
        </w:tc>
        <w:tc>
          <w:tcPr>
            <w:tcW w:w="2574" w:type="pct"/>
            <w:noWrap w:val="0"/>
            <w:vAlign w:val="center"/>
          </w:tcPr>
          <w:p w14:paraId="3AFA69A6">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 xml:space="preserve">乙方（章）               </w:t>
            </w:r>
          </w:p>
          <w:p w14:paraId="09E7B5DB">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p>
          <w:p w14:paraId="3ACBCFBB">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p>
          <w:p w14:paraId="73663AB2">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p>
          <w:p w14:paraId="7DBB5185">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p>
          <w:p w14:paraId="49DBC0C7">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p>
        </w:tc>
      </w:tr>
      <w:tr w14:paraId="68AA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2425" w:type="pct"/>
            <w:noWrap w:val="0"/>
            <w:vAlign w:val="top"/>
          </w:tcPr>
          <w:p w14:paraId="06B9BD9B">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单位地址：</w:t>
            </w:r>
            <w:r>
              <w:rPr>
                <w:rFonts w:hint="eastAsia" w:ascii="微软雅黑" w:hAnsi="微软雅黑" w:eastAsia="微软雅黑" w:cs="Arial"/>
                <w:snapToGrid/>
                <w:color w:val="000000"/>
                <w:kern w:val="2"/>
                <w:sz w:val="21"/>
                <w:szCs w:val="21"/>
                <w:highlight w:val="none"/>
                <w:lang w:eastAsia="zh-CN"/>
              </w:rPr>
              <w:t>南宁市青秀区桃源路6号</w:t>
            </w:r>
          </w:p>
        </w:tc>
        <w:tc>
          <w:tcPr>
            <w:tcW w:w="2574" w:type="pct"/>
            <w:noWrap w:val="0"/>
            <w:vAlign w:val="top"/>
          </w:tcPr>
          <w:p w14:paraId="636518B0">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 xml:space="preserve">单位地址： </w:t>
            </w:r>
          </w:p>
        </w:tc>
      </w:tr>
      <w:tr w14:paraId="0CB9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2425" w:type="pct"/>
            <w:noWrap w:val="0"/>
            <w:vAlign w:val="top"/>
          </w:tcPr>
          <w:p w14:paraId="2649663A">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法定代表人：</w:t>
            </w:r>
          </w:p>
        </w:tc>
        <w:tc>
          <w:tcPr>
            <w:tcW w:w="2574" w:type="pct"/>
            <w:noWrap w:val="0"/>
            <w:vAlign w:val="top"/>
          </w:tcPr>
          <w:p w14:paraId="303AF82D">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法定代表人（负责人或自然人）：</w:t>
            </w:r>
          </w:p>
        </w:tc>
      </w:tr>
      <w:tr w14:paraId="022D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425" w:type="pct"/>
            <w:noWrap w:val="0"/>
            <w:vAlign w:val="center"/>
          </w:tcPr>
          <w:p w14:paraId="6EFDE2EA">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委托代理人：</w:t>
            </w:r>
          </w:p>
        </w:tc>
        <w:tc>
          <w:tcPr>
            <w:tcW w:w="2574" w:type="pct"/>
            <w:noWrap w:val="0"/>
            <w:vAlign w:val="center"/>
          </w:tcPr>
          <w:p w14:paraId="7C986245">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委托代理人</w:t>
            </w:r>
          </w:p>
        </w:tc>
      </w:tr>
      <w:tr w14:paraId="5DF5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2425" w:type="pct"/>
            <w:noWrap w:val="0"/>
            <w:vAlign w:val="center"/>
          </w:tcPr>
          <w:p w14:paraId="56C89D8B">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电话：0771-5722430</w:t>
            </w:r>
          </w:p>
        </w:tc>
        <w:tc>
          <w:tcPr>
            <w:tcW w:w="2574" w:type="pct"/>
            <w:noWrap w:val="0"/>
            <w:vAlign w:val="center"/>
          </w:tcPr>
          <w:p w14:paraId="4DCFC495">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电话（</w:t>
            </w:r>
            <w:r>
              <w:rPr>
                <w:rFonts w:hint="eastAsia" w:ascii="微软雅黑" w:hAnsi="微软雅黑" w:eastAsia="微软雅黑" w:cs="Times New Roman"/>
                <w:snapToGrid/>
                <w:color w:val="0000FF"/>
                <w:kern w:val="2"/>
                <w:sz w:val="21"/>
                <w:szCs w:val="21"/>
                <w:highlight w:val="none"/>
                <w:lang w:val="en-US" w:eastAsia="zh-CN"/>
              </w:rPr>
              <w:t>手机</w:t>
            </w:r>
            <w:r>
              <w:rPr>
                <w:rFonts w:hint="eastAsia" w:ascii="微软雅黑" w:hAnsi="微软雅黑" w:eastAsia="微软雅黑" w:cs="Times New Roman"/>
                <w:snapToGrid/>
                <w:color w:val="0000FF"/>
                <w:kern w:val="2"/>
                <w:sz w:val="21"/>
                <w:szCs w:val="21"/>
                <w:highlight w:val="none"/>
                <w:lang w:eastAsia="zh-CN"/>
              </w:rPr>
              <w:t>）：</w:t>
            </w:r>
          </w:p>
        </w:tc>
      </w:tr>
      <w:tr w14:paraId="4AB3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5" w:type="pct"/>
            <w:noWrap w:val="0"/>
            <w:vAlign w:val="center"/>
          </w:tcPr>
          <w:p w14:paraId="036C603B">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开户</w:t>
            </w:r>
            <w:r>
              <w:rPr>
                <w:rFonts w:hint="eastAsia" w:ascii="微软雅黑" w:hAnsi="微软雅黑" w:eastAsia="微软雅黑" w:cs="Arial"/>
                <w:snapToGrid/>
                <w:color w:val="000000"/>
                <w:kern w:val="2"/>
                <w:sz w:val="21"/>
                <w:szCs w:val="21"/>
                <w:highlight w:val="none"/>
                <w:lang w:eastAsia="zh-CN"/>
              </w:rPr>
              <w:t>银行：中国民生银行股份有限公司南宁金湖支行</w:t>
            </w:r>
          </w:p>
        </w:tc>
        <w:tc>
          <w:tcPr>
            <w:tcW w:w="2574" w:type="pct"/>
            <w:noWrap w:val="0"/>
            <w:vAlign w:val="top"/>
          </w:tcPr>
          <w:p w14:paraId="67570A90">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 xml:space="preserve">开户银行： </w:t>
            </w:r>
          </w:p>
        </w:tc>
      </w:tr>
      <w:tr w14:paraId="7092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425" w:type="pct"/>
            <w:noWrap w:val="0"/>
            <w:vAlign w:val="center"/>
          </w:tcPr>
          <w:p w14:paraId="12D779BD">
            <w:pPr>
              <w:widowControl w:val="0"/>
              <w:kinsoku/>
              <w:wordWrap/>
              <w:topLinePunct w:val="0"/>
              <w:autoSpaceDE/>
              <w:autoSpaceDN/>
              <w:adjustRightInd/>
              <w:snapToGrid/>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账号： 6313 33260</w:t>
            </w:r>
          </w:p>
        </w:tc>
        <w:tc>
          <w:tcPr>
            <w:tcW w:w="2574" w:type="pct"/>
            <w:noWrap w:val="0"/>
            <w:vAlign w:val="center"/>
          </w:tcPr>
          <w:p w14:paraId="156B1F29">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账号：</w:t>
            </w:r>
          </w:p>
        </w:tc>
      </w:tr>
      <w:tr w14:paraId="45C8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5" w:type="pct"/>
            <w:noWrap w:val="0"/>
            <w:vAlign w:val="center"/>
          </w:tcPr>
          <w:p w14:paraId="02695C2D">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统一社会信用代码：12450000498500618J</w:t>
            </w:r>
          </w:p>
        </w:tc>
        <w:tc>
          <w:tcPr>
            <w:tcW w:w="2574" w:type="pct"/>
            <w:noWrap w:val="0"/>
            <w:vAlign w:val="center"/>
          </w:tcPr>
          <w:p w14:paraId="63425F73">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统一社会信用代码：</w:t>
            </w:r>
          </w:p>
        </w:tc>
      </w:tr>
      <w:tr w14:paraId="798F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5" w:type="pct"/>
            <w:noWrap w:val="0"/>
            <w:vAlign w:val="center"/>
          </w:tcPr>
          <w:p w14:paraId="4B63530E">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邮政编码：</w:t>
            </w:r>
            <w:r>
              <w:rPr>
                <w:rFonts w:hint="eastAsia" w:ascii="微软雅黑" w:hAnsi="微软雅黑" w:eastAsia="微软雅黑" w:cs="Arial"/>
                <w:snapToGrid/>
                <w:color w:val="000000"/>
                <w:kern w:val="2"/>
                <w:sz w:val="21"/>
                <w:szCs w:val="21"/>
                <w:highlight w:val="none"/>
                <w:lang w:eastAsia="zh-CN"/>
              </w:rPr>
              <w:t>530021</w:t>
            </w:r>
          </w:p>
        </w:tc>
        <w:tc>
          <w:tcPr>
            <w:tcW w:w="2574" w:type="pct"/>
            <w:noWrap w:val="0"/>
            <w:vAlign w:val="center"/>
          </w:tcPr>
          <w:p w14:paraId="0182A7D7">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邮政编码：</w:t>
            </w:r>
          </w:p>
        </w:tc>
      </w:tr>
    </w:tbl>
    <w:p w14:paraId="7C365AC7">
      <w:pPr>
        <w:widowControl w:val="0"/>
        <w:kinsoku/>
        <w:wordWrap/>
        <w:topLinePunct w:val="0"/>
        <w:autoSpaceDE/>
        <w:autoSpaceDN/>
        <w:adjustRightInd/>
        <w:snapToGrid/>
        <w:spacing w:line="240" w:lineRule="auto"/>
        <w:ind w:firstLine="0" w:firstLineChars="0"/>
        <w:jc w:val="both"/>
        <w:textAlignment w:val="auto"/>
        <w:rPr>
          <w:rFonts w:ascii="Times New Roman" w:hAnsi="Times New Roman" w:eastAsia="宋体" w:cs="Times New Roman"/>
          <w:snapToGrid/>
          <w:kern w:val="2"/>
          <w:sz w:val="21"/>
          <w:highlight w:val="none"/>
          <w:lang w:eastAsia="zh-CN"/>
        </w:rPr>
      </w:pPr>
    </w:p>
    <w:p w14:paraId="761682EF">
      <w:pPr>
        <w:widowControl w:val="0"/>
        <w:kinsoku/>
        <w:wordWrap/>
        <w:topLinePunct w:val="0"/>
        <w:autoSpaceDE/>
        <w:autoSpaceDN/>
        <w:adjustRightInd/>
        <w:snapToGrid/>
        <w:spacing w:line="240" w:lineRule="auto"/>
        <w:ind w:firstLine="0" w:firstLineChars="0"/>
        <w:jc w:val="center"/>
        <w:textAlignment w:val="auto"/>
        <w:rPr>
          <w:rFonts w:hint="eastAsia" w:ascii="Times New Roman" w:hAnsi="宋体" w:eastAsia="宋体" w:cs="Times New Roman"/>
          <w:b/>
          <w:snapToGrid/>
          <w:kern w:val="2"/>
          <w:sz w:val="30"/>
          <w:szCs w:val="30"/>
          <w:highlight w:val="none"/>
          <w:lang w:eastAsia="zh-CN"/>
        </w:rPr>
      </w:pPr>
      <w:r>
        <w:rPr>
          <w:rFonts w:hint="eastAsia" w:ascii="Times New Roman" w:hAnsi="宋体" w:eastAsia="宋体" w:cs="Times New Roman"/>
          <w:b/>
          <w:snapToGrid/>
          <w:kern w:val="2"/>
          <w:sz w:val="30"/>
          <w:szCs w:val="30"/>
          <w:highlight w:val="none"/>
          <w:lang w:eastAsia="zh-CN"/>
        </w:rPr>
        <w:br w:type="page"/>
      </w:r>
    </w:p>
    <w:p w14:paraId="44854260">
      <w:pPr>
        <w:pStyle w:val="36"/>
        <w:bidi w:val="0"/>
        <w:rPr>
          <w:rFonts w:hint="default"/>
          <w:highlight w:val="none"/>
          <w:lang w:val="en-US" w:eastAsia="zh-CN"/>
        </w:rPr>
      </w:pPr>
      <w:r>
        <w:rPr>
          <w:rFonts w:hint="eastAsia"/>
          <w:highlight w:val="none"/>
          <w:lang w:val="en-US" w:eastAsia="zh-CN"/>
        </w:rPr>
        <w:t>合同附件：</w:t>
      </w:r>
    </w:p>
    <w:p w14:paraId="167B623C">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r>
        <w:rPr>
          <w:rFonts w:hint="eastAsia" w:ascii="黑体" w:hAnsi="黑体" w:eastAsia="黑体" w:cs="黑体"/>
          <w:b/>
          <w:bCs/>
          <w:snapToGrid/>
          <w:color w:val="0000FF"/>
          <w:kern w:val="0"/>
          <w:sz w:val="28"/>
          <w:szCs w:val="28"/>
          <w:highlight w:val="none"/>
          <w:lang w:val="en-US" w:eastAsia="zh-CN" w:bidi="ar"/>
        </w:rPr>
        <w:t>产品</w:t>
      </w:r>
      <w:r>
        <w:rPr>
          <w:rFonts w:hint="eastAsia" w:ascii="黑体" w:hAnsi="黑体" w:eastAsia="黑体" w:cs="黑体"/>
          <w:b/>
          <w:bCs/>
          <w:snapToGrid/>
          <w:color w:val="0000FF"/>
          <w:kern w:val="0"/>
          <w:sz w:val="28"/>
          <w:szCs w:val="28"/>
          <w:highlight w:val="none"/>
          <w:lang w:eastAsia="zh-CN" w:bidi="ar"/>
        </w:rPr>
        <w:t>技术参数</w:t>
      </w:r>
      <w:r>
        <w:rPr>
          <w:rFonts w:hint="eastAsia" w:ascii="黑体" w:hAnsi="黑体" w:eastAsia="黑体" w:cs="黑体"/>
          <w:b/>
          <w:bCs/>
          <w:snapToGrid/>
          <w:color w:val="0000FF"/>
          <w:kern w:val="0"/>
          <w:sz w:val="28"/>
          <w:szCs w:val="28"/>
          <w:highlight w:val="none"/>
          <w:lang w:val="en-US" w:eastAsia="zh-CN" w:bidi="ar"/>
        </w:rPr>
        <w:t>表</w:t>
      </w:r>
    </w:p>
    <w:p w14:paraId="52EAD4D7">
      <w:pPr>
        <w:widowControl w:val="0"/>
        <w:kinsoku/>
        <w:wordWrap/>
        <w:topLinePunct w:val="0"/>
        <w:autoSpaceDE/>
        <w:autoSpaceDN/>
        <w:adjustRightInd/>
        <w:snapToGrid/>
        <w:spacing w:before="214" w:line="387" w:lineRule="exact"/>
        <w:ind w:left="624" w:hanging="625" w:hangingChars="223"/>
        <w:jc w:val="both"/>
        <w:textAlignment w:val="auto"/>
        <w:rPr>
          <w:rFonts w:hint="eastAsia" w:ascii="等线" w:hAnsi="等线" w:eastAsia="等线" w:cs="等线"/>
          <w:b/>
          <w:bCs/>
          <w:snapToGrid/>
          <w:kern w:val="0"/>
          <w:sz w:val="28"/>
          <w:szCs w:val="28"/>
          <w:highlight w:val="none"/>
          <w:lang w:eastAsia="zh-CN" w:bidi="ar"/>
        </w:rPr>
      </w:pPr>
    </w:p>
    <w:p w14:paraId="14FF52E7">
      <w:pPr>
        <w:widowControl w:val="0"/>
        <w:spacing w:line="0" w:lineRule="atLeast"/>
        <w:jc w:val="both"/>
        <w:rPr>
          <w:rFonts w:hint="eastAsia" w:ascii="等线" w:hAnsi="等线" w:eastAsia="等线" w:cs="等线"/>
          <w:b/>
          <w:bCs/>
          <w:kern w:val="0"/>
          <w:sz w:val="28"/>
          <w:szCs w:val="28"/>
          <w:highlight w:val="none"/>
          <w:lang w:val="en-US" w:eastAsia="zh-CN" w:bidi="ar"/>
        </w:rPr>
      </w:pPr>
    </w:p>
    <w:p w14:paraId="1FFB3A85">
      <w:pPr>
        <w:widowControl w:val="0"/>
        <w:spacing w:line="0" w:lineRule="atLeast"/>
        <w:jc w:val="both"/>
        <w:rPr>
          <w:rFonts w:hint="eastAsia" w:ascii="等线" w:hAnsi="等线" w:eastAsia="等线" w:cs="等线"/>
          <w:b/>
          <w:bCs/>
          <w:kern w:val="0"/>
          <w:sz w:val="28"/>
          <w:szCs w:val="28"/>
          <w:highlight w:val="none"/>
          <w:lang w:val="en-US" w:eastAsia="zh-CN" w:bidi="ar"/>
        </w:rPr>
      </w:pPr>
    </w:p>
    <w:p w14:paraId="57A7D9F3">
      <w:pPr>
        <w:widowControl w:val="0"/>
        <w:spacing w:line="0" w:lineRule="atLeast"/>
        <w:jc w:val="both"/>
        <w:rPr>
          <w:rFonts w:hint="eastAsia" w:ascii="等线" w:hAnsi="等线" w:eastAsia="等线" w:cs="等线"/>
          <w:b/>
          <w:bCs/>
          <w:kern w:val="0"/>
          <w:sz w:val="28"/>
          <w:szCs w:val="28"/>
          <w:highlight w:val="none"/>
          <w:lang w:val="en-US" w:eastAsia="zh-CN" w:bidi="ar"/>
        </w:rPr>
      </w:pPr>
    </w:p>
    <w:p w14:paraId="16EB5762">
      <w:pPr>
        <w:widowControl w:val="0"/>
        <w:spacing w:line="0" w:lineRule="atLeast"/>
        <w:jc w:val="both"/>
        <w:rPr>
          <w:rFonts w:hint="eastAsia" w:ascii="等线" w:hAnsi="等线" w:eastAsia="等线" w:cs="等线"/>
          <w:b/>
          <w:bCs/>
          <w:kern w:val="0"/>
          <w:sz w:val="28"/>
          <w:szCs w:val="28"/>
          <w:highlight w:val="none"/>
          <w:lang w:val="en-US" w:eastAsia="zh-CN" w:bidi="ar"/>
        </w:rPr>
      </w:pPr>
    </w:p>
    <w:p w14:paraId="0E43F41A">
      <w:pPr>
        <w:widowControl w:val="0"/>
        <w:kinsoku/>
        <w:wordWrap/>
        <w:topLinePunct w:val="0"/>
        <w:autoSpaceDE/>
        <w:autoSpaceDN/>
        <w:adjustRightInd/>
        <w:snapToGrid/>
        <w:spacing w:before="214" w:line="387" w:lineRule="exact"/>
        <w:ind w:left="3266" w:firstLine="280" w:firstLineChars="100"/>
        <w:jc w:val="left"/>
        <w:textAlignment w:val="auto"/>
        <w:rPr>
          <w:rFonts w:hint="eastAsia" w:ascii="等线" w:hAnsi="等线" w:eastAsia="等线" w:cs="等线"/>
          <w:b/>
          <w:bCs/>
          <w:snapToGrid/>
          <w:kern w:val="0"/>
          <w:sz w:val="28"/>
          <w:szCs w:val="28"/>
          <w:highlight w:val="none"/>
          <w:lang w:eastAsia="zh-CN" w:bidi="ar"/>
        </w:rPr>
      </w:pPr>
    </w:p>
    <w:p w14:paraId="63F7CB2E">
      <w:pPr>
        <w:widowControl w:val="0"/>
        <w:spacing w:line="0" w:lineRule="atLeast"/>
        <w:jc w:val="both"/>
        <w:rPr>
          <w:rFonts w:hint="eastAsia" w:ascii="等线" w:hAnsi="等线" w:eastAsia="等线" w:cs="等线"/>
          <w:b/>
          <w:bCs/>
          <w:kern w:val="0"/>
          <w:sz w:val="28"/>
          <w:szCs w:val="28"/>
          <w:highlight w:val="none"/>
          <w:lang w:val="en-US" w:eastAsia="zh-CN" w:bidi="ar"/>
        </w:rPr>
      </w:pPr>
    </w:p>
    <w:p w14:paraId="61ADC5C4">
      <w:pPr>
        <w:widowControl w:val="0"/>
        <w:spacing w:line="0" w:lineRule="atLeast"/>
        <w:jc w:val="both"/>
        <w:rPr>
          <w:rFonts w:hint="eastAsia" w:ascii="等线" w:hAnsi="等线" w:eastAsia="等线" w:cs="等线"/>
          <w:b/>
          <w:bCs/>
          <w:kern w:val="0"/>
          <w:sz w:val="28"/>
          <w:szCs w:val="28"/>
          <w:highlight w:val="none"/>
          <w:lang w:val="en-US" w:eastAsia="zh-CN" w:bidi="ar"/>
        </w:rPr>
      </w:pPr>
    </w:p>
    <w:p w14:paraId="21BD0AD0">
      <w:pPr>
        <w:widowControl w:val="0"/>
        <w:spacing w:line="0" w:lineRule="atLeast"/>
        <w:jc w:val="both"/>
        <w:rPr>
          <w:rFonts w:hint="eastAsia" w:ascii="等线" w:hAnsi="等线" w:eastAsia="等线" w:cs="等线"/>
          <w:b/>
          <w:bCs/>
          <w:kern w:val="0"/>
          <w:sz w:val="28"/>
          <w:szCs w:val="28"/>
          <w:highlight w:val="none"/>
          <w:lang w:val="en-US" w:eastAsia="zh-CN" w:bidi="ar"/>
        </w:rPr>
      </w:pPr>
    </w:p>
    <w:p w14:paraId="2815A63C">
      <w:pPr>
        <w:widowControl w:val="0"/>
        <w:spacing w:line="0" w:lineRule="atLeast"/>
        <w:jc w:val="both"/>
        <w:rPr>
          <w:rFonts w:hint="eastAsia" w:ascii="等线" w:hAnsi="等线" w:eastAsia="等线" w:cs="等线"/>
          <w:b/>
          <w:bCs/>
          <w:kern w:val="0"/>
          <w:sz w:val="28"/>
          <w:szCs w:val="28"/>
          <w:highlight w:val="none"/>
          <w:lang w:val="en-US" w:eastAsia="zh-CN" w:bidi="ar"/>
        </w:rPr>
      </w:pPr>
    </w:p>
    <w:p w14:paraId="20EC12F8">
      <w:pPr>
        <w:widowControl w:val="0"/>
        <w:kinsoku/>
        <w:wordWrap/>
        <w:topLinePunct w:val="0"/>
        <w:autoSpaceDE/>
        <w:autoSpaceDN/>
        <w:adjustRightInd/>
        <w:snapToGrid/>
        <w:spacing w:line="240" w:lineRule="auto"/>
        <w:ind w:firstLine="0" w:firstLineChars="0"/>
        <w:jc w:val="center"/>
        <w:textAlignment w:val="auto"/>
        <w:rPr>
          <w:rFonts w:hint="eastAsia" w:ascii="黑体" w:hAnsi="黑体" w:eastAsia="黑体" w:cs="黑体"/>
          <w:b/>
          <w:bCs/>
          <w:snapToGrid/>
          <w:color w:val="0000FF"/>
          <w:kern w:val="0"/>
          <w:sz w:val="28"/>
          <w:szCs w:val="28"/>
          <w:highlight w:val="none"/>
          <w:lang w:val="en-US" w:eastAsia="zh-CN" w:bidi="ar"/>
        </w:rPr>
      </w:pPr>
      <w:r>
        <w:rPr>
          <w:rFonts w:hint="eastAsia" w:ascii="黑体" w:hAnsi="黑体" w:eastAsia="黑体" w:cs="黑体"/>
          <w:b/>
          <w:bCs/>
          <w:snapToGrid/>
          <w:color w:val="0000FF"/>
          <w:kern w:val="0"/>
          <w:sz w:val="28"/>
          <w:szCs w:val="28"/>
          <w:highlight w:val="none"/>
          <w:lang w:val="en-US" w:eastAsia="zh-CN" w:bidi="ar"/>
        </w:rPr>
        <w:t>设备配置（或装箱）清单</w:t>
      </w:r>
    </w:p>
    <w:p w14:paraId="30D41510">
      <w:pPr>
        <w:rPr>
          <w:highlight w:val="none"/>
          <w:lang w:val="en-US" w:eastAsia="zh-CN"/>
        </w:rPr>
      </w:pPr>
    </w:p>
    <w:p w14:paraId="7242CD3B">
      <w:pPr>
        <w:rPr>
          <w:highlight w:val="none"/>
          <w:lang w:val="en-US" w:eastAsia="zh-CN"/>
        </w:rPr>
      </w:pPr>
    </w:p>
    <w:p w14:paraId="20797C4E">
      <w:pPr>
        <w:rPr>
          <w:highlight w:val="none"/>
          <w:lang w:val="en-US" w:eastAsia="zh-CN"/>
        </w:rPr>
      </w:pPr>
    </w:p>
    <w:p w14:paraId="7ED60739">
      <w:pPr>
        <w:widowControl/>
        <w:kinsoku/>
        <w:wordWrap/>
        <w:topLinePunct w:val="0"/>
        <w:autoSpaceDE/>
        <w:autoSpaceDN/>
        <w:adjustRightInd/>
        <w:snapToGrid/>
        <w:spacing w:line="240" w:lineRule="auto"/>
        <w:ind w:firstLine="0" w:firstLineChars="0"/>
        <w:jc w:val="left"/>
        <w:textAlignment w:val="auto"/>
        <w:rPr>
          <w:highlight w:val="none"/>
          <w:lang w:eastAsia="zh-CN"/>
        </w:rPr>
      </w:pPr>
    </w:p>
    <w:p w14:paraId="187895CF">
      <w:pPr>
        <w:widowControl w:val="0"/>
        <w:spacing w:line="0" w:lineRule="atLeast"/>
        <w:jc w:val="both"/>
        <w:rPr>
          <w:rFonts w:ascii="等线" w:hAnsi="等线" w:eastAsia="等线" w:cs="等线"/>
          <w:color w:val="BEBEBE"/>
          <w:kern w:val="0"/>
          <w:sz w:val="28"/>
          <w:szCs w:val="28"/>
          <w:highlight w:val="none"/>
          <w:lang w:val="en-US" w:eastAsia="zh-CN" w:bidi="ar-SA"/>
        </w:rPr>
      </w:pPr>
    </w:p>
    <w:p w14:paraId="22331D11">
      <w:pPr>
        <w:widowControl w:val="0"/>
        <w:spacing w:line="0" w:lineRule="atLeast"/>
        <w:jc w:val="both"/>
        <w:rPr>
          <w:rFonts w:ascii="等线" w:hAnsi="等线" w:eastAsia="等线" w:cs="等线"/>
          <w:color w:val="BEBEBE"/>
          <w:kern w:val="0"/>
          <w:sz w:val="28"/>
          <w:szCs w:val="28"/>
          <w:highlight w:val="none"/>
          <w:lang w:val="en-US" w:eastAsia="zh-CN" w:bidi="ar-SA"/>
        </w:rPr>
      </w:pPr>
      <w:r>
        <w:rPr>
          <w:rFonts w:ascii="等线" w:hAnsi="等线" w:eastAsia="等线" w:cs="等线"/>
          <w:color w:val="BEBEBE"/>
          <w:kern w:val="0"/>
          <w:sz w:val="28"/>
          <w:szCs w:val="28"/>
          <w:highlight w:val="none"/>
          <w:lang w:val="en-US" w:eastAsia="zh-CN" w:bidi="ar-SA"/>
        </w:rPr>
        <w:br w:type="page"/>
      </w:r>
    </w:p>
    <w:p w14:paraId="06B06BF4">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r>
        <w:rPr>
          <w:rFonts w:hint="eastAsia" w:ascii="黑体" w:hAnsi="黑体" w:eastAsia="黑体" w:cs="黑体"/>
          <w:b/>
          <w:bCs/>
          <w:snapToGrid/>
          <w:color w:val="0000FF"/>
          <w:kern w:val="0"/>
          <w:sz w:val="28"/>
          <w:szCs w:val="28"/>
          <w:highlight w:val="none"/>
          <w:lang w:val="en-US" w:eastAsia="zh-CN" w:bidi="ar"/>
        </w:rPr>
        <w:t>厂家售后服务承诺</w:t>
      </w:r>
    </w:p>
    <w:p w14:paraId="6ED090F6">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49B30093">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7983E722">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42EA04A3">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70447962">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1C355FF9">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15DB652B">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462379B9">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1BE88679">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2EBE18B6">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4A9D9360">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6118ED8C">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0B5A517C">
      <w:pPr>
        <w:widowControl w:val="0"/>
        <w:kinsoku/>
        <w:wordWrap/>
        <w:topLinePunct w:val="0"/>
        <w:autoSpaceDE/>
        <w:autoSpaceDN/>
        <w:adjustRightInd/>
        <w:snapToGrid/>
        <w:spacing w:line="240" w:lineRule="auto"/>
        <w:ind w:firstLine="0" w:firstLineChars="0"/>
        <w:jc w:val="center"/>
        <w:textAlignment w:val="auto"/>
        <w:rPr>
          <w:rFonts w:hint="default" w:ascii="黑体" w:hAnsi="黑体" w:eastAsia="黑体" w:cs="黑体"/>
          <w:b/>
          <w:bCs/>
          <w:snapToGrid/>
          <w:color w:val="FF0000"/>
          <w:kern w:val="0"/>
          <w:sz w:val="28"/>
          <w:szCs w:val="28"/>
          <w:highlight w:val="none"/>
          <w:lang w:val="en-US" w:eastAsia="zh-CN" w:bidi="ar"/>
        </w:rPr>
      </w:pPr>
      <w:r>
        <w:rPr>
          <w:rFonts w:hint="eastAsia" w:ascii="黑体" w:hAnsi="黑体" w:eastAsia="黑体" w:cs="黑体"/>
          <w:b/>
          <w:bCs/>
          <w:snapToGrid/>
          <w:color w:val="0000FF"/>
          <w:kern w:val="0"/>
          <w:sz w:val="28"/>
          <w:szCs w:val="28"/>
          <w:highlight w:val="none"/>
          <w:lang w:val="en-US" w:eastAsia="zh-CN" w:bidi="ar"/>
        </w:rPr>
        <w:t>供应商售后服务承诺</w:t>
      </w:r>
      <w:r>
        <w:rPr>
          <w:rFonts w:hint="eastAsia" w:ascii="黑体" w:hAnsi="黑体" w:eastAsia="黑体" w:cs="黑体"/>
          <w:b/>
          <w:bCs/>
          <w:snapToGrid/>
          <w:color w:val="FF0000"/>
          <w:kern w:val="0"/>
          <w:sz w:val="28"/>
          <w:szCs w:val="28"/>
          <w:highlight w:val="none"/>
          <w:lang w:val="en-US" w:eastAsia="zh-CN" w:bidi="ar"/>
        </w:rPr>
        <w:t>(必填)</w:t>
      </w:r>
    </w:p>
    <w:p w14:paraId="33619F79">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39CE21A6">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333273DE">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7C6F76D7">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79FBE09D">
      <w:pPr>
        <w:widowControl w:val="0"/>
        <w:kinsoku/>
        <w:wordWrap/>
        <w:topLinePunct w:val="0"/>
        <w:autoSpaceDE/>
        <w:autoSpaceDN/>
        <w:adjustRightInd/>
        <w:snapToGrid/>
        <w:spacing w:before="214" w:line="387" w:lineRule="exact"/>
        <w:ind w:firstLine="0" w:firstLineChars="0"/>
        <w:jc w:val="both"/>
        <w:textAlignment w:val="auto"/>
        <w:rPr>
          <w:rFonts w:hint="eastAsia" w:ascii="宋体" w:hAnsi="宋体" w:eastAsia="宋体" w:cs="宋体"/>
          <w:snapToGrid/>
          <w:spacing w:val="17"/>
          <w:kern w:val="2"/>
          <w:position w:val="1"/>
          <w:sz w:val="28"/>
          <w:szCs w:val="28"/>
          <w:highlight w:val="none"/>
          <w:lang w:eastAsia="zh-CN"/>
        </w:rPr>
      </w:pPr>
    </w:p>
    <w:p w14:paraId="733233A5">
      <w:pPr>
        <w:widowControl w:val="0"/>
        <w:autoSpaceDE w:val="0"/>
        <w:autoSpaceDN w:val="0"/>
        <w:adjustRightInd w:val="0"/>
        <w:spacing w:before="240" w:after="60"/>
        <w:jc w:val="center"/>
        <w:outlineLvl w:val="9"/>
        <w:rPr>
          <w:rFonts w:ascii="等线" w:hAnsi="等线" w:eastAsia="等线" w:cs="等线"/>
          <w:b w:val="0"/>
          <w:bCs w:val="0"/>
          <w:color w:val="0000FF"/>
          <w:kern w:val="0"/>
          <w:sz w:val="28"/>
          <w:szCs w:val="28"/>
          <w:highlight w:val="none"/>
          <w:lang w:val="en-US" w:eastAsia="zh-CN" w:bidi="ar"/>
        </w:rPr>
      </w:pPr>
      <w:r>
        <w:rPr>
          <w:rFonts w:hint="eastAsia" w:ascii="宋体" w:hAnsi="宋体" w:eastAsia="宋体" w:cs="宋体"/>
          <w:b/>
          <w:bCs/>
          <w:color w:val="000000"/>
          <w:spacing w:val="17"/>
          <w:kern w:val="2"/>
          <w:position w:val="1"/>
          <w:sz w:val="28"/>
          <w:szCs w:val="28"/>
          <w:highlight w:val="none"/>
          <w:lang w:val="en-US" w:eastAsia="zh-CN" w:bidi="ar-SA"/>
        </w:rPr>
        <w:br w:type="page"/>
      </w:r>
      <w:r>
        <w:rPr>
          <w:rFonts w:hint="eastAsia" w:ascii="黑体" w:hAnsi="黑体" w:eastAsia="黑体" w:cs="黑体"/>
          <w:b/>
          <w:bCs/>
          <w:color w:val="0000FF"/>
          <w:kern w:val="0"/>
          <w:sz w:val="28"/>
          <w:szCs w:val="28"/>
          <w:highlight w:val="none"/>
          <w:lang w:val="en-US" w:eastAsia="zh-CN" w:bidi="ar"/>
        </w:rPr>
        <w:t>产品注册证/备案证/如非医疗产品的标签（需体现厂家，型号等）</w:t>
      </w:r>
    </w:p>
    <w:p w14:paraId="54FDD033">
      <w:pPr>
        <w:widowControl w:val="0"/>
        <w:kinsoku/>
        <w:wordWrap/>
        <w:topLinePunct w:val="0"/>
        <w:autoSpaceDE/>
        <w:autoSpaceDN/>
        <w:adjustRightInd/>
        <w:snapToGrid/>
        <w:spacing w:line="240" w:lineRule="auto"/>
        <w:ind w:firstLine="0" w:firstLineChars="0"/>
        <w:jc w:val="both"/>
        <w:textAlignment w:val="auto"/>
        <w:rPr>
          <w:rFonts w:ascii="Times New Roman" w:hAnsi="Times New Roman" w:eastAsia="宋体" w:cs="Times New Roman"/>
          <w:snapToGrid/>
          <w:kern w:val="2"/>
          <w:sz w:val="21"/>
          <w:highlight w:val="none"/>
          <w:lang w:eastAsia="zh-CN"/>
        </w:rPr>
      </w:pPr>
    </w:p>
    <w:p w14:paraId="7DCB045C">
      <w:pPr>
        <w:rPr>
          <w:highlight w:val="none"/>
          <w:lang w:val="en-US" w:eastAsia="zh-CN"/>
        </w:rPr>
      </w:pPr>
    </w:p>
    <w:p w14:paraId="6BD7B418">
      <w:pPr>
        <w:widowControl w:val="0"/>
        <w:kinsoku/>
        <w:wordWrap/>
        <w:topLinePunct w:val="0"/>
        <w:autoSpaceDE/>
        <w:autoSpaceDN/>
        <w:adjustRightInd/>
        <w:snapToGrid/>
        <w:spacing w:line="240" w:lineRule="auto"/>
        <w:ind w:firstLine="0" w:firstLineChars="0"/>
        <w:jc w:val="both"/>
        <w:textAlignment w:val="auto"/>
        <w:rPr>
          <w:rFonts w:hint="eastAsia" w:ascii="宋体" w:hAnsi="宋体" w:eastAsia="宋体" w:cs="宋体"/>
          <w:b/>
          <w:bCs/>
          <w:snapToGrid/>
          <w:kern w:val="2"/>
          <w:sz w:val="21"/>
          <w:szCs w:val="21"/>
          <w:highlight w:val="none"/>
          <w:lang w:eastAsia="zh-CN"/>
        </w:rPr>
      </w:pPr>
    </w:p>
    <w:p w14:paraId="639944E9">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35CE4663">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1C56FDDB">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01BC2CF5">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0ADF4FBF">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3AF64129">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2CB3A6FC">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096D5FE1">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41E29860">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51E4C354">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00D9D6D2">
      <w:pPr>
        <w:widowControl w:val="0"/>
        <w:spacing w:line="0" w:lineRule="atLeast"/>
        <w:jc w:val="both"/>
        <w:rPr>
          <w:rFonts w:hint="eastAsia" w:ascii="Times New Roman" w:hAnsi="Times New Roman" w:eastAsia="宋体" w:cs="Times New Roman"/>
          <w:kern w:val="2"/>
          <w:sz w:val="30"/>
          <w:szCs w:val="24"/>
          <w:highlight w:val="none"/>
          <w:lang w:val="en-US" w:eastAsia="zh-CN" w:bidi="ar-SA"/>
        </w:rPr>
      </w:pPr>
    </w:p>
    <w:p w14:paraId="3965BB03">
      <w:pPr>
        <w:widowControl w:val="0"/>
        <w:autoSpaceDE w:val="0"/>
        <w:autoSpaceDN w:val="0"/>
        <w:adjustRightInd w:val="0"/>
        <w:spacing w:before="240" w:after="60"/>
        <w:jc w:val="center"/>
        <w:outlineLvl w:val="9"/>
        <w:rPr>
          <w:rFonts w:hint="eastAsia" w:ascii="等线" w:hAnsi="等线" w:eastAsia="等线" w:cs="等线"/>
          <w:b/>
          <w:bCs/>
          <w:color w:val="0000FF"/>
          <w:kern w:val="0"/>
          <w:sz w:val="28"/>
          <w:szCs w:val="28"/>
          <w:highlight w:val="none"/>
          <w:lang w:val="en-US" w:eastAsia="zh-CN" w:bidi="ar"/>
        </w:rPr>
      </w:pPr>
      <w:r>
        <w:rPr>
          <w:rFonts w:hint="eastAsia" w:ascii="宋体" w:hAnsi="Calibri" w:eastAsia="宋体" w:cs="宋体"/>
          <w:b/>
          <w:bCs/>
          <w:color w:val="000000"/>
          <w:kern w:val="2"/>
          <w:sz w:val="24"/>
          <w:szCs w:val="24"/>
          <w:highlight w:val="none"/>
          <w:lang w:val="en-US" w:eastAsia="zh-CN" w:bidi="ar-SA"/>
        </w:rPr>
        <w:br w:type="page"/>
      </w:r>
      <w:bookmarkStart w:id="91" w:name="_Toc59807980"/>
      <w:bookmarkStart w:id="92" w:name="_Toc67303667"/>
      <w:bookmarkStart w:id="93" w:name="_Toc55223015"/>
      <w:bookmarkStart w:id="94" w:name="_Toc106369833"/>
      <w:bookmarkStart w:id="95" w:name="_Toc29998"/>
      <w:bookmarkStart w:id="96" w:name="_Toc104379508"/>
      <w:bookmarkStart w:id="97" w:name="_Toc10309"/>
      <w:r>
        <w:rPr>
          <w:rFonts w:hint="eastAsia" w:ascii="黑体" w:hAnsi="黑体" w:eastAsia="黑体" w:cs="黑体"/>
          <w:b/>
          <w:bCs/>
          <w:color w:val="0000FF"/>
          <w:kern w:val="0"/>
          <w:sz w:val="28"/>
          <w:szCs w:val="28"/>
          <w:highlight w:val="none"/>
          <w:lang w:val="en-US" w:eastAsia="zh-CN" w:bidi="ar"/>
        </w:rPr>
        <w:t>附：</w:t>
      </w:r>
      <w:bookmarkEnd w:id="91"/>
      <w:bookmarkEnd w:id="92"/>
      <w:bookmarkEnd w:id="93"/>
      <w:bookmarkEnd w:id="94"/>
      <w:bookmarkEnd w:id="95"/>
      <w:bookmarkEnd w:id="96"/>
      <w:bookmarkEnd w:id="97"/>
      <w:r>
        <w:rPr>
          <w:rFonts w:hint="eastAsia" w:ascii="黑体" w:hAnsi="黑体" w:eastAsia="黑体" w:cs="黑体"/>
          <w:b/>
          <w:bCs/>
          <w:color w:val="0000FF"/>
          <w:kern w:val="0"/>
          <w:sz w:val="28"/>
          <w:szCs w:val="28"/>
          <w:highlight w:val="none"/>
          <w:lang w:val="en-US" w:eastAsia="zh-CN" w:bidi="ar"/>
        </w:rPr>
        <w:t>全国个体私营经济发展服务网（小微企业名录）网页查询截图</w:t>
      </w:r>
    </w:p>
    <w:p w14:paraId="63565360">
      <w:pPr>
        <w:widowControl w:val="0"/>
        <w:autoSpaceDE w:val="0"/>
        <w:autoSpaceDN w:val="0"/>
        <w:adjustRightInd w:val="0"/>
        <w:spacing w:before="240" w:after="60"/>
        <w:jc w:val="center"/>
        <w:outlineLvl w:val="9"/>
        <w:rPr>
          <w:rFonts w:hint="eastAsia" w:ascii="等线" w:hAnsi="等线" w:eastAsia="等线" w:cs="等线"/>
          <w:b/>
          <w:bCs/>
          <w:color w:val="FF0000"/>
          <w:kern w:val="0"/>
          <w:sz w:val="28"/>
          <w:szCs w:val="28"/>
          <w:highlight w:val="none"/>
          <w:lang w:val="en-US" w:eastAsia="zh-CN" w:bidi="ar"/>
        </w:rPr>
      </w:pPr>
      <w:r>
        <w:rPr>
          <w:rFonts w:hint="eastAsia" w:ascii="等线" w:hAnsi="等线" w:eastAsia="等线" w:cs="等线"/>
          <w:b/>
          <w:bCs/>
          <w:color w:val="FF0000"/>
          <w:kern w:val="0"/>
          <w:sz w:val="28"/>
          <w:szCs w:val="28"/>
          <w:highlight w:val="none"/>
          <w:lang w:val="en-US" w:eastAsia="zh-CN" w:bidi="ar"/>
        </w:rPr>
        <w:t>（查询网址：</w:t>
      </w:r>
      <w:r>
        <w:rPr>
          <w:rFonts w:hint="eastAsia" w:ascii="等线" w:hAnsi="等线" w:eastAsia="等线" w:cs="等线"/>
          <w:b/>
          <w:bCs/>
          <w:color w:val="FF0000"/>
          <w:kern w:val="0"/>
          <w:sz w:val="28"/>
          <w:szCs w:val="28"/>
          <w:highlight w:val="none"/>
          <w:lang w:val="en-US" w:eastAsia="zh-CN" w:bidi="ar"/>
        </w:rPr>
        <w:fldChar w:fldCharType="begin"/>
      </w:r>
      <w:r>
        <w:rPr>
          <w:rFonts w:ascii="宋体" w:hAnsi="Calibri" w:eastAsia="宋体" w:cs="宋体"/>
          <w:b/>
          <w:bCs/>
          <w:color w:val="000000"/>
          <w:kern w:val="2"/>
          <w:sz w:val="24"/>
          <w:szCs w:val="24"/>
          <w:highlight w:val="none"/>
          <w:lang w:val="en-US" w:eastAsia="zh-CN" w:bidi="ar-SA"/>
        </w:rPr>
        <w:instrText xml:space="preserve"> HYPERLINK "https://xwqy.gsxt.gov.cn/" </w:instrText>
      </w:r>
      <w:r>
        <w:rPr>
          <w:rFonts w:hint="eastAsia" w:ascii="等线" w:hAnsi="等线" w:eastAsia="等线" w:cs="等线"/>
          <w:b/>
          <w:bCs/>
          <w:color w:val="FF0000"/>
          <w:kern w:val="0"/>
          <w:sz w:val="28"/>
          <w:szCs w:val="28"/>
          <w:highlight w:val="none"/>
          <w:lang w:val="en-US" w:eastAsia="zh-CN" w:bidi="ar"/>
        </w:rPr>
        <w:fldChar w:fldCharType="separate"/>
      </w:r>
      <w:r>
        <w:rPr>
          <w:rStyle w:val="28"/>
          <w:rFonts w:hint="eastAsia" w:ascii="等线" w:hAnsi="等线" w:eastAsia="等线" w:cs="等线"/>
          <w:b/>
          <w:bCs/>
          <w:kern w:val="0"/>
          <w:sz w:val="28"/>
          <w:szCs w:val="28"/>
          <w:highlight w:val="none"/>
          <w:lang w:val="en-US" w:eastAsia="zh-CN" w:bidi="ar"/>
        </w:rPr>
        <w:t>https://xwqy.gsxt.gov.cn/</w:t>
      </w:r>
      <w:r>
        <w:rPr>
          <w:rFonts w:hint="eastAsia" w:ascii="等线" w:hAnsi="等线" w:eastAsia="等线" w:cs="等线"/>
          <w:b/>
          <w:bCs/>
          <w:color w:val="FF0000"/>
          <w:kern w:val="0"/>
          <w:sz w:val="28"/>
          <w:szCs w:val="28"/>
          <w:highlight w:val="none"/>
          <w:lang w:val="en-US" w:eastAsia="zh-CN" w:bidi="ar"/>
        </w:rPr>
        <w:fldChar w:fldCharType="end"/>
      </w:r>
      <w:r>
        <w:rPr>
          <w:rFonts w:hint="eastAsia" w:ascii="等线" w:hAnsi="等线" w:eastAsia="等线" w:cs="等线"/>
          <w:b/>
          <w:bCs/>
          <w:color w:val="FF0000"/>
          <w:kern w:val="0"/>
          <w:sz w:val="28"/>
          <w:szCs w:val="28"/>
          <w:highlight w:val="none"/>
          <w:lang w:val="en-US" w:eastAsia="zh-CN" w:bidi="ar"/>
        </w:rPr>
        <w:t>）</w:t>
      </w:r>
    </w:p>
    <w:p w14:paraId="1DDA2D18">
      <w:pPr>
        <w:widowControl w:val="0"/>
        <w:kinsoku/>
        <w:wordWrap/>
        <w:topLinePunct w:val="0"/>
        <w:autoSpaceDE/>
        <w:autoSpaceDN/>
        <w:adjustRightInd/>
        <w:snapToGrid/>
        <w:spacing w:line="240" w:lineRule="auto"/>
        <w:ind w:firstLine="0" w:firstLineChars="0"/>
        <w:jc w:val="center"/>
        <w:textAlignment w:val="auto"/>
        <w:rPr>
          <w:rFonts w:hint="eastAsia" w:ascii="Times New Roman" w:hAnsi="Times New Roman" w:eastAsia="宋体" w:cs="Times New Roman"/>
          <w:snapToGrid/>
          <w:kern w:val="2"/>
          <w:sz w:val="21"/>
          <w:highlight w:val="none"/>
          <w:lang w:val="en-US" w:eastAsia="zh-CN"/>
        </w:rPr>
      </w:pPr>
      <w:r>
        <w:rPr>
          <w:rFonts w:hint="eastAsia" w:ascii="等线" w:hAnsi="等线" w:eastAsia="等线" w:cs="等线"/>
          <w:b/>
          <w:bCs/>
          <w:snapToGrid/>
          <w:color w:val="FF0000"/>
          <w:kern w:val="0"/>
          <w:sz w:val="26"/>
          <w:szCs w:val="26"/>
          <w:highlight w:val="none"/>
          <w:lang w:val="en-US" w:eastAsia="zh-CN" w:bidi="ar"/>
        </w:rPr>
        <w:t>（能提供证明材料就按2%计算履约保证金、不提供按5%计算履约保证金）</w:t>
      </w:r>
    </w:p>
    <w:p w14:paraId="77225C82">
      <w:pPr>
        <w:widowControl w:val="0"/>
        <w:autoSpaceDE w:val="0"/>
        <w:autoSpaceDN w:val="0"/>
        <w:adjustRightInd w:val="0"/>
        <w:spacing w:before="240" w:after="60"/>
        <w:jc w:val="left"/>
        <w:outlineLvl w:val="9"/>
        <w:rPr>
          <w:rStyle w:val="29"/>
          <w:rFonts w:ascii="宋体" w:hAnsi="Calibri" w:eastAsia="宋体" w:cs="宋体"/>
          <w:b/>
          <w:bCs/>
          <w:color w:val="D8D8D8"/>
          <w:kern w:val="2"/>
          <w:sz w:val="24"/>
          <w:szCs w:val="24"/>
          <w:highlight w:val="none"/>
          <w:lang w:val="en-US" w:eastAsia="zh-CN" w:bidi="ar-SA"/>
        </w:rPr>
      </w:pPr>
      <w:r>
        <w:rPr>
          <w:rFonts w:hint="eastAsia" w:ascii="宋体" w:hAnsi="Calibri" w:eastAsia="宋体" w:cs="宋体"/>
          <w:b/>
          <w:bCs/>
          <w:color w:val="auto"/>
          <w:kern w:val="2"/>
          <w:sz w:val="24"/>
          <w:szCs w:val="24"/>
          <w:highlight w:val="none"/>
          <w:lang w:val="en-US" w:eastAsia="zh-CN" w:bidi="ar-SA"/>
        </w:rPr>
        <w:t>粘贴处：</w:t>
      </w:r>
    </w:p>
    <w:p w14:paraId="20B9210A">
      <w:pPr>
        <w:widowControl w:val="0"/>
        <w:spacing w:line="0" w:lineRule="atLeast"/>
        <w:jc w:val="both"/>
        <w:rPr>
          <w:rFonts w:ascii="Times New Roman" w:hAnsi="Times New Roman" w:eastAsia="宋体" w:cs="Times New Roman"/>
          <w:kern w:val="2"/>
          <w:sz w:val="30"/>
          <w:szCs w:val="24"/>
          <w:highlight w:val="none"/>
          <w:lang w:val="en-US" w:eastAsia="zh-CN" w:bidi="ar-SA"/>
        </w:rPr>
      </w:pPr>
    </w:p>
    <w:p w14:paraId="12EB5B7D">
      <w:pPr>
        <w:widowControl w:val="0"/>
        <w:spacing w:line="0" w:lineRule="atLeast"/>
        <w:jc w:val="both"/>
        <w:rPr>
          <w:rFonts w:ascii="Times New Roman" w:hAnsi="Times New Roman" w:eastAsia="宋体" w:cs="Times New Roman"/>
          <w:kern w:val="2"/>
          <w:sz w:val="30"/>
          <w:szCs w:val="24"/>
          <w:highlight w:val="none"/>
          <w:lang w:val="en-US" w:eastAsia="zh-CN" w:bidi="ar-SA"/>
        </w:rPr>
      </w:pPr>
      <w:r>
        <w:rPr>
          <w:rFonts w:ascii="Times New Roman" w:hAnsi="Times New Roman" w:eastAsia="宋体" w:cs="Times New Roman"/>
          <w:kern w:val="2"/>
          <w:sz w:val="30"/>
          <w:szCs w:val="24"/>
          <w:highlight w:val="none"/>
          <w:lang w:val="en-US" w:eastAsia="zh-CN" w:bidi="ar-SA"/>
        </w:rPr>
        <w:br w:type="page"/>
      </w:r>
      <w:r>
        <w:rPr>
          <w:rFonts w:hint="eastAsia" w:ascii="Times New Roman" w:hAnsi="Times New Roman" w:eastAsia="宋体" w:cs="Times New Roman"/>
          <w:b/>
          <w:bCs/>
          <w:color w:val="FF0000"/>
          <w:kern w:val="2"/>
          <w:sz w:val="30"/>
          <w:szCs w:val="24"/>
          <w:highlight w:val="none"/>
          <w:lang w:val="en-US" w:eastAsia="zh-CN" w:bidi="ar-SA"/>
        </w:rPr>
        <w:t>样张：</w:t>
      </w:r>
    </w:p>
    <w:p w14:paraId="79BCC563">
      <w:pPr>
        <w:widowControl w:val="0"/>
        <w:autoSpaceDE w:val="0"/>
        <w:autoSpaceDN w:val="0"/>
        <w:adjustRightInd w:val="0"/>
        <w:spacing w:before="240" w:after="60"/>
        <w:jc w:val="center"/>
        <w:outlineLvl w:val="9"/>
        <w:rPr>
          <w:rFonts w:ascii="宋体" w:hAnsi="Calibri" w:eastAsia="宋体" w:cs="宋体"/>
          <w:b/>
          <w:bCs/>
          <w:color w:val="000000"/>
          <w:kern w:val="2"/>
          <w:sz w:val="24"/>
          <w:szCs w:val="24"/>
          <w:highlight w:val="none"/>
          <w:lang w:val="en-US" w:eastAsia="zh-CN" w:bidi="ar"/>
        </w:rPr>
      </w:pPr>
      <w:r>
        <w:rPr>
          <w:rFonts w:hint="eastAsia" w:ascii="宋体" w:hAnsi="Calibri" w:eastAsia="宋体" w:cs="宋体"/>
          <w:b/>
          <w:bCs/>
          <w:color w:val="000000"/>
          <w:kern w:val="2"/>
          <w:sz w:val="24"/>
          <w:szCs w:val="24"/>
          <w:highlight w:val="none"/>
          <w:lang w:val="en-US" w:eastAsia="zh-CN" w:bidi="ar-SA"/>
        </w:rPr>
        <w:t>附：《全国个体私营经济发展服务网（小微企业名录）》网页查询截图</w:t>
      </w:r>
    </w:p>
    <w:p w14:paraId="57E95E03">
      <w:pPr>
        <w:rPr>
          <w:highlight w:val="none"/>
          <w:lang w:val="en-US" w:eastAsia="zh-CN"/>
        </w:rPr>
      </w:pPr>
    </w:p>
    <w:p w14:paraId="1B488DCE">
      <w:pPr>
        <w:widowControl w:val="0"/>
        <w:spacing w:line="0" w:lineRule="atLeast"/>
        <w:ind w:left="0" w:leftChars="0" w:firstLine="0" w:firstLineChars="0"/>
        <w:jc w:val="center"/>
        <w:rPr>
          <w:rFonts w:hint="eastAsia" w:ascii="Times New Roman" w:hAnsi="Times New Roman" w:eastAsia="宋体" w:cs="Times New Roman"/>
          <w:kern w:val="2"/>
          <w:sz w:val="30"/>
          <w:szCs w:val="24"/>
          <w:highlight w:val="none"/>
          <w:lang w:val="en-US" w:eastAsia="zh-CN" w:bidi="ar-SA"/>
        </w:rPr>
      </w:pPr>
      <w:r>
        <w:rPr>
          <w:rFonts w:ascii="Times New Roman" w:hAnsi="Times New Roman" w:eastAsia="宋体" w:cs="Times New Roman"/>
          <w:kern w:val="2"/>
          <w:sz w:val="30"/>
          <w:szCs w:val="24"/>
          <w:highlight w:val="none"/>
          <w:lang w:val="en-US" w:eastAsia="zh-CN" w:bidi="ar-SA"/>
        </w:rPr>
        <w:drawing>
          <wp:inline distT="0" distB="0" distL="114300" distR="114300">
            <wp:extent cx="6163310" cy="3679190"/>
            <wp:effectExtent l="0" t="0" r="8890" b="1651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2"/>
                    <a:srcRect t="10944"/>
                    <a:stretch>
                      <a:fillRect/>
                    </a:stretch>
                  </pic:blipFill>
                  <pic:spPr>
                    <a:xfrm>
                      <a:off x="0" y="0"/>
                      <a:ext cx="6163310" cy="3679190"/>
                    </a:xfrm>
                    <a:prstGeom prst="rect">
                      <a:avLst/>
                    </a:prstGeom>
                    <a:noFill/>
                    <a:ln>
                      <a:noFill/>
                    </a:ln>
                  </pic:spPr>
                </pic:pic>
              </a:graphicData>
            </a:graphic>
          </wp:inline>
        </w:drawing>
      </w:r>
      <w:r>
        <w:rPr>
          <w:rFonts w:ascii="Times New Roman" w:hAnsi="Times New Roman" w:eastAsia="宋体" w:cs="Times New Roman"/>
          <w:kern w:val="2"/>
          <w:sz w:val="30"/>
          <w:szCs w:val="24"/>
          <w:highlight w:val="none"/>
          <w:lang w:val="en-US" w:eastAsia="zh-CN" w:bidi="ar-SA"/>
        </w:rPr>
        <w:drawing>
          <wp:inline distT="0" distB="0" distL="114300" distR="114300">
            <wp:extent cx="6155690" cy="3949700"/>
            <wp:effectExtent l="0" t="0" r="16510" b="1270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a:stretch>
                      <a:fillRect/>
                    </a:stretch>
                  </pic:blipFill>
                  <pic:spPr>
                    <a:xfrm>
                      <a:off x="0" y="0"/>
                      <a:ext cx="6155690" cy="3949700"/>
                    </a:xfrm>
                    <a:prstGeom prst="rect">
                      <a:avLst/>
                    </a:prstGeom>
                    <a:noFill/>
                    <a:ln>
                      <a:noFill/>
                    </a:ln>
                  </pic:spPr>
                </pic:pic>
              </a:graphicData>
            </a:graphic>
          </wp:inline>
        </w:drawing>
      </w:r>
    </w:p>
    <w:p w14:paraId="1402657F">
      <w:pPr>
        <w:widowControl w:val="0"/>
        <w:kinsoku/>
        <w:wordWrap/>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65767CB4">
      <w:pPr>
        <w:widowControl w:val="0"/>
        <w:kinsoku/>
        <w:wordWrap/>
        <w:topLinePunct w:val="0"/>
        <w:autoSpaceDE/>
        <w:autoSpaceDN/>
        <w:adjustRightInd/>
        <w:snapToGrid/>
        <w:spacing w:line="240" w:lineRule="auto"/>
        <w:ind w:firstLine="0" w:firstLineChars="0"/>
        <w:jc w:val="center"/>
        <w:textAlignment w:val="auto"/>
        <w:rPr>
          <w:rFonts w:hint="eastAsia" w:ascii="黑体" w:hAnsi="黑体" w:eastAsia="黑体" w:cs="黑体"/>
          <w:b/>
          <w:bCs/>
          <w:snapToGrid/>
          <w:color w:val="0000FF"/>
          <w:kern w:val="0"/>
          <w:sz w:val="28"/>
          <w:szCs w:val="28"/>
          <w:highlight w:val="none"/>
          <w:lang w:val="en-US" w:eastAsia="zh-CN" w:bidi="ar"/>
        </w:rPr>
        <w:sectPr>
          <w:footerReference r:id="rId9" w:type="default"/>
          <w:pgSz w:w="11906" w:h="16839"/>
          <w:pgMar w:top="400" w:right="994" w:bottom="1156" w:left="1255" w:header="0" w:footer="994" w:gutter="0"/>
          <w:pgNumType w:fmt="decimal"/>
          <w:cols w:space="720" w:num="1"/>
        </w:sectPr>
      </w:pPr>
    </w:p>
    <w:p w14:paraId="1CDD49EB">
      <w:pPr>
        <w:widowControl w:val="0"/>
        <w:kinsoku/>
        <w:wordWrap/>
        <w:topLinePunct w:val="0"/>
        <w:autoSpaceDE/>
        <w:autoSpaceDN/>
        <w:adjustRightInd/>
        <w:snapToGrid/>
        <w:spacing w:line="240" w:lineRule="auto"/>
        <w:ind w:firstLine="0" w:firstLineChars="0"/>
        <w:jc w:val="center"/>
        <w:textAlignment w:val="auto"/>
        <w:rPr>
          <w:rFonts w:hint="eastAsia" w:ascii="黑体" w:hAnsi="黑体" w:eastAsia="黑体" w:cs="黑体"/>
          <w:b/>
          <w:bCs/>
          <w:snapToGrid/>
          <w:color w:val="0000FF"/>
          <w:kern w:val="0"/>
          <w:sz w:val="28"/>
          <w:szCs w:val="28"/>
          <w:highlight w:val="none"/>
          <w:lang w:val="en-US" w:eastAsia="zh-CN" w:bidi="ar"/>
        </w:rPr>
      </w:pPr>
      <w:r>
        <w:rPr>
          <w:rFonts w:hint="eastAsia" w:ascii="黑体" w:hAnsi="黑体" w:eastAsia="黑体" w:cs="黑体"/>
          <w:b/>
          <w:bCs/>
          <w:snapToGrid/>
          <w:color w:val="0000FF"/>
          <w:kern w:val="0"/>
          <w:sz w:val="28"/>
          <w:szCs w:val="28"/>
          <w:highlight w:val="none"/>
          <w:lang w:val="en-US" w:eastAsia="zh-CN" w:bidi="ar"/>
        </w:rPr>
        <w:t>履约保证金银行转账或电汇回单</w:t>
      </w:r>
    </w:p>
    <w:p w14:paraId="676C80C9">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23EE2EBD">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09F9685D">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441FCF11">
      <w:pPr>
        <w:widowControl w:val="0"/>
        <w:kinsoku/>
        <w:wordWrap/>
        <w:topLinePunct w:val="0"/>
        <w:autoSpaceDE/>
        <w:autoSpaceDN/>
        <w:adjustRightInd/>
        <w:snapToGrid/>
        <w:spacing w:line="240" w:lineRule="auto"/>
        <w:ind w:firstLine="0" w:firstLineChars="0"/>
        <w:jc w:val="center"/>
        <w:textAlignment w:val="auto"/>
        <w:rPr>
          <w:rFonts w:hint="eastAsia" w:ascii="Times New Roman" w:hAnsi="Times New Roman" w:eastAsia="宋体" w:cs="Times New Roman"/>
          <w:snapToGrid/>
          <w:kern w:val="2"/>
          <w:sz w:val="21"/>
          <w:highlight w:val="none"/>
          <w:lang w:eastAsia="zh-CN"/>
        </w:rPr>
      </w:pPr>
    </w:p>
    <w:p w14:paraId="11F46704">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2874F882">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5AD7A5E4">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3BD9AD28">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651124A6">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65F5281C">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3E39A0A2">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5B9168B3">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63683A39">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0EF6D37C">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1C471B22">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59DA40B1">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4952F243">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304E8D6F">
      <w:pPr>
        <w:widowControl/>
        <w:shd w:val="clear" w:color="auto" w:fill="FFFFFF"/>
        <w:spacing w:before="0" w:beforeAutospacing="0" w:after="0" w:afterAutospacing="0" w:line="560" w:lineRule="exact"/>
        <w:jc w:val="both"/>
        <w:rPr>
          <w:rFonts w:ascii="等线" w:hAnsi="等线" w:eastAsia="等线" w:cs="等线"/>
          <w:kern w:val="0"/>
          <w:sz w:val="28"/>
          <w:szCs w:val="28"/>
          <w:highlight w:val="none"/>
          <w:lang w:val="en-US" w:eastAsia="zh-CN" w:bidi="ar"/>
        </w:rPr>
      </w:pPr>
    </w:p>
    <w:p w14:paraId="5F1DFAF2">
      <w:pPr>
        <w:widowControl w:val="0"/>
        <w:kinsoku/>
        <w:wordWrap/>
        <w:topLinePunct w:val="0"/>
        <w:autoSpaceDE/>
        <w:autoSpaceDN/>
        <w:adjustRightInd/>
        <w:snapToGrid/>
        <w:spacing w:line="240" w:lineRule="auto"/>
        <w:ind w:firstLine="0" w:firstLineChars="0"/>
        <w:jc w:val="left"/>
        <w:textAlignment w:val="auto"/>
        <w:rPr>
          <w:rFonts w:hint="eastAsia" w:ascii="Times New Roman" w:hAnsi="Times New Roman" w:eastAsia="宋体" w:cs="Times New Roman"/>
          <w:snapToGrid/>
          <w:kern w:val="2"/>
          <w:sz w:val="21"/>
          <w:highlight w:val="none"/>
          <w:lang w:eastAsia="zh-CN"/>
        </w:rPr>
      </w:pPr>
    </w:p>
    <w:p w14:paraId="02A0CC06">
      <w:pPr>
        <w:pageBreakBefore w:val="0"/>
        <w:kinsoku/>
        <w:wordWrap w:val="0"/>
        <w:overflowPunct/>
        <w:topLinePunct/>
        <w:autoSpaceDE w:val="0"/>
        <w:autoSpaceDN w:val="0"/>
        <w:bidi w:val="0"/>
        <w:snapToGrid w:val="0"/>
        <w:spacing w:line="360" w:lineRule="exact"/>
        <w:rPr>
          <w:rFonts w:ascii="宋体" w:hAnsi="宋体"/>
          <w:b/>
          <w:sz w:val="28"/>
          <w:szCs w:val="28"/>
          <w:highlight w:val="none"/>
        </w:rPr>
      </w:pPr>
    </w:p>
    <w:p w14:paraId="6A22A57B">
      <w:pPr>
        <w:pStyle w:val="12"/>
        <w:tabs>
          <w:tab w:val="left" w:pos="422"/>
          <w:tab w:val="center" w:pos="5198"/>
        </w:tabs>
        <w:spacing w:line="840" w:lineRule="exact"/>
        <w:jc w:val="center"/>
        <w:rPr>
          <w:rFonts w:hint="eastAsia" w:ascii="宋体" w:hAnsi="宋体" w:eastAsia="宋体" w:cs="宋体"/>
          <w:b/>
          <w:bCs/>
          <w:color w:val="auto"/>
          <w:sz w:val="32"/>
          <w:szCs w:val="32"/>
          <w:highlight w:val="none"/>
        </w:rPr>
      </w:pPr>
    </w:p>
    <w:p w14:paraId="25BEA872">
      <w:pPr>
        <w:pageBreakBefore w:val="0"/>
        <w:kinsoku/>
        <w:wordWrap w:val="0"/>
        <w:overflowPunct/>
        <w:topLinePunct/>
        <w:autoSpaceDE w:val="0"/>
        <w:autoSpaceDN w:val="0"/>
        <w:bidi w:val="0"/>
        <w:snapToGrid w:val="0"/>
        <w:spacing w:line="360" w:lineRule="exact"/>
        <w:jc w:val="center"/>
        <w:rPr>
          <w:rFonts w:ascii="宋体" w:hAnsi="宋体"/>
          <w:b/>
          <w:sz w:val="28"/>
          <w:szCs w:val="28"/>
          <w:highlight w:val="none"/>
        </w:rPr>
        <w:sectPr>
          <w:pgSz w:w="11906" w:h="16839"/>
          <w:pgMar w:top="400" w:right="994" w:bottom="1156" w:left="1255" w:header="0" w:footer="994" w:gutter="0"/>
          <w:pgNumType w:fmt="decimal"/>
          <w:cols w:space="720" w:num="1"/>
        </w:sectPr>
      </w:pPr>
    </w:p>
    <w:p w14:paraId="1E26D3FA">
      <w:pPr>
        <w:pageBreakBefore w:val="0"/>
        <w:kinsoku/>
        <w:wordWrap w:val="0"/>
        <w:overflowPunct/>
        <w:topLinePunct/>
        <w:autoSpaceDE w:val="0"/>
        <w:autoSpaceDN w:val="0"/>
        <w:bidi w:val="0"/>
        <w:snapToGrid w:val="0"/>
        <w:jc w:val="center"/>
        <w:rPr>
          <w:rFonts w:ascii="宋体" w:hAnsi="宋体"/>
          <w:sz w:val="30"/>
          <w:szCs w:val="30"/>
          <w:highlight w:val="none"/>
        </w:rPr>
      </w:pPr>
    </w:p>
    <w:p w14:paraId="5DA24A17">
      <w:pPr>
        <w:pageBreakBefore w:val="0"/>
        <w:kinsoku/>
        <w:wordWrap w:val="0"/>
        <w:overflowPunct/>
        <w:topLinePunct/>
        <w:autoSpaceDE w:val="0"/>
        <w:autoSpaceDN w:val="0"/>
        <w:bidi w:val="0"/>
        <w:snapToGrid w:val="0"/>
        <w:jc w:val="center"/>
        <w:rPr>
          <w:rFonts w:ascii="宋体" w:hAnsi="宋体"/>
          <w:sz w:val="30"/>
          <w:szCs w:val="30"/>
          <w:highlight w:val="none"/>
        </w:rPr>
      </w:pPr>
    </w:p>
    <w:p w14:paraId="0DD038D4">
      <w:pPr>
        <w:pageBreakBefore w:val="0"/>
        <w:kinsoku/>
        <w:wordWrap w:val="0"/>
        <w:overflowPunct/>
        <w:topLinePunct/>
        <w:autoSpaceDE w:val="0"/>
        <w:autoSpaceDN w:val="0"/>
        <w:bidi w:val="0"/>
        <w:snapToGrid w:val="0"/>
        <w:jc w:val="center"/>
        <w:rPr>
          <w:rFonts w:ascii="宋体" w:hAnsi="宋体"/>
          <w:sz w:val="30"/>
          <w:szCs w:val="30"/>
          <w:highlight w:val="none"/>
        </w:rPr>
      </w:pPr>
    </w:p>
    <w:p w14:paraId="43BA61FB">
      <w:pPr>
        <w:pageBreakBefore w:val="0"/>
        <w:kinsoku/>
        <w:wordWrap w:val="0"/>
        <w:overflowPunct/>
        <w:topLinePunct/>
        <w:autoSpaceDE w:val="0"/>
        <w:autoSpaceDN w:val="0"/>
        <w:bidi w:val="0"/>
        <w:snapToGrid w:val="0"/>
        <w:jc w:val="center"/>
        <w:rPr>
          <w:rFonts w:ascii="宋体" w:hAnsi="宋体"/>
          <w:sz w:val="30"/>
          <w:szCs w:val="30"/>
          <w:highlight w:val="none"/>
        </w:rPr>
      </w:pPr>
    </w:p>
    <w:p w14:paraId="44FB5ACF">
      <w:pPr>
        <w:pageBreakBefore w:val="0"/>
        <w:kinsoku/>
        <w:wordWrap w:val="0"/>
        <w:overflowPunct/>
        <w:topLinePunct/>
        <w:autoSpaceDE w:val="0"/>
        <w:autoSpaceDN w:val="0"/>
        <w:bidi w:val="0"/>
        <w:snapToGrid w:val="0"/>
        <w:jc w:val="center"/>
        <w:rPr>
          <w:rFonts w:ascii="宋体" w:hAnsi="宋体"/>
          <w:sz w:val="30"/>
          <w:szCs w:val="30"/>
          <w:highlight w:val="none"/>
        </w:rPr>
      </w:pPr>
    </w:p>
    <w:p w14:paraId="045E2E0D">
      <w:pPr>
        <w:pageBreakBefore w:val="0"/>
        <w:kinsoku/>
        <w:wordWrap w:val="0"/>
        <w:overflowPunct/>
        <w:topLinePunct/>
        <w:autoSpaceDE w:val="0"/>
        <w:autoSpaceDN w:val="0"/>
        <w:bidi w:val="0"/>
        <w:snapToGrid w:val="0"/>
        <w:jc w:val="center"/>
        <w:rPr>
          <w:rFonts w:ascii="宋体" w:hAnsi="宋体"/>
          <w:sz w:val="30"/>
          <w:szCs w:val="30"/>
          <w:highlight w:val="none"/>
        </w:rPr>
      </w:pPr>
    </w:p>
    <w:p w14:paraId="7663DA07">
      <w:pPr>
        <w:pageBreakBefore w:val="0"/>
        <w:kinsoku/>
        <w:wordWrap w:val="0"/>
        <w:overflowPunct/>
        <w:topLinePunct/>
        <w:autoSpaceDE w:val="0"/>
        <w:autoSpaceDN w:val="0"/>
        <w:bidi w:val="0"/>
        <w:snapToGrid w:val="0"/>
        <w:jc w:val="center"/>
        <w:rPr>
          <w:rFonts w:ascii="宋体" w:hAnsi="宋体"/>
          <w:sz w:val="30"/>
          <w:szCs w:val="30"/>
          <w:highlight w:val="none"/>
        </w:rPr>
      </w:pPr>
    </w:p>
    <w:p w14:paraId="761C5630">
      <w:pPr>
        <w:pageBreakBefore w:val="0"/>
        <w:kinsoku/>
        <w:wordWrap w:val="0"/>
        <w:overflowPunct/>
        <w:topLinePunct/>
        <w:autoSpaceDE w:val="0"/>
        <w:autoSpaceDN w:val="0"/>
        <w:bidi w:val="0"/>
        <w:snapToGrid w:val="0"/>
        <w:jc w:val="center"/>
        <w:rPr>
          <w:rFonts w:ascii="宋体" w:hAnsi="宋体"/>
          <w:sz w:val="30"/>
          <w:szCs w:val="30"/>
          <w:highlight w:val="none"/>
        </w:rPr>
      </w:pPr>
    </w:p>
    <w:p w14:paraId="470B03EE">
      <w:pPr>
        <w:pageBreakBefore w:val="0"/>
        <w:kinsoku/>
        <w:wordWrap w:val="0"/>
        <w:overflowPunct/>
        <w:topLinePunct/>
        <w:autoSpaceDE w:val="0"/>
        <w:autoSpaceDN w:val="0"/>
        <w:bidi w:val="0"/>
        <w:snapToGrid w:val="0"/>
        <w:jc w:val="center"/>
        <w:rPr>
          <w:rFonts w:ascii="宋体" w:hAnsi="宋体"/>
          <w:sz w:val="30"/>
          <w:szCs w:val="30"/>
          <w:highlight w:val="none"/>
        </w:rPr>
      </w:pPr>
    </w:p>
    <w:p w14:paraId="6CCFFB04">
      <w:pPr>
        <w:pageBreakBefore w:val="0"/>
        <w:kinsoku/>
        <w:wordWrap w:val="0"/>
        <w:overflowPunct/>
        <w:topLinePunct/>
        <w:autoSpaceDE w:val="0"/>
        <w:autoSpaceDN w:val="0"/>
        <w:bidi w:val="0"/>
        <w:snapToGrid w:val="0"/>
        <w:rPr>
          <w:rFonts w:ascii="宋体" w:hAnsi="宋体"/>
          <w:sz w:val="30"/>
          <w:szCs w:val="30"/>
          <w:highlight w:val="none"/>
        </w:rPr>
      </w:pPr>
    </w:p>
    <w:p w14:paraId="454A05D5">
      <w:pPr>
        <w:pStyle w:val="3"/>
        <w:bidi w:val="0"/>
        <w:rPr>
          <w:highlight w:val="none"/>
        </w:rPr>
      </w:pPr>
      <w:bookmarkStart w:id="98" w:name="_Toc291688344"/>
      <w:bookmarkStart w:id="99" w:name="_Toc24507"/>
      <w:r>
        <w:rPr>
          <w:rFonts w:hint="eastAsia"/>
          <w:highlight w:val="none"/>
        </w:rPr>
        <w:t>第六章 投标文件格式</w:t>
      </w:r>
      <w:bookmarkEnd w:id="98"/>
      <w:bookmarkEnd w:id="99"/>
    </w:p>
    <w:p w14:paraId="5F292A0F">
      <w:pPr>
        <w:pageBreakBefore w:val="0"/>
        <w:kinsoku/>
        <w:wordWrap w:val="0"/>
        <w:overflowPunct/>
        <w:topLinePunct/>
        <w:autoSpaceDE w:val="0"/>
        <w:autoSpaceDN w:val="0"/>
        <w:bidi w:val="0"/>
        <w:snapToGrid w:val="0"/>
        <w:jc w:val="center"/>
        <w:rPr>
          <w:rFonts w:ascii="宋体" w:hAnsi="宋体"/>
          <w:sz w:val="30"/>
          <w:szCs w:val="30"/>
          <w:highlight w:val="none"/>
        </w:rPr>
      </w:pPr>
    </w:p>
    <w:p w14:paraId="155740B7">
      <w:pPr>
        <w:pageBreakBefore w:val="0"/>
        <w:kinsoku/>
        <w:wordWrap w:val="0"/>
        <w:overflowPunct/>
        <w:topLinePunct/>
        <w:autoSpaceDE w:val="0"/>
        <w:autoSpaceDN w:val="0"/>
        <w:bidi w:val="0"/>
        <w:snapToGrid w:val="0"/>
        <w:jc w:val="center"/>
        <w:rPr>
          <w:rFonts w:ascii="宋体" w:hAnsi="宋体"/>
          <w:sz w:val="30"/>
          <w:szCs w:val="30"/>
          <w:highlight w:val="none"/>
        </w:rPr>
      </w:pPr>
    </w:p>
    <w:p w14:paraId="4EAFDFE2">
      <w:pPr>
        <w:pageBreakBefore w:val="0"/>
        <w:kinsoku/>
        <w:wordWrap w:val="0"/>
        <w:overflowPunct/>
        <w:topLinePunct/>
        <w:autoSpaceDE w:val="0"/>
        <w:autoSpaceDN w:val="0"/>
        <w:bidi w:val="0"/>
        <w:snapToGrid w:val="0"/>
        <w:jc w:val="center"/>
        <w:rPr>
          <w:rFonts w:ascii="宋体" w:hAnsi="宋体"/>
          <w:sz w:val="30"/>
          <w:szCs w:val="30"/>
          <w:highlight w:val="none"/>
        </w:rPr>
      </w:pPr>
    </w:p>
    <w:p w14:paraId="5FD52896">
      <w:pPr>
        <w:pageBreakBefore w:val="0"/>
        <w:kinsoku/>
        <w:wordWrap w:val="0"/>
        <w:overflowPunct/>
        <w:topLinePunct/>
        <w:autoSpaceDE w:val="0"/>
        <w:autoSpaceDN w:val="0"/>
        <w:bidi w:val="0"/>
        <w:snapToGrid w:val="0"/>
        <w:jc w:val="center"/>
        <w:rPr>
          <w:rFonts w:ascii="宋体" w:hAnsi="宋体"/>
          <w:sz w:val="30"/>
          <w:szCs w:val="30"/>
          <w:highlight w:val="none"/>
        </w:rPr>
      </w:pPr>
    </w:p>
    <w:p w14:paraId="483CC470">
      <w:pPr>
        <w:pStyle w:val="36"/>
        <w:bidi w:val="0"/>
        <w:rPr>
          <w:rFonts w:ascii="宋体" w:hAnsi="宋体"/>
          <w:b/>
          <w:bCs/>
          <w:szCs w:val="20"/>
          <w:highlight w:val="none"/>
        </w:rPr>
      </w:pPr>
      <w:r>
        <w:rPr>
          <w:rFonts w:ascii="宋体" w:hAnsi="宋体"/>
          <w:szCs w:val="30"/>
          <w:highlight w:val="none"/>
        </w:rPr>
        <w:br w:type="page"/>
      </w:r>
      <w:bookmarkStart w:id="100" w:name="_Toc254970556"/>
      <w:bookmarkStart w:id="101" w:name="_Toc254970697"/>
      <w:r>
        <w:rPr>
          <w:rFonts w:hint="eastAsia"/>
          <w:highlight w:val="none"/>
        </w:rPr>
        <w:t>一、投标文件外层包装封面格式</w:t>
      </w:r>
      <w:bookmarkEnd w:id="100"/>
      <w:bookmarkEnd w:id="101"/>
    </w:p>
    <w:p w14:paraId="33C4A5FE">
      <w:pPr>
        <w:pStyle w:val="36"/>
        <w:bidi w:val="0"/>
        <w:rPr>
          <w:highlight w:val="none"/>
        </w:rPr>
      </w:pPr>
      <w:r>
        <w:rPr>
          <w:rFonts w:hint="eastAsia"/>
          <w:highlight w:val="none"/>
        </w:rPr>
        <w:t>1.所有文件（资格证明文件、商务文件、技术文件、报价文件）的外装封面格式：</w:t>
      </w:r>
    </w:p>
    <w:p w14:paraId="54A7DC83">
      <w:pPr>
        <w:pageBreakBefore w:val="0"/>
        <w:kinsoku/>
        <w:wordWrap w:val="0"/>
        <w:overflowPunct/>
        <w:topLinePunct/>
        <w:autoSpaceDE w:val="0"/>
        <w:autoSpaceDN w:val="0"/>
        <w:bidi w:val="0"/>
        <w:snapToGrid w:val="0"/>
        <w:spacing w:beforeLines="50" w:after="50" w:line="360" w:lineRule="exact"/>
        <w:rPr>
          <w:rFonts w:ascii="宋体" w:hAnsi="宋体"/>
          <w:sz w:val="24"/>
          <w:szCs w:val="20"/>
          <w:highlight w:val="none"/>
        </w:rPr>
      </w:pPr>
    </w:p>
    <w:p w14:paraId="662DF173">
      <w:pPr>
        <w:pageBreakBefore w:val="0"/>
        <w:kinsoku/>
        <w:wordWrap w:val="0"/>
        <w:overflowPunct/>
        <w:topLinePunct/>
        <w:autoSpaceDE w:val="0"/>
        <w:autoSpaceDN w:val="0"/>
        <w:bidi w:val="0"/>
        <w:snapToGrid w:val="0"/>
        <w:spacing w:beforeLines="50" w:after="50" w:line="360" w:lineRule="exact"/>
        <w:jc w:val="center"/>
        <w:rPr>
          <w:rFonts w:ascii="宋体" w:hAnsi="宋体"/>
          <w:bCs/>
          <w:sz w:val="24"/>
          <w:szCs w:val="20"/>
          <w:highlight w:val="none"/>
        </w:rPr>
      </w:pPr>
    </w:p>
    <w:p w14:paraId="6172BA17">
      <w:pPr>
        <w:pageBreakBefore w:val="0"/>
        <w:kinsoku/>
        <w:wordWrap w:val="0"/>
        <w:overflowPunct/>
        <w:topLinePunct/>
        <w:autoSpaceDE w:val="0"/>
        <w:autoSpaceDN w:val="0"/>
        <w:bidi w:val="0"/>
        <w:snapToGrid w:val="0"/>
        <w:spacing w:beforeLines="50" w:after="50" w:line="360" w:lineRule="exact"/>
        <w:jc w:val="center"/>
        <w:rPr>
          <w:rFonts w:ascii="宋体" w:hAnsi="宋体"/>
          <w:bCs/>
          <w:sz w:val="32"/>
          <w:szCs w:val="32"/>
          <w:highlight w:val="none"/>
        </w:rPr>
      </w:pPr>
      <w:r>
        <w:rPr>
          <w:rFonts w:hint="eastAsia" w:ascii="宋体" w:hAnsi="宋体"/>
          <w:bCs/>
          <w:sz w:val="32"/>
          <w:szCs w:val="32"/>
          <w:highlight w:val="none"/>
        </w:rPr>
        <w:t>投 标 文 件</w:t>
      </w:r>
    </w:p>
    <w:p w14:paraId="375D5B27">
      <w:pPr>
        <w:pageBreakBefore w:val="0"/>
        <w:kinsoku/>
        <w:wordWrap w:val="0"/>
        <w:overflowPunct/>
        <w:topLinePunct/>
        <w:autoSpaceDE w:val="0"/>
        <w:autoSpaceDN w:val="0"/>
        <w:bidi w:val="0"/>
        <w:snapToGrid w:val="0"/>
        <w:spacing w:beforeLines="50" w:after="50" w:line="360" w:lineRule="exact"/>
        <w:rPr>
          <w:rFonts w:ascii="宋体" w:hAnsi="宋体"/>
          <w:bCs/>
          <w:sz w:val="24"/>
          <w:szCs w:val="20"/>
          <w:highlight w:val="none"/>
        </w:rPr>
      </w:pPr>
    </w:p>
    <w:p w14:paraId="2DED1CE2">
      <w:pPr>
        <w:pageBreakBefore w:val="0"/>
        <w:kinsoku/>
        <w:wordWrap w:val="0"/>
        <w:overflowPunct/>
        <w:topLinePunct/>
        <w:autoSpaceDE w:val="0"/>
        <w:autoSpaceDN w:val="0"/>
        <w:bidi w:val="0"/>
        <w:snapToGrid w:val="0"/>
        <w:spacing w:beforeLines="50" w:after="50" w:line="360" w:lineRule="exact"/>
        <w:ind w:firstLine="1068" w:firstLineChars="445"/>
        <w:rPr>
          <w:rFonts w:ascii="宋体" w:hAnsi="宋体"/>
          <w:bCs/>
          <w:sz w:val="24"/>
          <w:szCs w:val="20"/>
          <w:highlight w:val="none"/>
        </w:rPr>
      </w:pPr>
      <w:r>
        <w:rPr>
          <w:rFonts w:hint="eastAsia" w:ascii="宋体" w:hAnsi="宋体"/>
          <w:bCs/>
          <w:sz w:val="24"/>
          <w:highlight w:val="none"/>
        </w:rPr>
        <w:t>项目名称：</w:t>
      </w:r>
      <w:r>
        <w:rPr>
          <w:rFonts w:hint="eastAsia" w:ascii="宋体" w:hAnsi="宋体"/>
          <w:bCs/>
          <w:sz w:val="24"/>
          <w:szCs w:val="20"/>
          <w:highlight w:val="none"/>
        </w:rPr>
        <w:t xml:space="preserve"> </w:t>
      </w:r>
    </w:p>
    <w:p w14:paraId="298C5888">
      <w:pPr>
        <w:pageBreakBefore w:val="0"/>
        <w:kinsoku/>
        <w:wordWrap w:val="0"/>
        <w:overflowPunct/>
        <w:topLinePunct/>
        <w:autoSpaceDE w:val="0"/>
        <w:autoSpaceDN w:val="0"/>
        <w:bidi w:val="0"/>
        <w:snapToGrid w:val="0"/>
        <w:spacing w:beforeLines="50" w:after="50" w:line="360" w:lineRule="exact"/>
        <w:ind w:firstLine="1068" w:firstLineChars="445"/>
        <w:rPr>
          <w:rFonts w:ascii="宋体" w:hAnsi="宋体"/>
          <w:bCs/>
          <w:sz w:val="24"/>
          <w:szCs w:val="20"/>
          <w:highlight w:val="none"/>
        </w:rPr>
      </w:pPr>
    </w:p>
    <w:p w14:paraId="6F982339">
      <w:pPr>
        <w:pageBreakBefore w:val="0"/>
        <w:kinsoku/>
        <w:wordWrap w:val="0"/>
        <w:overflowPunct/>
        <w:topLinePunct/>
        <w:autoSpaceDE w:val="0"/>
        <w:autoSpaceDN w:val="0"/>
        <w:bidi w:val="0"/>
        <w:snapToGrid w:val="0"/>
        <w:spacing w:beforeLines="50" w:after="50" w:line="360" w:lineRule="exact"/>
        <w:ind w:firstLine="480" w:firstLineChars="200"/>
        <w:rPr>
          <w:rFonts w:ascii="宋体" w:hAnsi="宋体"/>
          <w:bCs/>
          <w:sz w:val="24"/>
          <w:highlight w:val="none"/>
        </w:rPr>
      </w:pPr>
      <w:r>
        <w:rPr>
          <w:rFonts w:hint="eastAsia" w:ascii="宋体" w:hAnsi="宋体"/>
          <w:bCs/>
          <w:sz w:val="24"/>
          <w:highlight w:val="none"/>
        </w:rPr>
        <w:t xml:space="preserve">     项目编号： </w:t>
      </w:r>
    </w:p>
    <w:p w14:paraId="42740B7C">
      <w:pPr>
        <w:pageBreakBefore w:val="0"/>
        <w:kinsoku/>
        <w:wordWrap w:val="0"/>
        <w:overflowPunct/>
        <w:topLinePunct/>
        <w:autoSpaceDE w:val="0"/>
        <w:autoSpaceDN w:val="0"/>
        <w:bidi w:val="0"/>
        <w:snapToGrid w:val="0"/>
        <w:spacing w:beforeLines="50" w:after="50" w:line="360" w:lineRule="exact"/>
        <w:ind w:firstLine="1080" w:firstLineChars="450"/>
        <w:rPr>
          <w:rFonts w:ascii="宋体" w:hAnsi="宋体"/>
          <w:bCs/>
          <w:sz w:val="24"/>
          <w:highlight w:val="none"/>
        </w:rPr>
      </w:pPr>
    </w:p>
    <w:p w14:paraId="13FBD059">
      <w:pPr>
        <w:pageBreakBefore w:val="0"/>
        <w:kinsoku/>
        <w:wordWrap w:val="0"/>
        <w:overflowPunct/>
        <w:topLinePunct/>
        <w:autoSpaceDE w:val="0"/>
        <w:autoSpaceDN w:val="0"/>
        <w:bidi w:val="0"/>
        <w:snapToGrid w:val="0"/>
        <w:spacing w:beforeLines="50" w:after="50" w:line="360" w:lineRule="exact"/>
        <w:ind w:firstLine="1080" w:firstLineChars="450"/>
        <w:rPr>
          <w:rFonts w:ascii="宋体" w:hAnsi="宋体"/>
          <w:bCs/>
          <w:sz w:val="24"/>
          <w:highlight w:val="none"/>
        </w:rPr>
      </w:pPr>
      <w:r>
        <w:rPr>
          <w:rFonts w:hint="eastAsia" w:ascii="宋体" w:hAnsi="宋体"/>
          <w:bCs/>
          <w:sz w:val="24"/>
          <w:highlight w:val="none"/>
        </w:rPr>
        <w:t>标    项：（如有则填写，无分标时填写“无”或者留空）</w:t>
      </w:r>
    </w:p>
    <w:p w14:paraId="6DD235B2">
      <w:pPr>
        <w:pStyle w:val="7"/>
        <w:pageBreakBefore w:val="0"/>
        <w:kinsoku/>
        <w:wordWrap w:val="0"/>
        <w:overflowPunct/>
        <w:topLinePunct/>
        <w:autoSpaceDE w:val="0"/>
        <w:autoSpaceDN w:val="0"/>
        <w:bidi w:val="0"/>
        <w:snapToGrid w:val="0"/>
        <w:spacing w:before="50" w:after="50" w:line="360" w:lineRule="exact"/>
        <w:ind w:firstLine="0"/>
        <w:rPr>
          <w:rFonts w:ascii="宋体" w:hAnsi="宋体"/>
          <w:bCs/>
          <w:sz w:val="24"/>
          <w:szCs w:val="24"/>
          <w:highlight w:val="none"/>
        </w:rPr>
      </w:pPr>
    </w:p>
    <w:p w14:paraId="30485356">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r>
        <w:rPr>
          <w:rFonts w:hint="eastAsia" w:ascii="宋体" w:hAnsi="宋体"/>
          <w:bCs/>
          <w:sz w:val="24"/>
          <w:szCs w:val="24"/>
          <w:highlight w:val="none"/>
        </w:rPr>
        <w:t>投标人名称：</w:t>
      </w:r>
      <w:r>
        <w:rPr>
          <w:rFonts w:hint="eastAsia" w:ascii="宋体" w:hAnsi="宋体"/>
          <w:bCs/>
          <w:sz w:val="24"/>
          <w:szCs w:val="24"/>
          <w:highlight w:val="none"/>
          <w:u w:val="single"/>
        </w:rPr>
        <w:t xml:space="preserve">                     </w:t>
      </w:r>
      <w:r>
        <w:rPr>
          <w:rFonts w:hint="eastAsia" w:ascii="宋体" w:hAnsi="宋体"/>
          <w:bCs/>
          <w:sz w:val="24"/>
          <w:szCs w:val="24"/>
          <w:highlight w:val="none"/>
        </w:rPr>
        <w:t>（加盖单位电子公章）</w:t>
      </w:r>
    </w:p>
    <w:p w14:paraId="3E721A37">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p>
    <w:p w14:paraId="487672F4">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r>
        <w:rPr>
          <w:rFonts w:hint="eastAsia" w:ascii="宋体" w:hAnsi="宋体"/>
          <w:bCs/>
          <w:sz w:val="24"/>
          <w:szCs w:val="24"/>
          <w:highlight w:val="none"/>
        </w:rPr>
        <w:t>投标人地址：</w:t>
      </w:r>
      <w:r>
        <w:rPr>
          <w:rFonts w:hint="eastAsia" w:ascii="宋体" w:hAnsi="宋体"/>
          <w:bCs/>
          <w:sz w:val="24"/>
          <w:szCs w:val="24"/>
          <w:highlight w:val="none"/>
          <w:u w:val="single"/>
        </w:rPr>
        <w:t xml:space="preserve">                              </w:t>
      </w:r>
    </w:p>
    <w:p w14:paraId="3820A508">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p>
    <w:p w14:paraId="693159BC">
      <w:pPr>
        <w:pStyle w:val="7"/>
        <w:pageBreakBefore w:val="0"/>
        <w:kinsoku/>
        <w:wordWrap w:val="0"/>
        <w:overflowPunct/>
        <w:topLinePunct/>
        <w:autoSpaceDE w:val="0"/>
        <w:autoSpaceDN w:val="0"/>
        <w:bidi w:val="0"/>
        <w:snapToGrid w:val="0"/>
        <w:spacing w:before="50" w:after="50" w:line="360" w:lineRule="exact"/>
        <w:ind w:firstLine="960" w:firstLineChars="400"/>
        <w:rPr>
          <w:rFonts w:ascii="宋体" w:hAnsi="宋体"/>
          <w:bCs/>
          <w:sz w:val="24"/>
          <w:szCs w:val="24"/>
          <w:highlight w:val="none"/>
        </w:rPr>
      </w:pPr>
      <w:r>
        <w:rPr>
          <w:rFonts w:hint="eastAsia" w:ascii="宋体" w:hAnsi="宋体"/>
          <w:bCs/>
          <w:sz w:val="24"/>
          <w:szCs w:val="24"/>
          <w:highlight w:val="none"/>
        </w:rPr>
        <w:t>在投标截止时间之前不得解密</w:t>
      </w:r>
    </w:p>
    <w:p w14:paraId="01D73EA0">
      <w:pPr>
        <w:pageBreakBefore w:val="0"/>
        <w:kinsoku/>
        <w:wordWrap w:val="0"/>
        <w:overflowPunct/>
        <w:topLinePunct/>
        <w:autoSpaceDE w:val="0"/>
        <w:autoSpaceDN w:val="0"/>
        <w:bidi w:val="0"/>
        <w:snapToGrid w:val="0"/>
        <w:spacing w:beforeLines="50" w:after="50" w:line="360" w:lineRule="exact"/>
        <w:ind w:firstLine="4080" w:firstLineChars="1700"/>
        <w:rPr>
          <w:rFonts w:ascii="宋体" w:hAnsi="宋体"/>
          <w:bCs/>
          <w:sz w:val="24"/>
          <w:szCs w:val="20"/>
          <w:highlight w:val="none"/>
        </w:rPr>
      </w:pPr>
    </w:p>
    <w:p w14:paraId="6B4F2087">
      <w:pPr>
        <w:pageBreakBefore w:val="0"/>
        <w:kinsoku/>
        <w:wordWrap w:val="0"/>
        <w:overflowPunct/>
        <w:topLinePunct/>
        <w:autoSpaceDE w:val="0"/>
        <w:autoSpaceDN w:val="0"/>
        <w:bidi w:val="0"/>
        <w:snapToGrid w:val="0"/>
        <w:spacing w:beforeLines="50" w:after="50" w:line="360" w:lineRule="exact"/>
        <w:ind w:firstLine="645"/>
        <w:jc w:val="center"/>
        <w:rPr>
          <w:rFonts w:ascii="宋体" w:hAnsi="宋体"/>
          <w:bCs/>
          <w:sz w:val="24"/>
          <w:szCs w:val="20"/>
          <w:highlight w:val="none"/>
        </w:rPr>
      </w:pPr>
      <w:r>
        <w:rPr>
          <w:rFonts w:hint="eastAsia" w:ascii="宋体" w:hAnsi="宋体"/>
          <w:bCs/>
          <w:sz w:val="24"/>
          <w:highlight w:val="none"/>
        </w:rPr>
        <w:t xml:space="preserve">                        年  月  日</w:t>
      </w:r>
    </w:p>
    <w:p w14:paraId="70B795A8">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506E093C">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34893FC1">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7B160410">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15F87161">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6ABF5547">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303468E5">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7E61CD6E">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20DFFBBA">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521A9518">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21209C4C">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1F98F114">
      <w:pPr>
        <w:pageBreakBefore w:val="0"/>
        <w:kinsoku/>
        <w:wordWrap w:val="0"/>
        <w:overflowPunct/>
        <w:topLinePunct/>
        <w:autoSpaceDE w:val="0"/>
        <w:autoSpaceDN w:val="0"/>
        <w:bidi w:val="0"/>
        <w:snapToGrid w:val="0"/>
        <w:spacing w:beforeLines="50" w:after="50" w:line="360" w:lineRule="exact"/>
        <w:rPr>
          <w:rFonts w:ascii="宋体" w:hAnsi="宋体"/>
          <w:highlight w:val="none"/>
        </w:rPr>
      </w:pPr>
    </w:p>
    <w:p w14:paraId="336F6EC7">
      <w:pPr>
        <w:pageBreakBefore w:val="0"/>
        <w:kinsoku/>
        <w:wordWrap w:val="0"/>
        <w:overflowPunct/>
        <w:topLinePunct/>
        <w:autoSpaceDE w:val="0"/>
        <w:autoSpaceDN w:val="0"/>
        <w:bidi w:val="0"/>
        <w:snapToGrid w:val="0"/>
        <w:spacing w:beforeLines="50" w:after="50" w:line="400" w:lineRule="exact"/>
        <w:rPr>
          <w:rFonts w:hint="eastAsia" w:ascii="宋体" w:hAnsi="宋体"/>
          <w:b/>
          <w:bCs/>
          <w:sz w:val="32"/>
          <w:szCs w:val="32"/>
          <w:highlight w:val="none"/>
        </w:rPr>
        <w:sectPr>
          <w:pgSz w:w="11906" w:h="16839"/>
          <w:pgMar w:top="400" w:right="994" w:bottom="1156" w:left="1255" w:header="0" w:footer="994" w:gutter="0"/>
          <w:pgNumType w:fmt="decimal"/>
          <w:cols w:space="720" w:num="1"/>
        </w:sectPr>
      </w:pPr>
    </w:p>
    <w:p w14:paraId="028C1B84">
      <w:pPr>
        <w:pStyle w:val="36"/>
        <w:bidi w:val="0"/>
        <w:rPr>
          <w:highlight w:val="none"/>
        </w:rPr>
      </w:pPr>
      <w:r>
        <w:rPr>
          <w:rFonts w:hint="eastAsia"/>
          <w:highlight w:val="none"/>
        </w:rPr>
        <w:t>二、投标文件格式</w:t>
      </w:r>
    </w:p>
    <w:p w14:paraId="1D5F375E">
      <w:pPr>
        <w:pageBreakBefore w:val="0"/>
        <w:kinsoku/>
        <w:wordWrap w:val="0"/>
        <w:overflowPunct/>
        <w:topLinePunct/>
        <w:autoSpaceDE w:val="0"/>
        <w:autoSpaceDN w:val="0"/>
        <w:bidi w:val="0"/>
        <w:snapToGrid w:val="0"/>
        <w:spacing w:before="50" w:after="50" w:line="400" w:lineRule="exact"/>
        <w:rPr>
          <w:rFonts w:ascii="宋体" w:hAnsi="宋体"/>
          <w:b/>
          <w:sz w:val="32"/>
          <w:szCs w:val="32"/>
          <w:highlight w:val="none"/>
        </w:rPr>
      </w:pPr>
    </w:p>
    <w:p w14:paraId="766135C6">
      <w:pPr>
        <w:pStyle w:val="36"/>
        <w:bidi w:val="0"/>
        <w:rPr>
          <w:highlight w:val="none"/>
        </w:rPr>
      </w:pPr>
      <w:r>
        <w:rPr>
          <w:rFonts w:hint="eastAsia"/>
          <w:highlight w:val="none"/>
        </w:rPr>
        <w:t xml:space="preserve">1.资格证明文件格式： </w:t>
      </w:r>
    </w:p>
    <w:p w14:paraId="1CE63B81">
      <w:pPr>
        <w:pageBreakBefore w:val="0"/>
        <w:kinsoku/>
        <w:wordWrap w:val="0"/>
        <w:overflowPunct/>
        <w:topLinePunct/>
        <w:autoSpaceDE w:val="0"/>
        <w:autoSpaceDN w:val="0"/>
        <w:bidi w:val="0"/>
        <w:snapToGrid w:val="0"/>
        <w:spacing w:before="50" w:after="50" w:line="400" w:lineRule="exact"/>
        <w:rPr>
          <w:rFonts w:ascii="宋体" w:hAnsi="宋体"/>
          <w:b/>
          <w:sz w:val="32"/>
          <w:szCs w:val="32"/>
          <w:highlight w:val="none"/>
        </w:rPr>
      </w:pPr>
    </w:p>
    <w:p w14:paraId="6498C21B">
      <w:pPr>
        <w:pageBreakBefore w:val="0"/>
        <w:kinsoku/>
        <w:wordWrap w:val="0"/>
        <w:overflowPunct/>
        <w:topLinePunct/>
        <w:autoSpaceDE w:val="0"/>
        <w:autoSpaceDN w:val="0"/>
        <w:bidi w:val="0"/>
        <w:snapToGrid w:val="0"/>
        <w:spacing w:before="50" w:after="50" w:line="400" w:lineRule="exact"/>
        <w:rPr>
          <w:rFonts w:ascii="宋体" w:hAnsi="宋体"/>
          <w:b/>
          <w:sz w:val="32"/>
          <w:szCs w:val="32"/>
          <w:highlight w:val="none"/>
        </w:rPr>
      </w:pPr>
    </w:p>
    <w:p w14:paraId="6E6C6E6A">
      <w:pPr>
        <w:pageBreakBefore w:val="0"/>
        <w:kinsoku/>
        <w:wordWrap w:val="0"/>
        <w:overflowPunct/>
        <w:topLinePunct/>
        <w:autoSpaceDE w:val="0"/>
        <w:autoSpaceDN w:val="0"/>
        <w:bidi w:val="0"/>
        <w:snapToGrid w:val="0"/>
        <w:spacing w:beforeLines="50" w:after="50" w:line="400" w:lineRule="exact"/>
        <w:rPr>
          <w:rFonts w:ascii="宋体" w:hAnsi="宋体"/>
          <w:bCs/>
          <w:sz w:val="24"/>
          <w:highlight w:val="none"/>
        </w:rPr>
      </w:pPr>
      <w:r>
        <w:rPr>
          <w:rFonts w:hint="eastAsia" w:ascii="宋体" w:hAnsi="宋体"/>
          <w:sz w:val="32"/>
          <w:szCs w:val="32"/>
          <w:highlight w:val="none"/>
        </w:rPr>
        <w:t xml:space="preserve">                                             </w:t>
      </w:r>
      <w:r>
        <w:rPr>
          <w:rFonts w:hint="eastAsia" w:ascii="宋体" w:hAnsi="宋体"/>
          <w:sz w:val="24"/>
          <w:highlight w:val="none"/>
        </w:rPr>
        <w:t xml:space="preserve"> </w:t>
      </w:r>
      <w:r>
        <w:rPr>
          <w:rFonts w:hint="eastAsia" w:ascii="宋体" w:hAnsi="宋体"/>
          <w:bCs/>
          <w:sz w:val="24"/>
          <w:highlight w:val="none"/>
        </w:rPr>
        <w:t>电子投标文件</w:t>
      </w:r>
    </w:p>
    <w:p w14:paraId="17FD9C40">
      <w:pPr>
        <w:pageBreakBefore w:val="0"/>
        <w:kinsoku/>
        <w:wordWrap w:val="0"/>
        <w:overflowPunct/>
        <w:topLinePunct/>
        <w:autoSpaceDE w:val="0"/>
        <w:autoSpaceDN w:val="0"/>
        <w:bidi w:val="0"/>
        <w:snapToGrid w:val="0"/>
        <w:spacing w:beforeLines="50" w:after="50" w:line="400" w:lineRule="exact"/>
        <w:jc w:val="center"/>
        <w:rPr>
          <w:rFonts w:ascii="宋体" w:hAnsi="宋体"/>
          <w:bCs/>
          <w:sz w:val="32"/>
          <w:szCs w:val="32"/>
          <w:highlight w:val="none"/>
        </w:rPr>
      </w:pPr>
      <w:r>
        <w:rPr>
          <w:rFonts w:hint="eastAsia" w:ascii="宋体" w:hAnsi="宋体"/>
          <w:b/>
          <w:sz w:val="32"/>
          <w:szCs w:val="32"/>
          <w:highlight w:val="none"/>
        </w:rPr>
        <w:t>投 标 文 件</w:t>
      </w:r>
    </w:p>
    <w:p w14:paraId="3396AF8F">
      <w:pPr>
        <w:pageBreakBefore w:val="0"/>
        <w:kinsoku/>
        <w:wordWrap w:val="0"/>
        <w:overflowPunct/>
        <w:topLinePunct/>
        <w:autoSpaceDE w:val="0"/>
        <w:autoSpaceDN w:val="0"/>
        <w:bidi w:val="0"/>
        <w:snapToGrid w:val="0"/>
        <w:spacing w:beforeLines="50" w:after="50" w:line="400" w:lineRule="exact"/>
        <w:rPr>
          <w:rFonts w:ascii="宋体" w:hAnsi="宋体"/>
          <w:sz w:val="32"/>
          <w:szCs w:val="32"/>
          <w:highlight w:val="none"/>
        </w:rPr>
      </w:pPr>
    </w:p>
    <w:p w14:paraId="6E2B706B">
      <w:pPr>
        <w:pageBreakBefore w:val="0"/>
        <w:kinsoku/>
        <w:wordWrap w:val="0"/>
        <w:overflowPunct/>
        <w:topLinePunct/>
        <w:autoSpaceDE w:val="0"/>
        <w:autoSpaceDN w:val="0"/>
        <w:bidi w:val="0"/>
        <w:snapToGrid w:val="0"/>
        <w:spacing w:beforeLines="50" w:after="50" w:line="400" w:lineRule="exact"/>
        <w:jc w:val="center"/>
        <w:rPr>
          <w:rFonts w:ascii="宋体" w:hAnsi="宋体"/>
          <w:bCs/>
          <w:sz w:val="32"/>
          <w:szCs w:val="32"/>
          <w:highlight w:val="none"/>
        </w:rPr>
      </w:pPr>
      <w:r>
        <w:rPr>
          <w:rFonts w:hint="eastAsia" w:ascii="宋体" w:hAnsi="宋体"/>
          <w:bCs/>
          <w:sz w:val="32"/>
          <w:szCs w:val="32"/>
          <w:highlight w:val="none"/>
        </w:rPr>
        <w:t>（资格证明文件）</w:t>
      </w:r>
    </w:p>
    <w:p w14:paraId="31342E45">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项目名称：</w:t>
      </w:r>
    </w:p>
    <w:p w14:paraId="629EC606">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 xml:space="preserve"> </w:t>
      </w:r>
    </w:p>
    <w:p w14:paraId="0E2F0154">
      <w:pPr>
        <w:pageBreakBefore w:val="0"/>
        <w:kinsoku/>
        <w:wordWrap w:val="0"/>
        <w:overflowPunct/>
        <w:topLinePunct/>
        <w:autoSpaceDE w:val="0"/>
        <w:autoSpaceDN w:val="0"/>
        <w:bidi w:val="0"/>
        <w:snapToGrid w:val="0"/>
        <w:spacing w:beforeLines="50" w:after="50" w:line="400" w:lineRule="exact"/>
        <w:ind w:firstLine="480" w:firstLineChars="200"/>
        <w:rPr>
          <w:rFonts w:ascii="宋体" w:hAnsi="宋体"/>
          <w:bCs/>
          <w:sz w:val="24"/>
          <w:highlight w:val="none"/>
        </w:rPr>
      </w:pPr>
      <w:r>
        <w:rPr>
          <w:rFonts w:hint="eastAsia" w:ascii="宋体" w:hAnsi="宋体"/>
          <w:bCs/>
          <w:sz w:val="24"/>
          <w:highlight w:val="none"/>
        </w:rPr>
        <w:t xml:space="preserve">     项目编号： </w:t>
      </w:r>
    </w:p>
    <w:p w14:paraId="505AB8C0">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p>
    <w:p w14:paraId="7D557147">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r>
        <w:rPr>
          <w:rFonts w:hint="eastAsia" w:ascii="宋体" w:hAnsi="宋体"/>
          <w:bCs/>
          <w:sz w:val="24"/>
          <w:highlight w:val="none"/>
        </w:rPr>
        <w:t>标   项：（如有则填写，无分标时填写“无”或者留空）</w:t>
      </w:r>
    </w:p>
    <w:p w14:paraId="3427BFE5">
      <w:pPr>
        <w:pStyle w:val="7"/>
        <w:pageBreakBefore w:val="0"/>
        <w:kinsoku/>
        <w:wordWrap w:val="0"/>
        <w:overflowPunct/>
        <w:topLinePunct/>
        <w:autoSpaceDE w:val="0"/>
        <w:autoSpaceDN w:val="0"/>
        <w:bidi w:val="0"/>
        <w:snapToGrid w:val="0"/>
        <w:spacing w:before="50" w:after="50" w:line="400" w:lineRule="exact"/>
        <w:ind w:firstLine="1118" w:firstLineChars="466"/>
        <w:rPr>
          <w:rFonts w:ascii="宋体" w:hAnsi="宋体"/>
          <w:bCs/>
          <w:sz w:val="24"/>
          <w:szCs w:val="24"/>
          <w:highlight w:val="none"/>
        </w:rPr>
      </w:pPr>
    </w:p>
    <w:p w14:paraId="6B014AE8">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r>
        <w:rPr>
          <w:rFonts w:hint="eastAsia" w:ascii="宋体" w:hAnsi="宋体"/>
          <w:bCs/>
          <w:sz w:val="24"/>
          <w:szCs w:val="24"/>
          <w:highlight w:val="none"/>
        </w:rPr>
        <w:t>投标人名称：</w:t>
      </w:r>
      <w:r>
        <w:rPr>
          <w:rFonts w:hint="eastAsia" w:ascii="宋体" w:hAnsi="宋体"/>
          <w:bCs/>
          <w:sz w:val="24"/>
          <w:szCs w:val="24"/>
          <w:highlight w:val="none"/>
          <w:u w:val="single"/>
        </w:rPr>
        <w:t xml:space="preserve">                       </w:t>
      </w:r>
      <w:r>
        <w:rPr>
          <w:rFonts w:hint="eastAsia" w:ascii="宋体" w:hAnsi="宋体"/>
          <w:bCs/>
          <w:sz w:val="24"/>
          <w:szCs w:val="24"/>
          <w:highlight w:val="none"/>
        </w:rPr>
        <w:t>（加盖单位电子公章）</w:t>
      </w:r>
    </w:p>
    <w:p w14:paraId="420AC868">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p>
    <w:p w14:paraId="3DCAF8DC">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r>
        <w:rPr>
          <w:rFonts w:hint="eastAsia" w:ascii="宋体" w:hAnsi="宋体"/>
          <w:bCs/>
          <w:sz w:val="24"/>
          <w:szCs w:val="24"/>
          <w:highlight w:val="none"/>
        </w:rPr>
        <w:t>投标人地址：</w:t>
      </w:r>
    </w:p>
    <w:p w14:paraId="10D2D36E">
      <w:pPr>
        <w:pStyle w:val="7"/>
        <w:pageBreakBefore w:val="0"/>
        <w:kinsoku/>
        <w:wordWrap w:val="0"/>
        <w:overflowPunct/>
        <w:topLinePunct/>
        <w:autoSpaceDE w:val="0"/>
        <w:autoSpaceDN w:val="0"/>
        <w:bidi w:val="0"/>
        <w:snapToGrid w:val="0"/>
        <w:spacing w:before="50" w:after="50" w:line="400" w:lineRule="exact"/>
        <w:ind w:firstLine="960" w:firstLineChars="400"/>
        <w:rPr>
          <w:rFonts w:ascii="宋体" w:hAnsi="宋体"/>
          <w:bCs/>
          <w:sz w:val="24"/>
          <w:szCs w:val="24"/>
          <w:highlight w:val="none"/>
        </w:rPr>
      </w:pPr>
    </w:p>
    <w:p w14:paraId="5CA40ADF">
      <w:pPr>
        <w:pageBreakBefore w:val="0"/>
        <w:kinsoku/>
        <w:wordWrap w:val="0"/>
        <w:overflowPunct/>
        <w:topLinePunct/>
        <w:autoSpaceDE w:val="0"/>
        <w:autoSpaceDN w:val="0"/>
        <w:bidi w:val="0"/>
        <w:snapToGrid w:val="0"/>
        <w:spacing w:beforeLines="50" w:after="50" w:line="400" w:lineRule="exact"/>
        <w:ind w:firstLine="645"/>
        <w:jc w:val="center"/>
        <w:rPr>
          <w:rFonts w:ascii="宋体" w:hAnsi="宋体"/>
          <w:sz w:val="24"/>
          <w:highlight w:val="none"/>
        </w:rPr>
      </w:pPr>
      <w:r>
        <w:rPr>
          <w:rFonts w:hint="eastAsia" w:ascii="宋体" w:hAnsi="宋体"/>
          <w:sz w:val="24"/>
          <w:highlight w:val="none"/>
        </w:rPr>
        <w:t xml:space="preserve">                        年  月  日</w:t>
      </w:r>
      <w:r>
        <w:rPr>
          <w:rFonts w:hint="eastAsia" w:ascii="宋体" w:hAnsi="宋体"/>
          <w:sz w:val="24"/>
          <w:highlight w:val="none"/>
        </w:rPr>
        <w:br w:type="textWrapping"/>
      </w:r>
    </w:p>
    <w:p w14:paraId="548E0E6B">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33DF7C20">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77F168E8">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7B0112DD">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6E99AC0E">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0E826040">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00A268CD">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31837C8C">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66F5B8C3">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415FA887">
      <w:pPr>
        <w:pageBreakBefore w:val="0"/>
        <w:tabs>
          <w:tab w:val="left" w:pos="1418"/>
        </w:tabs>
        <w:kinsoku/>
        <w:wordWrap w:val="0"/>
        <w:overflowPunct/>
        <w:topLinePunct/>
        <w:autoSpaceDE w:val="0"/>
        <w:autoSpaceDN w:val="0"/>
        <w:bidi w:val="0"/>
        <w:snapToGrid w:val="0"/>
        <w:spacing w:before="50" w:after="50" w:line="500" w:lineRule="exact"/>
        <w:jc w:val="center"/>
        <w:rPr>
          <w:rFonts w:hint="eastAsia" w:ascii="宋体" w:hAnsi="宋体"/>
          <w:b/>
          <w:bCs/>
          <w:sz w:val="36"/>
          <w:szCs w:val="36"/>
          <w:highlight w:val="none"/>
        </w:rPr>
        <w:sectPr>
          <w:pgSz w:w="11906" w:h="16839"/>
          <w:pgMar w:top="400" w:right="994" w:bottom="1156" w:left="1255" w:header="0" w:footer="994" w:gutter="0"/>
          <w:pgNumType w:fmt="decimal"/>
          <w:cols w:space="720" w:num="1"/>
        </w:sectPr>
      </w:pPr>
    </w:p>
    <w:p w14:paraId="5360A321">
      <w:pPr>
        <w:pStyle w:val="35"/>
        <w:bidi w:val="0"/>
        <w:rPr>
          <w:highlight w:val="none"/>
        </w:rPr>
      </w:pPr>
      <w:r>
        <w:rPr>
          <w:rFonts w:hint="eastAsia"/>
          <w:highlight w:val="none"/>
        </w:rPr>
        <w:t>目    录</w:t>
      </w:r>
    </w:p>
    <w:p w14:paraId="3A623E75">
      <w:pPr>
        <w:bidi w:val="0"/>
        <w:rPr>
          <w:highlight w:val="none"/>
        </w:rPr>
      </w:pPr>
      <w:r>
        <w:rPr>
          <w:rFonts w:hint="eastAsia"/>
          <w:highlight w:val="none"/>
        </w:rPr>
        <w:t>1、资格证明文件</w:t>
      </w:r>
    </w:p>
    <w:p w14:paraId="0400280A">
      <w:pPr>
        <w:bidi w:val="0"/>
        <w:rPr>
          <w:highlight w:val="none"/>
        </w:rPr>
      </w:pPr>
      <w:r>
        <w:rPr>
          <w:rFonts w:hint="eastAsia"/>
          <w:highlight w:val="none"/>
        </w:rPr>
        <w:t>1.1投标声明书…………………………………………………………………………</w:t>
      </w:r>
    </w:p>
    <w:p w14:paraId="0657599C">
      <w:pPr>
        <w:bidi w:val="0"/>
        <w:rPr>
          <w:highlight w:val="none"/>
        </w:rPr>
      </w:pPr>
      <w:r>
        <w:rPr>
          <w:rFonts w:hint="eastAsia"/>
          <w:highlight w:val="none"/>
        </w:rPr>
        <w:t>1.2投标供应商合法的主体资格证明（如营业执照、事业单位法人证书、执业许可证、个体工商户营业执照、自然人身份证等）复印件………………………………</w:t>
      </w:r>
    </w:p>
    <w:p w14:paraId="3EAFF477">
      <w:pPr>
        <w:bidi w:val="0"/>
        <w:rPr>
          <w:highlight w:val="none"/>
        </w:rPr>
      </w:pPr>
      <w:r>
        <w:rPr>
          <w:rFonts w:hint="eastAsia"/>
          <w:highlight w:val="none"/>
        </w:rPr>
        <w:t>1.3投标供应商依法缴纳税收的相关材料………………………………………</w:t>
      </w:r>
    </w:p>
    <w:p w14:paraId="14B328B6">
      <w:pPr>
        <w:bidi w:val="0"/>
        <w:rPr>
          <w:highlight w:val="none"/>
        </w:rPr>
      </w:pPr>
      <w:r>
        <w:rPr>
          <w:rFonts w:hint="eastAsia"/>
          <w:highlight w:val="none"/>
        </w:rPr>
        <w:t>1.4投标供应商依法缴纳社会保障资金的相关材料……………………………………</w:t>
      </w:r>
    </w:p>
    <w:p w14:paraId="40914119">
      <w:pPr>
        <w:bidi w:val="0"/>
        <w:rPr>
          <w:highlight w:val="none"/>
        </w:rPr>
      </w:pPr>
      <w:r>
        <w:rPr>
          <w:rFonts w:hint="eastAsia"/>
          <w:highlight w:val="none"/>
        </w:rPr>
        <w:t>1.5供应商财务状况报告复印件……………………………………</w:t>
      </w:r>
    </w:p>
    <w:p w14:paraId="44770D4C">
      <w:pPr>
        <w:bidi w:val="0"/>
        <w:rPr>
          <w:highlight w:val="none"/>
        </w:rPr>
      </w:pPr>
      <w:r>
        <w:rPr>
          <w:rFonts w:hint="eastAsia"/>
          <w:highlight w:val="none"/>
        </w:rPr>
        <w:t>1.6参加政府采购活动前三年内在经营活动中没有重大违法记录和不良信用记录的书面声明书………</w:t>
      </w:r>
    </w:p>
    <w:p w14:paraId="482DD128">
      <w:pPr>
        <w:bidi w:val="0"/>
        <w:rPr>
          <w:highlight w:val="none"/>
        </w:rPr>
      </w:pPr>
      <w:r>
        <w:rPr>
          <w:rFonts w:hint="eastAsia"/>
          <w:highlight w:val="none"/>
        </w:rPr>
        <w:t>1.7总公司</w:t>
      </w:r>
      <w:r>
        <w:rPr>
          <w:highlight w:val="none"/>
        </w:rPr>
        <w:t>“</w:t>
      </w:r>
      <w:r>
        <w:rPr>
          <w:rFonts w:hint="eastAsia"/>
          <w:highlight w:val="none"/>
        </w:rPr>
        <w:t>营业执照</w:t>
      </w:r>
      <w:r>
        <w:rPr>
          <w:highlight w:val="none"/>
        </w:rPr>
        <w:t>”</w:t>
      </w:r>
      <w:r>
        <w:rPr>
          <w:rFonts w:hint="eastAsia"/>
          <w:highlight w:val="none"/>
        </w:rPr>
        <w:t>副本复印件和总公司对投标人的授权书原件（分支机构参与投标时提供）………</w:t>
      </w:r>
    </w:p>
    <w:p w14:paraId="49B56786">
      <w:pPr>
        <w:bidi w:val="0"/>
        <w:rPr>
          <w:highlight w:val="none"/>
        </w:rPr>
      </w:pPr>
      <w:r>
        <w:rPr>
          <w:rFonts w:hint="eastAsia"/>
          <w:highlight w:val="none"/>
        </w:rPr>
        <w:t>1.8投标人直接控股、管理关系信息表……………………………………</w:t>
      </w:r>
    </w:p>
    <w:p w14:paraId="1621D3CF">
      <w:pPr>
        <w:bidi w:val="0"/>
        <w:rPr>
          <w:highlight w:val="none"/>
        </w:rPr>
      </w:pPr>
      <w:r>
        <w:rPr>
          <w:rFonts w:hint="eastAsia"/>
          <w:highlight w:val="none"/>
        </w:rPr>
        <w:t>1.9联合体协议书（联合体投标时提供）……………………………………</w:t>
      </w:r>
    </w:p>
    <w:p w14:paraId="59A30309">
      <w:pPr>
        <w:bidi w:val="0"/>
        <w:rPr>
          <w:highlight w:val="none"/>
        </w:rPr>
      </w:pPr>
      <w:r>
        <w:rPr>
          <w:rFonts w:hint="eastAsia"/>
          <w:highlight w:val="none"/>
        </w:rPr>
        <w:t>1.10中小企业声明函或残疾人福利性单位声明函或属于监狱企业的证明文件（专门面向中小企业采购的项目时提供）……………………………………</w:t>
      </w:r>
    </w:p>
    <w:p w14:paraId="704447E4">
      <w:pPr>
        <w:pageBreakBefore w:val="0"/>
        <w:widowControl/>
        <w:kinsoku/>
        <w:wordWrap w:val="0"/>
        <w:overflowPunct/>
        <w:topLinePunct/>
        <w:autoSpaceDE w:val="0"/>
        <w:autoSpaceDN w:val="0"/>
        <w:bidi w:val="0"/>
        <w:spacing w:line="360" w:lineRule="exact"/>
        <w:rPr>
          <w:rFonts w:ascii="宋体" w:hAnsi="宋体"/>
          <w:b/>
          <w:bCs/>
          <w:sz w:val="24"/>
          <w:highlight w:val="none"/>
        </w:rPr>
      </w:pPr>
    </w:p>
    <w:p w14:paraId="20218BCE">
      <w:pPr>
        <w:pageBreakBefore w:val="0"/>
        <w:kinsoku/>
        <w:wordWrap w:val="0"/>
        <w:overflowPunct/>
        <w:topLinePunct/>
        <w:autoSpaceDE w:val="0"/>
        <w:autoSpaceDN w:val="0"/>
        <w:bidi w:val="0"/>
        <w:snapToGrid w:val="0"/>
        <w:spacing w:beforeLines="50" w:after="50" w:line="360" w:lineRule="exact"/>
        <w:ind w:left="0" w:leftChars="0" w:firstLine="0" w:firstLineChars="0"/>
        <w:rPr>
          <w:rFonts w:hint="eastAsia" w:ascii="宋体" w:hAnsi="宋体"/>
          <w:b/>
          <w:bCs/>
          <w:sz w:val="24"/>
          <w:highlight w:val="none"/>
        </w:rPr>
        <w:sectPr>
          <w:pgSz w:w="11906" w:h="16839"/>
          <w:pgMar w:top="400" w:right="994" w:bottom="1156" w:left="1255" w:header="0" w:footer="994" w:gutter="0"/>
          <w:pgNumType w:fmt="decimal"/>
          <w:cols w:space="720" w:num="1"/>
        </w:sectPr>
      </w:pPr>
    </w:p>
    <w:p w14:paraId="38688497">
      <w:pPr>
        <w:pStyle w:val="36"/>
        <w:bidi w:val="0"/>
        <w:rPr>
          <w:highlight w:val="none"/>
        </w:rPr>
      </w:pPr>
      <w:r>
        <w:rPr>
          <w:rFonts w:hint="eastAsia"/>
          <w:highlight w:val="none"/>
        </w:rPr>
        <w:t>1.投标声明书格式：</w:t>
      </w:r>
    </w:p>
    <w:p w14:paraId="7D9DE950">
      <w:pPr>
        <w:pStyle w:val="35"/>
        <w:bidi w:val="0"/>
        <w:rPr>
          <w:highlight w:val="none"/>
        </w:rPr>
      </w:pPr>
      <w:r>
        <w:rPr>
          <w:rFonts w:hint="eastAsia"/>
          <w:highlight w:val="none"/>
        </w:rPr>
        <w:t>投 标 声 明 书</w:t>
      </w:r>
    </w:p>
    <w:p w14:paraId="34CC46EE">
      <w:pPr>
        <w:bidi w:val="0"/>
        <w:rPr>
          <w:highlight w:val="none"/>
        </w:rPr>
      </w:pPr>
      <w:r>
        <w:rPr>
          <w:rFonts w:hint="eastAsia"/>
          <w:highlight w:val="none"/>
        </w:rPr>
        <w:t>致</w:t>
      </w:r>
      <w:r>
        <w:rPr>
          <w:rFonts w:hint="eastAsia"/>
          <w:highlight w:val="none"/>
          <w:u w:val="single"/>
        </w:rPr>
        <w:t xml:space="preserve">              （招标采购单位名称）</w:t>
      </w:r>
      <w:r>
        <w:rPr>
          <w:rFonts w:hint="eastAsia"/>
          <w:highlight w:val="none"/>
        </w:rPr>
        <w:t>：</w:t>
      </w:r>
    </w:p>
    <w:p w14:paraId="1D20856C">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我方愿意参加贵方组织的</w:t>
      </w:r>
      <w:r>
        <w:rPr>
          <w:rFonts w:hint="eastAsia" w:ascii="宋体" w:hAnsi="宋体" w:cs="宋体"/>
          <w:szCs w:val="21"/>
          <w:highlight w:val="none"/>
          <w:u w:val="single"/>
        </w:rPr>
        <w:t xml:space="preserve">   （项目名称）  </w:t>
      </w:r>
      <w:r>
        <w:rPr>
          <w:rFonts w:hint="eastAsia" w:ascii="宋体" w:hAnsi="宋体" w:cs="宋体"/>
          <w:szCs w:val="21"/>
          <w:highlight w:val="none"/>
        </w:rPr>
        <w:t>项目</w:t>
      </w:r>
      <w:r>
        <w:rPr>
          <w:rFonts w:hint="eastAsia" w:ascii="宋体" w:hAnsi="宋体" w:cs="宋体"/>
          <w:spacing w:val="6"/>
          <w:szCs w:val="21"/>
          <w:highlight w:val="none"/>
        </w:rPr>
        <w:t>（项目编号：</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w:t>
      </w:r>
      <w:r>
        <w:rPr>
          <w:rFonts w:hint="eastAsia"/>
          <w:highlight w:val="none"/>
          <w:u w:val="none"/>
          <w:lang w:val="en-US" w:eastAsia="zh-CN"/>
        </w:rPr>
        <w:t>分标</w:t>
      </w:r>
      <w:r>
        <w:rPr>
          <w:rFonts w:hint="eastAsia"/>
          <w:highlight w:val="none"/>
          <w:u w:val="single"/>
          <w:lang w:val="en-US" w:eastAsia="zh-CN"/>
        </w:rPr>
        <w:t xml:space="preserve">：      </w:t>
      </w:r>
      <w:r>
        <w:rPr>
          <w:rFonts w:hint="eastAsia" w:ascii="宋体" w:hAnsi="宋体" w:cs="宋体"/>
          <w:szCs w:val="21"/>
          <w:highlight w:val="none"/>
        </w:rPr>
        <w:t>的投标，为便于贵方公正、择优地确定中标供应商及其投标产品和服务，我方就本次投标有关事项郑重声明如下：</w:t>
      </w:r>
    </w:p>
    <w:p w14:paraId="0E3B55A3">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1.我方向贵方提交的所有投标文件、资料都是准确的和真实的。</w:t>
      </w:r>
    </w:p>
    <w:p w14:paraId="204CF198">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AD0AFC8">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3.在此，我方宣布同意如下：</w:t>
      </w:r>
    </w:p>
    <w:p w14:paraId="3F69A441">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（1）将按招标文件的约定履行合同责任和义务；</w:t>
      </w:r>
    </w:p>
    <w:p w14:paraId="16D62169">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（2）已详细审查全部磋商文件，包括澄清或者更正公告（如有）；</w:t>
      </w:r>
    </w:p>
    <w:p w14:paraId="0AD2AE10">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（3）同意提供按照贵方可能要求的与谈判有关的一切数据或者资料；</w:t>
      </w:r>
    </w:p>
    <w:p w14:paraId="14DA5433">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（4）响应磋商文件规定的投标文件有效期。</w:t>
      </w:r>
    </w:p>
    <w:p w14:paraId="196D9654">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4.我方承诺符合《中华人民共和国政府采购法》第二十二条规定：</w:t>
      </w:r>
    </w:p>
    <w:p w14:paraId="6E6FAED4">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（1）具有独立承担民事责任的能力；</w:t>
      </w:r>
    </w:p>
    <w:p w14:paraId="7188BB13">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（2）具有良好的商业信誉和健全的财务会计制度；</w:t>
      </w:r>
    </w:p>
    <w:p w14:paraId="4E654E43">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（3）具有履行合同所必需的设备和专业技术能力；</w:t>
      </w:r>
    </w:p>
    <w:p w14:paraId="59E499EA">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（4）有依法缴纳税收和社会保障资金的良好记录；</w:t>
      </w:r>
    </w:p>
    <w:p w14:paraId="4719D5BA">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0616A851">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（6）法律、行政法规规定的其他条件。</w:t>
      </w:r>
    </w:p>
    <w:p w14:paraId="319CBD64">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szCs w:val="21"/>
          <w:highlight w:val="none"/>
          <w:lang w:eastAsia="zh-CN"/>
        </w:rPr>
        <w:t>重大税收违法失信主体名单</w:t>
      </w:r>
      <w:r>
        <w:rPr>
          <w:rFonts w:hint="eastAsia" w:ascii="宋体" w:hAnsi="宋体" w:cs="宋体"/>
          <w:szCs w:val="21"/>
          <w:highlight w:val="none"/>
        </w:rPr>
        <w:t>、政府采购严重违法失信行为记录名单，完全符合《中华人民共和国政府采购法》第二十二条规定的供应商资格条件，我方对此声明负全部法律责任。</w:t>
      </w:r>
    </w:p>
    <w:p w14:paraId="25280ED1">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6.根据《中华人民共和国政府采购法实施条例》第五十条要求对政府采购合同进行公告，但政府采购合同中涉及国家秘密、商业秘密的内容除外。我方就对本次投标文件进行注明如下：（两项内容中必须选择一项）</w:t>
      </w:r>
    </w:p>
    <w:p w14:paraId="596A074A">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□我方本次投标文件内容中未涉及商业秘密；</w:t>
      </w:r>
    </w:p>
    <w:p w14:paraId="3D0916F7">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 xml:space="preserve">□我方本次投标文件涉及商业秘密的内容有： </w:t>
      </w:r>
    </w:p>
    <w:p w14:paraId="72827690">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7.以上事项如有虚假或者隐瞒，我方愿意承担一切后果，并不再寻求任何旨在减轻或者免除法律责任的辩解。</w:t>
      </w:r>
    </w:p>
    <w:p w14:paraId="6EBD8C7F">
      <w:pPr>
        <w:pageBreakBefore w:val="0"/>
        <w:kinsoku/>
        <w:wordWrap w:val="0"/>
        <w:overflowPunct/>
        <w:topLinePunct/>
        <w:autoSpaceDE w:val="0"/>
        <w:autoSpaceDN w:val="0"/>
        <w:bidi w:val="0"/>
        <w:spacing w:line="360" w:lineRule="exact"/>
        <w:ind w:firstLine="6960" w:firstLineChars="2900"/>
        <w:rPr>
          <w:rFonts w:ascii="宋体" w:hAnsi="宋体"/>
          <w:szCs w:val="21"/>
          <w:highlight w:val="none"/>
        </w:rPr>
      </w:pPr>
      <w:r>
        <w:rPr>
          <w:rFonts w:hint="eastAsia" w:ascii="宋体" w:hAnsi="宋体"/>
          <w:szCs w:val="21"/>
          <w:highlight w:val="none"/>
        </w:rPr>
        <w:t>投标人名称</w:t>
      </w:r>
      <w:r>
        <w:rPr>
          <w:rFonts w:ascii="宋体" w:hAnsi="宋体"/>
          <w:szCs w:val="21"/>
          <w:highlight w:val="none"/>
        </w:rPr>
        <w:t>(</w:t>
      </w:r>
      <w:r>
        <w:rPr>
          <w:rFonts w:hint="eastAsia" w:ascii="宋体" w:hAnsi="宋体"/>
          <w:szCs w:val="21"/>
          <w:highlight w:val="none"/>
        </w:rPr>
        <w:t>电子签章</w:t>
      </w:r>
      <w:r>
        <w:rPr>
          <w:rFonts w:ascii="宋体" w:hAnsi="宋体"/>
          <w:szCs w:val="21"/>
          <w:highlight w:val="none"/>
        </w:rPr>
        <w:t>)</w:t>
      </w:r>
      <w:r>
        <w:rPr>
          <w:rFonts w:hint="eastAsia" w:ascii="宋体" w:hAnsi="宋体"/>
          <w:szCs w:val="21"/>
          <w:highlight w:val="none"/>
        </w:rPr>
        <w:t>：</w:t>
      </w:r>
    </w:p>
    <w:p w14:paraId="00656A96">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r>
        <w:rPr>
          <w:rFonts w:hint="eastAsia" w:ascii="宋体" w:hAnsi="宋体"/>
          <w:szCs w:val="21"/>
          <w:highlight w:val="none"/>
        </w:rPr>
        <w:t>日期：</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14:paraId="62E5E559">
      <w:pPr>
        <w:pStyle w:val="36"/>
        <w:bidi w:val="0"/>
        <w:rPr>
          <w:highlight w:val="none"/>
        </w:rPr>
      </w:pPr>
      <w:r>
        <w:rPr>
          <w:rFonts w:hint="eastAsia"/>
          <w:highlight w:val="none"/>
        </w:rPr>
        <w:t>说明：</w:t>
      </w:r>
    </w:p>
    <w:p w14:paraId="453238C4">
      <w:pPr>
        <w:pStyle w:val="36"/>
        <w:bidi w:val="0"/>
        <w:rPr>
          <w:highlight w:val="none"/>
        </w:rPr>
      </w:pPr>
      <w:r>
        <w:rPr>
          <w:highlight w:val="none"/>
        </w:rPr>
        <w:t>1.</w:t>
      </w:r>
      <w:r>
        <w:rPr>
          <w:rFonts w:hint="eastAsia"/>
          <w:highlight w:val="none"/>
        </w:rPr>
        <w:t>投标人可以自行通过</w:t>
      </w:r>
      <w:r>
        <w:rPr>
          <w:highlight w:val="none"/>
        </w:rPr>
        <w:t xml:space="preserve"> </w:t>
      </w:r>
      <w:r>
        <w:rPr>
          <w:rFonts w:hint="eastAsia"/>
          <w:highlight w:val="none"/>
        </w:rPr>
        <w:t>“信用中国”（</w:t>
      </w:r>
      <w:r>
        <w:rPr>
          <w:highlight w:val="none"/>
        </w:rPr>
        <w:t>www.creditchina.gov.cn</w:t>
      </w:r>
      <w:r>
        <w:rPr>
          <w:rFonts w:hint="eastAsia"/>
          <w:highlight w:val="none"/>
        </w:rPr>
        <w:t>）和“中国政府采购网”网站（</w:t>
      </w:r>
      <w:r>
        <w:rPr>
          <w:highlight w:val="none"/>
        </w:rPr>
        <w:t>www.ccgp.gov.cn</w:t>
      </w:r>
      <w:r>
        <w:rPr>
          <w:rFonts w:hint="eastAsia"/>
          <w:highlight w:val="none"/>
        </w:rPr>
        <w:t>）查询投标人相关主体的信用记录。在资格审查阶段经采购人或采购代理机构查询，对列入失信被执行人、</w:t>
      </w:r>
      <w:r>
        <w:rPr>
          <w:rFonts w:hint="eastAsia"/>
          <w:highlight w:val="none"/>
          <w:lang w:eastAsia="zh-CN"/>
        </w:rPr>
        <w:t>重大税收违法失信主体名单</w:t>
      </w:r>
      <w:r>
        <w:rPr>
          <w:rFonts w:hint="eastAsia"/>
          <w:highlight w:val="none"/>
        </w:rPr>
        <w:t>、政府采购严重违法失信行为记录名单的投标人，将被拒绝参与本项目政府采购活动。</w:t>
      </w:r>
    </w:p>
    <w:p w14:paraId="0D289683">
      <w:pPr>
        <w:pStyle w:val="36"/>
        <w:bidi w:val="0"/>
        <w:rPr>
          <w:highlight w:val="none"/>
        </w:rPr>
      </w:pPr>
      <w:r>
        <w:rPr>
          <w:highlight w:val="none"/>
        </w:rPr>
        <w:t>2.</w:t>
      </w:r>
      <w:r>
        <w:rPr>
          <w:rFonts w:hint="eastAsia"/>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4E90CD3">
      <w:pPr>
        <w:pStyle w:val="36"/>
        <w:bidi w:val="0"/>
        <w:rPr>
          <w:highlight w:val="none"/>
        </w:rPr>
      </w:pPr>
      <w:r>
        <w:rPr>
          <w:highlight w:val="none"/>
        </w:rPr>
        <w:t>3.</w:t>
      </w:r>
      <w:r>
        <w:rPr>
          <w:rFonts w:hint="eastAsia"/>
          <w:highlight w:val="none"/>
        </w:rPr>
        <w:t>如为联合体投标，盖章处须加盖联合体各方公章，否则投标无效。</w:t>
      </w:r>
    </w:p>
    <w:p w14:paraId="285F1277">
      <w:pPr>
        <w:pageBreakBefore w:val="0"/>
        <w:kinsoku/>
        <w:wordWrap w:val="0"/>
        <w:overflowPunct/>
        <w:topLinePunct/>
        <w:autoSpaceDE w:val="0"/>
        <w:autoSpaceDN w:val="0"/>
        <w:bidi w:val="0"/>
        <w:spacing w:line="360" w:lineRule="auto"/>
        <w:ind w:firstLine="363" w:firstLineChars="202"/>
        <w:rPr>
          <w:sz w:val="18"/>
          <w:szCs w:val="18"/>
          <w:highlight w:val="none"/>
        </w:rPr>
      </w:pPr>
    </w:p>
    <w:p w14:paraId="758E7FB1">
      <w:pPr>
        <w:pageBreakBefore w:val="0"/>
        <w:kinsoku/>
        <w:wordWrap w:val="0"/>
        <w:overflowPunct/>
        <w:topLinePunct/>
        <w:autoSpaceDE w:val="0"/>
        <w:autoSpaceDN w:val="0"/>
        <w:bidi w:val="0"/>
        <w:spacing w:line="360" w:lineRule="auto"/>
        <w:ind w:firstLine="363" w:firstLineChars="202"/>
        <w:rPr>
          <w:sz w:val="18"/>
          <w:szCs w:val="18"/>
          <w:highlight w:val="none"/>
        </w:rPr>
      </w:pPr>
    </w:p>
    <w:p w14:paraId="73D58631">
      <w:pPr>
        <w:pageBreakBefore w:val="0"/>
        <w:kinsoku/>
        <w:wordWrap w:val="0"/>
        <w:overflowPunct/>
        <w:topLinePunct/>
        <w:autoSpaceDE w:val="0"/>
        <w:autoSpaceDN w:val="0"/>
        <w:bidi w:val="0"/>
        <w:spacing w:line="360" w:lineRule="auto"/>
        <w:rPr>
          <w:rFonts w:hint="eastAsia" w:ascii="宋体" w:hAnsi="宋体"/>
          <w:b/>
          <w:bCs/>
          <w:sz w:val="24"/>
          <w:highlight w:val="none"/>
        </w:rPr>
        <w:sectPr>
          <w:pgSz w:w="11906" w:h="16839"/>
          <w:pgMar w:top="400" w:right="994" w:bottom="1156" w:left="1255" w:header="0" w:footer="994" w:gutter="0"/>
          <w:pgNumType w:fmt="decimal"/>
          <w:cols w:space="720" w:num="1"/>
        </w:sectPr>
      </w:pPr>
    </w:p>
    <w:p w14:paraId="13323948">
      <w:pPr>
        <w:pStyle w:val="36"/>
        <w:bidi w:val="0"/>
        <w:rPr>
          <w:highlight w:val="none"/>
        </w:rPr>
      </w:pPr>
      <w:r>
        <w:rPr>
          <w:rFonts w:hint="eastAsia"/>
          <w:highlight w:val="none"/>
        </w:rPr>
        <w:t>2.政府采购供应商资格信用承诺函格式</w:t>
      </w:r>
    </w:p>
    <w:p w14:paraId="25DC7411">
      <w:pPr>
        <w:pageBreakBefore w:val="0"/>
        <w:kinsoku/>
        <w:wordWrap w:val="0"/>
        <w:overflowPunct/>
        <w:topLinePunct/>
        <w:autoSpaceDE w:val="0"/>
        <w:autoSpaceDN w:val="0"/>
        <w:bidi w:val="0"/>
        <w:adjustRightInd w:val="0"/>
        <w:spacing w:line="400" w:lineRule="exact"/>
        <w:jc w:val="left"/>
        <w:rPr>
          <w:rFonts w:ascii="宋体" w:hAnsi="宋体" w:cs="宋体"/>
          <w:b/>
          <w:bCs/>
          <w:szCs w:val="21"/>
          <w:highlight w:val="none"/>
        </w:rPr>
      </w:pPr>
    </w:p>
    <w:p w14:paraId="231E7473">
      <w:pPr>
        <w:pStyle w:val="35"/>
        <w:bidi w:val="0"/>
        <w:rPr>
          <w:highlight w:val="none"/>
        </w:rPr>
      </w:pPr>
      <w:r>
        <w:rPr>
          <w:rFonts w:hint="eastAsia"/>
          <w:highlight w:val="none"/>
        </w:rPr>
        <w:t>政府采购供应商资格信用承诺函</w:t>
      </w:r>
    </w:p>
    <w:p w14:paraId="318789FF">
      <w:pPr>
        <w:pStyle w:val="18"/>
        <w:pageBreakBefore w:val="0"/>
        <w:kinsoku/>
        <w:wordWrap w:val="0"/>
        <w:overflowPunct/>
        <w:topLinePunct/>
        <w:autoSpaceDE w:val="0"/>
        <w:autoSpaceDN w:val="0"/>
        <w:bidi w:val="0"/>
        <w:rPr>
          <w:rFonts w:ascii="宋体" w:hAnsi="宋体" w:cs="宋体"/>
          <w:sz w:val="21"/>
          <w:szCs w:val="21"/>
          <w:highlight w:val="none"/>
        </w:rPr>
      </w:pPr>
    </w:p>
    <w:p w14:paraId="14542C7B">
      <w:pPr>
        <w:pageBreakBefore w:val="0"/>
        <w:kinsoku/>
        <w:wordWrap w:val="0"/>
        <w:overflowPunct/>
        <w:topLinePunct/>
        <w:autoSpaceDE w:val="0"/>
        <w:autoSpaceDN w:val="0"/>
        <w:bidi w:val="0"/>
        <w:adjustRightInd w:val="0"/>
        <w:spacing w:line="400" w:lineRule="exact"/>
        <w:rPr>
          <w:rFonts w:ascii="宋体" w:hAnsi="宋体" w:cs="宋体"/>
          <w:spacing w:val="6"/>
          <w:szCs w:val="21"/>
          <w:highlight w:val="none"/>
        </w:rPr>
      </w:pPr>
      <w:r>
        <w:rPr>
          <w:rFonts w:hint="eastAsia" w:ascii="宋体" w:hAnsi="宋体" w:cs="宋体"/>
          <w:spacing w:val="6"/>
          <w:szCs w:val="21"/>
          <w:highlight w:val="none"/>
        </w:rPr>
        <w:t>致：</w:t>
      </w:r>
      <w:r>
        <w:rPr>
          <w:rFonts w:hint="eastAsia" w:ascii="宋体" w:hAnsi="宋体" w:cs="宋体"/>
          <w:spacing w:val="6"/>
          <w:szCs w:val="21"/>
          <w:highlight w:val="none"/>
          <w:u w:val="single"/>
        </w:rPr>
        <w:t>（采购人名称）、（代理机构名称）</w:t>
      </w:r>
      <w:r>
        <w:rPr>
          <w:rFonts w:hint="eastAsia" w:ascii="宋体" w:hAnsi="宋体" w:cs="宋体"/>
          <w:spacing w:val="6"/>
          <w:szCs w:val="21"/>
          <w:highlight w:val="none"/>
        </w:rPr>
        <w:t>：</w:t>
      </w:r>
    </w:p>
    <w:p w14:paraId="250970AA">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我方自愿参加</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项目（项目编号：</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w:t>
      </w:r>
      <w:r>
        <w:rPr>
          <w:rFonts w:hint="eastAsia"/>
          <w:highlight w:val="none"/>
          <w:u w:val="none"/>
          <w:lang w:val="en-US" w:eastAsia="zh-CN"/>
        </w:rPr>
        <w:t>分标</w:t>
      </w:r>
      <w:r>
        <w:rPr>
          <w:rFonts w:hint="eastAsia"/>
          <w:highlight w:val="none"/>
          <w:u w:val="single"/>
          <w:lang w:val="en-US" w:eastAsia="zh-CN"/>
        </w:rPr>
        <w:t xml:space="preserve">：      </w:t>
      </w:r>
      <w:r>
        <w:rPr>
          <w:rFonts w:hint="eastAsia" w:ascii="宋体" w:hAnsi="宋体" w:cs="宋体"/>
          <w:spacing w:val="6"/>
          <w:szCs w:val="21"/>
          <w:highlight w:val="none"/>
        </w:rPr>
        <w:t xml:space="preserve">的政府采购活动，并郑重承诺我方符合《中华人民共和国政府采购法》第二十二条规定的条件： </w:t>
      </w:r>
    </w:p>
    <w:p w14:paraId="0CAF3C6E">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（一）具有独立承担民事责任的能力； </w:t>
      </w:r>
    </w:p>
    <w:p w14:paraId="066E4A4F">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（二）具有良好的商业信誉和健全的财务会计制度； </w:t>
      </w:r>
    </w:p>
    <w:p w14:paraId="2968B5B7">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（三）具有履行合同所必需的设备和专业技术能力； </w:t>
      </w:r>
    </w:p>
    <w:p w14:paraId="736B57BC">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（四）有依法缴纳税收和社会保障资金的良好记录； </w:t>
      </w:r>
    </w:p>
    <w:p w14:paraId="1B637A39">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（五）参加政府采购活动前三年内，在经营活动中没有重大违法记录； </w:t>
      </w:r>
    </w:p>
    <w:p w14:paraId="307BD3D4">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（六）法律、行政法规规定的其他条件。 </w:t>
      </w:r>
    </w:p>
    <w:p w14:paraId="6573EB04">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我方保证上述承诺事项的真实性，如有弄虚作假或其他违法违规行为，愿意承担一切法律责任，并承担因此所造成的一切损失。 </w:t>
      </w:r>
    </w:p>
    <w:p w14:paraId="583DE06D">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b/>
          <w:bCs/>
          <w:spacing w:val="6"/>
          <w:szCs w:val="21"/>
          <w:highlight w:val="none"/>
        </w:rPr>
        <w:t>特此声明！</w:t>
      </w:r>
      <w:r>
        <w:rPr>
          <w:rFonts w:hint="eastAsia" w:ascii="宋体" w:hAnsi="宋体" w:cs="宋体"/>
          <w:spacing w:val="6"/>
          <w:szCs w:val="21"/>
          <w:highlight w:val="none"/>
        </w:rPr>
        <w:t xml:space="preserve"> </w:t>
      </w:r>
    </w:p>
    <w:p w14:paraId="42EB6274">
      <w:pPr>
        <w:pStyle w:val="23"/>
        <w:pageBreakBefore w:val="0"/>
        <w:kinsoku/>
        <w:wordWrap w:val="0"/>
        <w:overflowPunct/>
        <w:topLinePunct/>
        <w:autoSpaceDE w:val="0"/>
        <w:autoSpaceDN w:val="0"/>
        <w:bidi w:val="0"/>
        <w:spacing w:line="400" w:lineRule="exact"/>
        <w:ind w:firstLine="444"/>
        <w:rPr>
          <w:rFonts w:ascii="宋体" w:hAnsi="宋体" w:cs="宋体"/>
          <w:spacing w:val="6"/>
          <w:szCs w:val="21"/>
          <w:highlight w:val="none"/>
        </w:rPr>
      </w:pPr>
    </w:p>
    <w:p w14:paraId="0A21AF4B">
      <w:pPr>
        <w:pageBreakBefore w:val="0"/>
        <w:kinsoku/>
        <w:wordWrap w:val="0"/>
        <w:overflowPunct/>
        <w:topLinePunct/>
        <w:autoSpaceDE w:val="0"/>
        <w:autoSpaceDN w:val="0"/>
        <w:bidi w:val="0"/>
        <w:spacing w:line="400" w:lineRule="exact"/>
        <w:rPr>
          <w:rFonts w:ascii="宋体" w:hAnsi="宋体" w:cs="宋体"/>
          <w:szCs w:val="21"/>
          <w:highlight w:val="none"/>
        </w:rPr>
      </w:pPr>
    </w:p>
    <w:p w14:paraId="36DFE9C2">
      <w:pPr>
        <w:pageBreakBefore w:val="0"/>
        <w:kinsoku/>
        <w:wordWrap w:val="0"/>
        <w:overflowPunct/>
        <w:topLinePunct/>
        <w:autoSpaceDE w:val="0"/>
        <w:autoSpaceDN w:val="0"/>
        <w:bidi w:val="0"/>
        <w:spacing w:line="400" w:lineRule="exact"/>
        <w:jc w:val="center"/>
        <w:rPr>
          <w:rFonts w:ascii="宋体" w:hAnsi="宋体" w:cs="宋体"/>
          <w:szCs w:val="21"/>
          <w:highlight w:val="none"/>
          <w:u w:val="single"/>
        </w:rPr>
      </w:pPr>
      <w:r>
        <w:rPr>
          <w:rFonts w:hint="eastAsia" w:ascii="宋体" w:hAnsi="宋体" w:cs="宋体"/>
          <w:szCs w:val="21"/>
          <w:highlight w:val="none"/>
        </w:rPr>
        <w:t xml:space="preserve">           法定代表人或委托代理人</w:t>
      </w:r>
      <w:r>
        <w:rPr>
          <w:rFonts w:hint="eastAsia" w:ascii="宋体" w:hAnsi="宋体" w:cs="宋体"/>
          <w:b/>
          <w:bCs/>
          <w:szCs w:val="21"/>
          <w:highlight w:val="none"/>
        </w:rPr>
        <w:t>（签字）：</w:t>
      </w:r>
      <w:r>
        <w:rPr>
          <w:rFonts w:hint="eastAsia" w:ascii="宋体" w:hAnsi="宋体" w:cs="宋体"/>
          <w:szCs w:val="21"/>
          <w:highlight w:val="none"/>
          <w:u w:val="single"/>
        </w:rPr>
        <w:t xml:space="preserve">                  </w:t>
      </w:r>
    </w:p>
    <w:p w14:paraId="1D3D07AC">
      <w:pPr>
        <w:pageBreakBefore w:val="0"/>
        <w:kinsoku/>
        <w:wordWrap w:val="0"/>
        <w:overflowPunct/>
        <w:topLinePunct/>
        <w:autoSpaceDE w:val="0"/>
        <w:autoSpaceDN w:val="0"/>
        <w:bidi w:val="0"/>
        <w:spacing w:line="400" w:lineRule="exact"/>
        <w:jc w:val="center"/>
        <w:rPr>
          <w:rFonts w:ascii="宋体" w:hAnsi="宋体" w:cs="宋体"/>
          <w:szCs w:val="21"/>
          <w:highlight w:val="none"/>
          <w:u w:val="single"/>
        </w:rPr>
      </w:pPr>
    </w:p>
    <w:p w14:paraId="3018CCC9">
      <w:pPr>
        <w:pStyle w:val="12"/>
        <w:pageBreakBefore w:val="0"/>
        <w:kinsoku/>
        <w:wordWrap w:val="0"/>
        <w:overflowPunct/>
        <w:topLinePunct/>
        <w:autoSpaceDE w:val="0"/>
        <w:autoSpaceDN w:val="0"/>
        <w:bidi w:val="0"/>
        <w:spacing w:line="400" w:lineRule="exact"/>
        <w:ind w:firstLine="3400" w:firstLineChars="1700"/>
        <w:rPr>
          <w:rFonts w:hAnsi="宋体" w:cs="宋体"/>
          <w:highlight w:val="none"/>
        </w:rPr>
      </w:pPr>
      <w:r>
        <w:rPr>
          <w:rFonts w:hint="eastAsia" w:hAnsi="宋体" w:cs="宋体"/>
          <w:highlight w:val="none"/>
        </w:rPr>
        <w:t>政府采购供应商</w:t>
      </w:r>
      <w:r>
        <w:rPr>
          <w:rFonts w:hint="eastAsia" w:hAnsi="宋体" w:cs="宋体"/>
          <w:b/>
          <w:bCs/>
          <w:highlight w:val="none"/>
        </w:rPr>
        <w:t>（CA电子签章）</w:t>
      </w:r>
      <w:r>
        <w:rPr>
          <w:rFonts w:hint="eastAsia" w:hAnsi="宋体" w:cs="宋体"/>
          <w:highlight w:val="none"/>
        </w:rPr>
        <w:t>：</w:t>
      </w:r>
      <w:r>
        <w:rPr>
          <w:rFonts w:hint="eastAsia" w:hAnsi="宋体" w:cs="宋体"/>
          <w:highlight w:val="none"/>
          <w:u w:val="single"/>
        </w:rPr>
        <w:t xml:space="preserve">                </w:t>
      </w:r>
    </w:p>
    <w:p w14:paraId="5AE9D25B">
      <w:pPr>
        <w:pStyle w:val="12"/>
        <w:pageBreakBefore w:val="0"/>
        <w:kinsoku/>
        <w:wordWrap w:val="0"/>
        <w:overflowPunct/>
        <w:topLinePunct/>
        <w:autoSpaceDE w:val="0"/>
        <w:autoSpaceDN w:val="0"/>
        <w:bidi w:val="0"/>
        <w:spacing w:line="400" w:lineRule="exact"/>
        <w:rPr>
          <w:rFonts w:hAnsi="宋体" w:cs="宋体"/>
          <w:highlight w:val="none"/>
        </w:rPr>
      </w:pPr>
    </w:p>
    <w:p w14:paraId="14F109ED">
      <w:pPr>
        <w:pStyle w:val="12"/>
        <w:pageBreakBefore w:val="0"/>
        <w:kinsoku/>
        <w:wordWrap w:val="0"/>
        <w:overflowPunct/>
        <w:topLinePunct/>
        <w:autoSpaceDE w:val="0"/>
        <w:autoSpaceDN w:val="0"/>
        <w:bidi w:val="0"/>
        <w:spacing w:line="400" w:lineRule="exact"/>
        <w:jc w:val="right"/>
        <w:rPr>
          <w:rFonts w:hAnsi="宋体" w:cs="宋体"/>
          <w:highlight w:val="none"/>
        </w:rPr>
      </w:pPr>
      <w:r>
        <w:rPr>
          <w:rFonts w:hint="eastAsia" w:hAnsi="宋体" w:cs="宋体"/>
          <w:highlight w:val="none"/>
        </w:rPr>
        <w:t>日期：       年   月   日</w:t>
      </w:r>
    </w:p>
    <w:p w14:paraId="4BE5242A">
      <w:pPr>
        <w:pStyle w:val="12"/>
        <w:pageBreakBefore w:val="0"/>
        <w:kinsoku/>
        <w:wordWrap w:val="0"/>
        <w:overflowPunct/>
        <w:topLinePunct/>
        <w:autoSpaceDE w:val="0"/>
        <w:autoSpaceDN w:val="0"/>
        <w:bidi w:val="0"/>
        <w:spacing w:line="400" w:lineRule="exact"/>
        <w:rPr>
          <w:rFonts w:hAnsi="宋体" w:cs="宋体"/>
          <w:b/>
          <w:highlight w:val="none"/>
        </w:rPr>
      </w:pPr>
    </w:p>
    <w:p w14:paraId="1A61040D">
      <w:pPr>
        <w:pageBreakBefore w:val="0"/>
        <w:kinsoku/>
        <w:wordWrap w:val="0"/>
        <w:overflowPunct/>
        <w:topLinePunct/>
        <w:autoSpaceDE w:val="0"/>
        <w:autoSpaceDN w:val="0"/>
        <w:bidi w:val="0"/>
        <w:spacing w:line="360" w:lineRule="auto"/>
        <w:ind w:firstLine="363" w:firstLineChars="202"/>
        <w:rPr>
          <w:sz w:val="18"/>
          <w:szCs w:val="18"/>
          <w:highlight w:val="none"/>
        </w:rPr>
      </w:pPr>
    </w:p>
    <w:p w14:paraId="09C23315">
      <w:pPr>
        <w:pageBreakBefore w:val="0"/>
        <w:kinsoku/>
        <w:wordWrap w:val="0"/>
        <w:overflowPunct/>
        <w:topLinePunct/>
        <w:autoSpaceDE w:val="0"/>
        <w:autoSpaceDN w:val="0"/>
        <w:bidi w:val="0"/>
        <w:spacing w:line="360" w:lineRule="auto"/>
        <w:ind w:firstLine="363" w:firstLineChars="202"/>
        <w:rPr>
          <w:sz w:val="18"/>
          <w:szCs w:val="18"/>
          <w:highlight w:val="none"/>
        </w:rPr>
      </w:pPr>
    </w:p>
    <w:p w14:paraId="63899446">
      <w:pPr>
        <w:pageBreakBefore w:val="0"/>
        <w:kinsoku/>
        <w:wordWrap w:val="0"/>
        <w:overflowPunct/>
        <w:topLinePunct/>
        <w:autoSpaceDE w:val="0"/>
        <w:autoSpaceDN w:val="0"/>
        <w:bidi w:val="0"/>
        <w:spacing w:line="360" w:lineRule="auto"/>
        <w:ind w:firstLine="363" w:firstLineChars="202"/>
        <w:rPr>
          <w:sz w:val="18"/>
          <w:szCs w:val="18"/>
          <w:highlight w:val="none"/>
        </w:rPr>
      </w:pPr>
    </w:p>
    <w:p w14:paraId="7278022C">
      <w:pPr>
        <w:pageBreakBefore w:val="0"/>
        <w:kinsoku/>
        <w:wordWrap w:val="0"/>
        <w:overflowPunct/>
        <w:topLinePunct/>
        <w:autoSpaceDE w:val="0"/>
        <w:autoSpaceDN w:val="0"/>
        <w:bidi w:val="0"/>
        <w:spacing w:line="360" w:lineRule="auto"/>
        <w:ind w:firstLine="363" w:firstLineChars="202"/>
        <w:rPr>
          <w:sz w:val="18"/>
          <w:szCs w:val="18"/>
          <w:highlight w:val="none"/>
        </w:rPr>
      </w:pPr>
    </w:p>
    <w:p w14:paraId="29D76B8F">
      <w:pPr>
        <w:pageBreakBefore w:val="0"/>
        <w:kinsoku/>
        <w:wordWrap w:val="0"/>
        <w:overflowPunct/>
        <w:topLinePunct/>
        <w:autoSpaceDE w:val="0"/>
        <w:autoSpaceDN w:val="0"/>
        <w:bidi w:val="0"/>
        <w:spacing w:line="360" w:lineRule="auto"/>
        <w:ind w:firstLine="363" w:firstLineChars="202"/>
        <w:rPr>
          <w:sz w:val="18"/>
          <w:szCs w:val="18"/>
          <w:highlight w:val="none"/>
        </w:rPr>
      </w:pPr>
    </w:p>
    <w:p w14:paraId="2869F7C2">
      <w:pPr>
        <w:pageBreakBefore w:val="0"/>
        <w:kinsoku/>
        <w:wordWrap w:val="0"/>
        <w:overflowPunct/>
        <w:topLinePunct/>
        <w:autoSpaceDE w:val="0"/>
        <w:autoSpaceDN w:val="0"/>
        <w:bidi w:val="0"/>
        <w:spacing w:line="360" w:lineRule="auto"/>
        <w:ind w:firstLine="363" w:firstLineChars="202"/>
        <w:rPr>
          <w:sz w:val="18"/>
          <w:szCs w:val="18"/>
          <w:highlight w:val="none"/>
        </w:rPr>
      </w:pPr>
    </w:p>
    <w:p w14:paraId="165702CB">
      <w:pPr>
        <w:pageBreakBefore w:val="0"/>
        <w:kinsoku/>
        <w:wordWrap w:val="0"/>
        <w:overflowPunct/>
        <w:topLinePunct/>
        <w:autoSpaceDE w:val="0"/>
        <w:autoSpaceDN w:val="0"/>
        <w:bidi w:val="0"/>
        <w:spacing w:line="360" w:lineRule="auto"/>
        <w:ind w:firstLine="363" w:firstLineChars="202"/>
        <w:rPr>
          <w:sz w:val="18"/>
          <w:szCs w:val="18"/>
          <w:highlight w:val="none"/>
        </w:rPr>
      </w:pPr>
    </w:p>
    <w:p w14:paraId="1ADC2E19">
      <w:pPr>
        <w:pageBreakBefore w:val="0"/>
        <w:kinsoku/>
        <w:wordWrap w:val="0"/>
        <w:overflowPunct/>
        <w:topLinePunct/>
        <w:autoSpaceDE w:val="0"/>
        <w:autoSpaceDN w:val="0"/>
        <w:bidi w:val="0"/>
        <w:spacing w:line="360" w:lineRule="auto"/>
        <w:ind w:firstLine="363" w:firstLineChars="202"/>
        <w:rPr>
          <w:sz w:val="18"/>
          <w:szCs w:val="18"/>
          <w:highlight w:val="none"/>
        </w:rPr>
      </w:pPr>
    </w:p>
    <w:p w14:paraId="13FD3DB2">
      <w:pPr>
        <w:pageBreakBefore w:val="0"/>
        <w:kinsoku/>
        <w:wordWrap w:val="0"/>
        <w:overflowPunct/>
        <w:topLinePunct/>
        <w:autoSpaceDE w:val="0"/>
        <w:autoSpaceDN w:val="0"/>
        <w:bidi w:val="0"/>
        <w:spacing w:line="360" w:lineRule="auto"/>
        <w:ind w:firstLine="363" w:firstLineChars="202"/>
        <w:rPr>
          <w:sz w:val="18"/>
          <w:szCs w:val="18"/>
          <w:highlight w:val="none"/>
        </w:rPr>
      </w:pPr>
    </w:p>
    <w:p w14:paraId="31086063">
      <w:pPr>
        <w:pageBreakBefore w:val="0"/>
        <w:kinsoku/>
        <w:wordWrap w:val="0"/>
        <w:overflowPunct/>
        <w:topLinePunct/>
        <w:autoSpaceDE w:val="0"/>
        <w:autoSpaceDN w:val="0"/>
        <w:bidi w:val="0"/>
        <w:spacing w:line="360" w:lineRule="auto"/>
        <w:ind w:firstLine="363" w:firstLineChars="202"/>
        <w:rPr>
          <w:sz w:val="18"/>
          <w:szCs w:val="18"/>
          <w:highlight w:val="none"/>
        </w:rPr>
      </w:pPr>
    </w:p>
    <w:p w14:paraId="1F2A5387">
      <w:pPr>
        <w:pageBreakBefore w:val="0"/>
        <w:kinsoku/>
        <w:wordWrap w:val="0"/>
        <w:overflowPunct/>
        <w:topLinePunct/>
        <w:autoSpaceDE w:val="0"/>
        <w:autoSpaceDN w:val="0"/>
        <w:bidi w:val="0"/>
        <w:spacing w:line="360" w:lineRule="auto"/>
        <w:ind w:firstLine="363" w:firstLineChars="202"/>
        <w:rPr>
          <w:sz w:val="18"/>
          <w:szCs w:val="18"/>
          <w:highlight w:val="none"/>
        </w:rPr>
      </w:pPr>
    </w:p>
    <w:p w14:paraId="50049C2B">
      <w:pPr>
        <w:pageBreakBefore w:val="0"/>
        <w:kinsoku/>
        <w:wordWrap w:val="0"/>
        <w:overflowPunct/>
        <w:topLinePunct/>
        <w:autoSpaceDE w:val="0"/>
        <w:autoSpaceDN w:val="0"/>
        <w:bidi w:val="0"/>
        <w:spacing w:line="360" w:lineRule="auto"/>
        <w:ind w:firstLine="363" w:firstLineChars="202"/>
        <w:rPr>
          <w:sz w:val="18"/>
          <w:szCs w:val="18"/>
          <w:highlight w:val="none"/>
        </w:rPr>
      </w:pPr>
    </w:p>
    <w:p w14:paraId="1D7A5EA8">
      <w:pPr>
        <w:pageBreakBefore w:val="0"/>
        <w:kinsoku/>
        <w:wordWrap w:val="0"/>
        <w:overflowPunct/>
        <w:topLinePunct/>
        <w:autoSpaceDE w:val="0"/>
        <w:autoSpaceDN w:val="0"/>
        <w:bidi w:val="0"/>
        <w:spacing w:line="360" w:lineRule="auto"/>
        <w:ind w:firstLine="363" w:firstLineChars="202"/>
        <w:rPr>
          <w:sz w:val="18"/>
          <w:szCs w:val="18"/>
          <w:highlight w:val="none"/>
        </w:rPr>
      </w:pPr>
    </w:p>
    <w:p w14:paraId="37517B86">
      <w:pPr>
        <w:pageBreakBefore w:val="0"/>
        <w:kinsoku/>
        <w:wordWrap w:val="0"/>
        <w:overflowPunct/>
        <w:topLinePunct/>
        <w:autoSpaceDE w:val="0"/>
        <w:autoSpaceDN w:val="0"/>
        <w:bidi w:val="0"/>
        <w:spacing w:line="360" w:lineRule="auto"/>
        <w:ind w:firstLine="363" w:firstLineChars="202"/>
        <w:rPr>
          <w:sz w:val="18"/>
          <w:szCs w:val="18"/>
          <w:highlight w:val="none"/>
        </w:rPr>
      </w:pPr>
    </w:p>
    <w:p w14:paraId="5DE2D044">
      <w:pPr>
        <w:pageBreakBefore w:val="0"/>
        <w:kinsoku/>
        <w:wordWrap w:val="0"/>
        <w:overflowPunct/>
        <w:topLinePunct/>
        <w:autoSpaceDE w:val="0"/>
        <w:autoSpaceDN w:val="0"/>
        <w:bidi w:val="0"/>
        <w:spacing w:line="360" w:lineRule="auto"/>
        <w:ind w:firstLine="363" w:firstLineChars="202"/>
        <w:rPr>
          <w:sz w:val="18"/>
          <w:szCs w:val="18"/>
          <w:highlight w:val="none"/>
        </w:rPr>
      </w:pPr>
    </w:p>
    <w:p w14:paraId="7CAC0A4C">
      <w:pPr>
        <w:pStyle w:val="36"/>
        <w:bidi w:val="0"/>
        <w:rPr>
          <w:highlight w:val="none"/>
        </w:rPr>
      </w:pPr>
      <w:r>
        <w:rPr>
          <w:rFonts w:hint="eastAsia"/>
          <w:highlight w:val="none"/>
        </w:rPr>
        <w:t>3. 投标人直接控股、管理关系信息表格式：</w:t>
      </w:r>
    </w:p>
    <w:p w14:paraId="7CA5A53C">
      <w:pPr>
        <w:pStyle w:val="35"/>
        <w:bidi w:val="0"/>
        <w:rPr>
          <w:highlight w:val="none"/>
        </w:rPr>
      </w:pPr>
      <w:r>
        <w:rPr>
          <w:rFonts w:hint="eastAsia"/>
          <w:highlight w:val="none"/>
        </w:rPr>
        <w:t>投标人直接控股股东信息表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14:paraId="6854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28" w:type="dxa"/>
            <w:tcMar>
              <w:top w:w="120" w:type="dxa"/>
              <w:left w:w="120" w:type="dxa"/>
              <w:bottom w:w="120" w:type="dxa"/>
              <w:right w:w="120" w:type="dxa"/>
            </w:tcMar>
            <w:vAlign w:val="center"/>
          </w:tcPr>
          <w:p w14:paraId="699C2FFD">
            <w:pPr>
              <w:pStyle w:val="34"/>
              <w:bidi w:val="0"/>
              <w:rPr>
                <w:highlight w:val="none"/>
              </w:rPr>
            </w:pPr>
            <w:r>
              <w:rPr>
                <w:rFonts w:hint="eastAsia"/>
                <w:highlight w:val="none"/>
              </w:rPr>
              <w:t>序号</w:t>
            </w:r>
          </w:p>
        </w:tc>
        <w:tc>
          <w:tcPr>
            <w:tcW w:w="2269" w:type="dxa"/>
            <w:tcMar>
              <w:top w:w="120" w:type="dxa"/>
              <w:left w:w="120" w:type="dxa"/>
              <w:bottom w:w="120" w:type="dxa"/>
              <w:right w:w="120" w:type="dxa"/>
            </w:tcMar>
            <w:vAlign w:val="center"/>
          </w:tcPr>
          <w:p w14:paraId="5F1E1DA6">
            <w:pPr>
              <w:pStyle w:val="34"/>
              <w:bidi w:val="0"/>
              <w:rPr>
                <w:highlight w:val="none"/>
              </w:rPr>
            </w:pPr>
            <w:r>
              <w:rPr>
                <w:rFonts w:hint="eastAsia"/>
                <w:highlight w:val="none"/>
              </w:rPr>
              <w:t>直接控股股东名称</w:t>
            </w:r>
          </w:p>
        </w:tc>
        <w:tc>
          <w:tcPr>
            <w:tcW w:w="1239" w:type="dxa"/>
            <w:tcMar>
              <w:top w:w="120" w:type="dxa"/>
              <w:left w:w="120" w:type="dxa"/>
              <w:bottom w:w="120" w:type="dxa"/>
              <w:right w:w="120" w:type="dxa"/>
            </w:tcMar>
            <w:vAlign w:val="center"/>
          </w:tcPr>
          <w:p w14:paraId="7BFA9313">
            <w:pPr>
              <w:pStyle w:val="34"/>
              <w:bidi w:val="0"/>
              <w:rPr>
                <w:highlight w:val="none"/>
              </w:rPr>
            </w:pPr>
            <w:r>
              <w:rPr>
                <w:rFonts w:hint="eastAsia"/>
                <w:highlight w:val="none"/>
              </w:rPr>
              <w:t>出资比例</w:t>
            </w:r>
          </w:p>
        </w:tc>
        <w:tc>
          <w:tcPr>
            <w:tcW w:w="3722" w:type="dxa"/>
            <w:tcMar>
              <w:top w:w="120" w:type="dxa"/>
              <w:left w:w="120" w:type="dxa"/>
              <w:bottom w:w="120" w:type="dxa"/>
              <w:right w:w="120" w:type="dxa"/>
            </w:tcMar>
            <w:vAlign w:val="center"/>
          </w:tcPr>
          <w:p w14:paraId="1FBD2319">
            <w:pPr>
              <w:pStyle w:val="34"/>
              <w:bidi w:val="0"/>
              <w:rPr>
                <w:highlight w:val="none"/>
              </w:rPr>
            </w:pPr>
            <w:r>
              <w:rPr>
                <w:rFonts w:hint="eastAsia"/>
                <w:highlight w:val="none"/>
              </w:rPr>
              <w:t>身份证号码或统一社会信用代码</w:t>
            </w:r>
          </w:p>
        </w:tc>
        <w:tc>
          <w:tcPr>
            <w:tcW w:w="1418" w:type="dxa"/>
            <w:tcMar>
              <w:top w:w="120" w:type="dxa"/>
              <w:left w:w="120" w:type="dxa"/>
              <w:bottom w:w="120" w:type="dxa"/>
              <w:right w:w="120" w:type="dxa"/>
            </w:tcMar>
            <w:vAlign w:val="center"/>
          </w:tcPr>
          <w:p w14:paraId="263E0F6D">
            <w:pPr>
              <w:pStyle w:val="34"/>
              <w:bidi w:val="0"/>
              <w:rPr>
                <w:highlight w:val="none"/>
              </w:rPr>
            </w:pPr>
            <w:r>
              <w:rPr>
                <w:rFonts w:hint="eastAsia"/>
                <w:highlight w:val="none"/>
              </w:rPr>
              <w:t>备注</w:t>
            </w:r>
          </w:p>
        </w:tc>
      </w:tr>
      <w:tr w14:paraId="733E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tcMar>
              <w:top w:w="120" w:type="dxa"/>
              <w:left w:w="120" w:type="dxa"/>
              <w:bottom w:w="120" w:type="dxa"/>
              <w:right w:w="120" w:type="dxa"/>
            </w:tcMar>
            <w:vAlign w:val="center"/>
          </w:tcPr>
          <w:p w14:paraId="4E2B5B24">
            <w:pPr>
              <w:pStyle w:val="34"/>
              <w:bidi w:val="0"/>
              <w:rPr>
                <w:highlight w:val="none"/>
              </w:rPr>
            </w:pPr>
            <w:r>
              <w:rPr>
                <w:rFonts w:hint="eastAsia"/>
                <w:highlight w:val="none"/>
              </w:rPr>
              <w:t>1</w:t>
            </w:r>
          </w:p>
        </w:tc>
        <w:tc>
          <w:tcPr>
            <w:tcW w:w="2269" w:type="dxa"/>
            <w:tcMar>
              <w:top w:w="120" w:type="dxa"/>
              <w:left w:w="120" w:type="dxa"/>
              <w:bottom w:w="120" w:type="dxa"/>
              <w:right w:w="120" w:type="dxa"/>
            </w:tcMar>
            <w:vAlign w:val="center"/>
          </w:tcPr>
          <w:p w14:paraId="7C20D2A6">
            <w:pPr>
              <w:pStyle w:val="34"/>
              <w:bidi w:val="0"/>
              <w:rPr>
                <w:highlight w:val="none"/>
              </w:rPr>
            </w:pPr>
          </w:p>
        </w:tc>
        <w:tc>
          <w:tcPr>
            <w:tcW w:w="1239" w:type="dxa"/>
            <w:tcMar>
              <w:top w:w="120" w:type="dxa"/>
              <w:left w:w="120" w:type="dxa"/>
              <w:bottom w:w="120" w:type="dxa"/>
              <w:right w:w="120" w:type="dxa"/>
            </w:tcMar>
            <w:vAlign w:val="center"/>
          </w:tcPr>
          <w:p w14:paraId="3509CB26">
            <w:pPr>
              <w:pStyle w:val="34"/>
              <w:bidi w:val="0"/>
              <w:rPr>
                <w:highlight w:val="none"/>
              </w:rPr>
            </w:pPr>
          </w:p>
        </w:tc>
        <w:tc>
          <w:tcPr>
            <w:tcW w:w="3722" w:type="dxa"/>
            <w:tcMar>
              <w:top w:w="120" w:type="dxa"/>
              <w:left w:w="120" w:type="dxa"/>
              <w:bottom w:w="120" w:type="dxa"/>
              <w:right w:w="120" w:type="dxa"/>
            </w:tcMar>
            <w:vAlign w:val="center"/>
          </w:tcPr>
          <w:p w14:paraId="3ECAC60C">
            <w:pPr>
              <w:pStyle w:val="34"/>
              <w:bidi w:val="0"/>
              <w:rPr>
                <w:highlight w:val="none"/>
              </w:rPr>
            </w:pPr>
          </w:p>
        </w:tc>
        <w:tc>
          <w:tcPr>
            <w:tcW w:w="1418" w:type="dxa"/>
            <w:tcMar>
              <w:top w:w="120" w:type="dxa"/>
              <w:left w:w="120" w:type="dxa"/>
              <w:bottom w:w="120" w:type="dxa"/>
              <w:right w:w="120" w:type="dxa"/>
            </w:tcMar>
            <w:vAlign w:val="center"/>
          </w:tcPr>
          <w:p w14:paraId="2370C626">
            <w:pPr>
              <w:pStyle w:val="34"/>
              <w:bidi w:val="0"/>
              <w:rPr>
                <w:highlight w:val="none"/>
              </w:rPr>
            </w:pPr>
          </w:p>
        </w:tc>
      </w:tr>
      <w:tr w14:paraId="7714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tcMar>
              <w:top w:w="120" w:type="dxa"/>
              <w:left w:w="120" w:type="dxa"/>
              <w:bottom w:w="120" w:type="dxa"/>
              <w:right w:w="120" w:type="dxa"/>
            </w:tcMar>
            <w:vAlign w:val="center"/>
          </w:tcPr>
          <w:p w14:paraId="0BB57570">
            <w:pPr>
              <w:pStyle w:val="34"/>
              <w:bidi w:val="0"/>
              <w:rPr>
                <w:highlight w:val="none"/>
              </w:rPr>
            </w:pPr>
            <w:r>
              <w:rPr>
                <w:rFonts w:hint="eastAsia"/>
                <w:highlight w:val="none"/>
              </w:rPr>
              <w:t>2</w:t>
            </w:r>
          </w:p>
        </w:tc>
        <w:tc>
          <w:tcPr>
            <w:tcW w:w="2269" w:type="dxa"/>
            <w:tcMar>
              <w:top w:w="120" w:type="dxa"/>
              <w:left w:w="120" w:type="dxa"/>
              <w:bottom w:w="120" w:type="dxa"/>
              <w:right w:w="120" w:type="dxa"/>
            </w:tcMar>
            <w:vAlign w:val="center"/>
          </w:tcPr>
          <w:p w14:paraId="1557DB9C">
            <w:pPr>
              <w:pStyle w:val="34"/>
              <w:bidi w:val="0"/>
              <w:rPr>
                <w:highlight w:val="none"/>
              </w:rPr>
            </w:pPr>
          </w:p>
        </w:tc>
        <w:tc>
          <w:tcPr>
            <w:tcW w:w="1239" w:type="dxa"/>
            <w:tcMar>
              <w:top w:w="120" w:type="dxa"/>
              <w:left w:w="120" w:type="dxa"/>
              <w:bottom w:w="120" w:type="dxa"/>
              <w:right w:w="120" w:type="dxa"/>
            </w:tcMar>
            <w:vAlign w:val="center"/>
          </w:tcPr>
          <w:p w14:paraId="1B9C514F">
            <w:pPr>
              <w:pStyle w:val="34"/>
              <w:bidi w:val="0"/>
              <w:rPr>
                <w:highlight w:val="none"/>
              </w:rPr>
            </w:pPr>
          </w:p>
        </w:tc>
        <w:tc>
          <w:tcPr>
            <w:tcW w:w="3722" w:type="dxa"/>
            <w:tcMar>
              <w:top w:w="120" w:type="dxa"/>
              <w:left w:w="120" w:type="dxa"/>
              <w:bottom w:w="120" w:type="dxa"/>
              <w:right w:w="120" w:type="dxa"/>
            </w:tcMar>
            <w:vAlign w:val="center"/>
          </w:tcPr>
          <w:p w14:paraId="1AD80387">
            <w:pPr>
              <w:pStyle w:val="34"/>
              <w:bidi w:val="0"/>
              <w:rPr>
                <w:highlight w:val="none"/>
              </w:rPr>
            </w:pPr>
          </w:p>
        </w:tc>
        <w:tc>
          <w:tcPr>
            <w:tcW w:w="1418" w:type="dxa"/>
            <w:tcMar>
              <w:top w:w="120" w:type="dxa"/>
              <w:left w:w="120" w:type="dxa"/>
              <w:bottom w:w="120" w:type="dxa"/>
              <w:right w:w="120" w:type="dxa"/>
            </w:tcMar>
            <w:vAlign w:val="center"/>
          </w:tcPr>
          <w:p w14:paraId="55720E4F">
            <w:pPr>
              <w:pStyle w:val="34"/>
              <w:bidi w:val="0"/>
              <w:rPr>
                <w:highlight w:val="none"/>
              </w:rPr>
            </w:pPr>
          </w:p>
        </w:tc>
      </w:tr>
      <w:tr w14:paraId="7970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tcMar>
              <w:top w:w="120" w:type="dxa"/>
              <w:left w:w="120" w:type="dxa"/>
              <w:bottom w:w="120" w:type="dxa"/>
              <w:right w:w="120" w:type="dxa"/>
            </w:tcMar>
            <w:vAlign w:val="center"/>
          </w:tcPr>
          <w:p w14:paraId="70C509F7">
            <w:pPr>
              <w:pStyle w:val="34"/>
              <w:bidi w:val="0"/>
              <w:rPr>
                <w:highlight w:val="none"/>
              </w:rPr>
            </w:pPr>
            <w:r>
              <w:rPr>
                <w:rFonts w:hint="eastAsia"/>
                <w:highlight w:val="none"/>
              </w:rPr>
              <w:t>……</w:t>
            </w:r>
          </w:p>
        </w:tc>
        <w:tc>
          <w:tcPr>
            <w:tcW w:w="2269" w:type="dxa"/>
            <w:tcMar>
              <w:top w:w="120" w:type="dxa"/>
              <w:left w:w="120" w:type="dxa"/>
              <w:bottom w:w="120" w:type="dxa"/>
              <w:right w:w="120" w:type="dxa"/>
            </w:tcMar>
            <w:vAlign w:val="center"/>
          </w:tcPr>
          <w:p w14:paraId="53ED1B62">
            <w:pPr>
              <w:pStyle w:val="34"/>
              <w:bidi w:val="0"/>
              <w:rPr>
                <w:highlight w:val="none"/>
              </w:rPr>
            </w:pPr>
          </w:p>
        </w:tc>
        <w:tc>
          <w:tcPr>
            <w:tcW w:w="1239" w:type="dxa"/>
            <w:tcMar>
              <w:top w:w="120" w:type="dxa"/>
              <w:left w:w="120" w:type="dxa"/>
              <w:bottom w:w="120" w:type="dxa"/>
              <w:right w:w="120" w:type="dxa"/>
            </w:tcMar>
            <w:vAlign w:val="center"/>
          </w:tcPr>
          <w:p w14:paraId="2A4AAD9C">
            <w:pPr>
              <w:pStyle w:val="34"/>
              <w:bidi w:val="0"/>
              <w:rPr>
                <w:highlight w:val="none"/>
              </w:rPr>
            </w:pPr>
          </w:p>
        </w:tc>
        <w:tc>
          <w:tcPr>
            <w:tcW w:w="3722" w:type="dxa"/>
            <w:tcMar>
              <w:top w:w="120" w:type="dxa"/>
              <w:left w:w="120" w:type="dxa"/>
              <w:bottom w:w="120" w:type="dxa"/>
              <w:right w:w="120" w:type="dxa"/>
            </w:tcMar>
            <w:vAlign w:val="center"/>
          </w:tcPr>
          <w:p w14:paraId="0623C09B">
            <w:pPr>
              <w:pStyle w:val="34"/>
              <w:bidi w:val="0"/>
              <w:rPr>
                <w:highlight w:val="none"/>
              </w:rPr>
            </w:pPr>
          </w:p>
        </w:tc>
        <w:tc>
          <w:tcPr>
            <w:tcW w:w="1418" w:type="dxa"/>
            <w:tcMar>
              <w:top w:w="120" w:type="dxa"/>
              <w:left w:w="120" w:type="dxa"/>
              <w:bottom w:w="120" w:type="dxa"/>
              <w:right w:w="120" w:type="dxa"/>
            </w:tcMar>
            <w:vAlign w:val="center"/>
          </w:tcPr>
          <w:p w14:paraId="77F0E3F6">
            <w:pPr>
              <w:pStyle w:val="34"/>
              <w:bidi w:val="0"/>
              <w:rPr>
                <w:highlight w:val="none"/>
              </w:rPr>
            </w:pPr>
          </w:p>
        </w:tc>
      </w:tr>
    </w:tbl>
    <w:p w14:paraId="1C91CA85">
      <w:pPr>
        <w:pStyle w:val="36"/>
        <w:bidi w:val="0"/>
        <w:rPr>
          <w:highlight w:val="none"/>
        </w:rPr>
      </w:pPr>
      <w:r>
        <w:rPr>
          <w:rFonts w:hint="eastAsia"/>
          <w:highlight w:val="none"/>
        </w:rPr>
        <w:t>注：</w:t>
      </w:r>
    </w:p>
    <w:p w14:paraId="1D94CF5B">
      <w:pPr>
        <w:pStyle w:val="36"/>
        <w:bidi w:val="0"/>
        <w:rPr>
          <w:highlight w:val="none"/>
        </w:rPr>
      </w:pPr>
      <w:r>
        <w:rPr>
          <w:rFonts w:hint="eastAsia"/>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9A7B6D">
      <w:pPr>
        <w:pStyle w:val="36"/>
        <w:bidi w:val="0"/>
        <w:rPr>
          <w:highlight w:val="none"/>
        </w:rPr>
      </w:pPr>
      <w:r>
        <w:rPr>
          <w:rFonts w:hint="eastAsia"/>
          <w:highlight w:val="none"/>
        </w:rPr>
        <w:t>2.本表所指的控股关系仅限于直接控股关系，不包括间接的控股关系。公司实际控制人与公司之间的关系不属于本表所指的直接控股关系。</w:t>
      </w:r>
    </w:p>
    <w:p w14:paraId="32D9C197">
      <w:pPr>
        <w:pStyle w:val="36"/>
        <w:bidi w:val="0"/>
        <w:rPr>
          <w:highlight w:val="none"/>
        </w:rPr>
      </w:pPr>
      <w:r>
        <w:rPr>
          <w:rFonts w:hint="eastAsia"/>
          <w:highlight w:val="none"/>
        </w:rPr>
        <w:t>3.不存在直接控股股东的，则填“无”。</w:t>
      </w:r>
    </w:p>
    <w:p w14:paraId="413EA476">
      <w:pPr>
        <w:pStyle w:val="35"/>
        <w:bidi w:val="0"/>
        <w:rPr>
          <w:highlight w:val="none"/>
        </w:rPr>
      </w:pPr>
      <w:r>
        <w:rPr>
          <w:rFonts w:hint="eastAsia"/>
          <w:highlight w:val="none"/>
        </w:rPr>
        <w:t>投标人直接管理关系信息表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14:paraId="4886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005" w:type="dxa"/>
            <w:tcMar>
              <w:top w:w="120" w:type="dxa"/>
              <w:left w:w="120" w:type="dxa"/>
              <w:bottom w:w="120" w:type="dxa"/>
              <w:right w:w="120" w:type="dxa"/>
            </w:tcMar>
            <w:vAlign w:val="center"/>
          </w:tcPr>
          <w:p w14:paraId="6C695D0E">
            <w:pPr>
              <w:pStyle w:val="34"/>
              <w:bidi w:val="0"/>
              <w:rPr>
                <w:highlight w:val="none"/>
              </w:rPr>
            </w:pPr>
            <w:r>
              <w:rPr>
                <w:rFonts w:hint="eastAsia"/>
                <w:highlight w:val="none"/>
              </w:rPr>
              <w:t>序号</w:t>
            </w:r>
          </w:p>
        </w:tc>
        <w:tc>
          <w:tcPr>
            <w:tcW w:w="2659" w:type="dxa"/>
            <w:tcMar>
              <w:top w:w="120" w:type="dxa"/>
              <w:left w:w="120" w:type="dxa"/>
              <w:bottom w:w="120" w:type="dxa"/>
              <w:right w:w="120" w:type="dxa"/>
            </w:tcMar>
            <w:vAlign w:val="center"/>
          </w:tcPr>
          <w:p w14:paraId="0B3CEB54">
            <w:pPr>
              <w:pStyle w:val="34"/>
              <w:bidi w:val="0"/>
              <w:rPr>
                <w:highlight w:val="none"/>
              </w:rPr>
            </w:pPr>
            <w:r>
              <w:rPr>
                <w:rFonts w:hint="eastAsia"/>
                <w:highlight w:val="none"/>
              </w:rPr>
              <w:t>直接管理关系单位名称</w:t>
            </w:r>
          </w:p>
        </w:tc>
        <w:tc>
          <w:tcPr>
            <w:tcW w:w="3924" w:type="dxa"/>
            <w:tcMar>
              <w:top w:w="120" w:type="dxa"/>
              <w:left w:w="120" w:type="dxa"/>
              <w:bottom w:w="120" w:type="dxa"/>
              <w:right w:w="120" w:type="dxa"/>
            </w:tcMar>
            <w:vAlign w:val="center"/>
          </w:tcPr>
          <w:p w14:paraId="0157A50F">
            <w:pPr>
              <w:pStyle w:val="34"/>
              <w:bidi w:val="0"/>
              <w:rPr>
                <w:highlight w:val="none"/>
              </w:rPr>
            </w:pPr>
            <w:r>
              <w:rPr>
                <w:rFonts w:hint="eastAsia"/>
                <w:highlight w:val="none"/>
              </w:rPr>
              <w:t>统一社会信用代码</w:t>
            </w:r>
          </w:p>
        </w:tc>
        <w:tc>
          <w:tcPr>
            <w:tcW w:w="2064" w:type="dxa"/>
            <w:tcMar>
              <w:top w:w="120" w:type="dxa"/>
              <w:left w:w="120" w:type="dxa"/>
              <w:bottom w:w="120" w:type="dxa"/>
              <w:right w:w="120" w:type="dxa"/>
            </w:tcMar>
            <w:vAlign w:val="center"/>
          </w:tcPr>
          <w:p w14:paraId="25DAF9B8">
            <w:pPr>
              <w:pStyle w:val="34"/>
              <w:bidi w:val="0"/>
              <w:rPr>
                <w:highlight w:val="none"/>
              </w:rPr>
            </w:pPr>
            <w:r>
              <w:rPr>
                <w:rFonts w:hint="eastAsia"/>
                <w:highlight w:val="none"/>
              </w:rPr>
              <w:t>备注</w:t>
            </w:r>
          </w:p>
        </w:tc>
      </w:tr>
      <w:tr w14:paraId="7989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5" w:type="dxa"/>
            <w:tcMar>
              <w:top w:w="120" w:type="dxa"/>
              <w:left w:w="120" w:type="dxa"/>
              <w:bottom w:w="120" w:type="dxa"/>
              <w:right w:w="120" w:type="dxa"/>
            </w:tcMar>
            <w:vAlign w:val="center"/>
          </w:tcPr>
          <w:p w14:paraId="18292CF6">
            <w:pPr>
              <w:pStyle w:val="34"/>
              <w:bidi w:val="0"/>
              <w:rPr>
                <w:highlight w:val="none"/>
              </w:rPr>
            </w:pPr>
            <w:r>
              <w:rPr>
                <w:rFonts w:hint="eastAsia"/>
                <w:highlight w:val="none"/>
              </w:rPr>
              <w:t>1</w:t>
            </w:r>
          </w:p>
        </w:tc>
        <w:tc>
          <w:tcPr>
            <w:tcW w:w="2659" w:type="dxa"/>
            <w:tcMar>
              <w:top w:w="120" w:type="dxa"/>
              <w:left w:w="120" w:type="dxa"/>
              <w:bottom w:w="120" w:type="dxa"/>
              <w:right w:w="120" w:type="dxa"/>
            </w:tcMar>
            <w:vAlign w:val="center"/>
          </w:tcPr>
          <w:p w14:paraId="63C29D72">
            <w:pPr>
              <w:pStyle w:val="34"/>
              <w:bidi w:val="0"/>
              <w:rPr>
                <w:highlight w:val="none"/>
              </w:rPr>
            </w:pPr>
          </w:p>
        </w:tc>
        <w:tc>
          <w:tcPr>
            <w:tcW w:w="3924" w:type="dxa"/>
            <w:tcMar>
              <w:top w:w="120" w:type="dxa"/>
              <w:left w:w="120" w:type="dxa"/>
              <w:bottom w:w="120" w:type="dxa"/>
              <w:right w:w="120" w:type="dxa"/>
            </w:tcMar>
            <w:vAlign w:val="center"/>
          </w:tcPr>
          <w:p w14:paraId="2D79E18B">
            <w:pPr>
              <w:pStyle w:val="34"/>
              <w:bidi w:val="0"/>
              <w:rPr>
                <w:highlight w:val="none"/>
              </w:rPr>
            </w:pPr>
          </w:p>
        </w:tc>
        <w:tc>
          <w:tcPr>
            <w:tcW w:w="2064" w:type="dxa"/>
            <w:tcMar>
              <w:top w:w="120" w:type="dxa"/>
              <w:left w:w="120" w:type="dxa"/>
              <w:bottom w:w="120" w:type="dxa"/>
              <w:right w:w="120" w:type="dxa"/>
            </w:tcMar>
            <w:vAlign w:val="center"/>
          </w:tcPr>
          <w:p w14:paraId="1CB1D624">
            <w:pPr>
              <w:pStyle w:val="34"/>
              <w:bidi w:val="0"/>
              <w:rPr>
                <w:highlight w:val="none"/>
              </w:rPr>
            </w:pPr>
          </w:p>
        </w:tc>
      </w:tr>
      <w:tr w14:paraId="43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5" w:type="dxa"/>
            <w:tcMar>
              <w:top w:w="120" w:type="dxa"/>
              <w:left w:w="120" w:type="dxa"/>
              <w:bottom w:w="120" w:type="dxa"/>
              <w:right w:w="120" w:type="dxa"/>
            </w:tcMar>
            <w:vAlign w:val="center"/>
          </w:tcPr>
          <w:p w14:paraId="656900DE">
            <w:pPr>
              <w:pStyle w:val="34"/>
              <w:bidi w:val="0"/>
              <w:rPr>
                <w:highlight w:val="none"/>
              </w:rPr>
            </w:pPr>
            <w:r>
              <w:rPr>
                <w:rFonts w:hint="eastAsia"/>
                <w:highlight w:val="none"/>
              </w:rPr>
              <w:t>2</w:t>
            </w:r>
          </w:p>
        </w:tc>
        <w:tc>
          <w:tcPr>
            <w:tcW w:w="2659" w:type="dxa"/>
            <w:tcMar>
              <w:top w:w="120" w:type="dxa"/>
              <w:left w:w="120" w:type="dxa"/>
              <w:bottom w:w="120" w:type="dxa"/>
              <w:right w:w="120" w:type="dxa"/>
            </w:tcMar>
            <w:vAlign w:val="center"/>
          </w:tcPr>
          <w:p w14:paraId="09970580">
            <w:pPr>
              <w:pStyle w:val="34"/>
              <w:bidi w:val="0"/>
              <w:rPr>
                <w:highlight w:val="none"/>
              </w:rPr>
            </w:pPr>
          </w:p>
        </w:tc>
        <w:tc>
          <w:tcPr>
            <w:tcW w:w="3924" w:type="dxa"/>
            <w:tcMar>
              <w:top w:w="120" w:type="dxa"/>
              <w:left w:w="120" w:type="dxa"/>
              <w:bottom w:w="120" w:type="dxa"/>
              <w:right w:w="120" w:type="dxa"/>
            </w:tcMar>
            <w:vAlign w:val="center"/>
          </w:tcPr>
          <w:p w14:paraId="4CCD4A05">
            <w:pPr>
              <w:pStyle w:val="34"/>
              <w:bidi w:val="0"/>
              <w:rPr>
                <w:highlight w:val="none"/>
              </w:rPr>
            </w:pPr>
          </w:p>
        </w:tc>
        <w:tc>
          <w:tcPr>
            <w:tcW w:w="2064" w:type="dxa"/>
            <w:tcMar>
              <w:top w:w="120" w:type="dxa"/>
              <w:left w:w="120" w:type="dxa"/>
              <w:bottom w:w="120" w:type="dxa"/>
              <w:right w:w="120" w:type="dxa"/>
            </w:tcMar>
            <w:vAlign w:val="center"/>
          </w:tcPr>
          <w:p w14:paraId="46AF8EC0">
            <w:pPr>
              <w:pStyle w:val="34"/>
              <w:bidi w:val="0"/>
              <w:rPr>
                <w:highlight w:val="none"/>
              </w:rPr>
            </w:pPr>
          </w:p>
        </w:tc>
      </w:tr>
      <w:tr w14:paraId="7224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5" w:type="dxa"/>
            <w:tcMar>
              <w:top w:w="120" w:type="dxa"/>
              <w:left w:w="120" w:type="dxa"/>
              <w:bottom w:w="120" w:type="dxa"/>
              <w:right w:w="120" w:type="dxa"/>
            </w:tcMar>
            <w:vAlign w:val="center"/>
          </w:tcPr>
          <w:p w14:paraId="0E7B7F95">
            <w:pPr>
              <w:pStyle w:val="34"/>
              <w:bidi w:val="0"/>
              <w:rPr>
                <w:highlight w:val="none"/>
              </w:rPr>
            </w:pPr>
            <w:r>
              <w:rPr>
                <w:rFonts w:hint="eastAsia"/>
                <w:highlight w:val="none"/>
              </w:rPr>
              <w:t>……</w:t>
            </w:r>
          </w:p>
        </w:tc>
        <w:tc>
          <w:tcPr>
            <w:tcW w:w="2659" w:type="dxa"/>
            <w:tcMar>
              <w:top w:w="120" w:type="dxa"/>
              <w:left w:w="120" w:type="dxa"/>
              <w:bottom w:w="120" w:type="dxa"/>
              <w:right w:w="120" w:type="dxa"/>
            </w:tcMar>
            <w:vAlign w:val="center"/>
          </w:tcPr>
          <w:p w14:paraId="15E38F26">
            <w:pPr>
              <w:pStyle w:val="34"/>
              <w:bidi w:val="0"/>
              <w:rPr>
                <w:highlight w:val="none"/>
              </w:rPr>
            </w:pPr>
          </w:p>
        </w:tc>
        <w:tc>
          <w:tcPr>
            <w:tcW w:w="3924" w:type="dxa"/>
            <w:tcMar>
              <w:top w:w="120" w:type="dxa"/>
              <w:left w:w="120" w:type="dxa"/>
              <w:bottom w:w="120" w:type="dxa"/>
              <w:right w:w="120" w:type="dxa"/>
            </w:tcMar>
            <w:vAlign w:val="center"/>
          </w:tcPr>
          <w:p w14:paraId="42CEC703">
            <w:pPr>
              <w:pStyle w:val="34"/>
              <w:bidi w:val="0"/>
              <w:rPr>
                <w:highlight w:val="none"/>
              </w:rPr>
            </w:pPr>
          </w:p>
        </w:tc>
        <w:tc>
          <w:tcPr>
            <w:tcW w:w="2064" w:type="dxa"/>
            <w:tcMar>
              <w:top w:w="120" w:type="dxa"/>
              <w:left w:w="120" w:type="dxa"/>
              <w:bottom w:w="120" w:type="dxa"/>
              <w:right w:w="120" w:type="dxa"/>
            </w:tcMar>
            <w:vAlign w:val="center"/>
          </w:tcPr>
          <w:p w14:paraId="0B4A92CB">
            <w:pPr>
              <w:pStyle w:val="34"/>
              <w:bidi w:val="0"/>
              <w:rPr>
                <w:highlight w:val="none"/>
              </w:rPr>
            </w:pPr>
          </w:p>
        </w:tc>
      </w:tr>
    </w:tbl>
    <w:p w14:paraId="3BC98F3A">
      <w:pPr>
        <w:pStyle w:val="36"/>
        <w:bidi w:val="0"/>
        <w:rPr>
          <w:highlight w:val="none"/>
        </w:rPr>
      </w:pPr>
      <w:r>
        <w:rPr>
          <w:rFonts w:hint="eastAsia"/>
          <w:highlight w:val="none"/>
        </w:rPr>
        <w:t>注：</w:t>
      </w:r>
    </w:p>
    <w:p w14:paraId="5DA8963A">
      <w:pPr>
        <w:pStyle w:val="36"/>
        <w:bidi w:val="0"/>
        <w:rPr>
          <w:highlight w:val="none"/>
        </w:rPr>
      </w:pPr>
      <w:r>
        <w:rPr>
          <w:rFonts w:hint="eastAsia"/>
          <w:highlight w:val="none"/>
        </w:rPr>
        <w:t>1.管理关系：是指不具有出资持股关系的其他单位之间存在的管理与被管理关系，如一些上下级关系的事业单位和团体组织。</w:t>
      </w:r>
    </w:p>
    <w:p w14:paraId="2EBCBF3A">
      <w:pPr>
        <w:pStyle w:val="36"/>
        <w:bidi w:val="0"/>
        <w:rPr>
          <w:highlight w:val="none"/>
        </w:rPr>
      </w:pPr>
      <w:r>
        <w:rPr>
          <w:rFonts w:hint="eastAsia"/>
          <w:highlight w:val="none"/>
        </w:rPr>
        <w:t>2.本表所指的管理关系仅限于直接管理关系，不包括间接的管理关系。</w:t>
      </w:r>
    </w:p>
    <w:p w14:paraId="0B50EB7D">
      <w:pPr>
        <w:pStyle w:val="36"/>
        <w:bidi w:val="0"/>
        <w:rPr>
          <w:highlight w:val="none"/>
        </w:rPr>
      </w:pPr>
      <w:r>
        <w:rPr>
          <w:rFonts w:hint="eastAsia"/>
          <w:highlight w:val="none"/>
        </w:rPr>
        <w:t>3.不存在直接管理关系的，则填“无”。</w:t>
      </w:r>
    </w:p>
    <w:p w14:paraId="580F7A64">
      <w:pPr>
        <w:pStyle w:val="12"/>
        <w:pageBreakBefore w:val="0"/>
        <w:tabs>
          <w:tab w:val="left" w:pos="5529"/>
        </w:tabs>
        <w:kinsoku/>
        <w:wordWrap w:val="0"/>
        <w:overflowPunct/>
        <w:topLinePunct/>
        <w:autoSpaceDE w:val="0"/>
        <w:autoSpaceDN w:val="0"/>
        <w:bidi w:val="0"/>
        <w:ind w:firstLine="3240" w:firstLineChars="1620"/>
        <w:rPr>
          <w:rFonts w:hAnsi="宋体" w:cs="Times New Roman"/>
          <w:highlight w:val="none"/>
        </w:rPr>
      </w:pPr>
    </w:p>
    <w:p w14:paraId="75DF5B2A">
      <w:pPr>
        <w:pageBreakBefore w:val="0"/>
        <w:kinsoku/>
        <w:wordWrap w:val="0"/>
        <w:overflowPunct/>
        <w:topLinePunct/>
        <w:autoSpaceDE w:val="0"/>
        <w:autoSpaceDN w:val="0"/>
        <w:bidi w:val="0"/>
        <w:spacing w:line="360" w:lineRule="exact"/>
        <w:ind w:firstLine="6960" w:firstLineChars="2900"/>
        <w:rPr>
          <w:rFonts w:ascii="宋体" w:hAnsi="宋体"/>
          <w:szCs w:val="21"/>
          <w:highlight w:val="none"/>
        </w:rPr>
      </w:pPr>
      <w:r>
        <w:rPr>
          <w:rFonts w:hint="eastAsia" w:ascii="宋体" w:hAnsi="宋体"/>
          <w:szCs w:val="21"/>
          <w:highlight w:val="none"/>
        </w:rPr>
        <w:t>投标人名称</w:t>
      </w:r>
      <w:r>
        <w:rPr>
          <w:rFonts w:ascii="宋体" w:hAnsi="宋体"/>
          <w:szCs w:val="21"/>
          <w:highlight w:val="none"/>
        </w:rPr>
        <w:t>(</w:t>
      </w:r>
      <w:r>
        <w:rPr>
          <w:rFonts w:hint="eastAsia" w:ascii="宋体" w:hAnsi="宋体"/>
          <w:szCs w:val="21"/>
          <w:highlight w:val="none"/>
        </w:rPr>
        <w:t>电子签章</w:t>
      </w:r>
      <w:r>
        <w:rPr>
          <w:rFonts w:ascii="宋体" w:hAnsi="宋体"/>
          <w:szCs w:val="21"/>
          <w:highlight w:val="none"/>
        </w:rPr>
        <w:t>)</w:t>
      </w:r>
      <w:r>
        <w:rPr>
          <w:rFonts w:hint="eastAsia" w:ascii="宋体" w:hAnsi="宋体"/>
          <w:szCs w:val="21"/>
          <w:highlight w:val="none"/>
        </w:rPr>
        <w:t>：</w:t>
      </w:r>
    </w:p>
    <w:p w14:paraId="464CEE84">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r>
        <w:rPr>
          <w:rFonts w:hint="eastAsia" w:ascii="宋体" w:hAnsi="宋体"/>
          <w:szCs w:val="21"/>
          <w:highlight w:val="none"/>
        </w:rPr>
        <w:t>日期：</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14:paraId="6520A1BE">
      <w:pPr>
        <w:pageBreakBefore w:val="0"/>
        <w:kinsoku/>
        <w:wordWrap w:val="0"/>
        <w:overflowPunct/>
        <w:topLinePunct/>
        <w:autoSpaceDE w:val="0"/>
        <w:autoSpaceDN w:val="0"/>
        <w:bidi w:val="0"/>
        <w:snapToGrid w:val="0"/>
        <w:spacing w:beforeLines="50" w:after="50" w:line="400" w:lineRule="exact"/>
        <w:ind w:right="420" w:firstLine="8674" w:firstLineChars="2700"/>
        <w:rPr>
          <w:rFonts w:ascii="宋体" w:hAnsi="宋体"/>
          <w:b/>
          <w:bCs/>
          <w:sz w:val="32"/>
          <w:szCs w:val="32"/>
          <w:highlight w:val="none"/>
        </w:rPr>
      </w:pPr>
    </w:p>
    <w:p w14:paraId="31686AF0">
      <w:pPr>
        <w:pageBreakBefore w:val="0"/>
        <w:kinsoku/>
        <w:wordWrap w:val="0"/>
        <w:overflowPunct/>
        <w:topLinePunct/>
        <w:autoSpaceDE w:val="0"/>
        <w:autoSpaceDN w:val="0"/>
        <w:bidi w:val="0"/>
        <w:snapToGrid w:val="0"/>
        <w:spacing w:beforeLines="50" w:after="50" w:line="400" w:lineRule="exact"/>
        <w:ind w:right="420" w:firstLine="8674" w:firstLineChars="2700"/>
        <w:rPr>
          <w:rFonts w:ascii="宋体" w:hAnsi="宋体"/>
          <w:b/>
          <w:bCs/>
          <w:sz w:val="32"/>
          <w:szCs w:val="32"/>
          <w:highlight w:val="none"/>
        </w:rPr>
      </w:pPr>
    </w:p>
    <w:p w14:paraId="32EEF755">
      <w:pPr>
        <w:pageBreakBefore w:val="0"/>
        <w:kinsoku/>
        <w:wordWrap w:val="0"/>
        <w:overflowPunct/>
        <w:topLinePunct/>
        <w:autoSpaceDE w:val="0"/>
        <w:autoSpaceDN w:val="0"/>
        <w:bidi w:val="0"/>
        <w:snapToGrid w:val="0"/>
        <w:spacing w:before="50" w:after="50" w:line="400" w:lineRule="exact"/>
        <w:rPr>
          <w:rFonts w:hint="eastAsia" w:ascii="宋体" w:hAnsi="宋体"/>
          <w:b/>
          <w:sz w:val="32"/>
          <w:szCs w:val="32"/>
          <w:highlight w:val="none"/>
        </w:rPr>
        <w:sectPr>
          <w:pgSz w:w="11906" w:h="16839"/>
          <w:pgMar w:top="400" w:right="994" w:bottom="1156" w:left="1255" w:header="0" w:footer="994" w:gutter="0"/>
          <w:pgNumType w:fmt="decimal"/>
          <w:cols w:space="720" w:num="1"/>
        </w:sectPr>
      </w:pPr>
    </w:p>
    <w:p w14:paraId="14BD3C04">
      <w:pPr>
        <w:pStyle w:val="36"/>
        <w:bidi w:val="0"/>
        <w:rPr>
          <w:rFonts w:hint="eastAsia"/>
          <w:highlight w:val="none"/>
        </w:rPr>
      </w:pPr>
      <w:r>
        <w:rPr>
          <w:rFonts w:hint="eastAsia"/>
          <w:highlight w:val="none"/>
          <w:lang w:val="en-US" w:eastAsia="zh-CN"/>
        </w:rPr>
        <w:t>4</w:t>
      </w:r>
      <w:r>
        <w:rPr>
          <w:rFonts w:hint="eastAsia"/>
          <w:highlight w:val="none"/>
        </w:rPr>
        <w:t>. 联合体竞标协议书</w:t>
      </w:r>
    </w:p>
    <w:p w14:paraId="3312AAED">
      <w:pPr>
        <w:pStyle w:val="35"/>
        <w:bidi w:val="0"/>
        <w:rPr>
          <w:rFonts w:hint="eastAsia" w:ascii="宋体" w:hAnsi="宋体" w:eastAsia="宋体" w:cs="宋体"/>
          <w:color w:val="auto"/>
          <w:sz w:val="24"/>
          <w:szCs w:val="24"/>
          <w:highlight w:val="none"/>
        </w:rPr>
      </w:pPr>
      <w:r>
        <w:rPr>
          <w:rFonts w:hint="eastAsia"/>
          <w:highlight w:val="none"/>
        </w:rPr>
        <w:t>联合体竞标协议书</w:t>
      </w:r>
    </w:p>
    <w:p w14:paraId="24B33B26">
      <w:pPr>
        <w:bidi w:val="0"/>
        <w:rPr>
          <w:rFonts w:hint="eastAsia"/>
          <w:highlight w:val="none"/>
        </w:rPr>
      </w:pPr>
      <w:r>
        <w:rPr>
          <w:rFonts w:hint="eastAsia"/>
          <w:highlight w:val="none"/>
          <w:u w:val="single"/>
        </w:rPr>
        <w:t>（所有成员单位名称）</w:t>
      </w:r>
      <w:r>
        <w:rPr>
          <w:rFonts w:hint="eastAsia"/>
          <w:highlight w:val="none"/>
        </w:rPr>
        <w:t>自愿组成</w:t>
      </w:r>
      <w:r>
        <w:rPr>
          <w:rFonts w:hint="eastAsia"/>
          <w:highlight w:val="none"/>
          <w:u w:val="single"/>
        </w:rPr>
        <w:t>（联合体名称）</w:t>
      </w:r>
      <w:r>
        <w:rPr>
          <w:rFonts w:hint="eastAsia"/>
          <w:highlight w:val="none"/>
        </w:rPr>
        <w:t>联合体，共同参加</w:t>
      </w:r>
      <w:r>
        <w:rPr>
          <w:rFonts w:hint="eastAsia"/>
          <w:highlight w:val="none"/>
          <w:u w:val="single"/>
        </w:rPr>
        <w:t>（项目名称）</w:t>
      </w:r>
      <w:r>
        <w:rPr>
          <w:rFonts w:hint="eastAsia"/>
          <w:highlight w:val="none"/>
        </w:rPr>
        <w:t>（</w:t>
      </w:r>
      <w:r>
        <w:rPr>
          <w:rFonts w:hint="eastAsia"/>
          <w:highlight w:val="none"/>
          <w:lang w:val="en-US" w:eastAsia="zh-CN"/>
        </w:rPr>
        <w:t>项目</w:t>
      </w:r>
      <w:r>
        <w:rPr>
          <w:highlight w:val="none"/>
        </w:rPr>
        <w:t>编号</w:t>
      </w:r>
      <w:r>
        <w:rPr>
          <w:rFonts w:hint="eastAsia"/>
          <w:highlight w:val="none"/>
          <w:lang w:eastAsia="zh-CN"/>
        </w:rPr>
        <w:t>：</w:t>
      </w:r>
      <w:r>
        <w:rPr>
          <w:rFonts w:hint="eastAsia"/>
          <w:highlight w:val="none"/>
          <w:u w:val="single"/>
        </w:rPr>
        <w:t xml:space="preserve">                        </w:t>
      </w:r>
      <w:r>
        <w:rPr>
          <w:rFonts w:hint="eastAsia"/>
          <w:highlight w:val="none"/>
        </w:rPr>
        <w:t>）</w:t>
      </w:r>
      <w:r>
        <w:rPr>
          <w:rFonts w:hint="eastAsia"/>
          <w:highlight w:val="none"/>
          <w:u w:val="none"/>
          <w:lang w:val="en-US" w:eastAsia="zh-CN"/>
        </w:rPr>
        <w:t>分标</w:t>
      </w:r>
      <w:r>
        <w:rPr>
          <w:rFonts w:hint="eastAsia"/>
          <w:highlight w:val="none"/>
          <w:u w:val="single"/>
          <w:lang w:val="en-US" w:eastAsia="zh-CN"/>
        </w:rPr>
        <w:t xml:space="preserve">：      </w:t>
      </w:r>
      <w:r>
        <w:rPr>
          <w:rFonts w:hint="eastAsia"/>
          <w:highlight w:val="none"/>
        </w:rPr>
        <w:t>采购项目竞标。现就联合体竞标事宜订立如下协议。</w:t>
      </w:r>
    </w:p>
    <w:p w14:paraId="0A5128F2">
      <w:pPr>
        <w:bidi w:val="0"/>
        <w:rPr>
          <w:rFonts w:hint="eastAsia"/>
          <w:highlight w:val="none"/>
        </w:rPr>
      </w:pPr>
      <w:r>
        <w:rPr>
          <w:rFonts w:hint="eastAsia"/>
          <w:highlight w:val="none"/>
        </w:rPr>
        <w:t>1.</w:t>
      </w:r>
      <w:r>
        <w:rPr>
          <w:rFonts w:hint="eastAsia"/>
          <w:highlight w:val="none"/>
          <w:u w:val="single"/>
        </w:rPr>
        <w:tab/>
      </w:r>
      <w:r>
        <w:rPr>
          <w:rFonts w:hint="eastAsia"/>
          <w:highlight w:val="none"/>
          <w:u w:val="single"/>
        </w:rPr>
        <w:t>（某成员单位名称）</w:t>
      </w:r>
      <w:r>
        <w:rPr>
          <w:rFonts w:hint="eastAsia"/>
          <w:highlight w:val="none"/>
        </w:rPr>
        <w:t>为（联合体名称）牵头人。</w:t>
      </w:r>
    </w:p>
    <w:p w14:paraId="48E8F825">
      <w:pPr>
        <w:bidi w:val="0"/>
        <w:rPr>
          <w:rFonts w:hint="eastAsia"/>
          <w:highlight w:val="none"/>
        </w:rPr>
      </w:pPr>
      <w:r>
        <w:rPr>
          <w:rFonts w:hint="eastAsia"/>
          <w:highlight w:val="none"/>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56D69BFD">
      <w:pPr>
        <w:bidi w:val="0"/>
        <w:rPr>
          <w:rFonts w:hint="eastAsia"/>
          <w:highlight w:val="none"/>
        </w:rPr>
      </w:pPr>
      <w:r>
        <w:rPr>
          <w:rFonts w:hint="eastAsia"/>
          <w:highlight w:val="none"/>
        </w:rPr>
        <w:t>3.联合体牵头人在本项目中签署和盖章的一切文件和处理的一切事宜，联合体各成员均予以承认。联合体各成员将严格按照谈判文件、响应文件和合同的要求全面履行义务，并向采购人承担连带责任。</w:t>
      </w:r>
    </w:p>
    <w:p w14:paraId="4A3E4D05">
      <w:pPr>
        <w:bidi w:val="0"/>
        <w:rPr>
          <w:rFonts w:hint="eastAsia"/>
          <w:highlight w:val="none"/>
        </w:rPr>
      </w:pPr>
      <w:r>
        <w:rPr>
          <w:rFonts w:hint="eastAsia"/>
          <w:highlight w:val="none"/>
        </w:rPr>
        <w:t>4.联合体各成员单位内部的职责分工如下：。</w:t>
      </w:r>
    </w:p>
    <w:p w14:paraId="3340FE19">
      <w:pPr>
        <w:bidi w:val="0"/>
        <w:rPr>
          <w:rFonts w:hint="eastAsia"/>
          <w:highlight w:val="none"/>
        </w:rPr>
      </w:pPr>
      <w:r>
        <w:rPr>
          <w:rFonts w:hint="eastAsia"/>
          <w:highlight w:val="none"/>
        </w:rPr>
        <w:t>5.本协议书自所有成员单位法定代表人或者其委托代理人签字或者盖单位章之日起生效，合同履行完毕后自动失效。</w:t>
      </w:r>
    </w:p>
    <w:p w14:paraId="78CD1A36">
      <w:pPr>
        <w:bidi w:val="0"/>
        <w:rPr>
          <w:rFonts w:hint="eastAsia"/>
          <w:highlight w:val="none"/>
        </w:rPr>
      </w:pPr>
      <w:r>
        <w:rPr>
          <w:rFonts w:hint="eastAsia"/>
          <w:highlight w:val="none"/>
        </w:rPr>
        <w:t>6.本协议书一式</w:t>
      </w:r>
      <w:r>
        <w:rPr>
          <w:rFonts w:hint="eastAsia"/>
          <w:highlight w:val="none"/>
          <w:u w:val="single"/>
        </w:rPr>
        <w:tab/>
      </w:r>
      <w:r>
        <w:rPr>
          <w:rFonts w:hint="eastAsia"/>
          <w:highlight w:val="none"/>
        </w:rPr>
        <w:t>份，联合体成员和采购人各执一份。</w:t>
      </w:r>
    </w:p>
    <w:p w14:paraId="6C45D6A3">
      <w:pPr>
        <w:bidi w:val="0"/>
        <w:rPr>
          <w:rFonts w:hint="eastAsia"/>
          <w:highlight w:val="none"/>
        </w:rPr>
      </w:pPr>
      <w:r>
        <w:rPr>
          <w:rFonts w:hint="eastAsia"/>
          <w:highlight w:val="none"/>
        </w:rPr>
        <w:t>注：本协议书应附法定代表人身份证明书；有委托代理的，应附权委托书（格式自拟）。</w:t>
      </w:r>
    </w:p>
    <w:p w14:paraId="28EB445E">
      <w:pPr>
        <w:bidi w:val="0"/>
        <w:rPr>
          <w:rFonts w:hint="eastAsia"/>
          <w:highlight w:val="none"/>
        </w:rPr>
      </w:pPr>
    </w:p>
    <w:p w14:paraId="52AA232F">
      <w:pPr>
        <w:bidi w:val="0"/>
        <w:rPr>
          <w:rFonts w:hint="eastAsia"/>
          <w:highlight w:val="none"/>
        </w:rPr>
      </w:pPr>
      <w:r>
        <w:rPr>
          <w:rFonts w:hint="eastAsia"/>
          <w:highlight w:val="none"/>
        </w:rPr>
        <w:t>联合体牵头人名称（电子签章）：</w:t>
      </w:r>
    </w:p>
    <w:p w14:paraId="5CBE851E">
      <w:pPr>
        <w:bidi w:val="0"/>
        <w:rPr>
          <w:rFonts w:hint="eastAsia"/>
          <w:highlight w:val="none"/>
        </w:rPr>
      </w:pPr>
      <w:r>
        <w:rPr>
          <w:rFonts w:hint="eastAsia"/>
          <w:highlight w:val="none"/>
        </w:rPr>
        <w:t>法定代表人或者其委托代理人（签字或者电子签名）：</w:t>
      </w:r>
    </w:p>
    <w:p w14:paraId="1D4EA5E8">
      <w:pPr>
        <w:bidi w:val="0"/>
        <w:rPr>
          <w:rFonts w:hint="eastAsia"/>
          <w:highlight w:val="none"/>
        </w:rPr>
      </w:pPr>
    </w:p>
    <w:p w14:paraId="4794BD19">
      <w:pPr>
        <w:bidi w:val="0"/>
        <w:rPr>
          <w:rFonts w:hint="eastAsia"/>
          <w:highlight w:val="none"/>
        </w:rPr>
      </w:pPr>
      <w:r>
        <w:rPr>
          <w:rFonts w:hint="eastAsia"/>
          <w:highlight w:val="none"/>
        </w:rPr>
        <w:t>联合体成员名称（盖公章或者电子签章）：</w:t>
      </w:r>
    </w:p>
    <w:p w14:paraId="49C0B587">
      <w:pPr>
        <w:bidi w:val="0"/>
        <w:rPr>
          <w:rFonts w:hint="eastAsia"/>
          <w:highlight w:val="none"/>
        </w:rPr>
      </w:pPr>
      <w:r>
        <w:rPr>
          <w:rFonts w:hint="eastAsia"/>
          <w:highlight w:val="none"/>
        </w:rPr>
        <w:t>法定代表人或者其委托代理人（签字或者电子签名）：</w:t>
      </w:r>
    </w:p>
    <w:p w14:paraId="083670F7">
      <w:pPr>
        <w:bidi w:val="0"/>
        <w:rPr>
          <w:rFonts w:hint="eastAsia"/>
          <w:highlight w:val="none"/>
        </w:rPr>
      </w:pPr>
    </w:p>
    <w:p w14:paraId="7A95B273">
      <w:pPr>
        <w:bidi w:val="0"/>
        <w:rPr>
          <w:rFonts w:hint="eastAsia"/>
          <w:highlight w:val="none"/>
        </w:rPr>
      </w:pPr>
      <w:r>
        <w:rPr>
          <w:rFonts w:hint="eastAsia"/>
          <w:highlight w:val="none"/>
        </w:rPr>
        <w:t>联合体成员名称（盖公章或者电子签章）：</w:t>
      </w:r>
    </w:p>
    <w:p w14:paraId="6F02019D">
      <w:pPr>
        <w:bidi w:val="0"/>
        <w:rPr>
          <w:rFonts w:hint="eastAsia"/>
          <w:highlight w:val="none"/>
        </w:rPr>
      </w:pPr>
      <w:r>
        <w:rPr>
          <w:rFonts w:hint="eastAsia"/>
          <w:highlight w:val="none"/>
        </w:rPr>
        <w:t>法定代表人或者其委托代理人（签字或者电子签名）：</w:t>
      </w:r>
    </w:p>
    <w:p w14:paraId="7CB22229">
      <w:pPr>
        <w:pStyle w:val="7"/>
        <w:shd w:val="clear" w:color="auto" w:fill="auto"/>
        <w:overflowPunct w:val="0"/>
        <w:spacing w:line="360" w:lineRule="auto"/>
        <w:ind w:firstLine="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9C3AE9D">
      <w:pPr>
        <w:shd w:val="clear" w:color="auto" w:fill="auto"/>
        <w:spacing w:line="360" w:lineRule="auto"/>
        <w:contextualSpacing/>
        <w:rPr>
          <w:rFonts w:hint="eastAsia" w:ascii="宋体" w:hAnsi="宋体" w:eastAsia="宋体" w:cs="宋体"/>
          <w:color w:val="auto"/>
          <w:sz w:val="24"/>
          <w:highlight w:val="none"/>
        </w:rPr>
      </w:pPr>
    </w:p>
    <w:p w14:paraId="305793F6">
      <w:pPr>
        <w:shd w:val="clear" w:color="auto" w:fill="auto"/>
        <w:spacing w:line="360" w:lineRule="auto"/>
        <w:contextualSpacing/>
        <w:rPr>
          <w:rFonts w:hint="eastAsia" w:ascii="宋体" w:hAnsi="宋体" w:eastAsia="宋体" w:cs="宋体"/>
          <w:color w:val="auto"/>
          <w:sz w:val="24"/>
          <w:highlight w:val="none"/>
        </w:rPr>
      </w:pPr>
    </w:p>
    <w:p w14:paraId="7AF7AC72">
      <w:pPr>
        <w:shd w:val="clear" w:color="auto" w:fill="auto"/>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34B9D3F">
      <w:pPr>
        <w:pageBreakBefore w:val="0"/>
        <w:kinsoku/>
        <w:wordWrap w:val="0"/>
        <w:overflowPunct/>
        <w:topLinePunct/>
        <w:autoSpaceDE w:val="0"/>
        <w:autoSpaceDN w:val="0"/>
        <w:bidi w:val="0"/>
        <w:snapToGrid w:val="0"/>
        <w:spacing w:before="50" w:after="50" w:line="400" w:lineRule="exact"/>
        <w:rPr>
          <w:rFonts w:hint="eastAsia" w:ascii="宋体" w:hAnsi="宋体"/>
          <w:b/>
          <w:sz w:val="32"/>
          <w:szCs w:val="32"/>
          <w:highlight w:val="none"/>
        </w:rPr>
        <w:sectPr>
          <w:pgSz w:w="11906" w:h="16839"/>
          <w:pgMar w:top="400" w:right="994" w:bottom="1156" w:left="1255" w:header="0" w:footer="994" w:gutter="0"/>
          <w:pgNumType w:fmt="decimal"/>
          <w:cols w:space="720" w:num="1"/>
        </w:sectPr>
      </w:pPr>
    </w:p>
    <w:p w14:paraId="46A31CBB">
      <w:pPr>
        <w:pStyle w:val="36"/>
        <w:bidi w:val="0"/>
        <w:rPr>
          <w:highlight w:val="none"/>
        </w:rPr>
      </w:pPr>
      <w:r>
        <w:rPr>
          <w:rFonts w:hint="eastAsia"/>
          <w:highlight w:val="none"/>
        </w:rPr>
        <w:t>2.商务文件格式：</w:t>
      </w:r>
    </w:p>
    <w:p w14:paraId="5228FE6A">
      <w:pPr>
        <w:pageBreakBefore w:val="0"/>
        <w:kinsoku/>
        <w:wordWrap w:val="0"/>
        <w:overflowPunct/>
        <w:topLinePunct/>
        <w:autoSpaceDE w:val="0"/>
        <w:autoSpaceDN w:val="0"/>
        <w:bidi w:val="0"/>
        <w:snapToGrid w:val="0"/>
        <w:spacing w:beforeLines="50" w:after="50" w:line="400" w:lineRule="exact"/>
        <w:rPr>
          <w:rFonts w:ascii="宋体" w:hAnsi="宋体"/>
          <w:bCs/>
          <w:sz w:val="24"/>
          <w:highlight w:val="none"/>
        </w:rPr>
      </w:pPr>
      <w:r>
        <w:rPr>
          <w:rFonts w:hint="eastAsia" w:ascii="宋体" w:hAnsi="宋体"/>
          <w:sz w:val="32"/>
          <w:szCs w:val="32"/>
          <w:highlight w:val="none"/>
        </w:rPr>
        <w:t xml:space="preserve">                                            </w:t>
      </w:r>
      <w:r>
        <w:rPr>
          <w:rFonts w:hint="eastAsia" w:ascii="宋体" w:hAnsi="宋体"/>
          <w:sz w:val="24"/>
          <w:highlight w:val="none"/>
        </w:rPr>
        <w:t xml:space="preserve">  </w:t>
      </w:r>
      <w:r>
        <w:rPr>
          <w:rFonts w:hint="eastAsia" w:ascii="宋体" w:hAnsi="宋体"/>
          <w:bCs/>
          <w:sz w:val="24"/>
          <w:highlight w:val="none"/>
        </w:rPr>
        <w:t>电子投标文件</w:t>
      </w:r>
    </w:p>
    <w:p w14:paraId="01A531C3">
      <w:pPr>
        <w:pageBreakBefore w:val="0"/>
        <w:kinsoku/>
        <w:wordWrap w:val="0"/>
        <w:overflowPunct/>
        <w:topLinePunct/>
        <w:autoSpaceDE w:val="0"/>
        <w:autoSpaceDN w:val="0"/>
        <w:bidi w:val="0"/>
        <w:snapToGrid w:val="0"/>
        <w:spacing w:beforeLines="50" w:after="50" w:line="400" w:lineRule="exact"/>
        <w:jc w:val="center"/>
        <w:rPr>
          <w:rFonts w:ascii="宋体" w:hAnsi="宋体"/>
          <w:bCs/>
          <w:sz w:val="32"/>
          <w:szCs w:val="32"/>
          <w:highlight w:val="none"/>
        </w:rPr>
      </w:pPr>
      <w:r>
        <w:rPr>
          <w:rFonts w:hint="eastAsia" w:ascii="宋体" w:hAnsi="宋体"/>
          <w:b/>
          <w:sz w:val="32"/>
          <w:szCs w:val="32"/>
          <w:highlight w:val="none"/>
        </w:rPr>
        <w:t>投 标 文 件</w:t>
      </w:r>
    </w:p>
    <w:p w14:paraId="2D5DD001">
      <w:pPr>
        <w:pageBreakBefore w:val="0"/>
        <w:kinsoku/>
        <w:wordWrap w:val="0"/>
        <w:overflowPunct/>
        <w:topLinePunct/>
        <w:autoSpaceDE w:val="0"/>
        <w:autoSpaceDN w:val="0"/>
        <w:bidi w:val="0"/>
        <w:snapToGrid w:val="0"/>
        <w:spacing w:beforeLines="50" w:after="50" w:line="400" w:lineRule="exact"/>
        <w:rPr>
          <w:rFonts w:ascii="宋体" w:hAnsi="宋体"/>
          <w:sz w:val="32"/>
          <w:szCs w:val="32"/>
          <w:highlight w:val="none"/>
        </w:rPr>
      </w:pPr>
    </w:p>
    <w:p w14:paraId="663E757E">
      <w:pPr>
        <w:pageBreakBefore w:val="0"/>
        <w:kinsoku/>
        <w:wordWrap w:val="0"/>
        <w:overflowPunct/>
        <w:topLinePunct/>
        <w:autoSpaceDE w:val="0"/>
        <w:autoSpaceDN w:val="0"/>
        <w:bidi w:val="0"/>
        <w:snapToGrid w:val="0"/>
        <w:spacing w:beforeLines="50" w:after="50" w:line="400" w:lineRule="exact"/>
        <w:jc w:val="center"/>
        <w:rPr>
          <w:rFonts w:ascii="宋体" w:hAnsi="宋体"/>
          <w:bCs/>
          <w:sz w:val="32"/>
          <w:szCs w:val="32"/>
          <w:highlight w:val="none"/>
        </w:rPr>
      </w:pPr>
      <w:r>
        <w:rPr>
          <w:rFonts w:hint="eastAsia" w:ascii="宋体" w:hAnsi="宋体"/>
          <w:bCs/>
          <w:sz w:val="32"/>
          <w:szCs w:val="32"/>
          <w:highlight w:val="none"/>
        </w:rPr>
        <w:t>（商务文件）</w:t>
      </w:r>
    </w:p>
    <w:p w14:paraId="7013D811">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项目名称：</w:t>
      </w:r>
    </w:p>
    <w:p w14:paraId="60D759B2">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 xml:space="preserve"> </w:t>
      </w:r>
    </w:p>
    <w:p w14:paraId="196B4BD0">
      <w:pPr>
        <w:pageBreakBefore w:val="0"/>
        <w:kinsoku/>
        <w:wordWrap w:val="0"/>
        <w:overflowPunct/>
        <w:topLinePunct/>
        <w:autoSpaceDE w:val="0"/>
        <w:autoSpaceDN w:val="0"/>
        <w:bidi w:val="0"/>
        <w:snapToGrid w:val="0"/>
        <w:spacing w:beforeLines="50" w:after="50" w:line="400" w:lineRule="exact"/>
        <w:ind w:firstLine="480" w:firstLineChars="200"/>
        <w:rPr>
          <w:rFonts w:ascii="宋体" w:hAnsi="宋体"/>
          <w:bCs/>
          <w:sz w:val="24"/>
          <w:highlight w:val="none"/>
        </w:rPr>
      </w:pPr>
      <w:r>
        <w:rPr>
          <w:rFonts w:hint="eastAsia" w:ascii="宋体" w:hAnsi="宋体"/>
          <w:bCs/>
          <w:sz w:val="24"/>
          <w:highlight w:val="none"/>
        </w:rPr>
        <w:t xml:space="preserve">     项目编号： </w:t>
      </w:r>
    </w:p>
    <w:p w14:paraId="58FE0E5B">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p>
    <w:p w14:paraId="3165C884">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r>
        <w:rPr>
          <w:rFonts w:hint="eastAsia" w:ascii="宋体" w:hAnsi="宋体"/>
          <w:bCs/>
          <w:sz w:val="24"/>
          <w:highlight w:val="none"/>
        </w:rPr>
        <w:t>标   项：</w:t>
      </w:r>
    </w:p>
    <w:p w14:paraId="1640031A">
      <w:pPr>
        <w:pStyle w:val="7"/>
        <w:pageBreakBefore w:val="0"/>
        <w:kinsoku/>
        <w:wordWrap w:val="0"/>
        <w:overflowPunct/>
        <w:topLinePunct/>
        <w:autoSpaceDE w:val="0"/>
        <w:autoSpaceDN w:val="0"/>
        <w:bidi w:val="0"/>
        <w:snapToGrid w:val="0"/>
        <w:spacing w:before="50" w:after="50" w:line="400" w:lineRule="exact"/>
        <w:ind w:firstLine="1118" w:firstLineChars="466"/>
        <w:rPr>
          <w:rFonts w:ascii="宋体" w:hAnsi="宋体"/>
          <w:bCs/>
          <w:sz w:val="24"/>
          <w:szCs w:val="24"/>
          <w:highlight w:val="none"/>
        </w:rPr>
      </w:pPr>
    </w:p>
    <w:p w14:paraId="548C9335">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r>
        <w:rPr>
          <w:rFonts w:hint="eastAsia" w:ascii="宋体" w:hAnsi="宋体"/>
          <w:bCs/>
          <w:sz w:val="24"/>
          <w:szCs w:val="24"/>
          <w:highlight w:val="none"/>
        </w:rPr>
        <w:t>投标人名称：</w:t>
      </w:r>
      <w:r>
        <w:rPr>
          <w:rFonts w:hint="eastAsia" w:ascii="宋体" w:hAnsi="宋体"/>
          <w:bCs/>
          <w:sz w:val="24"/>
          <w:szCs w:val="24"/>
          <w:highlight w:val="none"/>
          <w:u w:val="single"/>
        </w:rPr>
        <w:t xml:space="preserve">                       </w:t>
      </w:r>
      <w:r>
        <w:rPr>
          <w:rFonts w:hint="eastAsia" w:ascii="宋体" w:hAnsi="宋体"/>
          <w:bCs/>
          <w:sz w:val="24"/>
          <w:szCs w:val="24"/>
          <w:highlight w:val="none"/>
        </w:rPr>
        <w:t>（加盖单位电子公章）</w:t>
      </w:r>
    </w:p>
    <w:p w14:paraId="3301ADD7">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p>
    <w:p w14:paraId="24AF30A9">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r>
        <w:rPr>
          <w:rFonts w:hint="eastAsia" w:ascii="宋体" w:hAnsi="宋体"/>
          <w:bCs/>
          <w:sz w:val="24"/>
          <w:szCs w:val="24"/>
          <w:highlight w:val="none"/>
        </w:rPr>
        <w:t>投标人地址：</w:t>
      </w:r>
    </w:p>
    <w:p w14:paraId="193CB189">
      <w:pPr>
        <w:pStyle w:val="7"/>
        <w:pageBreakBefore w:val="0"/>
        <w:kinsoku/>
        <w:wordWrap w:val="0"/>
        <w:overflowPunct/>
        <w:topLinePunct/>
        <w:autoSpaceDE w:val="0"/>
        <w:autoSpaceDN w:val="0"/>
        <w:bidi w:val="0"/>
        <w:snapToGrid w:val="0"/>
        <w:spacing w:before="50" w:after="50" w:line="400" w:lineRule="exact"/>
        <w:ind w:firstLine="960" w:firstLineChars="400"/>
        <w:rPr>
          <w:rFonts w:ascii="宋体" w:hAnsi="宋体"/>
          <w:bCs/>
          <w:sz w:val="24"/>
          <w:szCs w:val="24"/>
          <w:highlight w:val="none"/>
        </w:rPr>
      </w:pPr>
    </w:p>
    <w:p w14:paraId="6024D3E7">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r>
        <w:rPr>
          <w:rFonts w:hint="eastAsia" w:ascii="宋体" w:hAnsi="宋体"/>
          <w:sz w:val="24"/>
          <w:highlight w:val="none"/>
        </w:rPr>
        <w:t xml:space="preserve">                        年  月  日</w:t>
      </w:r>
      <w:r>
        <w:rPr>
          <w:rFonts w:hint="eastAsia" w:ascii="宋体" w:hAnsi="宋体"/>
          <w:sz w:val="24"/>
          <w:highlight w:val="none"/>
        </w:rPr>
        <w:br w:type="textWrapping"/>
      </w:r>
    </w:p>
    <w:p w14:paraId="5BF40C3E">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0A17D852">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4B21215B">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26076583">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24CE974A">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77643A4F">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0EE59825">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33D1A3FA">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6DAC020C">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27CACD2F">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3EC84C6B">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6A2DE5AC">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3C11BEB0">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41F86067">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07490D03">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6A5FB3FF">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62584881">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40450E1B">
      <w:pPr>
        <w:pageBreakBefore w:val="0"/>
        <w:tabs>
          <w:tab w:val="left" w:pos="1418"/>
        </w:tabs>
        <w:kinsoku/>
        <w:wordWrap w:val="0"/>
        <w:overflowPunct/>
        <w:topLinePunct/>
        <w:autoSpaceDE w:val="0"/>
        <w:autoSpaceDN w:val="0"/>
        <w:bidi w:val="0"/>
        <w:snapToGrid w:val="0"/>
        <w:spacing w:before="50" w:after="50" w:line="320" w:lineRule="exact"/>
        <w:jc w:val="center"/>
        <w:rPr>
          <w:rFonts w:hint="eastAsia" w:ascii="宋体" w:hAnsi="宋体"/>
          <w:b/>
          <w:bCs/>
          <w:sz w:val="32"/>
          <w:szCs w:val="32"/>
          <w:highlight w:val="none"/>
        </w:rPr>
        <w:sectPr>
          <w:pgSz w:w="11906" w:h="16839"/>
          <w:pgMar w:top="400" w:right="994" w:bottom="1156" w:left="1255" w:header="0" w:footer="994" w:gutter="0"/>
          <w:pgNumType w:fmt="decimal"/>
          <w:cols w:space="720" w:num="1"/>
        </w:sectPr>
      </w:pPr>
    </w:p>
    <w:p w14:paraId="76FAC524">
      <w:pPr>
        <w:pageBreakBefore w:val="0"/>
        <w:tabs>
          <w:tab w:val="left" w:pos="1418"/>
        </w:tabs>
        <w:kinsoku/>
        <w:wordWrap w:val="0"/>
        <w:overflowPunct/>
        <w:topLinePunct/>
        <w:autoSpaceDE w:val="0"/>
        <w:autoSpaceDN w:val="0"/>
        <w:bidi w:val="0"/>
        <w:snapToGrid w:val="0"/>
        <w:spacing w:before="50" w:after="50" w:line="320" w:lineRule="exact"/>
        <w:jc w:val="center"/>
        <w:rPr>
          <w:rFonts w:ascii="宋体" w:hAnsi="宋体"/>
          <w:b/>
          <w:bCs/>
          <w:sz w:val="32"/>
          <w:szCs w:val="32"/>
          <w:highlight w:val="none"/>
        </w:rPr>
      </w:pPr>
      <w:r>
        <w:rPr>
          <w:rFonts w:hint="eastAsia" w:ascii="宋体" w:hAnsi="宋体"/>
          <w:b/>
          <w:bCs/>
          <w:sz w:val="32"/>
          <w:szCs w:val="32"/>
          <w:highlight w:val="none"/>
        </w:rPr>
        <w:t>目 录</w:t>
      </w:r>
    </w:p>
    <w:p w14:paraId="4F943EF6">
      <w:pPr>
        <w:bidi w:val="0"/>
        <w:rPr>
          <w:highlight w:val="none"/>
        </w:rPr>
      </w:pPr>
      <w:r>
        <w:rPr>
          <w:rFonts w:hint="eastAsia"/>
          <w:highlight w:val="none"/>
        </w:rPr>
        <w:t>1、法定代表人身份证明书……………………………………………………………………</w:t>
      </w:r>
    </w:p>
    <w:p w14:paraId="4A67EE24">
      <w:pPr>
        <w:bidi w:val="0"/>
        <w:rPr>
          <w:highlight w:val="none"/>
        </w:rPr>
      </w:pPr>
      <w:r>
        <w:rPr>
          <w:rFonts w:hint="eastAsia"/>
          <w:highlight w:val="none"/>
        </w:rPr>
        <w:t>2、法定代表人授权委托书及被授权委托人身份证复印件(委托代理时提供) …………</w:t>
      </w:r>
    </w:p>
    <w:p w14:paraId="642C5D78">
      <w:pPr>
        <w:bidi w:val="0"/>
        <w:rPr>
          <w:highlight w:val="none"/>
        </w:rPr>
      </w:pPr>
      <w:r>
        <w:rPr>
          <w:rFonts w:hint="eastAsia"/>
          <w:highlight w:val="none"/>
        </w:rPr>
        <w:t>3、投标保证金缴纳证明……………………………………………………………………</w:t>
      </w:r>
    </w:p>
    <w:p w14:paraId="7E2BA50F">
      <w:pPr>
        <w:bidi w:val="0"/>
        <w:rPr>
          <w:rFonts w:hint="eastAsia"/>
          <w:highlight w:val="none"/>
        </w:rPr>
      </w:pPr>
      <w:r>
        <w:rPr>
          <w:rFonts w:hint="eastAsia"/>
          <w:highlight w:val="none"/>
        </w:rPr>
        <w:t>4、商务响应表……………………………………………………………………</w:t>
      </w:r>
    </w:p>
    <w:p w14:paraId="3ED61141">
      <w:pPr>
        <w:bidi w:val="0"/>
        <w:rPr>
          <w:highlight w:val="none"/>
        </w:rPr>
      </w:pPr>
      <w:r>
        <w:rPr>
          <w:rFonts w:hint="eastAsia"/>
          <w:highlight w:val="none"/>
        </w:rPr>
        <w:t>5、代理服务费承诺书……………………………………………………………………</w:t>
      </w:r>
    </w:p>
    <w:p w14:paraId="42FAAA40">
      <w:pPr>
        <w:bidi w:val="0"/>
        <w:rPr>
          <w:highlight w:val="none"/>
        </w:rPr>
      </w:pPr>
      <w:r>
        <w:rPr>
          <w:rFonts w:hint="eastAsia"/>
          <w:highlight w:val="none"/>
        </w:rPr>
        <w:t>6、投标人情况介绍……………………………………………………………………</w:t>
      </w:r>
    </w:p>
    <w:p w14:paraId="35248728">
      <w:pPr>
        <w:bidi w:val="0"/>
        <w:rPr>
          <w:highlight w:val="none"/>
        </w:rPr>
      </w:pPr>
      <w:r>
        <w:rPr>
          <w:rFonts w:hint="eastAsia"/>
          <w:highlight w:val="none"/>
        </w:rPr>
        <w:t>7、投标人认为需要提供的其他证明材料……………………………………………………</w:t>
      </w:r>
    </w:p>
    <w:p w14:paraId="10C4B019">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sz w:val="24"/>
          <w:highlight w:val="none"/>
        </w:rPr>
      </w:pPr>
    </w:p>
    <w:p w14:paraId="7FFFEA05">
      <w:pPr>
        <w:pageBreakBefore w:val="0"/>
        <w:widowControl/>
        <w:kinsoku/>
        <w:wordWrap w:val="0"/>
        <w:overflowPunct/>
        <w:topLinePunct/>
        <w:autoSpaceDE w:val="0"/>
        <w:autoSpaceDN w:val="0"/>
        <w:bidi w:val="0"/>
        <w:spacing w:line="360" w:lineRule="exact"/>
        <w:rPr>
          <w:rFonts w:hint="eastAsia" w:ascii="宋体" w:hAnsi="宋体"/>
          <w:b/>
          <w:bCs/>
          <w:sz w:val="24"/>
          <w:highlight w:val="none"/>
        </w:rPr>
        <w:sectPr>
          <w:pgSz w:w="11906" w:h="16839"/>
          <w:pgMar w:top="400" w:right="994" w:bottom="1156" w:left="1255" w:header="0" w:footer="994" w:gutter="0"/>
          <w:pgNumType w:fmt="decimal"/>
          <w:cols w:space="720" w:num="1"/>
        </w:sectPr>
      </w:pPr>
    </w:p>
    <w:p w14:paraId="6DF99FF1">
      <w:pPr>
        <w:pageBreakBefore w:val="0"/>
        <w:widowControl/>
        <w:kinsoku/>
        <w:wordWrap w:val="0"/>
        <w:overflowPunct/>
        <w:topLinePunct/>
        <w:autoSpaceDE w:val="0"/>
        <w:autoSpaceDN w:val="0"/>
        <w:bidi w:val="0"/>
        <w:spacing w:line="360" w:lineRule="exact"/>
        <w:rPr>
          <w:rFonts w:ascii="宋体" w:hAnsi="宋体"/>
          <w:b/>
          <w:bCs/>
          <w:sz w:val="24"/>
          <w:highlight w:val="none"/>
        </w:rPr>
      </w:pPr>
      <w:r>
        <w:rPr>
          <w:rFonts w:hint="eastAsia" w:ascii="宋体" w:hAnsi="宋体"/>
          <w:b/>
          <w:bCs/>
          <w:sz w:val="24"/>
          <w:highlight w:val="none"/>
        </w:rPr>
        <w:t>1.法定代表人身份证明格式：</w:t>
      </w:r>
    </w:p>
    <w:p w14:paraId="37E7F396">
      <w:pPr>
        <w:pageBreakBefore w:val="0"/>
        <w:widowControl/>
        <w:kinsoku/>
        <w:wordWrap w:val="0"/>
        <w:overflowPunct/>
        <w:topLinePunct/>
        <w:autoSpaceDE w:val="0"/>
        <w:autoSpaceDN w:val="0"/>
        <w:bidi w:val="0"/>
        <w:spacing w:line="360" w:lineRule="exact"/>
        <w:jc w:val="center"/>
        <w:rPr>
          <w:rFonts w:ascii="宋体" w:hAnsi="宋体"/>
          <w:bCs/>
          <w:sz w:val="30"/>
          <w:szCs w:val="30"/>
          <w:highlight w:val="none"/>
        </w:rPr>
      </w:pPr>
    </w:p>
    <w:p w14:paraId="42A0F5FE">
      <w:pPr>
        <w:pStyle w:val="35"/>
        <w:bidi w:val="0"/>
        <w:rPr>
          <w:rFonts w:ascii="宋体" w:hAnsi="宋体"/>
          <w:bCs/>
          <w:szCs w:val="30"/>
          <w:highlight w:val="none"/>
        </w:rPr>
      </w:pPr>
      <w:r>
        <w:rPr>
          <w:rFonts w:hint="eastAsia"/>
          <w:highlight w:val="none"/>
        </w:rPr>
        <w:t>法定代表人身份证明书</w:t>
      </w:r>
    </w:p>
    <w:p w14:paraId="22652E89">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单位名称：</w:t>
      </w:r>
      <w:r>
        <w:rPr>
          <w:rFonts w:hint="eastAsia" w:ascii="宋体" w:hAnsi="宋体"/>
          <w:bCs/>
          <w:szCs w:val="21"/>
          <w:highlight w:val="none"/>
          <w:u w:val="single"/>
        </w:rPr>
        <w:t xml:space="preserve">                      </w:t>
      </w:r>
    </w:p>
    <w:p w14:paraId="07D8FDB4">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单位性质：</w:t>
      </w:r>
      <w:r>
        <w:rPr>
          <w:rFonts w:hint="eastAsia" w:ascii="宋体" w:hAnsi="宋体"/>
          <w:bCs/>
          <w:szCs w:val="21"/>
          <w:highlight w:val="none"/>
          <w:u w:val="single"/>
        </w:rPr>
        <w:t xml:space="preserve">                      </w:t>
      </w:r>
    </w:p>
    <w:p w14:paraId="40A4E894">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地    址：</w:t>
      </w:r>
      <w:r>
        <w:rPr>
          <w:rFonts w:hint="eastAsia" w:ascii="宋体" w:hAnsi="宋体"/>
          <w:bCs/>
          <w:szCs w:val="21"/>
          <w:highlight w:val="none"/>
          <w:u w:val="single"/>
        </w:rPr>
        <w:t xml:space="preserve">                      </w:t>
      </w:r>
    </w:p>
    <w:p w14:paraId="6EF53E02">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成立时间：</w:t>
      </w:r>
      <w:r>
        <w:rPr>
          <w:rFonts w:hint="eastAsia" w:ascii="宋体" w:hAnsi="宋体"/>
          <w:bCs/>
          <w:szCs w:val="21"/>
          <w:highlight w:val="none"/>
          <w:u w:val="single"/>
        </w:rPr>
        <w:t xml:space="preserve">                      </w:t>
      </w:r>
      <w:r>
        <w:rPr>
          <w:rFonts w:hint="eastAsia" w:ascii="宋体" w:hAnsi="宋体"/>
          <w:bCs/>
          <w:szCs w:val="21"/>
          <w:highlight w:val="none"/>
        </w:rPr>
        <w:t xml:space="preserve"> 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166B52B2">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经营期限：</w:t>
      </w:r>
      <w:r>
        <w:rPr>
          <w:rFonts w:hint="eastAsia" w:ascii="宋体" w:hAnsi="宋体"/>
          <w:bCs/>
          <w:szCs w:val="21"/>
          <w:highlight w:val="none"/>
          <w:u w:val="single"/>
        </w:rPr>
        <w:t xml:space="preserve">                      </w:t>
      </w:r>
    </w:p>
    <w:p w14:paraId="1DA33133">
      <w:pPr>
        <w:pageBreakBefore w:val="0"/>
        <w:widowControl/>
        <w:kinsoku/>
        <w:wordWrap w:val="0"/>
        <w:overflowPunct/>
        <w:topLinePunct/>
        <w:autoSpaceDE w:val="0"/>
        <w:autoSpaceDN w:val="0"/>
        <w:bidi w:val="0"/>
        <w:spacing w:line="360" w:lineRule="exact"/>
        <w:rPr>
          <w:rFonts w:ascii="宋体" w:hAnsi="宋体"/>
          <w:bCs/>
          <w:szCs w:val="21"/>
          <w:highlight w:val="none"/>
          <w:u w:val="single"/>
        </w:rPr>
      </w:pPr>
      <w:r>
        <w:rPr>
          <w:rFonts w:hint="eastAsia" w:ascii="宋体" w:hAnsi="宋体"/>
          <w:bCs/>
          <w:szCs w:val="21"/>
          <w:highlight w:val="none"/>
        </w:rPr>
        <w:t>姓名：</w:t>
      </w:r>
      <w:r>
        <w:rPr>
          <w:rFonts w:hint="eastAsia" w:ascii="宋体" w:hAnsi="宋体"/>
          <w:bCs/>
          <w:szCs w:val="21"/>
          <w:highlight w:val="none"/>
          <w:u w:val="single"/>
        </w:rPr>
        <w:t xml:space="preserve">    </w:t>
      </w:r>
      <w:r>
        <w:rPr>
          <w:rFonts w:hint="eastAsia" w:ascii="宋体" w:hAnsi="宋体"/>
          <w:bCs/>
          <w:szCs w:val="21"/>
          <w:highlight w:val="none"/>
        </w:rPr>
        <w:t>性别 ：</w:t>
      </w:r>
      <w:r>
        <w:rPr>
          <w:rFonts w:hint="eastAsia" w:ascii="宋体" w:hAnsi="宋体"/>
          <w:bCs/>
          <w:szCs w:val="21"/>
          <w:highlight w:val="none"/>
          <w:u w:val="single"/>
        </w:rPr>
        <w:t xml:space="preserve">         </w:t>
      </w:r>
      <w:r>
        <w:rPr>
          <w:rFonts w:hint="eastAsia" w:ascii="宋体" w:hAnsi="宋体"/>
          <w:bCs/>
          <w:szCs w:val="21"/>
          <w:highlight w:val="none"/>
        </w:rPr>
        <w:t>年龄：</w:t>
      </w:r>
      <w:r>
        <w:rPr>
          <w:rFonts w:hint="eastAsia" w:ascii="宋体" w:hAnsi="宋体"/>
          <w:bCs/>
          <w:szCs w:val="21"/>
          <w:highlight w:val="none"/>
          <w:u w:val="single"/>
        </w:rPr>
        <w:t xml:space="preserve">      </w:t>
      </w:r>
      <w:r>
        <w:rPr>
          <w:rFonts w:hint="eastAsia" w:ascii="宋体" w:hAnsi="宋体"/>
          <w:bCs/>
          <w:szCs w:val="21"/>
          <w:highlight w:val="none"/>
        </w:rPr>
        <w:t>职务：</w:t>
      </w:r>
      <w:r>
        <w:rPr>
          <w:rFonts w:hint="eastAsia" w:ascii="宋体" w:hAnsi="宋体"/>
          <w:bCs/>
          <w:szCs w:val="21"/>
          <w:highlight w:val="none"/>
          <w:u w:val="single"/>
        </w:rPr>
        <w:t xml:space="preserve">            </w:t>
      </w:r>
    </w:p>
    <w:p w14:paraId="482B6371">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系</w:t>
      </w:r>
      <w:r>
        <w:rPr>
          <w:rFonts w:hint="eastAsia" w:ascii="宋体" w:hAnsi="宋体"/>
          <w:bCs/>
          <w:szCs w:val="21"/>
          <w:highlight w:val="none"/>
          <w:u w:val="single"/>
        </w:rPr>
        <w:t xml:space="preserve">          （投标人单位名称）   </w:t>
      </w:r>
      <w:r>
        <w:rPr>
          <w:rFonts w:hint="eastAsia" w:ascii="宋体" w:hAnsi="宋体"/>
          <w:bCs/>
          <w:szCs w:val="21"/>
          <w:highlight w:val="none"/>
        </w:rPr>
        <w:t>的法定代表人。</w:t>
      </w:r>
    </w:p>
    <w:p w14:paraId="03FEF5D0">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特此证明。</w:t>
      </w:r>
    </w:p>
    <w:p w14:paraId="6332C6E0">
      <w:pPr>
        <w:pageBreakBefore w:val="0"/>
        <w:widowControl/>
        <w:kinsoku/>
        <w:wordWrap w:val="0"/>
        <w:overflowPunct/>
        <w:topLinePunct/>
        <w:autoSpaceDE w:val="0"/>
        <w:autoSpaceDN w:val="0"/>
        <w:bidi w:val="0"/>
        <w:spacing w:line="360" w:lineRule="exact"/>
        <w:rPr>
          <w:rFonts w:ascii="宋体" w:hAnsi="宋体"/>
          <w:bCs/>
          <w:szCs w:val="21"/>
          <w:highlight w:val="none"/>
        </w:rPr>
      </w:pPr>
    </w:p>
    <w:p w14:paraId="4C845A77">
      <w:pPr>
        <w:pageBreakBefore w:val="0"/>
        <w:widowControl/>
        <w:kinsoku/>
        <w:wordWrap w:val="0"/>
        <w:overflowPunct/>
        <w:topLinePunct/>
        <w:autoSpaceDE w:val="0"/>
        <w:autoSpaceDN w:val="0"/>
        <w:bidi w:val="0"/>
        <w:spacing w:line="360" w:lineRule="exact"/>
        <w:rPr>
          <w:rFonts w:ascii="宋体" w:hAnsi="宋体"/>
          <w:bCs/>
          <w:szCs w:val="21"/>
          <w:highlight w:val="none"/>
        </w:rPr>
      </w:pPr>
    </w:p>
    <w:p w14:paraId="3FACEA89">
      <w:pPr>
        <w:pageBreakBefore w:val="0"/>
        <w:kinsoku/>
        <w:wordWrap w:val="0"/>
        <w:overflowPunct/>
        <w:topLinePunct/>
        <w:autoSpaceDE w:val="0"/>
        <w:autoSpaceDN w:val="0"/>
        <w:bidi w:val="0"/>
        <w:spacing w:line="360" w:lineRule="exact"/>
        <w:ind w:firstLine="6960" w:firstLineChars="2900"/>
        <w:rPr>
          <w:rFonts w:ascii="宋体" w:hAnsi="宋体"/>
          <w:szCs w:val="21"/>
          <w:highlight w:val="none"/>
        </w:rPr>
      </w:pPr>
      <w:r>
        <w:rPr>
          <w:rFonts w:hint="eastAsia" w:ascii="宋体" w:hAnsi="宋体"/>
          <w:bCs/>
          <w:szCs w:val="21"/>
          <w:highlight w:val="none"/>
        </w:rPr>
        <w:t>投标人：</w:t>
      </w:r>
      <w:r>
        <w:rPr>
          <w:rFonts w:hint="eastAsia" w:ascii="宋体" w:hAnsi="宋体"/>
          <w:szCs w:val="21"/>
          <w:highlight w:val="none"/>
        </w:rPr>
        <w:t>投标人名称</w:t>
      </w:r>
      <w:r>
        <w:rPr>
          <w:rFonts w:ascii="宋体" w:hAnsi="宋体"/>
          <w:szCs w:val="21"/>
          <w:highlight w:val="none"/>
        </w:rPr>
        <w:t>(</w:t>
      </w:r>
      <w:r>
        <w:rPr>
          <w:rFonts w:hint="eastAsia" w:ascii="宋体" w:hAnsi="宋体"/>
          <w:szCs w:val="21"/>
          <w:highlight w:val="none"/>
        </w:rPr>
        <w:t>电子签章</w:t>
      </w:r>
      <w:r>
        <w:rPr>
          <w:rFonts w:ascii="宋体" w:hAnsi="宋体"/>
          <w:szCs w:val="21"/>
          <w:highlight w:val="none"/>
        </w:rPr>
        <w:t>)</w:t>
      </w:r>
      <w:r>
        <w:rPr>
          <w:rFonts w:hint="eastAsia" w:ascii="宋体" w:hAnsi="宋体"/>
          <w:szCs w:val="21"/>
          <w:highlight w:val="none"/>
        </w:rPr>
        <w:t>：</w:t>
      </w:r>
    </w:p>
    <w:p w14:paraId="6F92AE87">
      <w:pPr>
        <w:pageBreakBefore w:val="0"/>
        <w:widowControl/>
        <w:pBdr>
          <w:bottom w:val="single" w:color="auto" w:sz="12" w:space="1"/>
        </w:pBdr>
        <w:kinsoku/>
        <w:wordWrap w:val="0"/>
        <w:overflowPunct/>
        <w:topLinePunct/>
        <w:autoSpaceDE w:val="0"/>
        <w:autoSpaceDN w:val="0"/>
        <w:bidi w:val="0"/>
        <w:spacing w:line="360" w:lineRule="exact"/>
        <w:jc w:val="center"/>
        <w:rPr>
          <w:rFonts w:ascii="宋体" w:hAnsi="宋体"/>
          <w:bCs/>
          <w:szCs w:val="21"/>
          <w:highlight w:val="none"/>
        </w:rPr>
      </w:pPr>
      <w:r>
        <w:rPr>
          <w:rFonts w:hint="eastAsia" w:ascii="宋体" w:hAnsi="宋体"/>
          <w:bCs/>
          <w:szCs w:val="21"/>
          <w:highlight w:val="none"/>
        </w:rPr>
        <w:t xml:space="preserve">                                             时间：年  月  日</w:t>
      </w:r>
    </w:p>
    <w:p w14:paraId="4BF881C0">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r>
        <w:rPr>
          <w:rFonts w:ascii="宋体" w:hAnsi="宋体"/>
          <w:b/>
          <w:bCs/>
          <w:sz w:val="36"/>
          <w:szCs w:val="36"/>
          <w:highlight w:val="none"/>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224155</wp:posOffset>
                </wp:positionV>
                <wp:extent cx="2743200" cy="1866265"/>
                <wp:effectExtent l="4445" t="4445" r="14605" b="15240"/>
                <wp:wrapNone/>
                <wp:docPr id="13" name="文本框 13"/>
                <wp:cNvGraphicFramePr/>
                <a:graphic xmlns:a="http://schemas.openxmlformats.org/drawingml/2006/main">
                  <a:graphicData uri="http://schemas.microsoft.com/office/word/2010/wordprocessingShape">
                    <wps:wsp>
                      <wps:cNvSpPr txBox="1"/>
                      <wps:spPr>
                        <a:xfrm>
                          <a:off x="0" y="0"/>
                          <a:ext cx="2743200" cy="18662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DF99FE">
                            <w:pPr>
                              <w:pStyle w:val="34"/>
                              <w:bidi w:val="0"/>
                            </w:pPr>
                          </w:p>
                          <w:p w14:paraId="20BA94B3">
                            <w:pPr>
                              <w:pStyle w:val="34"/>
                              <w:bidi w:val="0"/>
                            </w:pPr>
                          </w:p>
                          <w:p w14:paraId="0C8E442D">
                            <w:pPr>
                              <w:pStyle w:val="34"/>
                              <w:bidi w:val="0"/>
                            </w:pPr>
                            <w:r>
                              <w:rPr>
                                <w:rFonts w:hint="eastAsia"/>
                              </w:rPr>
                              <w:t>法定代表人第二代居民身份证复印件</w:t>
                            </w:r>
                          </w:p>
                          <w:p w14:paraId="083EA44D">
                            <w:pPr>
                              <w:pStyle w:val="34"/>
                              <w:bidi w:val="0"/>
                            </w:pPr>
                            <w:r>
                              <w:rPr>
                                <w:rFonts w:hint="eastAsia"/>
                              </w:rPr>
                              <w:t>（正面）</w:t>
                            </w:r>
                          </w:p>
                        </w:txbxContent>
                      </wps:txbx>
                      <wps:bodyPr upright="1"/>
                    </wps:wsp>
                  </a:graphicData>
                </a:graphic>
              </wp:anchor>
            </w:drawing>
          </mc:Choice>
          <mc:Fallback>
            <w:pict>
              <v:shape id="_x0000_s1026" o:spid="_x0000_s1026" o:spt="202" type="#_x0000_t202" style="position:absolute;left:0pt;margin-left:4.7pt;margin-top:17.65pt;height:146.95pt;width:216pt;z-index:251660288;mso-width-relative:page;mso-height-relative:page;" fillcolor="#FFFFFF" filled="t" stroked="t" coordsize="21600,21600" o:gfxdata="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N11DXAAAACAEAAA8AAAAAAAAAAQAgAAAA&#10;IgAAAGRycy9kb3ducmV2LnhtbFBLAQIUABQAAAAIAIdO4kAdF70IDAIAADkEAAAOAAAAAAAAAAEA&#10;IAAAACYBAABkcnMvZTJvRG9jLnhtbFBLBQYAAAAABgAGAFkBAACkBQAAAAA=&#10;">
                <v:fill on="t" focussize="0,0"/>
                <v:stroke color="#000000" joinstyle="miter"/>
                <v:imagedata o:title=""/>
                <o:lock v:ext="edit" aspectratio="f"/>
                <v:textbox>
                  <w:txbxContent>
                    <w:p w14:paraId="57DF99FE">
                      <w:pPr>
                        <w:pStyle w:val="34"/>
                        <w:bidi w:val="0"/>
                      </w:pPr>
                    </w:p>
                    <w:p w14:paraId="20BA94B3">
                      <w:pPr>
                        <w:pStyle w:val="34"/>
                        <w:bidi w:val="0"/>
                      </w:pPr>
                    </w:p>
                    <w:p w14:paraId="0C8E442D">
                      <w:pPr>
                        <w:pStyle w:val="34"/>
                        <w:bidi w:val="0"/>
                      </w:pPr>
                      <w:r>
                        <w:rPr>
                          <w:rFonts w:hint="eastAsia"/>
                        </w:rPr>
                        <w:t>法定代表人第二代居民身份证复印件</w:t>
                      </w:r>
                    </w:p>
                    <w:p w14:paraId="083EA44D">
                      <w:pPr>
                        <w:pStyle w:val="34"/>
                        <w:bidi w:val="0"/>
                      </w:pPr>
                      <w:r>
                        <w:rPr>
                          <w:rFonts w:hint="eastAsia"/>
                        </w:rPr>
                        <w:t>（正面）</w:t>
                      </w:r>
                    </w:p>
                  </w:txbxContent>
                </v:textbox>
              </v:shape>
            </w:pict>
          </mc:Fallback>
        </mc:AlternateContent>
      </w:r>
    </w:p>
    <w:p w14:paraId="338C75D7">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0336A05E">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2B82B22E">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594BD799">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253BC2F2">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280268B3">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4A3763AD">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1D7309AB">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5742AF98">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r>
        <w:rPr>
          <w:rFonts w:ascii="宋体" w:hAnsi="宋体"/>
          <w:b/>
          <w:bCs/>
          <w:sz w:val="36"/>
          <w:szCs w:val="36"/>
          <w:highlight w:val="none"/>
        </w:rPr>
        <mc:AlternateContent>
          <mc:Choice Requires="wpg">
            <w:drawing>
              <wp:inline distT="0" distB="0" distL="114300" distR="114300">
                <wp:extent cx="2907665" cy="2196465"/>
                <wp:effectExtent l="0" t="0" r="6985" b="0"/>
                <wp:docPr id="22" name="组合 22"/>
                <wp:cNvGraphicFramePr/>
                <a:graphic xmlns:a="http://schemas.openxmlformats.org/drawingml/2006/main">
                  <a:graphicData uri="http://schemas.microsoft.com/office/word/2010/wordprocessingGroup">
                    <wpg:wgp>
                      <wpg:cNvGrpSpPr/>
                      <wpg:grpSpPr>
                        <a:xfrm>
                          <a:off x="0" y="0"/>
                          <a:ext cx="2907665" cy="2196465"/>
                          <a:chOff x="0" y="0"/>
                          <a:chExt cx="4431" cy="3009"/>
                        </a:xfrm>
                      </wpg:grpSpPr>
                      <wps:wsp>
                        <wps:cNvPr id="20" name="矩形 20"/>
                        <wps:cNvSpPr>
                          <a:spLocks noChangeAspect="1" noTextEdit="1"/>
                        </wps:cNvSpPr>
                        <wps:spPr>
                          <a:xfrm>
                            <a:off x="0" y="0"/>
                            <a:ext cx="4431" cy="3009"/>
                          </a:xfrm>
                          <a:prstGeom prst="rect">
                            <a:avLst/>
                          </a:prstGeom>
                          <a:noFill/>
                          <a:ln>
                            <a:noFill/>
                          </a:ln>
                        </wps:spPr>
                        <wps:bodyPr upright="1"/>
                      </wps:wsp>
                      <wps:wsp>
                        <wps:cNvPr id="21" name="文本框 21"/>
                        <wps:cNvSpPr txBox="1"/>
                        <wps:spPr>
                          <a:xfrm>
                            <a:off x="69" y="250"/>
                            <a:ext cx="4293" cy="250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A52A1A">
                              <w:pPr>
                                <w:jc w:val="center"/>
                              </w:pPr>
                            </w:p>
                            <w:p w14:paraId="1CA6F044">
                              <w:pPr>
                                <w:ind w:left="0" w:leftChars="0" w:firstLine="0" w:firstLineChars="0"/>
                                <w:jc w:val="both"/>
                              </w:pPr>
                            </w:p>
                            <w:p w14:paraId="44D02799">
                              <w:pPr>
                                <w:ind w:left="0" w:leftChars="0" w:firstLine="0" w:firstLineChars="0"/>
                                <w:jc w:val="both"/>
                              </w:pPr>
                              <w:r>
                                <w:rPr>
                                  <w:rFonts w:hint="eastAsia"/>
                                </w:rPr>
                                <w:t>法定代表人第二代居民身份证复印件</w:t>
                              </w:r>
                            </w:p>
                            <w:p w14:paraId="0E0B7EBE">
                              <w:pPr>
                                <w:jc w:val="center"/>
                              </w:pPr>
                              <w:r>
                                <w:rPr>
                                  <w:rFonts w:hint="eastAsia"/>
                                </w:rPr>
                                <w:t>（</w:t>
                              </w:r>
                              <w:r>
                                <w:rPr>
                                  <w:rFonts w:hint="eastAsia"/>
                                  <w:lang w:val="en-US" w:eastAsia="zh-CN"/>
                                </w:rPr>
                                <w:t>反</w:t>
                              </w:r>
                              <w:r>
                                <w:rPr>
                                  <w:rFonts w:hint="eastAsia"/>
                                </w:rPr>
                                <w:t>面）</w:t>
                              </w:r>
                            </w:p>
                          </w:txbxContent>
                        </wps:txbx>
                        <wps:bodyPr upright="1"/>
                      </wps:wsp>
                    </wpg:wgp>
                  </a:graphicData>
                </a:graphic>
              </wp:inline>
            </w:drawing>
          </mc:Choice>
          <mc:Fallback>
            <w:pict>
              <v:group id="_x0000_s1026" o:spid="_x0000_s1026" o:spt="203" style="height:172.95pt;width:228.95pt;" coordsize="4431,3009" o:gfxdata="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Bf1&#10;2rTXAAAABQEAAA8AAAAAAAAAAQAgAAAAIgAAAGRycy9kb3ducmV2LnhtbFBLAQIUABQAAAAIAIdO&#10;4kDz87+gzwIAAPMGAAAOAAAAAAAAAAEAIAAAACYBAABkcnMvZTJvRG9jLnhtbFBLBQYAAAAABgAG&#10;AFkBAABnBgAAAAA=&#10;">
                <o:lock v:ext="edit" aspectratio="f"/>
                <v:rect id="_x0000_s1026" o:spid="_x0000_s1026" o:spt="1" style="position:absolute;left:0;top:0;height:3009;width:4431;" filled="f" stroked="f" coordsize="21600,21600" o:gfxdata="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NurbsAAADb&#10;AAAADwAAAAAAAAABACAAAAAiAAAAZHJzL2Rvd25yZXYueG1sUEsBAhQAFAAAAAgAh07iQDMvBZ47&#10;AAAAOQAAABAAAAAAAAAAAQAgAAAACgEAAGRycy9zaGFwZXhtbC54bWxQSwUGAAAAAAYABgBbAQAA&#10;tAMAAAAA&#10;">
                  <v:fill on="f" focussize="0,0"/>
                  <v:stroke on="f"/>
                  <v:imagedata o:title=""/>
                  <o:lock v:ext="edit" text="t" aspectratio="t"/>
                </v:rect>
                <v:shape id="_x0000_s1026" o:spid="_x0000_s1026" o:spt="202" type="#_x0000_t202" style="position:absolute;left:69;top:250;height:2508;width:4293;"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4A52A1A">
                        <w:pPr>
                          <w:jc w:val="center"/>
                        </w:pPr>
                      </w:p>
                      <w:p w14:paraId="1CA6F044">
                        <w:pPr>
                          <w:ind w:left="0" w:leftChars="0" w:firstLine="0" w:firstLineChars="0"/>
                          <w:jc w:val="both"/>
                        </w:pPr>
                      </w:p>
                      <w:p w14:paraId="44D02799">
                        <w:pPr>
                          <w:ind w:left="0" w:leftChars="0" w:firstLine="0" w:firstLineChars="0"/>
                          <w:jc w:val="both"/>
                        </w:pPr>
                        <w:r>
                          <w:rPr>
                            <w:rFonts w:hint="eastAsia"/>
                          </w:rPr>
                          <w:t>法定代表人第二代居民身份证复印件</w:t>
                        </w:r>
                      </w:p>
                      <w:p w14:paraId="0E0B7EBE">
                        <w:pPr>
                          <w:jc w:val="center"/>
                        </w:pPr>
                        <w:r>
                          <w:rPr>
                            <w:rFonts w:hint="eastAsia"/>
                          </w:rPr>
                          <w:t>（</w:t>
                        </w:r>
                        <w:r>
                          <w:rPr>
                            <w:rFonts w:hint="eastAsia"/>
                            <w:lang w:val="en-US" w:eastAsia="zh-CN"/>
                          </w:rPr>
                          <w:t>反</w:t>
                        </w:r>
                        <w:r>
                          <w:rPr>
                            <w:rFonts w:hint="eastAsia"/>
                          </w:rPr>
                          <w:t>面）</w:t>
                        </w:r>
                      </w:p>
                    </w:txbxContent>
                  </v:textbox>
                </v:shape>
                <w10:wrap type="none"/>
                <w10:anchorlock/>
              </v:group>
            </w:pict>
          </mc:Fallback>
        </mc:AlternateContent>
      </w:r>
    </w:p>
    <w:p w14:paraId="22278FAC">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2A044530">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097061E1">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4B75C46D">
      <w:pPr>
        <w:pageBreakBefore w:val="0"/>
        <w:tabs>
          <w:tab w:val="left" w:pos="1418"/>
        </w:tabs>
        <w:kinsoku/>
        <w:wordWrap w:val="0"/>
        <w:overflowPunct/>
        <w:topLinePunct/>
        <w:autoSpaceDE w:val="0"/>
        <w:autoSpaceDN w:val="0"/>
        <w:bidi w:val="0"/>
        <w:snapToGrid w:val="0"/>
        <w:spacing w:before="50" w:after="50" w:line="360" w:lineRule="exact"/>
        <w:rPr>
          <w:rFonts w:ascii="宋体" w:hAnsi="宋体"/>
          <w:bCs/>
          <w:szCs w:val="21"/>
          <w:highlight w:val="none"/>
        </w:rPr>
      </w:pPr>
    </w:p>
    <w:p w14:paraId="2FB777FE">
      <w:pPr>
        <w:pageBreakBefore w:val="0"/>
        <w:tabs>
          <w:tab w:val="left" w:pos="1418"/>
        </w:tabs>
        <w:kinsoku/>
        <w:wordWrap w:val="0"/>
        <w:overflowPunct/>
        <w:topLinePunct/>
        <w:autoSpaceDE w:val="0"/>
        <w:autoSpaceDN w:val="0"/>
        <w:bidi w:val="0"/>
        <w:snapToGrid w:val="0"/>
        <w:spacing w:before="50" w:after="50" w:line="360" w:lineRule="exact"/>
        <w:rPr>
          <w:rFonts w:ascii="宋体" w:hAnsi="宋体"/>
          <w:bCs/>
          <w:szCs w:val="21"/>
          <w:highlight w:val="none"/>
          <w:u w:val="single"/>
        </w:rPr>
      </w:pPr>
      <w:r>
        <w:rPr>
          <w:rFonts w:hint="eastAsia" w:ascii="宋体" w:hAnsi="宋体"/>
          <w:bCs/>
          <w:szCs w:val="21"/>
          <w:highlight w:val="none"/>
        </w:rPr>
        <w:t>法定代表人签名</w:t>
      </w:r>
      <w:r>
        <w:rPr>
          <w:rFonts w:hint="eastAsia" w:ascii="宋体" w:hAnsi="宋体"/>
          <w:b/>
          <w:bCs/>
          <w:szCs w:val="21"/>
          <w:highlight w:val="none"/>
        </w:rPr>
        <w:t>：</w:t>
      </w:r>
      <w:r>
        <w:rPr>
          <w:rFonts w:hint="eastAsia" w:ascii="宋体" w:hAnsi="宋体"/>
          <w:bCs/>
          <w:szCs w:val="21"/>
          <w:highlight w:val="none"/>
          <w:u w:val="single"/>
        </w:rPr>
        <w:t xml:space="preserve">            </w:t>
      </w:r>
    </w:p>
    <w:p w14:paraId="3C62B336">
      <w:pPr>
        <w:pageBreakBefore w:val="0"/>
        <w:kinsoku/>
        <w:wordWrap w:val="0"/>
        <w:overflowPunct/>
        <w:topLinePunct/>
        <w:autoSpaceDE w:val="0"/>
        <w:autoSpaceDN w:val="0"/>
        <w:bidi w:val="0"/>
        <w:snapToGrid w:val="0"/>
        <w:spacing w:beforeLines="50" w:after="50" w:line="360" w:lineRule="exact"/>
        <w:ind w:right="315" w:firstLine="240" w:firstLineChars="100"/>
        <w:rPr>
          <w:rFonts w:ascii="宋体" w:hAnsi="宋体"/>
          <w:b/>
          <w:szCs w:val="21"/>
          <w:highlight w:val="none"/>
        </w:rPr>
      </w:pPr>
      <w:r>
        <w:rPr>
          <w:rFonts w:ascii="宋体" w:hAnsi="宋体"/>
          <w:szCs w:val="21"/>
          <w:highlight w:val="none"/>
        </w:rPr>
        <w:br w:type="page"/>
      </w:r>
      <w:r>
        <w:rPr>
          <w:rFonts w:hint="eastAsia" w:ascii="宋体" w:hAnsi="宋体"/>
          <w:b/>
          <w:bCs/>
          <w:sz w:val="24"/>
          <w:highlight w:val="none"/>
        </w:rPr>
        <w:t>2.法定代表人授权委托书格式：</w:t>
      </w:r>
    </w:p>
    <w:p w14:paraId="24230032">
      <w:pPr>
        <w:pageBreakBefore w:val="0"/>
        <w:kinsoku/>
        <w:wordWrap w:val="0"/>
        <w:overflowPunct/>
        <w:topLinePunct/>
        <w:autoSpaceDE w:val="0"/>
        <w:autoSpaceDN w:val="0"/>
        <w:bidi w:val="0"/>
        <w:snapToGrid w:val="0"/>
        <w:spacing w:beforeLines="50" w:after="50" w:line="360" w:lineRule="exact"/>
        <w:jc w:val="center"/>
        <w:rPr>
          <w:rFonts w:ascii="宋体" w:hAnsi="宋体"/>
          <w:b/>
          <w:sz w:val="24"/>
          <w:szCs w:val="20"/>
          <w:highlight w:val="none"/>
        </w:rPr>
      </w:pPr>
      <w:r>
        <w:rPr>
          <w:rFonts w:hint="eastAsia" w:ascii="宋体" w:hAnsi="宋体"/>
          <w:b/>
          <w:sz w:val="24"/>
          <w:highlight w:val="none"/>
        </w:rPr>
        <w:t>法定代表人授权委托书</w:t>
      </w:r>
    </w:p>
    <w:p w14:paraId="5CB608C7">
      <w:pPr>
        <w:pageBreakBefore w:val="0"/>
        <w:kinsoku/>
        <w:wordWrap w:val="0"/>
        <w:overflowPunct/>
        <w:topLinePunct/>
        <w:autoSpaceDE w:val="0"/>
        <w:autoSpaceDN w:val="0"/>
        <w:bidi w:val="0"/>
        <w:snapToGrid w:val="0"/>
        <w:spacing w:beforeLines="50" w:after="50" w:line="360" w:lineRule="exact"/>
        <w:rPr>
          <w:rFonts w:ascii="宋体" w:hAnsi="宋体"/>
          <w:b/>
          <w:bCs/>
          <w:szCs w:val="21"/>
          <w:highlight w:val="none"/>
        </w:rPr>
      </w:pPr>
      <w:r>
        <w:rPr>
          <w:rFonts w:hint="eastAsia" w:ascii="宋体" w:hAnsi="宋体"/>
          <w:bCs/>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（招标采购单位名称）</w:t>
      </w:r>
      <w:r>
        <w:rPr>
          <w:rFonts w:hint="eastAsia" w:ascii="宋体" w:hAnsi="宋体"/>
          <w:b/>
          <w:bCs/>
          <w:szCs w:val="21"/>
          <w:highlight w:val="none"/>
        </w:rPr>
        <w:t xml:space="preserve"> </w:t>
      </w:r>
      <w:r>
        <w:rPr>
          <w:rFonts w:hint="eastAsia" w:ascii="宋体" w:hAnsi="宋体"/>
          <w:szCs w:val="21"/>
          <w:highlight w:val="none"/>
        </w:rPr>
        <w:t>：</w:t>
      </w:r>
    </w:p>
    <w:p w14:paraId="71BDB9AD">
      <w:pPr>
        <w:pageBreakBefore w:val="0"/>
        <w:kinsoku/>
        <w:wordWrap w:val="0"/>
        <w:overflowPunct/>
        <w:topLinePunct/>
        <w:autoSpaceDE w:val="0"/>
        <w:autoSpaceDN w:val="0"/>
        <w:bidi w:val="0"/>
        <w:snapToGrid w:val="0"/>
        <w:spacing w:beforeLines="50" w:after="50" w:line="360" w:lineRule="exact"/>
        <w:ind w:firstLine="720" w:firstLineChars="300"/>
        <w:rPr>
          <w:rFonts w:ascii="宋体" w:hAnsi="宋体"/>
          <w:szCs w:val="21"/>
          <w:highlight w:val="none"/>
        </w:rPr>
      </w:pPr>
      <w:r>
        <w:rPr>
          <w:rFonts w:hint="eastAsia" w:ascii="宋体" w:hAnsi="宋体"/>
          <w:szCs w:val="21"/>
          <w:highlight w:val="none"/>
        </w:rPr>
        <w:t>我</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 xml:space="preserve">（投标人名称）的法定代表人，现授权委托 </w:t>
      </w:r>
      <w:r>
        <w:rPr>
          <w:rFonts w:hint="eastAsia" w:ascii="宋体" w:hAnsi="宋体"/>
          <w:szCs w:val="21"/>
          <w:highlight w:val="none"/>
          <w:u w:val="single"/>
        </w:rPr>
        <w:t xml:space="preserve">      </w:t>
      </w:r>
      <w:r>
        <w:rPr>
          <w:rFonts w:hint="eastAsia" w:ascii="宋体" w:hAnsi="宋体"/>
          <w:szCs w:val="21"/>
          <w:highlight w:val="none"/>
        </w:rPr>
        <w:t>（姓名）以我方的名义参加</w:t>
      </w:r>
      <w:r>
        <w:rPr>
          <w:rFonts w:hint="eastAsia" w:ascii="宋体" w:hAnsi="宋体"/>
          <w:szCs w:val="21"/>
          <w:highlight w:val="none"/>
          <w:u w:val="single"/>
        </w:rPr>
        <w:t xml:space="preserve">             </w:t>
      </w:r>
      <w:r>
        <w:rPr>
          <w:rFonts w:hint="eastAsia" w:ascii="宋体" w:hAnsi="宋体"/>
          <w:szCs w:val="21"/>
          <w:highlight w:val="none"/>
        </w:rPr>
        <w:t>项目</w:t>
      </w:r>
      <w:r>
        <w:rPr>
          <w:rFonts w:hint="eastAsia"/>
          <w:highlight w:val="none"/>
        </w:rPr>
        <w:t>（</w:t>
      </w:r>
      <w:r>
        <w:rPr>
          <w:rFonts w:hint="eastAsia"/>
          <w:highlight w:val="none"/>
          <w:lang w:val="en-US" w:eastAsia="zh-CN"/>
        </w:rPr>
        <w:t>项目</w:t>
      </w:r>
      <w:r>
        <w:rPr>
          <w:highlight w:val="none"/>
        </w:rPr>
        <w:t>编号</w:t>
      </w:r>
      <w:r>
        <w:rPr>
          <w:rFonts w:hint="eastAsia"/>
          <w:highlight w:val="none"/>
          <w:lang w:eastAsia="zh-CN"/>
        </w:rPr>
        <w:t>：</w:t>
      </w:r>
      <w:r>
        <w:rPr>
          <w:rFonts w:hint="eastAsia"/>
          <w:highlight w:val="none"/>
          <w:u w:val="single"/>
        </w:rPr>
        <w:t xml:space="preserve">                        </w:t>
      </w:r>
      <w:r>
        <w:rPr>
          <w:rFonts w:hint="eastAsia"/>
          <w:highlight w:val="none"/>
        </w:rPr>
        <w:t>）</w:t>
      </w:r>
      <w:r>
        <w:rPr>
          <w:rFonts w:hint="eastAsia"/>
          <w:highlight w:val="none"/>
          <w:u w:val="none"/>
          <w:lang w:val="en-US" w:eastAsia="zh-CN"/>
        </w:rPr>
        <w:t>分标</w:t>
      </w:r>
      <w:r>
        <w:rPr>
          <w:rFonts w:hint="eastAsia"/>
          <w:highlight w:val="none"/>
          <w:u w:val="single"/>
          <w:lang w:val="en-US" w:eastAsia="zh-CN"/>
        </w:rPr>
        <w:t xml:space="preserve">：      </w:t>
      </w:r>
      <w:r>
        <w:rPr>
          <w:rFonts w:hint="eastAsia" w:ascii="宋体" w:hAnsi="宋体"/>
          <w:szCs w:val="21"/>
          <w:highlight w:val="none"/>
        </w:rPr>
        <w:t>的投标活动，并代表我方全权办理针对上述项目的投标、开标、评标、签约等具体事务和签署相关文件。</w:t>
      </w:r>
    </w:p>
    <w:p w14:paraId="3D5CEEF1">
      <w:pPr>
        <w:pageBreakBefore w:val="0"/>
        <w:kinsoku/>
        <w:wordWrap w:val="0"/>
        <w:overflowPunct/>
        <w:topLinePunct/>
        <w:autoSpaceDE w:val="0"/>
        <w:autoSpaceDN w:val="0"/>
        <w:bidi w:val="0"/>
        <w:snapToGrid w:val="0"/>
        <w:spacing w:beforeLines="50" w:after="50" w:line="360" w:lineRule="exact"/>
        <w:rPr>
          <w:rFonts w:ascii="宋体" w:hAnsi="宋体"/>
          <w:szCs w:val="21"/>
          <w:highlight w:val="none"/>
        </w:rPr>
      </w:pPr>
      <w:r>
        <w:rPr>
          <w:rFonts w:hint="eastAsia" w:ascii="宋体" w:hAnsi="宋体"/>
          <w:szCs w:val="21"/>
          <w:highlight w:val="none"/>
        </w:rPr>
        <w:t xml:space="preserve">    我方对被授权人的签名事项负全部责任。</w:t>
      </w:r>
    </w:p>
    <w:p w14:paraId="49E5CF6C">
      <w:pPr>
        <w:pageBreakBefore w:val="0"/>
        <w:kinsoku/>
        <w:wordWrap w:val="0"/>
        <w:overflowPunct/>
        <w:topLinePunct/>
        <w:autoSpaceDE w:val="0"/>
        <w:autoSpaceDN w:val="0"/>
        <w:bidi w:val="0"/>
        <w:snapToGrid w:val="0"/>
        <w:spacing w:beforeLines="50" w:after="50" w:line="360" w:lineRule="exact"/>
        <w:ind w:firstLine="480"/>
        <w:rPr>
          <w:rFonts w:ascii="宋体" w:hAnsi="宋体"/>
          <w:szCs w:val="21"/>
          <w:highlight w:val="none"/>
        </w:rPr>
      </w:pPr>
      <w:r>
        <w:rPr>
          <w:rFonts w:hint="eastAsia" w:ascii="宋体" w:hAnsi="宋体"/>
          <w:szCs w:val="21"/>
          <w:highlight w:val="none"/>
          <w:u w:val="single"/>
        </w:rPr>
        <w:t>在撤销授权的书面通知以前，本授权书一直有效。</w:t>
      </w:r>
      <w:r>
        <w:rPr>
          <w:rFonts w:hint="eastAsia" w:ascii="宋体" w:hAnsi="宋体"/>
          <w:szCs w:val="21"/>
          <w:highlight w:val="none"/>
        </w:rPr>
        <w:t>被授权人在授权书有效期内签署的所有文件不因授权的撤销而失效。</w:t>
      </w:r>
    </w:p>
    <w:p w14:paraId="7CA906C7">
      <w:pPr>
        <w:pageBreakBefore w:val="0"/>
        <w:kinsoku/>
        <w:wordWrap w:val="0"/>
        <w:overflowPunct/>
        <w:topLinePunct/>
        <w:autoSpaceDE w:val="0"/>
        <w:autoSpaceDN w:val="0"/>
        <w:bidi w:val="0"/>
        <w:snapToGrid w:val="0"/>
        <w:spacing w:beforeLines="50" w:after="50" w:line="360" w:lineRule="exact"/>
        <w:ind w:firstLine="480"/>
        <w:rPr>
          <w:rFonts w:ascii="宋体" w:hAnsi="宋体"/>
          <w:szCs w:val="21"/>
          <w:highlight w:val="none"/>
        </w:rPr>
      </w:pPr>
      <w:r>
        <w:rPr>
          <w:rFonts w:hint="eastAsia" w:ascii="宋体" w:hAnsi="宋体"/>
          <w:szCs w:val="21"/>
          <w:highlight w:val="none"/>
        </w:rPr>
        <w:t>被授权人无转委托权，特此委托。</w:t>
      </w:r>
    </w:p>
    <w:p w14:paraId="35A2E5A1">
      <w:pPr>
        <w:pageBreakBefore w:val="0"/>
        <w:kinsoku/>
        <w:wordWrap w:val="0"/>
        <w:overflowPunct/>
        <w:topLinePunct/>
        <w:autoSpaceDE w:val="0"/>
        <w:autoSpaceDN w:val="0"/>
        <w:bidi w:val="0"/>
        <w:snapToGrid w:val="0"/>
        <w:spacing w:beforeLines="50" w:after="50" w:line="360" w:lineRule="exact"/>
        <w:rPr>
          <w:rFonts w:ascii="宋体" w:hAnsi="宋体"/>
          <w:szCs w:val="21"/>
          <w:highlight w:val="none"/>
          <w:u w:val="single"/>
        </w:rPr>
      </w:pPr>
      <w:r>
        <w:rPr>
          <w:rFonts w:hint="eastAsia" w:ascii="宋体" w:hAnsi="宋体"/>
          <w:szCs w:val="21"/>
          <w:highlight w:val="none"/>
        </w:rPr>
        <w:t>被授权人签名：</w:t>
      </w:r>
      <w:r>
        <w:rPr>
          <w:rFonts w:hint="eastAsia" w:ascii="宋体" w:hAnsi="宋体"/>
          <w:szCs w:val="21"/>
          <w:highlight w:val="none"/>
          <w:u w:val="single"/>
        </w:rPr>
        <w:t xml:space="preserve">           </w:t>
      </w:r>
      <w:r>
        <w:rPr>
          <w:rFonts w:hint="eastAsia" w:ascii="宋体" w:hAnsi="宋体"/>
          <w:szCs w:val="21"/>
          <w:highlight w:val="none"/>
        </w:rPr>
        <w:t xml:space="preserve">                 法定代表人签名：</w:t>
      </w:r>
      <w:r>
        <w:rPr>
          <w:rFonts w:hint="eastAsia" w:ascii="宋体" w:hAnsi="宋体"/>
          <w:szCs w:val="21"/>
          <w:highlight w:val="none"/>
          <w:u w:val="single"/>
        </w:rPr>
        <w:t xml:space="preserve">          </w:t>
      </w:r>
    </w:p>
    <w:p w14:paraId="68A54226">
      <w:pPr>
        <w:pageBreakBefore w:val="0"/>
        <w:kinsoku/>
        <w:wordWrap w:val="0"/>
        <w:overflowPunct/>
        <w:topLinePunct/>
        <w:autoSpaceDE w:val="0"/>
        <w:autoSpaceDN w:val="0"/>
        <w:bidi w:val="0"/>
        <w:snapToGrid w:val="0"/>
        <w:spacing w:beforeLines="50" w:after="50" w:line="360" w:lineRule="exact"/>
        <w:rPr>
          <w:rFonts w:ascii="宋体" w:hAnsi="宋体"/>
          <w:szCs w:val="21"/>
          <w:highlight w:val="none"/>
        </w:rPr>
      </w:pPr>
      <w:r>
        <w:rPr>
          <w:rFonts w:hint="eastAsia" w:ascii="宋体" w:hAnsi="宋体"/>
          <w:szCs w:val="21"/>
          <w:highlight w:val="none"/>
        </w:rPr>
        <w:t>所在部门职务：</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14:paraId="4F276E3C">
      <w:pPr>
        <w:pageBreakBefore w:val="0"/>
        <w:kinsoku/>
        <w:wordWrap w:val="0"/>
        <w:overflowPunct/>
        <w:topLinePunct/>
        <w:autoSpaceDE w:val="0"/>
        <w:autoSpaceDN w:val="0"/>
        <w:bidi w:val="0"/>
        <w:snapToGrid w:val="0"/>
        <w:spacing w:beforeLines="50" w:after="50" w:line="360" w:lineRule="exact"/>
        <w:rPr>
          <w:rFonts w:ascii="宋体" w:hAnsi="宋体"/>
          <w:szCs w:val="21"/>
          <w:highlight w:val="none"/>
        </w:rPr>
      </w:pPr>
      <w:r>
        <w:rPr>
          <w:rFonts w:hint="eastAsia" w:ascii="宋体" w:hAnsi="宋体"/>
          <w:szCs w:val="21"/>
          <w:highlight w:val="none"/>
        </w:rPr>
        <w:t>被授权人身份证号码：</w:t>
      </w:r>
      <w:r>
        <w:rPr>
          <w:rFonts w:hint="eastAsia" w:ascii="宋体" w:hAnsi="宋体"/>
          <w:szCs w:val="21"/>
          <w:highlight w:val="none"/>
          <w:u w:val="single"/>
        </w:rPr>
        <w:t xml:space="preserve">                  </w:t>
      </w:r>
    </w:p>
    <w:p w14:paraId="6028D9A7">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5F2DEF5F">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1DB9AF43">
      <w:pPr>
        <w:pageBreakBefore w:val="0"/>
        <w:kinsoku/>
        <w:wordWrap w:val="0"/>
        <w:overflowPunct/>
        <w:topLinePunct/>
        <w:autoSpaceDE w:val="0"/>
        <w:autoSpaceDN w:val="0"/>
        <w:bidi w:val="0"/>
        <w:snapToGrid w:val="0"/>
        <w:spacing w:beforeLines="50" w:after="50" w:line="360" w:lineRule="exact"/>
        <w:jc w:val="center"/>
        <w:rPr>
          <w:rFonts w:ascii="宋体" w:hAnsi="宋体"/>
          <w:b/>
          <w:bCs/>
          <w:sz w:val="36"/>
          <w:szCs w:val="36"/>
          <w:highlight w:val="none"/>
        </w:rPr>
      </w:pPr>
    </w:p>
    <w:p w14:paraId="63947B94">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r>
        <w:rPr>
          <w:rFonts w:ascii="宋体" w:hAnsi="宋体"/>
          <w:b/>
          <w:bCs/>
          <w:sz w:val="36"/>
          <w:szCs w:val="36"/>
          <w:highlight w:val="none"/>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104140</wp:posOffset>
                </wp:positionV>
                <wp:extent cx="2971800" cy="1611630"/>
                <wp:effectExtent l="4445" t="4445" r="14605" b="22225"/>
                <wp:wrapNone/>
                <wp:docPr id="16" name="文本框 16"/>
                <wp:cNvGraphicFramePr/>
                <a:graphic xmlns:a="http://schemas.openxmlformats.org/drawingml/2006/main">
                  <a:graphicData uri="http://schemas.microsoft.com/office/word/2010/wordprocessingShape">
                    <wps:wsp>
                      <wps:cNvSpPr txBox="1"/>
                      <wps:spPr>
                        <a:xfrm>
                          <a:off x="0" y="0"/>
                          <a:ext cx="2971800" cy="1611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0506C0">
                            <w:pPr>
                              <w:jc w:val="center"/>
                            </w:pPr>
                          </w:p>
                          <w:p w14:paraId="008F7A19">
                            <w:pPr>
                              <w:ind w:left="0" w:leftChars="0" w:firstLine="0" w:firstLineChars="0"/>
                              <w:jc w:val="both"/>
                            </w:pPr>
                          </w:p>
                          <w:p w14:paraId="1150742E">
                            <w:pPr>
                              <w:jc w:val="center"/>
                            </w:pPr>
                            <w:r>
                              <w:rPr>
                                <w:rFonts w:hint="eastAsia" w:ascii="宋体" w:hAnsi="宋体"/>
                                <w:szCs w:val="21"/>
                              </w:rPr>
                              <w:t>被授权人</w:t>
                            </w:r>
                            <w:r>
                              <w:rPr>
                                <w:rFonts w:hint="eastAsia"/>
                              </w:rPr>
                              <w:t>第二代居民身份证复印件</w:t>
                            </w:r>
                          </w:p>
                          <w:p w14:paraId="6A72D9FC">
                            <w:pPr>
                              <w:jc w:val="center"/>
                            </w:pPr>
                            <w:r>
                              <w:rPr>
                                <w:rFonts w:hint="eastAsia"/>
                              </w:rPr>
                              <w:t>（正面）</w:t>
                            </w:r>
                          </w:p>
                        </w:txbxContent>
                      </wps:txbx>
                      <wps:bodyPr upright="1"/>
                    </wps:wsp>
                  </a:graphicData>
                </a:graphic>
              </wp:anchor>
            </w:drawing>
          </mc:Choice>
          <mc:Fallback>
            <w:pict>
              <v:shape id="_x0000_s1026" o:spid="_x0000_s1026" o:spt="202" type="#_x0000_t202" style="position:absolute;left:0pt;margin-left:1.3pt;margin-top:8.2pt;height:126.9pt;width:234pt;z-index:251660288;mso-width-relative:page;mso-height-relative:page;" fillcolor="#FFFFFF" filled="t" stroked="t" coordsize="21600,21600" o:gfxdata="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5HMptYAAAAIAQAADwAAAAAAAAABACAA&#10;AAAiAAAAZHJzL2Rvd25yZXYueG1sUEsBAhQAFAAAAAgAh07iQOmcLz0PAgAAOQQAAA4AAAAAAAAA&#10;AQAgAAAAJQEAAGRycy9lMm9Eb2MueG1sUEsFBgAAAAAGAAYAWQEAAKYFAAAAAA==&#10;">
                <v:fill on="t" focussize="0,0"/>
                <v:stroke color="#000000" joinstyle="miter"/>
                <v:imagedata o:title=""/>
                <o:lock v:ext="edit" aspectratio="f"/>
                <v:textbox>
                  <w:txbxContent>
                    <w:p w14:paraId="6C0506C0">
                      <w:pPr>
                        <w:jc w:val="center"/>
                      </w:pPr>
                    </w:p>
                    <w:p w14:paraId="008F7A19">
                      <w:pPr>
                        <w:ind w:left="0" w:leftChars="0" w:firstLine="0" w:firstLineChars="0"/>
                        <w:jc w:val="both"/>
                      </w:pPr>
                    </w:p>
                    <w:p w14:paraId="1150742E">
                      <w:pPr>
                        <w:jc w:val="center"/>
                      </w:pPr>
                      <w:r>
                        <w:rPr>
                          <w:rFonts w:hint="eastAsia" w:ascii="宋体" w:hAnsi="宋体"/>
                          <w:szCs w:val="21"/>
                        </w:rPr>
                        <w:t>被授权人</w:t>
                      </w:r>
                      <w:r>
                        <w:rPr>
                          <w:rFonts w:hint="eastAsia"/>
                        </w:rPr>
                        <w:t>第二代居民身份证复印件</w:t>
                      </w:r>
                    </w:p>
                    <w:p w14:paraId="6A72D9FC">
                      <w:pPr>
                        <w:jc w:val="center"/>
                      </w:pPr>
                      <w:r>
                        <w:rPr>
                          <w:rFonts w:hint="eastAsia"/>
                        </w:rPr>
                        <w:t>（正面）</w:t>
                      </w:r>
                    </w:p>
                  </w:txbxContent>
                </v:textbox>
              </v:shape>
            </w:pict>
          </mc:Fallback>
        </mc:AlternateContent>
      </w:r>
      <w:r>
        <w:rPr>
          <w:rFonts w:ascii="宋体" w:hAnsi="宋体"/>
          <w:b/>
          <w:bCs/>
          <w:sz w:val="36"/>
          <w:szCs w:val="36"/>
          <w:highlight w:val="none"/>
        </w:rPr>
        <mc:AlternateContent>
          <mc:Choice Requires="wps">
            <w:drawing>
              <wp:anchor distT="0" distB="0" distL="114300" distR="114300" simplePos="0" relativeHeight="251661312" behindDoc="0" locked="0" layoutInCell="1" allowOverlap="1">
                <wp:simplePos x="0" y="0"/>
                <wp:positionH relativeFrom="column">
                  <wp:posOffset>3121025</wp:posOffset>
                </wp:positionH>
                <wp:positionV relativeFrom="paragraph">
                  <wp:posOffset>92075</wp:posOffset>
                </wp:positionV>
                <wp:extent cx="2971800" cy="1611630"/>
                <wp:effectExtent l="4445" t="4445" r="14605" b="22225"/>
                <wp:wrapNone/>
                <wp:docPr id="15" name="文本框 15"/>
                <wp:cNvGraphicFramePr/>
                <a:graphic xmlns:a="http://schemas.openxmlformats.org/drawingml/2006/main">
                  <a:graphicData uri="http://schemas.microsoft.com/office/word/2010/wordprocessingShape">
                    <wps:wsp>
                      <wps:cNvSpPr txBox="1"/>
                      <wps:spPr>
                        <a:xfrm>
                          <a:off x="0" y="0"/>
                          <a:ext cx="2971800" cy="1611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E0F152">
                            <w:pPr>
                              <w:jc w:val="center"/>
                            </w:pPr>
                          </w:p>
                          <w:p w14:paraId="04BBBA34">
                            <w:pPr>
                              <w:ind w:left="0" w:leftChars="0" w:firstLine="0" w:firstLineChars="0"/>
                              <w:jc w:val="both"/>
                            </w:pPr>
                          </w:p>
                          <w:p w14:paraId="725D834C">
                            <w:pPr>
                              <w:jc w:val="center"/>
                            </w:pPr>
                            <w:r>
                              <w:rPr>
                                <w:rFonts w:hint="eastAsia" w:ascii="宋体" w:hAnsi="宋体"/>
                                <w:szCs w:val="21"/>
                              </w:rPr>
                              <w:t>被授权人</w:t>
                            </w:r>
                            <w:r>
                              <w:rPr>
                                <w:rFonts w:hint="eastAsia"/>
                              </w:rPr>
                              <w:t>第二代居民身份证复印件</w:t>
                            </w:r>
                          </w:p>
                          <w:p w14:paraId="2D109B07">
                            <w:pPr>
                              <w:jc w:val="center"/>
                            </w:pPr>
                            <w:r>
                              <w:rPr>
                                <w:rFonts w:hint="eastAsia"/>
                              </w:rPr>
                              <w:t>（反面）</w:t>
                            </w:r>
                          </w:p>
                        </w:txbxContent>
                      </wps:txbx>
                      <wps:bodyPr upright="1"/>
                    </wps:wsp>
                  </a:graphicData>
                </a:graphic>
              </wp:anchor>
            </w:drawing>
          </mc:Choice>
          <mc:Fallback>
            <w:pict>
              <v:shape id="_x0000_s1026" o:spid="_x0000_s1026" o:spt="202" type="#_x0000_t202" style="position:absolute;left:0pt;margin-left:245.75pt;margin-top:7.25pt;height:126.9pt;width:234pt;z-index:251661312;mso-width-relative:page;mso-height-relative:page;" fillcolor="#FFFFFF" filled="t" stroked="t" coordsize="21600,21600" o:gfxdata="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Pu352QAAAAoBAAAPAAAAAAAAAAEA&#10;IAAAACIAAABkcnMvZG93bnJldi54bWxQSwECFAAUAAAACACHTuJALEebXw4CAAA5BAAADgAAAAAA&#10;AAABACAAAAAoAQAAZHJzL2Uyb0RvYy54bWxQSwUGAAAAAAYABgBZAQAAqAUAAAAA&#10;">
                <v:fill on="t" focussize="0,0"/>
                <v:stroke color="#000000" joinstyle="miter"/>
                <v:imagedata o:title=""/>
                <o:lock v:ext="edit" aspectratio="f"/>
                <v:textbox>
                  <w:txbxContent>
                    <w:p w14:paraId="19E0F152">
                      <w:pPr>
                        <w:jc w:val="center"/>
                      </w:pPr>
                    </w:p>
                    <w:p w14:paraId="04BBBA34">
                      <w:pPr>
                        <w:ind w:left="0" w:leftChars="0" w:firstLine="0" w:firstLineChars="0"/>
                        <w:jc w:val="both"/>
                      </w:pPr>
                    </w:p>
                    <w:p w14:paraId="725D834C">
                      <w:pPr>
                        <w:jc w:val="center"/>
                      </w:pPr>
                      <w:r>
                        <w:rPr>
                          <w:rFonts w:hint="eastAsia" w:ascii="宋体" w:hAnsi="宋体"/>
                          <w:szCs w:val="21"/>
                        </w:rPr>
                        <w:t>被授权人</w:t>
                      </w:r>
                      <w:r>
                        <w:rPr>
                          <w:rFonts w:hint="eastAsia"/>
                        </w:rPr>
                        <w:t>第二代居民身份证复印件</w:t>
                      </w:r>
                    </w:p>
                    <w:p w14:paraId="2D109B07">
                      <w:pPr>
                        <w:jc w:val="center"/>
                      </w:pPr>
                      <w:r>
                        <w:rPr>
                          <w:rFonts w:hint="eastAsia"/>
                        </w:rPr>
                        <w:t>（反面）</w:t>
                      </w:r>
                    </w:p>
                  </w:txbxContent>
                </v:textbox>
              </v:shape>
            </w:pict>
          </mc:Fallback>
        </mc:AlternateContent>
      </w:r>
    </w:p>
    <w:p w14:paraId="3A79315D">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47CE1B97">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4962B0A0">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5586C8C2">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77C6E2EE">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3FAEF3DE">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11FDE563">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423823AA">
      <w:pPr>
        <w:pageBreakBefore w:val="0"/>
        <w:widowControl/>
        <w:kinsoku/>
        <w:wordWrap w:val="0"/>
        <w:overflowPunct/>
        <w:topLinePunct/>
        <w:autoSpaceDE w:val="0"/>
        <w:autoSpaceDN w:val="0"/>
        <w:bidi w:val="0"/>
        <w:spacing w:line="360" w:lineRule="exact"/>
        <w:rPr>
          <w:rFonts w:hint="eastAsia" w:ascii="宋体" w:hAnsi="宋体"/>
          <w:b/>
          <w:bCs/>
          <w:sz w:val="24"/>
          <w:highlight w:val="none"/>
        </w:rPr>
        <w:sectPr>
          <w:pgSz w:w="11906" w:h="16839"/>
          <w:pgMar w:top="400" w:right="994" w:bottom="1156" w:left="1255" w:header="0" w:footer="994" w:gutter="0"/>
          <w:pgNumType w:fmt="decimal"/>
          <w:cols w:space="720" w:num="1"/>
        </w:sectPr>
      </w:pPr>
    </w:p>
    <w:p w14:paraId="20DDF1F4">
      <w:pPr>
        <w:pStyle w:val="36"/>
        <w:bidi w:val="0"/>
        <w:rPr>
          <w:highlight w:val="none"/>
        </w:rPr>
      </w:pPr>
      <w:r>
        <w:rPr>
          <w:rFonts w:hint="eastAsia"/>
          <w:highlight w:val="none"/>
        </w:rPr>
        <w:t>3.投标保证金证明：</w:t>
      </w:r>
    </w:p>
    <w:p w14:paraId="0D3080D8">
      <w:pPr>
        <w:pStyle w:val="35"/>
        <w:bidi w:val="0"/>
        <w:rPr>
          <w:highlight w:val="none"/>
        </w:rPr>
      </w:pPr>
      <w:r>
        <w:rPr>
          <w:rFonts w:hint="eastAsia"/>
          <w:highlight w:val="none"/>
        </w:rPr>
        <w:t>保证金证明（格式）</w:t>
      </w:r>
    </w:p>
    <w:p w14:paraId="1754698E">
      <w:pPr>
        <w:pageBreakBefore w:val="0"/>
        <w:kinsoku/>
        <w:wordWrap w:val="0"/>
        <w:overflowPunct/>
        <w:topLinePunct/>
        <w:autoSpaceDE w:val="0"/>
        <w:autoSpaceDN w:val="0"/>
        <w:bidi w:val="0"/>
        <w:spacing w:line="360" w:lineRule="exact"/>
        <w:ind w:firstLine="480" w:firstLineChars="200"/>
        <w:rPr>
          <w:rFonts w:ascii="宋体" w:hAnsi="宋体"/>
          <w:highlight w:val="none"/>
        </w:rPr>
      </w:pPr>
    </w:p>
    <w:p w14:paraId="0A4B7D7E">
      <w:pPr>
        <w:pStyle w:val="12"/>
        <w:pageBreakBefore w:val="0"/>
        <w:kinsoku/>
        <w:wordWrap w:val="0"/>
        <w:overflowPunct/>
        <w:topLinePunct/>
        <w:autoSpaceDE w:val="0"/>
        <w:autoSpaceDN w:val="0"/>
        <w:bidi w:val="0"/>
        <w:spacing w:line="360" w:lineRule="exact"/>
        <w:rPr>
          <w:rFonts w:hAnsi="宋体"/>
          <w:highlight w:val="none"/>
        </w:rPr>
      </w:pPr>
      <w:r>
        <w:rPr>
          <w:rFonts w:hint="eastAsia" w:hAnsi="宋体"/>
          <w:highlight w:val="none"/>
        </w:rPr>
        <w:t xml:space="preserve">                                                                                                                                                                                        </w:t>
      </w:r>
    </w:p>
    <w:p w14:paraId="119EBD45">
      <w:pPr>
        <w:pStyle w:val="12"/>
        <w:pageBreakBefore w:val="0"/>
        <w:kinsoku/>
        <w:wordWrap w:val="0"/>
        <w:overflowPunct/>
        <w:topLinePunct/>
        <w:autoSpaceDE w:val="0"/>
        <w:autoSpaceDN w:val="0"/>
        <w:bidi w:val="0"/>
        <w:spacing w:line="360" w:lineRule="exact"/>
        <w:rPr>
          <w:rFonts w:hAnsi="宋体"/>
          <w:highlight w:val="none"/>
        </w:rPr>
      </w:pPr>
      <w:r>
        <w:rPr>
          <w:rFonts w:hint="eastAsia" w:hAnsi="宋体"/>
          <w:highlight w:val="none"/>
        </w:rPr>
        <w:t xml:space="preserve">  </w:t>
      </w:r>
    </w:p>
    <w:p w14:paraId="41CDBDEB">
      <w:pPr>
        <w:pStyle w:val="12"/>
        <w:pageBreakBefore w:val="0"/>
        <w:kinsoku/>
        <w:wordWrap w:val="0"/>
        <w:overflowPunct/>
        <w:topLinePunct/>
        <w:autoSpaceDE w:val="0"/>
        <w:autoSpaceDN w:val="0"/>
        <w:bidi w:val="0"/>
        <w:spacing w:line="360" w:lineRule="exact"/>
        <w:rPr>
          <w:rFonts w:hAnsi="宋体"/>
          <w:highlight w:val="none"/>
        </w:rPr>
      </w:pPr>
      <w:r>
        <w:rPr>
          <w:rFonts w:hAnsi="宋体"/>
          <w:sz w:val="20"/>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17" name="矩形 17"/>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A6BD73">
                            <w:pPr>
                              <w:jc w:val="center"/>
                              <w:rPr>
                                <w:color w:val="000000"/>
                              </w:rPr>
                            </w:pPr>
                          </w:p>
                          <w:p w14:paraId="4AE28033">
                            <w:pPr>
                              <w:jc w:val="center"/>
                              <w:rPr>
                                <w:color w:val="000000"/>
                              </w:rPr>
                            </w:pPr>
                          </w:p>
                          <w:p w14:paraId="444DE296">
                            <w:pPr>
                              <w:jc w:val="center"/>
                              <w:rPr>
                                <w:color w:val="000000"/>
                              </w:rPr>
                            </w:pPr>
                          </w:p>
                          <w:p w14:paraId="3A22BC7D">
                            <w:pPr>
                              <w:ind w:left="0" w:leftChars="0" w:firstLine="0" w:firstLineChars="0"/>
                              <w:jc w:val="both"/>
                            </w:pPr>
                          </w:p>
                          <w:p w14:paraId="06F6B5D0">
                            <w:pPr>
                              <w:bidi w:val="0"/>
                            </w:pPr>
                            <w:r>
                              <w:rPr>
                                <w:rFonts w:hint="eastAsia"/>
                              </w:rPr>
                              <w:t>转账底单、电汇单、支票、汇票、本票或银行、保险机构出具的保函复印件</w:t>
                            </w:r>
                          </w:p>
                        </w:txbxContent>
                      </wps:txbx>
                      <wps:bodyPr upright="1"/>
                    </wps:wsp>
                  </a:graphicData>
                </a:graphic>
              </wp:anchor>
            </w:drawing>
          </mc:Choice>
          <mc:Fallback>
            <w:pict>
              <v:rect id="_x0000_s1026" o:spid="_x0000_s1026" o:spt="1" style="position:absolute;left:0pt;margin-left:0pt;margin-top:6pt;height:226.75pt;width:481.9pt;z-index:251662336;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BJ2d1gAAAAcBAAAPAAAAAAAAAAEAIAAAACIAAABkcnMvZG93&#10;bnJldi54bWxQSwECFAAUAAAACACHTuJAa8vXGAICAAAsBAAADgAAAAAAAAABACAAAAAlAQAAZHJz&#10;L2Uyb0RvYy54bWxQSwUGAAAAAAYABgBZAQAAmQUAAAAA&#10;">
                <v:fill on="t" focussize="0,0"/>
                <v:stroke color="#000000" joinstyle="miter"/>
                <v:imagedata o:title=""/>
                <o:lock v:ext="edit" aspectratio="f"/>
                <v:textbox>
                  <w:txbxContent>
                    <w:p w14:paraId="36A6BD73">
                      <w:pPr>
                        <w:jc w:val="center"/>
                        <w:rPr>
                          <w:color w:val="000000"/>
                        </w:rPr>
                      </w:pPr>
                    </w:p>
                    <w:p w14:paraId="4AE28033">
                      <w:pPr>
                        <w:jc w:val="center"/>
                        <w:rPr>
                          <w:color w:val="000000"/>
                        </w:rPr>
                      </w:pPr>
                    </w:p>
                    <w:p w14:paraId="444DE296">
                      <w:pPr>
                        <w:jc w:val="center"/>
                        <w:rPr>
                          <w:color w:val="000000"/>
                        </w:rPr>
                      </w:pPr>
                    </w:p>
                    <w:p w14:paraId="3A22BC7D">
                      <w:pPr>
                        <w:ind w:left="0" w:leftChars="0" w:firstLine="0" w:firstLineChars="0"/>
                        <w:jc w:val="both"/>
                      </w:pPr>
                    </w:p>
                    <w:p w14:paraId="06F6B5D0">
                      <w:pPr>
                        <w:bidi w:val="0"/>
                      </w:pPr>
                      <w:r>
                        <w:rPr>
                          <w:rFonts w:hint="eastAsia"/>
                        </w:rPr>
                        <w:t>转账底单、电汇单、支票、汇票、本票或银行、保险机构出具的保函复印件</w:t>
                      </w:r>
                    </w:p>
                  </w:txbxContent>
                </v:textbox>
              </v:rect>
            </w:pict>
          </mc:Fallback>
        </mc:AlternateContent>
      </w:r>
    </w:p>
    <w:p w14:paraId="3284D527">
      <w:pPr>
        <w:pStyle w:val="12"/>
        <w:pageBreakBefore w:val="0"/>
        <w:kinsoku/>
        <w:wordWrap w:val="0"/>
        <w:overflowPunct/>
        <w:topLinePunct/>
        <w:autoSpaceDE w:val="0"/>
        <w:autoSpaceDN w:val="0"/>
        <w:bidi w:val="0"/>
        <w:spacing w:line="360" w:lineRule="exact"/>
        <w:rPr>
          <w:rFonts w:hAnsi="宋体"/>
          <w:highlight w:val="none"/>
        </w:rPr>
      </w:pPr>
    </w:p>
    <w:p w14:paraId="0CC99883">
      <w:pPr>
        <w:pStyle w:val="12"/>
        <w:pageBreakBefore w:val="0"/>
        <w:kinsoku/>
        <w:wordWrap w:val="0"/>
        <w:overflowPunct/>
        <w:topLinePunct/>
        <w:autoSpaceDE w:val="0"/>
        <w:autoSpaceDN w:val="0"/>
        <w:bidi w:val="0"/>
        <w:spacing w:line="360" w:lineRule="exact"/>
        <w:rPr>
          <w:rFonts w:hAnsi="宋体"/>
          <w:highlight w:val="none"/>
        </w:rPr>
      </w:pPr>
    </w:p>
    <w:p w14:paraId="75EC420D">
      <w:pPr>
        <w:pStyle w:val="12"/>
        <w:pageBreakBefore w:val="0"/>
        <w:kinsoku/>
        <w:wordWrap w:val="0"/>
        <w:overflowPunct/>
        <w:topLinePunct/>
        <w:autoSpaceDE w:val="0"/>
        <w:autoSpaceDN w:val="0"/>
        <w:bidi w:val="0"/>
        <w:spacing w:line="360" w:lineRule="exact"/>
        <w:rPr>
          <w:rFonts w:hAnsi="宋体"/>
          <w:sz w:val="44"/>
          <w:highlight w:val="none"/>
        </w:rPr>
      </w:pPr>
    </w:p>
    <w:p w14:paraId="2C39AF44">
      <w:pPr>
        <w:pStyle w:val="12"/>
        <w:pageBreakBefore w:val="0"/>
        <w:kinsoku/>
        <w:wordWrap w:val="0"/>
        <w:overflowPunct/>
        <w:topLinePunct/>
        <w:autoSpaceDE w:val="0"/>
        <w:autoSpaceDN w:val="0"/>
        <w:bidi w:val="0"/>
        <w:spacing w:line="360" w:lineRule="exact"/>
        <w:rPr>
          <w:rFonts w:hAnsi="宋体"/>
          <w:sz w:val="44"/>
          <w:highlight w:val="none"/>
        </w:rPr>
      </w:pPr>
    </w:p>
    <w:p w14:paraId="3E6D5163">
      <w:pPr>
        <w:pStyle w:val="12"/>
        <w:pageBreakBefore w:val="0"/>
        <w:kinsoku/>
        <w:wordWrap w:val="0"/>
        <w:overflowPunct/>
        <w:topLinePunct/>
        <w:autoSpaceDE w:val="0"/>
        <w:autoSpaceDN w:val="0"/>
        <w:bidi w:val="0"/>
        <w:spacing w:line="360" w:lineRule="exact"/>
        <w:rPr>
          <w:rFonts w:hAnsi="宋体"/>
          <w:sz w:val="44"/>
          <w:highlight w:val="none"/>
        </w:rPr>
      </w:pPr>
    </w:p>
    <w:p w14:paraId="5371F20E">
      <w:pPr>
        <w:pStyle w:val="12"/>
        <w:pageBreakBefore w:val="0"/>
        <w:kinsoku/>
        <w:wordWrap w:val="0"/>
        <w:overflowPunct/>
        <w:topLinePunct/>
        <w:autoSpaceDE w:val="0"/>
        <w:autoSpaceDN w:val="0"/>
        <w:bidi w:val="0"/>
        <w:spacing w:line="360" w:lineRule="exact"/>
        <w:rPr>
          <w:rFonts w:hAnsi="宋体"/>
          <w:sz w:val="44"/>
          <w:highlight w:val="none"/>
        </w:rPr>
      </w:pPr>
    </w:p>
    <w:p w14:paraId="4834E482">
      <w:pPr>
        <w:pStyle w:val="12"/>
        <w:pageBreakBefore w:val="0"/>
        <w:kinsoku/>
        <w:wordWrap w:val="0"/>
        <w:overflowPunct/>
        <w:topLinePunct/>
        <w:autoSpaceDE w:val="0"/>
        <w:autoSpaceDN w:val="0"/>
        <w:bidi w:val="0"/>
        <w:spacing w:line="360" w:lineRule="exact"/>
        <w:rPr>
          <w:rFonts w:hAnsi="宋体"/>
          <w:sz w:val="44"/>
          <w:highlight w:val="none"/>
        </w:rPr>
      </w:pPr>
    </w:p>
    <w:p w14:paraId="511DC458">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7621CD21">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74AC0E3A">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506E1D5B">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2CCF73EB">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68DC58B7">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2FFE3543">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09295410">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16944853">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189FD6A7">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bCs/>
          <w:sz w:val="24"/>
          <w:highlight w:val="none"/>
        </w:rPr>
      </w:pPr>
    </w:p>
    <w:p w14:paraId="33C32D50">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bCs/>
          <w:sz w:val="24"/>
          <w:highlight w:val="none"/>
        </w:rPr>
      </w:pPr>
    </w:p>
    <w:p w14:paraId="3B925DA9">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bCs/>
          <w:sz w:val="24"/>
          <w:highlight w:val="none"/>
        </w:rPr>
      </w:pPr>
    </w:p>
    <w:p w14:paraId="51CC71BB">
      <w:pPr>
        <w:pageBreakBefore w:val="0"/>
        <w:kinsoku/>
        <w:wordWrap w:val="0"/>
        <w:overflowPunct/>
        <w:topLinePunct/>
        <w:autoSpaceDE w:val="0"/>
        <w:autoSpaceDN w:val="0"/>
        <w:bidi w:val="0"/>
        <w:snapToGrid w:val="0"/>
        <w:spacing w:before="50" w:line="360" w:lineRule="exact"/>
        <w:jc w:val="left"/>
        <w:rPr>
          <w:rFonts w:hint="eastAsia" w:ascii="宋体" w:hAnsi="宋体"/>
          <w:b/>
          <w:sz w:val="24"/>
          <w:highlight w:val="none"/>
        </w:rPr>
        <w:sectPr>
          <w:pgSz w:w="11906" w:h="16839"/>
          <w:pgMar w:top="400" w:right="994" w:bottom="1156" w:left="1255" w:header="0" w:footer="994" w:gutter="0"/>
          <w:pgNumType w:fmt="decimal"/>
          <w:cols w:space="720" w:num="1"/>
        </w:sectPr>
      </w:pPr>
    </w:p>
    <w:p w14:paraId="337FC5C7">
      <w:pPr>
        <w:pStyle w:val="36"/>
        <w:bidi w:val="0"/>
        <w:rPr>
          <w:highlight w:val="none"/>
        </w:rPr>
      </w:pPr>
      <w:r>
        <w:rPr>
          <w:rFonts w:hint="eastAsia"/>
          <w:highlight w:val="none"/>
        </w:rPr>
        <w:t>4.商务响应表格式：</w:t>
      </w:r>
    </w:p>
    <w:p w14:paraId="0A8B7CF3">
      <w:pPr>
        <w:pStyle w:val="35"/>
        <w:bidi w:val="0"/>
        <w:rPr>
          <w:highlight w:val="none"/>
        </w:rPr>
      </w:pPr>
      <w:r>
        <w:rPr>
          <w:rFonts w:hint="eastAsia"/>
          <w:highlight w:val="none"/>
        </w:rPr>
        <w:t>商务响应表</w:t>
      </w:r>
    </w:p>
    <w:p w14:paraId="6B2D329F">
      <w:pPr>
        <w:bidi w:val="0"/>
        <w:rPr>
          <w:rFonts w:hint="default" w:eastAsia="宋体"/>
          <w:highlight w:val="none"/>
          <w:lang w:val="en-US" w:eastAsia="zh-CN"/>
        </w:rPr>
      </w:pPr>
      <w:r>
        <w:rPr>
          <w:rFonts w:hint="eastAsia"/>
          <w:highlight w:val="none"/>
          <w:lang w:val="en-US" w:eastAsia="zh-CN"/>
        </w:rPr>
        <w:t>项目名称</w:t>
      </w:r>
      <w:r>
        <w:rPr>
          <w:rFonts w:hint="eastAsia"/>
          <w:highlight w:val="none"/>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none"/>
          <w:lang w:val="en-US" w:eastAsia="zh-CN"/>
        </w:rPr>
        <w:t xml:space="preserve">                                                                    分标</w:t>
      </w:r>
      <w:r>
        <w:rPr>
          <w:rFonts w:hint="eastAsia"/>
          <w:highlight w:val="none"/>
          <w:u w:val="single"/>
          <w:lang w:val="en-US" w:eastAsia="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9"/>
        <w:gridCol w:w="2700"/>
        <w:gridCol w:w="1260"/>
        <w:gridCol w:w="3020"/>
      </w:tblGrid>
      <w:tr w14:paraId="2825A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36C19B4B">
            <w:pPr>
              <w:pStyle w:val="34"/>
              <w:bidi w:val="0"/>
              <w:jc w:val="center"/>
              <w:rPr>
                <w:rFonts w:hint="eastAsia" w:eastAsia="宋体"/>
                <w:highlight w:val="none"/>
                <w:lang w:eastAsia="zh-CN"/>
              </w:rPr>
            </w:pPr>
            <w:r>
              <w:rPr>
                <w:rFonts w:hint="eastAsia"/>
                <w:highlight w:val="none"/>
              </w:rPr>
              <w:t>项目</w:t>
            </w:r>
            <w:r>
              <w:rPr>
                <w:rFonts w:hint="eastAsia"/>
                <w:highlight w:val="none"/>
                <w:lang w:eastAsia="zh-CN"/>
              </w:rPr>
              <w:t>（</w:t>
            </w:r>
            <w:r>
              <w:rPr>
                <w:rFonts w:hint="eastAsia"/>
                <w:highlight w:val="none"/>
                <w:lang w:val="en-US" w:eastAsia="zh-CN"/>
              </w:rPr>
              <w:t>与商务条款对应</w:t>
            </w:r>
            <w:r>
              <w:rPr>
                <w:rFonts w:hint="eastAsia"/>
                <w:highlight w:val="none"/>
                <w:lang w:eastAsia="zh-CN"/>
              </w:rPr>
              <w:t>）</w:t>
            </w:r>
          </w:p>
        </w:tc>
        <w:tc>
          <w:tcPr>
            <w:tcW w:w="2700" w:type="dxa"/>
            <w:tcBorders>
              <w:top w:val="single" w:color="auto" w:sz="4" w:space="0"/>
              <w:left w:val="single" w:color="auto" w:sz="4" w:space="0"/>
              <w:bottom w:val="single" w:color="auto" w:sz="4" w:space="0"/>
              <w:right w:val="single" w:color="auto" w:sz="4" w:space="0"/>
            </w:tcBorders>
            <w:vAlign w:val="center"/>
          </w:tcPr>
          <w:p w14:paraId="163C92D3">
            <w:pPr>
              <w:pStyle w:val="34"/>
              <w:bidi w:val="0"/>
              <w:jc w:val="center"/>
              <w:rPr>
                <w:highlight w:val="none"/>
              </w:rPr>
            </w:pPr>
            <w:r>
              <w:rPr>
                <w:rFonts w:hint="eastAsia"/>
                <w:highlight w:val="none"/>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D3E921C">
            <w:pPr>
              <w:pStyle w:val="34"/>
              <w:bidi w:val="0"/>
              <w:jc w:val="center"/>
              <w:rPr>
                <w:highlight w:val="none"/>
              </w:rPr>
            </w:pPr>
            <w:r>
              <w:rPr>
                <w:rFonts w:hint="eastAsia"/>
                <w:highlight w:val="none"/>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30C8D32E">
            <w:pPr>
              <w:pStyle w:val="34"/>
              <w:bidi w:val="0"/>
              <w:jc w:val="center"/>
              <w:rPr>
                <w:highlight w:val="none"/>
              </w:rPr>
            </w:pPr>
            <w:r>
              <w:rPr>
                <w:rFonts w:hint="eastAsia"/>
                <w:highlight w:val="none"/>
              </w:rPr>
              <w:t>投标人的承诺或说明</w:t>
            </w:r>
          </w:p>
        </w:tc>
      </w:tr>
      <w:tr w14:paraId="1B590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41137C1B">
            <w:pPr>
              <w:pStyle w:val="34"/>
              <w:bidi w:val="0"/>
              <w:jc w:val="center"/>
              <w:rPr>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09A7066F">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6FC9B4">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48E906B5">
            <w:pPr>
              <w:pStyle w:val="34"/>
              <w:bidi w:val="0"/>
              <w:jc w:val="center"/>
              <w:rPr>
                <w:highlight w:val="none"/>
              </w:rPr>
            </w:pPr>
          </w:p>
        </w:tc>
      </w:tr>
      <w:tr w14:paraId="3AB6D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46A2ED40">
            <w:pPr>
              <w:pStyle w:val="34"/>
              <w:bidi w:val="0"/>
              <w:jc w:val="center"/>
              <w:rPr>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9FDDCAF">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17D30C">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691F7BB2">
            <w:pPr>
              <w:pStyle w:val="34"/>
              <w:bidi w:val="0"/>
              <w:jc w:val="center"/>
              <w:rPr>
                <w:highlight w:val="none"/>
              </w:rPr>
            </w:pPr>
          </w:p>
        </w:tc>
      </w:tr>
      <w:tr w14:paraId="62EB1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40FE09B5">
            <w:pPr>
              <w:pStyle w:val="34"/>
              <w:bidi w:val="0"/>
              <w:jc w:val="center"/>
              <w:rPr>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6F6D6124">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DCE476">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24D1B8DF">
            <w:pPr>
              <w:pStyle w:val="34"/>
              <w:bidi w:val="0"/>
              <w:jc w:val="center"/>
              <w:rPr>
                <w:highlight w:val="none"/>
              </w:rPr>
            </w:pPr>
          </w:p>
        </w:tc>
      </w:tr>
      <w:tr w14:paraId="7C728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304D481A">
            <w:pPr>
              <w:pStyle w:val="34"/>
              <w:bidi w:val="0"/>
              <w:jc w:val="center"/>
              <w:rPr>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46B72306">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F81941">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56FD1BA1">
            <w:pPr>
              <w:pStyle w:val="34"/>
              <w:bidi w:val="0"/>
              <w:jc w:val="center"/>
              <w:rPr>
                <w:highlight w:val="none"/>
              </w:rPr>
            </w:pPr>
          </w:p>
        </w:tc>
      </w:tr>
      <w:tr w14:paraId="74A7D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589E1AB0">
            <w:pPr>
              <w:pStyle w:val="34"/>
              <w:bidi w:val="0"/>
              <w:jc w:val="center"/>
              <w:rPr>
                <w:rFonts w:hint="eastAsia"/>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2F0DC511">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D2836B">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7C5F3051">
            <w:pPr>
              <w:pStyle w:val="34"/>
              <w:bidi w:val="0"/>
              <w:jc w:val="center"/>
              <w:rPr>
                <w:highlight w:val="none"/>
              </w:rPr>
            </w:pPr>
          </w:p>
        </w:tc>
      </w:tr>
      <w:tr w14:paraId="2D707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377C9079">
            <w:pPr>
              <w:pStyle w:val="34"/>
              <w:bidi w:val="0"/>
              <w:jc w:val="center"/>
              <w:rPr>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12859144">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107F4C">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7374318F">
            <w:pPr>
              <w:pStyle w:val="34"/>
              <w:bidi w:val="0"/>
              <w:jc w:val="center"/>
              <w:rPr>
                <w:highlight w:val="none"/>
              </w:rPr>
            </w:pPr>
          </w:p>
        </w:tc>
      </w:tr>
      <w:tr w14:paraId="28187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108A8B14">
            <w:pPr>
              <w:pStyle w:val="34"/>
              <w:bidi w:val="0"/>
              <w:jc w:val="center"/>
              <w:rPr>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0B1E8D10">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C16AA3">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8C75652">
            <w:pPr>
              <w:pStyle w:val="34"/>
              <w:bidi w:val="0"/>
              <w:jc w:val="center"/>
              <w:rPr>
                <w:highlight w:val="none"/>
              </w:rPr>
            </w:pPr>
          </w:p>
        </w:tc>
      </w:tr>
    </w:tbl>
    <w:p w14:paraId="3447C3BF">
      <w:pPr>
        <w:pageBreakBefore w:val="0"/>
        <w:kinsoku/>
        <w:wordWrap w:val="0"/>
        <w:overflowPunct/>
        <w:topLinePunct/>
        <w:autoSpaceDE w:val="0"/>
        <w:autoSpaceDN w:val="0"/>
        <w:bidi w:val="0"/>
        <w:snapToGrid w:val="0"/>
        <w:spacing w:before="50" w:afterLines="50" w:line="360" w:lineRule="exact"/>
        <w:jc w:val="left"/>
        <w:rPr>
          <w:rFonts w:ascii="宋体" w:hAnsi="宋体"/>
          <w:b/>
          <w:sz w:val="24"/>
          <w:highlight w:val="none"/>
        </w:rPr>
      </w:pPr>
    </w:p>
    <w:p w14:paraId="63D22B18">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195F58CD">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7E118AF5">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458AD0BD">
      <w:pPr>
        <w:pageBreakBefore w:val="0"/>
        <w:kinsoku/>
        <w:wordWrap w:val="0"/>
        <w:overflowPunct/>
        <w:topLinePunct/>
        <w:autoSpaceDE w:val="0"/>
        <w:autoSpaceDN w:val="0"/>
        <w:bidi w:val="0"/>
        <w:snapToGrid w:val="0"/>
        <w:rPr>
          <w:rFonts w:ascii="宋体" w:hAnsi="宋体"/>
          <w:sz w:val="30"/>
          <w:szCs w:val="30"/>
          <w:highlight w:val="none"/>
        </w:rPr>
      </w:pPr>
    </w:p>
    <w:p w14:paraId="06D12958">
      <w:pPr>
        <w:pageBreakBefore w:val="0"/>
        <w:kinsoku/>
        <w:wordWrap w:val="0"/>
        <w:overflowPunct/>
        <w:topLinePunct/>
        <w:autoSpaceDE w:val="0"/>
        <w:autoSpaceDN w:val="0"/>
        <w:bidi w:val="0"/>
        <w:snapToGrid w:val="0"/>
        <w:rPr>
          <w:rFonts w:ascii="宋体" w:hAnsi="宋体"/>
          <w:sz w:val="30"/>
          <w:szCs w:val="30"/>
          <w:highlight w:val="none"/>
        </w:rPr>
      </w:pPr>
    </w:p>
    <w:p w14:paraId="404AA671">
      <w:pPr>
        <w:pageBreakBefore w:val="0"/>
        <w:kinsoku/>
        <w:wordWrap w:val="0"/>
        <w:overflowPunct/>
        <w:topLinePunct/>
        <w:autoSpaceDE w:val="0"/>
        <w:autoSpaceDN w:val="0"/>
        <w:bidi w:val="0"/>
        <w:snapToGrid w:val="0"/>
        <w:spacing w:before="50" w:line="360" w:lineRule="exact"/>
        <w:jc w:val="left"/>
        <w:rPr>
          <w:rFonts w:hint="eastAsia" w:ascii="宋体" w:hAnsi="宋体"/>
          <w:b/>
          <w:sz w:val="24"/>
          <w:highlight w:val="none"/>
        </w:rPr>
        <w:sectPr>
          <w:pgSz w:w="11906" w:h="16839"/>
          <w:pgMar w:top="400" w:right="994" w:bottom="1156" w:left="1255" w:header="0" w:footer="994" w:gutter="0"/>
          <w:pgNumType w:fmt="decimal"/>
          <w:cols w:space="720" w:num="1"/>
        </w:sectPr>
      </w:pPr>
    </w:p>
    <w:p w14:paraId="3C9014C7">
      <w:pPr>
        <w:pStyle w:val="36"/>
        <w:bidi w:val="0"/>
        <w:rPr>
          <w:highlight w:val="none"/>
        </w:rPr>
      </w:pPr>
      <w:r>
        <w:rPr>
          <w:rFonts w:hint="eastAsia"/>
          <w:highlight w:val="none"/>
        </w:rPr>
        <w:t xml:space="preserve">5. </w:t>
      </w:r>
      <w:r>
        <w:rPr>
          <w:highlight w:val="none"/>
        </w:rPr>
        <w:t>代理服务费承诺书</w:t>
      </w:r>
      <w:r>
        <w:rPr>
          <w:rFonts w:hint="eastAsia"/>
          <w:highlight w:val="none"/>
        </w:rPr>
        <w:t>格式</w:t>
      </w:r>
    </w:p>
    <w:p w14:paraId="45669ADE">
      <w:pPr>
        <w:bidi w:val="0"/>
        <w:rPr>
          <w:highlight w:val="none"/>
        </w:rPr>
      </w:pPr>
      <w:r>
        <w:rPr>
          <w:highlight w:val="none"/>
        </w:rPr>
        <w:t>致：</w:t>
      </w:r>
      <w:r>
        <w:rPr>
          <w:rFonts w:hint="eastAsia"/>
          <w:highlight w:val="none"/>
        </w:rPr>
        <w:t>广西德元工程项目管理有限责任公司</w:t>
      </w:r>
    </w:p>
    <w:p w14:paraId="0339BD28">
      <w:pPr>
        <w:bidi w:val="0"/>
        <w:rPr>
          <w:highlight w:val="none"/>
        </w:rPr>
      </w:pPr>
      <w:r>
        <w:rPr>
          <w:highlight w:val="none"/>
        </w:rPr>
        <w:t>我单位参加了贵方组织的采购项目</w:t>
      </w:r>
      <w:r>
        <w:rPr>
          <w:rFonts w:hint="eastAsia"/>
          <w:highlight w:val="none"/>
          <w:u w:val="single"/>
          <w:lang w:val="en-US" w:eastAsia="zh-CN"/>
        </w:rPr>
        <w:t xml:space="preserve">               </w:t>
      </w:r>
      <w:r>
        <w:rPr>
          <w:rFonts w:hint="eastAsia"/>
          <w:highlight w:val="none"/>
        </w:rPr>
        <w:t>（</w:t>
      </w:r>
      <w:r>
        <w:rPr>
          <w:rFonts w:hint="eastAsia"/>
          <w:highlight w:val="none"/>
          <w:lang w:val="en-US" w:eastAsia="zh-CN"/>
        </w:rPr>
        <w:t>项目</w:t>
      </w:r>
      <w:r>
        <w:rPr>
          <w:highlight w:val="none"/>
        </w:rPr>
        <w:t>编号</w:t>
      </w:r>
      <w:r>
        <w:rPr>
          <w:rFonts w:hint="eastAsia"/>
          <w:highlight w:val="none"/>
          <w:lang w:eastAsia="zh-CN"/>
        </w:rPr>
        <w:t>：</w:t>
      </w:r>
      <w:r>
        <w:rPr>
          <w:rFonts w:hint="eastAsia"/>
          <w:highlight w:val="none"/>
          <w:u w:val="single"/>
        </w:rPr>
        <w:t xml:space="preserve">                        </w:t>
      </w:r>
      <w:r>
        <w:rPr>
          <w:rFonts w:hint="eastAsia"/>
          <w:highlight w:val="none"/>
        </w:rPr>
        <w:t>）</w:t>
      </w:r>
      <w:r>
        <w:rPr>
          <w:rFonts w:hint="eastAsia"/>
          <w:highlight w:val="none"/>
          <w:u w:val="none"/>
          <w:lang w:val="en-US" w:eastAsia="zh-CN"/>
        </w:rPr>
        <w:t>分标</w:t>
      </w:r>
      <w:r>
        <w:rPr>
          <w:rFonts w:hint="eastAsia"/>
          <w:highlight w:val="none"/>
          <w:u w:val="single"/>
          <w:lang w:val="en-US" w:eastAsia="zh-CN"/>
        </w:rPr>
        <w:t xml:space="preserve">：      </w:t>
      </w:r>
      <w:r>
        <w:rPr>
          <w:highlight w:val="none"/>
        </w:rPr>
        <w:t>的</w:t>
      </w:r>
      <w:r>
        <w:rPr>
          <w:rFonts w:hint="eastAsia"/>
          <w:highlight w:val="none"/>
        </w:rPr>
        <w:t>投标</w:t>
      </w:r>
      <w:r>
        <w:rPr>
          <w:highlight w:val="none"/>
        </w:rPr>
        <w:t>，并递交了</w:t>
      </w:r>
      <w:r>
        <w:rPr>
          <w:rFonts w:hint="eastAsia"/>
          <w:highlight w:val="none"/>
        </w:rPr>
        <w:t>投标</w:t>
      </w:r>
      <w:r>
        <w:rPr>
          <w:highlight w:val="none"/>
        </w:rPr>
        <w:t>保证金</w:t>
      </w:r>
      <w:r>
        <w:rPr>
          <w:rFonts w:hint="eastAsia"/>
          <w:highlight w:val="none"/>
          <w:u w:val="single"/>
          <w:lang w:val="en-US" w:eastAsia="zh-CN"/>
        </w:rPr>
        <w:t xml:space="preserve">大写        </w:t>
      </w:r>
      <w:r>
        <w:rPr>
          <w:highlight w:val="none"/>
          <w:u w:val="single"/>
        </w:rPr>
        <w:t>（¥</w:t>
      </w:r>
      <w:r>
        <w:rPr>
          <w:rFonts w:hint="eastAsia"/>
          <w:highlight w:val="none"/>
          <w:u w:val="single"/>
        </w:rPr>
        <w:t xml:space="preserve">          </w:t>
      </w:r>
      <w:r>
        <w:rPr>
          <w:highlight w:val="none"/>
          <w:u w:val="single"/>
        </w:rPr>
        <w:t xml:space="preserve"> ）</w:t>
      </w:r>
      <w:r>
        <w:rPr>
          <w:highlight w:val="none"/>
        </w:rPr>
        <w:t>，在此我方说明如下：</w:t>
      </w:r>
    </w:p>
    <w:p w14:paraId="5E12E5FC">
      <w:pPr>
        <w:bidi w:val="0"/>
        <w:rPr>
          <w:rFonts w:hint="eastAsia"/>
          <w:highlight w:val="none"/>
        </w:rPr>
      </w:pPr>
      <w:r>
        <w:rPr>
          <w:highlight w:val="none"/>
        </w:rPr>
        <w:t>1．我方承诺，若我单位中标，保证在领取</w:t>
      </w:r>
      <w:r>
        <w:rPr>
          <w:rFonts w:hint="eastAsia"/>
          <w:highlight w:val="none"/>
        </w:rPr>
        <w:t>中标</w:t>
      </w:r>
      <w:r>
        <w:rPr>
          <w:highlight w:val="none"/>
        </w:rPr>
        <w:t>通知书之前，按本项目</w:t>
      </w:r>
      <w:r>
        <w:rPr>
          <w:rFonts w:hint="eastAsia"/>
          <w:highlight w:val="none"/>
        </w:rPr>
        <w:t>招标</w:t>
      </w:r>
      <w:r>
        <w:rPr>
          <w:highlight w:val="none"/>
        </w:rPr>
        <w:t>文件的规定</w:t>
      </w:r>
      <w:r>
        <w:rPr>
          <w:rFonts w:hint="eastAsia"/>
          <w:highlight w:val="none"/>
          <w:lang w:val="en-US" w:eastAsia="zh-CN"/>
        </w:rPr>
        <w:t>按</w:t>
      </w:r>
      <w:r>
        <w:rPr>
          <w:highlight w:val="none"/>
        </w:rPr>
        <w:t>一次性足额缴纳代理服务费标准向贵单位支付代理服务费。如我单位未按规定缴纳代理服务费，贵方可不退还我单位提交的</w:t>
      </w:r>
      <w:r>
        <w:rPr>
          <w:rFonts w:hint="eastAsia"/>
          <w:highlight w:val="none"/>
        </w:rPr>
        <w:t>投标</w:t>
      </w:r>
      <w:r>
        <w:rPr>
          <w:highlight w:val="none"/>
        </w:rPr>
        <w:t>保证金，并从中扣除代理服务费，余款按</w:t>
      </w:r>
      <w:r>
        <w:rPr>
          <w:rFonts w:hint="eastAsia"/>
          <w:highlight w:val="none"/>
          <w:lang w:val="en-US" w:eastAsia="zh-CN"/>
        </w:rPr>
        <w:t>原路</w:t>
      </w:r>
      <w:r>
        <w:rPr>
          <w:highlight w:val="none"/>
        </w:rPr>
        <w:t>账户退回。</w:t>
      </w:r>
    </w:p>
    <w:p w14:paraId="0A1ED38A">
      <w:pPr>
        <w:bidi w:val="0"/>
        <w:rPr>
          <w:highlight w:val="none"/>
        </w:rPr>
      </w:pPr>
      <w:r>
        <w:rPr>
          <w:rFonts w:hint="eastAsia"/>
          <w:highlight w:val="none"/>
          <w:lang w:val="en-US" w:eastAsia="zh-CN"/>
        </w:rPr>
        <w:t>2</w:t>
      </w:r>
      <w:r>
        <w:rPr>
          <w:highlight w:val="none"/>
        </w:rPr>
        <w:t>．如果我单位未遵守有关</w:t>
      </w:r>
      <w:r>
        <w:rPr>
          <w:rFonts w:hint="eastAsia"/>
          <w:highlight w:val="none"/>
        </w:rPr>
        <w:t>招标</w:t>
      </w:r>
      <w:r>
        <w:rPr>
          <w:highlight w:val="none"/>
        </w:rPr>
        <w:t>文件关于</w:t>
      </w:r>
      <w:r>
        <w:rPr>
          <w:rFonts w:hint="eastAsia"/>
          <w:highlight w:val="none"/>
        </w:rPr>
        <w:t>投标</w:t>
      </w:r>
      <w:r>
        <w:rPr>
          <w:highlight w:val="none"/>
        </w:rPr>
        <w:t>保证金的规定，贵方可以没收我单位</w:t>
      </w:r>
      <w:r>
        <w:rPr>
          <w:rFonts w:hint="eastAsia"/>
          <w:highlight w:val="none"/>
        </w:rPr>
        <w:t>投标</w:t>
      </w:r>
      <w:r>
        <w:rPr>
          <w:highlight w:val="none"/>
        </w:rPr>
        <w:t>保证金。</w:t>
      </w:r>
    </w:p>
    <w:p w14:paraId="2F6AFABE">
      <w:pPr>
        <w:bidi w:val="0"/>
        <w:rPr>
          <w:highlight w:val="none"/>
        </w:rPr>
      </w:pPr>
      <w:r>
        <w:rPr>
          <w:rFonts w:hint="eastAsia"/>
          <w:highlight w:val="none"/>
          <w:lang w:val="en-US" w:eastAsia="zh-CN"/>
        </w:rPr>
        <w:t>3</w:t>
      </w:r>
      <w:r>
        <w:rPr>
          <w:highlight w:val="none"/>
        </w:rPr>
        <w:t>. 我单位选择第</w:t>
      </w:r>
      <w:r>
        <w:rPr>
          <w:rFonts w:hint="eastAsia"/>
          <w:highlight w:val="none"/>
        </w:rPr>
        <w:t xml:space="preserve">   </w:t>
      </w:r>
      <w:r>
        <w:rPr>
          <w:highlight w:val="none"/>
        </w:rPr>
        <w:t>种方式作为代理服务费开票类型：</w:t>
      </w:r>
    </w:p>
    <w:p w14:paraId="13151B82">
      <w:pPr>
        <w:bidi w:val="0"/>
        <w:rPr>
          <w:highlight w:val="none"/>
        </w:rPr>
      </w:pPr>
      <w:r>
        <w:rPr>
          <w:highlight w:val="none"/>
        </w:rPr>
        <w:t>第一种方式：开具增值税普通发票。开票信息如下：</w:t>
      </w:r>
    </w:p>
    <w:p w14:paraId="265DA8DE">
      <w:pPr>
        <w:bidi w:val="0"/>
        <w:rPr>
          <w:highlight w:val="none"/>
        </w:rPr>
      </w:pPr>
      <w:r>
        <w:rPr>
          <w:highlight w:val="none"/>
        </w:rPr>
        <w:t>1.公司名称</w:t>
      </w:r>
      <w:r>
        <w:rPr>
          <w:rFonts w:hint="eastAsia"/>
          <w:highlight w:val="none"/>
        </w:rPr>
        <w:t xml:space="preserve">                  </w:t>
      </w:r>
      <w:r>
        <w:rPr>
          <w:highlight w:val="none"/>
        </w:rPr>
        <w:t>；2.纳税人识别号</w:t>
      </w:r>
      <w:r>
        <w:rPr>
          <w:rFonts w:hint="eastAsia"/>
          <w:highlight w:val="none"/>
        </w:rPr>
        <w:t xml:space="preserve">                  </w:t>
      </w:r>
      <w:r>
        <w:rPr>
          <w:highlight w:val="none"/>
        </w:rPr>
        <w:t>；</w:t>
      </w:r>
    </w:p>
    <w:p w14:paraId="11616DC0">
      <w:pPr>
        <w:bidi w:val="0"/>
        <w:rPr>
          <w:highlight w:val="none"/>
        </w:rPr>
      </w:pPr>
      <w:r>
        <w:rPr>
          <w:highlight w:val="none"/>
        </w:rPr>
        <w:t>第</w:t>
      </w:r>
      <w:r>
        <w:rPr>
          <w:rFonts w:hint="eastAsia"/>
          <w:highlight w:val="none"/>
          <w:lang w:val="en-US" w:eastAsia="zh-CN"/>
        </w:rPr>
        <w:t>二</w:t>
      </w:r>
      <w:r>
        <w:rPr>
          <w:highlight w:val="none"/>
        </w:rPr>
        <w:t>种方式：开具增值税专用发票，开票信息如下：</w:t>
      </w:r>
    </w:p>
    <w:p w14:paraId="3B16EABF">
      <w:pPr>
        <w:bidi w:val="0"/>
        <w:rPr>
          <w:rFonts w:hint="eastAsia"/>
          <w:highlight w:val="none"/>
        </w:rPr>
      </w:pPr>
      <w:r>
        <w:rPr>
          <w:highlight w:val="none"/>
        </w:rPr>
        <w:t>1.公司名称</w:t>
      </w:r>
      <w:r>
        <w:rPr>
          <w:rFonts w:hint="eastAsia"/>
          <w:highlight w:val="none"/>
        </w:rPr>
        <w:t xml:space="preserve">                  </w:t>
      </w:r>
      <w:r>
        <w:rPr>
          <w:highlight w:val="none"/>
        </w:rPr>
        <w:t>；2.纳税人识别号</w:t>
      </w:r>
      <w:r>
        <w:rPr>
          <w:rFonts w:hint="eastAsia"/>
          <w:highlight w:val="none"/>
        </w:rPr>
        <w:t xml:space="preserve">                  </w:t>
      </w:r>
      <w:r>
        <w:rPr>
          <w:highlight w:val="none"/>
        </w:rPr>
        <w:t>；3.税局登记地址</w:t>
      </w:r>
      <w:r>
        <w:rPr>
          <w:rFonts w:hint="eastAsia"/>
          <w:highlight w:val="none"/>
        </w:rPr>
        <w:t xml:space="preserve">                  </w:t>
      </w:r>
      <w:r>
        <w:rPr>
          <w:highlight w:val="none"/>
        </w:rPr>
        <w:t>；4.税局登记电话</w:t>
      </w:r>
      <w:r>
        <w:rPr>
          <w:rFonts w:hint="eastAsia"/>
          <w:highlight w:val="none"/>
        </w:rPr>
        <w:t xml:space="preserve">                  </w:t>
      </w:r>
      <w:r>
        <w:rPr>
          <w:highlight w:val="none"/>
        </w:rPr>
        <w:t>；5.开户银行</w:t>
      </w:r>
      <w:r>
        <w:rPr>
          <w:rFonts w:hint="eastAsia"/>
          <w:highlight w:val="none"/>
        </w:rPr>
        <w:t xml:space="preserve">                  </w:t>
      </w:r>
      <w:r>
        <w:rPr>
          <w:highlight w:val="none"/>
        </w:rPr>
        <w:t>；6.银行账户</w:t>
      </w:r>
      <w:r>
        <w:rPr>
          <w:rFonts w:hint="eastAsia"/>
          <w:highlight w:val="none"/>
        </w:rPr>
        <w:t xml:space="preserve">                  </w:t>
      </w:r>
      <w:r>
        <w:rPr>
          <w:highlight w:val="none"/>
        </w:rPr>
        <w:t>。</w:t>
      </w:r>
    </w:p>
    <w:p w14:paraId="1AE94B32">
      <w:pPr>
        <w:pageBreakBefore w:val="0"/>
        <w:kinsoku/>
        <w:wordWrap w:val="0"/>
        <w:overflowPunct/>
        <w:topLinePunct/>
        <w:autoSpaceDE w:val="0"/>
        <w:autoSpaceDN w:val="0"/>
        <w:bidi w:val="0"/>
        <w:snapToGrid w:val="0"/>
        <w:spacing w:before="50" w:afterLines="50" w:line="360" w:lineRule="exact"/>
        <w:jc w:val="left"/>
        <w:rPr>
          <w:rFonts w:hint="eastAsia" w:ascii="宋体" w:hAnsi="宋体"/>
          <w:b/>
          <w:sz w:val="24"/>
          <w:highlight w:val="none"/>
        </w:rPr>
      </w:pPr>
    </w:p>
    <w:p w14:paraId="1F5F09B7">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20A418EC">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230D2E13">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170C7920">
      <w:pPr>
        <w:pageBreakBefore w:val="0"/>
        <w:kinsoku/>
        <w:wordWrap w:val="0"/>
        <w:overflowPunct/>
        <w:topLinePunct/>
        <w:autoSpaceDE w:val="0"/>
        <w:autoSpaceDN w:val="0"/>
        <w:bidi w:val="0"/>
        <w:snapToGrid w:val="0"/>
        <w:spacing w:before="50" w:afterLines="50" w:line="360" w:lineRule="exact"/>
        <w:ind w:left="0" w:leftChars="0" w:firstLine="0" w:firstLineChars="0"/>
        <w:jc w:val="left"/>
        <w:rPr>
          <w:rFonts w:hint="eastAsia" w:ascii="宋体" w:hAnsi="宋体"/>
          <w:b/>
          <w:sz w:val="24"/>
          <w:highlight w:val="none"/>
        </w:rPr>
      </w:pPr>
    </w:p>
    <w:p w14:paraId="65AB2E6D">
      <w:pPr>
        <w:pageBreakBefore w:val="0"/>
        <w:kinsoku/>
        <w:wordWrap w:val="0"/>
        <w:overflowPunct/>
        <w:topLinePunct/>
        <w:autoSpaceDE w:val="0"/>
        <w:autoSpaceDN w:val="0"/>
        <w:bidi w:val="0"/>
        <w:snapToGrid w:val="0"/>
        <w:spacing w:before="50" w:afterLines="50" w:line="360" w:lineRule="exact"/>
        <w:jc w:val="left"/>
        <w:rPr>
          <w:rFonts w:hint="eastAsia" w:ascii="宋体" w:hAnsi="宋体"/>
          <w:b/>
          <w:sz w:val="24"/>
          <w:highlight w:val="none"/>
        </w:rPr>
        <w:sectPr>
          <w:pgSz w:w="11906" w:h="16839"/>
          <w:pgMar w:top="400" w:right="994" w:bottom="1156" w:left="1255" w:header="0" w:footer="994" w:gutter="0"/>
          <w:pgNumType w:fmt="decimal"/>
          <w:cols w:space="720" w:num="1"/>
        </w:sectPr>
      </w:pPr>
    </w:p>
    <w:p w14:paraId="1C1E73B7">
      <w:pPr>
        <w:pStyle w:val="36"/>
        <w:bidi w:val="0"/>
        <w:rPr>
          <w:highlight w:val="none"/>
        </w:rPr>
      </w:pPr>
      <w:r>
        <w:rPr>
          <w:rFonts w:hint="eastAsia"/>
          <w:highlight w:val="none"/>
        </w:rPr>
        <w:t>6.投标人同类项目业绩证明：</w:t>
      </w:r>
    </w:p>
    <w:p w14:paraId="0B89D5F5">
      <w:pPr>
        <w:bidi w:val="0"/>
        <w:rPr>
          <w:highlight w:val="none"/>
        </w:rPr>
      </w:pPr>
      <w:r>
        <w:rPr>
          <w:rFonts w:hint="eastAsia"/>
          <w:highlight w:val="none"/>
        </w:rPr>
        <w:t>投标人同类项目业绩一览表格式：（</w:t>
      </w:r>
      <w:r>
        <w:rPr>
          <w:rFonts w:hint="eastAsia"/>
          <w:highlight w:val="none"/>
          <w:lang w:val="en-US" w:eastAsia="zh-CN"/>
        </w:rPr>
        <w:t>本表为参考格式，供应商可根据需要</w:t>
      </w:r>
      <w:r>
        <w:rPr>
          <w:rFonts w:hint="eastAsia"/>
          <w:highlight w:val="none"/>
        </w:rPr>
        <w:t>自拟格式）</w:t>
      </w:r>
    </w:p>
    <w:tbl>
      <w:tblPr>
        <w:tblStyle w:val="24"/>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9"/>
        <w:gridCol w:w="2120"/>
        <w:gridCol w:w="1794"/>
        <w:gridCol w:w="1590"/>
        <w:gridCol w:w="2205"/>
      </w:tblGrid>
      <w:tr w14:paraId="5F2EB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1829" w:type="dxa"/>
            <w:vMerge w:val="restart"/>
            <w:tcBorders>
              <w:top w:val="single" w:color="auto" w:sz="4" w:space="0"/>
              <w:left w:val="single" w:color="auto" w:sz="4" w:space="0"/>
              <w:bottom w:val="single" w:color="auto" w:sz="4" w:space="0"/>
              <w:right w:val="single" w:color="auto" w:sz="4" w:space="0"/>
            </w:tcBorders>
            <w:vAlign w:val="center"/>
          </w:tcPr>
          <w:p w14:paraId="0A5BF248">
            <w:pPr>
              <w:pStyle w:val="34"/>
              <w:bidi w:val="0"/>
              <w:rPr>
                <w:highlight w:val="none"/>
              </w:rPr>
            </w:pPr>
            <w:r>
              <w:rPr>
                <w:rFonts w:hint="eastAsia"/>
                <w:highlight w:val="none"/>
              </w:rPr>
              <w:t>采购单位名称</w:t>
            </w:r>
          </w:p>
        </w:tc>
        <w:tc>
          <w:tcPr>
            <w:tcW w:w="2120" w:type="dxa"/>
            <w:vMerge w:val="restart"/>
            <w:tcBorders>
              <w:top w:val="single" w:color="auto" w:sz="4" w:space="0"/>
              <w:left w:val="single" w:color="auto" w:sz="4" w:space="0"/>
              <w:bottom w:val="single" w:color="auto" w:sz="4" w:space="0"/>
              <w:right w:val="single" w:color="auto" w:sz="4" w:space="0"/>
            </w:tcBorders>
            <w:vAlign w:val="center"/>
          </w:tcPr>
          <w:p w14:paraId="2FB3CD3E">
            <w:pPr>
              <w:pStyle w:val="34"/>
              <w:bidi w:val="0"/>
              <w:rPr>
                <w:highlight w:val="none"/>
              </w:rPr>
            </w:pPr>
            <w:r>
              <w:rPr>
                <w:rFonts w:hint="eastAsia"/>
                <w:highlight w:val="none"/>
              </w:rPr>
              <w:t>设备或项目名称</w:t>
            </w:r>
          </w:p>
        </w:tc>
        <w:tc>
          <w:tcPr>
            <w:tcW w:w="1794" w:type="dxa"/>
            <w:vMerge w:val="restart"/>
            <w:tcBorders>
              <w:top w:val="single" w:color="auto" w:sz="4" w:space="0"/>
              <w:left w:val="single" w:color="auto" w:sz="4" w:space="0"/>
              <w:bottom w:val="single" w:color="auto" w:sz="4" w:space="0"/>
              <w:right w:val="single" w:color="auto" w:sz="4" w:space="0"/>
            </w:tcBorders>
            <w:vAlign w:val="center"/>
          </w:tcPr>
          <w:p w14:paraId="2C3FC4FB">
            <w:pPr>
              <w:pStyle w:val="34"/>
              <w:bidi w:val="0"/>
              <w:rPr>
                <w:highlight w:val="none"/>
              </w:rPr>
            </w:pPr>
            <w:r>
              <w:rPr>
                <w:rFonts w:hint="eastAsia"/>
                <w:highlight w:val="none"/>
              </w:rPr>
              <w:t>采购</w:t>
            </w:r>
          </w:p>
          <w:p w14:paraId="5E6116C2">
            <w:pPr>
              <w:pStyle w:val="34"/>
              <w:bidi w:val="0"/>
              <w:rPr>
                <w:highlight w:val="none"/>
              </w:rPr>
            </w:pPr>
            <w:r>
              <w:rPr>
                <w:rFonts w:hint="eastAsia"/>
                <w:highlight w:val="none"/>
              </w:rPr>
              <w:t>数量</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18E7CD39">
            <w:pPr>
              <w:pStyle w:val="34"/>
              <w:bidi w:val="0"/>
              <w:rPr>
                <w:highlight w:val="none"/>
              </w:rPr>
            </w:pPr>
            <w:r>
              <w:rPr>
                <w:rFonts w:hint="eastAsia"/>
                <w:highlight w:val="none"/>
              </w:rPr>
              <w:t>合同</w:t>
            </w:r>
          </w:p>
          <w:p w14:paraId="501FE903">
            <w:pPr>
              <w:pStyle w:val="34"/>
              <w:bidi w:val="0"/>
              <w:rPr>
                <w:highlight w:val="none"/>
              </w:rPr>
            </w:pPr>
            <w:r>
              <w:rPr>
                <w:rFonts w:hint="eastAsia"/>
                <w:highlight w:val="none"/>
              </w:rPr>
              <w:t>金额</w:t>
            </w:r>
          </w:p>
          <w:p w14:paraId="32A87610">
            <w:pPr>
              <w:pStyle w:val="34"/>
              <w:bidi w:val="0"/>
              <w:rPr>
                <w:highlight w:val="none"/>
              </w:rPr>
            </w:pPr>
            <w:r>
              <w:rPr>
                <w:rFonts w:hint="eastAsia"/>
                <w:highlight w:val="none"/>
              </w:rPr>
              <w:t>（万元）</w:t>
            </w:r>
          </w:p>
        </w:tc>
        <w:tc>
          <w:tcPr>
            <w:tcW w:w="2205" w:type="dxa"/>
            <w:vMerge w:val="restart"/>
            <w:tcBorders>
              <w:top w:val="single" w:color="auto" w:sz="4" w:space="0"/>
              <w:left w:val="single" w:color="auto" w:sz="4" w:space="0"/>
              <w:bottom w:val="single" w:color="auto" w:sz="4" w:space="0"/>
              <w:right w:val="single" w:color="auto" w:sz="4" w:space="0"/>
            </w:tcBorders>
            <w:vAlign w:val="center"/>
          </w:tcPr>
          <w:p w14:paraId="51EA4207">
            <w:pPr>
              <w:pStyle w:val="34"/>
              <w:bidi w:val="0"/>
              <w:rPr>
                <w:highlight w:val="none"/>
              </w:rPr>
            </w:pPr>
            <w:r>
              <w:rPr>
                <w:rFonts w:hint="eastAsia"/>
                <w:highlight w:val="none"/>
              </w:rPr>
              <w:t>采购单位联系人及</w:t>
            </w:r>
          </w:p>
          <w:p w14:paraId="09B7CA14">
            <w:pPr>
              <w:pStyle w:val="34"/>
              <w:bidi w:val="0"/>
              <w:rPr>
                <w:highlight w:val="none"/>
              </w:rPr>
            </w:pPr>
            <w:r>
              <w:rPr>
                <w:rFonts w:hint="eastAsia"/>
                <w:highlight w:val="none"/>
              </w:rPr>
              <w:t>联系电话</w:t>
            </w:r>
          </w:p>
        </w:tc>
      </w:tr>
      <w:tr w14:paraId="77964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5" w:hRule="atLeast"/>
          <w:jc w:val="center"/>
        </w:trPr>
        <w:tc>
          <w:tcPr>
            <w:tcW w:w="1829" w:type="dxa"/>
            <w:vMerge w:val="continue"/>
            <w:tcBorders>
              <w:top w:val="single" w:color="auto" w:sz="4" w:space="0"/>
              <w:left w:val="single" w:color="auto" w:sz="4" w:space="0"/>
              <w:bottom w:val="single" w:color="auto" w:sz="4" w:space="0"/>
              <w:right w:val="single" w:color="auto" w:sz="4" w:space="0"/>
            </w:tcBorders>
            <w:vAlign w:val="center"/>
          </w:tcPr>
          <w:p w14:paraId="52891E41">
            <w:pPr>
              <w:pStyle w:val="34"/>
              <w:bidi w:val="0"/>
              <w:rPr>
                <w:highlight w:val="none"/>
              </w:rPr>
            </w:pPr>
          </w:p>
        </w:tc>
        <w:tc>
          <w:tcPr>
            <w:tcW w:w="2120" w:type="dxa"/>
            <w:vMerge w:val="continue"/>
            <w:tcBorders>
              <w:top w:val="single" w:color="auto" w:sz="4" w:space="0"/>
              <w:left w:val="single" w:color="auto" w:sz="4" w:space="0"/>
              <w:bottom w:val="single" w:color="auto" w:sz="4" w:space="0"/>
              <w:right w:val="single" w:color="auto" w:sz="4" w:space="0"/>
            </w:tcBorders>
            <w:vAlign w:val="center"/>
          </w:tcPr>
          <w:p w14:paraId="69948AAE">
            <w:pPr>
              <w:pStyle w:val="34"/>
              <w:bidi w:val="0"/>
              <w:rPr>
                <w:highlight w:val="none"/>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75C41380">
            <w:pPr>
              <w:pStyle w:val="34"/>
              <w:bidi w:val="0"/>
              <w:rPr>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28ED3A65">
            <w:pPr>
              <w:pStyle w:val="34"/>
              <w:bidi w:val="0"/>
              <w:rPr>
                <w:highlight w:val="none"/>
              </w:rPr>
            </w:pPr>
          </w:p>
        </w:tc>
        <w:tc>
          <w:tcPr>
            <w:tcW w:w="2205" w:type="dxa"/>
            <w:vMerge w:val="continue"/>
            <w:tcBorders>
              <w:top w:val="single" w:color="auto" w:sz="4" w:space="0"/>
              <w:left w:val="single" w:color="auto" w:sz="4" w:space="0"/>
              <w:bottom w:val="single" w:color="auto" w:sz="4" w:space="0"/>
              <w:right w:val="single" w:color="auto" w:sz="4" w:space="0"/>
            </w:tcBorders>
            <w:vAlign w:val="center"/>
          </w:tcPr>
          <w:p w14:paraId="7DD53AE3">
            <w:pPr>
              <w:pStyle w:val="34"/>
              <w:bidi w:val="0"/>
              <w:rPr>
                <w:highlight w:val="none"/>
              </w:rPr>
            </w:pPr>
          </w:p>
        </w:tc>
      </w:tr>
      <w:tr w14:paraId="4E8C5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829" w:type="dxa"/>
            <w:tcBorders>
              <w:top w:val="single" w:color="auto" w:sz="4" w:space="0"/>
              <w:left w:val="single" w:color="auto" w:sz="4" w:space="0"/>
              <w:bottom w:val="single" w:color="auto" w:sz="4" w:space="0"/>
              <w:right w:val="single" w:color="auto" w:sz="4" w:space="0"/>
            </w:tcBorders>
          </w:tcPr>
          <w:p w14:paraId="1FE2B2C1">
            <w:pPr>
              <w:pStyle w:val="34"/>
              <w:bidi w:val="0"/>
              <w:rPr>
                <w:highlight w:val="none"/>
              </w:rPr>
            </w:pPr>
          </w:p>
        </w:tc>
        <w:tc>
          <w:tcPr>
            <w:tcW w:w="2120" w:type="dxa"/>
            <w:tcBorders>
              <w:top w:val="single" w:color="auto" w:sz="4" w:space="0"/>
              <w:left w:val="single" w:color="auto" w:sz="4" w:space="0"/>
              <w:bottom w:val="single" w:color="auto" w:sz="4" w:space="0"/>
              <w:right w:val="single" w:color="auto" w:sz="4" w:space="0"/>
            </w:tcBorders>
          </w:tcPr>
          <w:p w14:paraId="4D6F3E9A">
            <w:pPr>
              <w:pStyle w:val="34"/>
              <w:bidi w:val="0"/>
              <w:rPr>
                <w:highlight w:val="none"/>
              </w:rPr>
            </w:pPr>
          </w:p>
        </w:tc>
        <w:tc>
          <w:tcPr>
            <w:tcW w:w="1794" w:type="dxa"/>
            <w:tcBorders>
              <w:top w:val="single" w:color="auto" w:sz="4" w:space="0"/>
              <w:left w:val="single" w:color="auto" w:sz="4" w:space="0"/>
              <w:bottom w:val="single" w:color="auto" w:sz="4" w:space="0"/>
              <w:right w:val="single" w:color="auto" w:sz="4" w:space="0"/>
            </w:tcBorders>
          </w:tcPr>
          <w:p w14:paraId="01DC7225">
            <w:pPr>
              <w:pStyle w:val="34"/>
              <w:bidi w:val="0"/>
              <w:rPr>
                <w:highlight w:val="none"/>
              </w:rPr>
            </w:pPr>
          </w:p>
        </w:tc>
        <w:tc>
          <w:tcPr>
            <w:tcW w:w="1590" w:type="dxa"/>
            <w:tcBorders>
              <w:top w:val="single" w:color="auto" w:sz="4" w:space="0"/>
              <w:left w:val="single" w:color="auto" w:sz="4" w:space="0"/>
              <w:bottom w:val="single" w:color="auto" w:sz="4" w:space="0"/>
              <w:right w:val="single" w:color="auto" w:sz="4" w:space="0"/>
            </w:tcBorders>
          </w:tcPr>
          <w:p w14:paraId="3E1114D9">
            <w:pPr>
              <w:pStyle w:val="34"/>
              <w:bidi w:val="0"/>
              <w:rPr>
                <w:highlight w:val="none"/>
              </w:rPr>
            </w:pPr>
          </w:p>
        </w:tc>
        <w:tc>
          <w:tcPr>
            <w:tcW w:w="2205" w:type="dxa"/>
            <w:tcBorders>
              <w:top w:val="single" w:color="auto" w:sz="4" w:space="0"/>
              <w:left w:val="single" w:color="auto" w:sz="4" w:space="0"/>
              <w:bottom w:val="single" w:color="auto" w:sz="4" w:space="0"/>
              <w:right w:val="single" w:color="auto" w:sz="4" w:space="0"/>
            </w:tcBorders>
          </w:tcPr>
          <w:p w14:paraId="21B66889">
            <w:pPr>
              <w:pStyle w:val="34"/>
              <w:bidi w:val="0"/>
              <w:rPr>
                <w:highlight w:val="none"/>
              </w:rPr>
            </w:pPr>
          </w:p>
        </w:tc>
      </w:tr>
      <w:tr w14:paraId="1AC4A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829" w:type="dxa"/>
            <w:tcBorders>
              <w:top w:val="single" w:color="auto" w:sz="4" w:space="0"/>
              <w:left w:val="single" w:color="auto" w:sz="4" w:space="0"/>
              <w:bottom w:val="single" w:color="auto" w:sz="4" w:space="0"/>
              <w:right w:val="single" w:color="auto" w:sz="4" w:space="0"/>
            </w:tcBorders>
          </w:tcPr>
          <w:p w14:paraId="547270A8">
            <w:pPr>
              <w:pStyle w:val="34"/>
              <w:bidi w:val="0"/>
              <w:rPr>
                <w:highlight w:val="none"/>
              </w:rPr>
            </w:pPr>
          </w:p>
        </w:tc>
        <w:tc>
          <w:tcPr>
            <w:tcW w:w="2120" w:type="dxa"/>
            <w:tcBorders>
              <w:top w:val="single" w:color="auto" w:sz="4" w:space="0"/>
              <w:left w:val="single" w:color="auto" w:sz="4" w:space="0"/>
              <w:bottom w:val="single" w:color="auto" w:sz="4" w:space="0"/>
              <w:right w:val="single" w:color="auto" w:sz="4" w:space="0"/>
            </w:tcBorders>
          </w:tcPr>
          <w:p w14:paraId="083C9705">
            <w:pPr>
              <w:pStyle w:val="34"/>
              <w:bidi w:val="0"/>
              <w:rPr>
                <w:highlight w:val="none"/>
              </w:rPr>
            </w:pPr>
          </w:p>
        </w:tc>
        <w:tc>
          <w:tcPr>
            <w:tcW w:w="1794" w:type="dxa"/>
            <w:tcBorders>
              <w:top w:val="single" w:color="auto" w:sz="4" w:space="0"/>
              <w:left w:val="single" w:color="auto" w:sz="4" w:space="0"/>
              <w:bottom w:val="single" w:color="auto" w:sz="4" w:space="0"/>
              <w:right w:val="single" w:color="auto" w:sz="4" w:space="0"/>
            </w:tcBorders>
          </w:tcPr>
          <w:p w14:paraId="08B6641B">
            <w:pPr>
              <w:pStyle w:val="34"/>
              <w:bidi w:val="0"/>
              <w:rPr>
                <w:highlight w:val="none"/>
              </w:rPr>
            </w:pPr>
          </w:p>
        </w:tc>
        <w:tc>
          <w:tcPr>
            <w:tcW w:w="1590" w:type="dxa"/>
            <w:tcBorders>
              <w:top w:val="single" w:color="auto" w:sz="4" w:space="0"/>
              <w:left w:val="single" w:color="auto" w:sz="4" w:space="0"/>
              <w:bottom w:val="single" w:color="auto" w:sz="4" w:space="0"/>
              <w:right w:val="single" w:color="auto" w:sz="4" w:space="0"/>
            </w:tcBorders>
          </w:tcPr>
          <w:p w14:paraId="0D6EC0F9">
            <w:pPr>
              <w:pStyle w:val="34"/>
              <w:bidi w:val="0"/>
              <w:rPr>
                <w:highlight w:val="none"/>
              </w:rPr>
            </w:pPr>
          </w:p>
        </w:tc>
        <w:tc>
          <w:tcPr>
            <w:tcW w:w="2205" w:type="dxa"/>
            <w:tcBorders>
              <w:top w:val="single" w:color="auto" w:sz="4" w:space="0"/>
              <w:left w:val="single" w:color="auto" w:sz="4" w:space="0"/>
              <w:bottom w:val="single" w:color="auto" w:sz="4" w:space="0"/>
              <w:right w:val="single" w:color="auto" w:sz="4" w:space="0"/>
            </w:tcBorders>
          </w:tcPr>
          <w:p w14:paraId="14A25902">
            <w:pPr>
              <w:pStyle w:val="34"/>
              <w:bidi w:val="0"/>
              <w:rPr>
                <w:highlight w:val="none"/>
              </w:rPr>
            </w:pPr>
          </w:p>
        </w:tc>
      </w:tr>
      <w:tr w14:paraId="5B723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829" w:type="dxa"/>
            <w:tcBorders>
              <w:top w:val="single" w:color="auto" w:sz="4" w:space="0"/>
              <w:left w:val="single" w:color="auto" w:sz="4" w:space="0"/>
              <w:bottom w:val="single" w:color="auto" w:sz="4" w:space="0"/>
              <w:right w:val="single" w:color="auto" w:sz="4" w:space="0"/>
            </w:tcBorders>
          </w:tcPr>
          <w:p w14:paraId="6C01FE7E">
            <w:pPr>
              <w:pStyle w:val="34"/>
              <w:bidi w:val="0"/>
              <w:rPr>
                <w:highlight w:val="none"/>
              </w:rPr>
            </w:pPr>
          </w:p>
        </w:tc>
        <w:tc>
          <w:tcPr>
            <w:tcW w:w="2120" w:type="dxa"/>
            <w:tcBorders>
              <w:top w:val="single" w:color="auto" w:sz="4" w:space="0"/>
              <w:left w:val="single" w:color="auto" w:sz="4" w:space="0"/>
              <w:bottom w:val="single" w:color="auto" w:sz="4" w:space="0"/>
              <w:right w:val="single" w:color="auto" w:sz="4" w:space="0"/>
            </w:tcBorders>
          </w:tcPr>
          <w:p w14:paraId="77B9A053">
            <w:pPr>
              <w:pStyle w:val="34"/>
              <w:bidi w:val="0"/>
              <w:rPr>
                <w:highlight w:val="none"/>
              </w:rPr>
            </w:pPr>
          </w:p>
        </w:tc>
        <w:tc>
          <w:tcPr>
            <w:tcW w:w="1794" w:type="dxa"/>
            <w:tcBorders>
              <w:top w:val="single" w:color="auto" w:sz="4" w:space="0"/>
              <w:left w:val="single" w:color="auto" w:sz="4" w:space="0"/>
              <w:bottom w:val="single" w:color="auto" w:sz="4" w:space="0"/>
              <w:right w:val="single" w:color="auto" w:sz="4" w:space="0"/>
            </w:tcBorders>
          </w:tcPr>
          <w:p w14:paraId="2027639F">
            <w:pPr>
              <w:pStyle w:val="34"/>
              <w:bidi w:val="0"/>
              <w:rPr>
                <w:highlight w:val="none"/>
              </w:rPr>
            </w:pPr>
          </w:p>
        </w:tc>
        <w:tc>
          <w:tcPr>
            <w:tcW w:w="1590" w:type="dxa"/>
            <w:tcBorders>
              <w:top w:val="single" w:color="auto" w:sz="4" w:space="0"/>
              <w:left w:val="single" w:color="auto" w:sz="4" w:space="0"/>
              <w:bottom w:val="single" w:color="auto" w:sz="4" w:space="0"/>
              <w:right w:val="single" w:color="auto" w:sz="4" w:space="0"/>
            </w:tcBorders>
          </w:tcPr>
          <w:p w14:paraId="4D39D7A8">
            <w:pPr>
              <w:pStyle w:val="34"/>
              <w:bidi w:val="0"/>
              <w:rPr>
                <w:highlight w:val="none"/>
              </w:rPr>
            </w:pPr>
          </w:p>
        </w:tc>
        <w:tc>
          <w:tcPr>
            <w:tcW w:w="2205" w:type="dxa"/>
            <w:tcBorders>
              <w:top w:val="single" w:color="auto" w:sz="4" w:space="0"/>
              <w:left w:val="single" w:color="auto" w:sz="4" w:space="0"/>
              <w:bottom w:val="single" w:color="auto" w:sz="4" w:space="0"/>
              <w:right w:val="single" w:color="auto" w:sz="4" w:space="0"/>
            </w:tcBorders>
          </w:tcPr>
          <w:p w14:paraId="5EF1401F">
            <w:pPr>
              <w:pStyle w:val="34"/>
              <w:bidi w:val="0"/>
              <w:rPr>
                <w:highlight w:val="none"/>
              </w:rPr>
            </w:pPr>
          </w:p>
        </w:tc>
      </w:tr>
      <w:tr w14:paraId="0E0A1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829" w:type="dxa"/>
            <w:tcBorders>
              <w:top w:val="single" w:color="auto" w:sz="4" w:space="0"/>
              <w:left w:val="single" w:color="auto" w:sz="4" w:space="0"/>
              <w:bottom w:val="single" w:color="auto" w:sz="4" w:space="0"/>
              <w:right w:val="single" w:color="auto" w:sz="4" w:space="0"/>
            </w:tcBorders>
          </w:tcPr>
          <w:p w14:paraId="7216F19C">
            <w:pPr>
              <w:pStyle w:val="34"/>
              <w:bidi w:val="0"/>
              <w:rPr>
                <w:highlight w:val="none"/>
              </w:rPr>
            </w:pPr>
          </w:p>
        </w:tc>
        <w:tc>
          <w:tcPr>
            <w:tcW w:w="2120" w:type="dxa"/>
            <w:tcBorders>
              <w:top w:val="single" w:color="auto" w:sz="4" w:space="0"/>
              <w:left w:val="single" w:color="auto" w:sz="4" w:space="0"/>
              <w:bottom w:val="single" w:color="auto" w:sz="4" w:space="0"/>
              <w:right w:val="single" w:color="auto" w:sz="4" w:space="0"/>
            </w:tcBorders>
          </w:tcPr>
          <w:p w14:paraId="38C644CC">
            <w:pPr>
              <w:pStyle w:val="34"/>
              <w:bidi w:val="0"/>
              <w:rPr>
                <w:highlight w:val="none"/>
              </w:rPr>
            </w:pPr>
          </w:p>
        </w:tc>
        <w:tc>
          <w:tcPr>
            <w:tcW w:w="1794" w:type="dxa"/>
            <w:tcBorders>
              <w:top w:val="single" w:color="auto" w:sz="4" w:space="0"/>
              <w:left w:val="single" w:color="auto" w:sz="4" w:space="0"/>
              <w:bottom w:val="single" w:color="auto" w:sz="4" w:space="0"/>
              <w:right w:val="single" w:color="auto" w:sz="4" w:space="0"/>
            </w:tcBorders>
          </w:tcPr>
          <w:p w14:paraId="6F53021C">
            <w:pPr>
              <w:pStyle w:val="34"/>
              <w:bidi w:val="0"/>
              <w:rPr>
                <w:highlight w:val="none"/>
              </w:rPr>
            </w:pPr>
          </w:p>
        </w:tc>
        <w:tc>
          <w:tcPr>
            <w:tcW w:w="1590" w:type="dxa"/>
            <w:tcBorders>
              <w:top w:val="single" w:color="auto" w:sz="4" w:space="0"/>
              <w:left w:val="single" w:color="auto" w:sz="4" w:space="0"/>
              <w:bottom w:val="single" w:color="auto" w:sz="4" w:space="0"/>
              <w:right w:val="single" w:color="auto" w:sz="4" w:space="0"/>
            </w:tcBorders>
          </w:tcPr>
          <w:p w14:paraId="66EE23A0">
            <w:pPr>
              <w:pStyle w:val="34"/>
              <w:bidi w:val="0"/>
              <w:rPr>
                <w:highlight w:val="none"/>
              </w:rPr>
            </w:pPr>
          </w:p>
        </w:tc>
        <w:tc>
          <w:tcPr>
            <w:tcW w:w="2205" w:type="dxa"/>
            <w:tcBorders>
              <w:top w:val="single" w:color="auto" w:sz="4" w:space="0"/>
              <w:left w:val="single" w:color="auto" w:sz="4" w:space="0"/>
              <w:bottom w:val="single" w:color="auto" w:sz="4" w:space="0"/>
              <w:right w:val="single" w:color="auto" w:sz="4" w:space="0"/>
            </w:tcBorders>
          </w:tcPr>
          <w:p w14:paraId="215C0368">
            <w:pPr>
              <w:pStyle w:val="34"/>
              <w:bidi w:val="0"/>
              <w:rPr>
                <w:highlight w:val="none"/>
              </w:rPr>
            </w:pPr>
          </w:p>
        </w:tc>
      </w:tr>
      <w:tr w14:paraId="0F947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829" w:type="dxa"/>
            <w:tcBorders>
              <w:top w:val="single" w:color="auto" w:sz="4" w:space="0"/>
              <w:left w:val="single" w:color="auto" w:sz="4" w:space="0"/>
              <w:bottom w:val="single" w:color="auto" w:sz="4" w:space="0"/>
              <w:right w:val="single" w:color="auto" w:sz="4" w:space="0"/>
            </w:tcBorders>
          </w:tcPr>
          <w:p w14:paraId="7E112F4D">
            <w:pPr>
              <w:pStyle w:val="34"/>
              <w:bidi w:val="0"/>
              <w:rPr>
                <w:highlight w:val="none"/>
              </w:rPr>
            </w:pPr>
          </w:p>
        </w:tc>
        <w:tc>
          <w:tcPr>
            <w:tcW w:w="2120" w:type="dxa"/>
            <w:tcBorders>
              <w:top w:val="single" w:color="auto" w:sz="4" w:space="0"/>
              <w:left w:val="single" w:color="auto" w:sz="4" w:space="0"/>
              <w:bottom w:val="single" w:color="auto" w:sz="4" w:space="0"/>
              <w:right w:val="single" w:color="auto" w:sz="4" w:space="0"/>
            </w:tcBorders>
          </w:tcPr>
          <w:p w14:paraId="49267525">
            <w:pPr>
              <w:pStyle w:val="34"/>
              <w:bidi w:val="0"/>
              <w:rPr>
                <w:highlight w:val="none"/>
              </w:rPr>
            </w:pPr>
          </w:p>
        </w:tc>
        <w:tc>
          <w:tcPr>
            <w:tcW w:w="1794" w:type="dxa"/>
            <w:tcBorders>
              <w:top w:val="single" w:color="auto" w:sz="4" w:space="0"/>
              <w:left w:val="single" w:color="auto" w:sz="4" w:space="0"/>
              <w:bottom w:val="single" w:color="auto" w:sz="4" w:space="0"/>
              <w:right w:val="single" w:color="auto" w:sz="4" w:space="0"/>
            </w:tcBorders>
          </w:tcPr>
          <w:p w14:paraId="0FDA9BE6">
            <w:pPr>
              <w:pStyle w:val="34"/>
              <w:bidi w:val="0"/>
              <w:rPr>
                <w:highlight w:val="none"/>
              </w:rPr>
            </w:pPr>
          </w:p>
        </w:tc>
        <w:tc>
          <w:tcPr>
            <w:tcW w:w="1590" w:type="dxa"/>
            <w:tcBorders>
              <w:top w:val="single" w:color="auto" w:sz="4" w:space="0"/>
              <w:left w:val="single" w:color="auto" w:sz="4" w:space="0"/>
              <w:bottom w:val="single" w:color="auto" w:sz="4" w:space="0"/>
              <w:right w:val="single" w:color="auto" w:sz="4" w:space="0"/>
            </w:tcBorders>
          </w:tcPr>
          <w:p w14:paraId="396949F3">
            <w:pPr>
              <w:pStyle w:val="34"/>
              <w:bidi w:val="0"/>
              <w:rPr>
                <w:highlight w:val="none"/>
              </w:rPr>
            </w:pPr>
          </w:p>
        </w:tc>
        <w:tc>
          <w:tcPr>
            <w:tcW w:w="2205" w:type="dxa"/>
            <w:tcBorders>
              <w:top w:val="single" w:color="auto" w:sz="4" w:space="0"/>
              <w:left w:val="single" w:color="auto" w:sz="4" w:space="0"/>
              <w:bottom w:val="single" w:color="auto" w:sz="4" w:space="0"/>
              <w:right w:val="single" w:color="auto" w:sz="4" w:space="0"/>
            </w:tcBorders>
          </w:tcPr>
          <w:p w14:paraId="03CA732D">
            <w:pPr>
              <w:pStyle w:val="34"/>
              <w:bidi w:val="0"/>
              <w:rPr>
                <w:highlight w:val="none"/>
              </w:rPr>
            </w:pPr>
          </w:p>
        </w:tc>
      </w:tr>
    </w:tbl>
    <w:p w14:paraId="110F8B10">
      <w:pPr>
        <w:pStyle w:val="8"/>
        <w:pageBreakBefore w:val="0"/>
        <w:kinsoku/>
        <w:wordWrap w:val="0"/>
        <w:overflowPunct/>
        <w:topLinePunct/>
        <w:autoSpaceDE w:val="0"/>
        <w:autoSpaceDN w:val="0"/>
        <w:bidi w:val="0"/>
        <w:snapToGrid w:val="0"/>
        <w:spacing w:line="360" w:lineRule="exact"/>
        <w:rPr>
          <w:rFonts w:ascii="宋体" w:hAnsi="宋体" w:eastAsia="宋体"/>
          <w:sz w:val="21"/>
          <w:szCs w:val="21"/>
          <w:highlight w:val="none"/>
        </w:rPr>
      </w:pPr>
    </w:p>
    <w:p w14:paraId="41546B30">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709BD0A7">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7131BA5C">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7EBDC281">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bCs/>
          <w:sz w:val="24"/>
          <w:highlight w:val="none"/>
        </w:rPr>
      </w:pPr>
    </w:p>
    <w:p w14:paraId="20FAD7E6">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bCs/>
          <w:sz w:val="24"/>
          <w:highlight w:val="none"/>
        </w:rPr>
      </w:pPr>
    </w:p>
    <w:p w14:paraId="2219D893">
      <w:pPr>
        <w:pageBreakBefore w:val="0"/>
        <w:kinsoku/>
        <w:wordWrap w:val="0"/>
        <w:overflowPunct/>
        <w:topLinePunct/>
        <w:autoSpaceDE w:val="0"/>
        <w:autoSpaceDN w:val="0"/>
        <w:bidi w:val="0"/>
        <w:snapToGrid w:val="0"/>
        <w:spacing w:before="50" w:after="50" w:line="400" w:lineRule="exact"/>
        <w:rPr>
          <w:rFonts w:hint="eastAsia" w:ascii="宋体" w:hAnsi="宋体"/>
          <w:b/>
          <w:sz w:val="32"/>
          <w:szCs w:val="32"/>
          <w:highlight w:val="none"/>
        </w:rPr>
        <w:sectPr>
          <w:pgSz w:w="11906" w:h="16839"/>
          <w:pgMar w:top="400" w:right="994" w:bottom="1156" w:left="1255" w:header="0" w:footer="994" w:gutter="0"/>
          <w:pgNumType w:fmt="decimal"/>
          <w:cols w:space="720" w:num="1"/>
        </w:sectPr>
      </w:pPr>
    </w:p>
    <w:p w14:paraId="2751112B">
      <w:pPr>
        <w:pStyle w:val="36"/>
        <w:bidi w:val="0"/>
        <w:rPr>
          <w:highlight w:val="none"/>
        </w:rPr>
      </w:pPr>
      <w:r>
        <w:rPr>
          <w:rFonts w:hint="eastAsia"/>
          <w:highlight w:val="none"/>
        </w:rPr>
        <w:t>3.技术文件格式：</w:t>
      </w:r>
    </w:p>
    <w:p w14:paraId="577652C5">
      <w:pPr>
        <w:pageBreakBefore w:val="0"/>
        <w:kinsoku/>
        <w:wordWrap w:val="0"/>
        <w:overflowPunct/>
        <w:topLinePunct/>
        <w:autoSpaceDE w:val="0"/>
        <w:autoSpaceDN w:val="0"/>
        <w:bidi w:val="0"/>
        <w:snapToGrid w:val="0"/>
        <w:spacing w:beforeLines="50" w:after="50" w:line="400" w:lineRule="exact"/>
        <w:rPr>
          <w:rFonts w:ascii="宋体" w:hAnsi="宋体"/>
          <w:bCs/>
          <w:sz w:val="24"/>
          <w:highlight w:val="none"/>
        </w:rPr>
      </w:pPr>
      <w:r>
        <w:rPr>
          <w:rFonts w:hint="eastAsia" w:ascii="宋体" w:hAnsi="宋体"/>
          <w:sz w:val="32"/>
          <w:szCs w:val="32"/>
          <w:highlight w:val="none"/>
        </w:rPr>
        <w:t xml:space="preserve">                                            </w:t>
      </w:r>
      <w:r>
        <w:rPr>
          <w:rFonts w:hint="eastAsia" w:ascii="宋体" w:hAnsi="宋体"/>
          <w:sz w:val="24"/>
          <w:highlight w:val="none"/>
        </w:rPr>
        <w:t xml:space="preserve">  </w:t>
      </w:r>
      <w:r>
        <w:rPr>
          <w:rFonts w:hint="eastAsia" w:ascii="宋体" w:hAnsi="宋体"/>
          <w:bCs/>
          <w:sz w:val="24"/>
          <w:highlight w:val="none"/>
        </w:rPr>
        <w:t>电子投标文件</w:t>
      </w:r>
    </w:p>
    <w:p w14:paraId="4F65C4C0">
      <w:pPr>
        <w:pStyle w:val="35"/>
        <w:bidi w:val="0"/>
        <w:rPr>
          <w:highlight w:val="none"/>
        </w:rPr>
      </w:pPr>
      <w:r>
        <w:rPr>
          <w:rFonts w:hint="eastAsia"/>
          <w:highlight w:val="none"/>
        </w:rPr>
        <w:t>投 标 文 件</w:t>
      </w:r>
    </w:p>
    <w:p w14:paraId="30D17003">
      <w:pPr>
        <w:pageBreakBefore w:val="0"/>
        <w:kinsoku/>
        <w:wordWrap w:val="0"/>
        <w:overflowPunct/>
        <w:topLinePunct/>
        <w:autoSpaceDE w:val="0"/>
        <w:autoSpaceDN w:val="0"/>
        <w:bidi w:val="0"/>
        <w:snapToGrid w:val="0"/>
        <w:spacing w:beforeLines="50" w:after="50" w:line="400" w:lineRule="exact"/>
        <w:rPr>
          <w:rFonts w:ascii="宋体" w:hAnsi="宋体"/>
          <w:sz w:val="32"/>
          <w:szCs w:val="32"/>
          <w:highlight w:val="none"/>
        </w:rPr>
      </w:pPr>
    </w:p>
    <w:p w14:paraId="6C9D521A">
      <w:pPr>
        <w:pageBreakBefore w:val="0"/>
        <w:kinsoku/>
        <w:wordWrap w:val="0"/>
        <w:overflowPunct/>
        <w:topLinePunct/>
        <w:autoSpaceDE w:val="0"/>
        <w:autoSpaceDN w:val="0"/>
        <w:bidi w:val="0"/>
        <w:snapToGrid w:val="0"/>
        <w:spacing w:beforeLines="50" w:after="50" w:line="400" w:lineRule="exact"/>
        <w:jc w:val="center"/>
        <w:rPr>
          <w:rFonts w:ascii="宋体" w:hAnsi="宋体"/>
          <w:bCs/>
          <w:sz w:val="32"/>
          <w:szCs w:val="32"/>
          <w:highlight w:val="none"/>
        </w:rPr>
      </w:pPr>
      <w:r>
        <w:rPr>
          <w:rFonts w:hint="eastAsia" w:ascii="宋体" w:hAnsi="宋体"/>
          <w:bCs/>
          <w:sz w:val="32"/>
          <w:szCs w:val="32"/>
          <w:highlight w:val="none"/>
        </w:rPr>
        <w:t>（技术文件）</w:t>
      </w:r>
    </w:p>
    <w:p w14:paraId="70D3D620">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项目名称：</w:t>
      </w:r>
    </w:p>
    <w:p w14:paraId="42C852E8">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 xml:space="preserve"> </w:t>
      </w:r>
    </w:p>
    <w:p w14:paraId="4E7B9B71">
      <w:pPr>
        <w:pageBreakBefore w:val="0"/>
        <w:kinsoku/>
        <w:wordWrap w:val="0"/>
        <w:overflowPunct/>
        <w:topLinePunct/>
        <w:autoSpaceDE w:val="0"/>
        <w:autoSpaceDN w:val="0"/>
        <w:bidi w:val="0"/>
        <w:snapToGrid w:val="0"/>
        <w:spacing w:beforeLines="50" w:after="50" w:line="400" w:lineRule="exact"/>
        <w:ind w:firstLine="480" w:firstLineChars="200"/>
        <w:rPr>
          <w:rFonts w:ascii="宋体" w:hAnsi="宋体"/>
          <w:bCs/>
          <w:sz w:val="24"/>
          <w:highlight w:val="none"/>
        </w:rPr>
      </w:pPr>
      <w:r>
        <w:rPr>
          <w:rFonts w:hint="eastAsia" w:ascii="宋体" w:hAnsi="宋体"/>
          <w:bCs/>
          <w:sz w:val="24"/>
          <w:highlight w:val="none"/>
        </w:rPr>
        <w:t xml:space="preserve">     项目编号： </w:t>
      </w:r>
    </w:p>
    <w:p w14:paraId="49DE024F">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p>
    <w:p w14:paraId="5EAE05ED">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r>
        <w:rPr>
          <w:rFonts w:hint="eastAsia" w:ascii="宋体" w:hAnsi="宋体"/>
          <w:bCs/>
          <w:sz w:val="24"/>
          <w:highlight w:val="none"/>
        </w:rPr>
        <w:t>标   项：</w:t>
      </w:r>
    </w:p>
    <w:p w14:paraId="076F469F">
      <w:pPr>
        <w:pStyle w:val="7"/>
        <w:pageBreakBefore w:val="0"/>
        <w:kinsoku/>
        <w:wordWrap w:val="0"/>
        <w:overflowPunct/>
        <w:topLinePunct/>
        <w:autoSpaceDE w:val="0"/>
        <w:autoSpaceDN w:val="0"/>
        <w:bidi w:val="0"/>
        <w:snapToGrid w:val="0"/>
        <w:spacing w:before="50" w:after="50" w:line="400" w:lineRule="exact"/>
        <w:ind w:firstLine="1118" w:firstLineChars="466"/>
        <w:rPr>
          <w:rFonts w:ascii="宋体" w:hAnsi="宋体"/>
          <w:bCs/>
          <w:sz w:val="24"/>
          <w:szCs w:val="24"/>
          <w:highlight w:val="none"/>
        </w:rPr>
      </w:pPr>
    </w:p>
    <w:p w14:paraId="750AF6A9">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r>
        <w:rPr>
          <w:rFonts w:hint="eastAsia" w:ascii="宋体" w:hAnsi="宋体"/>
          <w:bCs/>
          <w:sz w:val="24"/>
          <w:szCs w:val="24"/>
          <w:highlight w:val="none"/>
        </w:rPr>
        <w:t>投标人名称：</w:t>
      </w:r>
      <w:r>
        <w:rPr>
          <w:rFonts w:hint="eastAsia" w:ascii="宋体" w:hAnsi="宋体"/>
          <w:bCs/>
          <w:sz w:val="24"/>
          <w:szCs w:val="24"/>
          <w:highlight w:val="none"/>
          <w:u w:val="single"/>
        </w:rPr>
        <w:t xml:space="preserve">                       </w:t>
      </w:r>
      <w:r>
        <w:rPr>
          <w:rFonts w:hint="eastAsia" w:ascii="宋体" w:hAnsi="宋体"/>
          <w:bCs/>
          <w:sz w:val="24"/>
          <w:szCs w:val="24"/>
          <w:highlight w:val="none"/>
        </w:rPr>
        <w:t>（加盖单位电子公章）</w:t>
      </w:r>
    </w:p>
    <w:p w14:paraId="5DE4C9F5">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p>
    <w:p w14:paraId="1E5529AB">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r>
        <w:rPr>
          <w:rFonts w:hint="eastAsia" w:ascii="宋体" w:hAnsi="宋体"/>
          <w:bCs/>
          <w:sz w:val="24"/>
          <w:szCs w:val="24"/>
          <w:highlight w:val="none"/>
        </w:rPr>
        <w:t>投标人地址：</w:t>
      </w:r>
    </w:p>
    <w:p w14:paraId="7ED64ED6">
      <w:pPr>
        <w:pStyle w:val="7"/>
        <w:pageBreakBefore w:val="0"/>
        <w:kinsoku/>
        <w:wordWrap w:val="0"/>
        <w:overflowPunct/>
        <w:topLinePunct/>
        <w:autoSpaceDE w:val="0"/>
        <w:autoSpaceDN w:val="0"/>
        <w:bidi w:val="0"/>
        <w:snapToGrid w:val="0"/>
        <w:spacing w:before="50" w:after="50" w:line="400" w:lineRule="exact"/>
        <w:ind w:firstLine="960" w:firstLineChars="400"/>
        <w:rPr>
          <w:rFonts w:ascii="宋体" w:hAnsi="宋体"/>
          <w:bCs/>
          <w:sz w:val="24"/>
          <w:szCs w:val="24"/>
          <w:highlight w:val="none"/>
        </w:rPr>
      </w:pPr>
    </w:p>
    <w:p w14:paraId="1B47A378">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r>
        <w:rPr>
          <w:rFonts w:hint="eastAsia" w:ascii="宋体" w:hAnsi="宋体"/>
          <w:sz w:val="24"/>
          <w:highlight w:val="none"/>
        </w:rPr>
        <w:t xml:space="preserve">                        年  月  日</w:t>
      </w:r>
      <w:r>
        <w:rPr>
          <w:rFonts w:hint="eastAsia" w:ascii="宋体" w:hAnsi="宋体"/>
          <w:sz w:val="24"/>
          <w:highlight w:val="none"/>
        </w:rPr>
        <w:br w:type="textWrapping"/>
      </w:r>
    </w:p>
    <w:p w14:paraId="7703D449">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21A46510">
      <w:pPr>
        <w:pageBreakBefore w:val="0"/>
        <w:tabs>
          <w:tab w:val="left" w:pos="1418"/>
        </w:tabs>
        <w:kinsoku/>
        <w:wordWrap w:val="0"/>
        <w:overflowPunct/>
        <w:topLinePunct/>
        <w:autoSpaceDE w:val="0"/>
        <w:autoSpaceDN w:val="0"/>
        <w:bidi w:val="0"/>
        <w:snapToGrid w:val="0"/>
        <w:spacing w:before="50" w:after="50" w:line="320" w:lineRule="exact"/>
        <w:jc w:val="center"/>
        <w:rPr>
          <w:rFonts w:hint="eastAsia" w:ascii="宋体" w:hAnsi="宋体"/>
          <w:b/>
          <w:bCs/>
          <w:sz w:val="32"/>
          <w:szCs w:val="32"/>
          <w:highlight w:val="none"/>
        </w:rPr>
        <w:sectPr>
          <w:pgSz w:w="11906" w:h="16839"/>
          <w:pgMar w:top="400" w:right="994" w:bottom="1156" w:left="1255" w:header="0" w:footer="994" w:gutter="0"/>
          <w:pgNumType w:fmt="decimal"/>
          <w:cols w:space="720" w:num="1"/>
        </w:sectPr>
      </w:pPr>
    </w:p>
    <w:p w14:paraId="52F7DCC8">
      <w:pPr>
        <w:pStyle w:val="35"/>
        <w:bidi w:val="0"/>
        <w:rPr>
          <w:highlight w:val="none"/>
        </w:rPr>
      </w:pPr>
      <w:r>
        <w:rPr>
          <w:rFonts w:hint="eastAsia"/>
          <w:highlight w:val="none"/>
        </w:rPr>
        <w:t>目 录</w:t>
      </w:r>
    </w:p>
    <w:p w14:paraId="376AD221">
      <w:pPr>
        <w:bidi w:val="0"/>
        <w:rPr>
          <w:highlight w:val="none"/>
        </w:rPr>
      </w:pPr>
      <w:r>
        <w:rPr>
          <w:rFonts w:hint="eastAsia"/>
          <w:highlight w:val="none"/>
        </w:rPr>
        <w:t>1、设备配置清单……………………………………………………………………………</w:t>
      </w:r>
    </w:p>
    <w:p w14:paraId="45AFB3C9">
      <w:pPr>
        <w:bidi w:val="0"/>
        <w:rPr>
          <w:highlight w:val="none"/>
        </w:rPr>
      </w:pPr>
      <w:r>
        <w:rPr>
          <w:rFonts w:hint="eastAsia"/>
          <w:highlight w:val="none"/>
        </w:rPr>
        <w:t>2、技术响应表………………………………………………………………………………</w:t>
      </w:r>
    </w:p>
    <w:p w14:paraId="042C6241">
      <w:pPr>
        <w:bidi w:val="0"/>
        <w:rPr>
          <w:highlight w:val="none"/>
        </w:rPr>
      </w:pPr>
      <w:r>
        <w:rPr>
          <w:rFonts w:hint="eastAsia"/>
          <w:highlight w:val="none"/>
        </w:rPr>
        <w:t>3、项目实施方案……………………………………………</w:t>
      </w:r>
    </w:p>
    <w:p w14:paraId="2213C75C">
      <w:pPr>
        <w:bidi w:val="0"/>
        <w:rPr>
          <w:highlight w:val="none"/>
        </w:rPr>
      </w:pPr>
      <w:r>
        <w:rPr>
          <w:rFonts w:hint="eastAsia"/>
          <w:highlight w:val="none"/>
        </w:rPr>
        <w:t>4、售后服务方案及承诺书………………………</w:t>
      </w:r>
    </w:p>
    <w:p w14:paraId="6C456C57">
      <w:pPr>
        <w:bidi w:val="0"/>
        <w:rPr>
          <w:highlight w:val="none"/>
        </w:rPr>
      </w:pPr>
      <w:r>
        <w:rPr>
          <w:rFonts w:hint="eastAsia"/>
          <w:highlight w:val="none"/>
        </w:rPr>
        <w:t>5、选配件、专用耗材、售后服务优惠表…………………………………………………</w:t>
      </w:r>
    </w:p>
    <w:p w14:paraId="20B23C85">
      <w:pPr>
        <w:bidi w:val="0"/>
        <w:rPr>
          <w:highlight w:val="none"/>
        </w:rPr>
      </w:pPr>
      <w:r>
        <w:rPr>
          <w:rFonts w:hint="eastAsia"/>
          <w:highlight w:val="none"/>
        </w:rPr>
        <w:t>6、投标人对本项目的合理化建议和改进措施（如有，格式自拟）………………</w:t>
      </w:r>
    </w:p>
    <w:p w14:paraId="2024DCE2">
      <w:pPr>
        <w:bidi w:val="0"/>
        <w:rPr>
          <w:highlight w:val="none"/>
        </w:rPr>
      </w:pPr>
      <w:r>
        <w:rPr>
          <w:rFonts w:hint="eastAsia"/>
          <w:highlight w:val="none"/>
        </w:rPr>
        <w:t>7、投标人需要说明的其他文件和说明（如有，格式自拟）………………………</w:t>
      </w:r>
    </w:p>
    <w:p w14:paraId="28578343">
      <w:pPr>
        <w:pageBreakBefore w:val="0"/>
        <w:widowControl/>
        <w:kinsoku/>
        <w:wordWrap w:val="0"/>
        <w:overflowPunct/>
        <w:topLinePunct/>
        <w:autoSpaceDE w:val="0"/>
        <w:autoSpaceDN w:val="0"/>
        <w:bidi w:val="0"/>
        <w:spacing w:line="320" w:lineRule="exact"/>
        <w:rPr>
          <w:rFonts w:ascii="宋体" w:hAnsi="宋体"/>
          <w:bCs/>
          <w:szCs w:val="21"/>
          <w:highlight w:val="none"/>
        </w:rPr>
      </w:pPr>
    </w:p>
    <w:p w14:paraId="405EACE7">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szCs w:val="21"/>
          <w:highlight w:val="none"/>
        </w:rPr>
      </w:pPr>
    </w:p>
    <w:p w14:paraId="3BFBA867">
      <w:pPr>
        <w:pageBreakBefore w:val="0"/>
        <w:kinsoku/>
        <w:wordWrap w:val="0"/>
        <w:overflowPunct/>
        <w:topLinePunct/>
        <w:autoSpaceDE w:val="0"/>
        <w:autoSpaceDN w:val="0"/>
        <w:bidi w:val="0"/>
        <w:snapToGrid w:val="0"/>
        <w:spacing w:before="50" w:afterLines="50" w:line="360" w:lineRule="exact"/>
        <w:jc w:val="left"/>
        <w:rPr>
          <w:rFonts w:hint="eastAsia" w:ascii="宋体" w:hAnsi="宋体"/>
          <w:b/>
          <w:sz w:val="24"/>
          <w:highlight w:val="none"/>
        </w:rPr>
        <w:sectPr>
          <w:pgSz w:w="11906" w:h="16839"/>
          <w:pgMar w:top="400" w:right="994" w:bottom="1156" w:left="1255" w:header="0" w:footer="994" w:gutter="0"/>
          <w:pgNumType w:fmt="decimal"/>
          <w:cols w:space="720" w:num="1"/>
        </w:sectPr>
      </w:pPr>
    </w:p>
    <w:p w14:paraId="789F31B7">
      <w:pPr>
        <w:pStyle w:val="36"/>
        <w:bidi w:val="0"/>
        <w:rPr>
          <w:highlight w:val="none"/>
        </w:rPr>
      </w:pPr>
      <w:r>
        <w:rPr>
          <w:rFonts w:hint="eastAsia"/>
          <w:highlight w:val="none"/>
        </w:rPr>
        <w:t>1.设备配置清单格式：</w:t>
      </w:r>
    </w:p>
    <w:p w14:paraId="267598F1">
      <w:pPr>
        <w:pStyle w:val="35"/>
        <w:bidi w:val="0"/>
        <w:rPr>
          <w:highlight w:val="none"/>
        </w:rPr>
      </w:pPr>
      <w:r>
        <w:rPr>
          <w:rFonts w:hint="eastAsia"/>
          <w:highlight w:val="none"/>
        </w:rPr>
        <w:t>设备配置清单</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81"/>
        <w:gridCol w:w="839"/>
        <w:gridCol w:w="1281"/>
        <w:gridCol w:w="1419"/>
        <w:gridCol w:w="2004"/>
        <w:gridCol w:w="1080"/>
      </w:tblGrid>
      <w:tr w14:paraId="429A7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A73BD28">
            <w:pPr>
              <w:pStyle w:val="34"/>
              <w:bidi w:val="0"/>
              <w:rPr>
                <w:highlight w:val="none"/>
              </w:rPr>
            </w:pPr>
            <w:r>
              <w:rPr>
                <w:rFonts w:hint="eastAsia"/>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4EB20BF">
            <w:pPr>
              <w:pStyle w:val="34"/>
              <w:bidi w:val="0"/>
              <w:rPr>
                <w:highlight w:val="none"/>
              </w:rPr>
            </w:pPr>
            <w:r>
              <w:rPr>
                <w:rFonts w:hint="eastAsia"/>
                <w:highlight w:val="none"/>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14:paraId="113A31E7">
            <w:pPr>
              <w:pStyle w:val="34"/>
              <w:bidi w:val="0"/>
              <w:rPr>
                <w:highlight w:val="none"/>
              </w:rPr>
            </w:pPr>
            <w:r>
              <w:rPr>
                <w:rFonts w:hint="eastAsia"/>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4A1CA14">
            <w:pPr>
              <w:pStyle w:val="34"/>
              <w:bidi w:val="0"/>
              <w:rPr>
                <w:highlight w:val="none"/>
              </w:rPr>
            </w:pPr>
            <w:r>
              <w:rPr>
                <w:rFonts w:hint="eastAsia"/>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24F01A30">
            <w:pPr>
              <w:pStyle w:val="34"/>
              <w:bidi w:val="0"/>
              <w:rPr>
                <w:highlight w:val="none"/>
              </w:rPr>
            </w:pPr>
            <w:r>
              <w:rPr>
                <w:rFonts w:hint="eastAsia"/>
                <w:highlight w:val="none"/>
              </w:rPr>
              <w:t>单位及数量</w:t>
            </w:r>
          </w:p>
        </w:tc>
        <w:tc>
          <w:tcPr>
            <w:tcW w:w="2004" w:type="dxa"/>
            <w:tcBorders>
              <w:top w:val="single" w:color="auto" w:sz="4" w:space="0"/>
              <w:left w:val="single" w:color="auto" w:sz="4" w:space="0"/>
              <w:bottom w:val="single" w:color="auto" w:sz="4" w:space="0"/>
              <w:right w:val="single" w:color="auto" w:sz="4" w:space="0"/>
            </w:tcBorders>
            <w:vAlign w:val="center"/>
          </w:tcPr>
          <w:p w14:paraId="4F7B98A5">
            <w:pPr>
              <w:pStyle w:val="34"/>
              <w:bidi w:val="0"/>
              <w:rPr>
                <w:highlight w:val="none"/>
              </w:rPr>
            </w:pPr>
            <w:r>
              <w:rPr>
                <w:rFonts w:hint="eastAsia"/>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3CA20D0">
            <w:pPr>
              <w:pStyle w:val="34"/>
              <w:bidi w:val="0"/>
              <w:rPr>
                <w:highlight w:val="none"/>
              </w:rPr>
            </w:pPr>
            <w:r>
              <w:rPr>
                <w:rFonts w:hint="eastAsia"/>
                <w:highlight w:val="none"/>
              </w:rPr>
              <w:t>产地</w:t>
            </w:r>
          </w:p>
        </w:tc>
      </w:tr>
      <w:tr w14:paraId="3D6FB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DB4B02F">
            <w:pPr>
              <w:pStyle w:val="34"/>
              <w:bidi w:val="0"/>
              <w:rPr>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1A8EE7E8">
            <w:pPr>
              <w:pStyle w:val="34"/>
              <w:bidi w:val="0"/>
              <w:rPr>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25C6F25A">
            <w:pPr>
              <w:pStyle w:val="34"/>
              <w:bidi w:val="0"/>
              <w:rPr>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A2B987A">
            <w:pPr>
              <w:pStyle w:val="34"/>
              <w:bidi w:val="0"/>
              <w:rPr>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71E4A0CC">
            <w:pPr>
              <w:pStyle w:val="34"/>
              <w:bidi w:val="0"/>
              <w:rPr>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0469F679">
            <w:pPr>
              <w:pStyle w:val="34"/>
              <w:bidi w:val="0"/>
              <w:rPr>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F0C9066">
            <w:pPr>
              <w:pStyle w:val="34"/>
              <w:bidi w:val="0"/>
              <w:rPr>
                <w:highlight w:val="none"/>
              </w:rPr>
            </w:pPr>
          </w:p>
        </w:tc>
      </w:tr>
      <w:tr w14:paraId="23BB8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98213FF">
            <w:pPr>
              <w:pStyle w:val="34"/>
              <w:bidi w:val="0"/>
              <w:rPr>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6B3674C6">
            <w:pPr>
              <w:pStyle w:val="34"/>
              <w:bidi w:val="0"/>
              <w:rPr>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7F012C20">
            <w:pPr>
              <w:pStyle w:val="34"/>
              <w:bidi w:val="0"/>
              <w:rPr>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C954DD6">
            <w:pPr>
              <w:pStyle w:val="34"/>
              <w:bidi w:val="0"/>
              <w:rPr>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3107F286">
            <w:pPr>
              <w:pStyle w:val="34"/>
              <w:bidi w:val="0"/>
              <w:rPr>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0E64282F">
            <w:pPr>
              <w:pStyle w:val="34"/>
              <w:bidi w:val="0"/>
              <w:rPr>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85353F1">
            <w:pPr>
              <w:pStyle w:val="34"/>
              <w:bidi w:val="0"/>
              <w:rPr>
                <w:highlight w:val="none"/>
              </w:rPr>
            </w:pPr>
          </w:p>
        </w:tc>
      </w:tr>
      <w:tr w14:paraId="7A90D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D719BA0">
            <w:pPr>
              <w:pStyle w:val="34"/>
              <w:bidi w:val="0"/>
              <w:rPr>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78799EB2">
            <w:pPr>
              <w:pStyle w:val="34"/>
              <w:bidi w:val="0"/>
              <w:rPr>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0F1199A2">
            <w:pPr>
              <w:pStyle w:val="34"/>
              <w:bidi w:val="0"/>
              <w:rPr>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0ABD2151">
            <w:pPr>
              <w:pStyle w:val="34"/>
              <w:bidi w:val="0"/>
              <w:rPr>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722D18C4">
            <w:pPr>
              <w:pStyle w:val="34"/>
              <w:bidi w:val="0"/>
              <w:rPr>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326FE098">
            <w:pPr>
              <w:pStyle w:val="34"/>
              <w:bidi w:val="0"/>
              <w:rPr>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1C9D638">
            <w:pPr>
              <w:pStyle w:val="34"/>
              <w:bidi w:val="0"/>
              <w:rPr>
                <w:highlight w:val="none"/>
              </w:rPr>
            </w:pPr>
          </w:p>
        </w:tc>
      </w:tr>
    </w:tbl>
    <w:p w14:paraId="54DD2398">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19B3C0F0">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1CE6DD76">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6B1B2D4C">
      <w:pPr>
        <w:pStyle w:val="36"/>
        <w:bidi w:val="0"/>
        <w:rPr>
          <w:highlight w:val="none"/>
        </w:rPr>
      </w:pPr>
      <w:r>
        <w:rPr>
          <w:rFonts w:ascii="宋体" w:hAnsi="宋体"/>
          <w:spacing w:val="20"/>
          <w:szCs w:val="21"/>
          <w:highlight w:val="none"/>
        </w:rPr>
        <w:br w:type="page"/>
      </w:r>
      <w:r>
        <w:rPr>
          <w:rFonts w:hint="eastAsia"/>
          <w:highlight w:val="none"/>
        </w:rPr>
        <w:t>2.技术响应表格式：</w:t>
      </w:r>
    </w:p>
    <w:p w14:paraId="6C2D667B">
      <w:pPr>
        <w:pStyle w:val="35"/>
        <w:bidi w:val="0"/>
        <w:rPr>
          <w:rStyle w:val="46"/>
          <w:b/>
          <w:bCs/>
          <w:highlight w:val="none"/>
        </w:rPr>
      </w:pPr>
      <w:r>
        <w:rPr>
          <w:rStyle w:val="46"/>
          <w:rFonts w:hint="eastAsia"/>
          <w:b/>
          <w:bCs/>
          <w:highlight w:val="none"/>
        </w:rPr>
        <w:t>技术响应表</w:t>
      </w:r>
    </w:p>
    <w:p w14:paraId="3A3B3A50">
      <w:pPr>
        <w:bidi w:val="0"/>
        <w:rPr>
          <w:rFonts w:hint="default" w:eastAsia="宋体"/>
          <w:highlight w:val="none"/>
          <w:lang w:val="en-US" w:eastAsia="zh-CN"/>
        </w:rPr>
      </w:pPr>
      <w:r>
        <w:rPr>
          <w:highlight w:val="none"/>
        </w:rPr>
        <w:t>项目</w:t>
      </w:r>
      <w:r>
        <w:rPr>
          <w:rFonts w:hint="eastAsia"/>
          <w:highlight w:val="none"/>
          <w:lang w:val="en-US" w:eastAsia="zh-CN"/>
        </w:rPr>
        <w:t>名称</w:t>
      </w:r>
      <w:r>
        <w:rPr>
          <w:highlight w:val="none"/>
        </w:rPr>
        <w:t>:</w:t>
      </w:r>
      <w:r>
        <w:rPr>
          <w:rFonts w:hint="eastAsia"/>
          <w:highlight w:val="none"/>
          <w:u w:val="single"/>
          <w:lang w:val="en-US" w:eastAsia="zh-CN"/>
        </w:rPr>
        <w:t xml:space="preserve">                           </w:t>
      </w:r>
      <w:r>
        <w:rPr>
          <w:rFonts w:hint="eastAsia"/>
          <w:highlight w:val="none"/>
          <w:lang w:val="en-US" w:eastAsia="zh-CN"/>
        </w:rPr>
        <w:t>项目编号</w:t>
      </w:r>
      <w:r>
        <w:rPr>
          <w:highlight w:val="none"/>
        </w:rPr>
        <w:t>：</w:t>
      </w:r>
      <w:r>
        <w:rPr>
          <w:rFonts w:hint="eastAsia"/>
          <w:highlight w:val="none"/>
          <w:u w:val="single"/>
          <w:lang w:val="en-US" w:eastAsia="zh-CN"/>
        </w:rPr>
        <w:t xml:space="preserve">                             </w:t>
      </w:r>
      <w:r>
        <w:rPr>
          <w:rFonts w:hint="eastAsia"/>
          <w:highlight w:val="none"/>
          <w:u w:val="none"/>
          <w:lang w:val="en-US" w:eastAsia="zh-CN"/>
        </w:rPr>
        <w:t>分标</w:t>
      </w:r>
      <w:r>
        <w:rPr>
          <w:rFonts w:hint="eastAsia"/>
          <w:highlight w:val="none"/>
          <w:u w:val="single"/>
          <w:lang w:val="en-US" w:eastAsia="zh-CN"/>
        </w:rPr>
        <w:t xml:space="preserve">：      </w:t>
      </w:r>
    </w:p>
    <w:tbl>
      <w:tblPr>
        <w:tblStyle w:val="24"/>
        <w:tblW w:w="9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1441"/>
        <w:gridCol w:w="1776"/>
        <w:gridCol w:w="2240"/>
        <w:gridCol w:w="3147"/>
      </w:tblGrid>
      <w:tr w14:paraId="21D96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exact"/>
          <w:jc w:val="center"/>
        </w:trPr>
        <w:tc>
          <w:tcPr>
            <w:tcW w:w="873" w:type="dxa"/>
            <w:vAlign w:val="center"/>
          </w:tcPr>
          <w:p w14:paraId="5CB9F1A5">
            <w:pPr>
              <w:pStyle w:val="34"/>
              <w:bidi w:val="0"/>
              <w:jc w:val="center"/>
              <w:rPr>
                <w:highlight w:val="none"/>
              </w:rPr>
            </w:pPr>
            <w:r>
              <w:rPr>
                <w:highlight w:val="none"/>
              </w:rPr>
              <w:t>项号</w:t>
            </w:r>
          </w:p>
        </w:tc>
        <w:tc>
          <w:tcPr>
            <w:tcW w:w="1441" w:type="dxa"/>
            <w:vAlign w:val="center"/>
          </w:tcPr>
          <w:p w14:paraId="796C5451">
            <w:pPr>
              <w:pStyle w:val="34"/>
              <w:bidi w:val="0"/>
              <w:jc w:val="center"/>
              <w:rPr>
                <w:highlight w:val="none"/>
              </w:rPr>
            </w:pPr>
            <w:r>
              <w:rPr>
                <w:highlight w:val="none"/>
              </w:rPr>
              <w:t>货物名称</w:t>
            </w:r>
          </w:p>
        </w:tc>
        <w:tc>
          <w:tcPr>
            <w:tcW w:w="1776" w:type="dxa"/>
            <w:tcBorders>
              <w:right w:val="single" w:color="auto" w:sz="4" w:space="0"/>
            </w:tcBorders>
            <w:vAlign w:val="center"/>
          </w:tcPr>
          <w:p w14:paraId="2DC575CC">
            <w:pPr>
              <w:pStyle w:val="34"/>
              <w:bidi w:val="0"/>
              <w:jc w:val="center"/>
              <w:rPr>
                <w:highlight w:val="none"/>
              </w:rPr>
            </w:pPr>
            <w:r>
              <w:rPr>
                <w:rFonts w:hint="eastAsia"/>
                <w:highlight w:val="none"/>
              </w:rPr>
              <w:t>招标文件要求</w:t>
            </w:r>
          </w:p>
        </w:tc>
        <w:tc>
          <w:tcPr>
            <w:tcW w:w="2240" w:type="dxa"/>
            <w:tcBorders>
              <w:left w:val="single" w:color="auto" w:sz="4" w:space="0"/>
            </w:tcBorders>
            <w:vAlign w:val="center"/>
          </w:tcPr>
          <w:p w14:paraId="77DC918D">
            <w:pPr>
              <w:pStyle w:val="34"/>
              <w:bidi w:val="0"/>
              <w:jc w:val="center"/>
              <w:rPr>
                <w:highlight w:val="none"/>
              </w:rPr>
            </w:pPr>
            <w:r>
              <w:rPr>
                <w:rFonts w:hint="eastAsia"/>
                <w:highlight w:val="none"/>
              </w:rPr>
              <w:t>投标文件响应</w:t>
            </w:r>
          </w:p>
        </w:tc>
        <w:tc>
          <w:tcPr>
            <w:tcW w:w="3147" w:type="dxa"/>
            <w:vAlign w:val="center"/>
          </w:tcPr>
          <w:p w14:paraId="1071168C">
            <w:pPr>
              <w:pStyle w:val="34"/>
              <w:bidi w:val="0"/>
              <w:jc w:val="center"/>
              <w:rPr>
                <w:highlight w:val="none"/>
              </w:rPr>
            </w:pPr>
            <w:r>
              <w:rPr>
                <w:highlight w:val="none"/>
              </w:rPr>
              <w:t>偏离情况说明</w:t>
            </w:r>
          </w:p>
        </w:tc>
      </w:tr>
      <w:tr w14:paraId="40069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jc w:val="center"/>
        </w:trPr>
        <w:tc>
          <w:tcPr>
            <w:tcW w:w="873" w:type="dxa"/>
            <w:vAlign w:val="center"/>
          </w:tcPr>
          <w:p w14:paraId="61745E90">
            <w:pPr>
              <w:pStyle w:val="34"/>
              <w:bidi w:val="0"/>
              <w:jc w:val="center"/>
              <w:rPr>
                <w:highlight w:val="none"/>
              </w:rPr>
            </w:pPr>
            <w:r>
              <w:rPr>
                <w:highlight w:val="none"/>
              </w:rPr>
              <w:t>1</w:t>
            </w:r>
          </w:p>
        </w:tc>
        <w:tc>
          <w:tcPr>
            <w:tcW w:w="1441" w:type="dxa"/>
            <w:vAlign w:val="center"/>
          </w:tcPr>
          <w:p w14:paraId="25747ABF">
            <w:pPr>
              <w:pStyle w:val="34"/>
              <w:bidi w:val="0"/>
              <w:jc w:val="center"/>
              <w:rPr>
                <w:highlight w:val="none"/>
              </w:rPr>
            </w:pPr>
          </w:p>
        </w:tc>
        <w:tc>
          <w:tcPr>
            <w:tcW w:w="1776" w:type="dxa"/>
            <w:tcBorders>
              <w:right w:val="single" w:color="auto" w:sz="4" w:space="0"/>
            </w:tcBorders>
            <w:vAlign w:val="center"/>
          </w:tcPr>
          <w:p w14:paraId="4B5EB7A6">
            <w:pPr>
              <w:pStyle w:val="34"/>
              <w:bidi w:val="0"/>
              <w:jc w:val="center"/>
              <w:rPr>
                <w:highlight w:val="none"/>
              </w:rPr>
            </w:pPr>
          </w:p>
        </w:tc>
        <w:tc>
          <w:tcPr>
            <w:tcW w:w="2240" w:type="dxa"/>
            <w:tcBorders>
              <w:left w:val="single" w:color="auto" w:sz="4" w:space="0"/>
            </w:tcBorders>
            <w:vAlign w:val="center"/>
          </w:tcPr>
          <w:p w14:paraId="579A60A4">
            <w:pPr>
              <w:pStyle w:val="34"/>
              <w:bidi w:val="0"/>
              <w:jc w:val="center"/>
              <w:rPr>
                <w:highlight w:val="none"/>
              </w:rPr>
            </w:pPr>
          </w:p>
        </w:tc>
        <w:tc>
          <w:tcPr>
            <w:tcW w:w="3147" w:type="dxa"/>
            <w:vAlign w:val="center"/>
          </w:tcPr>
          <w:p w14:paraId="1B809B5A">
            <w:pPr>
              <w:pStyle w:val="34"/>
              <w:bidi w:val="0"/>
              <w:jc w:val="center"/>
              <w:rPr>
                <w:highlight w:val="none"/>
              </w:rPr>
            </w:pPr>
          </w:p>
        </w:tc>
      </w:tr>
      <w:tr w14:paraId="1CFA1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jc w:val="center"/>
        </w:trPr>
        <w:tc>
          <w:tcPr>
            <w:tcW w:w="873" w:type="dxa"/>
            <w:vAlign w:val="center"/>
          </w:tcPr>
          <w:p w14:paraId="3BF60357">
            <w:pPr>
              <w:pStyle w:val="34"/>
              <w:bidi w:val="0"/>
              <w:jc w:val="center"/>
              <w:rPr>
                <w:highlight w:val="none"/>
              </w:rPr>
            </w:pPr>
            <w:r>
              <w:rPr>
                <w:highlight w:val="none"/>
              </w:rPr>
              <w:t>2</w:t>
            </w:r>
          </w:p>
        </w:tc>
        <w:tc>
          <w:tcPr>
            <w:tcW w:w="1441" w:type="dxa"/>
            <w:vAlign w:val="center"/>
          </w:tcPr>
          <w:p w14:paraId="219F9B2D">
            <w:pPr>
              <w:pStyle w:val="34"/>
              <w:bidi w:val="0"/>
              <w:jc w:val="center"/>
              <w:rPr>
                <w:highlight w:val="none"/>
              </w:rPr>
            </w:pPr>
          </w:p>
        </w:tc>
        <w:tc>
          <w:tcPr>
            <w:tcW w:w="1776" w:type="dxa"/>
            <w:tcBorders>
              <w:right w:val="single" w:color="auto" w:sz="4" w:space="0"/>
            </w:tcBorders>
            <w:vAlign w:val="center"/>
          </w:tcPr>
          <w:p w14:paraId="5C632960">
            <w:pPr>
              <w:pStyle w:val="34"/>
              <w:bidi w:val="0"/>
              <w:jc w:val="center"/>
              <w:rPr>
                <w:highlight w:val="none"/>
              </w:rPr>
            </w:pPr>
          </w:p>
        </w:tc>
        <w:tc>
          <w:tcPr>
            <w:tcW w:w="2240" w:type="dxa"/>
            <w:tcBorders>
              <w:left w:val="single" w:color="auto" w:sz="4" w:space="0"/>
            </w:tcBorders>
            <w:vAlign w:val="center"/>
          </w:tcPr>
          <w:p w14:paraId="07C93DC1">
            <w:pPr>
              <w:pStyle w:val="34"/>
              <w:bidi w:val="0"/>
              <w:jc w:val="center"/>
              <w:rPr>
                <w:highlight w:val="none"/>
              </w:rPr>
            </w:pPr>
          </w:p>
        </w:tc>
        <w:tc>
          <w:tcPr>
            <w:tcW w:w="3147" w:type="dxa"/>
            <w:vAlign w:val="center"/>
          </w:tcPr>
          <w:p w14:paraId="03B3CB65">
            <w:pPr>
              <w:pStyle w:val="34"/>
              <w:bidi w:val="0"/>
              <w:jc w:val="center"/>
              <w:rPr>
                <w:highlight w:val="none"/>
              </w:rPr>
            </w:pPr>
          </w:p>
        </w:tc>
      </w:tr>
      <w:tr w14:paraId="0B8B0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jc w:val="center"/>
        </w:trPr>
        <w:tc>
          <w:tcPr>
            <w:tcW w:w="873" w:type="dxa"/>
            <w:vAlign w:val="center"/>
          </w:tcPr>
          <w:p w14:paraId="3F4AB153">
            <w:pPr>
              <w:pStyle w:val="34"/>
              <w:bidi w:val="0"/>
              <w:jc w:val="center"/>
              <w:rPr>
                <w:highlight w:val="none"/>
              </w:rPr>
            </w:pPr>
            <w:r>
              <w:rPr>
                <w:highlight w:val="none"/>
              </w:rPr>
              <w:t>…</w:t>
            </w:r>
          </w:p>
        </w:tc>
        <w:tc>
          <w:tcPr>
            <w:tcW w:w="1441" w:type="dxa"/>
            <w:vAlign w:val="center"/>
          </w:tcPr>
          <w:p w14:paraId="2E9BD443">
            <w:pPr>
              <w:pStyle w:val="34"/>
              <w:bidi w:val="0"/>
              <w:jc w:val="center"/>
              <w:rPr>
                <w:highlight w:val="none"/>
              </w:rPr>
            </w:pPr>
          </w:p>
        </w:tc>
        <w:tc>
          <w:tcPr>
            <w:tcW w:w="1776" w:type="dxa"/>
            <w:tcBorders>
              <w:right w:val="single" w:color="auto" w:sz="4" w:space="0"/>
            </w:tcBorders>
            <w:vAlign w:val="center"/>
          </w:tcPr>
          <w:p w14:paraId="13D9A2C6">
            <w:pPr>
              <w:pStyle w:val="34"/>
              <w:bidi w:val="0"/>
              <w:jc w:val="center"/>
              <w:rPr>
                <w:highlight w:val="none"/>
              </w:rPr>
            </w:pPr>
          </w:p>
        </w:tc>
        <w:tc>
          <w:tcPr>
            <w:tcW w:w="2240" w:type="dxa"/>
            <w:tcBorders>
              <w:left w:val="single" w:color="auto" w:sz="4" w:space="0"/>
            </w:tcBorders>
            <w:vAlign w:val="center"/>
          </w:tcPr>
          <w:p w14:paraId="37C1DBA7">
            <w:pPr>
              <w:pStyle w:val="34"/>
              <w:bidi w:val="0"/>
              <w:jc w:val="center"/>
              <w:rPr>
                <w:highlight w:val="none"/>
              </w:rPr>
            </w:pPr>
          </w:p>
        </w:tc>
        <w:tc>
          <w:tcPr>
            <w:tcW w:w="3147" w:type="dxa"/>
            <w:vAlign w:val="center"/>
          </w:tcPr>
          <w:p w14:paraId="54BED322">
            <w:pPr>
              <w:pStyle w:val="34"/>
              <w:bidi w:val="0"/>
              <w:jc w:val="center"/>
              <w:rPr>
                <w:highlight w:val="none"/>
              </w:rPr>
            </w:pPr>
          </w:p>
        </w:tc>
      </w:tr>
    </w:tbl>
    <w:p w14:paraId="5415A2F2">
      <w:pPr>
        <w:pStyle w:val="36"/>
        <w:bidi w:val="0"/>
        <w:rPr>
          <w:highlight w:val="none"/>
        </w:rPr>
      </w:pPr>
      <w:r>
        <w:rPr>
          <w:rFonts w:hint="eastAsia"/>
          <w:highlight w:val="none"/>
        </w:rPr>
        <w:t>注：1、人应根据投标设备的性能指标、对照招标文件要求在“偏离情况”栏注明“正偏离”、“负偏离”或“无偏离”。</w:t>
      </w:r>
    </w:p>
    <w:p w14:paraId="464A74B2">
      <w:pPr>
        <w:pStyle w:val="36"/>
        <w:bidi w:val="0"/>
        <w:rPr>
          <w:highlight w:val="none"/>
        </w:rPr>
      </w:pPr>
      <w:r>
        <w:rPr>
          <w:rFonts w:hint="eastAsia"/>
          <w:highlight w:val="none"/>
        </w:rPr>
        <w:t>2、投</w:t>
      </w:r>
      <w:r>
        <w:rPr>
          <w:highlight w:val="none"/>
        </w:rPr>
        <w:t>标人应将投标货物的性能指标中与招标文件要求的性能指标有偏离的地方用明显标识，以便于评委评审，否则如给评审造成困难，其可能导致评委作出不利于投标人的评价，是投标人的责任。</w:t>
      </w:r>
    </w:p>
    <w:p w14:paraId="4089DF83">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3182B7F8">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397C3807">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7EB57233">
      <w:pPr>
        <w:pageBreakBefore w:val="0"/>
        <w:kinsoku/>
        <w:wordWrap w:val="0"/>
        <w:overflowPunct/>
        <w:topLinePunct/>
        <w:autoSpaceDE w:val="0"/>
        <w:autoSpaceDN w:val="0"/>
        <w:bidi w:val="0"/>
        <w:snapToGrid w:val="0"/>
        <w:spacing w:before="50" w:after="50" w:line="360" w:lineRule="exact"/>
        <w:rPr>
          <w:rFonts w:ascii="宋体" w:hAnsi="宋体"/>
          <w:spacing w:val="20"/>
          <w:szCs w:val="21"/>
          <w:highlight w:val="none"/>
        </w:rPr>
      </w:pPr>
    </w:p>
    <w:p w14:paraId="577C9017">
      <w:pPr>
        <w:pageBreakBefore w:val="0"/>
        <w:kinsoku/>
        <w:wordWrap w:val="0"/>
        <w:overflowPunct/>
        <w:topLinePunct/>
        <w:autoSpaceDE w:val="0"/>
        <w:autoSpaceDN w:val="0"/>
        <w:bidi w:val="0"/>
        <w:snapToGrid w:val="0"/>
        <w:spacing w:before="50" w:after="50" w:line="360" w:lineRule="exact"/>
        <w:rPr>
          <w:rFonts w:hint="eastAsia" w:ascii="宋体" w:hAnsi="宋体"/>
          <w:szCs w:val="21"/>
          <w:highlight w:val="none"/>
        </w:rPr>
        <w:sectPr>
          <w:pgSz w:w="11906" w:h="16839"/>
          <w:pgMar w:top="400" w:right="994" w:bottom="1156" w:left="1255" w:header="0" w:footer="994" w:gutter="0"/>
          <w:pgNumType w:fmt="decimal"/>
          <w:cols w:space="720" w:num="1"/>
        </w:sectPr>
      </w:pPr>
    </w:p>
    <w:p w14:paraId="53C3A0B4">
      <w:pPr>
        <w:pageBreakBefore w:val="0"/>
        <w:kinsoku/>
        <w:wordWrap w:val="0"/>
        <w:overflowPunct/>
        <w:topLinePunct/>
        <w:autoSpaceDE w:val="0"/>
        <w:autoSpaceDN w:val="0"/>
        <w:bidi w:val="0"/>
        <w:snapToGrid w:val="0"/>
        <w:spacing w:before="50" w:after="50" w:line="360" w:lineRule="exact"/>
        <w:rPr>
          <w:rFonts w:ascii="宋体" w:hAnsi="宋体"/>
          <w:spacing w:val="20"/>
          <w:szCs w:val="21"/>
          <w:highlight w:val="none"/>
        </w:rPr>
      </w:pPr>
      <w:r>
        <w:rPr>
          <w:rFonts w:hint="eastAsia" w:ascii="宋体" w:hAnsi="宋体"/>
          <w:szCs w:val="21"/>
          <w:highlight w:val="none"/>
        </w:rPr>
        <w:t>技术响应表附件</w:t>
      </w:r>
      <w:r>
        <w:rPr>
          <w:rFonts w:hint="eastAsia" w:ascii="宋体" w:hAnsi="宋体"/>
          <w:spacing w:val="20"/>
          <w:szCs w:val="21"/>
          <w:highlight w:val="none"/>
        </w:rPr>
        <w:t>：</w:t>
      </w:r>
    </w:p>
    <w:tbl>
      <w:tblPr>
        <w:tblStyle w:val="24"/>
        <w:tblW w:w="8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2834"/>
        <w:gridCol w:w="2550"/>
        <w:gridCol w:w="2551"/>
      </w:tblGrid>
      <w:tr w14:paraId="2B375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8897" w:type="dxa"/>
            <w:gridSpan w:val="4"/>
            <w:tcBorders>
              <w:top w:val="single" w:color="auto" w:sz="4" w:space="0"/>
              <w:left w:val="single" w:color="auto" w:sz="4" w:space="0"/>
              <w:bottom w:val="single" w:color="auto" w:sz="4" w:space="0"/>
              <w:right w:val="single" w:color="auto" w:sz="4" w:space="0"/>
            </w:tcBorders>
            <w:vAlign w:val="center"/>
          </w:tcPr>
          <w:p w14:paraId="4C0B7473">
            <w:pPr>
              <w:pStyle w:val="34"/>
              <w:bidi w:val="0"/>
              <w:rPr>
                <w:highlight w:val="none"/>
              </w:rPr>
            </w:pPr>
            <w:r>
              <w:rPr>
                <w:rFonts w:hint="eastAsia"/>
                <w:highlight w:val="none"/>
              </w:rPr>
              <w:t>附件资料汇总表</w:t>
            </w:r>
          </w:p>
        </w:tc>
      </w:tr>
      <w:tr w14:paraId="072FB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792E4ED3">
            <w:pPr>
              <w:pStyle w:val="34"/>
              <w:bidi w:val="0"/>
              <w:rPr>
                <w:highlight w:val="none"/>
              </w:rPr>
            </w:pPr>
            <w:r>
              <w:rPr>
                <w:rFonts w:hint="eastAsia"/>
                <w:highlight w:val="none"/>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5972725C">
            <w:pPr>
              <w:pStyle w:val="34"/>
              <w:bidi w:val="0"/>
              <w:rPr>
                <w:highlight w:val="none"/>
              </w:rPr>
            </w:pPr>
            <w:r>
              <w:rPr>
                <w:rFonts w:hint="eastAsia"/>
                <w:highlight w:val="none"/>
              </w:rPr>
              <w:t>设备名称</w:t>
            </w:r>
          </w:p>
        </w:tc>
        <w:tc>
          <w:tcPr>
            <w:tcW w:w="2551" w:type="dxa"/>
            <w:tcBorders>
              <w:top w:val="single" w:color="auto" w:sz="4" w:space="0"/>
              <w:left w:val="single" w:color="auto" w:sz="4" w:space="0"/>
              <w:bottom w:val="single" w:color="auto" w:sz="4" w:space="0"/>
              <w:right w:val="single" w:color="auto" w:sz="4" w:space="0"/>
            </w:tcBorders>
            <w:vAlign w:val="center"/>
          </w:tcPr>
          <w:p w14:paraId="1BCADF93">
            <w:pPr>
              <w:pStyle w:val="34"/>
              <w:bidi w:val="0"/>
              <w:rPr>
                <w:highlight w:val="none"/>
              </w:rPr>
            </w:pPr>
            <w:r>
              <w:rPr>
                <w:rFonts w:hint="eastAsia"/>
                <w:highlight w:val="none"/>
              </w:rPr>
              <w:t>资料名称</w:t>
            </w:r>
          </w:p>
        </w:tc>
        <w:tc>
          <w:tcPr>
            <w:tcW w:w="2552" w:type="dxa"/>
            <w:tcBorders>
              <w:top w:val="single" w:color="auto" w:sz="4" w:space="0"/>
              <w:left w:val="single" w:color="auto" w:sz="4" w:space="0"/>
              <w:bottom w:val="single" w:color="auto" w:sz="4" w:space="0"/>
              <w:right w:val="single" w:color="auto" w:sz="4" w:space="0"/>
            </w:tcBorders>
            <w:vAlign w:val="center"/>
          </w:tcPr>
          <w:p w14:paraId="6D64CE10">
            <w:pPr>
              <w:pStyle w:val="34"/>
              <w:bidi w:val="0"/>
              <w:rPr>
                <w:highlight w:val="none"/>
              </w:rPr>
            </w:pPr>
            <w:r>
              <w:rPr>
                <w:rFonts w:hint="eastAsia"/>
                <w:highlight w:val="none"/>
              </w:rPr>
              <w:t>附件页码</w:t>
            </w:r>
          </w:p>
        </w:tc>
      </w:tr>
      <w:tr w14:paraId="2D9F6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59" w:type="dxa"/>
            <w:tcBorders>
              <w:top w:val="single" w:color="auto" w:sz="4" w:space="0"/>
              <w:left w:val="single" w:color="auto" w:sz="4" w:space="0"/>
              <w:bottom w:val="single" w:color="auto" w:sz="4" w:space="0"/>
              <w:right w:val="single" w:color="auto" w:sz="4" w:space="0"/>
            </w:tcBorders>
          </w:tcPr>
          <w:p w14:paraId="1267D398">
            <w:pPr>
              <w:pStyle w:val="34"/>
              <w:bidi w:val="0"/>
              <w:rPr>
                <w:highlight w:val="none"/>
              </w:rPr>
            </w:pPr>
          </w:p>
        </w:tc>
        <w:tc>
          <w:tcPr>
            <w:tcW w:w="2835" w:type="dxa"/>
            <w:tcBorders>
              <w:top w:val="single" w:color="auto" w:sz="4" w:space="0"/>
              <w:left w:val="single" w:color="auto" w:sz="4" w:space="0"/>
              <w:bottom w:val="single" w:color="auto" w:sz="4" w:space="0"/>
              <w:right w:val="single" w:color="auto" w:sz="4" w:space="0"/>
            </w:tcBorders>
          </w:tcPr>
          <w:p w14:paraId="65158DAE">
            <w:pPr>
              <w:pStyle w:val="34"/>
              <w:bidi w:val="0"/>
              <w:rPr>
                <w:highlight w:val="none"/>
              </w:rPr>
            </w:pPr>
          </w:p>
        </w:tc>
        <w:tc>
          <w:tcPr>
            <w:tcW w:w="2551" w:type="dxa"/>
            <w:tcBorders>
              <w:top w:val="single" w:color="auto" w:sz="4" w:space="0"/>
              <w:left w:val="single" w:color="auto" w:sz="4" w:space="0"/>
              <w:bottom w:val="single" w:color="auto" w:sz="4" w:space="0"/>
              <w:right w:val="single" w:color="auto" w:sz="4" w:space="0"/>
            </w:tcBorders>
          </w:tcPr>
          <w:p w14:paraId="1E648574">
            <w:pPr>
              <w:pStyle w:val="34"/>
              <w:bidi w:val="0"/>
              <w:rPr>
                <w:highlight w:val="none"/>
              </w:rPr>
            </w:pPr>
          </w:p>
        </w:tc>
        <w:tc>
          <w:tcPr>
            <w:tcW w:w="2552" w:type="dxa"/>
            <w:tcBorders>
              <w:top w:val="single" w:color="auto" w:sz="4" w:space="0"/>
              <w:left w:val="single" w:color="auto" w:sz="4" w:space="0"/>
              <w:bottom w:val="single" w:color="auto" w:sz="4" w:space="0"/>
              <w:right w:val="single" w:color="auto" w:sz="4" w:space="0"/>
            </w:tcBorders>
          </w:tcPr>
          <w:p w14:paraId="645BDBCA">
            <w:pPr>
              <w:pStyle w:val="34"/>
              <w:bidi w:val="0"/>
              <w:rPr>
                <w:highlight w:val="none"/>
              </w:rPr>
            </w:pPr>
          </w:p>
        </w:tc>
      </w:tr>
      <w:tr w14:paraId="31FDE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59" w:type="dxa"/>
            <w:tcBorders>
              <w:top w:val="single" w:color="auto" w:sz="4" w:space="0"/>
              <w:left w:val="single" w:color="auto" w:sz="4" w:space="0"/>
              <w:bottom w:val="single" w:color="auto" w:sz="4" w:space="0"/>
              <w:right w:val="single" w:color="auto" w:sz="4" w:space="0"/>
            </w:tcBorders>
          </w:tcPr>
          <w:p w14:paraId="23FE2250">
            <w:pPr>
              <w:pStyle w:val="34"/>
              <w:bidi w:val="0"/>
              <w:rPr>
                <w:highlight w:val="none"/>
              </w:rPr>
            </w:pPr>
          </w:p>
        </w:tc>
        <w:tc>
          <w:tcPr>
            <w:tcW w:w="2835" w:type="dxa"/>
            <w:tcBorders>
              <w:top w:val="single" w:color="auto" w:sz="4" w:space="0"/>
              <w:left w:val="single" w:color="auto" w:sz="4" w:space="0"/>
              <w:bottom w:val="single" w:color="auto" w:sz="4" w:space="0"/>
              <w:right w:val="single" w:color="auto" w:sz="4" w:space="0"/>
            </w:tcBorders>
          </w:tcPr>
          <w:p w14:paraId="4EA0D4A5">
            <w:pPr>
              <w:pStyle w:val="34"/>
              <w:bidi w:val="0"/>
              <w:rPr>
                <w:highlight w:val="none"/>
              </w:rPr>
            </w:pPr>
          </w:p>
        </w:tc>
        <w:tc>
          <w:tcPr>
            <w:tcW w:w="2551" w:type="dxa"/>
            <w:tcBorders>
              <w:top w:val="single" w:color="auto" w:sz="4" w:space="0"/>
              <w:left w:val="single" w:color="auto" w:sz="4" w:space="0"/>
              <w:bottom w:val="single" w:color="auto" w:sz="4" w:space="0"/>
              <w:right w:val="single" w:color="auto" w:sz="4" w:space="0"/>
            </w:tcBorders>
          </w:tcPr>
          <w:p w14:paraId="34D6D2B7">
            <w:pPr>
              <w:pStyle w:val="34"/>
              <w:bidi w:val="0"/>
              <w:rPr>
                <w:highlight w:val="none"/>
              </w:rPr>
            </w:pPr>
          </w:p>
        </w:tc>
        <w:tc>
          <w:tcPr>
            <w:tcW w:w="2552" w:type="dxa"/>
            <w:tcBorders>
              <w:top w:val="single" w:color="auto" w:sz="4" w:space="0"/>
              <w:left w:val="single" w:color="auto" w:sz="4" w:space="0"/>
              <w:bottom w:val="single" w:color="auto" w:sz="4" w:space="0"/>
              <w:right w:val="single" w:color="auto" w:sz="4" w:space="0"/>
            </w:tcBorders>
          </w:tcPr>
          <w:p w14:paraId="147FB9A4">
            <w:pPr>
              <w:pStyle w:val="34"/>
              <w:bidi w:val="0"/>
              <w:rPr>
                <w:highlight w:val="none"/>
              </w:rPr>
            </w:pPr>
          </w:p>
        </w:tc>
      </w:tr>
      <w:tr w14:paraId="09CBF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59" w:type="dxa"/>
            <w:tcBorders>
              <w:top w:val="single" w:color="auto" w:sz="4" w:space="0"/>
              <w:left w:val="single" w:color="auto" w:sz="4" w:space="0"/>
              <w:bottom w:val="single" w:color="auto" w:sz="4" w:space="0"/>
              <w:right w:val="single" w:color="auto" w:sz="4" w:space="0"/>
            </w:tcBorders>
          </w:tcPr>
          <w:p w14:paraId="7F174C44">
            <w:pPr>
              <w:pStyle w:val="34"/>
              <w:bidi w:val="0"/>
              <w:rPr>
                <w:highlight w:val="none"/>
              </w:rPr>
            </w:pPr>
          </w:p>
        </w:tc>
        <w:tc>
          <w:tcPr>
            <w:tcW w:w="2835" w:type="dxa"/>
            <w:tcBorders>
              <w:top w:val="single" w:color="auto" w:sz="4" w:space="0"/>
              <w:left w:val="single" w:color="auto" w:sz="4" w:space="0"/>
              <w:bottom w:val="single" w:color="auto" w:sz="4" w:space="0"/>
              <w:right w:val="single" w:color="auto" w:sz="4" w:space="0"/>
            </w:tcBorders>
          </w:tcPr>
          <w:p w14:paraId="7C83565B">
            <w:pPr>
              <w:pStyle w:val="34"/>
              <w:bidi w:val="0"/>
              <w:rPr>
                <w:highlight w:val="none"/>
              </w:rPr>
            </w:pPr>
          </w:p>
        </w:tc>
        <w:tc>
          <w:tcPr>
            <w:tcW w:w="2551" w:type="dxa"/>
            <w:tcBorders>
              <w:top w:val="single" w:color="auto" w:sz="4" w:space="0"/>
              <w:left w:val="single" w:color="auto" w:sz="4" w:space="0"/>
              <w:bottom w:val="single" w:color="auto" w:sz="4" w:space="0"/>
              <w:right w:val="single" w:color="auto" w:sz="4" w:space="0"/>
            </w:tcBorders>
          </w:tcPr>
          <w:p w14:paraId="6B495837">
            <w:pPr>
              <w:pStyle w:val="34"/>
              <w:bidi w:val="0"/>
              <w:rPr>
                <w:highlight w:val="none"/>
              </w:rPr>
            </w:pPr>
          </w:p>
        </w:tc>
        <w:tc>
          <w:tcPr>
            <w:tcW w:w="2552" w:type="dxa"/>
            <w:tcBorders>
              <w:top w:val="single" w:color="auto" w:sz="4" w:space="0"/>
              <w:left w:val="single" w:color="auto" w:sz="4" w:space="0"/>
              <w:bottom w:val="single" w:color="auto" w:sz="4" w:space="0"/>
              <w:right w:val="single" w:color="auto" w:sz="4" w:space="0"/>
            </w:tcBorders>
          </w:tcPr>
          <w:p w14:paraId="2BDD7F4A">
            <w:pPr>
              <w:pStyle w:val="34"/>
              <w:bidi w:val="0"/>
              <w:rPr>
                <w:highlight w:val="none"/>
              </w:rPr>
            </w:pPr>
          </w:p>
        </w:tc>
      </w:tr>
      <w:tr w14:paraId="5AFC6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959" w:type="dxa"/>
            <w:tcBorders>
              <w:top w:val="single" w:color="auto" w:sz="4" w:space="0"/>
              <w:left w:val="single" w:color="auto" w:sz="4" w:space="0"/>
              <w:bottom w:val="single" w:color="auto" w:sz="4" w:space="0"/>
              <w:right w:val="single" w:color="auto" w:sz="4" w:space="0"/>
            </w:tcBorders>
          </w:tcPr>
          <w:p w14:paraId="5C6BF50B">
            <w:pPr>
              <w:pStyle w:val="34"/>
              <w:bidi w:val="0"/>
              <w:rPr>
                <w:highlight w:val="none"/>
              </w:rPr>
            </w:pPr>
          </w:p>
        </w:tc>
        <w:tc>
          <w:tcPr>
            <w:tcW w:w="2835" w:type="dxa"/>
            <w:tcBorders>
              <w:top w:val="single" w:color="auto" w:sz="4" w:space="0"/>
              <w:left w:val="single" w:color="auto" w:sz="4" w:space="0"/>
              <w:bottom w:val="single" w:color="auto" w:sz="4" w:space="0"/>
              <w:right w:val="single" w:color="auto" w:sz="4" w:space="0"/>
            </w:tcBorders>
          </w:tcPr>
          <w:p w14:paraId="77D62334">
            <w:pPr>
              <w:pStyle w:val="34"/>
              <w:bidi w:val="0"/>
              <w:rPr>
                <w:highlight w:val="none"/>
              </w:rPr>
            </w:pPr>
          </w:p>
        </w:tc>
        <w:tc>
          <w:tcPr>
            <w:tcW w:w="2551" w:type="dxa"/>
            <w:tcBorders>
              <w:top w:val="single" w:color="auto" w:sz="4" w:space="0"/>
              <w:left w:val="single" w:color="auto" w:sz="4" w:space="0"/>
              <w:bottom w:val="single" w:color="auto" w:sz="4" w:space="0"/>
              <w:right w:val="single" w:color="auto" w:sz="4" w:space="0"/>
            </w:tcBorders>
          </w:tcPr>
          <w:p w14:paraId="3E9E0E14">
            <w:pPr>
              <w:pStyle w:val="34"/>
              <w:bidi w:val="0"/>
              <w:rPr>
                <w:highlight w:val="none"/>
              </w:rPr>
            </w:pPr>
          </w:p>
        </w:tc>
        <w:tc>
          <w:tcPr>
            <w:tcW w:w="2552" w:type="dxa"/>
            <w:tcBorders>
              <w:top w:val="single" w:color="auto" w:sz="4" w:space="0"/>
              <w:left w:val="single" w:color="auto" w:sz="4" w:space="0"/>
              <w:bottom w:val="single" w:color="auto" w:sz="4" w:space="0"/>
              <w:right w:val="single" w:color="auto" w:sz="4" w:space="0"/>
            </w:tcBorders>
          </w:tcPr>
          <w:p w14:paraId="05D57631">
            <w:pPr>
              <w:pStyle w:val="34"/>
              <w:bidi w:val="0"/>
              <w:rPr>
                <w:highlight w:val="none"/>
              </w:rPr>
            </w:pPr>
          </w:p>
        </w:tc>
      </w:tr>
      <w:tr w14:paraId="4BB5C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959" w:type="dxa"/>
            <w:tcBorders>
              <w:top w:val="single" w:color="auto" w:sz="4" w:space="0"/>
              <w:left w:val="single" w:color="auto" w:sz="4" w:space="0"/>
              <w:bottom w:val="single" w:color="auto" w:sz="4" w:space="0"/>
              <w:right w:val="single" w:color="auto" w:sz="4" w:space="0"/>
            </w:tcBorders>
          </w:tcPr>
          <w:p w14:paraId="423DAC47">
            <w:pPr>
              <w:pStyle w:val="34"/>
              <w:bidi w:val="0"/>
              <w:rPr>
                <w:highlight w:val="none"/>
              </w:rPr>
            </w:pPr>
          </w:p>
        </w:tc>
        <w:tc>
          <w:tcPr>
            <w:tcW w:w="2835" w:type="dxa"/>
            <w:tcBorders>
              <w:top w:val="single" w:color="auto" w:sz="4" w:space="0"/>
              <w:left w:val="single" w:color="auto" w:sz="4" w:space="0"/>
              <w:bottom w:val="single" w:color="auto" w:sz="4" w:space="0"/>
              <w:right w:val="single" w:color="auto" w:sz="4" w:space="0"/>
            </w:tcBorders>
          </w:tcPr>
          <w:p w14:paraId="5159FB2B">
            <w:pPr>
              <w:pStyle w:val="34"/>
              <w:bidi w:val="0"/>
              <w:rPr>
                <w:highlight w:val="none"/>
              </w:rPr>
            </w:pPr>
          </w:p>
        </w:tc>
        <w:tc>
          <w:tcPr>
            <w:tcW w:w="2551" w:type="dxa"/>
            <w:tcBorders>
              <w:top w:val="single" w:color="auto" w:sz="4" w:space="0"/>
              <w:left w:val="single" w:color="auto" w:sz="4" w:space="0"/>
              <w:bottom w:val="single" w:color="auto" w:sz="4" w:space="0"/>
              <w:right w:val="single" w:color="auto" w:sz="4" w:space="0"/>
            </w:tcBorders>
          </w:tcPr>
          <w:p w14:paraId="0FC31369">
            <w:pPr>
              <w:pStyle w:val="34"/>
              <w:bidi w:val="0"/>
              <w:rPr>
                <w:highlight w:val="none"/>
              </w:rPr>
            </w:pPr>
          </w:p>
        </w:tc>
        <w:tc>
          <w:tcPr>
            <w:tcW w:w="2552" w:type="dxa"/>
            <w:tcBorders>
              <w:top w:val="single" w:color="auto" w:sz="4" w:space="0"/>
              <w:left w:val="single" w:color="auto" w:sz="4" w:space="0"/>
              <w:bottom w:val="single" w:color="auto" w:sz="4" w:space="0"/>
              <w:right w:val="single" w:color="auto" w:sz="4" w:space="0"/>
            </w:tcBorders>
          </w:tcPr>
          <w:p w14:paraId="70A1C429">
            <w:pPr>
              <w:pStyle w:val="34"/>
              <w:bidi w:val="0"/>
              <w:rPr>
                <w:highlight w:val="none"/>
              </w:rPr>
            </w:pPr>
          </w:p>
        </w:tc>
      </w:tr>
    </w:tbl>
    <w:p w14:paraId="0AEFE019">
      <w:pPr>
        <w:pStyle w:val="36"/>
        <w:bidi w:val="0"/>
        <w:rPr>
          <w:highlight w:val="none"/>
        </w:rPr>
      </w:pPr>
      <w:r>
        <w:rPr>
          <w:rFonts w:hint="eastAsia"/>
          <w:highlight w:val="none"/>
        </w:rPr>
        <w:t>注：此表后附“第三章采购需求”中要求必须提供的资料，也可附供应商认为需要提供的投标货物相关资料。</w:t>
      </w:r>
    </w:p>
    <w:p w14:paraId="324935D6">
      <w:pPr>
        <w:pStyle w:val="12"/>
        <w:pageBreakBefore w:val="0"/>
        <w:kinsoku/>
        <w:wordWrap w:val="0"/>
        <w:overflowPunct/>
        <w:topLinePunct/>
        <w:autoSpaceDE w:val="0"/>
        <w:autoSpaceDN w:val="0"/>
        <w:bidi w:val="0"/>
        <w:spacing w:line="400" w:lineRule="exact"/>
        <w:jc w:val="left"/>
        <w:rPr>
          <w:rFonts w:hAnsi="宋体"/>
          <w:b/>
          <w:sz w:val="24"/>
          <w:highlight w:val="none"/>
        </w:rPr>
      </w:pPr>
    </w:p>
    <w:p w14:paraId="3ABB92CF">
      <w:pPr>
        <w:pStyle w:val="12"/>
        <w:pageBreakBefore w:val="0"/>
        <w:kinsoku/>
        <w:wordWrap w:val="0"/>
        <w:overflowPunct/>
        <w:topLinePunct/>
        <w:autoSpaceDE w:val="0"/>
        <w:autoSpaceDN w:val="0"/>
        <w:bidi w:val="0"/>
        <w:spacing w:line="400" w:lineRule="exact"/>
        <w:jc w:val="left"/>
        <w:rPr>
          <w:rFonts w:hAnsi="宋体"/>
          <w:b/>
          <w:sz w:val="24"/>
          <w:highlight w:val="none"/>
        </w:rPr>
      </w:pPr>
    </w:p>
    <w:p w14:paraId="2259F0BD">
      <w:pPr>
        <w:pStyle w:val="12"/>
        <w:pageBreakBefore w:val="0"/>
        <w:kinsoku/>
        <w:wordWrap w:val="0"/>
        <w:overflowPunct/>
        <w:topLinePunct/>
        <w:autoSpaceDE w:val="0"/>
        <w:autoSpaceDN w:val="0"/>
        <w:bidi w:val="0"/>
        <w:spacing w:line="400" w:lineRule="exact"/>
        <w:jc w:val="left"/>
        <w:rPr>
          <w:rFonts w:hint="eastAsia" w:hAnsi="宋体"/>
          <w:b/>
          <w:sz w:val="24"/>
          <w:highlight w:val="none"/>
        </w:rPr>
        <w:sectPr>
          <w:pgSz w:w="11906" w:h="16839"/>
          <w:pgMar w:top="400" w:right="994" w:bottom="1156" w:left="1255" w:header="0" w:footer="994" w:gutter="0"/>
          <w:pgNumType w:fmt="decimal"/>
          <w:cols w:space="720" w:num="1"/>
        </w:sectPr>
      </w:pPr>
    </w:p>
    <w:p w14:paraId="08F074D4">
      <w:pPr>
        <w:pStyle w:val="36"/>
        <w:bidi w:val="0"/>
        <w:rPr>
          <w:highlight w:val="none"/>
        </w:rPr>
      </w:pPr>
      <w:r>
        <w:rPr>
          <w:rFonts w:hint="eastAsia"/>
          <w:highlight w:val="none"/>
        </w:rPr>
        <w:t>3. 项目实施方案格式：</w:t>
      </w:r>
    </w:p>
    <w:p w14:paraId="7D504082">
      <w:pPr>
        <w:pStyle w:val="35"/>
        <w:bidi w:val="0"/>
        <w:rPr>
          <w:highlight w:val="none"/>
        </w:rPr>
      </w:pPr>
      <w:r>
        <w:rPr>
          <w:rFonts w:hint="eastAsia"/>
          <w:highlight w:val="none"/>
        </w:rPr>
        <w:t>项目实施方案</w:t>
      </w:r>
    </w:p>
    <w:p w14:paraId="509AE9C7">
      <w:pPr>
        <w:bidi w:val="0"/>
        <w:rPr>
          <w:highlight w:val="none"/>
        </w:rPr>
      </w:pPr>
      <w:r>
        <w:rPr>
          <w:rFonts w:hint="eastAsia"/>
          <w:highlight w:val="none"/>
        </w:rPr>
        <w:t>由供应商按第三章《采购需求》所投采购需求自行填写，所作的项目实施方案作为构成合同不可分割的部分，必须真实、诚信。</w:t>
      </w:r>
    </w:p>
    <w:p w14:paraId="50C45806">
      <w:pPr>
        <w:pStyle w:val="12"/>
        <w:pageBreakBefore w:val="0"/>
        <w:kinsoku/>
        <w:wordWrap w:val="0"/>
        <w:overflowPunct/>
        <w:topLinePunct/>
        <w:autoSpaceDE w:val="0"/>
        <w:autoSpaceDN w:val="0"/>
        <w:bidi w:val="0"/>
        <w:spacing w:line="440" w:lineRule="exact"/>
        <w:ind w:firstLine="402" w:firstLineChars="200"/>
        <w:rPr>
          <w:rFonts w:hAnsi="宋体" w:cs="仿宋_GB2312"/>
          <w:b/>
          <w:bCs/>
          <w:sz w:val="20"/>
          <w:highlight w:val="none"/>
        </w:rPr>
      </w:pPr>
    </w:p>
    <w:p w14:paraId="13A0F863">
      <w:pPr>
        <w:pStyle w:val="12"/>
        <w:pageBreakBefore w:val="0"/>
        <w:kinsoku/>
        <w:wordWrap w:val="0"/>
        <w:overflowPunct/>
        <w:topLinePunct/>
        <w:autoSpaceDE w:val="0"/>
        <w:autoSpaceDN w:val="0"/>
        <w:bidi w:val="0"/>
        <w:spacing w:line="440" w:lineRule="exact"/>
        <w:ind w:firstLine="402" w:firstLineChars="200"/>
        <w:rPr>
          <w:rFonts w:hAnsi="宋体" w:cs="仿宋_GB2312"/>
          <w:b/>
          <w:bCs/>
          <w:highlight w:val="none"/>
        </w:rPr>
      </w:pPr>
    </w:p>
    <w:p w14:paraId="7FB8B00C">
      <w:pPr>
        <w:pStyle w:val="12"/>
        <w:pageBreakBefore w:val="0"/>
        <w:kinsoku/>
        <w:wordWrap w:val="0"/>
        <w:overflowPunct/>
        <w:topLinePunct/>
        <w:autoSpaceDE w:val="0"/>
        <w:autoSpaceDN w:val="0"/>
        <w:bidi w:val="0"/>
        <w:rPr>
          <w:rFonts w:hAnsi="宋体" w:cs="仿宋_GB2312"/>
          <w:highlight w:val="none"/>
        </w:rPr>
      </w:pPr>
    </w:p>
    <w:p w14:paraId="0C1AC529">
      <w:pPr>
        <w:pStyle w:val="12"/>
        <w:pageBreakBefore w:val="0"/>
        <w:kinsoku/>
        <w:wordWrap w:val="0"/>
        <w:overflowPunct/>
        <w:topLinePunct/>
        <w:autoSpaceDE w:val="0"/>
        <w:autoSpaceDN w:val="0"/>
        <w:bidi w:val="0"/>
        <w:rPr>
          <w:rFonts w:hAnsi="宋体" w:cs="仿宋_GB2312"/>
          <w:highlight w:val="none"/>
        </w:rPr>
      </w:pPr>
    </w:p>
    <w:p w14:paraId="15A2583C">
      <w:pPr>
        <w:pStyle w:val="12"/>
        <w:pageBreakBefore w:val="0"/>
        <w:kinsoku/>
        <w:wordWrap w:val="0"/>
        <w:overflowPunct/>
        <w:topLinePunct/>
        <w:autoSpaceDE w:val="0"/>
        <w:autoSpaceDN w:val="0"/>
        <w:bidi w:val="0"/>
        <w:rPr>
          <w:rFonts w:hAnsi="宋体" w:cs="仿宋_GB2312"/>
          <w:highlight w:val="none"/>
        </w:rPr>
      </w:pPr>
    </w:p>
    <w:p w14:paraId="1337A655">
      <w:pPr>
        <w:bidi w:val="0"/>
        <w:jc w:val="right"/>
        <w:rPr>
          <w:highlight w:val="none"/>
        </w:rPr>
      </w:pPr>
    </w:p>
    <w:p w14:paraId="642E3824">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06F07BA2">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60BD629E">
      <w:pPr>
        <w:bidi w:val="0"/>
        <w:jc w:val="right"/>
        <w:rPr>
          <w:rFonts w:hint="default" w:eastAsia="宋体"/>
          <w:highlight w:val="none"/>
          <w:lang w:val="en-US" w:eastAsia="zh-CN"/>
        </w:rPr>
      </w:pPr>
    </w:p>
    <w:p w14:paraId="101DEA8B">
      <w:pPr>
        <w:pageBreakBefore w:val="0"/>
        <w:kinsoku/>
        <w:wordWrap w:val="0"/>
        <w:overflowPunct/>
        <w:topLinePunct/>
        <w:autoSpaceDE w:val="0"/>
        <w:autoSpaceDN w:val="0"/>
        <w:bidi w:val="0"/>
        <w:snapToGrid w:val="0"/>
        <w:spacing w:before="50" w:after="50" w:line="360" w:lineRule="exact"/>
        <w:rPr>
          <w:rFonts w:ascii="宋体" w:hAnsi="宋体"/>
          <w:b/>
          <w:sz w:val="24"/>
          <w:highlight w:val="none"/>
        </w:rPr>
      </w:pPr>
    </w:p>
    <w:p w14:paraId="6936CE8E">
      <w:pPr>
        <w:pageBreakBefore w:val="0"/>
        <w:kinsoku/>
        <w:wordWrap w:val="0"/>
        <w:overflowPunct/>
        <w:topLinePunct/>
        <w:autoSpaceDE w:val="0"/>
        <w:autoSpaceDN w:val="0"/>
        <w:bidi w:val="0"/>
        <w:snapToGrid w:val="0"/>
        <w:spacing w:before="50" w:after="50" w:line="360" w:lineRule="exact"/>
        <w:rPr>
          <w:rFonts w:hint="eastAsia" w:ascii="宋体" w:hAnsi="宋体"/>
          <w:b/>
          <w:sz w:val="24"/>
          <w:highlight w:val="none"/>
        </w:rPr>
        <w:sectPr>
          <w:pgSz w:w="11906" w:h="16839"/>
          <w:pgMar w:top="400" w:right="994" w:bottom="1156" w:left="1255" w:header="0" w:footer="994" w:gutter="0"/>
          <w:pgNumType w:fmt="decimal"/>
          <w:cols w:space="720" w:num="1"/>
        </w:sectPr>
      </w:pPr>
    </w:p>
    <w:p w14:paraId="53A3BA79">
      <w:pPr>
        <w:pStyle w:val="36"/>
        <w:bidi w:val="0"/>
        <w:rPr>
          <w:highlight w:val="none"/>
        </w:rPr>
      </w:pPr>
      <w:r>
        <w:rPr>
          <w:rFonts w:hint="eastAsia"/>
          <w:highlight w:val="none"/>
        </w:rPr>
        <w:t>4.售后服务方案及承诺书格式：</w:t>
      </w:r>
    </w:p>
    <w:p w14:paraId="62216945">
      <w:pPr>
        <w:pStyle w:val="35"/>
        <w:bidi w:val="0"/>
        <w:rPr>
          <w:highlight w:val="none"/>
        </w:rPr>
      </w:pPr>
      <w:r>
        <w:rPr>
          <w:rFonts w:hint="eastAsia"/>
          <w:highlight w:val="none"/>
        </w:rPr>
        <w:t>售后服务方案及承诺书</w:t>
      </w:r>
    </w:p>
    <w:p w14:paraId="0B8ACF35">
      <w:pPr>
        <w:bidi w:val="0"/>
        <w:rPr>
          <w:highlight w:val="none"/>
        </w:rPr>
      </w:pPr>
      <w:r>
        <w:rPr>
          <w:rFonts w:hint="eastAsia"/>
          <w:highlight w:val="none"/>
        </w:rPr>
        <w:t>第1条 （由投标人按第二章《招标项目采购需求》要求自行填写，所作的承诺作为构成合同不可分割的部分，必须真实、诚信，如提供虚假承诺或在中标、成交后不按其承诺履行的，将依法追究违约责任，并按《中华人民共和国政府采购法》规定予以处罚。）</w:t>
      </w:r>
    </w:p>
    <w:p w14:paraId="20F0FF3D">
      <w:pPr>
        <w:bidi w:val="0"/>
        <w:rPr>
          <w:highlight w:val="none"/>
        </w:rPr>
      </w:pPr>
      <w:r>
        <w:rPr>
          <w:rFonts w:hint="eastAsia"/>
          <w:highlight w:val="none"/>
        </w:rPr>
        <w:t>第2条</w:t>
      </w:r>
    </w:p>
    <w:p w14:paraId="2142C871">
      <w:pPr>
        <w:pageBreakBefore w:val="0"/>
        <w:kinsoku/>
        <w:wordWrap w:val="0"/>
        <w:overflowPunct/>
        <w:topLinePunct/>
        <w:autoSpaceDE w:val="0"/>
        <w:autoSpaceDN w:val="0"/>
        <w:bidi w:val="0"/>
        <w:snapToGrid w:val="0"/>
        <w:spacing w:before="50" w:after="50" w:line="360" w:lineRule="exact"/>
        <w:ind w:firstLine="240" w:firstLineChars="100"/>
        <w:rPr>
          <w:rFonts w:ascii="宋体" w:hAnsi="宋体"/>
          <w:szCs w:val="21"/>
          <w:highlight w:val="none"/>
        </w:rPr>
      </w:pPr>
    </w:p>
    <w:p w14:paraId="052E6E0C">
      <w:pPr>
        <w:pageBreakBefore w:val="0"/>
        <w:kinsoku/>
        <w:wordWrap w:val="0"/>
        <w:overflowPunct/>
        <w:topLinePunct/>
        <w:autoSpaceDE w:val="0"/>
        <w:autoSpaceDN w:val="0"/>
        <w:bidi w:val="0"/>
        <w:snapToGrid w:val="0"/>
        <w:spacing w:before="50" w:after="50" w:line="360" w:lineRule="exact"/>
        <w:ind w:firstLine="240" w:firstLineChars="100"/>
        <w:rPr>
          <w:rFonts w:ascii="宋体" w:hAnsi="宋体"/>
          <w:szCs w:val="21"/>
          <w:highlight w:val="none"/>
        </w:rPr>
      </w:pPr>
    </w:p>
    <w:p w14:paraId="0B47B2C9">
      <w:pPr>
        <w:pageBreakBefore w:val="0"/>
        <w:kinsoku/>
        <w:wordWrap w:val="0"/>
        <w:overflowPunct/>
        <w:topLinePunct/>
        <w:autoSpaceDE w:val="0"/>
        <w:autoSpaceDN w:val="0"/>
        <w:bidi w:val="0"/>
        <w:snapToGrid w:val="0"/>
        <w:spacing w:before="50" w:after="50" w:line="360" w:lineRule="exact"/>
        <w:ind w:firstLine="240" w:firstLineChars="100"/>
        <w:rPr>
          <w:rFonts w:ascii="宋体" w:hAnsi="宋体"/>
          <w:szCs w:val="21"/>
          <w:highlight w:val="none"/>
        </w:rPr>
      </w:pPr>
    </w:p>
    <w:p w14:paraId="464DFB8B">
      <w:pPr>
        <w:pageBreakBefore w:val="0"/>
        <w:kinsoku/>
        <w:wordWrap w:val="0"/>
        <w:overflowPunct/>
        <w:topLinePunct/>
        <w:autoSpaceDE w:val="0"/>
        <w:autoSpaceDN w:val="0"/>
        <w:bidi w:val="0"/>
        <w:snapToGrid w:val="0"/>
        <w:spacing w:before="50" w:after="50" w:line="360" w:lineRule="exact"/>
        <w:ind w:firstLine="240" w:firstLineChars="100"/>
        <w:rPr>
          <w:rFonts w:ascii="宋体" w:hAnsi="宋体"/>
          <w:szCs w:val="21"/>
          <w:highlight w:val="none"/>
        </w:rPr>
      </w:pPr>
    </w:p>
    <w:p w14:paraId="0226E654">
      <w:pPr>
        <w:pageBreakBefore w:val="0"/>
        <w:kinsoku/>
        <w:wordWrap w:val="0"/>
        <w:overflowPunct/>
        <w:topLinePunct/>
        <w:autoSpaceDE w:val="0"/>
        <w:autoSpaceDN w:val="0"/>
        <w:bidi w:val="0"/>
        <w:snapToGrid w:val="0"/>
        <w:spacing w:before="50" w:after="50" w:line="360" w:lineRule="exact"/>
        <w:ind w:firstLine="240" w:firstLineChars="100"/>
        <w:rPr>
          <w:rFonts w:ascii="宋体" w:hAnsi="宋体"/>
          <w:szCs w:val="21"/>
          <w:highlight w:val="none"/>
        </w:rPr>
      </w:pPr>
    </w:p>
    <w:p w14:paraId="74D5F914">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39E5DBBC">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0CB1D530">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69324FC5">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065EE975">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699D013E">
      <w:pPr>
        <w:pageBreakBefore w:val="0"/>
        <w:kinsoku/>
        <w:wordWrap w:val="0"/>
        <w:overflowPunct/>
        <w:topLinePunct/>
        <w:autoSpaceDE w:val="0"/>
        <w:autoSpaceDN w:val="0"/>
        <w:bidi w:val="0"/>
        <w:snapToGrid w:val="0"/>
        <w:spacing w:before="50" w:afterLines="50" w:line="360" w:lineRule="exact"/>
        <w:jc w:val="left"/>
        <w:rPr>
          <w:rFonts w:hint="eastAsia" w:ascii="宋体" w:hAnsi="宋体"/>
          <w:b/>
          <w:sz w:val="24"/>
          <w:highlight w:val="none"/>
        </w:rPr>
        <w:sectPr>
          <w:pgSz w:w="11906" w:h="16839"/>
          <w:pgMar w:top="400" w:right="994" w:bottom="1156" w:left="1255" w:header="0" w:footer="994" w:gutter="0"/>
          <w:pgNumType w:fmt="decimal"/>
          <w:cols w:space="720" w:num="1"/>
        </w:sectPr>
      </w:pPr>
    </w:p>
    <w:p w14:paraId="0A724311">
      <w:pPr>
        <w:pageBreakBefore w:val="0"/>
        <w:kinsoku/>
        <w:wordWrap w:val="0"/>
        <w:overflowPunct/>
        <w:topLinePunct/>
        <w:autoSpaceDE w:val="0"/>
        <w:autoSpaceDN w:val="0"/>
        <w:bidi w:val="0"/>
        <w:snapToGrid w:val="0"/>
        <w:spacing w:before="50" w:afterLines="50" w:line="360" w:lineRule="exact"/>
        <w:jc w:val="left"/>
        <w:rPr>
          <w:highlight w:val="none"/>
        </w:rPr>
      </w:pPr>
      <w:r>
        <w:rPr>
          <w:rFonts w:hint="eastAsia" w:ascii="宋体" w:hAnsi="宋体"/>
          <w:b/>
          <w:sz w:val="24"/>
          <w:highlight w:val="none"/>
        </w:rPr>
        <w:t>5.选配件、专用耗材、售后服务优惠表格式：</w:t>
      </w:r>
    </w:p>
    <w:p w14:paraId="79C2A1DC">
      <w:pPr>
        <w:pStyle w:val="35"/>
        <w:bidi w:val="0"/>
        <w:rPr>
          <w:highlight w:val="none"/>
        </w:rPr>
      </w:pPr>
      <w:r>
        <w:rPr>
          <w:rFonts w:hint="eastAsia"/>
          <w:highlight w:val="none"/>
        </w:rPr>
        <w:t>选配件、专用耗材、售后服务优惠表</w:t>
      </w:r>
    </w:p>
    <w:p w14:paraId="66D65540">
      <w:pPr>
        <w:pageBreakBefore w:val="0"/>
        <w:tabs>
          <w:tab w:val="left" w:pos="315"/>
        </w:tabs>
        <w:kinsoku/>
        <w:wordWrap w:val="0"/>
        <w:overflowPunct/>
        <w:topLinePunct/>
        <w:autoSpaceDE w:val="0"/>
        <w:autoSpaceDN w:val="0"/>
        <w:bidi w:val="0"/>
        <w:snapToGrid w:val="0"/>
        <w:spacing w:before="50" w:after="50" w:line="360" w:lineRule="exact"/>
        <w:rPr>
          <w:rFonts w:ascii="宋体" w:hAnsi="宋体"/>
          <w:spacing w:val="20"/>
          <w:sz w:val="24"/>
          <w:szCs w:val="20"/>
          <w:highlight w:val="none"/>
        </w:rPr>
      </w:pPr>
      <w:r>
        <w:rPr>
          <w:rFonts w:hint="eastAsia" w:ascii="宋体" w:hAnsi="宋体"/>
          <w:sz w:val="24"/>
          <w:highlight w:val="none"/>
        </w:rPr>
        <w:t>标项：</w:t>
      </w:r>
      <w:r>
        <w:rPr>
          <w:rFonts w:hint="eastAsia" w:ascii="宋体" w:hAnsi="宋体"/>
          <w:sz w:val="24"/>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006"/>
        <w:gridCol w:w="2390"/>
        <w:gridCol w:w="1939"/>
        <w:gridCol w:w="1327"/>
        <w:gridCol w:w="2550"/>
      </w:tblGrid>
      <w:tr w14:paraId="6B611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18" w:hRule="exact"/>
          <w:jc w:val="center"/>
        </w:trPr>
        <w:tc>
          <w:tcPr>
            <w:tcW w:w="10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32D4AD">
            <w:pPr>
              <w:pStyle w:val="34"/>
              <w:bidi w:val="0"/>
              <w:jc w:val="center"/>
              <w:rPr>
                <w:highlight w:val="none"/>
              </w:rPr>
            </w:pPr>
            <w:r>
              <w:rPr>
                <w:rFonts w:hint="eastAsia"/>
                <w:highlight w:val="none"/>
              </w:rPr>
              <w:t>序号</w:t>
            </w:r>
          </w:p>
        </w:tc>
        <w:tc>
          <w:tcPr>
            <w:tcW w:w="2390" w:type="dxa"/>
            <w:tcBorders>
              <w:top w:val="single" w:color="auto" w:sz="4" w:space="0"/>
              <w:left w:val="single" w:color="auto" w:sz="4" w:space="0"/>
              <w:bottom w:val="single" w:color="auto" w:sz="2" w:space="0"/>
              <w:right w:val="single" w:color="auto" w:sz="4" w:space="0"/>
            </w:tcBorders>
            <w:vAlign w:val="center"/>
          </w:tcPr>
          <w:p w14:paraId="5A5E6659">
            <w:pPr>
              <w:pStyle w:val="34"/>
              <w:bidi w:val="0"/>
              <w:jc w:val="center"/>
              <w:rPr>
                <w:highlight w:val="none"/>
              </w:rPr>
            </w:pPr>
            <w:r>
              <w:rPr>
                <w:rFonts w:hint="eastAsia"/>
                <w:highlight w:val="none"/>
              </w:rPr>
              <w:t>优惠内容</w:t>
            </w:r>
          </w:p>
        </w:tc>
        <w:tc>
          <w:tcPr>
            <w:tcW w:w="1939" w:type="dxa"/>
            <w:tcBorders>
              <w:top w:val="single" w:color="auto" w:sz="4" w:space="0"/>
              <w:left w:val="single" w:color="auto" w:sz="4" w:space="0"/>
              <w:bottom w:val="single" w:color="auto" w:sz="2" w:space="0"/>
              <w:right w:val="single" w:color="auto" w:sz="4" w:space="0"/>
            </w:tcBorders>
            <w:vAlign w:val="center"/>
          </w:tcPr>
          <w:p w14:paraId="3027A84F">
            <w:pPr>
              <w:pStyle w:val="34"/>
              <w:bidi w:val="0"/>
              <w:jc w:val="center"/>
              <w:rPr>
                <w:highlight w:val="none"/>
              </w:rPr>
            </w:pPr>
            <w:r>
              <w:rPr>
                <w:rFonts w:hint="eastAsia"/>
                <w:highlight w:val="none"/>
              </w:rPr>
              <w:t>适用机型</w:t>
            </w:r>
          </w:p>
        </w:tc>
        <w:tc>
          <w:tcPr>
            <w:tcW w:w="1327"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42133EE1">
            <w:pPr>
              <w:pStyle w:val="34"/>
              <w:bidi w:val="0"/>
              <w:jc w:val="center"/>
              <w:rPr>
                <w:highlight w:val="none"/>
              </w:rPr>
            </w:pPr>
            <w:r>
              <w:rPr>
                <w:rFonts w:hint="eastAsia"/>
                <w:highlight w:val="none"/>
              </w:rPr>
              <w:t>单价</w:t>
            </w:r>
          </w:p>
        </w:tc>
        <w:tc>
          <w:tcPr>
            <w:tcW w:w="2550" w:type="dxa"/>
            <w:tcBorders>
              <w:top w:val="single" w:color="auto" w:sz="4" w:space="0"/>
              <w:left w:val="single" w:color="auto" w:sz="4" w:space="0"/>
              <w:bottom w:val="single" w:color="auto" w:sz="2" w:space="0"/>
              <w:right w:val="single" w:color="auto" w:sz="4" w:space="0"/>
            </w:tcBorders>
            <w:vAlign w:val="center"/>
          </w:tcPr>
          <w:p w14:paraId="0FEB587C">
            <w:pPr>
              <w:pStyle w:val="34"/>
              <w:bidi w:val="0"/>
              <w:jc w:val="center"/>
              <w:rPr>
                <w:highlight w:val="none"/>
              </w:rPr>
            </w:pPr>
            <w:r>
              <w:rPr>
                <w:rFonts w:hint="eastAsia"/>
                <w:highlight w:val="none"/>
              </w:rPr>
              <w:t>比投标报价优惠率</w:t>
            </w:r>
          </w:p>
        </w:tc>
      </w:tr>
      <w:tr w14:paraId="111ED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1" w:hRule="exact"/>
          <w:jc w:val="center"/>
        </w:trPr>
        <w:tc>
          <w:tcPr>
            <w:tcW w:w="1006"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B065EB0">
            <w:pPr>
              <w:pStyle w:val="34"/>
              <w:bidi w:val="0"/>
              <w:jc w:val="center"/>
              <w:rPr>
                <w:highlight w:val="none"/>
              </w:rPr>
            </w:pPr>
            <w:r>
              <w:rPr>
                <w:rFonts w:hint="eastAsia"/>
                <w:highlight w:val="none"/>
              </w:rPr>
              <w:t>1</w:t>
            </w:r>
          </w:p>
        </w:tc>
        <w:tc>
          <w:tcPr>
            <w:tcW w:w="2390" w:type="dxa"/>
            <w:tcBorders>
              <w:top w:val="single" w:color="auto" w:sz="2" w:space="0"/>
              <w:left w:val="single" w:color="auto" w:sz="2" w:space="0"/>
              <w:bottom w:val="single" w:color="auto" w:sz="6" w:space="0"/>
              <w:right w:val="single" w:color="auto" w:sz="4" w:space="0"/>
            </w:tcBorders>
            <w:vAlign w:val="center"/>
          </w:tcPr>
          <w:p w14:paraId="50D7F80C">
            <w:pPr>
              <w:pStyle w:val="34"/>
              <w:bidi w:val="0"/>
              <w:jc w:val="center"/>
              <w:rPr>
                <w:highlight w:val="none"/>
              </w:rPr>
            </w:pPr>
          </w:p>
        </w:tc>
        <w:tc>
          <w:tcPr>
            <w:tcW w:w="1939" w:type="dxa"/>
            <w:tcBorders>
              <w:top w:val="single" w:color="auto" w:sz="2" w:space="0"/>
              <w:left w:val="single" w:color="auto" w:sz="4" w:space="0"/>
              <w:bottom w:val="single" w:color="auto" w:sz="6" w:space="0"/>
              <w:right w:val="single" w:color="auto" w:sz="6" w:space="0"/>
            </w:tcBorders>
            <w:vAlign w:val="center"/>
          </w:tcPr>
          <w:p w14:paraId="42AEBEFA">
            <w:pPr>
              <w:pStyle w:val="34"/>
              <w:bidi w:val="0"/>
              <w:jc w:val="center"/>
              <w:rPr>
                <w:highlight w:val="none"/>
              </w:rPr>
            </w:pPr>
          </w:p>
        </w:tc>
        <w:tc>
          <w:tcPr>
            <w:tcW w:w="1327"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442938">
            <w:pPr>
              <w:pStyle w:val="34"/>
              <w:bidi w:val="0"/>
              <w:jc w:val="center"/>
              <w:rPr>
                <w:highlight w:val="none"/>
              </w:rPr>
            </w:pPr>
          </w:p>
        </w:tc>
        <w:tc>
          <w:tcPr>
            <w:tcW w:w="2550" w:type="dxa"/>
            <w:tcBorders>
              <w:top w:val="single" w:color="auto" w:sz="2" w:space="0"/>
              <w:left w:val="single" w:color="auto" w:sz="6" w:space="0"/>
              <w:bottom w:val="single" w:color="auto" w:sz="6" w:space="0"/>
              <w:right w:val="single" w:color="auto" w:sz="2" w:space="0"/>
            </w:tcBorders>
            <w:vAlign w:val="center"/>
          </w:tcPr>
          <w:p w14:paraId="323B415B">
            <w:pPr>
              <w:pStyle w:val="34"/>
              <w:bidi w:val="0"/>
              <w:jc w:val="center"/>
              <w:rPr>
                <w:highlight w:val="none"/>
              </w:rPr>
            </w:pPr>
            <w:r>
              <w:rPr>
                <w:rFonts w:hint="eastAsia"/>
                <w:highlight w:val="none"/>
              </w:rPr>
              <w:t>%</w:t>
            </w:r>
          </w:p>
        </w:tc>
      </w:tr>
      <w:tr w14:paraId="2902A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9" w:hRule="exact"/>
          <w:jc w:val="center"/>
        </w:trPr>
        <w:tc>
          <w:tcPr>
            <w:tcW w:w="1006"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D730FFD">
            <w:pPr>
              <w:pStyle w:val="34"/>
              <w:bidi w:val="0"/>
              <w:jc w:val="center"/>
              <w:rPr>
                <w:highlight w:val="none"/>
              </w:rPr>
            </w:pPr>
            <w:r>
              <w:rPr>
                <w:rFonts w:hint="eastAsia"/>
                <w:highlight w:val="none"/>
              </w:rPr>
              <w:t>2</w:t>
            </w:r>
          </w:p>
        </w:tc>
        <w:tc>
          <w:tcPr>
            <w:tcW w:w="2390" w:type="dxa"/>
            <w:tcBorders>
              <w:top w:val="single" w:color="auto" w:sz="6" w:space="0"/>
              <w:left w:val="single" w:color="auto" w:sz="2" w:space="0"/>
              <w:bottom w:val="single" w:color="auto" w:sz="6" w:space="0"/>
              <w:right w:val="single" w:color="auto" w:sz="4" w:space="0"/>
            </w:tcBorders>
            <w:vAlign w:val="center"/>
          </w:tcPr>
          <w:p w14:paraId="4E3EE79C">
            <w:pPr>
              <w:pStyle w:val="34"/>
              <w:bidi w:val="0"/>
              <w:jc w:val="center"/>
              <w:rPr>
                <w:highlight w:val="none"/>
              </w:rPr>
            </w:pPr>
          </w:p>
        </w:tc>
        <w:tc>
          <w:tcPr>
            <w:tcW w:w="1939" w:type="dxa"/>
            <w:tcBorders>
              <w:top w:val="single" w:color="auto" w:sz="6" w:space="0"/>
              <w:left w:val="single" w:color="auto" w:sz="4" w:space="0"/>
              <w:bottom w:val="single" w:color="auto" w:sz="6" w:space="0"/>
              <w:right w:val="single" w:color="auto" w:sz="6" w:space="0"/>
            </w:tcBorders>
            <w:vAlign w:val="center"/>
          </w:tcPr>
          <w:p w14:paraId="090FAE43">
            <w:pPr>
              <w:pStyle w:val="34"/>
              <w:bidi w:val="0"/>
              <w:jc w:val="center"/>
              <w:rPr>
                <w:highlight w:val="none"/>
              </w:rPr>
            </w:pPr>
          </w:p>
        </w:tc>
        <w:tc>
          <w:tcPr>
            <w:tcW w:w="132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37B658D">
            <w:pPr>
              <w:pStyle w:val="34"/>
              <w:bidi w:val="0"/>
              <w:jc w:val="center"/>
              <w:rPr>
                <w:highlight w:val="none"/>
              </w:rPr>
            </w:pPr>
          </w:p>
        </w:tc>
        <w:tc>
          <w:tcPr>
            <w:tcW w:w="2550" w:type="dxa"/>
            <w:tcBorders>
              <w:top w:val="single" w:color="auto" w:sz="6" w:space="0"/>
              <w:left w:val="single" w:color="auto" w:sz="6" w:space="0"/>
              <w:bottom w:val="single" w:color="auto" w:sz="6" w:space="0"/>
              <w:right w:val="single" w:color="auto" w:sz="2" w:space="0"/>
            </w:tcBorders>
            <w:vAlign w:val="center"/>
          </w:tcPr>
          <w:p w14:paraId="0EA1CD08">
            <w:pPr>
              <w:pStyle w:val="34"/>
              <w:bidi w:val="0"/>
              <w:jc w:val="center"/>
              <w:rPr>
                <w:highlight w:val="none"/>
              </w:rPr>
            </w:pPr>
            <w:r>
              <w:rPr>
                <w:rFonts w:hint="eastAsia"/>
                <w:highlight w:val="none"/>
              </w:rPr>
              <w:t>%</w:t>
            </w:r>
          </w:p>
        </w:tc>
      </w:tr>
      <w:tr w14:paraId="5C497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7" w:hRule="exact"/>
          <w:jc w:val="center"/>
        </w:trPr>
        <w:tc>
          <w:tcPr>
            <w:tcW w:w="1006"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FFF8005">
            <w:pPr>
              <w:pStyle w:val="34"/>
              <w:bidi w:val="0"/>
              <w:jc w:val="center"/>
              <w:rPr>
                <w:highlight w:val="none"/>
              </w:rPr>
            </w:pPr>
            <w:r>
              <w:rPr>
                <w:rFonts w:hint="eastAsia"/>
                <w:highlight w:val="none"/>
              </w:rPr>
              <w:t>3</w:t>
            </w:r>
          </w:p>
        </w:tc>
        <w:tc>
          <w:tcPr>
            <w:tcW w:w="2390" w:type="dxa"/>
            <w:tcBorders>
              <w:top w:val="single" w:color="auto" w:sz="6" w:space="0"/>
              <w:left w:val="single" w:color="auto" w:sz="2" w:space="0"/>
              <w:bottom w:val="single" w:color="auto" w:sz="6" w:space="0"/>
              <w:right w:val="single" w:color="auto" w:sz="4" w:space="0"/>
            </w:tcBorders>
            <w:vAlign w:val="center"/>
          </w:tcPr>
          <w:p w14:paraId="44B45E8C">
            <w:pPr>
              <w:pStyle w:val="34"/>
              <w:bidi w:val="0"/>
              <w:jc w:val="center"/>
              <w:rPr>
                <w:highlight w:val="none"/>
              </w:rPr>
            </w:pPr>
          </w:p>
        </w:tc>
        <w:tc>
          <w:tcPr>
            <w:tcW w:w="1939" w:type="dxa"/>
            <w:tcBorders>
              <w:top w:val="single" w:color="auto" w:sz="6" w:space="0"/>
              <w:left w:val="single" w:color="auto" w:sz="4" w:space="0"/>
              <w:bottom w:val="single" w:color="auto" w:sz="6" w:space="0"/>
              <w:right w:val="single" w:color="auto" w:sz="6" w:space="0"/>
            </w:tcBorders>
            <w:vAlign w:val="center"/>
          </w:tcPr>
          <w:p w14:paraId="57B6D1E1">
            <w:pPr>
              <w:pStyle w:val="34"/>
              <w:bidi w:val="0"/>
              <w:jc w:val="center"/>
              <w:rPr>
                <w:highlight w:val="none"/>
              </w:rPr>
            </w:pPr>
          </w:p>
        </w:tc>
        <w:tc>
          <w:tcPr>
            <w:tcW w:w="132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0A1339B">
            <w:pPr>
              <w:pStyle w:val="34"/>
              <w:bidi w:val="0"/>
              <w:jc w:val="center"/>
              <w:rPr>
                <w:highlight w:val="none"/>
              </w:rPr>
            </w:pPr>
          </w:p>
        </w:tc>
        <w:tc>
          <w:tcPr>
            <w:tcW w:w="2550" w:type="dxa"/>
            <w:tcBorders>
              <w:top w:val="single" w:color="auto" w:sz="6" w:space="0"/>
              <w:left w:val="single" w:color="auto" w:sz="6" w:space="0"/>
              <w:bottom w:val="single" w:color="auto" w:sz="6" w:space="0"/>
              <w:right w:val="single" w:color="auto" w:sz="2" w:space="0"/>
            </w:tcBorders>
            <w:vAlign w:val="center"/>
          </w:tcPr>
          <w:p w14:paraId="00A57965">
            <w:pPr>
              <w:pStyle w:val="34"/>
              <w:bidi w:val="0"/>
              <w:jc w:val="center"/>
              <w:rPr>
                <w:highlight w:val="none"/>
              </w:rPr>
            </w:pPr>
            <w:r>
              <w:rPr>
                <w:rFonts w:hint="eastAsia"/>
                <w:highlight w:val="none"/>
              </w:rPr>
              <w:t>%</w:t>
            </w:r>
          </w:p>
        </w:tc>
      </w:tr>
    </w:tbl>
    <w:p w14:paraId="721FE6DC">
      <w:pPr>
        <w:pageBreakBefore w:val="0"/>
        <w:kinsoku/>
        <w:wordWrap w:val="0"/>
        <w:overflowPunct/>
        <w:topLinePunct/>
        <w:autoSpaceDE w:val="0"/>
        <w:autoSpaceDN w:val="0"/>
        <w:bidi w:val="0"/>
        <w:snapToGrid w:val="0"/>
        <w:spacing w:before="50" w:after="50" w:line="360" w:lineRule="exact"/>
        <w:ind w:firstLine="240" w:firstLineChars="100"/>
        <w:rPr>
          <w:rFonts w:ascii="宋体" w:hAnsi="宋体"/>
          <w:szCs w:val="21"/>
          <w:highlight w:val="none"/>
        </w:rPr>
      </w:pPr>
    </w:p>
    <w:p w14:paraId="78ED93A1">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6EBB56E3">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0EB2997A">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45B199F1">
      <w:pPr>
        <w:pageBreakBefore w:val="0"/>
        <w:kinsoku/>
        <w:wordWrap w:val="0"/>
        <w:overflowPunct/>
        <w:topLinePunct/>
        <w:autoSpaceDE w:val="0"/>
        <w:autoSpaceDN w:val="0"/>
        <w:bidi w:val="0"/>
        <w:snapToGrid w:val="0"/>
        <w:spacing w:line="360" w:lineRule="exact"/>
        <w:rPr>
          <w:rFonts w:ascii="宋体" w:hAnsi="宋体"/>
          <w:sz w:val="30"/>
          <w:szCs w:val="30"/>
          <w:highlight w:val="none"/>
        </w:rPr>
      </w:pPr>
    </w:p>
    <w:p w14:paraId="6E8FE0F1">
      <w:pPr>
        <w:pageBreakBefore w:val="0"/>
        <w:kinsoku/>
        <w:wordWrap w:val="0"/>
        <w:overflowPunct/>
        <w:topLinePunct/>
        <w:autoSpaceDE w:val="0"/>
        <w:autoSpaceDN w:val="0"/>
        <w:bidi w:val="0"/>
        <w:snapToGrid w:val="0"/>
        <w:spacing w:line="360" w:lineRule="exact"/>
        <w:rPr>
          <w:rFonts w:ascii="宋体" w:hAnsi="宋体"/>
          <w:sz w:val="30"/>
          <w:szCs w:val="30"/>
          <w:highlight w:val="none"/>
        </w:rPr>
      </w:pPr>
    </w:p>
    <w:p w14:paraId="556AACBC">
      <w:pPr>
        <w:pageBreakBefore w:val="0"/>
        <w:kinsoku/>
        <w:wordWrap w:val="0"/>
        <w:overflowPunct/>
        <w:topLinePunct/>
        <w:autoSpaceDE w:val="0"/>
        <w:autoSpaceDN w:val="0"/>
        <w:bidi w:val="0"/>
        <w:snapToGrid w:val="0"/>
        <w:spacing w:before="50" w:after="50" w:line="400" w:lineRule="exact"/>
        <w:rPr>
          <w:rFonts w:hint="eastAsia" w:ascii="宋体" w:hAnsi="宋体"/>
          <w:b/>
          <w:sz w:val="32"/>
          <w:szCs w:val="32"/>
          <w:highlight w:val="none"/>
        </w:rPr>
        <w:sectPr>
          <w:pgSz w:w="11906" w:h="16839"/>
          <w:pgMar w:top="400" w:right="994" w:bottom="1156" w:left="1255" w:header="0" w:footer="994" w:gutter="0"/>
          <w:pgNumType w:fmt="decimal"/>
          <w:cols w:space="720" w:num="1"/>
        </w:sectPr>
      </w:pPr>
    </w:p>
    <w:p w14:paraId="2A39B949">
      <w:pPr>
        <w:pStyle w:val="36"/>
        <w:bidi w:val="0"/>
        <w:rPr>
          <w:highlight w:val="none"/>
        </w:rPr>
      </w:pPr>
      <w:r>
        <w:rPr>
          <w:rFonts w:hint="eastAsia"/>
          <w:highlight w:val="none"/>
        </w:rPr>
        <w:t>4.报价文件格式：</w:t>
      </w:r>
    </w:p>
    <w:p w14:paraId="4DD5DC74">
      <w:pPr>
        <w:pageBreakBefore w:val="0"/>
        <w:kinsoku/>
        <w:wordWrap w:val="0"/>
        <w:overflowPunct/>
        <w:topLinePunct/>
        <w:autoSpaceDE w:val="0"/>
        <w:autoSpaceDN w:val="0"/>
        <w:bidi w:val="0"/>
        <w:snapToGrid w:val="0"/>
        <w:spacing w:beforeLines="50" w:after="50" w:line="400" w:lineRule="exact"/>
        <w:rPr>
          <w:rFonts w:ascii="宋体" w:hAnsi="宋体"/>
          <w:bCs/>
          <w:sz w:val="24"/>
          <w:highlight w:val="none"/>
        </w:rPr>
      </w:pPr>
      <w:r>
        <w:rPr>
          <w:rFonts w:hint="eastAsia" w:ascii="宋体" w:hAnsi="宋体"/>
          <w:sz w:val="32"/>
          <w:szCs w:val="32"/>
          <w:highlight w:val="none"/>
        </w:rPr>
        <w:t xml:space="preserve">                                            </w:t>
      </w:r>
      <w:r>
        <w:rPr>
          <w:rFonts w:hint="eastAsia" w:ascii="宋体" w:hAnsi="宋体"/>
          <w:sz w:val="24"/>
          <w:highlight w:val="none"/>
        </w:rPr>
        <w:t xml:space="preserve">  </w:t>
      </w:r>
      <w:r>
        <w:rPr>
          <w:rFonts w:hint="eastAsia" w:ascii="宋体" w:hAnsi="宋体"/>
          <w:bCs/>
          <w:sz w:val="24"/>
          <w:highlight w:val="none"/>
        </w:rPr>
        <w:t>电子投标文件</w:t>
      </w:r>
    </w:p>
    <w:p w14:paraId="310D4690">
      <w:pPr>
        <w:pStyle w:val="35"/>
        <w:bidi w:val="0"/>
        <w:rPr>
          <w:highlight w:val="none"/>
        </w:rPr>
      </w:pPr>
      <w:r>
        <w:rPr>
          <w:rFonts w:hint="eastAsia"/>
          <w:highlight w:val="none"/>
        </w:rPr>
        <w:t>投 标 文 件</w:t>
      </w:r>
    </w:p>
    <w:p w14:paraId="0825D085">
      <w:pPr>
        <w:pageBreakBefore w:val="0"/>
        <w:kinsoku/>
        <w:wordWrap w:val="0"/>
        <w:overflowPunct/>
        <w:topLinePunct/>
        <w:autoSpaceDE w:val="0"/>
        <w:autoSpaceDN w:val="0"/>
        <w:bidi w:val="0"/>
        <w:snapToGrid w:val="0"/>
        <w:spacing w:beforeLines="50" w:after="50" w:line="400" w:lineRule="exact"/>
        <w:rPr>
          <w:rFonts w:ascii="宋体" w:hAnsi="宋体"/>
          <w:sz w:val="32"/>
          <w:szCs w:val="32"/>
          <w:highlight w:val="none"/>
        </w:rPr>
      </w:pPr>
    </w:p>
    <w:p w14:paraId="3BD8381C">
      <w:pPr>
        <w:pageBreakBefore w:val="0"/>
        <w:kinsoku/>
        <w:wordWrap w:val="0"/>
        <w:overflowPunct/>
        <w:topLinePunct/>
        <w:autoSpaceDE w:val="0"/>
        <w:autoSpaceDN w:val="0"/>
        <w:bidi w:val="0"/>
        <w:snapToGrid w:val="0"/>
        <w:spacing w:beforeLines="50" w:after="50" w:line="400" w:lineRule="exact"/>
        <w:jc w:val="center"/>
        <w:rPr>
          <w:rFonts w:ascii="宋体" w:hAnsi="宋体"/>
          <w:bCs/>
          <w:sz w:val="32"/>
          <w:szCs w:val="32"/>
          <w:highlight w:val="none"/>
        </w:rPr>
      </w:pPr>
      <w:r>
        <w:rPr>
          <w:rFonts w:hint="eastAsia" w:ascii="宋体" w:hAnsi="宋体"/>
          <w:bCs/>
          <w:sz w:val="32"/>
          <w:szCs w:val="32"/>
          <w:highlight w:val="none"/>
        </w:rPr>
        <w:t>（报价文件）</w:t>
      </w:r>
    </w:p>
    <w:p w14:paraId="0C97A3BE">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项目名称：</w:t>
      </w:r>
    </w:p>
    <w:p w14:paraId="2EFB5DA7">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 xml:space="preserve"> </w:t>
      </w:r>
    </w:p>
    <w:p w14:paraId="58332CB7">
      <w:pPr>
        <w:pageBreakBefore w:val="0"/>
        <w:kinsoku/>
        <w:wordWrap w:val="0"/>
        <w:overflowPunct/>
        <w:topLinePunct/>
        <w:autoSpaceDE w:val="0"/>
        <w:autoSpaceDN w:val="0"/>
        <w:bidi w:val="0"/>
        <w:snapToGrid w:val="0"/>
        <w:spacing w:beforeLines="50" w:after="50" w:line="400" w:lineRule="exact"/>
        <w:ind w:firstLine="480" w:firstLineChars="200"/>
        <w:rPr>
          <w:rFonts w:ascii="宋体" w:hAnsi="宋体"/>
          <w:bCs/>
          <w:sz w:val="24"/>
          <w:highlight w:val="none"/>
        </w:rPr>
      </w:pPr>
      <w:r>
        <w:rPr>
          <w:rFonts w:hint="eastAsia" w:ascii="宋体" w:hAnsi="宋体"/>
          <w:bCs/>
          <w:sz w:val="24"/>
          <w:highlight w:val="none"/>
        </w:rPr>
        <w:t xml:space="preserve">     项目编号： </w:t>
      </w:r>
    </w:p>
    <w:p w14:paraId="63809E7D">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p>
    <w:p w14:paraId="5BA777E3">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r>
        <w:rPr>
          <w:rFonts w:hint="eastAsia" w:ascii="宋体" w:hAnsi="宋体"/>
          <w:bCs/>
          <w:sz w:val="24"/>
          <w:highlight w:val="none"/>
        </w:rPr>
        <w:t>标   项：</w:t>
      </w:r>
    </w:p>
    <w:p w14:paraId="567B6E23">
      <w:pPr>
        <w:pStyle w:val="7"/>
        <w:pageBreakBefore w:val="0"/>
        <w:kinsoku/>
        <w:wordWrap w:val="0"/>
        <w:overflowPunct/>
        <w:topLinePunct/>
        <w:autoSpaceDE w:val="0"/>
        <w:autoSpaceDN w:val="0"/>
        <w:bidi w:val="0"/>
        <w:snapToGrid w:val="0"/>
        <w:spacing w:before="50" w:after="50" w:line="400" w:lineRule="exact"/>
        <w:ind w:firstLine="1118" w:firstLineChars="466"/>
        <w:rPr>
          <w:rFonts w:ascii="宋体" w:hAnsi="宋体"/>
          <w:bCs/>
          <w:sz w:val="24"/>
          <w:szCs w:val="24"/>
          <w:highlight w:val="none"/>
        </w:rPr>
      </w:pPr>
    </w:p>
    <w:p w14:paraId="23BA750F">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r>
        <w:rPr>
          <w:rFonts w:hint="eastAsia" w:ascii="宋体" w:hAnsi="宋体"/>
          <w:bCs/>
          <w:sz w:val="24"/>
          <w:szCs w:val="24"/>
          <w:highlight w:val="none"/>
        </w:rPr>
        <w:t>投标人名称：</w:t>
      </w:r>
      <w:r>
        <w:rPr>
          <w:rFonts w:hint="eastAsia" w:ascii="宋体" w:hAnsi="宋体"/>
          <w:bCs/>
          <w:sz w:val="24"/>
          <w:szCs w:val="24"/>
          <w:highlight w:val="none"/>
          <w:u w:val="single"/>
        </w:rPr>
        <w:t xml:space="preserve">                       </w:t>
      </w:r>
      <w:r>
        <w:rPr>
          <w:rFonts w:hint="eastAsia" w:ascii="宋体" w:hAnsi="宋体"/>
          <w:bCs/>
          <w:sz w:val="24"/>
          <w:szCs w:val="24"/>
          <w:highlight w:val="none"/>
        </w:rPr>
        <w:t>（加盖单位电子公章）</w:t>
      </w:r>
    </w:p>
    <w:p w14:paraId="52952DE8">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p>
    <w:p w14:paraId="00DF921D">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r>
        <w:rPr>
          <w:rFonts w:hint="eastAsia" w:ascii="宋体" w:hAnsi="宋体"/>
          <w:bCs/>
          <w:sz w:val="24"/>
          <w:szCs w:val="24"/>
          <w:highlight w:val="none"/>
        </w:rPr>
        <w:t>投标人地址：</w:t>
      </w:r>
    </w:p>
    <w:p w14:paraId="22DB6F5D">
      <w:pPr>
        <w:pStyle w:val="7"/>
        <w:pageBreakBefore w:val="0"/>
        <w:kinsoku/>
        <w:wordWrap w:val="0"/>
        <w:overflowPunct/>
        <w:topLinePunct/>
        <w:autoSpaceDE w:val="0"/>
        <w:autoSpaceDN w:val="0"/>
        <w:bidi w:val="0"/>
        <w:snapToGrid w:val="0"/>
        <w:spacing w:before="50" w:after="50" w:line="400" w:lineRule="exact"/>
        <w:ind w:firstLine="960" w:firstLineChars="400"/>
        <w:rPr>
          <w:rFonts w:ascii="宋体" w:hAnsi="宋体"/>
          <w:bCs/>
          <w:sz w:val="24"/>
          <w:szCs w:val="24"/>
          <w:highlight w:val="none"/>
        </w:rPr>
      </w:pPr>
    </w:p>
    <w:p w14:paraId="322B9117">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r>
        <w:rPr>
          <w:rFonts w:hint="eastAsia" w:ascii="宋体" w:hAnsi="宋体"/>
          <w:sz w:val="24"/>
          <w:highlight w:val="none"/>
        </w:rPr>
        <w:t xml:space="preserve">                        年  月  日</w:t>
      </w:r>
      <w:r>
        <w:rPr>
          <w:rFonts w:hint="eastAsia" w:ascii="宋体" w:hAnsi="宋体"/>
          <w:sz w:val="24"/>
          <w:highlight w:val="none"/>
        </w:rPr>
        <w:br w:type="textWrapping"/>
      </w:r>
    </w:p>
    <w:p w14:paraId="5022E10D">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5E33FE56">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3135F713">
      <w:pPr>
        <w:pageBreakBefore w:val="0"/>
        <w:tabs>
          <w:tab w:val="left" w:pos="1418"/>
        </w:tabs>
        <w:kinsoku/>
        <w:wordWrap w:val="0"/>
        <w:overflowPunct/>
        <w:topLinePunct/>
        <w:autoSpaceDE w:val="0"/>
        <w:autoSpaceDN w:val="0"/>
        <w:bidi w:val="0"/>
        <w:snapToGrid w:val="0"/>
        <w:spacing w:before="50" w:after="50" w:line="320" w:lineRule="exact"/>
        <w:jc w:val="center"/>
        <w:rPr>
          <w:rFonts w:hint="eastAsia" w:ascii="宋体" w:hAnsi="宋体"/>
          <w:b/>
          <w:bCs/>
          <w:sz w:val="32"/>
          <w:szCs w:val="32"/>
          <w:highlight w:val="none"/>
        </w:rPr>
        <w:sectPr>
          <w:pgSz w:w="11906" w:h="16839"/>
          <w:pgMar w:top="400" w:right="994" w:bottom="1156" w:left="1255" w:header="0" w:footer="994" w:gutter="0"/>
          <w:pgNumType w:fmt="decimal"/>
          <w:cols w:space="720" w:num="1"/>
        </w:sectPr>
      </w:pPr>
    </w:p>
    <w:p w14:paraId="3F7FF91F">
      <w:pPr>
        <w:pageBreakBefore w:val="0"/>
        <w:tabs>
          <w:tab w:val="left" w:pos="1418"/>
        </w:tabs>
        <w:kinsoku/>
        <w:wordWrap w:val="0"/>
        <w:overflowPunct/>
        <w:topLinePunct/>
        <w:autoSpaceDE w:val="0"/>
        <w:autoSpaceDN w:val="0"/>
        <w:bidi w:val="0"/>
        <w:snapToGrid w:val="0"/>
        <w:spacing w:before="50" w:after="50" w:line="320" w:lineRule="exact"/>
        <w:jc w:val="center"/>
        <w:rPr>
          <w:rFonts w:ascii="宋体" w:hAnsi="宋体"/>
          <w:b/>
          <w:bCs/>
          <w:sz w:val="32"/>
          <w:szCs w:val="32"/>
          <w:highlight w:val="none"/>
        </w:rPr>
      </w:pPr>
      <w:r>
        <w:rPr>
          <w:rFonts w:hint="eastAsia" w:ascii="宋体" w:hAnsi="宋体"/>
          <w:b/>
          <w:bCs/>
          <w:sz w:val="32"/>
          <w:szCs w:val="32"/>
          <w:highlight w:val="none"/>
        </w:rPr>
        <w:t>目 录</w:t>
      </w:r>
    </w:p>
    <w:p w14:paraId="7C019E06">
      <w:pPr>
        <w:bidi w:val="0"/>
        <w:rPr>
          <w:highlight w:val="none"/>
        </w:rPr>
      </w:pPr>
      <w:r>
        <w:rPr>
          <w:rFonts w:hint="eastAsia"/>
          <w:highlight w:val="none"/>
        </w:rPr>
        <w:t>1、投标函……………………………………………………………………</w:t>
      </w:r>
    </w:p>
    <w:p w14:paraId="3FB63872">
      <w:pPr>
        <w:bidi w:val="0"/>
        <w:rPr>
          <w:highlight w:val="none"/>
        </w:rPr>
      </w:pPr>
      <w:r>
        <w:rPr>
          <w:rFonts w:hint="eastAsia"/>
          <w:highlight w:val="none"/>
        </w:rPr>
        <w:t>2、开标一览表………………………………………………………………</w:t>
      </w:r>
    </w:p>
    <w:p w14:paraId="474A0EAD">
      <w:pPr>
        <w:bidi w:val="0"/>
        <w:rPr>
          <w:highlight w:val="none"/>
        </w:rPr>
      </w:pPr>
      <w:r>
        <w:rPr>
          <w:rFonts w:hint="eastAsia"/>
          <w:highlight w:val="none"/>
        </w:rPr>
        <w:t>3、中小企业声明函（如是请提供）………………………………………</w:t>
      </w:r>
    </w:p>
    <w:p w14:paraId="1EE6485D">
      <w:pPr>
        <w:bidi w:val="0"/>
        <w:rPr>
          <w:highlight w:val="none"/>
        </w:rPr>
      </w:pPr>
      <w:r>
        <w:rPr>
          <w:rFonts w:hint="eastAsia"/>
          <w:highlight w:val="none"/>
        </w:rPr>
        <w:t>4、监狱企业由省级以上监狱管理局、戒毒管理局（含新疆生产建设兵团）出具的属于监狱企业的证明文件复印件（如</w:t>
      </w:r>
      <w:r>
        <w:rPr>
          <w:rFonts w:hint="eastAsia"/>
          <w:highlight w:val="none"/>
          <w:lang w:val="en-US" w:eastAsia="zh-CN"/>
        </w:rPr>
        <w:t>有</w:t>
      </w:r>
      <w:r>
        <w:rPr>
          <w:rFonts w:hint="eastAsia"/>
          <w:highlight w:val="none"/>
        </w:rPr>
        <w:t>请提供）………………………………………</w:t>
      </w:r>
    </w:p>
    <w:p w14:paraId="65B181A5">
      <w:pPr>
        <w:bidi w:val="0"/>
        <w:rPr>
          <w:highlight w:val="none"/>
        </w:rPr>
      </w:pPr>
      <w:r>
        <w:rPr>
          <w:rFonts w:hint="eastAsia"/>
          <w:highlight w:val="none"/>
        </w:rPr>
        <w:t>5、残疾人福利性单位声明函（如</w:t>
      </w:r>
      <w:r>
        <w:rPr>
          <w:rFonts w:hint="eastAsia"/>
          <w:highlight w:val="none"/>
          <w:lang w:val="en-US" w:eastAsia="zh-CN"/>
        </w:rPr>
        <w:t>有</w:t>
      </w:r>
      <w:r>
        <w:rPr>
          <w:rFonts w:hint="eastAsia"/>
          <w:highlight w:val="none"/>
        </w:rPr>
        <w:t>请提供）………………………………………</w:t>
      </w:r>
    </w:p>
    <w:p w14:paraId="1C2AA450">
      <w:pPr>
        <w:bidi w:val="0"/>
        <w:rPr>
          <w:highlight w:val="none"/>
        </w:rPr>
      </w:pPr>
      <w:r>
        <w:rPr>
          <w:rFonts w:hint="eastAsia"/>
          <w:highlight w:val="none"/>
        </w:rPr>
        <w:t>6、投标人针对报价需要说明的其他文件和说明（如有，格式自拟）…</w:t>
      </w:r>
    </w:p>
    <w:p w14:paraId="5EAE7844">
      <w:pPr>
        <w:bidi w:val="0"/>
        <w:rPr>
          <w:rFonts w:hint="eastAsia"/>
          <w:highlight w:val="none"/>
        </w:rPr>
        <w:sectPr>
          <w:pgSz w:w="11906" w:h="16839"/>
          <w:pgMar w:top="400" w:right="994" w:bottom="1156" w:left="1255" w:header="0" w:footer="994" w:gutter="0"/>
          <w:pgNumType w:fmt="decimal"/>
          <w:cols w:space="720" w:num="1"/>
        </w:sectPr>
      </w:pPr>
    </w:p>
    <w:p w14:paraId="1E4E7210">
      <w:pPr>
        <w:pStyle w:val="36"/>
        <w:bidi w:val="0"/>
        <w:rPr>
          <w:highlight w:val="none"/>
        </w:rPr>
      </w:pPr>
      <w:r>
        <w:rPr>
          <w:rFonts w:hint="eastAsia"/>
          <w:highlight w:val="none"/>
        </w:rPr>
        <w:t>1、投 标 函(格式)</w:t>
      </w:r>
    </w:p>
    <w:p w14:paraId="76026631">
      <w:pPr>
        <w:pStyle w:val="35"/>
        <w:bidi w:val="0"/>
        <w:rPr>
          <w:highlight w:val="none"/>
        </w:rPr>
      </w:pPr>
      <w:r>
        <w:rPr>
          <w:rFonts w:hint="eastAsia"/>
          <w:highlight w:val="none"/>
        </w:rPr>
        <w:t>投 标 函</w:t>
      </w:r>
    </w:p>
    <w:p w14:paraId="2F518C89">
      <w:pPr>
        <w:pageBreakBefore w:val="0"/>
        <w:kinsoku/>
        <w:wordWrap w:val="0"/>
        <w:overflowPunct/>
        <w:topLinePunct/>
        <w:autoSpaceDE w:val="0"/>
        <w:autoSpaceDN w:val="0"/>
        <w:bidi w:val="0"/>
        <w:snapToGrid w:val="0"/>
        <w:spacing w:beforeLines="50" w:after="50" w:line="360" w:lineRule="exact"/>
        <w:jc w:val="center"/>
        <w:rPr>
          <w:rFonts w:ascii="宋体" w:hAnsi="宋体"/>
          <w:b/>
          <w:sz w:val="24"/>
          <w:szCs w:val="20"/>
          <w:highlight w:val="none"/>
        </w:rPr>
      </w:pPr>
    </w:p>
    <w:p w14:paraId="2DCE2981">
      <w:pPr>
        <w:bidi w:val="0"/>
        <w:rPr>
          <w:highlight w:val="none"/>
        </w:rPr>
      </w:pPr>
      <w:r>
        <w:rPr>
          <w:rFonts w:hint="eastAsia"/>
          <w:highlight w:val="none"/>
        </w:rPr>
        <w:t>致：</w:t>
      </w:r>
      <w:r>
        <w:rPr>
          <w:rFonts w:hint="eastAsia"/>
          <w:highlight w:val="none"/>
          <w:u w:val="single"/>
        </w:rPr>
        <w:t xml:space="preserve">              （招标采购单位名称）：</w:t>
      </w:r>
    </w:p>
    <w:p w14:paraId="6EB07DDD">
      <w:pPr>
        <w:bidi w:val="0"/>
        <w:rPr>
          <w:highlight w:val="none"/>
        </w:rPr>
      </w:pPr>
      <w:r>
        <w:rPr>
          <w:rFonts w:hint="eastAsia"/>
          <w:highlight w:val="none"/>
        </w:rPr>
        <w:t>根据贵方为</w:t>
      </w:r>
      <w:r>
        <w:rPr>
          <w:rFonts w:hint="eastAsia"/>
          <w:highlight w:val="none"/>
          <w:lang w:eastAsia="zh-CN"/>
        </w:rPr>
        <w:t>：</w:t>
      </w:r>
      <w:r>
        <w:rPr>
          <w:rFonts w:hint="eastAsia"/>
          <w:highlight w:val="none"/>
          <w:u w:val="single"/>
        </w:rPr>
        <w:t xml:space="preserve">                             项目</w:t>
      </w:r>
      <w:r>
        <w:rPr>
          <w:rFonts w:hint="eastAsia"/>
          <w:highlight w:val="none"/>
        </w:rPr>
        <w:t>的招标公告（项目编号</w:t>
      </w:r>
      <w:r>
        <w:rPr>
          <w:rFonts w:hint="eastAsia"/>
          <w:highlight w:val="none"/>
          <w:u w:val="single"/>
        </w:rPr>
        <w:t xml:space="preserve">：     </w:t>
      </w:r>
      <w:r>
        <w:rPr>
          <w:rFonts w:hint="eastAsia"/>
          <w:highlight w:val="none"/>
        </w:rPr>
        <w:t>），签字代表</w:t>
      </w:r>
      <w:r>
        <w:rPr>
          <w:rFonts w:hint="eastAsia"/>
          <w:highlight w:val="none"/>
          <w:u w:val="single"/>
        </w:rPr>
        <w:t xml:space="preserve">     （全名）</w:t>
      </w:r>
      <w:r>
        <w:rPr>
          <w:rFonts w:hint="eastAsia"/>
          <w:highlight w:val="none"/>
        </w:rPr>
        <w:t>经正式授权并代表投标人</w:t>
      </w:r>
      <w:r>
        <w:rPr>
          <w:rFonts w:hint="eastAsia"/>
          <w:highlight w:val="none"/>
          <w:u w:val="single"/>
        </w:rPr>
        <w:t xml:space="preserve">                    （投标人名称）</w:t>
      </w:r>
      <w:r>
        <w:rPr>
          <w:rFonts w:hint="eastAsia"/>
          <w:highlight w:val="none"/>
        </w:rPr>
        <w:t>现正式递交下述文件参加贵方组织的本次政府采购活动：</w:t>
      </w:r>
    </w:p>
    <w:p w14:paraId="406CE922">
      <w:pPr>
        <w:bidi w:val="0"/>
        <w:rPr>
          <w:highlight w:val="none"/>
        </w:rPr>
      </w:pPr>
      <w:r>
        <w:rPr>
          <w:rFonts w:hint="eastAsia"/>
          <w:highlight w:val="none"/>
        </w:rPr>
        <w:t>一、报价文件电子版一份；</w:t>
      </w:r>
    </w:p>
    <w:p w14:paraId="43292A6B">
      <w:pPr>
        <w:bidi w:val="0"/>
        <w:rPr>
          <w:highlight w:val="none"/>
        </w:rPr>
      </w:pPr>
      <w:r>
        <w:rPr>
          <w:rFonts w:hint="eastAsia"/>
          <w:highlight w:val="none"/>
        </w:rPr>
        <w:t>二、资格文件电子版一份；</w:t>
      </w:r>
    </w:p>
    <w:p w14:paraId="2B9A340D">
      <w:pPr>
        <w:bidi w:val="0"/>
        <w:rPr>
          <w:highlight w:val="none"/>
        </w:rPr>
      </w:pPr>
      <w:r>
        <w:rPr>
          <w:rFonts w:hint="eastAsia"/>
          <w:highlight w:val="none"/>
        </w:rPr>
        <w:t>三、技术文件电子版一份；</w:t>
      </w:r>
    </w:p>
    <w:p w14:paraId="220DFEB6">
      <w:pPr>
        <w:bidi w:val="0"/>
        <w:rPr>
          <w:highlight w:val="none"/>
        </w:rPr>
      </w:pPr>
      <w:r>
        <w:rPr>
          <w:rFonts w:hint="eastAsia"/>
          <w:highlight w:val="none"/>
        </w:rPr>
        <w:t>四、商务文件电子版一份；</w:t>
      </w:r>
    </w:p>
    <w:p w14:paraId="5C4CA85E">
      <w:pPr>
        <w:bidi w:val="0"/>
        <w:rPr>
          <w:highlight w:val="none"/>
        </w:rPr>
      </w:pPr>
      <w:r>
        <w:rPr>
          <w:rFonts w:hint="eastAsia"/>
          <w:highlight w:val="none"/>
        </w:rPr>
        <w:t>据此函，签字代表宣布同意如下：</w:t>
      </w:r>
    </w:p>
    <w:p w14:paraId="5C4017EC">
      <w:pPr>
        <w:bidi w:val="0"/>
        <w:rPr>
          <w:highlight w:val="none"/>
        </w:rPr>
      </w:pPr>
      <w:r>
        <w:rPr>
          <w:rFonts w:hint="eastAsia"/>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802A9CC">
      <w:pPr>
        <w:bidi w:val="0"/>
        <w:rPr>
          <w:highlight w:val="none"/>
        </w:rPr>
      </w:pPr>
      <w:r>
        <w:rPr>
          <w:rFonts w:hint="eastAsia"/>
          <w:highlight w:val="none"/>
        </w:rPr>
        <w:t>2.我方在投标之前已经与贵方进行了充分的沟通，完全理解并接受招标文件的各项规定和要求，对招标文件的合理性、合法性不再有异议。</w:t>
      </w:r>
    </w:p>
    <w:p w14:paraId="1BF7EAD1">
      <w:pPr>
        <w:bidi w:val="0"/>
        <w:rPr>
          <w:highlight w:val="none"/>
        </w:rPr>
      </w:pPr>
      <w:r>
        <w:rPr>
          <w:rFonts w:hint="eastAsia"/>
          <w:highlight w:val="none"/>
        </w:rPr>
        <w:t>3.本投标有效期自开标日起</w:t>
      </w:r>
      <w:r>
        <w:rPr>
          <w:rFonts w:hint="eastAsia"/>
          <w:highlight w:val="none"/>
          <w:u w:val="single"/>
        </w:rPr>
        <w:t xml:space="preserve">       个    日（自然日）。</w:t>
      </w:r>
    </w:p>
    <w:p w14:paraId="14DEBF5B">
      <w:pPr>
        <w:bidi w:val="0"/>
        <w:rPr>
          <w:highlight w:val="none"/>
        </w:rPr>
      </w:pPr>
      <w:r>
        <w:rPr>
          <w:rFonts w:hint="eastAsia"/>
          <w:highlight w:val="none"/>
        </w:rPr>
        <w:t>4.如中标，本投标文件至本项目合同履行完毕止均保持有效，本投标人将按“招标文件”及政府采购法律、法规的规定履行合同责任和义务。</w:t>
      </w:r>
    </w:p>
    <w:p w14:paraId="3D2A9058">
      <w:pPr>
        <w:bidi w:val="0"/>
        <w:rPr>
          <w:highlight w:val="none"/>
        </w:rPr>
      </w:pPr>
      <w:r>
        <w:rPr>
          <w:rFonts w:hint="eastAsia"/>
          <w:highlight w:val="none"/>
        </w:rPr>
        <w:t>5.投标人同意按照贵方要求提供与投标有关的一切数据或资料。</w:t>
      </w:r>
    </w:p>
    <w:p w14:paraId="09B985EA">
      <w:pPr>
        <w:bidi w:val="0"/>
        <w:rPr>
          <w:highlight w:val="none"/>
        </w:rPr>
      </w:pPr>
      <w:r>
        <w:rPr>
          <w:rFonts w:hint="eastAsia"/>
          <w:highlight w:val="none"/>
        </w:rPr>
        <w:t>6.与本投标有关的一切正式往来信函请寄：</w:t>
      </w:r>
    </w:p>
    <w:p w14:paraId="6FC9348B">
      <w:pPr>
        <w:bidi w:val="0"/>
        <w:rPr>
          <w:highlight w:val="none"/>
        </w:rPr>
      </w:pPr>
      <w:r>
        <w:rPr>
          <w:rFonts w:hint="eastAsia"/>
          <w:highlight w:val="none"/>
        </w:rPr>
        <w:t>地址</w:t>
      </w:r>
      <w:r>
        <w:rPr>
          <w:rFonts w:hint="eastAsia"/>
          <w:highlight w:val="none"/>
          <w:u w:val="single"/>
        </w:rPr>
        <w:t xml:space="preserve">：                    </w:t>
      </w:r>
      <w:r>
        <w:rPr>
          <w:rFonts w:hint="eastAsia"/>
          <w:highlight w:val="none"/>
        </w:rPr>
        <w:t>邮编</w:t>
      </w:r>
      <w:r>
        <w:rPr>
          <w:rFonts w:hint="eastAsia"/>
          <w:highlight w:val="none"/>
          <w:u w:val="single"/>
        </w:rPr>
        <w:t xml:space="preserve">：               </w:t>
      </w:r>
      <w:r>
        <w:rPr>
          <w:rFonts w:hint="eastAsia"/>
          <w:highlight w:val="none"/>
        </w:rPr>
        <w:t>电话：</w:t>
      </w:r>
      <w:r>
        <w:rPr>
          <w:rFonts w:hint="eastAsia"/>
          <w:highlight w:val="none"/>
          <w:u w:val="single"/>
        </w:rPr>
        <w:t xml:space="preserve">               </w:t>
      </w:r>
    </w:p>
    <w:p w14:paraId="6CF60EB6">
      <w:pPr>
        <w:bidi w:val="0"/>
        <w:rPr>
          <w:highlight w:val="none"/>
        </w:rPr>
      </w:pPr>
      <w:r>
        <w:rPr>
          <w:rFonts w:hint="eastAsia"/>
          <w:highlight w:val="none"/>
        </w:rPr>
        <w:t>传真：</w:t>
      </w:r>
      <w:r>
        <w:rPr>
          <w:rFonts w:hint="eastAsia"/>
          <w:highlight w:val="none"/>
          <w:u w:val="single"/>
        </w:rPr>
        <w:t xml:space="preserve">                   </w:t>
      </w:r>
      <w:r>
        <w:rPr>
          <w:rFonts w:hint="eastAsia"/>
          <w:highlight w:val="none"/>
        </w:rPr>
        <w:t>投标人代表姓名</w:t>
      </w:r>
      <w:r>
        <w:rPr>
          <w:rFonts w:hint="eastAsia"/>
          <w:highlight w:val="none"/>
          <w:lang w:eastAsia="zh-CN"/>
        </w:rPr>
        <w:t>：</w:t>
      </w:r>
      <w:r>
        <w:rPr>
          <w:rFonts w:hint="eastAsia"/>
          <w:highlight w:val="none"/>
          <w:u w:val="single"/>
        </w:rPr>
        <w:t xml:space="preserve">             </w:t>
      </w:r>
      <w:r>
        <w:rPr>
          <w:rFonts w:hint="eastAsia"/>
          <w:highlight w:val="none"/>
        </w:rPr>
        <w:t>职务：</w:t>
      </w:r>
      <w:r>
        <w:rPr>
          <w:rFonts w:hint="eastAsia"/>
          <w:highlight w:val="none"/>
          <w:u w:val="single"/>
        </w:rPr>
        <w:t xml:space="preserve">           </w:t>
      </w:r>
    </w:p>
    <w:p w14:paraId="28FAAACC">
      <w:pPr>
        <w:bidi w:val="0"/>
        <w:rPr>
          <w:highlight w:val="none"/>
          <w:u w:val="single"/>
        </w:rPr>
      </w:pPr>
      <w:r>
        <w:rPr>
          <w:rFonts w:hint="eastAsia"/>
          <w:highlight w:val="none"/>
        </w:rPr>
        <w:t>投标人名称(公章)</w:t>
      </w:r>
      <w:r>
        <w:rPr>
          <w:rFonts w:hint="eastAsia"/>
          <w:highlight w:val="none"/>
          <w:u w:val="single"/>
        </w:rPr>
        <w:t xml:space="preserve">:                    </w:t>
      </w:r>
    </w:p>
    <w:p w14:paraId="031B5DA7">
      <w:pPr>
        <w:bidi w:val="0"/>
        <w:rPr>
          <w:highlight w:val="none"/>
        </w:rPr>
      </w:pPr>
      <w:r>
        <w:rPr>
          <w:rFonts w:hint="eastAsia"/>
          <w:highlight w:val="none"/>
        </w:rPr>
        <w:t>开户银行</w:t>
      </w:r>
      <w:r>
        <w:rPr>
          <w:rFonts w:hint="eastAsia"/>
          <w:highlight w:val="none"/>
          <w:u w:val="single"/>
        </w:rPr>
        <w:t xml:space="preserve">：                         </w:t>
      </w:r>
      <w:r>
        <w:rPr>
          <w:rFonts w:hint="eastAsia"/>
          <w:highlight w:val="none"/>
        </w:rPr>
        <w:t>银行帐号：</w:t>
      </w:r>
      <w:r>
        <w:rPr>
          <w:rFonts w:hint="eastAsia"/>
          <w:highlight w:val="none"/>
          <w:u w:val="single"/>
        </w:rPr>
        <w:t xml:space="preserve">                     </w:t>
      </w:r>
    </w:p>
    <w:p w14:paraId="36632C9F">
      <w:pPr>
        <w:pageBreakBefore w:val="0"/>
        <w:kinsoku/>
        <w:wordWrap w:val="0"/>
        <w:overflowPunct/>
        <w:topLinePunct/>
        <w:autoSpaceDE w:val="0"/>
        <w:autoSpaceDN w:val="0"/>
        <w:bidi w:val="0"/>
        <w:snapToGrid w:val="0"/>
        <w:spacing w:line="360" w:lineRule="exact"/>
        <w:ind w:left="0" w:leftChars="0" w:firstLine="0" w:firstLineChars="0"/>
        <w:rPr>
          <w:rFonts w:ascii="宋体" w:hAnsi="宋体"/>
          <w:szCs w:val="21"/>
          <w:highlight w:val="none"/>
        </w:rPr>
      </w:pPr>
    </w:p>
    <w:p w14:paraId="3FE8E2DC">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61CAA58C">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6AC5551B">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5F8B3A0B">
      <w:pPr>
        <w:pStyle w:val="12"/>
        <w:pageBreakBefore w:val="0"/>
        <w:kinsoku/>
        <w:wordWrap w:val="0"/>
        <w:overflowPunct/>
        <w:topLinePunct/>
        <w:autoSpaceDE w:val="0"/>
        <w:autoSpaceDN w:val="0"/>
        <w:bidi w:val="0"/>
        <w:spacing w:line="360" w:lineRule="exact"/>
        <w:rPr>
          <w:rFonts w:hAnsi="宋体"/>
          <w:sz w:val="44"/>
          <w:highlight w:val="none"/>
        </w:rPr>
      </w:pPr>
    </w:p>
    <w:p w14:paraId="68F90DFA">
      <w:pPr>
        <w:pageBreakBefore w:val="0"/>
        <w:kinsoku/>
        <w:wordWrap w:val="0"/>
        <w:overflowPunct/>
        <w:topLinePunct/>
        <w:autoSpaceDE w:val="0"/>
        <w:autoSpaceDN w:val="0"/>
        <w:bidi w:val="0"/>
        <w:snapToGrid w:val="0"/>
        <w:spacing w:before="50" w:after="50" w:line="360" w:lineRule="exact"/>
        <w:rPr>
          <w:rFonts w:hint="eastAsia" w:ascii="宋体" w:hAnsi="宋体"/>
          <w:b/>
          <w:bCs/>
          <w:sz w:val="28"/>
          <w:szCs w:val="28"/>
          <w:highlight w:val="none"/>
        </w:rPr>
        <w:sectPr>
          <w:pgSz w:w="11906" w:h="16839"/>
          <w:pgMar w:top="400" w:right="994" w:bottom="1156" w:left="1255" w:header="0" w:footer="994" w:gutter="0"/>
          <w:pgNumType w:fmt="decimal"/>
          <w:cols w:space="720" w:num="1"/>
        </w:sectPr>
      </w:pPr>
    </w:p>
    <w:p w14:paraId="6CDB4CF0">
      <w:pPr>
        <w:pStyle w:val="36"/>
        <w:bidi w:val="0"/>
        <w:rPr>
          <w:highlight w:val="none"/>
        </w:rPr>
      </w:pPr>
      <w:r>
        <w:rPr>
          <w:rFonts w:hint="eastAsia"/>
          <w:highlight w:val="none"/>
        </w:rPr>
        <w:t>2、开标一览表格式</w:t>
      </w:r>
    </w:p>
    <w:p w14:paraId="2C508529">
      <w:pPr>
        <w:pStyle w:val="35"/>
        <w:bidi w:val="0"/>
        <w:rPr>
          <w:highlight w:val="none"/>
        </w:rPr>
      </w:pPr>
      <w:r>
        <w:rPr>
          <w:rFonts w:hint="eastAsia"/>
          <w:highlight w:val="none"/>
        </w:rPr>
        <w:t>开标一览表</w:t>
      </w:r>
    </w:p>
    <w:p w14:paraId="611F01BC">
      <w:pPr>
        <w:bidi w:val="0"/>
        <w:rPr>
          <w:highlight w:val="none"/>
        </w:rPr>
      </w:pPr>
      <w:r>
        <w:rPr>
          <w:rFonts w:hint="eastAsia"/>
          <w:highlight w:val="none"/>
        </w:rPr>
        <w:t>招标编号：</w:t>
      </w:r>
      <w:r>
        <w:rPr>
          <w:rFonts w:hint="eastAsia"/>
          <w:highlight w:val="none"/>
          <w:u w:val="single"/>
        </w:rPr>
        <w:t xml:space="preserve">                          </w:t>
      </w:r>
      <w:r>
        <w:rPr>
          <w:rFonts w:hint="eastAsia"/>
          <w:highlight w:val="none"/>
        </w:rPr>
        <w:t>标项：</w:t>
      </w:r>
      <w:r>
        <w:rPr>
          <w:rFonts w:hint="eastAsia"/>
          <w:highlight w:val="none"/>
          <w:u w:val="single"/>
        </w:rPr>
        <w:t xml:space="preserve">                </w:t>
      </w:r>
    </w:p>
    <w:p w14:paraId="6265501A">
      <w:pPr>
        <w:bidi w:val="0"/>
        <w:rPr>
          <w:rFonts w:hint="eastAsia"/>
          <w:highlight w:val="none"/>
        </w:rPr>
      </w:pPr>
      <w:r>
        <w:rPr>
          <w:rFonts w:hint="eastAsia"/>
          <w:highlight w:val="none"/>
        </w:rPr>
        <w:t>投标人名称：</w:t>
      </w:r>
      <w:r>
        <w:rPr>
          <w:rFonts w:hint="eastAsia"/>
          <w:highlight w:val="none"/>
          <w:u w:val="single"/>
        </w:rPr>
        <w:t xml:space="preserve">                                                           </w:t>
      </w:r>
      <w:r>
        <w:rPr>
          <w:rFonts w:hint="eastAsia"/>
          <w:highlight w:val="none"/>
        </w:rPr>
        <w:t xml:space="preserve">    </w:t>
      </w:r>
    </w:p>
    <w:p w14:paraId="48F85A34">
      <w:pPr>
        <w:bidi w:val="0"/>
        <w:jc w:val="right"/>
        <w:rPr>
          <w:highlight w:val="none"/>
        </w:rPr>
      </w:pPr>
      <w:r>
        <w:rPr>
          <w:rFonts w:hint="eastAsia"/>
          <w:highlight w:val="none"/>
        </w:rPr>
        <w:t>单位：元</w:t>
      </w:r>
    </w:p>
    <w:tbl>
      <w:tblPr>
        <w:tblStyle w:val="24"/>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320"/>
        <w:gridCol w:w="2250"/>
        <w:gridCol w:w="901"/>
        <w:gridCol w:w="1051"/>
        <w:gridCol w:w="878"/>
        <w:gridCol w:w="1066"/>
        <w:gridCol w:w="1404"/>
      </w:tblGrid>
      <w:tr w14:paraId="22D18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12" w:type="dxa"/>
            <w:vAlign w:val="center"/>
          </w:tcPr>
          <w:p w14:paraId="5AFF8F42">
            <w:pPr>
              <w:pStyle w:val="34"/>
              <w:bidi w:val="0"/>
              <w:jc w:val="center"/>
              <w:rPr>
                <w:highlight w:val="none"/>
              </w:rPr>
            </w:pPr>
            <w:r>
              <w:rPr>
                <w:rFonts w:hint="eastAsia"/>
                <w:highlight w:val="none"/>
              </w:rPr>
              <w:t>项号</w:t>
            </w:r>
          </w:p>
        </w:tc>
        <w:tc>
          <w:tcPr>
            <w:tcW w:w="1320" w:type="dxa"/>
            <w:vAlign w:val="center"/>
          </w:tcPr>
          <w:p w14:paraId="32748952">
            <w:pPr>
              <w:pStyle w:val="34"/>
              <w:bidi w:val="0"/>
              <w:jc w:val="center"/>
              <w:rPr>
                <w:highlight w:val="none"/>
              </w:rPr>
            </w:pPr>
            <w:r>
              <w:rPr>
                <w:rFonts w:hint="eastAsia"/>
                <w:highlight w:val="none"/>
              </w:rPr>
              <w:t>货物名称</w:t>
            </w:r>
          </w:p>
        </w:tc>
        <w:tc>
          <w:tcPr>
            <w:tcW w:w="2250" w:type="dxa"/>
            <w:vAlign w:val="center"/>
          </w:tcPr>
          <w:p w14:paraId="6987814E">
            <w:pPr>
              <w:pStyle w:val="34"/>
              <w:bidi w:val="0"/>
              <w:jc w:val="center"/>
              <w:rPr>
                <w:highlight w:val="none"/>
              </w:rPr>
            </w:pPr>
            <w:r>
              <w:rPr>
                <w:rFonts w:hint="eastAsia"/>
                <w:highlight w:val="none"/>
              </w:rPr>
              <w:t>厂家、品牌 规格型号</w:t>
            </w:r>
          </w:p>
        </w:tc>
        <w:tc>
          <w:tcPr>
            <w:tcW w:w="901" w:type="dxa"/>
            <w:vAlign w:val="center"/>
          </w:tcPr>
          <w:p w14:paraId="0A852BBC">
            <w:pPr>
              <w:pStyle w:val="34"/>
              <w:bidi w:val="0"/>
              <w:jc w:val="center"/>
              <w:rPr>
                <w:highlight w:val="none"/>
              </w:rPr>
            </w:pPr>
            <w:r>
              <w:rPr>
                <w:rFonts w:hint="eastAsia"/>
                <w:highlight w:val="none"/>
              </w:rPr>
              <w:t>产地</w:t>
            </w:r>
          </w:p>
        </w:tc>
        <w:tc>
          <w:tcPr>
            <w:tcW w:w="1051" w:type="dxa"/>
            <w:vAlign w:val="center"/>
          </w:tcPr>
          <w:p w14:paraId="0092F237">
            <w:pPr>
              <w:pStyle w:val="34"/>
              <w:bidi w:val="0"/>
              <w:jc w:val="center"/>
              <w:rPr>
                <w:highlight w:val="none"/>
              </w:rPr>
            </w:pPr>
            <w:r>
              <w:rPr>
                <w:rFonts w:hint="eastAsia"/>
                <w:highlight w:val="none"/>
              </w:rPr>
              <w:t>数量①</w:t>
            </w:r>
          </w:p>
        </w:tc>
        <w:tc>
          <w:tcPr>
            <w:tcW w:w="878" w:type="dxa"/>
            <w:vAlign w:val="center"/>
          </w:tcPr>
          <w:p w14:paraId="3A2B417D">
            <w:pPr>
              <w:pStyle w:val="34"/>
              <w:bidi w:val="0"/>
              <w:jc w:val="center"/>
              <w:rPr>
                <w:highlight w:val="none"/>
              </w:rPr>
            </w:pPr>
            <w:r>
              <w:rPr>
                <w:rFonts w:hint="eastAsia"/>
                <w:highlight w:val="none"/>
              </w:rPr>
              <w:t>单位</w:t>
            </w:r>
          </w:p>
        </w:tc>
        <w:tc>
          <w:tcPr>
            <w:tcW w:w="1066" w:type="dxa"/>
            <w:vAlign w:val="center"/>
          </w:tcPr>
          <w:p w14:paraId="7B50DC5B">
            <w:pPr>
              <w:pStyle w:val="34"/>
              <w:bidi w:val="0"/>
              <w:jc w:val="center"/>
              <w:rPr>
                <w:highlight w:val="none"/>
              </w:rPr>
            </w:pPr>
            <w:r>
              <w:rPr>
                <w:rFonts w:hint="eastAsia"/>
                <w:highlight w:val="none"/>
              </w:rPr>
              <w:t>单价②</w:t>
            </w:r>
          </w:p>
        </w:tc>
        <w:tc>
          <w:tcPr>
            <w:tcW w:w="1404" w:type="dxa"/>
            <w:vAlign w:val="center"/>
          </w:tcPr>
          <w:p w14:paraId="3CF89F57">
            <w:pPr>
              <w:pStyle w:val="34"/>
              <w:bidi w:val="0"/>
              <w:jc w:val="center"/>
              <w:rPr>
                <w:highlight w:val="none"/>
              </w:rPr>
            </w:pPr>
            <w:r>
              <w:rPr>
                <w:rFonts w:hint="eastAsia"/>
                <w:highlight w:val="none"/>
              </w:rPr>
              <w:t>投标报价</w:t>
            </w:r>
          </w:p>
          <w:p w14:paraId="2C0A61BD">
            <w:pPr>
              <w:pStyle w:val="34"/>
              <w:bidi w:val="0"/>
              <w:jc w:val="center"/>
              <w:rPr>
                <w:highlight w:val="none"/>
              </w:rPr>
            </w:pPr>
            <w:r>
              <w:rPr>
                <w:highlight w:val="none"/>
              </w:rPr>
              <w:t>③=①×②</w:t>
            </w:r>
          </w:p>
        </w:tc>
      </w:tr>
      <w:tr w14:paraId="7986A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12" w:type="dxa"/>
            <w:vAlign w:val="center"/>
          </w:tcPr>
          <w:p w14:paraId="401891D1">
            <w:pPr>
              <w:pStyle w:val="34"/>
              <w:bidi w:val="0"/>
              <w:jc w:val="center"/>
              <w:rPr>
                <w:highlight w:val="none"/>
              </w:rPr>
            </w:pPr>
            <w:r>
              <w:rPr>
                <w:highlight w:val="none"/>
              </w:rPr>
              <w:t>1</w:t>
            </w:r>
          </w:p>
        </w:tc>
        <w:tc>
          <w:tcPr>
            <w:tcW w:w="1320" w:type="dxa"/>
            <w:vAlign w:val="center"/>
          </w:tcPr>
          <w:p w14:paraId="33C20711">
            <w:pPr>
              <w:pStyle w:val="34"/>
              <w:bidi w:val="0"/>
              <w:jc w:val="center"/>
              <w:rPr>
                <w:highlight w:val="none"/>
              </w:rPr>
            </w:pPr>
          </w:p>
        </w:tc>
        <w:tc>
          <w:tcPr>
            <w:tcW w:w="2250" w:type="dxa"/>
            <w:vAlign w:val="center"/>
          </w:tcPr>
          <w:p w14:paraId="16D44D86">
            <w:pPr>
              <w:pStyle w:val="34"/>
              <w:bidi w:val="0"/>
              <w:jc w:val="center"/>
              <w:rPr>
                <w:highlight w:val="none"/>
              </w:rPr>
            </w:pPr>
          </w:p>
        </w:tc>
        <w:tc>
          <w:tcPr>
            <w:tcW w:w="901" w:type="dxa"/>
            <w:vAlign w:val="center"/>
          </w:tcPr>
          <w:p w14:paraId="39361524">
            <w:pPr>
              <w:pStyle w:val="34"/>
              <w:bidi w:val="0"/>
              <w:jc w:val="center"/>
              <w:rPr>
                <w:highlight w:val="none"/>
              </w:rPr>
            </w:pPr>
          </w:p>
        </w:tc>
        <w:tc>
          <w:tcPr>
            <w:tcW w:w="1051" w:type="dxa"/>
            <w:vAlign w:val="center"/>
          </w:tcPr>
          <w:p w14:paraId="515300BB">
            <w:pPr>
              <w:pStyle w:val="34"/>
              <w:bidi w:val="0"/>
              <w:jc w:val="center"/>
              <w:rPr>
                <w:highlight w:val="none"/>
              </w:rPr>
            </w:pPr>
          </w:p>
        </w:tc>
        <w:tc>
          <w:tcPr>
            <w:tcW w:w="878" w:type="dxa"/>
            <w:vAlign w:val="center"/>
          </w:tcPr>
          <w:p w14:paraId="36BA4A2E">
            <w:pPr>
              <w:pStyle w:val="34"/>
              <w:bidi w:val="0"/>
              <w:jc w:val="center"/>
              <w:rPr>
                <w:highlight w:val="none"/>
              </w:rPr>
            </w:pPr>
          </w:p>
        </w:tc>
        <w:tc>
          <w:tcPr>
            <w:tcW w:w="1066" w:type="dxa"/>
            <w:vAlign w:val="center"/>
          </w:tcPr>
          <w:p w14:paraId="01272021">
            <w:pPr>
              <w:pStyle w:val="34"/>
              <w:bidi w:val="0"/>
              <w:jc w:val="center"/>
              <w:rPr>
                <w:highlight w:val="none"/>
              </w:rPr>
            </w:pPr>
          </w:p>
        </w:tc>
        <w:tc>
          <w:tcPr>
            <w:tcW w:w="1404" w:type="dxa"/>
            <w:vAlign w:val="center"/>
          </w:tcPr>
          <w:p w14:paraId="68F140FA">
            <w:pPr>
              <w:pStyle w:val="34"/>
              <w:bidi w:val="0"/>
              <w:jc w:val="center"/>
              <w:rPr>
                <w:highlight w:val="none"/>
              </w:rPr>
            </w:pPr>
          </w:p>
        </w:tc>
      </w:tr>
      <w:tr w14:paraId="3D17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vAlign w:val="center"/>
          </w:tcPr>
          <w:p w14:paraId="135064FB">
            <w:pPr>
              <w:pStyle w:val="34"/>
              <w:bidi w:val="0"/>
              <w:jc w:val="center"/>
              <w:rPr>
                <w:highlight w:val="none"/>
              </w:rPr>
            </w:pPr>
            <w:r>
              <w:rPr>
                <w:highlight w:val="none"/>
              </w:rPr>
              <w:t>2</w:t>
            </w:r>
          </w:p>
        </w:tc>
        <w:tc>
          <w:tcPr>
            <w:tcW w:w="1320" w:type="dxa"/>
            <w:vAlign w:val="center"/>
          </w:tcPr>
          <w:p w14:paraId="08373E8C">
            <w:pPr>
              <w:pStyle w:val="34"/>
              <w:bidi w:val="0"/>
              <w:jc w:val="center"/>
              <w:rPr>
                <w:highlight w:val="none"/>
              </w:rPr>
            </w:pPr>
          </w:p>
        </w:tc>
        <w:tc>
          <w:tcPr>
            <w:tcW w:w="2250" w:type="dxa"/>
            <w:vAlign w:val="center"/>
          </w:tcPr>
          <w:p w14:paraId="7C76CB9D">
            <w:pPr>
              <w:pStyle w:val="34"/>
              <w:bidi w:val="0"/>
              <w:jc w:val="center"/>
              <w:rPr>
                <w:highlight w:val="none"/>
              </w:rPr>
            </w:pPr>
          </w:p>
        </w:tc>
        <w:tc>
          <w:tcPr>
            <w:tcW w:w="901" w:type="dxa"/>
            <w:vAlign w:val="center"/>
          </w:tcPr>
          <w:p w14:paraId="2FF72A32">
            <w:pPr>
              <w:pStyle w:val="34"/>
              <w:bidi w:val="0"/>
              <w:jc w:val="center"/>
              <w:rPr>
                <w:highlight w:val="none"/>
              </w:rPr>
            </w:pPr>
          </w:p>
        </w:tc>
        <w:tc>
          <w:tcPr>
            <w:tcW w:w="1051" w:type="dxa"/>
            <w:vAlign w:val="center"/>
          </w:tcPr>
          <w:p w14:paraId="1E4426EA">
            <w:pPr>
              <w:pStyle w:val="34"/>
              <w:bidi w:val="0"/>
              <w:jc w:val="center"/>
              <w:rPr>
                <w:highlight w:val="none"/>
              </w:rPr>
            </w:pPr>
          </w:p>
        </w:tc>
        <w:tc>
          <w:tcPr>
            <w:tcW w:w="878" w:type="dxa"/>
            <w:vAlign w:val="center"/>
          </w:tcPr>
          <w:p w14:paraId="71BB0B0B">
            <w:pPr>
              <w:pStyle w:val="34"/>
              <w:bidi w:val="0"/>
              <w:jc w:val="center"/>
              <w:rPr>
                <w:highlight w:val="none"/>
              </w:rPr>
            </w:pPr>
          </w:p>
        </w:tc>
        <w:tc>
          <w:tcPr>
            <w:tcW w:w="1066" w:type="dxa"/>
            <w:vAlign w:val="center"/>
          </w:tcPr>
          <w:p w14:paraId="44B0733B">
            <w:pPr>
              <w:pStyle w:val="34"/>
              <w:bidi w:val="0"/>
              <w:jc w:val="center"/>
              <w:rPr>
                <w:highlight w:val="none"/>
              </w:rPr>
            </w:pPr>
          </w:p>
        </w:tc>
        <w:tc>
          <w:tcPr>
            <w:tcW w:w="1404" w:type="dxa"/>
            <w:vAlign w:val="center"/>
          </w:tcPr>
          <w:p w14:paraId="00E58796">
            <w:pPr>
              <w:pStyle w:val="34"/>
              <w:bidi w:val="0"/>
              <w:jc w:val="center"/>
              <w:rPr>
                <w:highlight w:val="none"/>
              </w:rPr>
            </w:pPr>
          </w:p>
        </w:tc>
      </w:tr>
      <w:tr w14:paraId="5F0E5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vAlign w:val="center"/>
          </w:tcPr>
          <w:p w14:paraId="1444E0E2">
            <w:pPr>
              <w:pStyle w:val="34"/>
              <w:bidi w:val="0"/>
              <w:jc w:val="center"/>
              <w:rPr>
                <w:highlight w:val="none"/>
              </w:rPr>
            </w:pPr>
            <w:r>
              <w:rPr>
                <w:highlight w:val="none"/>
              </w:rPr>
              <w:t>…</w:t>
            </w:r>
          </w:p>
        </w:tc>
        <w:tc>
          <w:tcPr>
            <w:tcW w:w="1320" w:type="dxa"/>
            <w:vAlign w:val="center"/>
          </w:tcPr>
          <w:p w14:paraId="108C5574">
            <w:pPr>
              <w:pStyle w:val="34"/>
              <w:bidi w:val="0"/>
              <w:jc w:val="center"/>
              <w:rPr>
                <w:highlight w:val="none"/>
              </w:rPr>
            </w:pPr>
          </w:p>
        </w:tc>
        <w:tc>
          <w:tcPr>
            <w:tcW w:w="2250" w:type="dxa"/>
            <w:vAlign w:val="center"/>
          </w:tcPr>
          <w:p w14:paraId="458148FD">
            <w:pPr>
              <w:pStyle w:val="34"/>
              <w:bidi w:val="0"/>
              <w:jc w:val="center"/>
              <w:rPr>
                <w:highlight w:val="none"/>
              </w:rPr>
            </w:pPr>
          </w:p>
        </w:tc>
        <w:tc>
          <w:tcPr>
            <w:tcW w:w="901" w:type="dxa"/>
            <w:vAlign w:val="center"/>
          </w:tcPr>
          <w:p w14:paraId="2407A97B">
            <w:pPr>
              <w:pStyle w:val="34"/>
              <w:bidi w:val="0"/>
              <w:jc w:val="center"/>
              <w:rPr>
                <w:highlight w:val="none"/>
              </w:rPr>
            </w:pPr>
          </w:p>
        </w:tc>
        <w:tc>
          <w:tcPr>
            <w:tcW w:w="1051" w:type="dxa"/>
            <w:vAlign w:val="center"/>
          </w:tcPr>
          <w:p w14:paraId="63BD63B2">
            <w:pPr>
              <w:pStyle w:val="34"/>
              <w:bidi w:val="0"/>
              <w:jc w:val="center"/>
              <w:rPr>
                <w:highlight w:val="none"/>
              </w:rPr>
            </w:pPr>
          </w:p>
        </w:tc>
        <w:tc>
          <w:tcPr>
            <w:tcW w:w="878" w:type="dxa"/>
            <w:vAlign w:val="center"/>
          </w:tcPr>
          <w:p w14:paraId="48335F02">
            <w:pPr>
              <w:pStyle w:val="34"/>
              <w:bidi w:val="0"/>
              <w:jc w:val="center"/>
              <w:rPr>
                <w:highlight w:val="none"/>
              </w:rPr>
            </w:pPr>
          </w:p>
        </w:tc>
        <w:tc>
          <w:tcPr>
            <w:tcW w:w="1066" w:type="dxa"/>
            <w:vAlign w:val="center"/>
          </w:tcPr>
          <w:p w14:paraId="1041DE96">
            <w:pPr>
              <w:pStyle w:val="34"/>
              <w:bidi w:val="0"/>
              <w:jc w:val="center"/>
              <w:rPr>
                <w:highlight w:val="none"/>
              </w:rPr>
            </w:pPr>
          </w:p>
        </w:tc>
        <w:tc>
          <w:tcPr>
            <w:tcW w:w="1404" w:type="dxa"/>
            <w:vAlign w:val="center"/>
          </w:tcPr>
          <w:p w14:paraId="158D3C29">
            <w:pPr>
              <w:pStyle w:val="34"/>
              <w:bidi w:val="0"/>
              <w:jc w:val="center"/>
              <w:rPr>
                <w:highlight w:val="none"/>
              </w:rPr>
            </w:pPr>
          </w:p>
        </w:tc>
      </w:tr>
      <w:tr w14:paraId="547D8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exact"/>
          <w:jc w:val="center"/>
        </w:trPr>
        <w:tc>
          <w:tcPr>
            <w:tcW w:w="9782" w:type="dxa"/>
            <w:gridSpan w:val="8"/>
            <w:vAlign w:val="center"/>
          </w:tcPr>
          <w:p w14:paraId="4EF7FC0A">
            <w:pPr>
              <w:pStyle w:val="34"/>
              <w:bidi w:val="0"/>
              <w:jc w:val="left"/>
              <w:rPr>
                <w:highlight w:val="none"/>
                <w:lang w:eastAsia="zh-CN"/>
              </w:rPr>
            </w:pPr>
            <w:r>
              <w:rPr>
                <w:rFonts w:hint="eastAsia"/>
                <w:highlight w:val="none"/>
                <w:lang w:eastAsia="zh-CN"/>
              </w:rPr>
              <w:t>投标报价（合计金额）大写：</w:t>
            </w:r>
            <w:r>
              <w:rPr>
                <w:highlight w:val="none"/>
                <w:u w:val="single"/>
                <w:lang w:eastAsia="zh-CN"/>
              </w:rPr>
              <w:t xml:space="preserve"> </w:t>
            </w:r>
            <w:r>
              <w:rPr>
                <w:highlight w:val="none"/>
                <w:u w:val="single"/>
                <w:lang w:eastAsia="zh-CN"/>
              </w:rPr>
              <w:tab/>
            </w:r>
            <w:r>
              <w:rPr>
                <w:highlight w:val="none"/>
                <w:u w:val="single"/>
                <w:lang w:eastAsia="zh-CN"/>
              </w:rPr>
              <w:tab/>
            </w:r>
            <w:r>
              <w:rPr>
                <w:rFonts w:hint="eastAsia"/>
                <w:highlight w:val="none"/>
                <w:lang w:eastAsia="zh-CN"/>
              </w:rPr>
              <w:t>人民币</w:t>
            </w:r>
            <w:r>
              <w:rPr>
                <w:highlight w:val="none"/>
                <w:lang w:eastAsia="zh-CN"/>
              </w:rPr>
              <w:t xml:space="preserve"> </w:t>
            </w:r>
            <w:r>
              <w:rPr>
                <w:rFonts w:hint="eastAsia"/>
                <w:highlight w:val="none"/>
                <w:lang w:eastAsia="zh-CN"/>
              </w:rPr>
              <w:t>（</w:t>
            </w:r>
            <w:r>
              <w:rPr>
                <w:highlight w:val="none"/>
                <w:lang w:eastAsia="zh-CN"/>
              </w:rPr>
              <w:t xml:space="preserve"> </w:t>
            </w:r>
            <w:r>
              <w:rPr>
                <w:rFonts w:hint="eastAsia"/>
                <w:highlight w:val="none"/>
                <w:lang w:eastAsia="zh-CN"/>
              </w:rPr>
              <w:t>￥</w:t>
            </w:r>
            <w:r>
              <w:rPr>
                <w:highlight w:val="none"/>
                <w:lang w:eastAsia="zh-CN"/>
              </w:rPr>
              <w:t xml:space="preserve"> </w:t>
            </w:r>
            <w:r>
              <w:rPr>
                <w:highlight w:val="none"/>
                <w:lang w:eastAsia="zh-CN"/>
              </w:rPr>
              <w:tab/>
            </w:r>
            <w:r>
              <w:rPr>
                <w:highlight w:val="none"/>
                <w:lang w:eastAsia="zh-CN"/>
              </w:rPr>
              <w:tab/>
            </w:r>
            <w:r>
              <w:rPr>
                <w:highlight w:val="none"/>
                <w:lang w:eastAsia="zh-CN"/>
              </w:rPr>
              <w:tab/>
            </w:r>
            <w:r>
              <w:rPr>
                <w:rFonts w:hint="eastAsia"/>
                <w:highlight w:val="none"/>
                <w:lang w:eastAsia="zh-CN"/>
              </w:rPr>
              <w:t>）</w:t>
            </w:r>
            <w:r>
              <w:rPr>
                <w:highlight w:val="none"/>
                <w:lang w:eastAsia="zh-CN"/>
              </w:rPr>
              <w:t xml:space="preserve"> </w:t>
            </w:r>
            <w:r>
              <w:rPr>
                <w:rFonts w:hint="eastAsia"/>
                <w:highlight w:val="none"/>
                <w:lang w:eastAsia="zh-CN"/>
              </w:rPr>
              <w:t>。</w:t>
            </w:r>
          </w:p>
          <w:p w14:paraId="7E1296A9">
            <w:pPr>
              <w:pStyle w:val="34"/>
              <w:bidi w:val="0"/>
              <w:jc w:val="left"/>
              <w:rPr>
                <w:rFonts w:hint="eastAsia"/>
                <w:highlight w:val="none"/>
                <w:lang w:eastAsia="zh-CN"/>
              </w:rPr>
            </w:pPr>
            <w:r>
              <w:rPr>
                <w:highlight w:val="none"/>
                <w:lang w:eastAsia="zh-CN"/>
              </w:rPr>
              <w:t>属于优先采购节能产品总值为￥</w:t>
            </w:r>
            <w:r>
              <w:rPr>
                <w:highlight w:val="none"/>
                <w:u w:val="single"/>
                <w:lang w:eastAsia="zh-CN"/>
              </w:rPr>
              <w:t xml:space="preserve"> </w:t>
            </w:r>
            <w:r>
              <w:rPr>
                <w:rFonts w:hint="eastAsia"/>
                <w:highlight w:val="none"/>
                <w:u w:val="single"/>
                <w:lang w:eastAsia="zh-CN"/>
              </w:rPr>
              <w:t xml:space="preserve">   </w:t>
            </w:r>
            <w:r>
              <w:rPr>
                <w:highlight w:val="none"/>
                <w:u w:val="single"/>
                <w:lang w:eastAsia="zh-CN"/>
              </w:rPr>
              <w:tab/>
            </w:r>
            <w:r>
              <w:rPr>
                <w:highlight w:val="none"/>
                <w:u w:val="single"/>
                <w:lang w:eastAsia="zh-CN"/>
              </w:rPr>
              <w:t>（具体明细详见附表）</w:t>
            </w:r>
            <w:r>
              <w:rPr>
                <w:highlight w:val="none"/>
                <w:lang w:eastAsia="zh-CN"/>
              </w:rPr>
              <w:t>，占本投标报价的比例为</w:t>
            </w:r>
            <w:r>
              <w:rPr>
                <w:highlight w:val="none"/>
                <w:u w:val="single"/>
                <w:lang w:eastAsia="zh-CN"/>
              </w:rPr>
              <w:t xml:space="preserve"> </w:t>
            </w:r>
            <w:r>
              <w:rPr>
                <w:rFonts w:hint="eastAsia"/>
                <w:highlight w:val="none"/>
                <w:u w:val="single"/>
                <w:lang w:eastAsia="zh-CN"/>
              </w:rPr>
              <w:t xml:space="preserve">  </w:t>
            </w:r>
            <w:r>
              <w:rPr>
                <w:highlight w:val="none"/>
                <w:lang w:eastAsia="zh-CN"/>
              </w:rPr>
              <w:t>%；属于优先采购环境标志产品总值为￥</w:t>
            </w:r>
            <w:r>
              <w:rPr>
                <w:highlight w:val="none"/>
                <w:u w:val="single"/>
                <w:lang w:eastAsia="zh-CN"/>
              </w:rPr>
              <w:t xml:space="preserve"> </w:t>
            </w:r>
            <w:r>
              <w:rPr>
                <w:highlight w:val="none"/>
                <w:u w:val="single"/>
                <w:lang w:eastAsia="zh-CN"/>
              </w:rPr>
              <w:tab/>
            </w:r>
            <w:r>
              <w:rPr>
                <w:highlight w:val="none"/>
                <w:u w:val="single"/>
                <w:lang w:eastAsia="zh-CN"/>
              </w:rPr>
              <w:t>（具体明细详见附表）</w:t>
            </w:r>
            <w:r>
              <w:rPr>
                <w:highlight w:val="none"/>
                <w:lang w:eastAsia="zh-CN"/>
              </w:rPr>
              <w:t>， 占本投标报价的比例为</w:t>
            </w:r>
            <w:r>
              <w:rPr>
                <w:highlight w:val="none"/>
                <w:u w:val="single"/>
                <w:lang w:eastAsia="zh-CN"/>
              </w:rPr>
              <w:t xml:space="preserve"> </w:t>
            </w:r>
            <w:r>
              <w:rPr>
                <w:rFonts w:hint="eastAsia"/>
                <w:highlight w:val="none"/>
                <w:u w:val="single"/>
                <w:lang w:eastAsia="zh-CN"/>
              </w:rPr>
              <w:t xml:space="preserve"> </w:t>
            </w:r>
            <w:r>
              <w:rPr>
                <w:highlight w:val="none"/>
                <w:lang w:eastAsia="zh-CN"/>
              </w:rPr>
              <w:t>%</w:t>
            </w:r>
            <w:r>
              <w:rPr>
                <w:rFonts w:hint="eastAsia"/>
                <w:highlight w:val="none"/>
                <w:lang w:eastAsia="zh-CN"/>
              </w:rPr>
              <w:t>。</w:t>
            </w:r>
          </w:p>
        </w:tc>
      </w:tr>
      <w:tr w14:paraId="54BC0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exact"/>
          <w:jc w:val="center"/>
        </w:trPr>
        <w:tc>
          <w:tcPr>
            <w:tcW w:w="9782" w:type="dxa"/>
            <w:gridSpan w:val="8"/>
            <w:vAlign w:val="center"/>
          </w:tcPr>
          <w:p w14:paraId="01C9F7D7">
            <w:pPr>
              <w:pStyle w:val="34"/>
              <w:bidi w:val="0"/>
              <w:jc w:val="left"/>
              <w:rPr>
                <w:highlight w:val="none"/>
                <w:lang w:eastAsia="zh-CN"/>
              </w:rPr>
            </w:pPr>
            <w:r>
              <w:rPr>
                <w:rFonts w:hint="eastAsia"/>
                <w:highlight w:val="none"/>
                <w:lang w:eastAsia="zh-CN"/>
              </w:rPr>
              <w:t>交付期：自签订合同后</w:t>
            </w:r>
            <w:r>
              <w:rPr>
                <w:rFonts w:hint="eastAsia"/>
                <w:highlight w:val="none"/>
                <w:u w:val="single"/>
                <w:lang w:eastAsia="zh-CN"/>
              </w:rPr>
              <w:t xml:space="preserve">     天（日历天）</w:t>
            </w:r>
            <w:r>
              <w:rPr>
                <w:rFonts w:hint="eastAsia"/>
                <w:highlight w:val="none"/>
                <w:lang w:eastAsia="zh-CN"/>
              </w:rPr>
              <w:t>内安装调试完毕并交付使用。</w:t>
            </w:r>
          </w:p>
        </w:tc>
      </w:tr>
    </w:tbl>
    <w:p w14:paraId="4D4C04BD">
      <w:pPr>
        <w:pStyle w:val="36"/>
        <w:bidi w:val="0"/>
        <w:rPr>
          <w:sz w:val="22"/>
          <w:szCs w:val="22"/>
          <w:highlight w:val="none"/>
        </w:rPr>
      </w:pPr>
      <w:r>
        <w:rPr>
          <w:rFonts w:hint="eastAsia"/>
          <w:sz w:val="22"/>
          <w:szCs w:val="22"/>
          <w:highlight w:val="none"/>
        </w:rPr>
        <w:t>注:</w:t>
      </w:r>
      <w:r>
        <w:rPr>
          <w:sz w:val="22"/>
          <w:szCs w:val="22"/>
          <w:highlight w:val="none"/>
        </w:rPr>
        <w:t>1．开标一览表必须加盖投标人公章,否则其投标作无效标处理。</w:t>
      </w:r>
    </w:p>
    <w:p w14:paraId="1624B94F">
      <w:pPr>
        <w:pStyle w:val="36"/>
        <w:bidi w:val="0"/>
        <w:rPr>
          <w:sz w:val="22"/>
          <w:szCs w:val="22"/>
          <w:highlight w:val="none"/>
        </w:rPr>
      </w:pPr>
      <w:r>
        <w:rPr>
          <w:rFonts w:hint="eastAsia"/>
          <w:sz w:val="22"/>
          <w:szCs w:val="22"/>
          <w:highlight w:val="none"/>
        </w:rPr>
        <w:t>2.</w:t>
      </w:r>
      <w:r>
        <w:rPr>
          <w:sz w:val="22"/>
          <w:szCs w:val="22"/>
          <w:highlight w:val="none"/>
        </w:rPr>
        <w:t>投标人必须就“招标项目采购需求”中所投分标的所有内容作完整唯一报价，根据“招标项目采购需求”中的“货物名称”逐项对应填报“开标一览表”，漏项报价的或有选择的或有条件的报价，其投标将被拒绝；投标文件只允许有一个报价。</w:t>
      </w:r>
    </w:p>
    <w:p w14:paraId="1B9F2513">
      <w:pPr>
        <w:pStyle w:val="36"/>
        <w:bidi w:val="0"/>
        <w:rPr>
          <w:sz w:val="22"/>
          <w:szCs w:val="22"/>
          <w:highlight w:val="none"/>
        </w:rPr>
      </w:pPr>
      <w:r>
        <w:rPr>
          <w:sz w:val="22"/>
          <w:szCs w:val="22"/>
          <w:highlight w:val="none"/>
        </w:rPr>
        <w:t>3．报价一经涂改，应在涂改处加盖投标人公章，否则其投标作无效标处理。</w:t>
      </w:r>
    </w:p>
    <w:p w14:paraId="26C098E3">
      <w:pPr>
        <w:pStyle w:val="36"/>
        <w:bidi w:val="0"/>
        <w:rPr>
          <w:sz w:val="22"/>
          <w:szCs w:val="22"/>
          <w:highlight w:val="none"/>
        </w:rPr>
      </w:pPr>
      <w:r>
        <w:rPr>
          <w:rFonts w:hint="eastAsia"/>
          <w:sz w:val="22"/>
          <w:szCs w:val="22"/>
          <w:highlight w:val="none"/>
        </w:rPr>
        <w:t>4、凡需用专用耗材的专用设备类采购项目，应按招标文件规定的耗材量或按耗材的常规试用量提供报价。</w:t>
      </w:r>
    </w:p>
    <w:p w14:paraId="7157CAD3">
      <w:pPr>
        <w:pStyle w:val="36"/>
        <w:bidi w:val="0"/>
        <w:rPr>
          <w:sz w:val="22"/>
          <w:szCs w:val="22"/>
          <w:highlight w:val="none"/>
        </w:rPr>
      </w:pPr>
      <w:r>
        <w:rPr>
          <w:rFonts w:hint="eastAsia"/>
          <w:sz w:val="22"/>
          <w:szCs w:val="22"/>
          <w:highlight w:val="none"/>
        </w:rPr>
        <w:t>5、投标费用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w:t>
      </w:r>
    </w:p>
    <w:p w14:paraId="40CAED07">
      <w:pPr>
        <w:pStyle w:val="36"/>
        <w:bidi w:val="0"/>
        <w:rPr>
          <w:sz w:val="22"/>
          <w:szCs w:val="22"/>
          <w:highlight w:val="none"/>
        </w:rPr>
      </w:pPr>
      <w:r>
        <w:rPr>
          <w:rFonts w:hint="eastAsia"/>
          <w:sz w:val="22"/>
          <w:szCs w:val="22"/>
          <w:highlight w:val="none"/>
        </w:rPr>
        <w:t>6、</w:t>
      </w:r>
      <w:r>
        <w:rPr>
          <w:sz w:val="22"/>
          <w:szCs w:val="22"/>
          <w:highlight w:val="none"/>
        </w:rPr>
        <w:t>本开标一览表投标产品中如有财政部现行《</w:t>
      </w:r>
      <w:r>
        <w:rPr>
          <w:rFonts w:hint="eastAsia"/>
          <w:sz w:val="22"/>
          <w:szCs w:val="22"/>
          <w:highlight w:val="none"/>
        </w:rPr>
        <w:t>节能产品政府采购品目清单</w:t>
      </w:r>
      <w:r>
        <w:rPr>
          <w:sz w:val="22"/>
          <w:szCs w:val="22"/>
          <w:highlight w:val="none"/>
        </w:rPr>
        <w:t>》目录内优先采购的产品、现行《环境标志产品政府采购</w:t>
      </w:r>
      <w:r>
        <w:rPr>
          <w:rFonts w:hint="eastAsia"/>
          <w:sz w:val="22"/>
          <w:szCs w:val="22"/>
          <w:highlight w:val="none"/>
        </w:rPr>
        <w:t>品目清单</w:t>
      </w:r>
      <w:r>
        <w:rPr>
          <w:sz w:val="22"/>
          <w:szCs w:val="22"/>
          <w:highlight w:val="none"/>
        </w:rPr>
        <w:t>》目录内优先采购的产品、小微企业生产的产品，请在本表后按类别分别附上此类产品明细表，明细表中列明：项号、货物名称、 数量、单价、投标报价、累计金额并附相关证明材料。如因投标人未提供明细表或证明材料而导致评标委员会无法评判或无法计分而给投标人造成的损失由投标人自行负责，如因投标人提供虚假材料以谋取中标的责任亦由投标人自行负责。</w:t>
      </w:r>
    </w:p>
    <w:p w14:paraId="06AABB95">
      <w:pPr>
        <w:bidi w:val="0"/>
        <w:jc w:val="right"/>
        <w:rPr>
          <w:rFonts w:hint="default" w:eastAsia="宋体"/>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2CE6C069">
      <w:pPr>
        <w:bidi w:val="0"/>
        <w:jc w:val="right"/>
        <w:rPr>
          <w:rFonts w:hint="default" w:eastAsia="宋体"/>
          <w:highlight w:val="none"/>
          <w:lang w:val="en-US" w:eastAsia="zh-CN"/>
        </w:rPr>
      </w:pPr>
      <w:r>
        <w:rPr>
          <w:rFonts w:hint="eastAsia"/>
          <w:highlight w:val="none"/>
        </w:rPr>
        <w:t>日期：</w:t>
      </w:r>
      <w:r>
        <w:rPr>
          <w:rFonts w:hint="eastAsia"/>
          <w:highlight w:val="none"/>
          <w:lang w:val="en-US" w:eastAsia="zh-CN"/>
        </w:rPr>
        <w:t xml:space="preserve"> </w:t>
      </w:r>
      <w:r>
        <w:rPr>
          <w:highlight w:val="none"/>
        </w:rPr>
        <w:t xml:space="preserve"> </w:t>
      </w:r>
      <w:r>
        <w:rPr>
          <w:rFonts w:hint="eastAsia"/>
          <w:highlight w:val="none"/>
        </w:rPr>
        <w:t>年</w:t>
      </w:r>
      <w:r>
        <w:rPr>
          <w:highlight w:val="none"/>
        </w:rPr>
        <w:t xml:space="preserve"> </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highlight w:val="none"/>
        </w:rPr>
        <w:t xml:space="preserve"> </w:t>
      </w:r>
      <w:r>
        <w:rPr>
          <w:rFonts w:hint="eastAsia"/>
          <w:highlight w:val="none"/>
        </w:rPr>
        <w:t>日</w:t>
      </w:r>
      <w:r>
        <w:rPr>
          <w:rFonts w:hint="eastAsia"/>
          <w:highlight w:val="none"/>
          <w:lang w:val="en-US" w:eastAsia="zh-CN"/>
        </w:rPr>
        <w:t xml:space="preserve">            </w:t>
      </w:r>
    </w:p>
    <w:p w14:paraId="556706E2">
      <w:pPr>
        <w:bidi w:val="0"/>
        <w:jc w:val="right"/>
        <w:rPr>
          <w:rFonts w:hint="eastAsia"/>
          <w:highlight w:val="none"/>
        </w:rPr>
        <w:sectPr>
          <w:pgSz w:w="11906" w:h="16839"/>
          <w:pgMar w:top="400" w:right="994" w:bottom="1156" w:left="1255" w:header="0" w:footer="994" w:gutter="0"/>
          <w:pgNumType w:fmt="decimal"/>
          <w:cols w:space="720" w:num="1"/>
        </w:sectPr>
      </w:pPr>
    </w:p>
    <w:p w14:paraId="0C0443E7">
      <w:pPr>
        <w:pStyle w:val="36"/>
        <w:bidi w:val="0"/>
        <w:rPr>
          <w:highlight w:val="none"/>
        </w:rPr>
      </w:pPr>
      <w:r>
        <w:rPr>
          <w:rFonts w:hint="eastAsia"/>
          <w:highlight w:val="none"/>
        </w:rPr>
        <w:t>3.中小企业声明函格式</w:t>
      </w:r>
    </w:p>
    <w:p w14:paraId="09719C14">
      <w:pPr>
        <w:pStyle w:val="35"/>
        <w:bidi w:val="0"/>
        <w:rPr>
          <w:highlight w:val="none"/>
        </w:rPr>
      </w:pPr>
      <w:r>
        <w:rPr>
          <w:rFonts w:hint="eastAsia"/>
          <w:highlight w:val="none"/>
        </w:rPr>
        <w:t>中小企业声明函</w:t>
      </w:r>
    </w:p>
    <w:p w14:paraId="41C71B31">
      <w:pPr>
        <w:pStyle w:val="36"/>
        <w:bidi w:val="0"/>
        <w:rPr>
          <w:highlight w:val="none"/>
        </w:rPr>
      </w:pPr>
      <w:r>
        <w:rPr>
          <w:rFonts w:hint="eastAsia"/>
          <w:highlight w:val="none"/>
        </w:rPr>
        <w:t>说明：</w:t>
      </w:r>
    </w:p>
    <w:p w14:paraId="1CE4DC06">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ascii="宋体" w:hAnsi="宋体"/>
          <w:szCs w:val="21"/>
          <w:highlight w:val="none"/>
        </w:rPr>
        <w:t>1</w:t>
      </w:r>
      <w:r>
        <w:rPr>
          <w:rFonts w:hint="eastAsia" w:ascii="宋体" w:hAnsi="宋体"/>
          <w:szCs w:val="21"/>
          <w:highlight w:val="none"/>
        </w:rPr>
        <w:t>、本声明函主要供参加政府采购活动的中小企业填写，非中小企业无需填写。</w:t>
      </w:r>
    </w:p>
    <w:p w14:paraId="0AC6C4E3">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ascii="宋体" w:hAnsi="宋体"/>
          <w:szCs w:val="21"/>
          <w:highlight w:val="none"/>
        </w:rPr>
        <w:t>2</w:t>
      </w:r>
      <w:r>
        <w:rPr>
          <w:rFonts w:hint="eastAsia" w:ascii="宋体" w:hAnsi="宋体"/>
          <w:szCs w:val="21"/>
          <w:highlight w:val="none"/>
        </w:rPr>
        <w:t>、小型、微型企业提供中型企业提供的货物的，视同为中型企业。</w:t>
      </w:r>
    </w:p>
    <w:p w14:paraId="578B2396">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本公司（联合体）郑重声明，根据《政府采购促进中小企业发展管理办法》（财库﹝</w:t>
      </w:r>
      <w:r>
        <w:rPr>
          <w:rFonts w:ascii="宋体" w:hAnsi="宋体"/>
          <w:szCs w:val="21"/>
          <w:highlight w:val="none"/>
        </w:rPr>
        <w:t>2020</w:t>
      </w:r>
      <w:r>
        <w:rPr>
          <w:rFonts w:hint="eastAsia" w:ascii="宋体" w:hAnsi="宋体"/>
          <w:szCs w:val="21"/>
          <w:highlight w:val="none"/>
        </w:rPr>
        <w:t>﹞</w:t>
      </w:r>
      <w:r>
        <w:rPr>
          <w:rFonts w:ascii="宋体" w:hAnsi="宋体"/>
          <w:szCs w:val="21"/>
          <w:highlight w:val="none"/>
        </w:rPr>
        <w:t>46</w:t>
      </w:r>
      <w:r>
        <w:rPr>
          <w:rFonts w:hint="eastAsia" w:ascii="宋体" w:hAnsi="宋体"/>
          <w:szCs w:val="21"/>
          <w:highlight w:val="none"/>
        </w:rPr>
        <w:t>号）的规定，本公司（联合体）参加</w:t>
      </w:r>
      <w:r>
        <w:rPr>
          <w:rFonts w:hint="eastAsia" w:ascii="宋体" w:hAnsi="宋体"/>
          <w:szCs w:val="21"/>
          <w:highlight w:val="none"/>
          <w:u w:val="single"/>
        </w:rPr>
        <w:t xml:space="preserve">    （单位名称）   </w:t>
      </w:r>
      <w:r>
        <w:rPr>
          <w:rFonts w:hint="eastAsia" w:ascii="宋体" w:hAnsi="宋体"/>
          <w:szCs w:val="21"/>
          <w:highlight w:val="none"/>
        </w:rPr>
        <w:t>的</w:t>
      </w:r>
      <w:r>
        <w:rPr>
          <w:rFonts w:hint="eastAsia" w:ascii="宋体" w:hAnsi="宋体"/>
          <w:szCs w:val="21"/>
          <w:highlight w:val="none"/>
          <w:u w:val="single"/>
        </w:rPr>
        <w:t xml:space="preserve">   （项目名称）   </w:t>
      </w:r>
      <w:r>
        <w:rPr>
          <w:rFonts w:hint="eastAsia" w:ascii="宋体" w:hAnsi="宋体"/>
          <w:szCs w:val="21"/>
          <w:highlight w:val="none"/>
        </w:rPr>
        <w:t>采购活动，提供的货物全部由符合政策要求的中小企业制造。相关企业（含联合体中的中小企业、签订分包意向协议的中小企业）的具体情况如下：</w:t>
      </w:r>
    </w:p>
    <w:p w14:paraId="7EF34C54">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ascii="宋体" w:hAnsi="宋体"/>
          <w:szCs w:val="21"/>
          <w:highlight w:val="none"/>
        </w:rPr>
        <w:t>1.</w:t>
      </w:r>
      <w:r>
        <w:rPr>
          <w:rFonts w:hint="eastAsia" w:ascii="宋体" w:hAnsi="宋体"/>
          <w:szCs w:val="21"/>
          <w:highlight w:val="none"/>
          <w:u w:val="single"/>
        </w:rPr>
        <w:t xml:space="preserve">   （标的名称）  </w:t>
      </w:r>
      <w:r>
        <w:rPr>
          <w:rFonts w:hint="eastAsia" w:ascii="宋体" w:hAnsi="宋体"/>
          <w:szCs w:val="21"/>
          <w:highlight w:val="none"/>
        </w:rPr>
        <w:t>，属于</w:t>
      </w:r>
      <w:r>
        <w:rPr>
          <w:rFonts w:hint="eastAsia" w:ascii="宋体" w:hAnsi="宋体"/>
          <w:szCs w:val="21"/>
          <w:highlight w:val="none"/>
          <w:u w:val="single"/>
        </w:rPr>
        <w:t xml:space="preserve"> （采购文件中明确的所属行业） </w:t>
      </w:r>
      <w:r>
        <w:rPr>
          <w:rFonts w:hint="eastAsia" w:ascii="宋体" w:hAnsi="宋体"/>
          <w:szCs w:val="21"/>
          <w:highlight w:val="none"/>
        </w:rPr>
        <w:t>行业；制造商为</w:t>
      </w:r>
      <w:r>
        <w:rPr>
          <w:rFonts w:hint="eastAsia" w:ascii="宋体" w:hAnsi="宋体"/>
          <w:szCs w:val="21"/>
          <w:highlight w:val="none"/>
          <w:u w:val="single"/>
        </w:rPr>
        <w:t xml:space="preserve"> （企业名称） </w:t>
      </w:r>
      <w:r>
        <w:rPr>
          <w:rFonts w:hint="eastAsia" w:ascii="宋体" w:hAnsi="宋体"/>
          <w:szCs w:val="21"/>
          <w:highlight w:val="none"/>
        </w:rPr>
        <w:t>，从业人员</w:t>
      </w:r>
      <w:r>
        <w:rPr>
          <w:rFonts w:hint="eastAsia" w:ascii="宋体" w:hAnsi="宋体"/>
          <w:szCs w:val="21"/>
          <w:highlight w:val="none"/>
          <w:u w:val="single"/>
        </w:rPr>
        <w:t xml:space="preserve">   </w:t>
      </w:r>
      <w:r>
        <w:rPr>
          <w:rFonts w:hint="eastAsia" w:ascii="宋体" w:hAnsi="宋体"/>
          <w:szCs w:val="21"/>
          <w:highlight w:val="none"/>
        </w:rPr>
        <w:t>人，营业收入为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万元，资产总额为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万元，属于</w:t>
      </w:r>
      <w:r>
        <w:rPr>
          <w:rFonts w:hint="eastAsia" w:ascii="宋体" w:hAnsi="宋体"/>
          <w:szCs w:val="21"/>
          <w:highlight w:val="none"/>
          <w:u w:val="single"/>
        </w:rPr>
        <w:t>（中型企业、小型企业、微型企业）</w:t>
      </w:r>
      <w:r>
        <w:rPr>
          <w:rFonts w:hint="eastAsia" w:ascii="宋体" w:hAnsi="宋体"/>
          <w:szCs w:val="21"/>
          <w:highlight w:val="none"/>
        </w:rPr>
        <w:t>；</w:t>
      </w:r>
    </w:p>
    <w:p w14:paraId="63545EF5">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ascii="宋体" w:hAnsi="宋体"/>
          <w:szCs w:val="21"/>
          <w:highlight w:val="none"/>
        </w:rPr>
        <w:t>2.</w:t>
      </w:r>
      <w:r>
        <w:rPr>
          <w:rFonts w:hint="eastAsia" w:ascii="宋体" w:hAnsi="宋体"/>
          <w:szCs w:val="21"/>
          <w:highlight w:val="none"/>
          <w:u w:val="single"/>
        </w:rPr>
        <w:t xml:space="preserve">   （标的名称）  </w:t>
      </w:r>
      <w:r>
        <w:rPr>
          <w:rFonts w:hint="eastAsia" w:ascii="宋体" w:hAnsi="宋体"/>
          <w:szCs w:val="21"/>
          <w:highlight w:val="none"/>
        </w:rPr>
        <w:t>，属于</w:t>
      </w:r>
      <w:r>
        <w:rPr>
          <w:rFonts w:hint="eastAsia" w:ascii="宋体" w:hAnsi="宋体"/>
          <w:szCs w:val="21"/>
          <w:highlight w:val="none"/>
          <w:u w:val="single"/>
        </w:rPr>
        <w:t xml:space="preserve"> （采购文件中明确的所属行业） </w:t>
      </w:r>
      <w:r>
        <w:rPr>
          <w:rFonts w:hint="eastAsia" w:ascii="宋体" w:hAnsi="宋体"/>
          <w:szCs w:val="21"/>
          <w:highlight w:val="none"/>
        </w:rPr>
        <w:t>行业；制造商为</w:t>
      </w:r>
      <w:r>
        <w:rPr>
          <w:rFonts w:hint="eastAsia" w:ascii="宋体" w:hAnsi="宋体"/>
          <w:szCs w:val="21"/>
          <w:highlight w:val="none"/>
          <w:u w:val="single"/>
        </w:rPr>
        <w:t xml:space="preserve"> （企业名称） </w:t>
      </w:r>
      <w:r>
        <w:rPr>
          <w:rFonts w:hint="eastAsia" w:ascii="宋体" w:hAnsi="宋体"/>
          <w:szCs w:val="21"/>
          <w:highlight w:val="none"/>
        </w:rPr>
        <w:t>，从业人员</w:t>
      </w:r>
      <w:r>
        <w:rPr>
          <w:rFonts w:hint="eastAsia" w:ascii="宋体" w:hAnsi="宋体"/>
          <w:szCs w:val="21"/>
          <w:highlight w:val="none"/>
          <w:u w:val="single"/>
        </w:rPr>
        <w:t xml:space="preserve">   </w:t>
      </w:r>
      <w:r>
        <w:rPr>
          <w:rFonts w:hint="eastAsia" w:ascii="宋体" w:hAnsi="宋体"/>
          <w:szCs w:val="21"/>
          <w:highlight w:val="none"/>
        </w:rPr>
        <w:t>人，营业收入为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万元，资产总额为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万元，属于</w:t>
      </w:r>
      <w:r>
        <w:rPr>
          <w:rFonts w:hint="eastAsia" w:ascii="宋体" w:hAnsi="宋体"/>
          <w:szCs w:val="21"/>
          <w:highlight w:val="none"/>
          <w:u w:val="single"/>
        </w:rPr>
        <w:t>（中型企业、小型企业、微型企业）</w:t>
      </w:r>
      <w:r>
        <w:rPr>
          <w:rFonts w:hint="eastAsia" w:ascii="宋体" w:hAnsi="宋体"/>
          <w:szCs w:val="21"/>
          <w:highlight w:val="none"/>
        </w:rPr>
        <w:t>；</w:t>
      </w:r>
    </w:p>
    <w:p w14:paraId="0DD3AF68">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w:t>
      </w:r>
    </w:p>
    <w:p w14:paraId="439F2312">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以上企业，不属于大企业的分支机构，不存在控股股东为大企业的情形，也不存在与大企业的负责人为同一人的情形。</w:t>
      </w:r>
    </w:p>
    <w:p w14:paraId="0A9FC6B8">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本企业对上述声明内容的真实性负责。如有虚假，将依法承担相应责任。</w:t>
      </w:r>
    </w:p>
    <w:p w14:paraId="1E59F549">
      <w:pPr>
        <w:keepNext w:val="0"/>
        <w:keepLines w:val="0"/>
        <w:pageBreakBefore w:val="0"/>
        <w:widowControl/>
        <w:kinsoku/>
        <w:wordWrap w:val="0"/>
        <w:overflowPunct/>
        <w:topLinePunct/>
        <w:autoSpaceDE w:val="0"/>
        <w:autoSpaceDN w:val="0"/>
        <w:bidi w:val="0"/>
        <w:adjustRightInd w:val="0"/>
        <w:snapToGrid w:val="0"/>
        <w:spacing w:line="360" w:lineRule="auto"/>
        <w:ind w:firstLine="3600" w:firstLineChars="1500"/>
        <w:textAlignment w:val="baseline"/>
        <w:rPr>
          <w:rFonts w:ascii="宋体" w:hAnsi="宋体"/>
          <w:szCs w:val="21"/>
          <w:highlight w:val="none"/>
        </w:rPr>
      </w:pPr>
    </w:p>
    <w:p w14:paraId="1ADA3EB3">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090A765B">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688C8B04">
      <w:pPr>
        <w:keepNext w:val="0"/>
        <w:keepLines w:val="0"/>
        <w:pageBreakBefore w:val="0"/>
        <w:widowControl/>
        <w:kinsoku/>
        <w:wordWrap w:val="0"/>
        <w:overflowPunct/>
        <w:topLinePunct/>
        <w:autoSpaceDE w:val="0"/>
        <w:autoSpaceDN w:val="0"/>
        <w:bidi w:val="0"/>
        <w:adjustRightInd w:val="0"/>
        <w:snapToGrid w:val="0"/>
        <w:spacing w:line="360" w:lineRule="auto"/>
        <w:ind w:firstLine="7200" w:firstLineChars="3000"/>
        <w:textAlignment w:val="baseline"/>
        <w:rPr>
          <w:rFonts w:ascii="宋体" w:hAnsi="宋体"/>
          <w:szCs w:val="21"/>
          <w:highlight w:val="none"/>
        </w:rPr>
      </w:pPr>
    </w:p>
    <w:p w14:paraId="5EABF502">
      <w:pPr>
        <w:pageBreakBefore w:val="0"/>
        <w:kinsoku/>
        <w:wordWrap w:val="0"/>
        <w:overflowPunct/>
        <w:topLinePunct/>
        <w:autoSpaceDE w:val="0"/>
        <w:autoSpaceDN w:val="0"/>
        <w:bidi w:val="0"/>
        <w:spacing w:line="360" w:lineRule="exact"/>
        <w:ind w:left="0" w:leftChars="0" w:firstLine="0" w:firstLineChars="0"/>
        <w:rPr>
          <w:rFonts w:ascii="宋体" w:hAnsi="宋体"/>
          <w:szCs w:val="21"/>
          <w:highlight w:val="none"/>
        </w:rPr>
      </w:pPr>
    </w:p>
    <w:p w14:paraId="07B9FC9F">
      <w:pPr>
        <w:pStyle w:val="36"/>
        <w:bidi w:val="0"/>
        <w:rPr>
          <w:highlight w:val="none"/>
        </w:rPr>
      </w:pPr>
      <w:r>
        <w:rPr>
          <w:rFonts w:hint="eastAsia"/>
          <w:highlight w:val="none"/>
        </w:rPr>
        <w:t>注：</w:t>
      </w:r>
    </w:p>
    <w:p w14:paraId="3FBD8B7E">
      <w:pPr>
        <w:pStyle w:val="36"/>
        <w:bidi w:val="0"/>
        <w:rPr>
          <w:highlight w:val="none"/>
        </w:rPr>
      </w:pPr>
      <w:r>
        <w:rPr>
          <w:highlight w:val="none"/>
        </w:rPr>
        <w:t>1</w:t>
      </w:r>
      <w:r>
        <w:rPr>
          <w:rFonts w:hint="eastAsia"/>
          <w:highlight w:val="none"/>
        </w:rPr>
        <w:t>、从业人员、营业收入、资产总额填报上一年度数据，无上一年度数据的新成立企业可不填报。</w:t>
      </w:r>
    </w:p>
    <w:p w14:paraId="4251D2FF">
      <w:pPr>
        <w:pStyle w:val="36"/>
        <w:bidi w:val="0"/>
        <w:rPr>
          <w:highlight w:val="none"/>
        </w:rPr>
      </w:pPr>
      <w:r>
        <w:rPr>
          <w:highlight w:val="none"/>
        </w:rPr>
        <w:t>2</w:t>
      </w:r>
      <w:r>
        <w:rPr>
          <w:rFonts w:hint="eastAsia"/>
          <w:highlight w:val="none"/>
        </w:rPr>
        <w:t>、请根据自己的真实情况出具《中小企业声明函》。依法享受中小企业优惠政策的，采购人或者采购代理机构在公告中标结果时，同时公告其《中小企业声明函》，接受社会监督。</w:t>
      </w:r>
    </w:p>
    <w:p w14:paraId="3DDB8309">
      <w:pPr>
        <w:pageBreakBefore w:val="0"/>
        <w:tabs>
          <w:tab w:val="left" w:pos="4860"/>
        </w:tabs>
        <w:kinsoku/>
        <w:wordWrap w:val="0"/>
        <w:overflowPunct/>
        <w:topLinePunct/>
        <w:autoSpaceDE w:val="0"/>
        <w:autoSpaceDN w:val="0"/>
        <w:bidi w:val="0"/>
        <w:spacing w:line="360" w:lineRule="exact"/>
        <w:ind w:right="1560" w:firstLine="480" w:firstLineChars="200"/>
        <w:jc w:val="center"/>
        <w:rPr>
          <w:rFonts w:ascii="宋体" w:hAnsi="宋体"/>
          <w:szCs w:val="21"/>
          <w:highlight w:val="none"/>
        </w:rPr>
      </w:pPr>
    </w:p>
    <w:p w14:paraId="2AB21388">
      <w:pPr>
        <w:pageBreakBefore w:val="0"/>
        <w:kinsoku/>
        <w:wordWrap w:val="0"/>
        <w:overflowPunct/>
        <w:topLinePunct/>
        <w:autoSpaceDE w:val="0"/>
        <w:autoSpaceDN w:val="0"/>
        <w:bidi w:val="0"/>
        <w:spacing w:line="588" w:lineRule="exact"/>
        <w:jc w:val="left"/>
        <w:rPr>
          <w:rFonts w:hint="eastAsia" w:ascii="宋体" w:hAnsi="宋体"/>
          <w:b/>
          <w:sz w:val="24"/>
          <w:szCs w:val="20"/>
          <w:highlight w:val="none"/>
        </w:rPr>
        <w:sectPr>
          <w:pgSz w:w="11906" w:h="16839"/>
          <w:pgMar w:top="400" w:right="994" w:bottom="1156" w:left="1255" w:header="0" w:footer="994" w:gutter="0"/>
          <w:pgNumType w:fmt="decimal"/>
          <w:cols w:space="720" w:num="1"/>
        </w:sectPr>
      </w:pPr>
      <w:bookmarkStart w:id="102" w:name="OLE_LINK14"/>
      <w:bookmarkStart w:id="103" w:name="OLE_LINK13"/>
    </w:p>
    <w:p w14:paraId="0240A8C4">
      <w:pPr>
        <w:pStyle w:val="36"/>
        <w:bidi w:val="0"/>
        <w:rPr>
          <w:highlight w:val="none"/>
        </w:rPr>
      </w:pPr>
      <w:r>
        <w:rPr>
          <w:rFonts w:hint="eastAsia"/>
          <w:highlight w:val="none"/>
        </w:rPr>
        <w:t>4.残疾人福利性单位声明函格式</w:t>
      </w:r>
    </w:p>
    <w:p w14:paraId="7964C534">
      <w:pPr>
        <w:pStyle w:val="35"/>
        <w:bidi w:val="0"/>
        <w:rPr>
          <w:highlight w:val="none"/>
        </w:rPr>
      </w:pPr>
      <w:r>
        <w:rPr>
          <w:rFonts w:hint="eastAsia"/>
          <w:highlight w:val="none"/>
        </w:rPr>
        <w:t>残疾人福利性单位声明函</w:t>
      </w:r>
    </w:p>
    <w:bookmarkEnd w:id="102"/>
    <w:bookmarkEnd w:id="103"/>
    <w:p w14:paraId="5EC33743">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00B5EB">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本单位对上述声明的真实性负责。如有虚假，将依法承担相应责任。</w:t>
      </w:r>
    </w:p>
    <w:p w14:paraId="04E4A620">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p>
    <w:p w14:paraId="025C615C">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p>
    <w:p w14:paraId="28DCA28C">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2F016559">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0C101B41">
      <w:pPr>
        <w:bidi w:val="0"/>
        <w:jc w:val="right"/>
        <w:rPr>
          <w:rFonts w:hint="default" w:eastAsia="宋体"/>
          <w:highlight w:val="none"/>
          <w:lang w:val="en-US" w:eastAsia="zh-CN"/>
        </w:rPr>
      </w:pPr>
    </w:p>
    <w:p w14:paraId="0FD93E04">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p>
    <w:p w14:paraId="0FC9A0D4">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 xml:space="preserve">注：请根据自己的真实情况出具《残疾人福利性单位声明函》。依法享受中小企业优惠政策的，采购人或者采购代理机构在公告中标结果时，同时公告其《残疾人福利性单位声明函》，接受社会监督。 </w:t>
      </w:r>
    </w:p>
    <w:p w14:paraId="30E301FC">
      <w:pPr>
        <w:pageBreakBefore w:val="0"/>
        <w:kinsoku/>
        <w:wordWrap w:val="0"/>
        <w:overflowPunct/>
        <w:topLinePunct/>
        <w:autoSpaceDE w:val="0"/>
        <w:autoSpaceDN w:val="0"/>
        <w:bidi w:val="0"/>
        <w:ind w:firstLine="480"/>
        <w:rPr>
          <w:highlight w:val="none"/>
        </w:rPr>
      </w:pPr>
    </w:p>
    <w:sectPr>
      <w:pgSz w:w="11906" w:h="16839"/>
      <w:pgMar w:top="400" w:right="994" w:bottom="1156" w:left="125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616E3">
    <w:pPr>
      <w:spacing w:line="176" w:lineRule="auto"/>
      <w:ind w:left="4746" w:firstLine="360"/>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10E2">
    <w:pPr>
      <w:spacing w:line="176" w:lineRule="auto"/>
      <w:ind w:left="4746" w:firstLine="3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5EA5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825EA5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0FB7">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EE17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E0EE17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2BC1">
    <w:pPr>
      <w:spacing w:line="14" w:lineRule="auto"/>
      <w:ind w:firstLine="4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1C15">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0802E"/>
    <w:multiLevelType w:val="singleLevel"/>
    <w:tmpl w:val="AF40802E"/>
    <w:lvl w:ilvl="0" w:tentative="0">
      <w:start w:val="7"/>
      <w:numFmt w:val="chineseCounting"/>
      <w:suff w:val="nothing"/>
      <w:lvlText w:val="%1、"/>
      <w:lvlJc w:val="left"/>
      <w:rPr>
        <w:rFonts w:hint="eastAsia"/>
      </w:rPr>
    </w:lvl>
  </w:abstractNum>
  <w:abstractNum w:abstractNumId="1">
    <w:nsid w:val="0A9D3FE2"/>
    <w:multiLevelType w:val="singleLevel"/>
    <w:tmpl w:val="0A9D3FE2"/>
    <w:lvl w:ilvl="0" w:tentative="0">
      <w:start w:val="5"/>
      <w:numFmt w:val="decimal"/>
      <w:suff w:val="space"/>
      <w:lvlText w:val="%1."/>
      <w:lvlJc w:val="left"/>
    </w:lvl>
  </w:abstractNum>
  <w:abstractNum w:abstractNumId="2">
    <w:nsid w:val="1F9CB027"/>
    <w:multiLevelType w:val="singleLevel"/>
    <w:tmpl w:val="1F9CB027"/>
    <w:lvl w:ilvl="0" w:tentative="0">
      <w:start w:val="2"/>
      <w:numFmt w:val="decimal"/>
      <w:suff w:val="space"/>
      <w:lvlText w:val="%1."/>
      <w:lvlJc w:val="left"/>
    </w:lvl>
  </w:abstractNum>
  <w:abstractNum w:abstractNumId="3">
    <w:nsid w:val="6B06EEEB"/>
    <w:multiLevelType w:val="singleLevel"/>
    <w:tmpl w:val="6B06EEEB"/>
    <w:lvl w:ilvl="0" w:tentative="0">
      <w:start w:val="1"/>
      <w:numFmt w:val="decimal"/>
      <w:pStyle w:val="6"/>
      <w:lvlText w:val="%1."/>
      <w:lvlJc w:val="left"/>
      <w:pPr>
        <w:tabs>
          <w:tab w:val="left"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6F"/>
    <w:rsid w:val="000C1AA7"/>
    <w:rsid w:val="00294A18"/>
    <w:rsid w:val="00624AD5"/>
    <w:rsid w:val="00EC486F"/>
    <w:rsid w:val="00FA7ED7"/>
    <w:rsid w:val="015B4948"/>
    <w:rsid w:val="017512D0"/>
    <w:rsid w:val="01F421A7"/>
    <w:rsid w:val="02297144"/>
    <w:rsid w:val="027C6851"/>
    <w:rsid w:val="02F0530D"/>
    <w:rsid w:val="03D472D2"/>
    <w:rsid w:val="04722178"/>
    <w:rsid w:val="047E36A4"/>
    <w:rsid w:val="05130419"/>
    <w:rsid w:val="06AB5BA4"/>
    <w:rsid w:val="074D0B6C"/>
    <w:rsid w:val="07C5765D"/>
    <w:rsid w:val="09043D53"/>
    <w:rsid w:val="094B397A"/>
    <w:rsid w:val="096A3868"/>
    <w:rsid w:val="0A0603F5"/>
    <w:rsid w:val="0A522CFE"/>
    <w:rsid w:val="0ADC58A8"/>
    <w:rsid w:val="0BBA6DAD"/>
    <w:rsid w:val="0BFB2D46"/>
    <w:rsid w:val="0C357FBE"/>
    <w:rsid w:val="0C696A4D"/>
    <w:rsid w:val="0CCE0D2E"/>
    <w:rsid w:val="0CE916F8"/>
    <w:rsid w:val="0D81398B"/>
    <w:rsid w:val="0DFA3B07"/>
    <w:rsid w:val="0E08104B"/>
    <w:rsid w:val="0E4678FD"/>
    <w:rsid w:val="0E7A0223"/>
    <w:rsid w:val="0F384BB8"/>
    <w:rsid w:val="0F790AE0"/>
    <w:rsid w:val="0FE01ADD"/>
    <w:rsid w:val="0FF83FD4"/>
    <w:rsid w:val="1082242A"/>
    <w:rsid w:val="10984184"/>
    <w:rsid w:val="10A735CE"/>
    <w:rsid w:val="10E548CC"/>
    <w:rsid w:val="117556CB"/>
    <w:rsid w:val="126A3F90"/>
    <w:rsid w:val="12803DA8"/>
    <w:rsid w:val="12F910B2"/>
    <w:rsid w:val="141C421E"/>
    <w:rsid w:val="142B0E97"/>
    <w:rsid w:val="144B0500"/>
    <w:rsid w:val="1452759F"/>
    <w:rsid w:val="14877FF9"/>
    <w:rsid w:val="14FE5F5C"/>
    <w:rsid w:val="15F51685"/>
    <w:rsid w:val="162C7133"/>
    <w:rsid w:val="1686693D"/>
    <w:rsid w:val="16C238E3"/>
    <w:rsid w:val="17075018"/>
    <w:rsid w:val="17492B94"/>
    <w:rsid w:val="179105A9"/>
    <w:rsid w:val="17A50CDA"/>
    <w:rsid w:val="17E4463B"/>
    <w:rsid w:val="18C31F87"/>
    <w:rsid w:val="19061883"/>
    <w:rsid w:val="19073D1E"/>
    <w:rsid w:val="19861DD2"/>
    <w:rsid w:val="19AF3CC9"/>
    <w:rsid w:val="19DB79D1"/>
    <w:rsid w:val="1A7B6F5B"/>
    <w:rsid w:val="1ABC0916"/>
    <w:rsid w:val="1B1F49AA"/>
    <w:rsid w:val="1BD66566"/>
    <w:rsid w:val="1BD74EE8"/>
    <w:rsid w:val="1C5B4532"/>
    <w:rsid w:val="1CDC6869"/>
    <w:rsid w:val="1D93080B"/>
    <w:rsid w:val="1E827BFE"/>
    <w:rsid w:val="1EE75585"/>
    <w:rsid w:val="1F2928A6"/>
    <w:rsid w:val="1F4B48B0"/>
    <w:rsid w:val="204F3608"/>
    <w:rsid w:val="20B72835"/>
    <w:rsid w:val="20E00C0C"/>
    <w:rsid w:val="20FF07F8"/>
    <w:rsid w:val="21A734D8"/>
    <w:rsid w:val="21D13E07"/>
    <w:rsid w:val="22860C75"/>
    <w:rsid w:val="23007343"/>
    <w:rsid w:val="23633014"/>
    <w:rsid w:val="23962D42"/>
    <w:rsid w:val="23EB7FF4"/>
    <w:rsid w:val="242517C3"/>
    <w:rsid w:val="247E2192"/>
    <w:rsid w:val="24B30B11"/>
    <w:rsid w:val="2536529E"/>
    <w:rsid w:val="25496E57"/>
    <w:rsid w:val="258404E2"/>
    <w:rsid w:val="259D2CE3"/>
    <w:rsid w:val="268D561D"/>
    <w:rsid w:val="26D0702D"/>
    <w:rsid w:val="26E21D24"/>
    <w:rsid w:val="271A054F"/>
    <w:rsid w:val="279702A8"/>
    <w:rsid w:val="27F54F9D"/>
    <w:rsid w:val="286B0C6B"/>
    <w:rsid w:val="28E00995"/>
    <w:rsid w:val="29BE665D"/>
    <w:rsid w:val="2A3F2B48"/>
    <w:rsid w:val="2A470189"/>
    <w:rsid w:val="2A5D6ABD"/>
    <w:rsid w:val="2A644AF2"/>
    <w:rsid w:val="2B3D19E8"/>
    <w:rsid w:val="2BA051BE"/>
    <w:rsid w:val="2C197A3A"/>
    <w:rsid w:val="2CED1241"/>
    <w:rsid w:val="2D62795A"/>
    <w:rsid w:val="2DBD47AF"/>
    <w:rsid w:val="2E1D5264"/>
    <w:rsid w:val="2EE13B1E"/>
    <w:rsid w:val="2EFE5B84"/>
    <w:rsid w:val="308E667D"/>
    <w:rsid w:val="30B579BF"/>
    <w:rsid w:val="312E62FA"/>
    <w:rsid w:val="316E2879"/>
    <w:rsid w:val="31DD2B50"/>
    <w:rsid w:val="32AA5162"/>
    <w:rsid w:val="33ED6F38"/>
    <w:rsid w:val="342714BD"/>
    <w:rsid w:val="342E281C"/>
    <w:rsid w:val="34B955A4"/>
    <w:rsid w:val="34CC3529"/>
    <w:rsid w:val="35492DCC"/>
    <w:rsid w:val="357065AB"/>
    <w:rsid w:val="3620283E"/>
    <w:rsid w:val="372E5DD5"/>
    <w:rsid w:val="37421881"/>
    <w:rsid w:val="3828316D"/>
    <w:rsid w:val="382E7F19"/>
    <w:rsid w:val="38D532FB"/>
    <w:rsid w:val="390207FE"/>
    <w:rsid w:val="39A4254B"/>
    <w:rsid w:val="3A127C30"/>
    <w:rsid w:val="3A6E719D"/>
    <w:rsid w:val="3A865A5B"/>
    <w:rsid w:val="3AAA7E69"/>
    <w:rsid w:val="3BF053AA"/>
    <w:rsid w:val="3C491519"/>
    <w:rsid w:val="3D9370E5"/>
    <w:rsid w:val="3E4922F5"/>
    <w:rsid w:val="3EEF0540"/>
    <w:rsid w:val="3F6902F3"/>
    <w:rsid w:val="3F6E7863"/>
    <w:rsid w:val="3F73296F"/>
    <w:rsid w:val="403E177F"/>
    <w:rsid w:val="40713C8B"/>
    <w:rsid w:val="414A13DE"/>
    <w:rsid w:val="41727207"/>
    <w:rsid w:val="41B1600A"/>
    <w:rsid w:val="42DD4215"/>
    <w:rsid w:val="43057355"/>
    <w:rsid w:val="44FF0DB1"/>
    <w:rsid w:val="451516AF"/>
    <w:rsid w:val="459736E0"/>
    <w:rsid w:val="45BB40DF"/>
    <w:rsid w:val="45CA5863"/>
    <w:rsid w:val="461A1017"/>
    <w:rsid w:val="461A6DA2"/>
    <w:rsid w:val="4853046B"/>
    <w:rsid w:val="48A6284B"/>
    <w:rsid w:val="48F21359"/>
    <w:rsid w:val="4A0F310C"/>
    <w:rsid w:val="4B255FDE"/>
    <w:rsid w:val="4BC70356"/>
    <w:rsid w:val="4C4819C1"/>
    <w:rsid w:val="4CE17CAE"/>
    <w:rsid w:val="4CF474E2"/>
    <w:rsid w:val="4CFD3A74"/>
    <w:rsid w:val="4E4246BA"/>
    <w:rsid w:val="4F552641"/>
    <w:rsid w:val="4FDA48F5"/>
    <w:rsid w:val="50EF617E"/>
    <w:rsid w:val="51782617"/>
    <w:rsid w:val="51A757B9"/>
    <w:rsid w:val="520E6AD8"/>
    <w:rsid w:val="522B1438"/>
    <w:rsid w:val="5233019A"/>
    <w:rsid w:val="52796505"/>
    <w:rsid w:val="52BA7C53"/>
    <w:rsid w:val="532742F5"/>
    <w:rsid w:val="54AF5349"/>
    <w:rsid w:val="54EF41EE"/>
    <w:rsid w:val="5543411E"/>
    <w:rsid w:val="55DA68FB"/>
    <w:rsid w:val="562306F2"/>
    <w:rsid w:val="56605754"/>
    <w:rsid w:val="57016D51"/>
    <w:rsid w:val="570372C6"/>
    <w:rsid w:val="573919BA"/>
    <w:rsid w:val="57E8292B"/>
    <w:rsid w:val="581C3D92"/>
    <w:rsid w:val="59805835"/>
    <w:rsid w:val="5A2570B4"/>
    <w:rsid w:val="5B4F7164"/>
    <w:rsid w:val="5B676B3B"/>
    <w:rsid w:val="5BED16CF"/>
    <w:rsid w:val="5CA12D51"/>
    <w:rsid w:val="5CFF5687"/>
    <w:rsid w:val="5D5061F6"/>
    <w:rsid w:val="5DE642ED"/>
    <w:rsid w:val="5E1A7052"/>
    <w:rsid w:val="5F866996"/>
    <w:rsid w:val="5FF758D1"/>
    <w:rsid w:val="60B455AA"/>
    <w:rsid w:val="61733AD5"/>
    <w:rsid w:val="621C04B1"/>
    <w:rsid w:val="64A41536"/>
    <w:rsid w:val="64D126C0"/>
    <w:rsid w:val="6502071E"/>
    <w:rsid w:val="652E7A0E"/>
    <w:rsid w:val="654301AA"/>
    <w:rsid w:val="65E9368C"/>
    <w:rsid w:val="662A59C4"/>
    <w:rsid w:val="665876E7"/>
    <w:rsid w:val="668A5949"/>
    <w:rsid w:val="669A37D6"/>
    <w:rsid w:val="67694A84"/>
    <w:rsid w:val="687D016B"/>
    <w:rsid w:val="68B979B8"/>
    <w:rsid w:val="68FC4E7C"/>
    <w:rsid w:val="69561038"/>
    <w:rsid w:val="69E336DC"/>
    <w:rsid w:val="6A237690"/>
    <w:rsid w:val="6A7654C6"/>
    <w:rsid w:val="6AB7135D"/>
    <w:rsid w:val="6BC51DE3"/>
    <w:rsid w:val="6E233E7E"/>
    <w:rsid w:val="6E8126B3"/>
    <w:rsid w:val="700F0054"/>
    <w:rsid w:val="701072CE"/>
    <w:rsid w:val="70A50B5A"/>
    <w:rsid w:val="712E574D"/>
    <w:rsid w:val="721E646B"/>
    <w:rsid w:val="73FA5F30"/>
    <w:rsid w:val="74784559"/>
    <w:rsid w:val="74E27C24"/>
    <w:rsid w:val="75436915"/>
    <w:rsid w:val="760F46FF"/>
    <w:rsid w:val="76853969"/>
    <w:rsid w:val="76FD2AF3"/>
    <w:rsid w:val="78BE781F"/>
    <w:rsid w:val="796230E1"/>
    <w:rsid w:val="7A646936"/>
    <w:rsid w:val="7B266B0B"/>
    <w:rsid w:val="7B357F37"/>
    <w:rsid w:val="7B8D286F"/>
    <w:rsid w:val="7BD713FC"/>
    <w:rsid w:val="7C5F2658"/>
    <w:rsid w:val="7D031D4D"/>
    <w:rsid w:val="7D2412D4"/>
    <w:rsid w:val="7D3A5DDD"/>
    <w:rsid w:val="7DCC79A9"/>
    <w:rsid w:val="7DF95A3C"/>
    <w:rsid w:val="7E05195A"/>
    <w:rsid w:val="7E136838"/>
    <w:rsid w:val="7E6B47E6"/>
    <w:rsid w:val="7EC860DC"/>
    <w:rsid w:val="7F630B5A"/>
    <w:rsid w:val="7FFA0E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wordWrap w:val="0"/>
      <w:topLinePunct/>
      <w:autoSpaceDE w:val="0"/>
      <w:autoSpaceDN w:val="0"/>
      <w:adjustRightInd w:val="0"/>
      <w:snapToGrid w:val="0"/>
      <w:spacing w:line="360" w:lineRule="auto"/>
      <w:ind w:firstLine="420" w:firstLineChars="200"/>
      <w:textAlignment w:val="baseline"/>
    </w:pPr>
    <w:rPr>
      <w:rFonts w:ascii="Arial" w:hAnsi="Arial" w:eastAsia="宋体" w:cs="Arial"/>
      <w:snapToGrid w:val="0"/>
      <w:color w:val="000000"/>
      <w:sz w:val="24"/>
      <w:szCs w:val="24"/>
      <w:lang w:val="en-US" w:eastAsia="en-US" w:bidi="ar-SA"/>
    </w:rPr>
  </w:style>
  <w:style w:type="paragraph" w:styleId="3">
    <w:name w:val="heading 1"/>
    <w:basedOn w:val="1"/>
    <w:next w:val="1"/>
    <w:qFormat/>
    <w:uiPriority w:val="0"/>
    <w:pPr>
      <w:keepNext/>
      <w:keepLines/>
      <w:ind w:firstLine="0" w:firstLineChars="0"/>
      <w:jc w:val="center"/>
      <w:outlineLvl w:val="0"/>
    </w:pPr>
    <w:rPr>
      <w:b/>
      <w:kern w:val="44"/>
      <w:sz w:val="32"/>
    </w:rPr>
  </w:style>
  <w:style w:type="paragraph" w:styleId="4">
    <w:name w:val="heading 2"/>
    <w:basedOn w:val="1"/>
    <w:next w:val="1"/>
    <w:link w:val="45"/>
    <w:unhideWhenUsed/>
    <w:qFormat/>
    <w:uiPriority w:val="0"/>
    <w:pPr>
      <w:keepNext/>
      <w:keepLines/>
      <w:spacing w:beforeLines="50"/>
      <w:ind w:firstLine="0" w:firstLineChars="0"/>
      <w:outlineLvl w:val="1"/>
    </w:pPr>
    <w:rPr>
      <w:rFonts w:ascii="宋体" w:hAnsi="宋体"/>
      <w:b/>
      <w:bCs/>
      <w:sz w:val="28"/>
      <w:szCs w:val="28"/>
    </w:rPr>
  </w:style>
  <w:style w:type="paragraph" w:styleId="5">
    <w:name w:val="heading 4"/>
    <w:basedOn w:val="1"/>
    <w:next w:val="1"/>
    <w:unhideWhenUsed/>
    <w:qFormat/>
    <w:uiPriority w:val="9"/>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s="宋体"/>
      <w:sz w:val="31"/>
      <w:szCs w:val="31"/>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Body Text Indent"/>
    <w:basedOn w:val="1"/>
    <w:qFormat/>
    <w:uiPriority w:val="0"/>
    <w:pPr>
      <w:spacing w:after="120"/>
      <w:ind w:left="420" w:leftChars="200"/>
    </w:pPr>
  </w:style>
  <w:style w:type="paragraph" w:styleId="12">
    <w:name w:val="Plain Text"/>
    <w:basedOn w:val="1"/>
    <w:next w:val="1"/>
    <w:qFormat/>
    <w:uiPriority w:val="0"/>
    <w:rPr>
      <w:rFonts w:ascii="宋体" w:hAnsi="Courier New"/>
      <w:sz w:val="20"/>
      <w:szCs w:val="21"/>
    </w:rPr>
  </w:style>
  <w:style w:type="paragraph" w:styleId="13">
    <w:name w:val="Balloon Text"/>
    <w:basedOn w:val="1"/>
    <w:link w:val="40"/>
    <w:qFormat/>
    <w:uiPriority w:val="0"/>
    <w:pPr>
      <w:spacing w:line="240" w:lineRule="auto"/>
    </w:pPr>
    <w:rPr>
      <w:sz w:val="18"/>
      <w:szCs w:val="18"/>
    </w:rPr>
  </w:style>
  <w:style w:type="paragraph" w:styleId="14">
    <w:name w:val="footer"/>
    <w:basedOn w:val="1"/>
    <w:qFormat/>
    <w:uiPriority w:val="0"/>
    <w:pPr>
      <w:tabs>
        <w:tab w:val="center" w:pos="4153"/>
        <w:tab w:val="right" w:pos="8306"/>
      </w:tabs>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6">
    <w:name w:val="toc 1"/>
    <w:basedOn w:val="1"/>
    <w:next w:val="1"/>
    <w:qFormat/>
    <w:uiPriority w:val="0"/>
  </w:style>
  <w:style w:type="paragraph" w:styleId="17">
    <w:name w:val="List"/>
    <w:basedOn w:val="1"/>
    <w:qFormat/>
    <w:uiPriority w:val="0"/>
    <w:pPr>
      <w:ind w:left="200" w:hanging="200" w:hangingChars="200"/>
    </w:p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0"/>
    <w:pPr>
      <w:ind w:left="420" w:leftChars="200"/>
    </w:pPr>
  </w:style>
  <w:style w:type="paragraph" w:styleId="20">
    <w:name w:val="Normal (Web)"/>
    <w:basedOn w:val="1"/>
    <w:unhideWhenUsed/>
    <w:qFormat/>
    <w:uiPriority w:val="0"/>
    <w:rPr>
      <w:rFonts w:ascii="Calibri" w:hAnsi="Calibri"/>
      <w:kern w:val="0"/>
      <w:sz w:val="24"/>
    </w:rPr>
  </w:style>
  <w:style w:type="paragraph" w:styleId="21">
    <w:name w:val="Title"/>
    <w:next w:val="1"/>
    <w:qFormat/>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22">
    <w:name w:val="Body Text First Indent"/>
    <w:basedOn w:val="2"/>
    <w:qFormat/>
    <w:uiPriority w:val="0"/>
    <w:pPr>
      <w:ind w:firstLine="883"/>
    </w:pPr>
  </w:style>
  <w:style w:type="paragraph" w:styleId="23">
    <w:name w:val="Body Text First Indent 2"/>
    <w:basedOn w:val="11"/>
    <w:qFormat/>
    <w:uiPriority w:val="0"/>
    <w:pPr>
      <w:ind w:firstLine="420" w:firstLineChars="200"/>
    </w:pPr>
  </w:style>
  <w:style w:type="table" w:styleId="25">
    <w:name w:val="Table Grid"/>
    <w:basedOn w:val="24"/>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qFormat/>
    <w:uiPriority w:val="0"/>
    <w:rPr>
      <w:color w:val="800080"/>
      <w:u w:val="single"/>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paragraph" w:customStyle="1" w:styleId="31">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宋体" w:hAnsi="宋体" w:cs="宋体"/>
      <w:sz w:val="28"/>
      <w:szCs w:val="28"/>
    </w:rPr>
  </w:style>
  <w:style w:type="paragraph" w:customStyle="1" w:styleId="34">
    <w:name w:val="表格"/>
    <w:basedOn w:val="1"/>
    <w:qFormat/>
    <w:uiPriority w:val="0"/>
    <w:pPr>
      <w:spacing w:line="240" w:lineRule="auto"/>
      <w:ind w:firstLine="0" w:firstLineChars="0"/>
      <w:jc w:val="center"/>
    </w:pPr>
    <w:rPr>
      <w:rFonts w:hint="eastAsia"/>
      <w:lang w:eastAsia="zh-CN"/>
    </w:rPr>
  </w:style>
  <w:style w:type="paragraph" w:customStyle="1" w:styleId="35">
    <w:name w:val="封面居中"/>
    <w:basedOn w:val="1"/>
    <w:link w:val="46"/>
    <w:qFormat/>
    <w:uiPriority w:val="0"/>
    <w:pPr>
      <w:ind w:firstLine="0" w:firstLineChars="0"/>
      <w:jc w:val="center"/>
    </w:pPr>
    <w:rPr>
      <w:rFonts w:hint="eastAsia" w:ascii="宋体" w:hAnsi="宋体" w:cs="宋体"/>
      <w:b/>
      <w:bCs/>
      <w:spacing w:val="6"/>
      <w:sz w:val="28"/>
      <w:szCs w:val="28"/>
    </w:rPr>
  </w:style>
  <w:style w:type="paragraph" w:customStyle="1" w:styleId="36">
    <w:name w:val="加粗说明1"/>
    <w:basedOn w:val="1"/>
    <w:link w:val="37"/>
    <w:qFormat/>
    <w:uiPriority w:val="0"/>
    <w:rPr>
      <w:rFonts w:asciiTheme="minorEastAsia" w:hAnsiTheme="minorEastAsia" w:eastAsiaTheme="minorEastAsia" w:cstheme="minorEastAsia"/>
      <w:b/>
      <w:bCs/>
      <w:spacing w:val="6"/>
    </w:rPr>
  </w:style>
  <w:style w:type="character" w:customStyle="1" w:styleId="37">
    <w:name w:val="加粗说明1 Char"/>
    <w:link w:val="36"/>
    <w:qFormat/>
    <w:uiPriority w:val="0"/>
    <w:rPr>
      <w:rFonts w:hint="default" w:asciiTheme="minorEastAsia" w:hAnsiTheme="minorEastAsia" w:eastAsiaTheme="minorEastAsia" w:cstheme="minorEastAsia"/>
      <w:b/>
      <w:bCs/>
      <w:spacing w:val="6"/>
    </w:rPr>
  </w:style>
  <w:style w:type="paragraph" w:customStyle="1" w:styleId="38">
    <w:name w:val="封面"/>
    <w:basedOn w:val="1"/>
    <w:qFormat/>
    <w:uiPriority w:val="0"/>
    <w:pPr>
      <w:kinsoku/>
      <w:topLinePunct/>
      <w:ind w:firstLine="0" w:firstLineChars="0"/>
      <w:jc w:val="center"/>
    </w:pPr>
    <w:rPr>
      <w:rFonts w:hint="eastAsia" w:ascii="宋体" w:hAnsi="宋体" w:cs="宋体"/>
      <w:spacing w:val="5"/>
      <w:sz w:val="44"/>
      <w:szCs w:val="44"/>
    </w:rPr>
  </w:style>
  <w:style w:type="paragraph" w:customStyle="1" w:styleId="39">
    <w:name w:val="样式1"/>
    <w:basedOn w:val="38"/>
    <w:qFormat/>
    <w:uiPriority w:val="0"/>
    <w:rPr>
      <w:sz w:val="32"/>
    </w:rPr>
  </w:style>
  <w:style w:type="character" w:customStyle="1" w:styleId="40">
    <w:name w:val="批注框文本 Char"/>
    <w:basedOn w:val="26"/>
    <w:link w:val="13"/>
    <w:qFormat/>
    <w:uiPriority w:val="0"/>
    <w:rPr>
      <w:rFonts w:eastAsia="宋体"/>
      <w:snapToGrid w:val="0"/>
      <w:color w:val="000000"/>
      <w:sz w:val="18"/>
      <w:szCs w:val="18"/>
      <w:lang w:eastAsia="en-US"/>
    </w:rPr>
  </w:style>
  <w:style w:type="paragraph" w:customStyle="1" w:styleId="41">
    <w:name w:val="正文段"/>
    <w:basedOn w:val="1"/>
    <w:qFormat/>
    <w:uiPriority w:val="0"/>
    <w:pPr>
      <w:widowControl/>
      <w:snapToGrid w:val="0"/>
      <w:spacing w:afterLines="50"/>
      <w:ind w:firstLine="200" w:firstLineChars="200"/>
    </w:pPr>
    <w:rPr>
      <w:kern w:val="0"/>
      <w:sz w:val="24"/>
      <w:szCs w:val="20"/>
    </w:rPr>
  </w:style>
  <w:style w:type="paragraph" w:customStyle="1" w:styleId="42">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Table Paragraph"/>
    <w:basedOn w:val="1"/>
    <w:qFormat/>
    <w:uiPriority w:val="1"/>
    <w:pPr>
      <w:ind w:left="100" w:right="-10"/>
      <w:jc w:val="left"/>
    </w:pPr>
    <w:rPr>
      <w:rFonts w:ascii="宋体" w:hAnsi="宋体" w:eastAsia="宋体" w:cs="宋体"/>
      <w:kern w:val="0"/>
      <w:sz w:val="22"/>
      <w:szCs w:val="22"/>
      <w:lang w:eastAsia="en-US"/>
    </w:rPr>
  </w:style>
  <w:style w:type="paragraph" w:customStyle="1" w:styleId="44">
    <w:name w:val="样式2"/>
    <w:basedOn w:val="34"/>
    <w:qFormat/>
    <w:uiPriority w:val="0"/>
    <w:pPr>
      <w:spacing w:line="360" w:lineRule="auto"/>
      <w:ind w:firstLine="883" w:firstLineChars="200"/>
      <w:jc w:val="both"/>
    </w:pPr>
    <w:rPr>
      <w:rFonts w:ascii="宋体" w:hAnsi="宋体" w:cs="宋体"/>
      <w:color w:val="auto"/>
    </w:rPr>
  </w:style>
  <w:style w:type="character" w:customStyle="1" w:styleId="45">
    <w:name w:val="标题 2 Char"/>
    <w:link w:val="4"/>
    <w:qFormat/>
    <w:uiPriority w:val="0"/>
    <w:rPr>
      <w:rFonts w:ascii="宋体" w:hAnsi="宋体"/>
      <w:b/>
      <w:bCs/>
      <w:sz w:val="28"/>
      <w:szCs w:val="28"/>
    </w:rPr>
  </w:style>
  <w:style w:type="character" w:customStyle="1" w:styleId="46">
    <w:name w:val="封面居中 Char"/>
    <w:link w:val="35"/>
    <w:qFormat/>
    <w:uiPriority w:val="0"/>
    <w:rPr>
      <w:rFonts w:hint="eastAsia" w:ascii="宋体" w:hAnsi="宋体" w:cs="宋体"/>
      <w:b/>
      <w:bCs/>
      <w:spacing w:val="6"/>
      <w:sz w:val="28"/>
      <w:szCs w:val="28"/>
    </w:rPr>
  </w:style>
  <w:style w:type="paragraph" w:customStyle="1" w:styleId="47">
    <w:name w:val="表格文字"/>
    <w:basedOn w:val="1"/>
    <w:next w:val="2"/>
    <w:qFormat/>
    <w:uiPriority w:val="0"/>
    <w:pPr>
      <w:adjustRightInd w:val="0"/>
      <w:spacing w:line="420" w:lineRule="atLeast"/>
      <w:jc w:val="left"/>
      <w:textAlignment w:val="baseline"/>
    </w:pPr>
    <w:rPr>
      <w:kern w:val="0"/>
    </w:rPr>
  </w:style>
  <w:style w:type="paragraph" w:styleId="4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10560</Words>
  <Characters>11589</Characters>
  <Lines>222</Lines>
  <Paragraphs>62</Paragraphs>
  <TotalTime>305</TotalTime>
  <ScaleCrop>false</ScaleCrop>
  <LinksUpToDate>false</LinksUpToDate>
  <CharactersWithSpaces>11752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2025-03-03T17:12:00Z</dcterms:created>
  <dc:creator>广西智瀚项目管理咨询有限公司</dc:creator>
  <cp:lastModifiedBy>W</cp:lastModifiedBy>
  <cp:lastPrinted>2025-06-10T08:00:00Z</cp:lastPrinted>
  <dcterms:modified xsi:type="dcterms:W3CDTF">2025-06-11T08:58:14Z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2025-03-10T10:58:03Z</vt:filetime>
  </property>
  <property fmtid="{D5CDD505-2E9C-101B-9397-08002B2CF9AE}" pid="4" name="KSOTemplateDocerSaveRecord">
    <vt:lpwstr>eyJoZGlkIjoiOGFmMTczNmE2YWEyZTI0ZmFkYTA4NGQ0YWJlNmEzMzEiLCJ1c2VySWQiOiIyODU5NzE3ODAifQ==</vt:lpwstr>
  </property>
  <property fmtid="{D5CDD505-2E9C-101B-9397-08002B2CF9AE}" pid="5" name="KSOProductBuildVer">
    <vt:lpwstr>2052-12.1.0.21541</vt:lpwstr>
  </property>
  <property fmtid="{D5CDD505-2E9C-101B-9397-08002B2CF9AE}" pid="6" name="ICV">
    <vt:lpwstr>9301D44EB266451DAC84061047A7C3D2_13</vt:lpwstr>
  </property>
</Properties>
</file>