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74F76E">
      <w:pPr>
        <w:jc w:val="center"/>
        <w:rPr>
          <w:rFonts w:ascii="宋体" w:hAnsi="宋体"/>
          <w:b/>
          <w:bCs/>
          <w:color w:val="auto"/>
          <w:sz w:val="28"/>
          <w:szCs w:val="28"/>
          <w:highlight w:val="none"/>
        </w:rPr>
      </w:pPr>
      <w:bookmarkStart w:id="1439" w:name="_GoBack"/>
      <w:r>
        <w:rPr>
          <w:rFonts w:hint="eastAsia" w:asciiTheme="minorEastAsia" w:hAnsiTheme="minorEastAsia" w:eastAsiaTheme="minorEastAsia" w:cstheme="minorEastAsia"/>
          <w:b/>
          <w:color w:val="auto"/>
          <w:sz w:val="48"/>
          <w:szCs w:val="48"/>
          <w:highlight w:val="none"/>
        </w:rPr>
        <w:drawing>
          <wp:inline distT="0" distB="0" distL="114300" distR="114300">
            <wp:extent cx="5829300" cy="8244840"/>
            <wp:effectExtent l="0" t="0" r="0" b="3810"/>
            <wp:docPr id="1" name="图片 1" descr="文件封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件封面_1"/>
                    <pic:cNvPicPr>
                      <a:picLocks noChangeAspect="1"/>
                    </pic:cNvPicPr>
                  </pic:nvPicPr>
                  <pic:blipFill>
                    <a:blip r:embed="rId15"/>
                    <a:stretch>
                      <a:fillRect/>
                    </a:stretch>
                  </pic:blipFill>
                  <pic:spPr>
                    <a:xfrm>
                      <a:off x="0" y="0"/>
                      <a:ext cx="5829300" cy="8244840"/>
                    </a:xfrm>
                    <a:prstGeom prst="rect">
                      <a:avLst/>
                    </a:prstGeom>
                  </pic:spPr>
                </pic:pic>
              </a:graphicData>
            </a:graphic>
          </wp:inline>
        </w:drawing>
      </w:r>
      <w:bookmarkEnd w:id="1439"/>
      <w:r>
        <w:rPr>
          <w:rFonts w:hint="eastAsia" w:asciiTheme="minorEastAsia" w:hAnsiTheme="minorEastAsia" w:eastAsiaTheme="minorEastAsia" w:cstheme="minorEastAsia"/>
          <w:b/>
          <w:color w:val="auto"/>
          <w:sz w:val="48"/>
          <w:szCs w:val="48"/>
          <w:highlight w:val="none"/>
        </w:rPr>
        <w:t>广西德元工程项目管理有限责任公司</w:t>
      </w:r>
    </w:p>
    <w:p w14:paraId="3E450A0F">
      <w:pPr>
        <w:jc w:val="center"/>
        <w:rPr>
          <w:rFonts w:ascii="宋体" w:hAnsi="宋体"/>
          <w:b/>
          <w:bCs/>
          <w:color w:val="auto"/>
          <w:sz w:val="28"/>
          <w:szCs w:val="28"/>
          <w:highlight w:val="none"/>
        </w:rPr>
      </w:pPr>
    </w:p>
    <w:p w14:paraId="799FA5C8">
      <w:pPr>
        <w:pStyle w:val="14"/>
        <w:rPr>
          <w:color w:val="auto"/>
          <w:highlight w:val="none"/>
        </w:rPr>
      </w:pPr>
    </w:p>
    <w:p w14:paraId="7CA7DCAB">
      <w:pPr>
        <w:jc w:val="center"/>
        <w:rPr>
          <w:rFonts w:ascii="宋体" w:hAnsi="宋体"/>
          <w:b/>
          <w:bCs/>
          <w:color w:val="auto"/>
          <w:sz w:val="28"/>
          <w:szCs w:val="28"/>
          <w:highlight w:val="none"/>
        </w:rPr>
      </w:pPr>
      <w:r>
        <w:rPr>
          <w:rFonts w:hint="eastAsia" w:ascii="宋体" w:hAnsi="宋体"/>
          <w:b/>
          <w:bCs/>
          <w:color w:val="auto"/>
          <w:sz w:val="28"/>
          <w:szCs w:val="28"/>
          <w:highlight w:val="none"/>
        </w:rPr>
        <w:drawing>
          <wp:inline distT="0" distB="0" distL="114300" distR="114300">
            <wp:extent cx="1408430" cy="1409700"/>
            <wp:effectExtent l="0" t="0" r="1270" b="0"/>
            <wp:docPr id="2" name="图片 2" descr="QQ图片2024071011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40710112505"/>
                    <pic:cNvPicPr>
                      <a:picLocks noChangeAspect="1"/>
                    </pic:cNvPicPr>
                  </pic:nvPicPr>
                  <pic:blipFill>
                    <a:blip r:embed="rId16" cstate="print"/>
                    <a:stretch>
                      <a:fillRect/>
                    </a:stretch>
                  </pic:blipFill>
                  <pic:spPr>
                    <a:xfrm>
                      <a:off x="0" y="0"/>
                      <a:ext cx="1408430" cy="1409700"/>
                    </a:xfrm>
                    <a:prstGeom prst="rect">
                      <a:avLst/>
                    </a:prstGeom>
                    <a:noFill/>
                    <a:ln>
                      <a:noFill/>
                    </a:ln>
                  </pic:spPr>
                </pic:pic>
              </a:graphicData>
            </a:graphic>
          </wp:inline>
        </w:drawing>
      </w:r>
    </w:p>
    <w:p w14:paraId="4EC9856E">
      <w:pPr>
        <w:spacing w:line="360" w:lineRule="auto"/>
        <w:rPr>
          <w:rFonts w:ascii="宋体" w:hAnsi="宋体"/>
          <w:b/>
          <w:color w:val="auto"/>
          <w:sz w:val="32"/>
          <w:szCs w:val="32"/>
          <w:highlight w:val="none"/>
        </w:rPr>
      </w:pPr>
    </w:p>
    <w:p w14:paraId="2410A9CD">
      <w:pPr>
        <w:spacing w:line="720" w:lineRule="auto"/>
        <w:jc w:val="center"/>
        <w:rPr>
          <w:rFonts w:ascii="宋体" w:hAnsi="宋体"/>
          <w:b/>
          <w:color w:val="auto"/>
          <w:sz w:val="32"/>
          <w:szCs w:val="32"/>
          <w:highlight w:val="none"/>
        </w:rPr>
      </w:pPr>
      <w:r>
        <w:rPr>
          <w:rFonts w:hint="eastAsia" w:ascii="宋体" w:hAnsi="宋体"/>
          <w:b/>
          <w:color w:val="auto"/>
          <w:sz w:val="84"/>
          <w:szCs w:val="84"/>
          <w:highlight w:val="none"/>
        </w:rPr>
        <w:t>竞争性磋商文件</w:t>
      </w:r>
    </w:p>
    <w:p w14:paraId="2E4ED2F9">
      <w:pPr>
        <w:spacing w:line="360" w:lineRule="auto"/>
        <w:ind w:firstLine="602" w:firstLineChars="200"/>
        <w:rPr>
          <w:rFonts w:ascii="宋体" w:hAnsi="宋体"/>
          <w:b/>
          <w:color w:val="auto"/>
          <w:sz w:val="30"/>
          <w:szCs w:val="30"/>
          <w:highlight w:val="none"/>
        </w:rPr>
      </w:pPr>
    </w:p>
    <w:p w14:paraId="21006876">
      <w:pPr>
        <w:spacing w:line="360" w:lineRule="auto"/>
        <w:ind w:firstLine="602" w:firstLineChars="200"/>
        <w:rPr>
          <w:rFonts w:ascii="宋体" w:hAnsi="宋体"/>
          <w:b/>
          <w:color w:val="auto"/>
          <w:sz w:val="30"/>
          <w:szCs w:val="30"/>
          <w:highlight w:val="none"/>
        </w:rPr>
      </w:pPr>
      <w:r>
        <w:rPr>
          <w:rFonts w:hint="eastAsia" w:ascii="宋体" w:hAnsi="宋体"/>
          <w:b/>
          <w:color w:val="auto"/>
          <w:sz w:val="30"/>
          <w:szCs w:val="30"/>
          <w:highlight w:val="none"/>
        </w:rPr>
        <w:t>项目名称：2025 年中央水利发展资金（大白水水库标准化创建）</w:t>
      </w:r>
    </w:p>
    <w:p w14:paraId="27B42DB7">
      <w:pPr>
        <w:spacing w:line="360" w:lineRule="auto"/>
        <w:ind w:firstLine="2108" w:firstLineChars="700"/>
        <w:rPr>
          <w:rFonts w:ascii="宋体" w:hAnsi="宋体"/>
          <w:b/>
          <w:color w:val="auto"/>
          <w:sz w:val="30"/>
          <w:szCs w:val="30"/>
          <w:highlight w:val="none"/>
        </w:rPr>
      </w:pPr>
      <w:r>
        <w:rPr>
          <w:rFonts w:hint="eastAsia" w:ascii="宋体" w:hAnsi="宋体"/>
          <w:b/>
          <w:color w:val="auto"/>
          <w:sz w:val="30"/>
          <w:szCs w:val="30"/>
          <w:highlight w:val="none"/>
        </w:rPr>
        <w:t xml:space="preserve">项目  </w:t>
      </w:r>
    </w:p>
    <w:p w14:paraId="464A9DD2">
      <w:pPr>
        <w:spacing w:line="360" w:lineRule="auto"/>
        <w:rPr>
          <w:rFonts w:ascii="宋体" w:hAnsi="宋体"/>
          <w:b/>
          <w:color w:val="auto"/>
          <w:sz w:val="30"/>
          <w:szCs w:val="30"/>
          <w:highlight w:val="none"/>
        </w:rPr>
      </w:pPr>
    </w:p>
    <w:p w14:paraId="3795610C">
      <w:pPr>
        <w:spacing w:line="360" w:lineRule="auto"/>
        <w:ind w:firstLine="602" w:firstLineChars="200"/>
        <w:rPr>
          <w:rFonts w:ascii="宋体" w:hAnsi="宋体"/>
          <w:b/>
          <w:color w:val="auto"/>
          <w:sz w:val="30"/>
          <w:szCs w:val="30"/>
          <w:highlight w:val="none"/>
        </w:rPr>
      </w:pPr>
      <w:r>
        <w:rPr>
          <w:rFonts w:hint="eastAsia" w:ascii="宋体" w:hAnsi="宋体"/>
          <w:b/>
          <w:color w:val="auto"/>
          <w:sz w:val="30"/>
          <w:szCs w:val="30"/>
          <w:highlight w:val="none"/>
        </w:rPr>
        <w:t xml:space="preserve">项目编号：BHZC2025-C2-990285-GXDY    </w:t>
      </w:r>
    </w:p>
    <w:p w14:paraId="78B8E871">
      <w:pPr>
        <w:spacing w:line="360" w:lineRule="auto"/>
        <w:jc w:val="center"/>
        <w:rPr>
          <w:rFonts w:ascii="宋体" w:hAnsi="宋体"/>
          <w:b/>
          <w:color w:val="auto"/>
          <w:sz w:val="30"/>
          <w:szCs w:val="30"/>
          <w:highlight w:val="none"/>
        </w:rPr>
      </w:pPr>
    </w:p>
    <w:p w14:paraId="68BA2425">
      <w:pPr>
        <w:spacing w:line="600" w:lineRule="auto"/>
        <w:ind w:firstLine="602" w:firstLineChars="200"/>
        <w:rPr>
          <w:rFonts w:ascii="宋体" w:hAnsi="宋体"/>
          <w:b/>
          <w:color w:val="auto"/>
          <w:sz w:val="30"/>
          <w:szCs w:val="30"/>
          <w:highlight w:val="none"/>
        </w:rPr>
      </w:pPr>
      <w:r>
        <w:rPr>
          <w:rFonts w:hint="eastAsia" w:ascii="宋体" w:hAnsi="宋体"/>
          <w:b/>
          <w:color w:val="auto"/>
          <w:sz w:val="30"/>
          <w:szCs w:val="30"/>
          <w:highlight w:val="none"/>
        </w:rPr>
        <w:t>采 购 人：北海市洪潮江水库工程管理中心</w:t>
      </w:r>
    </w:p>
    <w:p w14:paraId="48098B43">
      <w:pPr>
        <w:pStyle w:val="467"/>
        <w:ind w:firstLine="600"/>
        <w:rPr>
          <w:color w:val="auto"/>
          <w:sz w:val="30"/>
          <w:szCs w:val="30"/>
          <w:highlight w:val="none"/>
        </w:rPr>
      </w:pPr>
    </w:p>
    <w:p w14:paraId="313071CB">
      <w:pPr>
        <w:spacing w:line="600" w:lineRule="auto"/>
        <w:ind w:firstLine="602" w:firstLineChars="200"/>
        <w:rPr>
          <w:rFonts w:ascii="宋体" w:hAnsi="宋体"/>
          <w:b/>
          <w:color w:val="auto"/>
          <w:sz w:val="30"/>
          <w:szCs w:val="30"/>
          <w:highlight w:val="none"/>
        </w:rPr>
      </w:pPr>
      <w:r>
        <w:rPr>
          <w:rFonts w:hint="eastAsia" w:ascii="宋体" w:hAnsi="宋体"/>
          <w:b/>
          <w:color w:val="auto"/>
          <w:sz w:val="30"/>
          <w:szCs w:val="30"/>
          <w:highlight w:val="none"/>
        </w:rPr>
        <w:t>采购代理机构：广西德元工程项目管理有限责任公司</w:t>
      </w:r>
    </w:p>
    <w:p w14:paraId="2A8A342A">
      <w:pPr>
        <w:pStyle w:val="467"/>
        <w:ind w:firstLine="600"/>
        <w:rPr>
          <w:color w:val="auto"/>
          <w:sz w:val="30"/>
          <w:szCs w:val="30"/>
          <w:highlight w:val="none"/>
        </w:rPr>
      </w:pPr>
    </w:p>
    <w:p w14:paraId="39D675DC">
      <w:pPr>
        <w:spacing w:line="600" w:lineRule="auto"/>
        <w:ind w:firstLine="602" w:firstLineChars="200"/>
        <w:rPr>
          <w:rFonts w:ascii="方正小标宋简体" w:hAnsi="Courier New" w:cs="Courier New"/>
          <w:b/>
          <w:color w:val="auto"/>
          <w:sz w:val="36"/>
          <w:szCs w:val="36"/>
          <w:highlight w:val="none"/>
        </w:rPr>
        <w:sectPr>
          <w:headerReference r:id="rId3" w:type="default"/>
          <w:footerReference r:id="rId4" w:type="default"/>
          <w:pgSz w:w="11906" w:h="16838"/>
          <w:pgMar w:top="1467" w:right="1247" w:bottom="1247" w:left="1467" w:header="1951" w:footer="992" w:gutter="0"/>
          <w:cols w:space="720" w:num="1"/>
          <w:docGrid w:type="lines" w:linePitch="312" w:charSpace="0"/>
        </w:sectPr>
      </w:pPr>
      <w:r>
        <w:rPr>
          <w:rFonts w:hint="eastAsia" w:ascii="宋体" w:hAnsi="宋体"/>
          <w:b/>
          <w:color w:val="auto"/>
          <w:sz w:val="30"/>
          <w:szCs w:val="30"/>
          <w:highlight w:val="none"/>
        </w:rPr>
        <w:t xml:space="preserve">日   期：2025 年 </w:t>
      </w:r>
      <w:r>
        <w:rPr>
          <w:rFonts w:hint="eastAsia" w:ascii="宋体" w:hAnsi="宋体"/>
          <w:b/>
          <w:color w:val="auto"/>
          <w:sz w:val="30"/>
          <w:szCs w:val="30"/>
          <w:highlight w:val="none"/>
          <w:lang w:val="en-US" w:eastAsia="zh-CN"/>
        </w:rPr>
        <w:t>10</w:t>
      </w:r>
      <w:r>
        <w:rPr>
          <w:rFonts w:hint="eastAsia" w:ascii="宋体" w:hAnsi="宋体"/>
          <w:b/>
          <w:color w:val="auto"/>
          <w:sz w:val="30"/>
          <w:szCs w:val="30"/>
          <w:highlight w:val="none"/>
        </w:rPr>
        <w:t xml:space="preserve"> 月 </w:t>
      </w:r>
      <w:r>
        <w:rPr>
          <w:rFonts w:hint="eastAsia" w:ascii="宋体" w:hAnsi="宋体"/>
          <w:b/>
          <w:color w:val="auto"/>
          <w:sz w:val="30"/>
          <w:szCs w:val="30"/>
          <w:highlight w:val="none"/>
          <w:lang w:val="en-US" w:eastAsia="zh-CN"/>
        </w:rPr>
        <w:t>30</w:t>
      </w:r>
      <w:r>
        <w:rPr>
          <w:rFonts w:hint="eastAsia" w:ascii="宋体" w:hAnsi="宋体"/>
          <w:b/>
          <w:color w:val="auto"/>
          <w:sz w:val="30"/>
          <w:szCs w:val="30"/>
          <w:highlight w:val="none"/>
        </w:rPr>
        <w:t xml:space="preserve"> 日</w:t>
      </w:r>
    </w:p>
    <w:sdt>
      <w:sdtPr>
        <w:rPr>
          <w:rFonts w:ascii="宋体" w:hAnsi="宋体"/>
          <w:b w:val="0"/>
          <w:bCs w:val="0"/>
          <w:color w:val="auto"/>
          <w:kern w:val="2"/>
          <w:sz w:val="44"/>
          <w:szCs w:val="24"/>
          <w:highlight w:val="none"/>
        </w:rPr>
        <w:id w:val="147475286"/>
        <w:docPartObj>
          <w:docPartGallery w:val="Table of Contents"/>
          <w:docPartUnique/>
        </w:docPartObj>
      </w:sdtPr>
      <w:sdtEndPr>
        <w:rPr>
          <w:rFonts w:hint="eastAsia" w:ascii="宋体" w:hAnsi="宋体" w:cs="宋体"/>
          <w:b w:val="0"/>
          <w:bCs w:val="0"/>
          <w:color w:val="auto"/>
          <w:kern w:val="2"/>
          <w:sz w:val="21"/>
          <w:szCs w:val="28"/>
          <w:highlight w:val="none"/>
        </w:rPr>
      </w:sdtEndPr>
      <w:sdtContent>
        <w:p w14:paraId="73743A2E">
          <w:pPr>
            <w:pStyle w:val="2"/>
            <w:jc w:val="center"/>
            <w:rPr>
              <w:color w:val="auto"/>
              <w:sz w:val="44"/>
              <w:highlight w:val="none"/>
            </w:rPr>
          </w:pPr>
          <w:r>
            <w:rPr>
              <w:rFonts w:ascii="宋体" w:hAnsi="宋体"/>
              <w:color w:val="auto"/>
              <w:sz w:val="44"/>
              <w:highlight w:val="none"/>
            </w:rPr>
            <w:t>目录</w:t>
          </w:r>
        </w:p>
        <w:p w14:paraId="4CE8FEEE">
          <w:pPr>
            <w:pStyle w:val="36"/>
            <w:tabs>
              <w:tab w:val="right" w:leader="dot" w:pos="9040"/>
            </w:tabs>
            <w:rPr>
              <w:rFonts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TOC \o "1-1" \h \u </w:instrText>
          </w:r>
          <w:r>
            <w:rPr>
              <w:rFonts w:hint="eastAsia" w:asciiTheme="minorEastAsia" w:hAnsiTheme="minorEastAsia" w:eastAsiaTheme="minorEastAsia" w:cstheme="minorEastAsia"/>
              <w:color w:val="auto"/>
              <w:sz w:val="28"/>
              <w:szCs w:val="28"/>
              <w:highlight w:val="none"/>
            </w:rPr>
            <w:fldChar w:fldCharType="separate"/>
          </w:r>
          <w:r>
            <w:rPr>
              <w:color w:val="auto"/>
              <w:highlight w:val="none"/>
            </w:rPr>
            <w:fldChar w:fldCharType="begin"/>
          </w:r>
          <w:r>
            <w:rPr>
              <w:color w:val="auto"/>
              <w:highlight w:val="none"/>
            </w:rPr>
            <w:instrText xml:space="preserve"> HYPERLINK \l "_Toc29288" </w:instrText>
          </w:r>
          <w:r>
            <w:rPr>
              <w:color w:val="auto"/>
              <w:highlight w:val="none"/>
            </w:rPr>
            <w:fldChar w:fldCharType="separate"/>
          </w:r>
          <w:r>
            <w:rPr>
              <w:rFonts w:hint="eastAsia" w:asciiTheme="minorEastAsia" w:hAnsiTheme="minorEastAsia" w:eastAsiaTheme="minorEastAsia" w:cstheme="minorEastAsia"/>
              <w:color w:val="auto"/>
              <w:sz w:val="28"/>
              <w:szCs w:val="28"/>
              <w:highlight w:val="none"/>
            </w:rPr>
            <w:t>第一章  竞争性磋商公告</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_Toc29288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2</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2188D2FE">
          <w:pPr>
            <w:pStyle w:val="36"/>
            <w:tabs>
              <w:tab w:val="right" w:leader="dot" w:pos="9040"/>
            </w:tabs>
            <w:rPr>
              <w:rFonts w:asciiTheme="minorEastAsia" w:hAnsiTheme="minorEastAsia" w:eastAsiaTheme="minorEastAsia" w:cstheme="minorEastAsia"/>
              <w:color w:val="auto"/>
              <w:sz w:val="28"/>
              <w:szCs w:val="28"/>
              <w:highlight w:val="none"/>
            </w:rPr>
          </w:pPr>
          <w:r>
            <w:rPr>
              <w:color w:val="auto"/>
              <w:highlight w:val="none"/>
            </w:rPr>
            <w:fldChar w:fldCharType="begin"/>
          </w:r>
          <w:r>
            <w:rPr>
              <w:color w:val="auto"/>
              <w:highlight w:val="none"/>
            </w:rPr>
            <w:instrText xml:space="preserve"> HYPERLINK \l "_Toc5563" </w:instrText>
          </w:r>
          <w:r>
            <w:rPr>
              <w:color w:val="auto"/>
              <w:highlight w:val="none"/>
            </w:rPr>
            <w:fldChar w:fldCharType="separate"/>
          </w:r>
          <w:r>
            <w:rPr>
              <w:rFonts w:hint="eastAsia" w:asciiTheme="minorEastAsia" w:hAnsiTheme="minorEastAsia" w:eastAsiaTheme="minorEastAsia" w:cstheme="minorEastAsia"/>
              <w:color w:val="auto"/>
              <w:sz w:val="28"/>
              <w:szCs w:val="28"/>
              <w:highlight w:val="none"/>
            </w:rPr>
            <w:t>第二章  采购需求</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_Toc5563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6</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19132EA5">
          <w:pPr>
            <w:pStyle w:val="36"/>
            <w:tabs>
              <w:tab w:val="right" w:leader="dot" w:pos="9040"/>
            </w:tabs>
            <w:rPr>
              <w:rFonts w:asciiTheme="minorEastAsia" w:hAnsiTheme="minorEastAsia" w:eastAsiaTheme="minorEastAsia" w:cstheme="minorEastAsia"/>
              <w:color w:val="auto"/>
              <w:sz w:val="28"/>
              <w:szCs w:val="28"/>
              <w:highlight w:val="none"/>
            </w:rPr>
          </w:pPr>
          <w:r>
            <w:rPr>
              <w:color w:val="auto"/>
              <w:highlight w:val="none"/>
            </w:rPr>
            <w:fldChar w:fldCharType="begin"/>
          </w:r>
          <w:r>
            <w:rPr>
              <w:color w:val="auto"/>
              <w:highlight w:val="none"/>
            </w:rPr>
            <w:instrText xml:space="preserve"> HYPERLINK \l "_Toc10205" </w:instrText>
          </w:r>
          <w:r>
            <w:rPr>
              <w:color w:val="auto"/>
              <w:highlight w:val="none"/>
            </w:rPr>
            <w:fldChar w:fldCharType="separate"/>
          </w:r>
          <w:r>
            <w:rPr>
              <w:rFonts w:hint="eastAsia" w:asciiTheme="minorEastAsia" w:hAnsiTheme="minorEastAsia" w:eastAsiaTheme="minorEastAsia" w:cstheme="minorEastAsia"/>
              <w:color w:val="auto"/>
              <w:sz w:val="28"/>
              <w:szCs w:val="28"/>
              <w:highlight w:val="none"/>
            </w:rPr>
            <w:t>第三章  供应商须知</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_Toc10205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9</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0FF137A7">
          <w:pPr>
            <w:pStyle w:val="36"/>
            <w:tabs>
              <w:tab w:val="right" w:leader="dot" w:pos="9040"/>
            </w:tabs>
            <w:rPr>
              <w:rFonts w:asciiTheme="minorEastAsia" w:hAnsiTheme="minorEastAsia" w:eastAsiaTheme="minorEastAsia" w:cstheme="minorEastAsia"/>
              <w:color w:val="auto"/>
              <w:sz w:val="28"/>
              <w:szCs w:val="28"/>
              <w:highlight w:val="none"/>
            </w:rPr>
          </w:pPr>
          <w:r>
            <w:rPr>
              <w:color w:val="auto"/>
              <w:highlight w:val="none"/>
            </w:rPr>
            <w:fldChar w:fldCharType="begin"/>
          </w:r>
          <w:r>
            <w:rPr>
              <w:color w:val="auto"/>
              <w:highlight w:val="none"/>
            </w:rPr>
            <w:instrText xml:space="preserve"> HYPERLINK \l "_Toc9176" </w:instrText>
          </w:r>
          <w:r>
            <w:rPr>
              <w:color w:val="auto"/>
              <w:highlight w:val="none"/>
            </w:rPr>
            <w:fldChar w:fldCharType="separate"/>
          </w:r>
          <w:r>
            <w:rPr>
              <w:rFonts w:hint="eastAsia" w:asciiTheme="minorEastAsia" w:hAnsiTheme="minorEastAsia" w:eastAsiaTheme="minorEastAsia" w:cstheme="minorEastAsia"/>
              <w:color w:val="auto"/>
              <w:sz w:val="28"/>
              <w:szCs w:val="28"/>
              <w:highlight w:val="none"/>
            </w:rPr>
            <w:t>第四章  评审程序、评审方法和评审标准</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_Toc9176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30</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33F0AEA0">
          <w:pPr>
            <w:pStyle w:val="36"/>
            <w:tabs>
              <w:tab w:val="right" w:leader="dot" w:pos="9040"/>
            </w:tabs>
            <w:rPr>
              <w:rFonts w:asciiTheme="minorEastAsia" w:hAnsiTheme="minorEastAsia" w:eastAsiaTheme="minorEastAsia" w:cstheme="minorEastAsia"/>
              <w:color w:val="auto"/>
              <w:sz w:val="28"/>
              <w:szCs w:val="28"/>
              <w:highlight w:val="none"/>
            </w:rPr>
          </w:pPr>
          <w:r>
            <w:rPr>
              <w:color w:val="auto"/>
              <w:highlight w:val="none"/>
            </w:rPr>
            <w:fldChar w:fldCharType="begin"/>
          </w:r>
          <w:r>
            <w:rPr>
              <w:color w:val="auto"/>
              <w:highlight w:val="none"/>
            </w:rPr>
            <w:instrText xml:space="preserve"> HYPERLINK \l "_Toc25776" </w:instrText>
          </w:r>
          <w:r>
            <w:rPr>
              <w:color w:val="auto"/>
              <w:highlight w:val="none"/>
            </w:rPr>
            <w:fldChar w:fldCharType="separate"/>
          </w:r>
          <w:r>
            <w:rPr>
              <w:rFonts w:hint="eastAsia" w:asciiTheme="minorEastAsia" w:hAnsiTheme="minorEastAsia" w:eastAsiaTheme="minorEastAsia" w:cstheme="minorEastAsia"/>
              <w:color w:val="auto"/>
              <w:sz w:val="28"/>
              <w:szCs w:val="28"/>
              <w:highlight w:val="none"/>
            </w:rPr>
            <w:t>第五章  工程量清单及图纸</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_Toc25776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38</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3368095E">
          <w:pPr>
            <w:pStyle w:val="36"/>
            <w:tabs>
              <w:tab w:val="right" w:leader="dot" w:pos="9040"/>
            </w:tabs>
            <w:rPr>
              <w:rFonts w:asciiTheme="minorEastAsia" w:hAnsiTheme="minorEastAsia" w:eastAsiaTheme="minorEastAsia" w:cstheme="minorEastAsia"/>
              <w:color w:val="auto"/>
              <w:sz w:val="28"/>
              <w:szCs w:val="28"/>
              <w:highlight w:val="none"/>
            </w:rPr>
          </w:pPr>
          <w:r>
            <w:rPr>
              <w:color w:val="auto"/>
              <w:highlight w:val="none"/>
            </w:rPr>
            <w:fldChar w:fldCharType="begin"/>
          </w:r>
          <w:r>
            <w:rPr>
              <w:color w:val="auto"/>
              <w:highlight w:val="none"/>
            </w:rPr>
            <w:instrText xml:space="preserve"> HYPERLINK \l "_Toc24573" </w:instrText>
          </w:r>
          <w:r>
            <w:rPr>
              <w:color w:val="auto"/>
              <w:highlight w:val="none"/>
            </w:rPr>
            <w:fldChar w:fldCharType="separate"/>
          </w:r>
          <w:r>
            <w:rPr>
              <w:rFonts w:hint="eastAsia" w:asciiTheme="minorEastAsia" w:hAnsiTheme="minorEastAsia" w:eastAsiaTheme="minorEastAsia" w:cstheme="minorEastAsia"/>
              <w:color w:val="auto"/>
              <w:sz w:val="28"/>
              <w:szCs w:val="28"/>
              <w:highlight w:val="none"/>
            </w:rPr>
            <w:t>第六章  响应文件格式</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_Toc24573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39</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393C1B70">
          <w:pPr>
            <w:pStyle w:val="36"/>
            <w:tabs>
              <w:tab w:val="right" w:leader="dot" w:pos="9040"/>
            </w:tabs>
            <w:rPr>
              <w:rFonts w:asciiTheme="minorEastAsia" w:hAnsiTheme="minorEastAsia" w:eastAsiaTheme="minorEastAsia" w:cstheme="minorEastAsia"/>
              <w:color w:val="auto"/>
              <w:sz w:val="28"/>
              <w:szCs w:val="28"/>
              <w:highlight w:val="none"/>
            </w:rPr>
          </w:pPr>
          <w:r>
            <w:rPr>
              <w:color w:val="auto"/>
              <w:highlight w:val="none"/>
            </w:rPr>
            <w:fldChar w:fldCharType="begin"/>
          </w:r>
          <w:r>
            <w:rPr>
              <w:color w:val="auto"/>
              <w:highlight w:val="none"/>
            </w:rPr>
            <w:instrText xml:space="preserve"> HYPERLINK \l "_Toc24586" </w:instrText>
          </w:r>
          <w:r>
            <w:rPr>
              <w:color w:val="auto"/>
              <w:highlight w:val="none"/>
            </w:rPr>
            <w:fldChar w:fldCharType="separate"/>
          </w:r>
          <w:r>
            <w:rPr>
              <w:rFonts w:hint="eastAsia" w:asciiTheme="minorEastAsia" w:hAnsiTheme="minorEastAsia" w:eastAsiaTheme="minorEastAsia" w:cstheme="minorEastAsia"/>
              <w:bCs/>
              <w:color w:val="auto"/>
              <w:sz w:val="28"/>
              <w:szCs w:val="28"/>
              <w:highlight w:val="none"/>
            </w:rPr>
            <w:t>第七章  合同条款及格式</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_Toc24586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68</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51F56BAE">
          <w:pPr>
            <w:pStyle w:val="36"/>
            <w:tabs>
              <w:tab w:val="right" w:leader="dot" w:pos="9040"/>
            </w:tabs>
            <w:rPr>
              <w:rFonts w:asciiTheme="minorEastAsia" w:hAnsiTheme="minorEastAsia" w:eastAsiaTheme="minorEastAsia" w:cstheme="minorEastAsia"/>
              <w:color w:val="auto"/>
              <w:sz w:val="28"/>
              <w:szCs w:val="28"/>
              <w:highlight w:val="none"/>
            </w:rPr>
          </w:pPr>
          <w:r>
            <w:rPr>
              <w:color w:val="auto"/>
              <w:highlight w:val="none"/>
            </w:rPr>
            <w:fldChar w:fldCharType="begin"/>
          </w:r>
          <w:r>
            <w:rPr>
              <w:color w:val="auto"/>
              <w:highlight w:val="none"/>
            </w:rPr>
            <w:instrText xml:space="preserve"> HYPERLINK \l "_Toc18359" </w:instrText>
          </w:r>
          <w:r>
            <w:rPr>
              <w:color w:val="auto"/>
              <w:highlight w:val="none"/>
            </w:rPr>
            <w:fldChar w:fldCharType="separate"/>
          </w:r>
          <w:r>
            <w:rPr>
              <w:rFonts w:hint="eastAsia" w:asciiTheme="minorEastAsia" w:hAnsiTheme="minorEastAsia" w:eastAsiaTheme="minorEastAsia" w:cstheme="minorEastAsia"/>
              <w:color w:val="auto"/>
              <w:sz w:val="28"/>
              <w:szCs w:val="28"/>
              <w:highlight w:val="none"/>
            </w:rPr>
            <w:t>第八章  质疑、投诉材料格式</w:t>
          </w:r>
          <w:r>
            <w:rPr>
              <w:rFonts w:hint="eastAsia" w:asciiTheme="minorEastAsia" w:hAnsiTheme="minorEastAsia" w:eastAsiaTheme="minorEastAsia" w:cstheme="minorEastAsia"/>
              <w:color w:val="auto"/>
              <w:sz w:val="28"/>
              <w:szCs w:val="28"/>
              <w:highlight w:val="none"/>
            </w:rPr>
            <w:tab/>
          </w:r>
          <w:r>
            <w:rPr>
              <w:rFonts w:hint="eastAsia" w:asciiTheme="minorEastAsia" w:hAnsiTheme="minorEastAsia" w:eastAsiaTheme="minorEastAsia" w:cstheme="minorEastAsia"/>
              <w:color w:val="auto"/>
              <w:sz w:val="28"/>
              <w:szCs w:val="28"/>
              <w:highlight w:val="none"/>
            </w:rPr>
            <w:fldChar w:fldCharType="begin"/>
          </w:r>
          <w:r>
            <w:rPr>
              <w:rFonts w:hint="eastAsia" w:asciiTheme="minorEastAsia" w:hAnsiTheme="minorEastAsia" w:eastAsiaTheme="minorEastAsia" w:cstheme="minorEastAsia"/>
              <w:color w:val="auto"/>
              <w:sz w:val="28"/>
              <w:szCs w:val="28"/>
              <w:highlight w:val="none"/>
            </w:rPr>
            <w:instrText xml:space="preserve"> PAGEREF _Toc18359 \h </w:instrText>
          </w:r>
          <w:r>
            <w:rPr>
              <w:rFonts w:hint="eastAsia" w:asciiTheme="minorEastAsia" w:hAnsiTheme="minorEastAsia" w:eastAsiaTheme="minorEastAsia" w:cstheme="minorEastAsia"/>
              <w:color w:val="auto"/>
              <w:sz w:val="28"/>
              <w:szCs w:val="28"/>
              <w:highlight w:val="none"/>
            </w:rPr>
            <w:fldChar w:fldCharType="separate"/>
          </w:r>
          <w:r>
            <w:rPr>
              <w:rFonts w:hint="eastAsia" w:asciiTheme="minorEastAsia" w:hAnsiTheme="minorEastAsia" w:eastAsiaTheme="minorEastAsia" w:cstheme="minorEastAsia"/>
              <w:color w:val="auto"/>
              <w:sz w:val="28"/>
              <w:szCs w:val="28"/>
              <w:highlight w:val="none"/>
            </w:rPr>
            <w:t>133</w:t>
          </w:r>
          <w:r>
            <w:rPr>
              <w:rFonts w:hint="eastAsia" w:asciiTheme="minorEastAsia" w:hAnsiTheme="minorEastAsia" w:eastAsiaTheme="minorEastAsia" w:cstheme="minorEastAsia"/>
              <w:color w:val="auto"/>
              <w:sz w:val="28"/>
              <w:szCs w:val="28"/>
              <w:highlight w:val="none"/>
            </w:rPr>
            <w:fldChar w:fldCharType="end"/>
          </w:r>
          <w:r>
            <w:rPr>
              <w:rFonts w:hint="eastAsia" w:asciiTheme="minorEastAsia" w:hAnsiTheme="minorEastAsia" w:eastAsiaTheme="minorEastAsia" w:cstheme="minorEastAsia"/>
              <w:color w:val="auto"/>
              <w:sz w:val="28"/>
              <w:szCs w:val="28"/>
              <w:highlight w:val="none"/>
            </w:rPr>
            <w:fldChar w:fldCharType="end"/>
          </w:r>
        </w:p>
        <w:p w14:paraId="4F30E3CD">
          <w:pPr>
            <w:spacing w:line="360" w:lineRule="auto"/>
            <w:jc w:val="center"/>
            <w:rPr>
              <w:rFonts w:ascii="宋体" w:hAnsi="宋体" w:cs="宋体"/>
              <w:color w:val="auto"/>
              <w:szCs w:val="28"/>
              <w:highlight w:val="none"/>
            </w:rPr>
          </w:pPr>
          <w:r>
            <w:rPr>
              <w:rFonts w:hint="eastAsia" w:asciiTheme="minorEastAsia" w:hAnsiTheme="minorEastAsia" w:eastAsiaTheme="minorEastAsia" w:cstheme="minorEastAsia"/>
              <w:color w:val="auto"/>
              <w:sz w:val="28"/>
              <w:szCs w:val="28"/>
              <w:highlight w:val="none"/>
            </w:rPr>
            <w:fldChar w:fldCharType="end"/>
          </w:r>
        </w:p>
      </w:sdtContent>
    </w:sdt>
    <w:p w14:paraId="21A01766">
      <w:pPr>
        <w:spacing w:line="360" w:lineRule="auto"/>
        <w:jc w:val="center"/>
        <w:rPr>
          <w:rFonts w:ascii="宋体" w:hAnsi="宋体" w:cs="宋体"/>
          <w:color w:val="auto"/>
          <w:szCs w:val="28"/>
          <w:highlight w:val="none"/>
        </w:rPr>
      </w:pPr>
    </w:p>
    <w:p w14:paraId="15AE7B6D">
      <w:pPr>
        <w:rPr>
          <w:color w:val="auto"/>
          <w:highlight w:val="none"/>
        </w:rPr>
      </w:pPr>
    </w:p>
    <w:p w14:paraId="61C1B021">
      <w:pPr>
        <w:rPr>
          <w:rFonts w:ascii="宋体" w:hAnsi="宋体" w:cs="宋体"/>
          <w:color w:val="auto"/>
          <w:spacing w:val="-6"/>
          <w:kern w:val="0"/>
          <w:sz w:val="24"/>
          <w:highlight w:val="none"/>
        </w:rPr>
      </w:pPr>
    </w:p>
    <w:p w14:paraId="5E8ED048">
      <w:pPr>
        <w:rPr>
          <w:color w:val="auto"/>
          <w:highlight w:val="none"/>
        </w:rPr>
      </w:pPr>
    </w:p>
    <w:p w14:paraId="27D94262">
      <w:pPr>
        <w:rPr>
          <w:rFonts w:ascii="宋体" w:hAnsi="宋体" w:cs="宋体"/>
          <w:b/>
          <w:color w:val="auto"/>
          <w:spacing w:val="-6"/>
          <w:sz w:val="24"/>
          <w:highlight w:val="none"/>
        </w:rPr>
      </w:pPr>
    </w:p>
    <w:p w14:paraId="54D4767A">
      <w:pPr>
        <w:pStyle w:val="33"/>
        <w:rPr>
          <w:rFonts w:ascii="宋体" w:hAnsi="宋体" w:cs="宋体"/>
          <w:b/>
          <w:color w:val="auto"/>
          <w:spacing w:val="-6"/>
          <w:sz w:val="24"/>
          <w:szCs w:val="24"/>
          <w:highlight w:val="none"/>
        </w:rPr>
      </w:pPr>
    </w:p>
    <w:p w14:paraId="75D20E18">
      <w:pPr>
        <w:pStyle w:val="33"/>
        <w:rPr>
          <w:rFonts w:ascii="宋体" w:hAnsi="宋体" w:cs="宋体"/>
          <w:b/>
          <w:color w:val="auto"/>
          <w:spacing w:val="-6"/>
          <w:sz w:val="24"/>
          <w:szCs w:val="24"/>
          <w:highlight w:val="none"/>
        </w:rPr>
      </w:pPr>
    </w:p>
    <w:p w14:paraId="16739E84">
      <w:pPr>
        <w:pStyle w:val="33"/>
        <w:rPr>
          <w:rFonts w:ascii="宋体" w:hAnsi="宋体" w:cs="宋体"/>
          <w:b/>
          <w:color w:val="auto"/>
          <w:spacing w:val="-6"/>
          <w:sz w:val="24"/>
          <w:szCs w:val="24"/>
          <w:highlight w:val="none"/>
        </w:rPr>
      </w:pPr>
    </w:p>
    <w:p w14:paraId="6C94E1BA">
      <w:pPr>
        <w:pStyle w:val="33"/>
        <w:rPr>
          <w:rFonts w:ascii="宋体" w:hAnsi="宋体" w:cs="宋体"/>
          <w:b/>
          <w:color w:val="auto"/>
          <w:spacing w:val="-6"/>
          <w:sz w:val="24"/>
          <w:szCs w:val="24"/>
          <w:highlight w:val="none"/>
        </w:rPr>
      </w:pPr>
    </w:p>
    <w:p w14:paraId="26A48A1E">
      <w:pPr>
        <w:pStyle w:val="33"/>
        <w:rPr>
          <w:rFonts w:ascii="宋体" w:hAnsi="宋体" w:cs="宋体"/>
          <w:b/>
          <w:color w:val="auto"/>
          <w:spacing w:val="-6"/>
          <w:sz w:val="24"/>
          <w:szCs w:val="24"/>
          <w:highlight w:val="none"/>
        </w:rPr>
      </w:pPr>
    </w:p>
    <w:p w14:paraId="115369F5">
      <w:pPr>
        <w:pStyle w:val="33"/>
        <w:rPr>
          <w:rFonts w:ascii="宋体" w:hAnsi="宋体" w:cs="宋体"/>
          <w:b/>
          <w:color w:val="auto"/>
          <w:spacing w:val="-6"/>
          <w:sz w:val="24"/>
          <w:szCs w:val="24"/>
          <w:highlight w:val="none"/>
        </w:rPr>
      </w:pPr>
    </w:p>
    <w:p w14:paraId="4814934D">
      <w:pPr>
        <w:pStyle w:val="33"/>
        <w:rPr>
          <w:rFonts w:ascii="宋体" w:hAnsi="宋体" w:cs="宋体"/>
          <w:b/>
          <w:color w:val="auto"/>
          <w:spacing w:val="-6"/>
          <w:sz w:val="24"/>
          <w:szCs w:val="24"/>
          <w:highlight w:val="none"/>
        </w:rPr>
      </w:pPr>
    </w:p>
    <w:p w14:paraId="5863CCC2">
      <w:pPr>
        <w:pStyle w:val="33"/>
        <w:rPr>
          <w:rFonts w:ascii="宋体" w:hAnsi="宋体" w:cs="宋体"/>
          <w:b/>
          <w:color w:val="auto"/>
          <w:spacing w:val="-6"/>
          <w:sz w:val="24"/>
          <w:szCs w:val="24"/>
          <w:highlight w:val="none"/>
        </w:rPr>
      </w:pPr>
    </w:p>
    <w:p w14:paraId="07B31BE0">
      <w:pPr>
        <w:pStyle w:val="33"/>
        <w:rPr>
          <w:rFonts w:ascii="宋体" w:hAnsi="宋体" w:cs="宋体"/>
          <w:b/>
          <w:color w:val="auto"/>
          <w:spacing w:val="-6"/>
          <w:sz w:val="24"/>
          <w:szCs w:val="24"/>
          <w:highlight w:val="none"/>
        </w:rPr>
      </w:pPr>
    </w:p>
    <w:p w14:paraId="7D411B57">
      <w:pPr>
        <w:rPr>
          <w:rFonts w:ascii="宋体" w:hAnsi="宋体" w:cs="宋体"/>
          <w:color w:val="auto"/>
          <w:spacing w:val="-6"/>
          <w:kern w:val="0"/>
          <w:sz w:val="24"/>
          <w:highlight w:val="none"/>
        </w:rPr>
      </w:pPr>
    </w:p>
    <w:p w14:paraId="45C2D6EF">
      <w:pPr>
        <w:pStyle w:val="2"/>
        <w:numPr>
          <w:ilvl w:val="0"/>
          <w:numId w:val="2"/>
        </w:numPr>
        <w:tabs>
          <w:tab w:val="left" w:pos="0"/>
        </w:tabs>
        <w:autoSpaceDE w:val="0"/>
        <w:autoSpaceDN w:val="0"/>
        <w:adjustRightInd w:val="0"/>
        <w:spacing w:before="0" w:after="0" w:line="360" w:lineRule="auto"/>
        <w:ind w:firstLine="425"/>
        <w:jc w:val="center"/>
        <w:rPr>
          <w:rFonts w:ascii="宋体" w:hAnsi="宋体" w:cs="宋体"/>
          <w:color w:val="auto"/>
          <w:sz w:val="32"/>
          <w:szCs w:val="32"/>
          <w:highlight w:val="none"/>
        </w:rPr>
      </w:pPr>
      <w:bookmarkStart w:id="0" w:name="_Toc29288"/>
      <w:bookmarkStart w:id="1" w:name="_Toc3307"/>
      <w:r>
        <w:rPr>
          <w:rFonts w:hint="eastAsia" w:ascii="宋体" w:hAnsi="宋体" w:cs="宋体"/>
          <w:color w:val="auto"/>
          <w:sz w:val="32"/>
          <w:szCs w:val="32"/>
          <w:highlight w:val="none"/>
        </w:rPr>
        <w:t>竞争性磋商公告</w:t>
      </w:r>
      <w:bookmarkEnd w:id="0"/>
      <w:bookmarkEnd w:id="1"/>
    </w:p>
    <w:tbl>
      <w:tblPr>
        <w:tblStyle w:val="55"/>
        <w:tblpPr w:leftFromText="180" w:rightFromText="180" w:vertAnchor="text" w:tblpX="38" w:tblpY="13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8"/>
      </w:tblGrid>
      <w:tr w14:paraId="5D132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9" w:hRule="atLeast"/>
        </w:trPr>
        <w:tc>
          <w:tcPr>
            <w:tcW w:w="9068" w:type="dxa"/>
          </w:tcPr>
          <w:p w14:paraId="5EBC7241">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项目概况</w:t>
            </w:r>
          </w:p>
          <w:p w14:paraId="7E7802DF">
            <w:pPr>
              <w:spacing w:line="400" w:lineRule="exact"/>
              <w:ind w:firstLine="420" w:firstLineChars="200"/>
              <w:rPr>
                <w:rFonts w:ascii="宋体" w:hAnsi="宋体" w:cs="宋体"/>
                <w:color w:val="auto"/>
                <w:szCs w:val="21"/>
                <w:highlight w:val="none"/>
              </w:rPr>
            </w:pPr>
            <w:r>
              <w:rPr>
                <w:rFonts w:hint="eastAsia" w:ascii="宋体" w:hAnsi="宋体" w:cs="宋体"/>
                <w:color w:val="auto"/>
                <w:highlight w:val="none"/>
                <w:u w:val="single"/>
              </w:rPr>
              <w:t xml:space="preserve"> 2025 年中央水利发展资金（大白水水库标准化创建）项目 </w:t>
            </w:r>
            <w:r>
              <w:rPr>
                <w:rFonts w:hint="eastAsia" w:ascii="宋体" w:hAnsi="宋体" w:cs="宋体"/>
                <w:color w:val="auto"/>
                <w:highlight w:val="none"/>
              </w:rPr>
              <w:t>的潜在供应商登陆</w:t>
            </w:r>
            <w:r>
              <w:rPr>
                <w:rFonts w:hint="eastAsia" w:ascii="宋体" w:hAnsi="宋体" w:cs="宋体"/>
                <w:color w:val="auto"/>
                <w:highlight w:val="none"/>
                <w:u w:val="single"/>
              </w:rPr>
              <w:t>广西政府采购云平台（https://www.gcy.zfcg.gxzf.gov.cn/）</w:t>
            </w:r>
            <w:r>
              <w:rPr>
                <w:rFonts w:hint="eastAsia" w:ascii="宋体" w:hAnsi="宋体" w:cs="宋体"/>
                <w:color w:val="auto"/>
                <w:highlight w:val="none"/>
              </w:rPr>
              <w:t>获取采购文件，并于</w:t>
            </w:r>
            <w:r>
              <w:rPr>
                <w:rFonts w:hint="eastAsia" w:ascii="宋体" w:hAnsi="宋体" w:cs="宋体"/>
                <w:color w:val="auto"/>
                <w:highlight w:val="none"/>
                <w:u w:val="single"/>
              </w:rPr>
              <w:t xml:space="preserve">2025 年 </w:t>
            </w:r>
            <w:r>
              <w:rPr>
                <w:rFonts w:hint="eastAsia" w:ascii="宋体" w:hAnsi="宋体" w:cs="宋体"/>
                <w:color w:val="auto"/>
                <w:highlight w:val="none"/>
                <w:u w:val="single"/>
                <w:lang w:val="en-US" w:eastAsia="zh-CN"/>
              </w:rPr>
              <w:t>11</w:t>
            </w:r>
            <w:r>
              <w:rPr>
                <w:rFonts w:hint="eastAsia" w:ascii="宋体" w:hAnsi="宋体" w:cs="宋体"/>
                <w:color w:val="auto"/>
                <w:highlight w:val="none"/>
                <w:u w:val="single"/>
              </w:rPr>
              <w:t xml:space="preserve"> 月 </w:t>
            </w:r>
            <w:r>
              <w:rPr>
                <w:rFonts w:hint="eastAsia" w:ascii="宋体" w:hAnsi="宋体" w:cs="宋体"/>
                <w:color w:val="auto"/>
                <w:highlight w:val="none"/>
                <w:u w:val="single"/>
                <w:lang w:val="en-US" w:eastAsia="zh-CN"/>
              </w:rPr>
              <w:t>10</w:t>
            </w:r>
            <w:r>
              <w:rPr>
                <w:rFonts w:hint="eastAsia" w:ascii="宋体" w:hAnsi="宋体" w:cs="宋体"/>
                <w:color w:val="auto"/>
                <w:highlight w:val="none"/>
                <w:u w:val="single"/>
              </w:rPr>
              <w:t xml:space="preserve"> 日09时</w:t>
            </w:r>
            <w:r>
              <w:rPr>
                <w:rFonts w:hint="eastAsia" w:ascii="宋体" w:hAnsi="宋体" w:cs="宋体"/>
                <w:color w:val="auto"/>
                <w:highlight w:val="none"/>
                <w:u w:val="single"/>
                <w:lang w:val="en-US" w:eastAsia="zh-CN"/>
              </w:rPr>
              <w:t>0</w:t>
            </w:r>
            <w:r>
              <w:rPr>
                <w:rFonts w:hint="eastAsia" w:ascii="宋体" w:hAnsi="宋体" w:cs="宋体"/>
                <w:color w:val="auto"/>
                <w:highlight w:val="none"/>
                <w:u w:val="single"/>
              </w:rPr>
              <w:t>0分</w:t>
            </w:r>
            <w:r>
              <w:rPr>
                <w:rFonts w:hint="eastAsia" w:ascii="宋体" w:hAnsi="宋体" w:cs="宋体"/>
                <w:color w:val="auto"/>
                <w:highlight w:val="none"/>
              </w:rPr>
              <w:t>（北京时间）前提交响应文件。</w:t>
            </w:r>
          </w:p>
        </w:tc>
      </w:tr>
    </w:tbl>
    <w:p w14:paraId="43E630F3">
      <w:pPr>
        <w:spacing w:line="480" w:lineRule="exact"/>
        <w:ind w:firstLine="422" w:firstLineChars="200"/>
        <w:rPr>
          <w:rFonts w:ascii="宋体" w:hAnsi="宋体" w:cs="宋体"/>
          <w:color w:val="auto"/>
          <w:szCs w:val="21"/>
          <w:highlight w:val="none"/>
        </w:rPr>
      </w:pPr>
      <w:bookmarkStart w:id="2" w:name="_Toc28359012"/>
      <w:bookmarkStart w:id="3" w:name="_Toc28359089"/>
      <w:bookmarkStart w:id="4" w:name="_Toc35393798"/>
      <w:bookmarkStart w:id="5" w:name="_Toc35393629"/>
      <w:r>
        <w:rPr>
          <w:rFonts w:hint="eastAsia" w:ascii="宋体" w:hAnsi="宋体" w:cs="宋体"/>
          <w:b/>
          <w:bCs/>
          <w:color w:val="auto"/>
          <w:szCs w:val="21"/>
          <w:highlight w:val="none"/>
        </w:rPr>
        <w:t>一、项目基本情况</w:t>
      </w:r>
      <w:bookmarkEnd w:id="2"/>
      <w:bookmarkEnd w:id="3"/>
      <w:bookmarkEnd w:id="4"/>
      <w:bookmarkEnd w:id="5"/>
    </w:p>
    <w:p w14:paraId="70F0B696">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项目编号：BHZC2025-C2-990285-GXDY  </w:t>
      </w:r>
    </w:p>
    <w:p w14:paraId="5D99904D">
      <w:pPr>
        <w:spacing w:line="4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项目名称：2025 年中央水利发展资金（大白水水库标准化创建）项目</w:t>
      </w:r>
    </w:p>
    <w:p w14:paraId="6741C4E5">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采购方式：竞争性磋商</w:t>
      </w:r>
    </w:p>
    <w:p w14:paraId="612B66BF">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预算总金额：118</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278887万元</w:t>
      </w:r>
    </w:p>
    <w:p w14:paraId="59119A42">
      <w:pPr>
        <w:spacing w:line="4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采购需求：</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2597"/>
        <w:gridCol w:w="795"/>
        <w:gridCol w:w="772"/>
        <w:gridCol w:w="4073"/>
      </w:tblGrid>
      <w:tr w14:paraId="3421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657" w:type="dxa"/>
            <w:tcBorders>
              <w:top w:val="single" w:color="auto" w:sz="4" w:space="0"/>
              <w:left w:val="single" w:color="auto" w:sz="4" w:space="0"/>
              <w:bottom w:val="single" w:color="auto" w:sz="4" w:space="0"/>
              <w:right w:val="single" w:color="auto" w:sz="4" w:space="0"/>
            </w:tcBorders>
            <w:vAlign w:val="center"/>
          </w:tcPr>
          <w:p w14:paraId="1357ACE5">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项号</w:t>
            </w:r>
          </w:p>
        </w:tc>
        <w:tc>
          <w:tcPr>
            <w:tcW w:w="2597" w:type="dxa"/>
            <w:tcBorders>
              <w:top w:val="single" w:color="auto" w:sz="4" w:space="0"/>
              <w:left w:val="nil"/>
              <w:bottom w:val="single" w:color="auto" w:sz="4" w:space="0"/>
              <w:right w:val="single" w:color="auto" w:sz="4" w:space="0"/>
            </w:tcBorders>
            <w:vAlign w:val="center"/>
          </w:tcPr>
          <w:p w14:paraId="25909BA5">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工程名称</w:t>
            </w:r>
          </w:p>
        </w:tc>
        <w:tc>
          <w:tcPr>
            <w:tcW w:w="795" w:type="dxa"/>
            <w:tcBorders>
              <w:top w:val="single" w:color="auto" w:sz="4" w:space="0"/>
              <w:left w:val="nil"/>
              <w:bottom w:val="single" w:color="auto" w:sz="4" w:space="0"/>
              <w:right w:val="single" w:color="auto" w:sz="4" w:space="0"/>
            </w:tcBorders>
            <w:vAlign w:val="center"/>
          </w:tcPr>
          <w:p w14:paraId="37AFC33D">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772" w:type="dxa"/>
            <w:tcBorders>
              <w:top w:val="single" w:color="auto" w:sz="4" w:space="0"/>
              <w:left w:val="nil"/>
              <w:bottom w:val="single" w:color="auto" w:sz="4" w:space="0"/>
              <w:right w:val="single" w:color="auto" w:sz="4" w:space="0"/>
            </w:tcBorders>
            <w:vAlign w:val="center"/>
          </w:tcPr>
          <w:p w14:paraId="6CE1BAC6">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4073" w:type="dxa"/>
            <w:tcBorders>
              <w:top w:val="single" w:color="auto" w:sz="4" w:space="0"/>
              <w:left w:val="nil"/>
              <w:bottom w:val="single" w:color="auto" w:sz="4" w:space="0"/>
              <w:right w:val="single" w:color="auto" w:sz="4" w:space="0"/>
            </w:tcBorders>
            <w:vAlign w:val="center"/>
          </w:tcPr>
          <w:p w14:paraId="2AC71FF0">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项目要求及服务需求</w:t>
            </w:r>
          </w:p>
        </w:tc>
      </w:tr>
      <w:tr w14:paraId="235A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6" w:hRule="exact"/>
          <w:jc w:val="center"/>
        </w:trPr>
        <w:tc>
          <w:tcPr>
            <w:tcW w:w="657" w:type="dxa"/>
            <w:tcBorders>
              <w:top w:val="single" w:color="auto" w:sz="4" w:space="0"/>
              <w:left w:val="single" w:color="auto" w:sz="4" w:space="0"/>
              <w:bottom w:val="single" w:color="auto" w:sz="4" w:space="0"/>
              <w:right w:val="single" w:color="auto" w:sz="4" w:space="0"/>
            </w:tcBorders>
            <w:vAlign w:val="center"/>
          </w:tcPr>
          <w:p w14:paraId="71A8BDA1">
            <w:pPr>
              <w:spacing w:line="44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2597" w:type="dxa"/>
            <w:tcBorders>
              <w:top w:val="single" w:color="auto" w:sz="4" w:space="0"/>
              <w:left w:val="nil"/>
              <w:bottom w:val="single" w:color="auto" w:sz="4" w:space="0"/>
              <w:right w:val="single" w:color="auto" w:sz="4" w:space="0"/>
            </w:tcBorders>
            <w:vAlign w:val="center"/>
          </w:tcPr>
          <w:p w14:paraId="717FC08C">
            <w:pPr>
              <w:jc w:val="left"/>
              <w:rPr>
                <w:rFonts w:ascii="宋体" w:hAnsi="宋体" w:cs="宋体"/>
                <w:color w:val="auto"/>
                <w:szCs w:val="21"/>
                <w:highlight w:val="none"/>
              </w:rPr>
            </w:pPr>
            <w:r>
              <w:rPr>
                <w:rFonts w:hint="eastAsia" w:ascii="宋体" w:hAnsi="宋体" w:cs="宋体"/>
                <w:color w:val="auto"/>
                <w:szCs w:val="21"/>
                <w:highlight w:val="none"/>
              </w:rPr>
              <w:t>2025 年中央水利发展资金（大白水水库标准化创建）项目</w:t>
            </w:r>
          </w:p>
        </w:tc>
        <w:tc>
          <w:tcPr>
            <w:tcW w:w="795" w:type="dxa"/>
            <w:tcBorders>
              <w:top w:val="single" w:color="auto" w:sz="4" w:space="0"/>
              <w:left w:val="nil"/>
              <w:bottom w:val="single" w:color="auto" w:sz="4" w:space="0"/>
              <w:right w:val="single" w:color="auto" w:sz="4" w:space="0"/>
            </w:tcBorders>
            <w:vAlign w:val="center"/>
          </w:tcPr>
          <w:p w14:paraId="4D0AACD3">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772" w:type="dxa"/>
            <w:tcBorders>
              <w:top w:val="single" w:color="auto" w:sz="4" w:space="0"/>
              <w:left w:val="nil"/>
              <w:bottom w:val="single" w:color="auto" w:sz="4" w:space="0"/>
              <w:right w:val="single" w:color="auto" w:sz="4" w:space="0"/>
            </w:tcBorders>
            <w:vAlign w:val="center"/>
          </w:tcPr>
          <w:p w14:paraId="2D94FF22">
            <w:pPr>
              <w:jc w:val="center"/>
              <w:rPr>
                <w:rFonts w:ascii="宋体" w:hAnsi="宋体" w:cs="宋体"/>
                <w:color w:val="auto"/>
                <w:szCs w:val="21"/>
                <w:highlight w:val="none"/>
              </w:rPr>
            </w:pPr>
            <w:r>
              <w:rPr>
                <w:rFonts w:hint="eastAsia" w:ascii="宋体" w:hAnsi="宋体" w:cs="宋体"/>
                <w:color w:val="auto"/>
                <w:szCs w:val="21"/>
                <w:highlight w:val="none"/>
              </w:rPr>
              <w:t>项</w:t>
            </w:r>
          </w:p>
        </w:tc>
        <w:tc>
          <w:tcPr>
            <w:tcW w:w="4073" w:type="dxa"/>
            <w:tcBorders>
              <w:top w:val="single" w:color="auto" w:sz="4" w:space="0"/>
              <w:left w:val="nil"/>
              <w:bottom w:val="single" w:color="auto" w:sz="4" w:space="0"/>
              <w:right w:val="single" w:color="auto" w:sz="4" w:space="0"/>
            </w:tcBorders>
            <w:vAlign w:val="center"/>
          </w:tcPr>
          <w:p w14:paraId="480C8515">
            <w:pPr>
              <w:rPr>
                <w:rFonts w:ascii="宋体" w:hAnsi="宋体" w:cs="宋体"/>
                <w:color w:val="auto"/>
                <w:szCs w:val="21"/>
                <w:highlight w:val="none"/>
              </w:rPr>
            </w:pPr>
            <w:r>
              <w:rPr>
                <w:rFonts w:hint="eastAsia" w:ascii="宋体" w:hAnsi="宋体" w:cs="宋体"/>
                <w:color w:val="auto"/>
                <w:szCs w:val="21"/>
                <w:highlight w:val="none"/>
              </w:rPr>
              <w:t xml:space="preserve">2025 年中央水利发展资金（大白水水库标准化创建）项目，具体详见施工图纸和工程量清单要求范围内所有内容。 </w:t>
            </w:r>
          </w:p>
        </w:tc>
      </w:tr>
    </w:tbl>
    <w:p w14:paraId="5946EEDA">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合同履行期限：</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0个日历天。</w:t>
      </w:r>
    </w:p>
    <w:p w14:paraId="114611F7">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本项目不接受联合体投标。</w:t>
      </w:r>
    </w:p>
    <w:p w14:paraId="482BF25E">
      <w:pPr>
        <w:spacing w:line="480" w:lineRule="exact"/>
        <w:ind w:firstLine="422" w:firstLineChars="200"/>
        <w:rPr>
          <w:rFonts w:ascii="宋体" w:hAnsi="宋体" w:cs="宋体"/>
          <w:b/>
          <w:bCs/>
          <w:color w:val="auto"/>
          <w:szCs w:val="21"/>
          <w:highlight w:val="none"/>
        </w:rPr>
      </w:pPr>
      <w:bookmarkStart w:id="6" w:name="_Toc28359013"/>
      <w:bookmarkStart w:id="7" w:name="_Toc28359090"/>
      <w:bookmarkStart w:id="8" w:name="_Toc35393630"/>
      <w:bookmarkStart w:id="9" w:name="_Toc35393799"/>
      <w:r>
        <w:rPr>
          <w:rFonts w:hint="eastAsia" w:ascii="宋体" w:hAnsi="宋体" w:cs="宋体"/>
          <w:b/>
          <w:bCs/>
          <w:color w:val="auto"/>
          <w:szCs w:val="21"/>
          <w:highlight w:val="none"/>
        </w:rPr>
        <w:t>二、申请人的资格要求：</w:t>
      </w:r>
      <w:bookmarkEnd w:id="6"/>
      <w:bookmarkEnd w:id="7"/>
      <w:bookmarkEnd w:id="8"/>
      <w:bookmarkEnd w:id="9"/>
    </w:p>
    <w:p w14:paraId="58FDDE7B">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w:t>
      </w:r>
    </w:p>
    <w:p w14:paraId="1E4D08D3">
      <w:pPr>
        <w:spacing w:line="480" w:lineRule="exact"/>
        <w:ind w:firstLine="420" w:firstLineChars="200"/>
        <w:rPr>
          <w:rFonts w:ascii="宋体" w:hAnsi="宋体" w:cs="宋体"/>
          <w:color w:val="auto"/>
          <w:szCs w:val="21"/>
          <w:highlight w:val="none"/>
        </w:rPr>
      </w:pPr>
      <w:bookmarkStart w:id="10" w:name="_Toc28359014"/>
      <w:bookmarkStart w:id="11" w:name="_Toc28359091"/>
      <w:r>
        <w:rPr>
          <w:rFonts w:hint="eastAsia" w:ascii="宋体" w:hAnsi="宋体" w:cs="宋体"/>
          <w:color w:val="auto"/>
          <w:szCs w:val="21"/>
          <w:highlight w:val="none"/>
        </w:rPr>
        <w:t>2、落实政府采购政策需满足的资格要求：</w:t>
      </w:r>
      <w:r>
        <w:rPr>
          <w:rFonts w:hint="eastAsia" w:ascii="宋体" w:hAnsi="宋体" w:cs="宋体"/>
          <w:color w:val="auto"/>
          <w:kern w:val="0"/>
          <w:szCs w:val="21"/>
          <w:highlight w:val="none"/>
        </w:rPr>
        <w:t>本项目专门面向中小微企业采购</w:t>
      </w:r>
      <w:r>
        <w:rPr>
          <w:rFonts w:hint="eastAsia" w:ascii="宋体" w:hAnsi="宋体" w:cs="宋体"/>
          <w:color w:val="auto"/>
          <w:szCs w:val="21"/>
          <w:highlight w:val="none"/>
        </w:rPr>
        <w:t>；</w:t>
      </w:r>
    </w:p>
    <w:p w14:paraId="0C584EF6">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3、本项目的特定资格要求：</w:t>
      </w:r>
      <w:bookmarkStart w:id="12" w:name="_Toc35393800"/>
      <w:bookmarkStart w:id="13" w:name="_Toc35393631"/>
    </w:p>
    <w:p w14:paraId="32D9F1B5">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3.1</w:t>
      </w:r>
      <w:bookmarkEnd w:id="10"/>
      <w:bookmarkEnd w:id="11"/>
      <w:bookmarkEnd w:id="12"/>
      <w:bookmarkEnd w:id="13"/>
      <w:bookmarkStart w:id="14" w:name="_Toc28359018"/>
      <w:bookmarkStart w:id="15" w:name="_Toc35393636"/>
      <w:bookmarkStart w:id="16" w:name="_Toc28359095"/>
      <w:bookmarkStart w:id="17" w:name="_Toc35393805"/>
      <w:r>
        <w:rPr>
          <w:rFonts w:hint="eastAsia" w:ascii="宋体" w:hAnsi="宋体" w:cs="宋体"/>
          <w:color w:val="auto"/>
          <w:szCs w:val="21"/>
          <w:highlight w:val="none"/>
        </w:rPr>
        <w:t xml:space="preserve"> 具有水利水电工程施工总承包叁级或叁级以上资质，有省级及以上建设行政主管部门颁发的安全生产许可证，在人员、设备、资金等方面具备相应的施工能力；</w:t>
      </w:r>
    </w:p>
    <w:p w14:paraId="6E1A8B63">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3.2 拟派项目经理须具备水利水电工程专业贰级或贰级以上注册建造师执业资格，并持有省级或省级以上行政主管部门或其授权部门（机构）颁发的B类安全生产考核合格证书。本项目不接受有在建、已中标未开工或已列为其他项目中标候选人第一名的建造师作为项目经理；</w:t>
      </w:r>
    </w:p>
    <w:p w14:paraId="0B623E9E">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3.3 拟派技术负责人具有中级或中级以上技术职称，专业是水利水电工程类专业（专业以技术职称证书所填写专业为准）；</w:t>
      </w:r>
    </w:p>
    <w:p w14:paraId="5308EB5E">
      <w:pPr>
        <w:snapToGrid w:val="0"/>
        <w:spacing w:line="480" w:lineRule="exact"/>
        <w:ind w:firstLine="420" w:firstLineChars="200"/>
        <w:rPr>
          <w:color w:val="auto"/>
          <w:highlight w:val="none"/>
        </w:rPr>
      </w:pPr>
      <w:r>
        <w:rPr>
          <w:rFonts w:hint="eastAsia" w:ascii="宋体" w:hAnsi="宋体" w:cs="宋体"/>
          <w:color w:val="auto"/>
          <w:szCs w:val="21"/>
          <w:highlight w:val="none"/>
        </w:rPr>
        <w:t>3.4 拟派安全员、施工员、质检员提供有效的相应施工现场专业人员职业培训合格证书</w:t>
      </w:r>
      <w:r>
        <w:rPr>
          <w:rFonts w:hint="eastAsia"/>
          <w:color w:val="auto"/>
          <w:highlight w:val="none"/>
        </w:rPr>
        <w:t>。</w:t>
      </w:r>
    </w:p>
    <w:p w14:paraId="7A3B8A23">
      <w:pPr>
        <w:snapToGrid w:val="0"/>
        <w:spacing w:line="48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三、获取竞争性磋商文件</w:t>
      </w:r>
    </w:p>
    <w:p w14:paraId="592F65B6">
      <w:pPr>
        <w:widowControl/>
        <w:snapToGrid w:val="0"/>
        <w:spacing w:line="480" w:lineRule="exact"/>
        <w:ind w:firstLine="420" w:firstLineChars="200"/>
        <w:jc w:val="left"/>
        <w:rPr>
          <w:rFonts w:ascii="宋体" w:hAnsi="宋体" w:cs="宋体"/>
          <w:color w:val="auto"/>
          <w:szCs w:val="21"/>
          <w:highlight w:val="none"/>
        </w:rPr>
      </w:pPr>
      <w:bookmarkStart w:id="18" w:name="_Toc35393793"/>
      <w:bookmarkStart w:id="19" w:name="_Toc35393624"/>
      <w:bookmarkStart w:id="20" w:name="_Toc28359005"/>
      <w:bookmarkStart w:id="21" w:name="_Toc28359082"/>
      <w:r>
        <w:rPr>
          <w:rFonts w:hint="eastAsia" w:ascii="宋体" w:hAnsi="宋体" w:cs="宋体"/>
          <w:color w:val="auto"/>
          <w:szCs w:val="21"/>
          <w:highlight w:val="none"/>
        </w:rPr>
        <w:t xml:space="preserve">时间： 2025 年 </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 xml:space="preserve"> 月 </w:t>
      </w: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 xml:space="preserve"> 日至2025 年 </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 xml:space="preserve"> 月 </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 xml:space="preserve"> 日，每天上午00:00至11:59，下午12:00至23:59（北京时间，法定节假日除外）。</w:t>
      </w:r>
    </w:p>
    <w:p w14:paraId="0A5DE0D8">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地点：广西政府采购云平台 https://www.gcy.zfcg.gxzf.gov.cn/ </w:t>
      </w:r>
    </w:p>
    <w:p w14:paraId="4E877D42">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方式：网上下载。本项目不发放纸质采购文件，潜在供应商可自行在广西政府采购云平台（https://www.gcy.zfcg.gxzf.gov.cn/）下载采购文件（操作路径：登录广西政府采购云平台-项目采购-获取采购文件-找到本项目-点击“申请获取采购文件”），电子响应文件制作需要基于广西政府采购云平台获取的采购文件编制。</w:t>
      </w:r>
    </w:p>
    <w:p w14:paraId="3EDD2F0F">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售价：0元。</w:t>
      </w:r>
    </w:p>
    <w:p w14:paraId="4663235F">
      <w:pPr>
        <w:snapToGrid w:val="0"/>
        <w:spacing w:line="48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四、</w:t>
      </w:r>
      <w:bookmarkEnd w:id="18"/>
      <w:bookmarkEnd w:id="19"/>
      <w:bookmarkEnd w:id="20"/>
      <w:bookmarkEnd w:id="21"/>
      <w:r>
        <w:rPr>
          <w:rFonts w:hint="eastAsia" w:ascii="宋体" w:hAnsi="宋体" w:cs="宋体"/>
          <w:b/>
          <w:bCs/>
          <w:color w:val="auto"/>
          <w:szCs w:val="21"/>
          <w:highlight w:val="none"/>
        </w:rPr>
        <w:t>响应文件提交</w:t>
      </w:r>
    </w:p>
    <w:p w14:paraId="6450D3F1">
      <w:pPr>
        <w:snapToGrid w:val="0"/>
        <w:spacing w:line="480" w:lineRule="exact"/>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1、首次响应文件提交截止时间</w:t>
      </w:r>
      <w:r>
        <w:rPr>
          <w:rFonts w:hint="eastAsia" w:ascii="宋体" w:hAnsi="宋体" w:cs="宋体"/>
          <w:bCs/>
          <w:color w:val="auto"/>
          <w:szCs w:val="21"/>
          <w:highlight w:val="none"/>
        </w:rPr>
        <w:t>（北京时间）：</w:t>
      </w:r>
      <w:r>
        <w:rPr>
          <w:rFonts w:hint="eastAsia" w:ascii="宋体" w:hAnsi="宋体" w:cs="宋体"/>
          <w:color w:val="auto"/>
          <w:szCs w:val="21"/>
          <w:highlight w:val="none"/>
        </w:rPr>
        <w:t xml:space="preserve">2025 年 </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 xml:space="preserve"> 月 </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 xml:space="preserve"> 日 09 时 </w:t>
      </w:r>
      <w:r>
        <w:rPr>
          <w:rFonts w:hint="eastAsia" w:ascii="宋体" w:hAnsi="宋体" w:cs="宋体"/>
          <w:color w:val="auto"/>
          <w:szCs w:val="21"/>
          <w:highlight w:val="none"/>
          <w:lang w:val="en-US" w:eastAsia="zh-CN"/>
        </w:rPr>
        <w:t>0</w:t>
      </w:r>
      <w:r>
        <w:rPr>
          <w:rFonts w:hint="eastAsia" w:ascii="宋体" w:hAnsi="宋体" w:cs="宋体"/>
          <w:color w:val="auto"/>
          <w:szCs w:val="21"/>
          <w:highlight w:val="none"/>
        </w:rPr>
        <w:t xml:space="preserve">0 </w:t>
      </w:r>
      <w:r>
        <w:rPr>
          <w:rFonts w:hint="eastAsia" w:ascii="宋体" w:hAnsi="宋体" w:cs="宋体"/>
          <w:bCs/>
          <w:color w:val="auto"/>
          <w:szCs w:val="21"/>
          <w:highlight w:val="none"/>
        </w:rPr>
        <w:t>分</w:t>
      </w:r>
    </w:p>
    <w:p w14:paraId="0BDFBBFD">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2、首次响应文件提交地点：广西政府采购云平台（https://www.gcy.zfcg.gxzf.gov.cn/）</w:t>
      </w:r>
    </w:p>
    <w:p w14:paraId="213BA0EB">
      <w:pPr>
        <w:snapToGrid w:val="0"/>
        <w:spacing w:line="48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五、开启（首次响应文件开启时间）</w:t>
      </w:r>
    </w:p>
    <w:p w14:paraId="07992035">
      <w:pPr>
        <w:snapToGrid w:val="0"/>
        <w:spacing w:line="480" w:lineRule="exact"/>
        <w:ind w:firstLine="420" w:firstLineChars="200"/>
        <w:rPr>
          <w:rFonts w:ascii="宋体" w:hAnsi="宋体" w:cs="宋体"/>
          <w:bCs/>
          <w:color w:val="auto"/>
          <w:szCs w:val="21"/>
          <w:highlight w:val="none"/>
          <w:u w:val="single"/>
        </w:rPr>
      </w:pPr>
      <w:r>
        <w:rPr>
          <w:rFonts w:hint="eastAsia" w:ascii="宋体" w:hAnsi="宋体" w:cs="宋体"/>
          <w:color w:val="auto"/>
          <w:szCs w:val="21"/>
          <w:highlight w:val="none"/>
        </w:rPr>
        <w:t>1.时间</w:t>
      </w:r>
      <w:r>
        <w:rPr>
          <w:rFonts w:hint="eastAsia" w:ascii="宋体" w:hAnsi="宋体" w:cs="宋体"/>
          <w:bCs/>
          <w:color w:val="auto"/>
          <w:szCs w:val="21"/>
          <w:highlight w:val="none"/>
        </w:rPr>
        <w:t>（北京时间）</w:t>
      </w:r>
      <w:r>
        <w:rPr>
          <w:rFonts w:hint="eastAsia" w:ascii="宋体" w:hAnsi="宋体" w:cs="宋体"/>
          <w:color w:val="auto"/>
          <w:szCs w:val="21"/>
          <w:highlight w:val="none"/>
        </w:rPr>
        <w:t xml:space="preserve">：2025 年 </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rPr>
        <w:t xml:space="preserve"> 月 </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 xml:space="preserve"> 日 0</w:t>
      </w:r>
      <w:r>
        <w:rPr>
          <w:rFonts w:hint="eastAsia" w:ascii="宋体" w:hAnsi="宋体" w:cs="宋体"/>
          <w:bCs/>
          <w:color w:val="auto"/>
          <w:szCs w:val="21"/>
          <w:highlight w:val="none"/>
        </w:rPr>
        <w:t xml:space="preserve">9 时 </w:t>
      </w:r>
      <w:r>
        <w:rPr>
          <w:rFonts w:hint="eastAsia" w:ascii="宋体" w:hAnsi="宋体" w:cs="宋体"/>
          <w:bCs/>
          <w:color w:val="auto"/>
          <w:szCs w:val="21"/>
          <w:highlight w:val="none"/>
          <w:lang w:val="en-US" w:eastAsia="zh-CN"/>
        </w:rPr>
        <w:t>0</w:t>
      </w:r>
      <w:r>
        <w:rPr>
          <w:rFonts w:hint="eastAsia" w:ascii="宋体" w:hAnsi="宋体" w:cs="宋体"/>
          <w:bCs/>
          <w:color w:val="auto"/>
          <w:szCs w:val="21"/>
          <w:highlight w:val="none"/>
        </w:rPr>
        <w:t>0 分</w:t>
      </w:r>
      <w:r>
        <w:rPr>
          <w:rFonts w:hint="eastAsia" w:ascii="宋体" w:hAnsi="宋体" w:cs="宋体"/>
          <w:color w:val="auto"/>
          <w:szCs w:val="21"/>
          <w:highlight w:val="none"/>
        </w:rPr>
        <w:t>后</w:t>
      </w:r>
    </w:p>
    <w:p w14:paraId="187533A6">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2.地点：</w:t>
      </w:r>
      <w:bookmarkStart w:id="22" w:name="_Toc28359007"/>
      <w:bookmarkStart w:id="23" w:name="_Toc35393794"/>
      <w:bookmarkStart w:id="24" w:name="_Toc35393625"/>
      <w:bookmarkStart w:id="25" w:name="_Toc28359084"/>
      <w:r>
        <w:rPr>
          <w:rFonts w:hint="eastAsia" w:ascii="宋体" w:hAnsi="宋体" w:cs="宋体"/>
          <w:color w:val="auto"/>
          <w:szCs w:val="21"/>
          <w:highlight w:val="none"/>
        </w:rPr>
        <w:t>通过广西政府采购云平台实行在线解密开启</w:t>
      </w:r>
    </w:p>
    <w:p w14:paraId="634B2917">
      <w:pPr>
        <w:snapToGrid w:val="0"/>
        <w:spacing w:line="48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六、公告期限</w:t>
      </w:r>
      <w:bookmarkEnd w:id="22"/>
      <w:bookmarkEnd w:id="23"/>
      <w:bookmarkEnd w:id="24"/>
      <w:bookmarkEnd w:id="25"/>
    </w:p>
    <w:p w14:paraId="557443A0">
      <w:pPr>
        <w:snapToGrid w:val="0"/>
        <w:spacing w:line="4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68533D05">
      <w:pPr>
        <w:widowControl/>
        <w:spacing w:line="480" w:lineRule="exact"/>
        <w:ind w:firstLine="422" w:firstLineChars="200"/>
        <w:jc w:val="left"/>
        <w:rPr>
          <w:rFonts w:ascii="宋体" w:hAnsi="宋体" w:cs="宋体"/>
          <w:b/>
          <w:bCs/>
          <w:color w:val="auto"/>
          <w:szCs w:val="21"/>
          <w:highlight w:val="none"/>
        </w:rPr>
      </w:pPr>
      <w:r>
        <w:rPr>
          <w:rFonts w:hint="eastAsia" w:ascii="宋体" w:hAnsi="宋体" w:cs="宋体"/>
          <w:b/>
          <w:bCs/>
          <w:color w:val="auto"/>
          <w:kern w:val="0"/>
          <w:szCs w:val="21"/>
          <w:highlight w:val="none"/>
        </w:rPr>
        <w:t xml:space="preserve">七、其他补充事宜 </w:t>
      </w:r>
    </w:p>
    <w:p w14:paraId="5C58D83C">
      <w:pPr>
        <w:widowControl/>
        <w:spacing w:line="48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1.本项目无需缴纳磋商保证金。 </w:t>
      </w:r>
    </w:p>
    <w:p w14:paraId="576C5375">
      <w:pPr>
        <w:snapToGrid w:val="0"/>
        <w:spacing w:line="480" w:lineRule="exact"/>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2. 信息公告发布媒体：http://www.ccgp.gov.cn(中国政府采购网)，http://zfcg.gxzf.gov.cn(广西政府采购网)、http://ggzy.jgswj.gxzf.gov.cn/bhggzy/（全国公共资源交易平台（广西.北海））。</w:t>
      </w:r>
    </w:p>
    <w:p w14:paraId="71CA8B4A">
      <w:pPr>
        <w:widowControl/>
        <w:spacing w:line="48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3.本项目需要落实的政府采购政策 </w:t>
      </w:r>
    </w:p>
    <w:p w14:paraId="024E8348">
      <w:pPr>
        <w:widowControl/>
        <w:spacing w:line="48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（1）政府采购促进中小企业发展。 </w:t>
      </w:r>
    </w:p>
    <w:p w14:paraId="190F1C21">
      <w:pPr>
        <w:widowControl/>
        <w:spacing w:line="48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（2）政府采购支持监狱企业发展。 </w:t>
      </w:r>
    </w:p>
    <w:p w14:paraId="73B6CF97">
      <w:pPr>
        <w:widowControl/>
        <w:spacing w:line="48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（3）政府采购促进残疾人就业政策。 </w:t>
      </w:r>
    </w:p>
    <w:p w14:paraId="4746CE23">
      <w:pPr>
        <w:widowControl/>
        <w:spacing w:line="48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 xml:space="preserve">（4）本项目专门面向中小微企业采购。 </w:t>
      </w:r>
    </w:p>
    <w:p w14:paraId="025EFF58">
      <w:pPr>
        <w:widowControl/>
        <w:spacing w:line="480" w:lineRule="exact"/>
        <w:ind w:firstLine="420" w:firstLineChars="200"/>
        <w:jc w:val="left"/>
        <w:rPr>
          <w:rFonts w:ascii="宋体" w:hAnsi="宋体" w:cs="宋体"/>
          <w:color w:val="auto"/>
          <w:szCs w:val="21"/>
          <w:highlight w:val="none"/>
        </w:rPr>
      </w:pPr>
      <w:r>
        <w:rPr>
          <w:rFonts w:hint="eastAsia" w:ascii="宋体" w:hAnsi="宋体" w:cs="宋体"/>
          <w:color w:val="auto"/>
          <w:kern w:val="0"/>
          <w:szCs w:val="21"/>
          <w:highlight w:val="none"/>
        </w:rPr>
        <w:t>（5）本项目中小企业划分标准所属行业：</w:t>
      </w:r>
      <w:r>
        <w:rPr>
          <w:rFonts w:hint="eastAsia" w:ascii="宋体" w:hAnsi="宋体" w:cs="宋体"/>
          <w:b/>
          <w:bCs/>
          <w:color w:val="auto"/>
          <w:kern w:val="0"/>
          <w:szCs w:val="21"/>
          <w:highlight w:val="none"/>
        </w:rPr>
        <w:t>“建筑业”。</w:t>
      </w:r>
    </w:p>
    <w:p w14:paraId="1176724B">
      <w:pPr>
        <w:snapToGrid w:val="0"/>
        <w:spacing w:line="480" w:lineRule="exact"/>
        <w:ind w:left="210" w:leftChars="100"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 xml:space="preserve">4.“广西政府采购云平台”平台电子投标相关事宜说明： </w:t>
      </w:r>
    </w:p>
    <w:p w14:paraId="080B57E1">
      <w:pPr>
        <w:snapToGrid w:val="0"/>
        <w:spacing w:line="480" w:lineRule="exact"/>
        <w:ind w:left="210" w:leftChars="100"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（1）本项目为全流程电子化采购项目，通过“广西政府采购云平台”</w:t>
      </w:r>
    </w:p>
    <w:p w14:paraId="363718CC">
      <w:pPr>
        <w:snapToGrid w:val="0"/>
        <w:spacing w:line="480" w:lineRule="exact"/>
        <w:rPr>
          <w:rFonts w:ascii="宋体" w:hAnsi="宋体" w:cs="宋体"/>
          <w:color w:val="auto"/>
          <w:kern w:val="0"/>
          <w:szCs w:val="21"/>
          <w:highlight w:val="none"/>
        </w:rPr>
      </w:pPr>
      <w:r>
        <w:rPr>
          <w:rFonts w:hint="eastAsia" w:ascii="宋体" w:hAnsi="宋体" w:cs="宋体"/>
          <w:color w:val="auto"/>
          <w:kern w:val="0"/>
          <w:szCs w:val="21"/>
          <w:highlight w:val="none"/>
        </w:rPr>
        <w:t>（https://www.gcy.zfcg.gxzf.gov.cn/）实行在线电子竞标，供应商应先安装“广西政府采购云平台新版客户端”（新版客户端下载路径：请自行前往广西政府采购网（访问地址http://zfcg.gxzf.gov.cn/）—办事服务—下载专区），并按照本项目竞争性磋商文件和“广西政府采购云平台”的要求编制、加密后在竞标截止时间前通过网络上传至 “广西政府采购云平台”，供应商在“广西政府采购云平台”提交电子响应文件时，请填写参加远程开标活动经办人联系方式。供应商登录“广西政府采购云平台”，依次进入“服务中心-项目采购-操作流程-电子招投标-政府采购项目电子交易管理操作指南-供应商”查看电子竞标具体操作流程。</w:t>
      </w:r>
    </w:p>
    <w:p w14:paraId="7ABF1D94">
      <w:pPr>
        <w:snapToGrid w:val="0"/>
        <w:spacing w:line="480" w:lineRule="exact"/>
        <w:ind w:left="210" w:leftChars="100"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2）未进行网上注册并办理数字证书（CA认证）的供应商将无法参与本项目政府采购活动，供应商应当在竞标截止时间前，完成电子交易平台上的CA数字证书办理及响应文件的提交（供应商可登录“广西政府采购网”，依次进入“办事服务-下载专区”或者登陆“广西政府采购云平台”，依次进入“服务中心-入驻与配置”中查看CA数字证书办理操作流程。如在操作过程中遇到问题或者需要技术支持，请致电广西政府采购云平台客服热线：95763）。</w:t>
      </w:r>
    </w:p>
    <w:p w14:paraId="10DE9DF2">
      <w:pPr>
        <w:snapToGrid w:val="0"/>
        <w:spacing w:line="480" w:lineRule="exact"/>
        <w:ind w:left="210" w:leftChars="100"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（3）CA证书在线解密：供应商竞标时，需凭制作响应文件时用来加密的有效数字证书（CA认证）登录“广西政府采购云平台”电子开标大厅现场按规定时间对加密的响应文件进行解密，否则后果自负。</w:t>
      </w:r>
    </w:p>
    <w:p w14:paraId="475E0509">
      <w:pPr>
        <w:snapToGrid w:val="0"/>
        <w:spacing w:line="480" w:lineRule="exact"/>
        <w:ind w:left="210" w:leftChars="100"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注：1）为确保网上操作合法、有效和安全，请供应商确保在电子投标过程中能够对相关数据电文进行加密和使用电子签章，妥善保管CA数字证书并使用有效的CA数字证书参与整个采购活动。2）供应商应当在竞标截止时间前完成电子响应文件的上传、提交，竞标截止时间前可以补充、修改或者撤回响应文件。补充或者修改响应文件的，应当先行撤回原响应文件，补充、修改后重新上传、提交，提交响应文件截止时间前未完成上传、提交的，视为撤回响应文件。提交响应文件截止时间以后上传递交的响应文件，“广西政府采购云平台”将予以拒收。</w:t>
      </w:r>
    </w:p>
    <w:p w14:paraId="7CF405FA">
      <w:pPr>
        <w:snapToGrid w:val="0"/>
        <w:spacing w:line="480" w:lineRule="exact"/>
        <w:ind w:left="210" w:leftChars="100"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（4）供应商需要在具备有摄像头及语音功能且互联网网络状况良好的电脑登录“广西政府采购云平台”远程开标大厅参与本次磋商，否则后果自负。</w:t>
      </w:r>
    </w:p>
    <w:p w14:paraId="3896549D">
      <w:pPr>
        <w:snapToGrid w:val="0"/>
        <w:spacing w:line="480" w:lineRule="exact"/>
        <w:ind w:left="210" w:leftChars="100"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5）若对项目采购电子交易系统操作有疑问，可登录“广西政府采购云平台”（https://www.gcy.zfcg.gxzf.gov.cn/），点击右侧咨询小采，获取采小蜜智能服务管家帮助，或拨打广西政府采购云平台服务热线95763获取热线服务帮助。</w:t>
      </w:r>
    </w:p>
    <w:p w14:paraId="7A38CA32">
      <w:pPr>
        <w:snapToGrid w:val="0"/>
        <w:spacing w:line="480" w:lineRule="exact"/>
        <w:ind w:left="210" w:leftChars="100" w:firstLine="210" w:firstLineChars="100"/>
        <w:rPr>
          <w:rFonts w:ascii="宋体" w:hAnsi="宋体" w:cs="宋体"/>
          <w:color w:val="auto"/>
          <w:kern w:val="0"/>
          <w:szCs w:val="21"/>
          <w:highlight w:val="none"/>
        </w:rPr>
      </w:pPr>
      <w:r>
        <w:rPr>
          <w:rFonts w:hint="eastAsia" w:ascii="宋体" w:hAnsi="宋体" w:cs="宋体"/>
          <w:color w:val="auto"/>
          <w:kern w:val="0"/>
          <w:szCs w:val="21"/>
          <w:highlight w:val="none"/>
        </w:rPr>
        <w:t>5.本项目采用远程异地评标。    </w:t>
      </w:r>
    </w:p>
    <w:bookmarkEnd w:id="14"/>
    <w:bookmarkEnd w:id="15"/>
    <w:bookmarkEnd w:id="16"/>
    <w:bookmarkEnd w:id="17"/>
    <w:p w14:paraId="6FB1E516">
      <w:pPr>
        <w:snapToGrid w:val="0"/>
        <w:spacing w:line="480" w:lineRule="exact"/>
        <w:ind w:firstLine="422" w:firstLineChars="200"/>
        <w:rPr>
          <w:rFonts w:ascii="宋体" w:hAnsi="宋体" w:cs="宋体"/>
          <w:bCs/>
          <w:color w:val="auto"/>
          <w:szCs w:val="21"/>
          <w:highlight w:val="none"/>
        </w:rPr>
      </w:pPr>
      <w:bookmarkStart w:id="26" w:name="_Toc26924"/>
      <w:bookmarkStart w:id="27" w:name="_Toc31707"/>
      <w:r>
        <w:rPr>
          <w:rFonts w:hint="eastAsia" w:ascii="宋体" w:hAnsi="宋体" w:cs="宋体"/>
          <w:b/>
          <w:color w:val="auto"/>
          <w:kern w:val="44"/>
          <w:szCs w:val="21"/>
          <w:highlight w:val="none"/>
        </w:rPr>
        <w:t>八、凡对本次采购提出询问，请按以下方式联系</w:t>
      </w:r>
    </w:p>
    <w:p w14:paraId="16AE5FD3">
      <w:pPr>
        <w:snapToGrid w:val="0"/>
        <w:spacing w:line="480" w:lineRule="exact"/>
        <w:ind w:firstLine="420" w:firstLineChars="200"/>
        <w:jc w:val="left"/>
        <w:rPr>
          <w:rFonts w:ascii="宋体" w:hAnsi="宋体" w:cs="宋体"/>
          <w:color w:val="auto"/>
          <w:szCs w:val="21"/>
          <w:highlight w:val="none"/>
        </w:rPr>
      </w:pPr>
      <w:bookmarkStart w:id="28" w:name="_Toc35393806"/>
      <w:bookmarkStart w:id="29" w:name="_Toc28359096"/>
      <w:bookmarkStart w:id="30" w:name="_Toc28359019"/>
      <w:bookmarkStart w:id="31" w:name="_Toc35393637"/>
      <w:r>
        <w:rPr>
          <w:rFonts w:hint="eastAsia" w:ascii="宋体" w:hAnsi="宋体" w:cs="宋体"/>
          <w:color w:val="auto"/>
          <w:szCs w:val="21"/>
          <w:highlight w:val="none"/>
        </w:rPr>
        <w:t>1.采购人信息</w:t>
      </w:r>
      <w:bookmarkEnd w:id="28"/>
      <w:bookmarkEnd w:id="29"/>
      <w:bookmarkEnd w:id="30"/>
      <w:bookmarkEnd w:id="31"/>
    </w:p>
    <w:p w14:paraId="3A9EEB9B">
      <w:pPr>
        <w:snapToGrid w:val="0"/>
        <w:spacing w:line="480" w:lineRule="exact"/>
        <w:ind w:firstLine="420" w:firstLineChars="200"/>
        <w:jc w:val="left"/>
        <w:rPr>
          <w:rFonts w:ascii="宋体" w:hAnsi="宋体" w:cs="宋体"/>
          <w:color w:val="auto"/>
          <w:szCs w:val="21"/>
          <w:highlight w:val="none"/>
        </w:rPr>
      </w:pPr>
      <w:bookmarkStart w:id="32" w:name="_Toc35393638"/>
      <w:bookmarkStart w:id="33" w:name="_Toc28359020"/>
      <w:bookmarkStart w:id="34" w:name="_Toc35393807"/>
      <w:bookmarkStart w:id="35" w:name="_Toc28359097"/>
      <w:r>
        <w:rPr>
          <w:rFonts w:hint="eastAsia" w:ascii="宋体" w:hAnsi="宋体" w:cs="宋体"/>
          <w:color w:val="auto"/>
          <w:szCs w:val="21"/>
          <w:highlight w:val="none"/>
        </w:rPr>
        <w:t>名   称：北海市洪潮江水库工程管理中心 </w:t>
      </w:r>
    </w:p>
    <w:p w14:paraId="7DC17DDC">
      <w:pPr>
        <w:snapToGrid w:val="0"/>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地   址：北海市合浦县星岛湖镇洪潮江水库 </w:t>
      </w:r>
    </w:p>
    <w:p w14:paraId="030657FD">
      <w:pPr>
        <w:snapToGrid w:val="0"/>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项目联系人：汤基聪</w:t>
      </w:r>
    </w:p>
    <w:p w14:paraId="256A2A27">
      <w:pPr>
        <w:snapToGrid w:val="0"/>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项目联系方式：0779-</w:t>
      </w:r>
      <w:r>
        <w:rPr>
          <w:rFonts w:ascii="宋体" w:hAnsi="宋体" w:cs="宋体"/>
          <w:color w:val="auto"/>
          <w:szCs w:val="21"/>
          <w:highlight w:val="none"/>
        </w:rPr>
        <w:t>7101168</w:t>
      </w:r>
    </w:p>
    <w:p w14:paraId="4A766962">
      <w:pPr>
        <w:snapToGrid w:val="0"/>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2.采购代理机构信息</w:t>
      </w:r>
      <w:bookmarkEnd w:id="32"/>
      <w:bookmarkEnd w:id="33"/>
      <w:bookmarkEnd w:id="34"/>
      <w:bookmarkEnd w:id="35"/>
      <w:bookmarkStart w:id="36" w:name="_Toc35393808"/>
      <w:bookmarkStart w:id="37" w:name="_Toc28359098"/>
      <w:bookmarkStart w:id="38" w:name="_Toc28359021"/>
      <w:bookmarkStart w:id="39" w:name="_Toc35393639"/>
    </w:p>
    <w:p w14:paraId="3BB59F75">
      <w:pPr>
        <w:snapToGrid w:val="0"/>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名 称：广西德元工程项目管理有限责任公司            </w:t>
      </w:r>
    </w:p>
    <w:p w14:paraId="41B31097">
      <w:pPr>
        <w:snapToGrid w:val="0"/>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地 址：北海市北京路49号桂成花园A座1706室              </w:t>
      </w:r>
    </w:p>
    <w:p w14:paraId="0D903678">
      <w:pPr>
        <w:snapToGrid w:val="0"/>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项目联系人：李丹             </w:t>
      </w:r>
    </w:p>
    <w:p w14:paraId="70864340">
      <w:pPr>
        <w:snapToGrid w:val="0"/>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项目联系方式：0779-3227382 </w:t>
      </w:r>
    </w:p>
    <w:bookmarkEnd w:id="36"/>
    <w:bookmarkEnd w:id="37"/>
    <w:bookmarkEnd w:id="38"/>
    <w:bookmarkEnd w:id="39"/>
    <w:p w14:paraId="69CEEE26">
      <w:pPr>
        <w:snapToGrid w:val="0"/>
        <w:spacing w:line="48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w:t>
      </w:r>
    </w:p>
    <w:bookmarkEnd w:id="26"/>
    <w:bookmarkEnd w:id="27"/>
    <w:p w14:paraId="7C5A0491">
      <w:pPr>
        <w:rPr>
          <w:rFonts w:hint="eastAsia" w:ascii="宋体" w:hAnsi="宋体" w:cs="宋体"/>
          <w:bCs w:val="0"/>
          <w:color w:val="auto"/>
          <w:sz w:val="32"/>
          <w:szCs w:val="32"/>
          <w:highlight w:val="none"/>
        </w:rPr>
      </w:pPr>
      <w:bookmarkStart w:id="40" w:name="_Toc120174189"/>
      <w:bookmarkStart w:id="41" w:name="_Toc1176"/>
      <w:bookmarkStart w:id="42" w:name="_Toc5563"/>
      <w:bookmarkStart w:id="43" w:name="_Toc1829"/>
      <w:bookmarkStart w:id="44" w:name="PO_TDCUS_ITEM_PB_REQ_FILE_1_1_1"/>
      <w:r>
        <w:rPr>
          <w:rFonts w:hint="eastAsia" w:ascii="宋体" w:hAnsi="宋体" w:cs="宋体"/>
          <w:bCs w:val="0"/>
          <w:color w:val="auto"/>
          <w:sz w:val="32"/>
          <w:szCs w:val="32"/>
          <w:highlight w:val="none"/>
        </w:rPr>
        <w:br w:type="page"/>
      </w:r>
    </w:p>
    <w:p w14:paraId="387900AB">
      <w:pPr>
        <w:pStyle w:val="2"/>
        <w:spacing w:before="0" w:after="0" w:line="600" w:lineRule="auto"/>
        <w:jc w:val="center"/>
        <w:rPr>
          <w:rFonts w:ascii="宋体" w:hAnsi="宋体" w:cs="Arial"/>
          <w:color w:val="auto"/>
          <w:szCs w:val="21"/>
          <w:highlight w:val="none"/>
          <w:u w:val="single"/>
        </w:rPr>
      </w:pPr>
      <w:r>
        <w:rPr>
          <w:rFonts w:hint="eastAsia" w:ascii="宋体" w:hAnsi="宋体" w:cs="宋体"/>
          <w:bCs w:val="0"/>
          <w:color w:val="auto"/>
          <w:sz w:val="32"/>
          <w:szCs w:val="32"/>
          <w:highlight w:val="none"/>
        </w:rPr>
        <w:t>第二章  采购需求</w:t>
      </w:r>
      <w:bookmarkEnd w:id="40"/>
      <w:bookmarkEnd w:id="41"/>
      <w:bookmarkEnd w:id="42"/>
      <w:bookmarkEnd w:id="43"/>
    </w:p>
    <w:tbl>
      <w:tblPr>
        <w:tblStyle w:val="55"/>
        <w:tblW w:w="932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12"/>
        <w:gridCol w:w="840"/>
        <w:gridCol w:w="7176"/>
      </w:tblGrid>
      <w:tr w14:paraId="562BF1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9328" w:type="dxa"/>
            <w:gridSpan w:val="3"/>
            <w:tcBorders>
              <w:top w:val="single" w:color="auto" w:sz="4" w:space="0"/>
              <w:left w:val="single" w:color="auto" w:sz="4" w:space="0"/>
              <w:right w:val="single" w:color="auto" w:sz="4" w:space="0"/>
            </w:tcBorders>
            <w:vAlign w:val="center"/>
          </w:tcPr>
          <w:p w14:paraId="151B5F83">
            <w:pPr>
              <w:spacing w:line="440" w:lineRule="exact"/>
              <w:jc w:val="center"/>
              <w:rPr>
                <w:rFonts w:ascii="宋体" w:hAnsi="宋体" w:cs="宋体"/>
                <w:b/>
                <w:color w:val="auto"/>
                <w:sz w:val="24"/>
                <w:highlight w:val="none"/>
              </w:rPr>
            </w:pPr>
            <w:r>
              <w:rPr>
                <w:rFonts w:hint="eastAsia" w:ascii="宋体" w:hAnsi="宋体" w:cs="宋体"/>
                <w:b/>
                <w:color w:val="auto"/>
                <w:sz w:val="32"/>
                <w:szCs w:val="32"/>
                <w:highlight w:val="none"/>
              </w:rPr>
              <w:t>采购需求一览表</w:t>
            </w:r>
          </w:p>
        </w:tc>
      </w:tr>
      <w:tr w14:paraId="1B9123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5" w:hRule="atLeast"/>
          <w:jc w:val="center"/>
        </w:trPr>
        <w:tc>
          <w:tcPr>
            <w:tcW w:w="1312" w:type="dxa"/>
            <w:tcBorders>
              <w:top w:val="single" w:color="auto" w:sz="4" w:space="0"/>
              <w:left w:val="single" w:color="auto" w:sz="4" w:space="0"/>
              <w:bottom w:val="single" w:color="auto" w:sz="4" w:space="0"/>
              <w:right w:val="single" w:color="auto" w:sz="4" w:space="0"/>
            </w:tcBorders>
            <w:vAlign w:val="center"/>
          </w:tcPr>
          <w:p w14:paraId="6EE3E99E">
            <w:pPr>
              <w:spacing w:line="440" w:lineRule="exact"/>
              <w:jc w:val="center"/>
              <w:rPr>
                <w:rFonts w:ascii="宋体" w:hAnsi="宋体" w:cs="宋体"/>
                <w:b/>
                <w:color w:val="auto"/>
                <w:highlight w:val="none"/>
              </w:rPr>
            </w:pPr>
            <w:r>
              <w:rPr>
                <w:rFonts w:hint="eastAsia" w:ascii="宋体" w:hAnsi="宋体" w:cs="宋体"/>
                <w:b/>
                <w:color w:val="auto"/>
                <w:highlight w:val="none"/>
              </w:rPr>
              <w:t>标的的名称</w:t>
            </w:r>
          </w:p>
        </w:tc>
        <w:tc>
          <w:tcPr>
            <w:tcW w:w="840" w:type="dxa"/>
            <w:tcBorders>
              <w:top w:val="single" w:color="auto" w:sz="4" w:space="0"/>
              <w:left w:val="single" w:color="auto" w:sz="4" w:space="0"/>
              <w:bottom w:val="single" w:color="auto" w:sz="4" w:space="0"/>
              <w:right w:val="single" w:color="auto" w:sz="4" w:space="0"/>
            </w:tcBorders>
            <w:vAlign w:val="center"/>
          </w:tcPr>
          <w:p w14:paraId="388635D4">
            <w:pPr>
              <w:spacing w:line="440" w:lineRule="exact"/>
              <w:jc w:val="center"/>
              <w:rPr>
                <w:rFonts w:ascii="宋体" w:hAnsi="宋体" w:cs="宋体"/>
                <w:b/>
                <w:color w:val="auto"/>
                <w:highlight w:val="none"/>
              </w:rPr>
            </w:pPr>
            <w:r>
              <w:rPr>
                <w:rFonts w:hint="eastAsia" w:ascii="宋体" w:hAnsi="宋体" w:cs="宋体"/>
                <w:b/>
                <w:color w:val="auto"/>
                <w:highlight w:val="none"/>
              </w:rPr>
              <w:t>数量/单位</w:t>
            </w:r>
          </w:p>
        </w:tc>
        <w:tc>
          <w:tcPr>
            <w:tcW w:w="7176" w:type="dxa"/>
            <w:tcBorders>
              <w:top w:val="single" w:color="auto" w:sz="4" w:space="0"/>
              <w:left w:val="single" w:color="auto" w:sz="4" w:space="0"/>
              <w:bottom w:val="single" w:color="auto" w:sz="4" w:space="0"/>
              <w:right w:val="single" w:color="auto" w:sz="4" w:space="0"/>
            </w:tcBorders>
            <w:vAlign w:val="center"/>
          </w:tcPr>
          <w:p w14:paraId="0FCBE15B">
            <w:pPr>
              <w:spacing w:line="440" w:lineRule="exact"/>
              <w:jc w:val="center"/>
              <w:rPr>
                <w:rFonts w:ascii="宋体" w:hAnsi="宋体" w:cs="宋体"/>
                <w:b/>
                <w:color w:val="auto"/>
                <w:sz w:val="24"/>
                <w:highlight w:val="none"/>
              </w:rPr>
            </w:pPr>
            <w:r>
              <w:rPr>
                <w:rFonts w:hint="eastAsia" w:ascii="宋体" w:hAnsi="宋体" w:cs="宋体"/>
                <w:color w:val="auto"/>
                <w:szCs w:val="21"/>
                <w:highlight w:val="none"/>
              </w:rPr>
              <w:t>▲</w:t>
            </w:r>
            <w:r>
              <w:rPr>
                <w:rFonts w:hint="eastAsia" w:ascii="宋体" w:hAnsi="宋体" w:cs="宋体"/>
                <w:b/>
                <w:color w:val="auto"/>
                <w:highlight w:val="none"/>
              </w:rPr>
              <w:t>采购清单</w:t>
            </w:r>
            <w:r>
              <w:rPr>
                <w:rFonts w:ascii="宋体" w:hAnsi="宋体" w:cs="宋体"/>
                <w:b/>
                <w:color w:val="auto"/>
                <w:highlight w:val="none"/>
              </w:rPr>
              <w:t>及技术参数</w:t>
            </w:r>
          </w:p>
        </w:tc>
      </w:tr>
      <w:tr w14:paraId="262E62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6" w:hRule="atLeast"/>
          <w:jc w:val="center"/>
        </w:trPr>
        <w:tc>
          <w:tcPr>
            <w:tcW w:w="1312" w:type="dxa"/>
            <w:tcBorders>
              <w:top w:val="single" w:color="auto" w:sz="4" w:space="0"/>
              <w:left w:val="single" w:color="auto" w:sz="4" w:space="0"/>
              <w:bottom w:val="single" w:color="auto" w:sz="4" w:space="0"/>
              <w:right w:val="single" w:color="auto" w:sz="4" w:space="0"/>
            </w:tcBorders>
            <w:vAlign w:val="center"/>
          </w:tcPr>
          <w:p w14:paraId="2A1144A3">
            <w:pPr>
              <w:spacing w:line="440" w:lineRule="exact"/>
              <w:jc w:val="center"/>
              <w:rPr>
                <w:rFonts w:ascii="宋体" w:hAnsi="宋体" w:cs="宋体"/>
                <w:color w:val="auto"/>
                <w:highlight w:val="none"/>
              </w:rPr>
            </w:pPr>
            <w:r>
              <w:rPr>
                <w:rFonts w:hint="eastAsia" w:ascii="宋体" w:hAnsi="宋体" w:cs="宋体"/>
                <w:color w:val="auto"/>
                <w:highlight w:val="none"/>
              </w:rPr>
              <w:t>2025 年中央水利发展资金（大白水水库标准化创建）项目</w:t>
            </w:r>
          </w:p>
        </w:tc>
        <w:tc>
          <w:tcPr>
            <w:tcW w:w="840" w:type="dxa"/>
            <w:tcBorders>
              <w:top w:val="single" w:color="auto" w:sz="4" w:space="0"/>
              <w:left w:val="single" w:color="auto" w:sz="4" w:space="0"/>
              <w:bottom w:val="single" w:color="auto" w:sz="4" w:space="0"/>
              <w:right w:val="single" w:color="auto" w:sz="4" w:space="0"/>
            </w:tcBorders>
            <w:vAlign w:val="center"/>
          </w:tcPr>
          <w:p w14:paraId="7382F6EE">
            <w:pPr>
              <w:spacing w:line="440" w:lineRule="exact"/>
              <w:jc w:val="center"/>
              <w:rPr>
                <w:rFonts w:ascii="宋体" w:hAnsi="宋体" w:cs="宋体"/>
                <w:color w:val="auto"/>
                <w:highlight w:val="none"/>
              </w:rPr>
            </w:pPr>
            <w:r>
              <w:rPr>
                <w:rFonts w:hint="eastAsia" w:ascii="宋体" w:hAnsi="宋体" w:cs="宋体"/>
                <w:color w:val="auto"/>
                <w:highlight w:val="none"/>
              </w:rPr>
              <w:t>1项</w:t>
            </w:r>
          </w:p>
        </w:tc>
        <w:tc>
          <w:tcPr>
            <w:tcW w:w="7176" w:type="dxa"/>
            <w:tcBorders>
              <w:top w:val="single" w:color="auto" w:sz="4" w:space="0"/>
              <w:left w:val="single" w:color="auto" w:sz="4" w:space="0"/>
              <w:bottom w:val="single" w:color="auto" w:sz="4" w:space="0"/>
              <w:right w:val="single" w:color="auto" w:sz="4" w:space="0"/>
            </w:tcBorders>
          </w:tcPr>
          <w:p w14:paraId="024800E0">
            <w:pPr>
              <w:pStyle w:val="18"/>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一、项目概况</w:t>
            </w:r>
          </w:p>
          <w:p w14:paraId="1F5640F5">
            <w:pPr>
              <w:pStyle w:val="18"/>
              <w:spacing w:line="360" w:lineRule="auto"/>
              <w:ind w:firstLine="422" w:firstLineChars="200"/>
              <w:rPr>
                <w:rFonts w:ascii="宋体" w:hAnsi="宋体" w:cs="宋体"/>
                <w:color w:val="auto"/>
                <w:sz w:val="21"/>
                <w:szCs w:val="21"/>
                <w:highlight w:val="none"/>
              </w:rPr>
            </w:pPr>
            <w:r>
              <w:rPr>
                <w:rFonts w:hint="eastAsia" w:ascii="宋体" w:hAnsi="宋体" w:cs="宋体"/>
                <w:b/>
                <w:color w:val="auto"/>
                <w:sz w:val="21"/>
                <w:szCs w:val="21"/>
                <w:highlight w:val="none"/>
              </w:rPr>
              <w:t>建设单位：</w:t>
            </w:r>
            <w:r>
              <w:rPr>
                <w:rFonts w:hint="eastAsia" w:ascii="宋体" w:hAnsi="宋体" w:cs="宋体"/>
                <w:bCs/>
                <w:color w:val="auto"/>
                <w:sz w:val="21"/>
                <w:szCs w:val="21"/>
                <w:highlight w:val="none"/>
              </w:rPr>
              <w:t>北海市洪潮江水库工程管理中心</w:t>
            </w:r>
          </w:p>
          <w:p w14:paraId="4B06B798">
            <w:pPr>
              <w:pStyle w:val="18"/>
              <w:spacing w:line="360" w:lineRule="auto"/>
              <w:ind w:firstLine="422" w:firstLineChars="200"/>
              <w:rPr>
                <w:rFonts w:ascii="宋体" w:hAnsi="宋体" w:cs="宋体"/>
                <w:bCs/>
                <w:color w:val="auto"/>
                <w:sz w:val="21"/>
                <w:szCs w:val="21"/>
                <w:highlight w:val="none"/>
              </w:rPr>
            </w:pPr>
            <w:r>
              <w:rPr>
                <w:rFonts w:hint="eastAsia" w:ascii="宋体" w:hAnsi="宋体" w:cs="宋体"/>
                <w:b/>
                <w:color w:val="auto"/>
                <w:sz w:val="21"/>
                <w:szCs w:val="21"/>
                <w:highlight w:val="none"/>
              </w:rPr>
              <w:t>项目</w:t>
            </w:r>
            <w:r>
              <w:rPr>
                <w:rFonts w:ascii="宋体" w:hAnsi="宋体" w:cs="宋体"/>
                <w:b/>
                <w:color w:val="auto"/>
                <w:sz w:val="21"/>
                <w:szCs w:val="21"/>
                <w:highlight w:val="none"/>
              </w:rPr>
              <w:t>概况</w:t>
            </w:r>
            <w:r>
              <w:rPr>
                <w:rFonts w:hint="eastAsia" w:ascii="宋体" w:hAnsi="宋体" w:cs="宋体"/>
                <w:b/>
                <w:color w:val="auto"/>
                <w:sz w:val="21"/>
                <w:szCs w:val="21"/>
                <w:highlight w:val="none"/>
              </w:rPr>
              <w:t>：</w:t>
            </w:r>
            <w:r>
              <w:rPr>
                <w:rFonts w:hint="eastAsia" w:ascii="宋体" w:hAnsi="宋体" w:cs="宋体"/>
                <w:bCs/>
                <w:color w:val="auto"/>
                <w:sz w:val="21"/>
                <w:szCs w:val="21"/>
                <w:highlight w:val="none"/>
              </w:rPr>
              <w:t>大白水水库座落于南流江下游的大白水西边埇小支流上，大坝坝址位于广西北海市合浦县石湾镇坡塘后背岭，距石湾镇4.5km，距洪潮江水库工程管理局10km，距合浦县城19km，地理位置为北纬21° 45'20"~21° 46'34"，东经109° 11'13"~109° 11'37"，属一座以灌溉为主的不完全年调节性能的小（1）型水库。具体详见施工图纸和工程量清单要求范围内所有内容。</w:t>
            </w:r>
          </w:p>
          <w:p w14:paraId="5BBE22BA">
            <w:pPr>
              <w:pStyle w:val="18"/>
              <w:spacing w:line="360" w:lineRule="auto"/>
              <w:ind w:firstLine="422" w:firstLineChars="200"/>
              <w:rPr>
                <w:rFonts w:ascii="宋体" w:hAnsi="宋体" w:cs="宋体"/>
                <w:color w:val="auto"/>
                <w:sz w:val="21"/>
                <w:szCs w:val="21"/>
                <w:highlight w:val="none"/>
              </w:rPr>
            </w:pPr>
            <w:r>
              <w:rPr>
                <w:rFonts w:hint="eastAsia" w:ascii="宋体" w:hAnsi="宋体" w:cs="宋体"/>
                <w:b/>
                <w:color w:val="auto"/>
                <w:sz w:val="21"/>
                <w:szCs w:val="21"/>
                <w:highlight w:val="none"/>
              </w:rPr>
              <w:t>建设地点：</w:t>
            </w:r>
            <w:r>
              <w:rPr>
                <w:rFonts w:hint="eastAsia" w:ascii="宋体" w:hAnsi="宋体" w:cs="宋体"/>
                <w:bCs/>
                <w:color w:val="auto"/>
                <w:sz w:val="21"/>
                <w:szCs w:val="21"/>
                <w:highlight w:val="none"/>
              </w:rPr>
              <w:t>广西北海市合浦县石湾镇</w:t>
            </w:r>
            <w:r>
              <w:rPr>
                <w:rFonts w:hint="eastAsia" w:ascii="宋体" w:hAnsi="宋体" w:cs="宋体"/>
                <w:color w:val="auto"/>
                <w:sz w:val="21"/>
                <w:szCs w:val="21"/>
                <w:highlight w:val="none"/>
              </w:rPr>
              <w:t>。</w:t>
            </w:r>
          </w:p>
          <w:p w14:paraId="2847119D">
            <w:pPr>
              <w:pStyle w:val="18"/>
              <w:spacing w:line="360" w:lineRule="auto"/>
              <w:ind w:firstLine="422" w:firstLineChars="200"/>
              <w:rPr>
                <w:rFonts w:ascii="宋体" w:hAnsi="宋体" w:cs="宋体"/>
                <w:color w:val="auto"/>
                <w:sz w:val="21"/>
                <w:szCs w:val="21"/>
                <w:highlight w:val="none"/>
              </w:rPr>
            </w:pPr>
            <w:r>
              <w:rPr>
                <w:rFonts w:hint="eastAsia" w:ascii="宋体" w:hAnsi="宋体" w:cs="宋体"/>
                <w:b/>
                <w:color w:val="auto"/>
                <w:sz w:val="21"/>
                <w:szCs w:val="21"/>
                <w:highlight w:val="none"/>
              </w:rPr>
              <w:t>要求工期：</w:t>
            </w:r>
            <w:r>
              <w:rPr>
                <w:rFonts w:ascii="宋体" w:hAnsi="宋体" w:cs="宋体"/>
                <w:color w:val="auto"/>
                <w:sz w:val="21"/>
                <w:szCs w:val="21"/>
                <w:highlight w:val="none"/>
              </w:rPr>
              <w:t>90</w:t>
            </w:r>
            <w:r>
              <w:rPr>
                <w:rFonts w:hint="eastAsia" w:ascii="宋体" w:hAnsi="宋体" w:cs="宋体"/>
                <w:color w:val="auto"/>
                <w:sz w:val="21"/>
                <w:szCs w:val="21"/>
                <w:highlight w:val="none"/>
              </w:rPr>
              <w:t>个日历天。</w:t>
            </w:r>
          </w:p>
          <w:p w14:paraId="497B77EC">
            <w:pPr>
              <w:pStyle w:val="18"/>
              <w:spacing w:line="360" w:lineRule="auto"/>
              <w:ind w:firstLine="422" w:firstLineChars="200"/>
              <w:rPr>
                <w:rFonts w:ascii="宋体" w:hAnsi="宋体" w:cs="宋体"/>
                <w:color w:val="auto"/>
                <w:sz w:val="21"/>
                <w:szCs w:val="21"/>
                <w:highlight w:val="none"/>
              </w:rPr>
            </w:pPr>
            <w:r>
              <w:rPr>
                <w:rFonts w:hint="eastAsia" w:ascii="宋体" w:hAnsi="宋体" w:cs="宋体"/>
                <w:b/>
                <w:color w:val="auto"/>
                <w:sz w:val="21"/>
                <w:szCs w:val="21"/>
                <w:highlight w:val="none"/>
              </w:rPr>
              <w:t>报价形式：</w:t>
            </w:r>
            <w:r>
              <w:rPr>
                <w:rFonts w:hint="eastAsia" w:ascii="宋体" w:hAnsi="宋体" w:cs="宋体"/>
                <w:color w:val="auto"/>
                <w:sz w:val="21"/>
                <w:szCs w:val="21"/>
                <w:highlight w:val="none"/>
              </w:rPr>
              <w:t>工程量清单报价。</w:t>
            </w:r>
          </w:p>
          <w:p w14:paraId="20B461F1">
            <w:pPr>
              <w:pStyle w:val="18"/>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注：不论磋商结果如何，磋商供应商均应自行承担所有参与竞标有关的全部费用。</w:t>
            </w:r>
          </w:p>
          <w:p w14:paraId="431E1FC9">
            <w:pPr>
              <w:pStyle w:val="18"/>
              <w:spacing w:line="360" w:lineRule="auto"/>
              <w:ind w:firstLine="422" w:firstLineChars="200"/>
              <w:rPr>
                <w:rFonts w:ascii="宋体" w:hAnsi="宋体" w:cs="宋体"/>
                <w:color w:val="auto"/>
                <w:sz w:val="21"/>
                <w:szCs w:val="21"/>
                <w:highlight w:val="none"/>
              </w:rPr>
            </w:pPr>
            <w:r>
              <w:rPr>
                <w:rFonts w:hint="eastAsia" w:ascii="宋体" w:hAnsi="宋体" w:cs="宋体"/>
                <w:b/>
                <w:color w:val="auto"/>
                <w:sz w:val="21"/>
                <w:szCs w:val="21"/>
                <w:highlight w:val="none"/>
              </w:rPr>
              <w:t xml:space="preserve">质量要求: </w:t>
            </w:r>
            <w:r>
              <w:rPr>
                <w:rFonts w:hint="eastAsia" w:ascii="宋体" w:hAnsi="宋体" w:cs="宋体"/>
                <w:color w:val="auto"/>
                <w:sz w:val="21"/>
                <w:szCs w:val="21"/>
                <w:highlight w:val="none"/>
              </w:rPr>
              <w:t>达到现行国家及相关行业质量验收规范合格标准。</w:t>
            </w:r>
          </w:p>
          <w:p w14:paraId="75B63590">
            <w:pPr>
              <w:pStyle w:val="18"/>
              <w:spacing w:line="360" w:lineRule="auto"/>
              <w:ind w:firstLine="422" w:firstLineChars="200"/>
              <w:rPr>
                <w:rFonts w:ascii="宋体" w:hAnsi="宋体" w:cs="宋体"/>
                <w:color w:val="auto"/>
                <w:sz w:val="21"/>
                <w:szCs w:val="21"/>
                <w:highlight w:val="none"/>
              </w:rPr>
            </w:pPr>
            <w:r>
              <w:rPr>
                <w:rFonts w:hint="eastAsia" w:ascii="宋体" w:hAnsi="宋体" w:cs="宋体"/>
                <w:b/>
                <w:bCs/>
                <w:color w:val="auto"/>
                <w:sz w:val="21"/>
                <w:szCs w:val="21"/>
                <w:highlight w:val="none"/>
              </w:rPr>
              <w:t>所属行业：</w:t>
            </w:r>
            <w:r>
              <w:rPr>
                <w:rFonts w:hint="eastAsia" w:ascii="宋体" w:hAnsi="宋体" w:cs="宋体"/>
                <w:color w:val="auto"/>
                <w:sz w:val="21"/>
                <w:szCs w:val="21"/>
                <w:highlight w:val="none"/>
              </w:rPr>
              <w:t>建筑业</w:t>
            </w:r>
          </w:p>
          <w:p w14:paraId="6A31C374">
            <w:pPr>
              <w:pStyle w:val="18"/>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二、工程量清单</w:t>
            </w:r>
          </w:p>
          <w:p w14:paraId="122439F2">
            <w:pPr>
              <w:pStyle w:val="18"/>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另册发放（供应商通过广西政府采购云平台https://www.gcy.zfcg.gxzf.gov.cn/ 在线获取）</w:t>
            </w:r>
          </w:p>
          <w:p w14:paraId="12CFB59C">
            <w:pPr>
              <w:pStyle w:val="18"/>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三、图纸</w:t>
            </w:r>
          </w:p>
          <w:p w14:paraId="4576DA18">
            <w:pPr>
              <w:pStyle w:val="18"/>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另册发放（供应商通过广西政府采购云平台 https://www.gcy.zfcg.gxzf.gov.cn/在线获取）</w:t>
            </w:r>
          </w:p>
          <w:p w14:paraId="7B999BF0">
            <w:pPr>
              <w:pStyle w:val="18"/>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四、技术标准和要求</w:t>
            </w:r>
          </w:p>
          <w:p w14:paraId="4F00427E">
            <w:pPr>
              <w:pStyle w:val="18"/>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本项目技术规范采用现行国家相关标准、行业标准、</w:t>
            </w:r>
            <w:r>
              <w:rPr>
                <w:rFonts w:ascii="宋体" w:hAnsi="宋体" w:cs="宋体"/>
                <w:color w:val="auto"/>
                <w:sz w:val="21"/>
                <w:szCs w:val="21"/>
                <w:highlight w:val="none"/>
              </w:rPr>
              <w:t>地方标准</w:t>
            </w:r>
            <w:r>
              <w:rPr>
                <w:rFonts w:hint="eastAsia" w:ascii="宋体" w:hAnsi="宋体" w:cs="宋体"/>
                <w:color w:val="auto"/>
                <w:sz w:val="21"/>
                <w:szCs w:val="21"/>
                <w:highlight w:val="none"/>
              </w:rPr>
              <w:t>或者其他</w:t>
            </w:r>
            <w:r>
              <w:rPr>
                <w:rFonts w:ascii="宋体" w:hAnsi="宋体" w:cs="宋体"/>
                <w:color w:val="auto"/>
                <w:sz w:val="21"/>
                <w:szCs w:val="21"/>
                <w:highlight w:val="none"/>
              </w:rPr>
              <w:t>标准、规范</w:t>
            </w:r>
            <w:r>
              <w:rPr>
                <w:rFonts w:hint="eastAsia" w:ascii="宋体" w:hAnsi="宋体" w:cs="宋体"/>
                <w:color w:val="auto"/>
                <w:sz w:val="21"/>
                <w:szCs w:val="21"/>
                <w:highlight w:val="none"/>
              </w:rPr>
              <w:t>。</w:t>
            </w:r>
          </w:p>
          <w:p w14:paraId="5803C2CC">
            <w:pPr>
              <w:pStyle w:val="18"/>
              <w:spacing w:line="360" w:lineRule="auto"/>
              <w:rPr>
                <w:rFonts w:ascii="宋体" w:hAnsi="宋体" w:cs="宋体"/>
                <w:b/>
                <w:color w:val="auto"/>
                <w:sz w:val="21"/>
                <w:szCs w:val="21"/>
                <w:highlight w:val="none"/>
              </w:rPr>
            </w:pPr>
            <w:r>
              <w:rPr>
                <w:rFonts w:hint="eastAsia" w:ascii="宋体" w:hAnsi="宋体" w:cs="宋体"/>
                <w:b/>
                <w:color w:val="auto"/>
                <w:sz w:val="21"/>
                <w:szCs w:val="21"/>
                <w:highlight w:val="none"/>
              </w:rPr>
              <w:t>五、人员要求</w:t>
            </w:r>
          </w:p>
          <w:p w14:paraId="235502F3">
            <w:pPr>
              <w:pStyle w:val="18"/>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拟投入本工程的项目经理、技术负责人、安全员、施工员、质检员必须是本单位的在岗人员。</w:t>
            </w:r>
          </w:p>
          <w:p w14:paraId="0F5EDAE7">
            <w:pPr>
              <w:pStyle w:val="18"/>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 xml:space="preserve">项目经理具有水利水电工程专业贰级或贰级以上注册建造师执业资格，具备有效的安全生产考核合格证书（B类），本项目不接受有在建、已中标未开工或已列为其他项目中标（成交）候选人第一名的建造师作为项目经理（符合《广西壮族自治区建筑市场诚信卡管理暂行办法》第十六条第一款及桂建管﹝2016﹞70号、桂建管〔2020〕11号文除外）。 </w:t>
            </w:r>
          </w:p>
          <w:p w14:paraId="4500935A">
            <w:pPr>
              <w:pStyle w:val="18"/>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技术负责人具有中级或中级以上技术职称，专业是水利水电工程类专业（专业以技术职称证书所填写专业为准）。</w:t>
            </w:r>
          </w:p>
          <w:p w14:paraId="4221CFD1">
            <w:pPr>
              <w:pStyle w:val="18"/>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安全员、施工员、质检员具有相应施工现场专业人员职业培训合格证书并在有效期内。</w:t>
            </w:r>
          </w:p>
        </w:tc>
      </w:tr>
      <w:tr w14:paraId="459068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5" w:hRule="atLeast"/>
          <w:jc w:val="center"/>
        </w:trPr>
        <w:tc>
          <w:tcPr>
            <w:tcW w:w="9328" w:type="dxa"/>
            <w:gridSpan w:val="3"/>
            <w:tcBorders>
              <w:top w:val="single" w:color="auto" w:sz="4" w:space="0"/>
              <w:left w:val="single" w:color="auto" w:sz="4" w:space="0"/>
              <w:bottom w:val="single" w:color="auto" w:sz="4" w:space="0"/>
              <w:right w:val="single" w:color="auto" w:sz="4" w:space="0"/>
            </w:tcBorders>
            <w:vAlign w:val="center"/>
          </w:tcPr>
          <w:p w14:paraId="5C946FC3">
            <w:pPr>
              <w:spacing w:line="440" w:lineRule="exact"/>
              <w:jc w:val="left"/>
              <w:rPr>
                <w:rFonts w:ascii="宋体" w:hAnsi="宋体" w:cs="宋体"/>
                <w:b/>
                <w:color w:val="auto"/>
                <w:szCs w:val="21"/>
                <w:highlight w:val="none"/>
              </w:rPr>
            </w:pPr>
            <w:r>
              <w:rPr>
                <w:rFonts w:hint="eastAsia" w:ascii="宋体" w:hAnsi="宋体" w:cs="宋体"/>
                <w:color w:val="auto"/>
                <w:szCs w:val="21"/>
                <w:highlight w:val="none"/>
              </w:rPr>
              <w:t>▲</w:t>
            </w:r>
            <w:r>
              <w:rPr>
                <w:rFonts w:hint="eastAsia" w:ascii="宋体" w:hAnsi="宋体" w:cs="宋体"/>
                <w:b/>
                <w:color w:val="auto"/>
                <w:highlight w:val="none"/>
              </w:rPr>
              <w:t>商务条款</w:t>
            </w:r>
          </w:p>
        </w:tc>
      </w:tr>
      <w:tr w14:paraId="7F1200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152" w:type="dxa"/>
            <w:gridSpan w:val="2"/>
            <w:tcBorders>
              <w:top w:val="single" w:color="auto" w:sz="4" w:space="0"/>
              <w:left w:val="single" w:color="auto" w:sz="4" w:space="0"/>
              <w:bottom w:val="single" w:color="auto" w:sz="4" w:space="0"/>
              <w:right w:val="single" w:color="auto" w:sz="4" w:space="0"/>
            </w:tcBorders>
            <w:vAlign w:val="center"/>
          </w:tcPr>
          <w:p w14:paraId="500F7094">
            <w:pPr>
              <w:widowControl/>
              <w:numPr>
                <w:ilvl w:val="0"/>
                <w:numId w:val="3"/>
              </w:numPr>
              <w:spacing w:line="440" w:lineRule="exact"/>
              <w:rPr>
                <w:rFonts w:ascii="宋体" w:hAnsi="宋体" w:cs="宋体"/>
                <w:color w:val="auto"/>
                <w:szCs w:val="21"/>
                <w:highlight w:val="none"/>
              </w:rPr>
            </w:pPr>
            <w:r>
              <w:rPr>
                <w:rFonts w:hint="eastAsia" w:ascii="宋体" w:hAnsi="宋体" w:cs="宋体"/>
                <w:b/>
                <w:color w:val="auto"/>
                <w:szCs w:val="21"/>
                <w:highlight w:val="none"/>
              </w:rPr>
              <w:t>合同签订期</w:t>
            </w:r>
          </w:p>
        </w:tc>
        <w:tc>
          <w:tcPr>
            <w:tcW w:w="7176" w:type="dxa"/>
            <w:tcBorders>
              <w:top w:val="single" w:color="auto" w:sz="4" w:space="0"/>
              <w:left w:val="single" w:color="auto" w:sz="4" w:space="0"/>
              <w:bottom w:val="single" w:color="auto" w:sz="4" w:space="0"/>
              <w:right w:val="single" w:color="auto" w:sz="4" w:space="0"/>
            </w:tcBorders>
            <w:vAlign w:val="center"/>
          </w:tcPr>
          <w:p w14:paraId="7B5ECE01">
            <w:pPr>
              <w:widowControl/>
              <w:spacing w:line="440" w:lineRule="exact"/>
              <w:rPr>
                <w:rFonts w:ascii="宋体" w:hAnsi="宋体" w:cs="宋体"/>
                <w:b/>
                <w:color w:val="auto"/>
                <w:szCs w:val="21"/>
                <w:highlight w:val="none"/>
              </w:rPr>
            </w:pPr>
            <w:r>
              <w:rPr>
                <w:rFonts w:hint="eastAsia" w:ascii="宋体" w:hAnsi="宋体" w:cs="宋体"/>
                <w:color w:val="auto"/>
                <w:szCs w:val="21"/>
                <w:highlight w:val="none"/>
              </w:rPr>
              <w:t>采购人与成交供应商应当自成交通知书发出之日起25日内，按照采购文件确定的事项签订政府采购电子合同，具备条件的项目应缩短合同签订时间至8个工作日内。</w:t>
            </w:r>
          </w:p>
        </w:tc>
      </w:tr>
      <w:tr w14:paraId="698C66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0" w:hRule="atLeast"/>
          <w:jc w:val="center"/>
        </w:trPr>
        <w:tc>
          <w:tcPr>
            <w:tcW w:w="2152" w:type="dxa"/>
            <w:gridSpan w:val="2"/>
            <w:tcBorders>
              <w:top w:val="single" w:color="auto" w:sz="4" w:space="0"/>
              <w:left w:val="single" w:color="auto" w:sz="4" w:space="0"/>
              <w:bottom w:val="single" w:color="auto" w:sz="4" w:space="0"/>
              <w:right w:val="single" w:color="auto" w:sz="4" w:space="0"/>
            </w:tcBorders>
            <w:vAlign w:val="center"/>
          </w:tcPr>
          <w:p w14:paraId="70A2D1F4">
            <w:pPr>
              <w:widowControl/>
              <w:spacing w:line="440" w:lineRule="exact"/>
              <w:rPr>
                <w:rFonts w:ascii="宋体" w:hAnsi="宋体" w:cs="宋体"/>
                <w:b/>
                <w:color w:val="auto"/>
                <w:szCs w:val="21"/>
                <w:highlight w:val="none"/>
              </w:rPr>
            </w:pPr>
            <w:r>
              <w:rPr>
                <w:rFonts w:hint="eastAsia" w:ascii="宋体" w:hAnsi="宋体" w:cs="宋体"/>
                <w:b/>
                <w:color w:val="auto"/>
                <w:szCs w:val="21"/>
                <w:highlight w:val="none"/>
              </w:rPr>
              <w:t>二、合同履行期限（工期）</w:t>
            </w:r>
          </w:p>
        </w:tc>
        <w:tc>
          <w:tcPr>
            <w:tcW w:w="7176" w:type="dxa"/>
            <w:tcBorders>
              <w:top w:val="single" w:color="auto" w:sz="4" w:space="0"/>
              <w:left w:val="single" w:color="auto" w:sz="4" w:space="0"/>
              <w:bottom w:val="single" w:color="auto" w:sz="4" w:space="0"/>
              <w:right w:val="single" w:color="auto" w:sz="4" w:space="0"/>
            </w:tcBorders>
            <w:vAlign w:val="center"/>
          </w:tcPr>
          <w:p w14:paraId="315D7634">
            <w:pPr>
              <w:widowControl/>
              <w:spacing w:line="440" w:lineRule="exact"/>
              <w:rPr>
                <w:rFonts w:ascii="宋体" w:hAnsi="宋体" w:cs="宋体"/>
                <w:b/>
                <w:color w:val="auto"/>
                <w:szCs w:val="21"/>
                <w:highlight w:val="none"/>
              </w:rPr>
            </w:pPr>
            <w:r>
              <w:rPr>
                <w:rFonts w:hint="eastAsia" w:ascii="宋体" w:hAnsi="宋体" w:cs="宋体"/>
                <w:color w:val="auto"/>
                <w:szCs w:val="21"/>
                <w:highlight w:val="none"/>
              </w:rPr>
              <w:t>90个日历天。</w:t>
            </w:r>
          </w:p>
        </w:tc>
      </w:tr>
      <w:tr w14:paraId="338D85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60" w:hRule="atLeast"/>
          <w:jc w:val="center"/>
        </w:trPr>
        <w:tc>
          <w:tcPr>
            <w:tcW w:w="2152" w:type="dxa"/>
            <w:gridSpan w:val="2"/>
            <w:tcBorders>
              <w:top w:val="single" w:color="auto" w:sz="4" w:space="0"/>
              <w:left w:val="single" w:color="auto" w:sz="4" w:space="0"/>
              <w:bottom w:val="single" w:color="auto" w:sz="4" w:space="0"/>
              <w:right w:val="single" w:color="auto" w:sz="4" w:space="0"/>
            </w:tcBorders>
            <w:vAlign w:val="center"/>
          </w:tcPr>
          <w:p w14:paraId="4A41827E">
            <w:pPr>
              <w:widowControl/>
              <w:spacing w:line="440" w:lineRule="exact"/>
              <w:rPr>
                <w:rFonts w:ascii="宋体" w:hAnsi="宋体" w:cs="宋体"/>
                <w:b/>
                <w:color w:val="auto"/>
                <w:szCs w:val="21"/>
                <w:highlight w:val="none"/>
              </w:rPr>
            </w:pPr>
            <w:r>
              <w:rPr>
                <w:rFonts w:hint="eastAsia" w:ascii="宋体" w:hAnsi="宋体" w:cs="宋体"/>
                <w:b/>
                <w:color w:val="auto"/>
                <w:szCs w:val="21"/>
                <w:highlight w:val="none"/>
              </w:rPr>
              <w:t>三、付款方式</w:t>
            </w:r>
          </w:p>
        </w:tc>
        <w:tc>
          <w:tcPr>
            <w:tcW w:w="7176" w:type="dxa"/>
            <w:tcBorders>
              <w:top w:val="single" w:color="auto" w:sz="4" w:space="0"/>
              <w:left w:val="single" w:color="auto" w:sz="4" w:space="0"/>
              <w:bottom w:val="single" w:color="auto" w:sz="4" w:space="0"/>
              <w:right w:val="single" w:color="auto" w:sz="4" w:space="0"/>
            </w:tcBorders>
            <w:vAlign w:val="center"/>
          </w:tcPr>
          <w:p w14:paraId="4E37E607">
            <w:pPr>
              <w:widowControl/>
              <w:spacing w:line="360" w:lineRule="auto"/>
              <w:jc w:val="left"/>
              <w:rPr>
                <w:rFonts w:ascii="宋体" w:hAnsi="宋体" w:cs="宋体"/>
                <w:color w:val="auto"/>
                <w:szCs w:val="21"/>
                <w:highlight w:val="none"/>
              </w:rPr>
            </w:pPr>
            <w:r>
              <w:rPr>
                <w:rFonts w:hint="eastAsia" w:ascii="宋体" w:hAnsi="宋体" w:cs="宋体"/>
                <w:color w:val="auto"/>
                <w:szCs w:val="21"/>
                <w:highlight w:val="none"/>
              </w:rPr>
              <w:t xml:space="preserve">1、预付款：合同签订后10个工作日内支付合同总价（扣暂列金、暂估价及甲供材）30%的预付款。此预付款在项目工程进度款中一次性扣回。 </w:t>
            </w:r>
          </w:p>
          <w:p w14:paraId="5180749B">
            <w:pPr>
              <w:spacing w:line="360" w:lineRule="auto"/>
              <w:rPr>
                <w:rFonts w:ascii="宋体" w:hAnsi="宋体" w:cs="宋体"/>
                <w:color w:val="auto"/>
                <w:szCs w:val="21"/>
                <w:highlight w:val="none"/>
              </w:rPr>
            </w:pPr>
            <w:r>
              <w:rPr>
                <w:rFonts w:hint="eastAsia" w:ascii="宋体" w:hAnsi="宋体" w:cs="宋体"/>
                <w:color w:val="auto"/>
                <w:szCs w:val="21"/>
                <w:highlight w:val="none"/>
              </w:rPr>
              <w:t>2、进度款支付：工程进度款按月支付，合同内工程进度款支付额为当月实际已完成工程量价款的</w:t>
            </w:r>
            <w:r>
              <w:rPr>
                <w:rFonts w:ascii="宋体" w:hAnsi="宋体" w:cs="宋体"/>
                <w:color w:val="auto"/>
                <w:szCs w:val="21"/>
                <w:highlight w:val="none"/>
              </w:rPr>
              <w:t>90</w:t>
            </w:r>
            <w:r>
              <w:rPr>
                <w:rFonts w:hint="eastAsia" w:ascii="宋体" w:hAnsi="宋体" w:cs="宋体"/>
                <w:color w:val="auto"/>
                <w:szCs w:val="21"/>
                <w:highlight w:val="none"/>
              </w:rPr>
              <w:t>%；合同外新增工程量按实际完成工程量价款的60%支付进度款。工程竣工验收合格，工程结算经北海市财政局财政投资评审中心审定后，采购人应在收到成交供应商全额有效发票及质量保函（担保额为结算审定价3%）后7个工作日内支付至结算总价的100%，最后结算金额以北海市财政局财政投资评审中心审核为准。</w:t>
            </w:r>
          </w:p>
          <w:p w14:paraId="480644E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进度付款涉及财政资金的，由于财政资金不到位导致的付款进度延误，不视为采购人违约。</w:t>
            </w:r>
          </w:p>
        </w:tc>
      </w:tr>
      <w:tr w14:paraId="19C19B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2152" w:type="dxa"/>
            <w:gridSpan w:val="2"/>
            <w:tcBorders>
              <w:top w:val="single" w:color="auto" w:sz="4" w:space="0"/>
              <w:left w:val="single" w:color="auto" w:sz="4" w:space="0"/>
              <w:bottom w:val="single" w:color="auto" w:sz="4" w:space="0"/>
              <w:right w:val="single" w:color="auto" w:sz="4" w:space="0"/>
            </w:tcBorders>
            <w:vAlign w:val="center"/>
          </w:tcPr>
          <w:p w14:paraId="5747021F">
            <w:pPr>
              <w:widowControl/>
              <w:spacing w:line="440" w:lineRule="exact"/>
              <w:rPr>
                <w:rFonts w:ascii="宋体" w:hAnsi="宋体" w:cs="宋体"/>
                <w:b/>
                <w:color w:val="auto"/>
                <w:szCs w:val="21"/>
                <w:highlight w:val="none"/>
              </w:rPr>
            </w:pPr>
            <w:r>
              <w:rPr>
                <w:rFonts w:hint="eastAsia" w:ascii="宋体" w:hAnsi="宋体" w:cs="宋体"/>
                <w:b/>
                <w:color w:val="auto"/>
                <w:szCs w:val="21"/>
                <w:highlight w:val="none"/>
              </w:rPr>
              <w:t>四、其他要求</w:t>
            </w:r>
          </w:p>
        </w:tc>
        <w:tc>
          <w:tcPr>
            <w:tcW w:w="7176" w:type="dxa"/>
            <w:tcBorders>
              <w:top w:val="single" w:color="auto" w:sz="4" w:space="0"/>
              <w:left w:val="single" w:color="auto" w:sz="4" w:space="0"/>
              <w:bottom w:val="single" w:color="auto" w:sz="4" w:space="0"/>
              <w:right w:val="single" w:color="auto" w:sz="4" w:space="0"/>
            </w:tcBorders>
            <w:vAlign w:val="center"/>
          </w:tcPr>
          <w:p w14:paraId="463ACBBE">
            <w:pPr>
              <w:widowControl/>
              <w:spacing w:line="440" w:lineRule="exact"/>
              <w:ind w:firstLine="422" w:firstLineChars="200"/>
              <w:rPr>
                <w:rFonts w:ascii="宋体" w:hAnsi="宋体" w:cs="宋体"/>
                <w:b/>
                <w:color w:val="auto"/>
                <w:szCs w:val="21"/>
                <w:highlight w:val="none"/>
              </w:rPr>
            </w:pPr>
          </w:p>
        </w:tc>
      </w:tr>
      <w:tr w14:paraId="257E9D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9328" w:type="dxa"/>
            <w:gridSpan w:val="3"/>
            <w:tcBorders>
              <w:top w:val="single" w:color="auto" w:sz="4" w:space="0"/>
              <w:left w:val="single" w:color="auto" w:sz="4" w:space="0"/>
              <w:bottom w:val="single" w:color="auto" w:sz="4" w:space="0"/>
              <w:right w:val="single" w:color="auto" w:sz="4" w:space="0"/>
            </w:tcBorders>
            <w:vAlign w:val="center"/>
          </w:tcPr>
          <w:p w14:paraId="33718817">
            <w:pPr>
              <w:spacing w:line="440" w:lineRule="exact"/>
              <w:jc w:val="center"/>
              <w:rPr>
                <w:rFonts w:ascii="宋体" w:hAnsi="宋体" w:cs="宋体"/>
                <w:b/>
                <w:color w:val="auto"/>
                <w:szCs w:val="21"/>
                <w:highlight w:val="none"/>
              </w:rPr>
            </w:pPr>
            <w:r>
              <w:rPr>
                <w:rFonts w:hint="eastAsia" w:ascii="宋体" w:hAnsi="宋体" w:cs="宋体"/>
                <w:b/>
                <w:color w:val="auto"/>
                <w:highlight w:val="none"/>
              </w:rPr>
              <w:t>其他说明</w:t>
            </w:r>
          </w:p>
        </w:tc>
      </w:tr>
      <w:tr w14:paraId="1A441A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58" w:hRule="atLeast"/>
          <w:jc w:val="center"/>
        </w:trPr>
        <w:tc>
          <w:tcPr>
            <w:tcW w:w="9328" w:type="dxa"/>
            <w:gridSpan w:val="3"/>
            <w:tcBorders>
              <w:top w:val="single" w:color="auto" w:sz="4" w:space="0"/>
              <w:left w:val="single" w:color="auto" w:sz="4" w:space="0"/>
              <w:bottom w:val="single" w:color="auto" w:sz="4" w:space="0"/>
              <w:right w:val="single" w:color="auto" w:sz="4" w:space="0"/>
            </w:tcBorders>
            <w:vAlign w:val="center"/>
          </w:tcPr>
          <w:p w14:paraId="05641B6A">
            <w:pPr>
              <w:widowControl/>
              <w:shd w:val="clear" w:color="auto" w:fill="FFFFFF"/>
              <w:spacing w:line="440" w:lineRule="exact"/>
              <w:rPr>
                <w:rFonts w:ascii="宋体" w:hAnsi="宋体" w:cs="宋体"/>
                <w:color w:val="auto"/>
                <w:highlight w:val="none"/>
              </w:rPr>
            </w:pPr>
            <w:r>
              <w:rPr>
                <w:rFonts w:hint="eastAsia" w:ascii="宋体" w:hAnsi="宋体" w:cs="宋体"/>
                <w:color w:val="auto"/>
                <w:highlight w:val="none"/>
              </w:rPr>
              <w:t>与本项目有关的设计图纸、技术规范、文件等附件资料及其获取方式：</w:t>
            </w:r>
          </w:p>
          <w:p w14:paraId="6C7C5F96">
            <w:pPr>
              <w:widowControl/>
              <w:shd w:val="clear" w:color="auto" w:fill="FFFFFF"/>
              <w:spacing w:line="440" w:lineRule="exact"/>
              <w:ind w:firstLine="420" w:firstLineChars="200"/>
              <w:rPr>
                <w:rFonts w:ascii="宋体" w:hAnsi="宋体" w:cs="宋体"/>
                <w:color w:val="auto"/>
                <w:highlight w:val="none"/>
              </w:rPr>
            </w:pPr>
            <w:r>
              <w:rPr>
                <w:rFonts w:hint="eastAsia" w:ascii="宋体" w:hAnsi="宋体" w:cs="宋体"/>
                <w:color w:val="auto"/>
                <w:highlight w:val="none"/>
              </w:rPr>
              <w:t>资料名称：工程量清单、图纸等。</w:t>
            </w:r>
          </w:p>
          <w:p w14:paraId="7A6BF287">
            <w:pPr>
              <w:widowControl/>
              <w:shd w:val="clear" w:color="auto" w:fill="FFFFFF"/>
              <w:spacing w:line="440" w:lineRule="exact"/>
              <w:ind w:firstLine="420" w:firstLineChars="200"/>
              <w:rPr>
                <w:rFonts w:ascii="宋体" w:hAnsi="宋体" w:cs="宋体"/>
                <w:color w:val="auto"/>
                <w:szCs w:val="21"/>
                <w:highlight w:val="none"/>
              </w:rPr>
            </w:pPr>
            <w:r>
              <w:rPr>
                <w:rFonts w:hint="eastAsia" w:ascii="宋体" w:hAnsi="宋体" w:cs="宋体"/>
                <w:color w:val="auto"/>
                <w:highlight w:val="none"/>
              </w:rPr>
              <w:t>获取方式：网上下载。供应商可自行在广西政府采购云平台 https://www.gcy.zfcg.gxzf.gov.cn/下载（操作路径：登录“广西政府采购云平台”-项目采购-获取采购文件-找到本项目-点击“工程量清单、图纸等”）。</w:t>
            </w:r>
          </w:p>
        </w:tc>
      </w:tr>
    </w:tbl>
    <w:p w14:paraId="41C345BD">
      <w:pPr>
        <w:pStyle w:val="28"/>
        <w:jc w:val="left"/>
        <w:rPr>
          <w:rFonts w:hAnsi="宋体" w:cs="宋体"/>
          <w:color w:val="auto"/>
          <w:sz w:val="32"/>
          <w:szCs w:val="32"/>
          <w:highlight w:val="none"/>
        </w:rPr>
        <w:sectPr>
          <w:headerReference r:id="rId5" w:type="default"/>
          <w:footerReference r:id="rId6" w:type="default"/>
          <w:pgSz w:w="11906" w:h="16838"/>
          <w:pgMar w:top="1554" w:right="1312" w:bottom="1134" w:left="1554" w:header="720" w:footer="720" w:gutter="0"/>
          <w:pgNumType w:fmt="decimal" w:start="1"/>
          <w:cols w:space="720" w:num="1"/>
          <w:docGrid w:type="lines" w:linePitch="331" w:charSpace="0"/>
        </w:sectPr>
      </w:pPr>
    </w:p>
    <w:p w14:paraId="7B574583">
      <w:pPr>
        <w:pStyle w:val="2"/>
        <w:spacing w:before="0" w:after="0" w:line="360" w:lineRule="auto"/>
        <w:jc w:val="center"/>
        <w:rPr>
          <w:rFonts w:ascii="宋体" w:hAnsi="宋体" w:cs="宋体"/>
          <w:color w:val="auto"/>
          <w:highlight w:val="none"/>
        </w:rPr>
      </w:pPr>
      <w:bookmarkStart w:id="45" w:name="_Toc120174190"/>
      <w:bookmarkStart w:id="46" w:name="_Toc20056"/>
      <w:bookmarkStart w:id="47" w:name="_Toc31859"/>
      <w:bookmarkStart w:id="48" w:name="_Toc10205"/>
      <w:r>
        <w:rPr>
          <w:rFonts w:hint="eastAsia" w:ascii="宋体" w:hAnsi="宋体" w:cs="宋体"/>
          <w:bCs w:val="0"/>
          <w:color w:val="auto"/>
          <w:sz w:val="32"/>
          <w:szCs w:val="32"/>
          <w:highlight w:val="none"/>
        </w:rPr>
        <w:t>第三章  供应商须知</w:t>
      </w:r>
      <w:bookmarkEnd w:id="45"/>
      <w:bookmarkEnd w:id="46"/>
      <w:bookmarkEnd w:id="47"/>
      <w:bookmarkEnd w:id="48"/>
    </w:p>
    <w:p w14:paraId="5E12BB55">
      <w:pPr>
        <w:pStyle w:val="3"/>
        <w:spacing w:before="0" w:after="0" w:line="360" w:lineRule="auto"/>
        <w:jc w:val="center"/>
        <w:rPr>
          <w:rFonts w:ascii="宋体" w:hAnsi="宋体" w:cs="宋体"/>
          <w:b w:val="0"/>
          <w:color w:val="auto"/>
          <w:highlight w:val="none"/>
        </w:rPr>
      </w:pPr>
      <w:bookmarkStart w:id="49" w:name="_Toc120174191"/>
      <w:bookmarkStart w:id="50" w:name="_Toc13981"/>
      <w:r>
        <w:rPr>
          <w:rFonts w:hint="eastAsia" w:ascii="宋体" w:hAnsi="宋体" w:cs="宋体"/>
          <w:b w:val="0"/>
          <w:color w:val="auto"/>
          <w:highlight w:val="none"/>
        </w:rPr>
        <w:t>第一节 供应商须知前附表</w:t>
      </w:r>
      <w:bookmarkEnd w:id="49"/>
      <w:bookmarkEnd w:id="50"/>
    </w:p>
    <w:tbl>
      <w:tblPr>
        <w:tblStyle w:val="55"/>
        <w:tblW w:w="491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5"/>
        <w:gridCol w:w="1296"/>
        <w:gridCol w:w="6359"/>
      </w:tblGrid>
      <w:tr w14:paraId="31542B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645" w:type="pct"/>
            <w:vAlign w:val="center"/>
          </w:tcPr>
          <w:p w14:paraId="0FA998C1">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条款号</w:t>
            </w:r>
          </w:p>
        </w:tc>
        <w:tc>
          <w:tcPr>
            <w:tcW w:w="737" w:type="pct"/>
            <w:vAlign w:val="center"/>
          </w:tcPr>
          <w:p w14:paraId="7855D4AA">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条款内容</w:t>
            </w:r>
          </w:p>
        </w:tc>
        <w:tc>
          <w:tcPr>
            <w:tcW w:w="3617" w:type="pct"/>
            <w:vAlign w:val="center"/>
          </w:tcPr>
          <w:p w14:paraId="0FCC7293">
            <w:pPr>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具体要求</w:t>
            </w:r>
          </w:p>
        </w:tc>
      </w:tr>
      <w:tr w14:paraId="474A5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Align w:val="center"/>
          </w:tcPr>
          <w:p w14:paraId="05201184">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3.1</w:t>
            </w:r>
          </w:p>
        </w:tc>
        <w:tc>
          <w:tcPr>
            <w:tcW w:w="737" w:type="pct"/>
            <w:vAlign w:val="center"/>
          </w:tcPr>
          <w:p w14:paraId="3A4CAC7A">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供应商资格条件</w:t>
            </w:r>
          </w:p>
        </w:tc>
        <w:tc>
          <w:tcPr>
            <w:tcW w:w="3617" w:type="pct"/>
            <w:vAlign w:val="center"/>
          </w:tcPr>
          <w:p w14:paraId="2A818EA7">
            <w:pPr>
              <w:spacing w:line="400" w:lineRule="exact"/>
              <w:rPr>
                <w:rFonts w:ascii="宋体" w:hAnsi="宋体" w:cs="宋体"/>
                <w:color w:val="auto"/>
                <w:szCs w:val="21"/>
                <w:highlight w:val="none"/>
              </w:rPr>
            </w:pPr>
            <w:r>
              <w:rPr>
                <w:rFonts w:hint="eastAsia" w:ascii="宋体" w:hAnsi="宋体" w:cs="宋体"/>
                <w:color w:val="auto"/>
                <w:szCs w:val="21"/>
                <w:highlight w:val="none"/>
              </w:rPr>
              <w:t>供应商资格条件要求详见公告。</w:t>
            </w:r>
          </w:p>
        </w:tc>
      </w:tr>
      <w:tr w14:paraId="45AF63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Align w:val="center"/>
          </w:tcPr>
          <w:p w14:paraId="0A0560B4">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5.1</w:t>
            </w:r>
          </w:p>
        </w:tc>
        <w:tc>
          <w:tcPr>
            <w:tcW w:w="737" w:type="pct"/>
            <w:vAlign w:val="center"/>
          </w:tcPr>
          <w:p w14:paraId="0B5B806F">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是否接受联合体竞标</w:t>
            </w:r>
          </w:p>
        </w:tc>
        <w:tc>
          <w:tcPr>
            <w:tcW w:w="3617" w:type="pct"/>
            <w:vAlign w:val="center"/>
          </w:tcPr>
          <w:p w14:paraId="505AC7CA">
            <w:pPr>
              <w:spacing w:line="400" w:lineRule="exact"/>
              <w:rPr>
                <w:rFonts w:ascii="宋体" w:hAnsi="宋体" w:cs="宋体"/>
                <w:color w:val="auto"/>
                <w:szCs w:val="21"/>
                <w:highlight w:val="none"/>
              </w:rPr>
            </w:pPr>
            <w:r>
              <w:rPr>
                <w:rFonts w:hint="eastAsia" w:ascii="宋体" w:hAnsi="宋体" w:cs="宋体"/>
                <w:color w:val="auto"/>
                <w:szCs w:val="21"/>
                <w:highlight w:val="none"/>
              </w:rPr>
              <w:t>否</w:t>
            </w:r>
          </w:p>
        </w:tc>
      </w:tr>
      <w:tr w14:paraId="7D9D0D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Align w:val="center"/>
          </w:tcPr>
          <w:p w14:paraId="74826A46">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6.1</w:t>
            </w:r>
          </w:p>
        </w:tc>
        <w:tc>
          <w:tcPr>
            <w:tcW w:w="737" w:type="pct"/>
            <w:vAlign w:val="center"/>
          </w:tcPr>
          <w:p w14:paraId="4A33FAB0">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是否允许分包</w:t>
            </w:r>
          </w:p>
        </w:tc>
        <w:tc>
          <w:tcPr>
            <w:tcW w:w="3617" w:type="pct"/>
            <w:vAlign w:val="center"/>
          </w:tcPr>
          <w:p w14:paraId="47250422">
            <w:pPr>
              <w:pStyle w:val="18"/>
              <w:spacing w:line="400" w:lineRule="exact"/>
              <w:jc w:val="both"/>
              <w:rPr>
                <w:rFonts w:ascii="宋体" w:hAnsi="宋体" w:cs="宋体"/>
                <w:color w:val="auto"/>
                <w:sz w:val="21"/>
                <w:szCs w:val="22"/>
                <w:highlight w:val="none"/>
              </w:rPr>
            </w:pPr>
            <w:r>
              <w:rPr>
                <w:rFonts w:hint="eastAsia" w:ascii="宋体" w:hAnsi="宋体" w:cs="宋体"/>
                <w:color w:val="auto"/>
                <w:sz w:val="24"/>
                <w:highlight w:val="none"/>
              </w:rPr>
              <w:t>☑</w:t>
            </w:r>
            <w:r>
              <w:rPr>
                <w:rFonts w:hint="eastAsia" w:ascii="宋体" w:hAnsi="宋体" w:cs="宋体"/>
                <w:color w:val="auto"/>
                <w:sz w:val="21"/>
                <w:szCs w:val="22"/>
                <w:highlight w:val="none"/>
              </w:rPr>
              <w:t>不允许分包</w:t>
            </w:r>
          </w:p>
          <w:p w14:paraId="721C7027">
            <w:pPr>
              <w:pStyle w:val="18"/>
              <w:spacing w:line="400" w:lineRule="exact"/>
              <w:jc w:val="both"/>
              <w:rPr>
                <w:rFonts w:ascii="宋体" w:hAnsi="宋体" w:cs="宋体"/>
                <w:color w:val="auto"/>
                <w:sz w:val="21"/>
                <w:szCs w:val="22"/>
                <w:highlight w:val="none"/>
              </w:rPr>
            </w:pPr>
            <w:r>
              <w:rPr>
                <w:rFonts w:hint="eastAsia" w:ascii="宋体" w:hAnsi="宋体" w:cs="宋体"/>
                <w:color w:val="auto"/>
                <w:sz w:val="21"/>
                <w:szCs w:val="22"/>
                <w:highlight w:val="none"/>
              </w:rPr>
              <w:t>□允许分包</w:t>
            </w:r>
          </w:p>
          <w:p w14:paraId="48078646">
            <w:pPr>
              <w:pStyle w:val="18"/>
              <w:spacing w:line="400" w:lineRule="exact"/>
              <w:jc w:val="both"/>
              <w:rPr>
                <w:rFonts w:ascii="宋体" w:hAnsi="宋体" w:cs="宋体"/>
                <w:color w:val="auto"/>
                <w:sz w:val="21"/>
                <w:szCs w:val="22"/>
                <w:highlight w:val="none"/>
              </w:rPr>
            </w:pPr>
            <w:r>
              <w:rPr>
                <w:rFonts w:hint="eastAsia" w:ascii="宋体" w:hAnsi="宋体" w:cs="宋体"/>
                <w:color w:val="auto"/>
                <w:sz w:val="21"/>
                <w:szCs w:val="22"/>
                <w:highlight w:val="none"/>
              </w:rPr>
              <w:t>分包内容：/。</w:t>
            </w:r>
          </w:p>
          <w:p w14:paraId="63B6F9E1">
            <w:pPr>
              <w:pStyle w:val="18"/>
              <w:spacing w:line="400" w:lineRule="exact"/>
              <w:jc w:val="both"/>
              <w:rPr>
                <w:rFonts w:ascii="宋体" w:hAnsi="宋体" w:cs="宋体"/>
                <w:color w:val="auto"/>
                <w:szCs w:val="21"/>
                <w:highlight w:val="none"/>
              </w:rPr>
            </w:pPr>
            <w:r>
              <w:rPr>
                <w:rFonts w:hint="eastAsia" w:ascii="宋体" w:hAnsi="宋体" w:cs="宋体"/>
                <w:color w:val="auto"/>
                <w:sz w:val="21"/>
                <w:szCs w:val="22"/>
                <w:highlight w:val="none"/>
              </w:rPr>
              <w:t>分包金额或者比例：/。</w:t>
            </w:r>
          </w:p>
        </w:tc>
      </w:tr>
      <w:tr w14:paraId="211F3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5" w:hRule="atLeast"/>
          <w:jc w:val="center"/>
        </w:trPr>
        <w:tc>
          <w:tcPr>
            <w:tcW w:w="645" w:type="pct"/>
            <w:vAlign w:val="center"/>
          </w:tcPr>
          <w:p w14:paraId="0D17C1AC">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7.1</w:t>
            </w:r>
          </w:p>
        </w:tc>
        <w:tc>
          <w:tcPr>
            <w:tcW w:w="737" w:type="pct"/>
            <w:vAlign w:val="center"/>
          </w:tcPr>
          <w:p w14:paraId="636D9F33">
            <w:pPr>
              <w:snapToGrid w:val="0"/>
              <w:spacing w:line="400" w:lineRule="exact"/>
              <w:jc w:val="center"/>
              <w:rPr>
                <w:rFonts w:ascii="宋体" w:hAnsi="宋体" w:cs="宋体"/>
                <w:b/>
                <w:color w:val="auto"/>
                <w:szCs w:val="21"/>
                <w:highlight w:val="none"/>
              </w:rPr>
            </w:pPr>
            <w:r>
              <w:rPr>
                <w:rFonts w:ascii="宋体" w:hAnsi="宋体"/>
                <w:color w:val="auto"/>
                <w:szCs w:val="21"/>
                <w:highlight w:val="none"/>
              </w:rPr>
              <w:t>踏勘现场</w:t>
            </w:r>
          </w:p>
        </w:tc>
        <w:tc>
          <w:tcPr>
            <w:tcW w:w="3617" w:type="pct"/>
            <w:vAlign w:val="center"/>
          </w:tcPr>
          <w:p w14:paraId="7F815ECF">
            <w:pPr>
              <w:snapToGrid w:val="0"/>
              <w:spacing w:line="400" w:lineRule="exact"/>
              <w:rPr>
                <w:rFonts w:ascii="宋体" w:hAnsi="宋体" w:cs="宋体"/>
                <w:b/>
                <w:color w:val="auto"/>
                <w:szCs w:val="21"/>
                <w:highlight w:val="none"/>
              </w:rPr>
            </w:pPr>
            <w:r>
              <w:rPr>
                <w:rFonts w:hint="eastAsia" w:ascii="宋体" w:hAnsi="宋体" w:cs="宋体"/>
                <w:bCs/>
                <w:color w:val="auto"/>
                <w:szCs w:val="21"/>
                <w:highlight w:val="none"/>
              </w:rPr>
              <w:t>不组织，建议根据需要自行前往</w:t>
            </w:r>
            <w:r>
              <w:rPr>
                <w:rFonts w:ascii="宋体" w:hAnsi="宋体"/>
                <w:color w:val="auto"/>
                <w:szCs w:val="21"/>
                <w:highlight w:val="none"/>
              </w:rPr>
              <w:t>踏勘现场</w:t>
            </w:r>
            <w:r>
              <w:rPr>
                <w:rFonts w:hint="eastAsia" w:ascii="宋体" w:hAnsi="宋体"/>
                <w:color w:val="auto"/>
                <w:szCs w:val="21"/>
                <w:highlight w:val="none"/>
              </w:rPr>
              <w:t>。</w:t>
            </w:r>
          </w:p>
        </w:tc>
      </w:tr>
      <w:tr w14:paraId="566B79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Align w:val="center"/>
          </w:tcPr>
          <w:p w14:paraId="44CDD4C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12.1.1</w:t>
            </w:r>
          </w:p>
        </w:tc>
        <w:tc>
          <w:tcPr>
            <w:tcW w:w="737" w:type="pct"/>
            <w:vAlign w:val="center"/>
          </w:tcPr>
          <w:p w14:paraId="2768F1FF">
            <w:pPr>
              <w:snapToGrid w:val="0"/>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资格证明</w:t>
            </w:r>
          </w:p>
          <w:p w14:paraId="0018885A">
            <w:pPr>
              <w:snapToGrid w:val="0"/>
              <w:spacing w:line="400" w:lineRule="exact"/>
              <w:jc w:val="center"/>
              <w:rPr>
                <w:rFonts w:ascii="宋体" w:hAnsi="宋体" w:cs="宋体"/>
                <w:b/>
                <w:color w:val="auto"/>
                <w:szCs w:val="21"/>
                <w:highlight w:val="none"/>
              </w:rPr>
            </w:pPr>
            <w:r>
              <w:rPr>
                <w:rFonts w:hint="eastAsia" w:ascii="宋体" w:hAnsi="宋体" w:cs="宋体"/>
                <w:b/>
                <w:color w:val="auto"/>
                <w:szCs w:val="21"/>
                <w:highlight w:val="none"/>
              </w:rPr>
              <w:t>文件组成</w:t>
            </w:r>
          </w:p>
        </w:tc>
        <w:tc>
          <w:tcPr>
            <w:tcW w:w="3617" w:type="pct"/>
          </w:tcPr>
          <w:p w14:paraId="48338776">
            <w:pPr>
              <w:widowControl/>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1.北海市政府采购供应商信用承诺函（格式后附）；（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BE09E7E">
            <w:pPr>
              <w:wordWrap w:val="0"/>
              <w:snapToGrid w:val="0"/>
              <w:spacing w:line="360" w:lineRule="auto"/>
              <w:jc w:val="left"/>
              <w:rPr>
                <w:rFonts w:ascii="宋体" w:hAnsi="宋体" w:cs="宋体"/>
                <w:color w:val="auto"/>
                <w:szCs w:val="21"/>
                <w:highlight w:val="none"/>
              </w:rPr>
            </w:pPr>
            <w:r>
              <w:rPr>
                <w:rFonts w:hint="eastAsia" w:ascii="宋体" w:hAnsi="宋体" w:cs="宋体"/>
                <w:color w:val="auto"/>
                <w:szCs w:val="21"/>
                <w:highlight w:val="none"/>
              </w:rPr>
              <w:t>2. 供应商直接控股股东信息表（格式后附）；（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32D5370">
            <w:pPr>
              <w:widowControl/>
              <w:snapToGrid w:val="0"/>
              <w:spacing w:line="360" w:lineRule="auto"/>
              <w:rPr>
                <w:rFonts w:ascii="宋体" w:hAnsi="宋体" w:cs="宋体"/>
                <w:color w:val="auto"/>
                <w:szCs w:val="21"/>
                <w:highlight w:val="none"/>
              </w:rPr>
            </w:pPr>
            <w:r>
              <w:rPr>
                <w:rFonts w:hint="eastAsia" w:ascii="宋体" w:hAnsi="宋体"/>
                <w:color w:val="auto"/>
                <w:szCs w:val="21"/>
                <w:highlight w:val="none"/>
              </w:rPr>
              <w:t xml:space="preserve">3. </w:t>
            </w:r>
            <w:r>
              <w:rPr>
                <w:rFonts w:hint="eastAsia" w:ascii="宋体" w:hAnsi="宋体" w:cs="宋体"/>
                <w:color w:val="auto"/>
                <w:szCs w:val="21"/>
                <w:highlight w:val="none"/>
              </w:rPr>
              <w:t>供应商直接管理关系信息表（格式后附）（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CE6DFB5">
            <w:pPr>
              <w:widowControl/>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4. 竞标声明（格式后附）；（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3020EB83">
            <w:pPr>
              <w:widowControl/>
              <w:snapToGrid w:val="0"/>
              <w:spacing w:line="360" w:lineRule="auto"/>
              <w:rPr>
                <w:rFonts w:ascii="宋体" w:hAnsi="宋体" w:cs="宋体"/>
                <w:color w:val="auto"/>
                <w:szCs w:val="21"/>
                <w:highlight w:val="none"/>
              </w:rPr>
            </w:pPr>
            <w:r>
              <w:rPr>
                <w:rFonts w:hint="eastAsia" w:ascii="宋体" w:hAnsi="宋体"/>
                <w:color w:val="auto"/>
                <w:highlight w:val="none"/>
              </w:rPr>
              <w:t>5. 落实政府采购政策需满足的资格要求：中小企业声明函或者残疾人福利性单位声明函或者供应商属于监狱企业的证明材料（格式后附）；</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9F7C260">
            <w:pPr>
              <w:pStyle w:val="18"/>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6. 采购人或采购代理机构根据竞争性磋商公告对应的特定资格要求及特定条件设置供应商提供的资格证明材料：</w:t>
            </w:r>
            <w:r>
              <w:rPr>
                <w:rFonts w:hint="eastAsia" w:ascii="宋体" w:hAnsi="宋体" w:cs="宋体"/>
                <w:b/>
                <w:bCs/>
                <w:color w:val="auto"/>
                <w:sz w:val="21"/>
                <w:szCs w:val="21"/>
                <w:highlight w:val="none"/>
              </w:rPr>
              <w:t>（必须提供，否则响应文件按无效响应处理）</w:t>
            </w:r>
          </w:p>
          <w:p w14:paraId="30E8C926">
            <w:pPr>
              <w:pStyle w:val="18"/>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6.1 供应商提供有效的水利水电工程施工总承包叁级或叁级以上资质证书复印件、安全生产许可证复印件；</w:t>
            </w:r>
          </w:p>
          <w:p w14:paraId="6D797C69">
            <w:pPr>
              <w:pStyle w:val="18"/>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6.2 拟派项目经理提供有效的水利水电工程专业贰级或贰级以上注册建造师执业资格证书、有效的安全生产考核合格证书（B类）复印件；</w:t>
            </w:r>
          </w:p>
          <w:p w14:paraId="68A6BE87">
            <w:pPr>
              <w:pStyle w:val="18"/>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6.3 拟派技术负责人提供有效的中级或中级以上技术职称复印件，专业是水利水电工程类专业（专业以技术职称证书所填写专业为准）；</w:t>
            </w:r>
          </w:p>
          <w:p w14:paraId="5FE840F2">
            <w:pPr>
              <w:pStyle w:val="18"/>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6.4 拟派安全员提供有效的安全生产考核合格证书(C类)，施工员、质检员提供有效的相应施工现场专业人员职业培训合格证书；</w:t>
            </w:r>
          </w:p>
          <w:p w14:paraId="6C106013">
            <w:pPr>
              <w:spacing w:line="360" w:lineRule="auto"/>
              <w:jc w:val="left"/>
              <w:rPr>
                <w:rFonts w:ascii="宋体" w:hAnsi="宋体" w:cs="宋体"/>
                <w:color w:val="auto"/>
                <w:szCs w:val="21"/>
                <w:highlight w:val="none"/>
              </w:rPr>
            </w:pPr>
            <w:r>
              <w:rPr>
                <w:rFonts w:hint="eastAsia" w:ascii="宋体" w:hAnsi="宋体"/>
                <w:color w:val="auto"/>
                <w:szCs w:val="21"/>
                <w:highlight w:val="none"/>
              </w:rPr>
              <w:t xml:space="preserve">7. </w:t>
            </w:r>
            <w:r>
              <w:rPr>
                <w:rFonts w:hint="eastAsia" w:ascii="宋体" w:hAnsi="宋体" w:cs="宋体"/>
                <w:color w:val="auto"/>
                <w:szCs w:val="21"/>
                <w:highlight w:val="none"/>
              </w:rPr>
              <w:t>除磋商文件规定必须提供以外，供应商认为需要提供的其他证明材料；</w:t>
            </w:r>
          </w:p>
          <w:p w14:paraId="4B42A2C7">
            <w:pPr>
              <w:spacing w:line="360" w:lineRule="auto"/>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注：以上标明“必须提供”的材料属于原件的扫描件的，必须加盖供应商电子公章，否则响应文件按无效响应处理。</w:t>
            </w:r>
          </w:p>
        </w:tc>
      </w:tr>
      <w:tr w14:paraId="65252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Align w:val="center"/>
          </w:tcPr>
          <w:p w14:paraId="74116E86">
            <w:pPr>
              <w:spacing w:line="400" w:lineRule="exact"/>
              <w:rPr>
                <w:rFonts w:ascii="宋体" w:hAnsi="宋体" w:cs="宋体"/>
                <w:color w:val="auto"/>
                <w:szCs w:val="21"/>
                <w:highlight w:val="none"/>
              </w:rPr>
            </w:pPr>
            <w:r>
              <w:rPr>
                <w:rFonts w:hint="eastAsia" w:ascii="宋体" w:hAnsi="宋体" w:cs="宋体"/>
                <w:color w:val="auto"/>
                <w:szCs w:val="21"/>
                <w:highlight w:val="none"/>
              </w:rPr>
              <w:t>12.1.2</w:t>
            </w:r>
          </w:p>
        </w:tc>
        <w:tc>
          <w:tcPr>
            <w:tcW w:w="737" w:type="pct"/>
            <w:vAlign w:val="center"/>
          </w:tcPr>
          <w:p w14:paraId="5BC9FE98">
            <w:pPr>
              <w:widowControl/>
              <w:spacing w:line="360" w:lineRule="auto"/>
              <w:rPr>
                <w:rFonts w:ascii="宋体" w:hAnsi="宋体" w:cs="宋体"/>
                <w:b/>
                <w:bCs/>
                <w:color w:val="auto"/>
                <w:szCs w:val="22"/>
                <w:highlight w:val="none"/>
              </w:rPr>
            </w:pPr>
            <w:r>
              <w:rPr>
                <w:rFonts w:hint="eastAsia" w:ascii="宋体" w:hAnsi="宋体" w:cs="宋体"/>
                <w:b/>
                <w:bCs/>
                <w:color w:val="auto"/>
                <w:szCs w:val="21"/>
                <w:highlight w:val="none"/>
              </w:rPr>
              <w:t>报价商务技术文件</w:t>
            </w:r>
          </w:p>
        </w:tc>
        <w:tc>
          <w:tcPr>
            <w:tcW w:w="3617" w:type="pct"/>
            <w:vAlign w:val="center"/>
          </w:tcPr>
          <w:p w14:paraId="6F38E70E">
            <w:pPr>
              <w:widowControl/>
              <w:spacing w:line="360" w:lineRule="auto"/>
              <w:rPr>
                <w:rFonts w:ascii="宋体" w:hAnsi="宋体" w:cs="宋体"/>
                <w:color w:val="auto"/>
                <w:szCs w:val="21"/>
                <w:highlight w:val="none"/>
              </w:rPr>
            </w:pPr>
            <w:r>
              <w:rPr>
                <w:rFonts w:hint="eastAsia" w:ascii="宋体" w:hAnsi="宋体" w:cs="宋体"/>
                <w:color w:val="auto"/>
                <w:szCs w:val="21"/>
                <w:highlight w:val="none"/>
              </w:rPr>
              <w:t>1.无串通竞标行为的承诺函（格式后附）；（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7504FC1E">
            <w:pPr>
              <w:widowControl/>
              <w:spacing w:line="360" w:lineRule="auto"/>
              <w:rPr>
                <w:rFonts w:ascii="宋体" w:hAnsi="宋体" w:cs="宋体"/>
                <w:color w:val="auto"/>
                <w:szCs w:val="21"/>
                <w:highlight w:val="none"/>
              </w:rPr>
            </w:pPr>
            <w:r>
              <w:rPr>
                <w:rFonts w:hint="eastAsia" w:ascii="宋体" w:hAnsi="宋体" w:cs="宋体"/>
                <w:color w:val="auto"/>
                <w:szCs w:val="21"/>
                <w:highlight w:val="none"/>
              </w:rPr>
              <w:t>2. 磋商函及其附录、磋商报价表（格式后附）；（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B490ACD">
            <w:pPr>
              <w:widowControl/>
              <w:snapToGrid w:val="0"/>
              <w:spacing w:line="360" w:lineRule="auto"/>
              <w:rPr>
                <w:rFonts w:ascii="宋体" w:hAnsi="宋体" w:cs="宋体"/>
                <w:color w:val="auto"/>
                <w:szCs w:val="21"/>
                <w:highlight w:val="none"/>
              </w:rPr>
            </w:pPr>
            <w:r>
              <w:rPr>
                <w:rFonts w:hint="eastAsia" w:ascii="宋体" w:hAnsi="宋体" w:cs="宋体"/>
                <w:color w:val="auto"/>
                <w:szCs w:val="21"/>
                <w:highlight w:val="none"/>
              </w:rPr>
              <w:t>3.法定代表人身份证明书及法定代表人有效身份证正反面复印件（格式后附）；（</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C3036B6">
            <w:pPr>
              <w:widowControl/>
              <w:spacing w:line="360" w:lineRule="auto"/>
              <w:rPr>
                <w:rFonts w:ascii="宋体" w:hAnsi="宋体" w:cs="宋体"/>
                <w:color w:val="auto"/>
                <w:szCs w:val="21"/>
                <w:highlight w:val="none"/>
              </w:rPr>
            </w:pPr>
            <w:r>
              <w:rPr>
                <w:rFonts w:hint="eastAsia" w:ascii="宋体" w:hAnsi="宋体" w:cs="宋体"/>
                <w:color w:val="auto"/>
                <w:szCs w:val="21"/>
                <w:highlight w:val="none"/>
              </w:rPr>
              <w:t>4.法定代表人授权委托书及委托代理人有效身份证正反面复印件（格式后附）；（</w:t>
            </w:r>
            <w:r>
              <w:rPr>
                <w:rFonts w:hint="eastAsia" w:ascii="宋体" w:hAnsi="宋体" w:cs="宋体"/>
                <w:b/>
                <w:color w:val="auto"/>
                <w:szCs w:val="21"/>
                <w:highlight w:val="none"/>
              </w:rPr>
              <w:t>委托时必须提供，否则响应文件按无效响应处理</w:t>
            </w:r>
            <w:r>
              <w:rPr>
                <w:rFonts w:hint="eastAsia" w:ascii="宋体" w:hAnsi="宋体" w:cs="宋体"/>
                <w:color w:val="auto"/>
                <w:szCs w:val="21"/>
                <w:highlight w:val="none"/>
              </w:rPr>
              <w:t>）</w:t>
            </w:r>
          </w:p>
          <w:p w14:paraId="00AFAE9A">
            <w:pPr>
              <w:widowControl/>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5. </w:t>
            </w:r>
            <w:r>
              <w:rPr>
                <w:rFonts w:hint="eastAsia" w:ascii="宋体" w:hAnsi="宋体" w:cs="宋体"/>
                <w:color w:val="auto"/>
                <w:spacing w:val="-2"/>
                <w:szCs w:val="21"/>
                <w:highlight w:val="none"/>
              </w:rPr>
              <w:t>已标价的工程量清单</w:t>
            </w:r>
            <w:r>
              <w:rPr>
                <w:rFonts w:hint="eastAsia" w:ascii="宋体" w:hAnsi="宋体" w:cs="宋体"/>
                <w:b/>
                <w:bCs/>
                <w:color w:val="auto"/>
                <w:spacing w:val="-2"/>
                <w:szCs w:val="21"/>
                <w:highlight w:val="none"/>
              </w:rPr>
              <w:t>（必须提供，否则响应文件按无效响应处理，价格合计须与磋</w:t>
            </w:r>
            <w:r>
              <w:rPr>
                <w:rFonts w:hint="eastAsia" w:ascii="宋体" w:hAnsi="宋体" w:cs="宋体"/>
                <w:b/>
                <w:bCs/>
                <w:color w:val="auto"/>
                <w:spacing w:val="-10"/>
                <w:szCs w:val="21"/>
                <w:highlight w:val="none"/>
              </w:rPr>
              <w:t>商总报价一致，如磋商后提交最终报价总价改变，则须相应调整并提交已标价工程量</w:t>
            </w:r>
            <w:r>
              <w:rPr>
                <w:rFonts w:hint="eastAsia" w:ascii="宋体" w:hAnsi="宋体" w:cs="宋体"/>
                <w:b/>
                <w:bCs/>
                <w:color w:val="auto"/>
                <w:szCs w:val="21"/>
                <w:highlight w:val="none"/>
              </w:rPr>
              <w:t>清单）；</w:t>
            </w:r>
          </w:p>
          <w:p w14:paraId="6EC9EC2F">
            <w:pPr>
              <w:pStyle w:val="20"/>
              <w:widowControl/>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6. 供应商廉政承诺（格式后附）；（</w:t>
            </w:r>
            <w:r>
              <w:rPr>
                <w:rFonts w:hint="eastAsia" w:ascii="宋体" w:hAnsi="宋体" w:cs="宋体"/>
                <w:b/>
                <w:color w:val="auto"/>
                <w:sz w:val="21"/>
                <w:szCs w:val="21"/>
                <w:highlight w:val="none"/>
              </w:rPr>
              <w:t>必须提供，否则响应文件按无效响应处理</w:t>
            </w:r>
            <w:r>
              <w:rPr>
                <w:rFonts w:hint="eastAsia" w:ascii="宋体" w:hAnsi="宋体" w:cs="宋体"/>
                <w:color w:val="auto"/>
                <w:sz w:val="21"/>
                <w:szCs w:val="21"/>
                <w:highlight w:val="none"/>
              </w:rPr>
              <w:t>）</w:t>
            </w:r>
          </w:p>
          <w:p w14:paraId="5376C7A7">
            <w:pPr>
              <w:widowControl/>
              <w:spacing w:line="360" w:lineRule="auto"/>
              <w:rPr>
                <w:rFonts w:ascii="宋体" w:hAnsi="宋体" w:cs="宋体"/>
                <w:color w:val="auto"/>
                <w:szCs w:val="21"/>
                <w:highlight w:val="none"/>
              </w:rPr>
            </w:pPr>
            <w:r>
              <w:rPr>
                <w:rFonts w:hint="eastAsia" w:ascii="宋体" w:hAnsi="宋体" w:cs="宋体"/>
                <w:color w:val="auto"/>
                <w:szCs w:val="21"/>
                <w:highlight w:val="none"/>
              </w:rPr>
              <w:t>7. 建设工程项目管理承诺书；（</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ED62B5C">
            <w:pPr>
              <w:widowControl/>
              <w:spacing w:line="360" w:lineRule="auto"/>
              <w:rPr>
                <w:rFonts w:ascii="宋体" w:hAnsi="宋体" w:cs="宋体"/>
                <w:color w:val="auto"/>
                <w:szCs w:val="21"/>
                <w:highlight w:val="none"/>
              </w:rPr>
            </w:pPr>
            <w:r>
              <w:rPr>
                <w:rFonts w:hint="eastAsia" w:ascii="宋体" w:hAnsi="宋体" w:cs="宋体"/>
                <w:color w:val="auto"/>
                <w:szCs w:val="21"/>
                <w:highlight w:val="none"/>
              </w:rPr>
              <w:t>8. 施工组织计划书（格式自拟）；（</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494A2C28">
            <w:pPr>
              <w:widowControl/>
              <w:spacing w:line="360" w:lineRule="auto"/>
              <w:rPr>
                <w:rFonts w:ascii="宋体" w:hAnsi="宋体" w:cs="宋体"/>
                <w:color w:val="auto"/>
                <w:szCs w:val="21"/>
                <w:highlight w:val="none"/>
              </w:rPr>
            </w:pPr>
            <w:r>
              <w:rPr>
                <w:rFonts w:hint="eastAsia" w:ascii="宋体" w:hAnsi="宋体" w:cs="宋体"/>
                <w:color w:val="auto"/>
                <w:szCs w:val="21"/>
                <w:highlight w:val="none"/>
              </w:rPr>
              <w:t>9. 项目管理机构配备情况表（格式附后）；</w:t>
            </w:r>
          </w:p>
          <w:p w14:paraId="3D8CDC2A">
            <w:pPr>
              <w:widowControl/>
              <w:spacing w:line="360" w:lineRule="auto"/>
              <w:rPr>
                <w:rFonts w:ascii="宋体" w:hAnsi="宋体" w:cs="宋体"/>
                <w:color w:val="auto"/>
                <w:szCs w:val="21"/>
                <w:highlight w:val="none"/>
              </w:rPr>
            </w:pPr>
            <w:r>
              <w:rPr>
                <w:rFonts w:hint="eastAsia" w:ascii="宋体" w:hAnsi="宋体" w:cs="宋体"/>
                <w:color w:val="auto"/>
                <w:szCs w:val="21"/>
                <w:highlight w:val="none"/>
              </w:rPr>
              <w:t>10.售后服务承诺书（格式自拟）；</w:t>
            </w:r>
          </w:p>
          <w:p w14:paraId="5FE704BB">
            <w:pPr>
              <w:widowControl/>
              <w:spacing w:line="360" w:lineRule="auto"/>
              <w:rPr>
                <w:rFonts w:ascii="宋体" w:hAnsi="宋体" w:cs="宋体"/>
                <w:color w:val="auto"/>
                <w:szCs w:val="21"/>
                <w:highlight w:val="none"/>
              </w:rPr>
            </w:pPr>
            <w:r>
              <w:rPr>
                <w:rFonts w:hint="eastAsia" w:ascii="宋体" w:hAnsi="宋体" w:cs="宋体"/>
                <w:color w:val="auto"/>
                <w:szCs w:val="21"/>
                <w:highlight w:val="none"/>
              </w:rPr>
              <w:t>11.对应项目发包要求提供的其他有关资料（格式自拟）；</w:t>
            </w:r>
          </w:p>
          <w:p w14:paraId="3CAD7318">
            <w:pPr>
              <w:spacing w:line="400" w:lineRule="exact"/>
              <w:contextualSpacing/>
              <w:rPr>
                <w:rFonts w:ascii="宋体" w:hAnsi="宋体" w:cs="宋体"/>
                <w:b/>
                <w:color w:val="auto"/>
                <w:szCs w:val="21"/>
                <w:highlight w:val="none"/>
              </w:rPr>
            </w:pPr>
            <w:r>
              <w:rPr>
                <w:rFonts w:hint="eastAsia" w:ascii="宋体" w:hAnsi="宋体" w:cs="宋体"/>
                <w:b/>
                <w:color w:val="auto"/>
                <w:szCs w:val="21"/>
                <w:highlight w:val="none"/>
              </w:rPr>
              <w:t>注：以上标明“必须提供”的材料属于复印件的扫描件的，必须加盖供应商电子公章，否则响应文件按无效响应处理。</w:t>
            </w:r>
          </w:p>
        </w:tc>
      </w:tr>
      <w:tr w14:paraId="3290D7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Align w:val="center"/>
          </w:tcPr>
          <w:p w14:paraId="5E7767A1">
            <w:pPr>
              <w:spacing w:line="400" w:lineRule="exact"/>
              <w:rPr>
                <w:rFonts w:ascii="宋体" w:hAnsi="宋体" w:cs="宋体"/>
                <w:color w:val="auto"/>
                <w:szCs w:val="21"/>
                <w:highlight w:val="none"/>
              </w:rPr>
            </w:pPr>
            <w:r>
              <w:rPr>
                <w:rFonts w:hint="eastAsia" w:ascii="宋体" w:hAnsi="宋体" w:cs="宋体"/>
                <w:color w:val="auto"/>
                <w:szCs w:val="21"/>
                <w:highlight w:val="none"/>
              </w:rPr>
              <w:t>12.2</w:t>
            </w:r>
          </w:p>
        </w:tc>
        <w:tc>
          <w:tcPr>
            <w:tcW w:w="737" w:type="pct"/>
            <w:vAlign w:val="center"/>
          </w:tcPr>
          <w:p w14:paraId="25CF833A">
            <w:pPr>
              <w:spacing w:line="400" w:lineRule="exact"/>
              <w:rPr>
                <w:rFonts w:ascii="宋体" w:hAnsi="宋体" w:cs="宋体"/>
                <w:color w:val="auto"/>
                <w:szCs w:val="21"/>
                <w:highlight w:val="none"/>
              </w:rPr>
            </w:pPr>
            <w:r>
              <w:rPr>
                <w:rFonts w:hint="eastAsia" w:ascii="宋体" w:hAnsi="宋体" w:cs="宋体"/>
                <w:color w:val="auto"/>
                <w:szCs w:val="21"/>
                <w:highlight w:val="none"/>
              </w:rPr>
              <w:t>响应文件电子版要求</w:t>
            </w:r>
          </w:p>
        </w:tc>
        <w:tc>
          <w:tcPr>
            <w:tcW w:w="3617" w:type="pct"/>
            <w:vAlign w:val="center"/>
          </w:tcPr>
          <w:p w14:paraId="24EA0597">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1.响应文件电子版要求：按照本采购文件“第六章 响应文件格式”编写（第六章未附格式的，由供应商自行拟定），不可涂改并在规定加盖公章处加盖电子公章，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40E52A34">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2.响应文件电子版密封方式：电子响应文件通过平台有效CA加密后在“</w:t>
            </w:r>
            <w:r>
              <w:rPr>
                <w:rFonts w:hint="eastAsia" w:ascii="宋体" w:hAnsi="宋体" w:cs="宋体"/>
                <w:color w:val="auto"/>
                <w:highlight w:val="none"/>
              </w:rPr>
              <w:t>广西政府采购云平台</w:t>
            </w:r>
            <w:r>
              <w:rPr>
                <w:rFonts w:hint="eastAsia" w:ascii="宋体" w:hAnsi="宋体" w:cs="宋体"/>
                <w:color w:val="auto"/>
                <w:szCs w:val="21"/>
                <w:highlight w:val="none"/>
              </w:rPr>
              <w:t>”投送。（操作方式见公告附件“电子响应文件制作与投送教程” ）</w:t>
            </w:r>
          </w:p>
        </w:tc>
      </w:tr>
      <w:tr w14:paraId="3B8A88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Align w:val="center"/>
          </w:tcPr>
          <w:p w14:paraId="799A8081">
            <w:pPr>
              <w:spacing w:line="400" w:lineRule="exact"/>
              <w:rPr>
                <w:rFonts w:ascii="宋体" w:hAnsi="宋体" w:cs="宋体"/>
                <w:color w:val="auto"/>
                <w:szCs w:val="21"/>
                <w:highlight w:val="none"/>
              </w:rPr>
            </w:pPr>
            <w:r>
              <w:rPr>
                <w:rFonts w:hint="eastAsia" w:ascii="宋体" w:hAnsi="宋体" w:cs="宋体"/>
                <w:color w:val="auto"/>
                <w:szCs w:val="21"/>
                <w:highlight w:val="none"/>
              </w:rPr>
              <w:t>15.2</w:t>
            </w:r>
          </w:p>
        </w:tc>
        <w:tc>
          <w:tcPr>
            <w:tcW w:w="737" w:type="pct"/>
            <w:vAlign w:val="center"/>
          </w:tcPr>
          <w:p w14:paraId="3740BB71">
            <w:pPr>
              <w:spacing w:line="400" w:lineRule="exact"/>
              <w:rPr>
                <w:rFonts w:ascii="宋体" w:hAnsi="宋体" w:cs="宋体"/>
                <w:color w:val="auto"/>
                <w:szCs w:val="21"/>
                <w:highlight w:val="none"/>
              </w:rPr>
            </w:pPr>
            <w:r>
              <w:rPr>
                <w:rFonts w:hint="eastAsia" w:ascii="宋体" w:hAnsi="宋体" w:cs="宋体"/>
                <w:color w:val="auto"/>
                <w:szCs w:val="21"/>
                <w:highlight w:val="none"/>
              </w:rPr>
              <w:t>响应报价要求</w:t>
            </w:r>
          </w:p>
        </w:tc>
        <w:tc>
          <w:tcPr>
            <w:tcW w:w="3617" w:type="pct"/>
            <w:vAlign w:val="center"/>
          </w:tcPr>
          <w:p w14:paraId="4963AB27">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kern w:val="0"/>
                <w:szCs w:val="21"/>
                <w:highlight w:val="none"/>
              </w:rPr>
              <w:t>本工程招标控制价（最高限价）：1182788</w:t>
            </w:r>
            <w:r>
              <w:rPr>
                <w:rFonts w:hint="eastAsia" w:ascii="宋体" w:hAnsi="宋体" w:cs="宋体"/>
                <w:color w:val="auto"/>
                <w:kern w:val="0"/>
                <w:szCs w:val="21"/>
                <w:highlight w:val="none"/>
                <w:lang w:val="en-US" w:eastAsia="zh-CN"/>
              </w:rPr>
              <w:t>.</w:t>
            </w:r>
            <w:r>
              <w:rPr>
                <w:rFonts w:hint="eastAsia" w:ascii="宋体" w:hAnsi="宋体" w:cs="宋体"/>
                <w:color w:val="auto"/>
                <w:kern w:val="0"/>
                <w:szCs w:val="21"/>
                <w:highlight w:val="none"/>
              </w:rPr>
              <w:t>87元，</w:t>
            </w:r>
            <w:r>
              <w:rPr>
                <w:rFonts w:hint="eastAsia" w:ascii="宋体" w:hAnsi="宋体" w:cs="宋体"/>
                <w:color w:val="auto"/>
                <w:szCs w:val="21"/>
                <w:highlight w:val="none"/>
              </w:rPr>
              <w:t>响应报价不得高于最高限价，否则竞标无效。</w:t>
            </w:r>
          </w:p>
          <w:p w14:paraId="0FA9CD7D">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2.本项目的计税方式：</w:t>
            </w:r>
          </w:p>
          <w:p w14:paraId="003CF17B">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☑一般计税法         □简易计税法</w:t>
            </w:r>
          </w:p>
          <w:p w14:paraId="3D08B095">
            <w:pPr>
              <w:snapToGrid w:val="0"/>
              <w:spacing w:line="440" w:lineRule="exact"/>
              <w:rPr>
                <w:rFonts w:ascii="宋体" w:hAnsi="宋体" w:cs="宋体"/>
                <w:color w:val="auto"/>
                <w:szCs w:val="21"/>
                <w:highlight w:val="none"/>
              </w:rPr>
            </w:pPr>
            <w:r>
              <w:rPr>
                <w:rFonts w:hint="eastAsia" w:ascii="宋体" w:hAnsi="宋体" w:cs="宋体"/>
                <w:color w:val="auto"/>
                <w:szCs w:val="21"/>
                <w:highlight w:val="none"/>
              </w:rPr>
              <w:t>【备注：按照《关于全面推开营业税改征增值税试点的通知》（财税〔2016〕36号）规定，营改增后，建设工程计价分为一般计税方法和简易计税方法。除清包工工程、甲供工程的建设工程可采用简易计税方法外，其他一般纳税人提供建筑服务的建设工程，采用一般计税方法。】</w:t>
            </w:r>
          </w:p>
          <w:p w14:paraId="116B271D">
            <w:pPr>
              <w:snapToGrid w:val="0"/>
              <w:spacing w:line="440" w:lineRule="exact"/>
              <w:jc w:val="left"/>
              <w:rPr>
                <w:rFonts w:ascii="宋体" w:hAnsi="宋体"/>
                <w:color w:val="auto"/>
                <w:szCs w:val="21"/>
                <w:highlight w:val="none"/>
              </w:rPr>
            </w:pPr>
            <w:r>
              <w:rPr>
                <w:rFonts w:hint="eastAsia" w:ascii="宋体" w:hAnsi="宋体" w:cs="宋体"/>
                <w:color w:val="auto"/>
                <w:szCs w:val="21"/>
                <w:highlight w:val="none"/>
              </w:rPr>
              <w:t>3.</w:t>
            </w:r>
            <w:r>
              <w:rPr>
                <w:rFonts w:hint="eastAsia" w:ascii="宋体" w:hAnsi="宋体"/>
                <w:color w:val="auto"/>
                <w:szCs w:val="21"/>
                <w:highlight w:val="none"/>
              </w:rPr>
              <w:t>本工程磋商报价采用工程量清单报价。</w:t>
            </w:r>
          </w:p>
          <w:p w14:paraId="56C8435F">
            <w:pPr>
              <w:snapToGrid w:val="0"/>
              <w:spacing w:line="440" w:lineRule="exact"/>
              <w:jc w:val="left"/>
              <w:rPr>
                <w:rFonts w:ascii="宋体" w:hAnsi="宋体"/>
                <w:color w:val="auto"/>
                <w:szCs w:val="21"/>
                <w:highlight w:val="none"/>
              </w:rPr>
            </w:pPr>
            <w:r>
              <w:rPr>
                <w:rFonts w:hint="eastAsia" w:ascii="宋体" w:hAnsi="宋体"/>
                <w:color w:val="auto"/>
                <w:szCs w:val="21"/>
                <w:highlight w:val="none"/>
              </w:rPr>
              <w:t>（1)供应商必须就所竞标的全部内容作完整报价，漏项报价的或有选择的或有条件的报价，其竞标将视为无效。</w:t>
            </w:r>
          </w:p>
          <w:p w14:paraId="5BCD8A6C">
            <w:pPr>
              <w:snapToGrid w:val="0"/>
              <w:spacing w:line="440" w:lineRule="exact"/>
              <w:jc w:val="left"/>
              <w:rPr>
                <w:rFonts w:ascii="宋体" w:hAnsi="宋体"/>
                <w:color w:val="auto"/>
                <w:szCs w:val="21"/>
                <w:highlight w:val="none"/>
              </w:rPr>
            </w:pPr>
            <w:r>
              <w:rPr>
                <w:rFonts w:hint="eastAsia" w:ascii="宋体" w:hAnsi="宋体"/>
                <w:color w:val="auto"/>
                <w:szCs w:val="21"/>
                <w:highlight w:val="none"/>
              </w:rPr>
              <w:t>（2)本项目采用工程量清单报价方式，供应商应使用符合该数据交换标准的计价软件导入电子工程量清单，填写单价和计算总额价，完成已标价工程量清单的编制。严禁供应商修改工程量清单的项目结构、标段名称、单项工程名称、单位工程名称、项目编码、项目名称、项目特征、计量单位、工程量、清单顺序和序号。供应商不得对工程量清单项目进行增减调整。</w:t>
            </w:r>
          </w:p>
          <w:p w14:paraId="77443530">
            <w:pPr>
              <w:spacing w:line="440" w:lineRule="exact"/>
              <w:rPr>
                <w:rFonts w:hAnsi="宋体"/>
                <w:b/>
                <w:bCs/>
                <w:color w:val="auto"/>
                <w:szCs w:val="21"/>
                <w:highlight w:val="none"/>
              </w:rPr>
            </w:pPr>
            <w:r>
              <w:rPr>
                <w:rFonts w:hint="eastAsia" w:ascii="宋体" w:hAnsi="宋体"/>
                <w:color w:val="auto"/>
                <w:szCs w:val="21"/>
                <w:highlight w:val="none"/>
              </w:rPr>
              <w:t>（3）设计变更、签证工程的计价方法：①国家和自治区政策性调整有关费用标准的，按文件规定执行。②发包人招标预算编制说明中暂定的价格实际发生时由双方协商定价。③招标工程量清单中漏项、施工图纸上标有的内容施工时作为增加工程签证，结算时按实际发生工程量进行结算。</w:t>
            </w:r>
          </w:p>
          <w:p w14:paraId="0EB9581E">
            <w:pPr>
              <w:snapToGrid w:val="0"/>
              <w:spacing w:line="440" w:lineRule="exact"/>
              <w:jc w:val="left"/>
              <w:rPr>
                <w:rFonts w:ascii="宋体" w:hAnsi="宋体"/>
                <w:color w:val="auto"/>
                <w:szCs w:val="21"/>
                <w:highlight w:val="none"/>
              </w:rPr>
            </w:pPr>
            <w:r>
              <w:rPr>
                <w:rFonts w:hint="eastAsia" w:ascii="宋体" w:hAnsi="宋体"/>
                <w:color w:val="auto"/>
                <w:szCs w:val="21"/>
                <w:highlight w:val="none"/>
              </w:rPr>
              <w:t>（4）磋商单位应认真填写工程量清单中所列的所有各细目的单价和合价，填写工程量清单时应注意：</w:t>
            </w:r>
          </w:p>
          <w:p w14:paraId="77763D1A">
            <w:pPr>
              <w:snapToGrid w:val="0"/>
              <w:spacing w:line="440" w:lineRule="exact"/>
              <w:jc w:val="left"/>
              <w:rPr>
                <w:rFonts w:ascii="宋体" w:hAnsi="宋体"/>
                <w:color w:val="auto"/>
                <w:szCs w:val="21"/>
                <w:highlight w:val="none"/>
              </w:rPr>
            </w:pPr>
            <w:r>
              <w:rPr>
                <w:rFonts w:hint="eastAsia" w:ascii="宋体" w:hAnsi="宋体"/>
                <w:color w:val="auto"/>
                <w:szCs w:val="21"/>
                <w:highlight w:val="none"/>
              </w:rPr>
              <w:t>①有工程数量的应报单价和合价。</w:t>
            </w:r>
          </w:p>
          <w:p w14:paraId="0E131638">
            <w:pPr>
              <w:snapToGrid w:val="0"/>
              <w:spacing w:line="440" w:lineRule="exact"/>
              <w:jc w:val="left"/>
              <w:rPr>
                <w:rFonts w:ascii="宋体" w:hAnsi="宋体"/>
                <w:color w:val="auto"/>
                <w:szCs w:val="21"/>
                <w:highlight w:val="none"/>
              </w:rPr>
            </w:pPr>
            <w:r>
              <w:rPr>
                <w:rFonts w:hint="eastAsia" w:ascii="宋体" w:hAnsi="宋体"/>
                <w:color w:val="auto"/>
                <w:szCs w:val="21"/>
                <w:highlight w:val="none"/>
              </w:rPr>
              <w:t>②无工程数量的项目不报价。</w:t>
            </w:r>
          </w:p>
          <w:p w14:paraId="0D481AEB">
            <w:pPr>
              <w:snapToGrid w:val="0"/>
              <w:spacing w:line="440" w:lineRule="exact"/>
              <w:jc w:val="left"/>
              <w:rPr>
                <w:rFonts w:ascii="宋体" w:hAnsi="宋体"/>
                <w:color w:val="auto"/>
                <w:szCs w:val="21"/>
                <w:highlight w:val="none"/>
              </w:rPr>
            </w:pPr>
            <w:r>
              <w:rPr>
                <w:rFonts w:hint="eastAsia" w:ascii="宋体" w:hAnsi="宋体"/>
                <w:color w:val="auto"/>
                <w:szCs w:val="21"/>
                <w:highlight w:val="none"/>
              </w:rPr>
              <w:t>（5）磋商供应商应按采购代理机构提供的工程量清单中列出的工程项目和工程量填报单价和合价。每一项目只允许有一个报价。任何有选择的报价将不予接受。磋商供应商未填单价或合价的工程项目在实施后，采购人将不予以支付，并视为该项费用已包括在其他有价款的单价或合价内，磋商供应商必须完成工程量清单中未填入单价或总额价的工程细目，但不能得到支付与结算。</w:t>
            </w:r>
          </w:p>
          <w:p w14:paraId="223D622B">
            <w:pPr>
              <w:snapToGrid w:val="0"/>
              <w:spacing w:line="440" w:lineRule="exact"/>
              <w:jc w:val="left"/>
              <w:rPr>
                <w:rFonts w:ascii="宋体" w:hAnsi="宋体"/>
                <w:color w:val="auto"/>
                <w:szCs w:val="21"/>
                <w:highlight w:val="none"/>
              </w:rPr>
            </w:pPr>
            <w:r>
              <w:rPr>
                <w:rFonts w:hint="eastAsia" w:ascii="宋体" w:hAnsi="宋体"/>
                <w:color w:val="auto"/>
                <w:szCs w:val="21"/>
                <w:highlight w:val="none"/>
              </w:rPr>
              <w:t>（6）采购人所提供的工程量清单，应认为已包括按正常施工工艺完成工程量清单项目各单项的有关内容。凡工程量清单所示工程所必不可少的附属工程、相关工程、衔接与后续工程所需的费用，供应商应计入相关项目的单价中。</w:t>
            </w:r>
          </w:p>
          <w:p w14:paraId="27EBD953">
            <w:pPr>
              <w:snapToGrid w:val="0"/>
              <w:spacing w:line="440" w:lineRule="exact"/>
              <w:jc w:val="left"/>
              <w:rPr>
                <w:rFonts w:ascii="宋体" w:hAnsi="宋体"/>
                <w:color w:val="auto"/>
                <w:szCs w:val="21"/>
                <w:highlight w:val="none"/>
              </w:rPr>
            </w:pPr>
            <w:r>
              <w:rPr>
                <w:rFonts w:hint="eastAsia" w:ascii="宋体" w:hAnsi="宋体"/>
                <w:color w:val="auto"/>
                <w:szCs w:val="21"/>
                <w:highlight w:val="none"/>
              </w:rPr>
              <w:t>（7）供应商的竞标报价须按竞争性磋商文件及澄清答疑中所确认的工程量清单及清单顺序进行报价，否则，将视为实质上不响应竞争性磋商文件的要求。</w:t>
            </w:r>
          </w:p>
          <w:p w14:paraId="1DFD067E">
            <w:pPr>
              <w:snapToGrid w:val="0"/>
              <w:spacing w:line="440" w:lineRule="exact"/>
              <w:jc w:val="left"/>
              <w:rPr>
                <w:rFonts w:ascii="宋体" w:hAnsi="宋体"/>
                <w:color w:val="auto"/>
                <w:szCs w:val="21"/>
                <w:highlight w:val="none"/>
              </w:rPr>
            </w:pPr>
            <w:r>
              <w:rPr>
                <w:rFonts w:hint="eastAsia" w:ascii="宋体" w:hAnsi="宋体"/>
                <w:color w:val="auto"/>
                <w:szCs w:val="21"/>
                <w:highlight w:val="none"/>
              </w:rPr>
              <w:t>（8）按采购预算控制价明细施工，工程最终按实际工程结算。</w:t>
            </w:r>
          </w:p>
          <w:p w14:paraId="0EEED23D">
            <w:pPr>
              <w:snapToGrid w:val="0"/>
              <w:spacing w:line="440" w:lineRule="exact"/>
              <w:jc w:val="left"/>
              <w:rPr>
                <w:rFonts w:ascii="宋体" w:hAnsi="宋体"/>
                <w:color w:val="auto"/>
                <w:szCs w:val="21"/>
                <w:highlight w:val="none"/>
              </w:rPr>
            </w:pPr>
            <w:r>
              <w:rPr>
                <w:rFonts w:hint="eastAsia" w:ascii="宋体" w:hAnsi="宋体"/>
                <w:color w:val="auto"/>
                <w:szCs w:val="21"/>
                <w:highlight w:val="none"/>
              </w:rPr>
              <w:t>（9）承包方式：固定综合单价包干，包工包料。</w:t>
            </w:r>
          </w:p>
          <w:p w14:paraId="7B04260E">
            <w:pPr>
              <w:snapToGrid w:val="0"/>
              <w:spacing w:line="440" w:lineRule="exact"/>
              <w:jc w:val="left"/>
              <w:rPr>
                <w:rFonts w:ascii="宋体" w:hAnsi="宋体"/>
                <w:color w:val="auto"/>
                <w:szCs w:val="21"/>
                <w:highlight w:val="none"/>
              </w:rPr>
            </w:pPr>
            <w:r>
              <w:rPr>
                <w:rFonts w:hint="eastAsia" w:ascii="宋体" w:hAnsi="宋体"/>
                <w:color w:val="auto"/>
                <w:szCs w:val="21"/>
                <w:highlight w:val="none"/>
              </w:rPr>
              <w:t>（10）磋商供应商的临时占地（含预制厂、料厂、拌和站、借弃土场、项目部驻地等）租用费（含拆迁补偿）、临时用地的环保、恢复及所有临时性占地的青苗补偿及地面附着物发生的费用均由磋商供应商负责；由于磋商供应商原因引起工期延长造成磋商供应商临时占地的租用费增加由磋商供应商负责。以上费用在磋商价中自行考虑。</w:t>
            </w:r>
          </w:p>
          <w:p w14:paraId="6934D441">
            <w:pPr>
              <w:snapToGrid w:val="0"/>
              <w:spacing w:line="440" w:lineRule="exact"/>
              <w:jc w:val="left"/>
              <w:rPr>
                <w:rFonts w:ascii="宋体" w:hAnsi="宋体"/>
                <w:color w:val="auto"/>
                <w:szCs w:val="21"/>
                <w:highlight w:val="none"/>
              </w:rPr>
            </w:pPr>
            <w:r>
              <w:rPr>
                <w:rFonts w:hint="eastAsia" w:ascii="宋体" w:hAnsi="宋体"/>
                <w:color w:val="auto"/>
                <w:szCs w:val="21"/>
                <w:highlight w:val="none"/>
              </w:rPr>
              <w:t>（11）磋商供应商在报价中所报的单价和合价，以及磋商报价汇总表中的价格均包括完成该工程项目的成本、利润、税金、开办费、技术措施费、大型机械进出场费、风险费、政策性文件规定费用等所有费用。</w:t>
            </w:r>
          </w:p>
          <w:p w14:paraId="2ABFB47B">
            <w:pPr>
              <w:snapToGrid w:val="0"/>
              <w:spacing w:line="440" w:lineRule="exact"/>
              <w:jc w:val="left"/>
              <w:rPr>
                <w:rFonts w:ascii="宋体" w:hAnsi="宋体"/>
                <w:color w:val="auto"/>
                <w:szCs w:val="21"/>
                <w:highlight w:val="none"/>
              </w:rPr>
            </w:pPr>
            <w:r>
              <w:rPr>
                <w:rFonts w:hint="eastAsia" w:ascii="宋体" w:hAnsi="宋体"/>
                <w:color w:val="auto"/>
                <w:szCs w:val="21"/>
                <w:highlight w:val="none"/>
              </w:rPr>
              <w:t>（12）磋商供应商可先到工地踏勘以充分了解工地位置、情况、道路、储存空间、装卸限制及任何其他足以影响承包价的情况，任何因忽视或误解工地情况而导致的索赔或工期延长申请将不被批准。</w:t>
            </w:r>
          </w:p>
          <w:p w14:paraId="177B979F">
            <w:pPr>
              <w:snapToGrid w:val="0"/>
              <w:spacing w:line="440" w:lineRule="exact"/>
              <w:jc w:val="left"/>
              <w:rPr>
                <w:rFonts w:ascii="宋体" w:hAnsi="宋体"/>
                <w:color w:val="auto"/>
                <w:szCs w:val="21"/>
                <w:highlight w:val="none"/>
              </w:rPr>
            </w:pPr>
            <w:r>
              <w:rPr>
                <w:rFonts w:hint="eastAsia" w:ascii="宋体" w:hAnsi="宋体"/>
                <w:color w:val="auto"/>
                <w:szCs w:val="21"/>
                <w:highlight w:val="none"/>
              </w:rPr>
              <w:t>（13）磋商货币：响应文件报价中的单价和合价全部采用人民币表示。</w:t>
            </w:r>
          </w:p>
          <w:p w14:paraId="7B74666E">
            <w:pPr>
              <w:snapToGrid w:val="0"/>
              <w:spacing w:line="440" w:lineRule="exact"/>
              <w:rPr>
                <w:rFonts w:ascii="宋体" w:hAnsi="宋体" w:cs="宋体"/>
                <w:color w:val="auto"/>
                <w:szCs w:val="21"/>
                <w:highlight w:val="none"/>
              </w:rPr>
            </w:pPr>
            <w:r>
              <w:rPr>
                <w:rFonts w:hint="eastAsia" w:ascii="宋体" w:hAnsi="宋体"/>
                <w:color w:val="auto"/>
                <w:szCs w:val="21"/>
                <w:highlight w:val="none"/>
              </w:rPr>
              <w:t>（14）本项目采用多次报价（最多二次）方式，</w:t>
            </w:r>
            <w:r>
              <w:rPr>
                <w:rFonts w:hint="eastAsia" w:ascii="宋体" w:hAnsi="宋体"/>
                <w:b/>
                <w:bCs/>
                <w:color w:val="auto"/>
                <w:szCs w:val="21"/>
                <w:highlight w:val="none"/>
              </w:rPr>
              <w:t>磋商供应商的最后报价如有变动，则必须以工程量清单报价表的格式编制提交，不得以总价下浮的方式做报价，否则作无效磋商处理</w:t>
            </w:r>
            <w:r>
              <w:rPr>
                <w:rFonts w:hint="eastAsia" w:ascii="宋体" w:hAnsi="宋体"/>
                <w:color w:val="auto"/>
                <w:szCs w:val="21"/>
                <w:highlight w:val="none"/>
              </w:rPr>
              <w:t>。磋商供应商须提前做好相关准备并按时提交最后报价文件。</w:t>
            </w:r>
          </w:p>
        </w:tc>
      </w:tr>
      <w:tr w14:paraId="3FACF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0" w:hRule="atLeast"/>
          <w:jc w:val="center"/>
        </w:trPr>
        <w:tc>
          <w:tcPr>
            <w:tcW w:w="645" w:type="pct"/>
            <w:vAlign w:val="center"/>
          </w:tcPr>
          <w:p w14:paraId="4CA6E1CB">
            <w:pPr>
              <w:spacing w:line="400" w:lineRule="exact"/>
              <w:rPr>
                <w:rFonts w:ascii="宋体" w:hAnsi="宋体" w:cs="宋体"/>
                <w:color w:val="auto"/>
                <w:szCs w:val="21"/>
                <w:highlight w:val="none"/>
              </w:rPr>
            </w:pPr>
            <w:r>
              <w:rPr>
                <w:rFonts w:hint="eastAsia" w:ascii="宋体" w:hAnsi="宋体" w:cs="宋体"/>
                <w:color w:val="auto"/>
                <w:szCs w:val="21"/>
                <w:highlight w:val="none"/>
              </w:rPr>
              <w:t>16.2</w:t>
            </w:r>
          </w:p>
        </w:tc>
        <w:tc>
          <w:tcPr>
            <w:tcW w:w="737" w:type="pct"/>
            <w:vAlign w:val="center"/>
          </w:tcPr>
          <w:p w14:paraId="393119E3">
            <w:pPr>
              <w:spacing w:line="400" w:lineRule="exact"/>
              <w:rPr>
                <w:rFonts w:ascii="宋体" w:hAnsi="宋体" w:cs="宋体"/>
                <w:color w:val="auto"/>
                <w:szCs w:val="21"/>
                <w:highlight w:val="none"/>
              </w:rPr>
            </w:pPr>
            <w:r>
              <w:rPr>
                <w:rFonts w:hint="eastAsia" w:ascii="宋体" w:hAnsi="宋体" w:cs="宋体"/>
                <w:color w:val="auto"/>
                <w:szCs w:val="21"/>
                <w:highlight w:val="none"/>
              </w:rPr>
              <w:t>竞标有效期</w:t>
            </w:r>
          </w:p>
        </w:tc>
        <w:tc>
          <w:tcPr>
            <w:tcW w:w="3617" w:type="pct"/>
            <w:vAlign w:val="center"/>
          </w:tcPr>
          <w:p w14:paraId="2BBAFDF2">
            <w:pPr>
              <w:pStyle w:val="13"/>
              <w:numPr>
                <w:ilvl w:val="0"/>
                <w:numId w:val="0"/>
              </w:numPr>
              <w:tabs>
                <w:tab w:val="left" w:pos="720"/>
                <w:tab w:val="left" w:pos="840"/>
              </w:tabs>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自首次响应文件提交截止之日起90日。</w:t>
            </w:r>
          </w:p>
        </w:tc>
      </w:tr>
      <w:tr w14:paraId="79D998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645" w:type="pct"/>
            <w:vAlign w:val="center"/>
          </w:tcPr>
          <w:p w14:paraId="697EE797">
            <w:pPr>
              <w:spacing w:line="400" w:lineRule="exact"/>
              <w:rPr>
                <w:rFonts w:ascii="宋体" w:hAnsi="宋体" w:cs="宋体"/>
                <w:color w:val="auto"/>
                <w:szCs w:val="21"/>
                <w:highlight w:val="none"/>
              </w:rPr>
            </w:pPr>
            <w:r>
              <w:rPr>
                <w:rFonts w:hint="eastAsia" w:ascii="宋体" w:hAnsi="宋体" w:cs="宋体"/>
                <w:color w:val="auto"/>
                <w:szCs w:val="21"/>
                <w:highlight w:val="none"/>
              </w:rPr>
              <w:t>17.1</w:t>
            </w:r>
          </w:p>
        </w:tc>
        <w:tc>
          <w:tcPr>
            <w:tcW w:w="737" w:type="pct"/>
            <w:vAlign w:val="center"/>
          </w:tcPr>
          <w:p w14:paraId="448768EB">
            <w:pPr>
              <w:spacing w:line="400" w:lineRule="exact"/>
              <w:rPr>
                <w:rFonts w:ascii="宋体" w:hAnsi="宋体" w:cs="宋体"/>
                <w:color w:val="auto"/>
                <w:szCs w:val="21"/>
                <w:highlight w:val="none"/>
              </w:rPr>
            </w:pPr>
            <w:r>
              <w:rPr>
                <w:rFonts w:hint="eastAsia" w:ascii="宋体" w:hAnsi="宋体" w:cs="宋体"/>
                <w:color w:val="auto"/>
                <w:szCs w:val="21"/>
                <w:highlight w:val="none"/>
              </w:rPr>
              <w:t>磋商保证金</w:t>
            </w:r>
          </w:p>
        </w:tc>
        <w:tc>
          <w:tcPr>
            <w:tcW w:w="3617" w:type="pct"/>
            <w:vAlign w:val="center"/>
          </w:tcPr>
          <w:p w14:paraId="19D0C9C7">
            <w:pPr>
              <w:autoSpaceDE w:val="0"/>
              <w:autoSpaceDN w:val="0"/>
              <w:snapToGrid w:val="0"/>
              <w:spacing w:line="440" w:lineRule="exact"/>
              <w:textAlignment w:val="bottom"/>
              <w:rPr>
                <w:rFonts w:ascii="宋体" w:hAnsi="宋体" w:cs="宋体"/>
                <w:color w:val="auto"/>
                <w:szCs w:val="21"/>
                <w:highlight w:val="none"/>
              </w:rPr>
            </w:pPr>
            <w:r>
              <w:rPr>
                <w:rFonts w:hint="eastAsia" w:ascii="宋体" w:hAnsi="宋体"/>
                <w:color w:val="auto"/>
                <w:szCs w:val="21"/>
                <w:highlight w:val="none"/>
              </w:rPr>
              <w:t>本项目不收取磋商保证金。</w:t>
            </w:r>
          </w:p>
        </w:tc>
      </w:tr>
      <w:tr w14:paraId="27E947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645" w:type="pct"/>
            <w:vMerge w:val="restart"/>
            <w:vAlign w:val="center"/>
          </w:tcPr>
          <w:p w14:paraId="2BCCC0CC">
            <w:pPr>
              <w:spacing w:line="400" w:lineRule="exact"/>
              <w:rPr>
                <w:rFonts w:ascii="宋体" w:hAnsi="宋体" w:cs="宋体"/>
                <w:color w:val="auto"/>
                <w:szCs w:val="21"/>
                <w:highlight w:val="none"/>
              </w:rPr>
            </w:pPr>
            <w:r>
              <w:rPr>
                <w:rFonts w:hint="eastAsia" w:ascii="宋体" w:hAnsi="宋体" w:cs="宋体"/>
                <w:color w:val="auto"/>
                <w:szCs w:val="21"/>
                <w:highlight w:val="none"/>
              </w:rPr>
              <w:t>20.1</w:t>
            </w:r>
          </w:p>
        </w:tc>
        <w:tc>
          <w:tcPr>
            <w:tcW w:w="737" w:type="pct"/>
            <w:vAlign w:val="center"/>
          </w:tcPr>
          <w:p w14:paraId="690D1FF5">
            <w:pPr>
              <w:spacing w:line="400" w:lineRule="exact"/>
              <w:rPr>
                <w:rFonts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3617" w:type="pct"/>
            <w:vAlign w:val="center"/>
          </w:tcPr>
          <w:p w14:paraId="378FEFA4">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详见竞争性磋商公告。</w:t>
            </w:r>
          </w:p>
        </w:tc>
      </w:tr>
      <w:tr w14:paraId="2E18A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645" w:type="pct"/>
            <w:vMerge w:val="continue"/>
            <w:vAlign w:val="center"/>
          </w:tcPr>
          <w:p w14:paraId="3B5BCEE7">
            <w:pPr>
              <w:spacing w:line="400" w:lineRule="exact"/>
              <w:rPr>
                <w:rFonts w:ascii="宋体" w:hAnsi="宋体" w:cs="宋体"/>
                <w:color w:val="auto"/>
                <w:szCs w:val="21"/>
                <w:highlight w:val="none"/>
              </w:rPr>
            </w:pPr>
          </w:p>
        </w:tc>
        <w:tc>
          <w:tcPr>
            <w:tcW w:w="737" w:type="pct"/>
            <w:vAlign w:val="center"/>
          </w:tcPr>
          <w:p w14:paraId="4C1D5A0B">
            <w:pPr>
              <w:spacing w:line="400" w:lineRule="exact"/>
              <w:rPr>
                <w:rFonts w:ascii="宋体" w:hAnsi="宋体" w:cs="宋体"/>
                <w:color w:val="auto"/>
                <w:szCs w:val="21"/>
                <w:highlight w:val="none"/>
              </w:rPr>
            </w:pPr>
            <w:r>
              <w:rPr>
                <w:rFonts w:hint="eastAsia" w:ascii="宋体" w:hAnsi="宋体" w:cs="宋体"/>
                <w:color w:val="auto"/>
                <w:szCs w:val="21"/>
                <w:highlight w:val="none"/>
              </w:rPr>
              <w:t>首次响应文件提交地点</w:t>
            </w:r>
          </w:p>
        </w:tc>
        <w:tc>
          <w:tcPr>
            <w:tcW w:w="3617" w:type="pct"/>
            <w:vAlign w:val="center"/>
          </w:tcPr>
          <w:p w14:paraId="1D1447F1">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详见竞争性磋商公告。</w:t>
            </w:r>
          </w:p>
        </w:tc>
      </w:tr>
      <w:tr w14:paraId="40F27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645" w:type="pct"/>
            <w:vAlign w:val="center"/>
          </w:tcPr>
          <w:p w14:paraId="0348B1A6">
            <w:pPr>
              <w:spacing w:line="400" w:lineRule="exact"/>
              <w:rPr>
                <w:rFonts w:ascii="宋体" w:hAnsi="宋体" w:cs="宋体"/>
                <w:color w:val="auto"/>
                <w:szCs w:val="21"/>
                <w:highlight w:val="none"/>
              </w:rPr>
            </w:pPr>
            <w:r>
              <w:rPr>
                <w:rFonts w:hint="eastAsia" w:ascii="宋体" w:hAnsi="宋体" w:cs="宋体"/>
                <w:color w:val="auto"/>
                <w:szCs w:val="21"/>
                <w:highlight w:val="none"/>
              </w:rPr>
              <w:t>20.6</w:t>
            </w:r>
          </w:p>
        </w:tc>
        <w:tc>
          <w:tcPr>
            <w:tcW w:w="737" w:type="pct"/>
            <w:vAlign w:val="center"/>
          </w:tcPr>
          <w:p w14:paraId="16D3D099">
            <w:pPr>
              <w:spacing w:line="400" w:lineRule="exact"/>
              <w:rPr>
                <w:rFonts w:ascii="宋体" w:hAnsi="宋体" w:cs="宋体"/>
                <w:color w:val="auto"/>
                <w:szCs w:val="21"/>
                <w:highlight w:val="none"/>
              </w:rPr>
            </w:pPr>
            <w:r>
              <w:rPr>
                <w:rFonts w:hint="eastAsia" w:ascii="宋体" w:hAnsi="宋体" w:cs="宋体"/>
                <w:color w:val="auto"/>
                <w:szCs w:val="21"/>
                <w:highlight w:val="none"/>
              </w:rPr>
              <w:t>备份响应文件</w:t>
            </w:r>
          </w:p>
        </w:tc>
        <w:tc>
          <w:tcPr>
            <w:tcW w:w="3617" w:type="pct"/>
            <w:vAlign w:val="center"/>
          </w:tcPr>
          <w:p w14:paraId="56F64644">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本项目不接受备份响应文件。</w:t>
            </w:r>
          </w:p>
        </w:tc>
      </w:tr>
      <w:tr w14:paraId="4E6EA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645" w:type="pct"/>
            <w:vAlign w:val="center"/>
          </w:tcPr>
          <w:p w14:paraId="2FD3AC02">
            <w:pPr>
              <w:spacing w:line="400" w:lineRule="exact"/>
              <w:rPr>
                <w:rFonts w:ascii="宋体" w:hAnsi="宋体" w:cs="宋体"/>
                <w:color w:val="auto"/>
                <w:szCs w:val="21"/>
                <w:highlight w:val="none"/>
              </w:rPr>
            </w:pPr>
            <w:r>
              <w:rPr>
                <w:rFonts w:hint="eastAsia" w:ascii="宋体" w:hAnsi="宋体" w:cs="宋体"/>
                <w:color w:val="auto"/>
                <w:szCs w:val="21"/>
                <w:highlight w:val="none"/>
              </w:rPr>
              <w:t>21</w:t>
            </w:r>
          </w:p>
        </w:tc>
        <w:tc>
          <w:tcPr>
            <w:tcW w:w="737" w:type="pct"/>
            <w:vAlign w:val="center"/>
          </w:tcPr>
          <w:p w14:paraId="667A8EB5">
            <w:pPr>
              <w:spacing w:line="400" w:lineRule="exact"/>
              <w:rPr>
                <w:rFonts w:ascii="宋体" w:hAnsi="宋体" w:cs="宋体"/>
                <w:color w:val="auto"/>
                <w:szCs w:val="21"/>
                <w:highlight w:val="none"/>
              </w:rPr>
            </w:pPr>
            <w:r>
              <w:rPr>
                <w:rFonts w:hint="eastAsia" w:ascii="宋体" w:hAnsi="宋体" w:cs="宋体"/>
                <w:color w:val="auto"/>
                <w:szCs w:val="21"/>
                <w:highlight w:val="none"/>
              </w:rPr>
              <w:t>首次响应文件的退回</w:t>
            </w:r>
          </w:p>
        </w:tc>
        <w:tc>
          <w:tcPr>
            <w:tcW w:w="3617" w:type="pct"/>
            <w:vAlign w:val="center"/>
          </w:tcPr>
          <w:p w14:paraId="06C1A89F">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详见竞争性磋商公告。</w:t>
            </w:r>
          </w:p>
        </w:tc>
      </w:tr>
      <w:tr w14:paraId="68732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645" w:type="pct"/>
            <w:vAlign w:val="center"/>
          </w:tcPr>
          <w:p w14:paraId="0517AAB4">
            <w:pPr>
              <w:spacing w:line="400" w:lineRule="exact"/>
              <w:rPr>
                <w:rFonts w:ascii="宋体" w:hAnsi="宋体" w:cs="宋体"/>
                <w:color w:val="auto"/>
                <w:szCs w:val="21"/>
                <w:highlight w:val="none"/>
              </w:rPr>
            </w:pPr>
            <w:r>
              <w:rPr>
                <w:rFonts w:hint="eastAsia" w:ascii="宋体" w:hAnsi="宋体" w:cs="宋体"/>
                <w:color w:val="auto"/>
                <w:szCs w:val="21"/>
                <w:highlight w:val="none"/>
              </w:rPr>
              <w:t>25</w:t>
            </w:r>
          </w:p>
        </w:tc>
        <w:tc>
          <w:tcPr>
            <w:tcW w:w="737" w:type="pct"/>
            <w:vAlign w:val="center"/>
          </w:tcPr>
          <w:p w14:paraId="77FC6D4A">
            <w:pPr>
              <w:spacing w:line="400" w:lineRule="exact"/>
              <w:rPr>
                <w:rFonts w:ascii="宋体" w:hAnsi="宋体" w:cs="宋体"/>
                <w:color w:val="auto"/>
                <w:szCs w:val="21"/>
                <w:highlight w:val="none"/>
              </w:rPr>
            </w:pPr>
            <w:r>
              <w:rPr>
                <w:rFonts w:hint="eastAsia" w:ascii="宋体" w:hAnsi="宋体" w:cs="宋体"/>
                <w:color w:val="auto"/>
                <w:szCs w:val="21"/>
                <w:highlight w:val="none"/>
              </w:rPr>
              <w:t>首次</w:t>
            </w:r>
            <w:r>
              <w:rPr>
                <w:rFonts w:ascii="宋体" w:hAnsi="宋体" w:cs="宋体"/>
                <w:color w:val="auto"/>
                <w:szCs w:val="21"/>
                <w:highlight w:val="none"/>
              </w:rPr>
              <w:t>响应文件</w:t>
            </w:r>
            <w:r>
              <w:rPr>
                <w:rFonts w:hint="eastAsia" w:ascii="宋体" w:hAnsi="宋体" w:cs="宋体"/>
                <w:color w:val="auto"/>
                <w:szCs w:val="21"/>
                <w:highlight w:val="none"/>
              </w:rPr>
              <w:t>的</w:t>
            </w:r>
            <w:r>
              <w:rPr>
                <w:rFonts w:ascii="宋体" w:hAnsi="宋体" w:cs="宋体"/>
                <w:color w:val="auto"/>
                <w:szCs w:val="21"/>
                <w:highlight w:val="none"/>
              </w:rPr>
              <w:t>开启</w:t>
            </w:r>
          </w:p>
        </w:tc>
        <w:tc>
          <w:tcPr>
            <w:tcW w:w="3617" w:type="pct"/>
            <w:vAlign w:val="center"/>
          </w:tcPr>
          <w:p w14:paraId="29F9AF0A">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首次</w:t>
            </w:r>
            <w:r>
              <w:rPr>
                <w:rFonts w:ascii="宋体" w:hAnsi="宋体" w:cs="宋体"/>
                <w:color w:val="auto"/>
                <w:szCs w:val="21"/>
                <w:highlight w:val="none"/>
              </w:rPr>
              <w:t>响应文件开启时间</w:t>
            </w:r>
            <w:r>
              <w:rPr>
                <w:rFonts w:hint="eastAsia" w:ascii="宋体" w:hAnsi="宋体" w:cs="宋体"/>
                <w:color w:val="auto"/>
                <w:szCs w:val="21"/>
                <w:highlight w:val="none"/>
              </w:rPr>
              <w:t>详见</w:t>
            </w:r>
            <w:r>
              <w:rPr>
                <w:rFonts w:ascii="宋体" w:hAnsi="宋体" w:cs="宋体"/>
                <w:color w:val="auto"/>
                <w:szCs w:val="21"/>
                <w:highlight w:val="none"/>
              </w:rPr>
              <w:t>竞争性磋商公告</w:t>
            </w:r>
            <w:r>
              <w:rPr>
                <w:rFonts w:hint="eastAsia" w:ascii="宋体" w:hAnsi="宋体" w:cs="宋体"/>
                <w:color w:val="auto"/>
                <w:szCs w:val="21"/>
                <w:highlight w:val="none"/>
              </w:rPr>
              <w:t>。</w:t>
            </w:r>
          </w:p>
          <w:p w14:paraId="6ABCCF8C">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首次</w:t>
            </w:r>
            <w:r>
              <w:rPr>
                <w:rFonts w:ascii="宋体" w:hAnsi="宋体" w:cs="宋体"/>
                <w:color w:val="auto"/>
                <w:szCs w:val="21"/>
                <w:highlight w:val="none"/>
              </w:rPr>
              <w:t>响应文件解密时间：</w:t>
            </w:r>
            <w:r>
              <w:rPr>
                <w:rFonts w:hint="eastAsia" w:ascii="宋体" w:hAnsi="宋体" w:cs="宋体"/>
                <w:color w:val="auto"/>
                <w:szCs w:val="21"/>
                <w:highlight w:val="none"/>
                <w:u w:val="single"/>
              </w:rPr>
              <w:t>30</w:t>
            </w:r>
            <w:r>
              <w:rPr>
                <w:rFonts w:hint="eastAsia" w:ascii="宋体" w:hAnsi="宋体" w:cs="宋体"/>
                <w:color w:val="auto"/>
                <w:szCs w:val="21"/>
                <w:highlight w:val="none"/>
              </w:rPr>
              <w:t>分钟。</w:t>
            </w:r>
          </w:p>
        </w:tc>
      </w:tr>
      <w:tr w14:paraId="49FBB4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0" w:hRule="atLeast"/>
          <w:jc w:val="center"/>
        </w:trPr>
        <w:tc>
          <w:tcPr>
            <w:tcW w:w="645" w:type="pct"/>
            <w:vMerge w:val="restart"/>
            <w:vAlign w:val="center"/>
          </w:tcPr>
          <w:p w14:paraId="23DAE315">
            <w:pPr>
              <w:spacing w:line="400" w:lineRule="exact"/>
              <w:rPr>
                <w:rFonts w:ascii="宋体" w:hAnsi="宋体" w:cs="宋体"/>
                <w:color w:val="auto"/>
                <w:szCs w:val="21"/>
                <w:highlight w:val="none"/>
              </w:rPr>
            </w:pPr>
            <w:r>
              <w:rPr>
                <w:rFonts w:hint="eastAsia" w:ascii="宋体" w:hAnsi="宋体" w:cs="宋体"/>
                <w:color w:val="auto"/>
                <w:szCs w:val="21"/>
                <w:highlight w:val="none"/>
              </w:rPr>
              <w:t>26.2</w:t>
            </w:r>
          </w:p>
        </w:tc>
        <w:tc>
          <w:tcPr>
            <w:tcW w:w="737" w:type="pct"/>
            <w:vAlign w:val="center"/>
          </w:tcPr>
          <w:p w14:paraId="1F4673B3">
            <w:pPr>
              <w:spacing w:line="400" w:lineRule="exact"/>
              <w:rPr>
                <w:rFonts w:ascii="宋体" w:hAnsi="宋体" w:cs="宋体"/>
                <w:b/>
                <w:color w:val="auto"/>
                <w:szCs w:val="21"/>
                <w:highlight w:val="none"/>
              </w:rPr>
            </w:pPr>
            <w:r>
              <w:rPr>
                <w:rFonts w:hint="eastAsia" w:ascii="宋体" w:hAnsi="宋体" w:cs="宋体"/>
                <w:b/>
                <w:color w:val="auto"/>
                <w:szCs w:val="21"/>
                <w:highlight w:val="none"/>
              </w:rPr>
              <w:t>负偏离要求</w:t>
            </w:r>
          </w:p>
        </w:tc>
        <w:tc>
          <w:tcPr>
            <w:tcW w:w="3617" w:type="pct"/>
            <w:vAlign w:val="center"/>
          </w:tcPr>
          <w:p w14:paraId="6CD1500C">
            <w:pPr>
              <w:snapToGrid w:val="0"/>
              <w:spacing w:line="400" w:lineRule="exact"/>
              <w:rPr>
                <w:rFonts w:ascii="宋体" w:hAnsi="宋体" w:cs="宋体"/>
                <w:b/>
                <w:color w:val="auto"/>
                <w:szCs w:val="21"/>
                <w:highlight w:val="none"/>
              </w:rPr>
            </w:pPr>
            <w:r>
              <w:rPr>
                <w:rFonts w:hint="eastAsia" w:ascii="宋体" w:hAnsi="宋体" w:cs="宋体"/>
                <w:b/>
                <w:color w:val="auto"/>
                <w:szCs w:val="21"/>
                <w:highlight w:val="none"/>
              </w:rPr>
              <w:t>商务条款评审中允许负偏离的条款数为</w:t>
            </w:r>
            <w:r>
              <w:rPr>
                <w:rFonts w:hint="eastAsia" w:ascii="宋体" w:hAnsi="宋体" w:cs="宋体"/>
                <w:b/>
                <w:color w:val="auto"/>
                <w:szCs w:val="21"/>
                <w:highlight w:val="none"/>
                <w:u w:val="single"/>
              </w:rPr>
              <w:t xml:space="preserve"> 0 </w:t>
            </w:r>
            <w:r>
              <w:rPr>
                <w:rFonts w:hint="eastAsia" w:ascii="宋体" w:hAnsi="宋体" w:cs="宋体"/>
                <w:b/>
                <w:color w:val="auto"/>
                <w:szCs w:val="21"/>
                <w:highlight w:val="none"/>
              </w:rPr>
              <w:t>项。</w:t>
            </w:r>
          </w:p>
          <w:p w14:paraId="34F8DB24">
            <w:pPr>
              <w:snapToGrid w:val="0"/>
              <w:spacing w:line="400" w:lineRule="exact"/>
              <w:rPr>
                <w:rFonts w:ascii="宋体" w:hAnsi="宋体" w:cs="宋体"/>
                <w:b/>
                <w:color w:val="auto"/>
                <w:szCs w:val="21"/>
                <w:highlight w:val="none"/>
              </w:rPr>
            </w:pPr>
            <w:r>
              <w:rPr>
                <w:rFonts w:hint="eastAsia" w:ascii="宋体" w:hAnsi="宋体" w:cs="宋体"/>
                <w:b/>
                <w:color w:val="auto"/>
                <w:szCs w:val="21"/>
                <w:highlight w:val="none"/>
              </w:rPr>
              <w:t>服务需求评审中允许负偏离的条款数为</w:t>
            </w:r>
            <w:r>
              <w:rPr>
                <w:rFonts w:hint="eastAsia" w:ascii="宋体" w:hAnsi="宋体" w:cs="宋体"/>
                <w:b/>
                <w:color w:val="auto"/>
                <w:szCs w:val="21"/>
                <w:highlight w:val="none"/>
                <w:u w:val="single"/>
              </w:rPr>
              <w:t xml:space="preserve"> 0 </w:t>
            </w:r>
            <w:r>
              <w:rPr>
                <w:rFonts w:hint="eastAsia" w:ascii="宋体" w:hAnsi="宋体" w:cs="宋体"/>
                <w:b/>
                <w:color w:val="auto"/>
                <w:szCs w:val="21"/>
                <w:highlight w:val="none"/>
              </w:rPr>
              <w:t>项。</w:t>
            </w:r>
          </w:p>
        </w:tc>
      </w:tr>
      <w:tr w14:paraId="3F9B4F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5" w:hRule="atLeast"/>
          <w:jc w:val="center"/>
        </w:trPr>
        <w:tc>
          <w:tcPr>
            <w:tcW w:w="645" w:type="pct"/>
            <w:vMerge w:val="continue"/>
            <w:vAlign w:val="center"/>
          </w:tcPr>
          <w:p w14:paraId="58462E03">
            <w:pPr>
              <w:spacing w:line="400" w:lineRule="exact"/>
              <w:rPr>
                <w:rFonts w:ascii="宋体" w:hAnsi="宋体" w:cs="宋体"/>
                <w:color w:val="auto"/>
                <w:szCs w:val="21"/>
                <w:highlight w:val="none"/>
              </w:rPr>
            </w:pPr>
          </w:p>
        </w:tc>
        <w:tc>
          <w:tcPr>
            <w:tcW w:w="737" w:type="pct"/>
            <w:vAlign w:val="center"/>
          </w:tcPr>
          <w:p w14:paraId="17601690">
            <w:pPr>
              <w:spacing w:line="400" w:lineRule="exact"/>
              <w:rPr>
                <w:rFonts w:ascii="宋体" w:hAnsi="宋体" w:cs="宋体"/>
                <w:b/>
                <w:color w:val="auto"/>
                <w:szCs w:val="21"/>
                <w:highlight w:val="none"/>
              </w:rPr>
            </w:pPr>
            <w:r>
              <w:rPr>
                <w:rFonts w:hint="eastAsia" w:ascii="宋体" w:hAnsi="宋体" w:cs="宋体"/>
                <w:b/>
                <w:color w:val="auto"/>
                <w:szCs w:val="21"/>
                <w:highlight w:val="none"/>
              </w:rPr>
              <w:t>磋商</w:t>
            </w:r>
            <w:r>
              <w:rPr>
                <w:rFonts w:ascii="宋体" w:hAnsi="宋体" w:cs="宋体"/>
                <w:b/>
                <w:color w:val="auto"/>
                <w:szCs w:val="21"/>
                <w:highlight w:val="none"/>
              </w:rPr>
              <w:t>的顺序</w:t>
            </w:r>
          </w:p>
        </w:tc>
        <w:tc>
          <w:tcPr>
            <w:tcW w:w="3617" w:type="pct"/>
            <w:vAlign w:val="center"/>
          </w:tcPr>
          <w:p w14:paraId="5C4E543F">
            <w:pPr>
              <w:pStyle w:val="18"/>
              <w:spacing w:line="400" w:lineRule="exact"/>
              <w:jc w:val="both"/>
              <w:rPr>
                <w:rFonts w:ascii="宋体" w:hAnsi="宋体" w:cs="宋体"/>
                <w:color w:val="auto"/>
                <w:sz w:val="21"/>
                <w:szCs w:val="22"/>
                <w:highlight w:val="none"/>
              </w:rPr>
            </w:pPr>
            <w:r>
              <w:rPr>
                <w:rFonts w:hint="eastAsia" w:ascii="宋体" w:hAnsi="宋体" w:cs="宋体"/>
                <w:color w:val="auto"/>
                <w:sz w:val="21"/>
                <w:szCs w:val="22"/>
                <w:highlight w:val="none"/>
              </w:rPr>
              <w:t>□按照提交首次响应文件的顺序，通知磋商时，若某供应商不在通知现场时，该供应商排序到最后磋商，按照签到的顺序由其下一位供应商先参与磋商。</w:t>
            </w:r>
          </w:p>
          <w:p w14:paraId="4402EF18">
            <w:pPr>
              <w:snapToGrid w:val="0"/>
              <w:spacing w:line="400" w:lineRule="exact"/>
              <w:rPr>
                <w:rFonts w:ascii="宋体" w:hAnsi="宋体" w:cs="宋体"/>
                <w:color w:val="auto"/>
                <w:szCs w:val="21"/>
                <w:highlight w:val="none"/>
              </w:rPr>
            </w:pPr>
            <w:r>
              <w:rPr>
                <w:rFonts w:hint="eastAsia" w:ascii="宋体" w:hAnsi="宋体" w:cs="宋体"/>
                <w:color w:val="auto"/>
                <w:kern w:val="0"/>
                <w:sz w:val="22"/>
                <w:szCs w:val="22"/>
                <w:highlight w:val="none"/>
              </w:rPr>
              <w:t>☑</w:t>
            </w:r>
            <w:r>
              <w:rPr>
                <w:rFonts w:hint="eastAsia" w:ascii="宋体" w:hAnsi="宋体" w:cs="宋体"/>
                <w:color w:val="auto"/>
                <w:szCs w:val="21"/>
                <w:highlight w:val="none"/>
              </w:rPr>
              <w:t>随机排序。</w:t>
            </w:r>
          </w:p>
        </w:tc>
      </w:tr>
      <w:tr w14:paraId="68A2C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atLeast"/>
          <w:jc w:val="center"/>
        </w:trPr>
        <w:tc>
          <w:tcPr>
            <w:tcW w:w="645" w:type="pct"/>
            <w:vAlign w:val="center"/>
          </w:tcPr>
          <w:p w14:paraId="4440DFAE">
            <w:pPr>
              <w:spacing w:line="400" w:lineRule="exact"/>
              <w:rPr>
                <w:rFonts w:ascii="宋体" w:hAnsi="宋体" w:cs="宋体"/>
                <w:color w:val="auto"/>
                <w:szCs w:val="21"/>
                <w:highlight w:val="none"/>
              </w:rPr>
            </w:pPr>
            <w:r>
              <w:rPr>
                <w:rFonts w:hint="eastAsia" w:ascii="宋体" w:hAnsi="宋体" w:cs="宋体"/>
                <w:color w:val="auto"/>
                <w:szCs w:val="21"/>
                <w:highlight w:val="none"/>
              </w:rPr>
              <w:t>28</w:t>
            </w:r>
          </w:p>
        </w:tc>
        <w:tc>
          <w:tcPr>
            <w:tcW w:w="737" w:type="pct"/>
            <w:vAlign w:val="center"/>
          </w:tcPr>
          <w:p w14:paraId="07D1ECD5">
            <w:pPr>
              <w:spacing w:line="400" w:lineRule="exact"/>
              <w:rPr>
                <w:rFonts w:ascii="宋体" w:hAnsi="宋体" w:cs="宋体"/>
                <w:color w:val="auto"/>
                <w:szCs w:val="21"/>
                <w:highlight w:val="none"/>
              </w:rPr>
            </w:pPr>
            <w:r>
              <w:rPr>
                <w:rFonts w:hint="eastAsia" w:ascii="宋体" w:hAnsi="宋体" w:cs="宋体"/>
                <w:color w:val="auto"/>
                <w:szCs w:val="21"/>
                <w:highlight w:val="none"/>
              </w:rPr>
              <w:t>履约保证金</w:t>
            </w:r>
          </w:p>
        </w:tc>
        <w:tc>
          <w:tcPr>
            <w:tcW w:w="3617" w:type="pct"/>
            <w:vAlign w:val="center"/>
          </w:tcPr>
          <w:p w14:paraId="1B7759F5">
            <w:pPr>
              <w:snapToGrid w:val="0"/>
              <w:spacing w:line="360" w:lineRule="auto"/>
              <w:rPr>
                <w:rFonts w:ascii="宋体" w:hAnsi="宋体" w:cs="宋体"/>
                <w:color w:val="auto"/>
                <w:highlight w:val="none"/>
              </w:rPr>
            </w:pPr>
            <w:r>
              <w:rPr>
                <w:rFonts w:hint="eastAsia" w:ascii="宋体" w:hAnsi="宋体" w:cs="宋体"/>
                <w:color w:val="auto"/>
                <w:highlight w:val="none"/>
              </w:rPr>
              <w:t>履约保证金金额：合同金额的2% 。</w:t>
            </w:r>
          </w:p>
          <w:p w14:paraId="69B69B22">
            <w:pPr>
              <w:snapToGrid w:val="0"/>
              <w:spacing w:line="360" w:lineRule="auto"/>
              <w:rPr>
                <w:rFonts w:ascii="宋体" w:hAnsi="宋体" w:cs="宋体"/>
                <w:color w:val="auto"/>
                <w:highlight w:val="none"/>
              </w:rPr>
            </w:pPr>
            <w:r>
              <w:rPr>
                <w:rFonts w:hint="eastAsia" w:ascii="宋体" w:hAnsi="宋体" w:cs="宋体"/>
                <w:color w:val="auto"/>
                <w:highlight w:val="none"/>
              </w:rPr>
              <w:t>履约保证金提交方式：发出成交通知书7个工作日内提供银行或担保机构出具的履约保函。</w:t>
            </w:r>
          </w:p>
          <w:p w14:paraId="1D6A5772">
            <w:pPr>
              <w:spacing w:line="360" w:lineRule="auto"/>
              <w:contextualSpacing/>
              <w:rPr>
                <w:rFonts w:ascii="宋体" w:hAnsi="宋体" w:cs="宋体"/>
                <w:b/>
                <w:color w:val="auto"/>
                <w:szCs w:val="21"/>
                <w:highlight w:val="none"/>
              </w:rPr>
            </w:pPr>
            <w:r>
              <w:rPr>
                <w:rFonts w:hint="eastAsia" w:ascii="宋体" w:hAnsi="宋体" w:cs="宋体"/>
                <w:b/>
                <w:color w:val="auto"/>
                <w:szCs w:val="21"/>
                <w:highlight w:val="none"/>
              </w:rPr>
              <w:t>1</w:t>
            </w:r>
            <w:r>
              <w:rPr>
                <w:rFonts w:ascii="宋体" w:hAnsi="宋体" w:cs="宋体"/>
                <w:b/>
                <w:color w:val="auto"/>
                <w:szCs w:val="21"/>
                <w:highlight w:val="none"/>
              </w:rPr>
              <w:t>.</w:t>
            </w:r>
            <w:bookmarkStart w:id="51" w:name="_Hlk54170335"/>
            <w:r>
              <w:rPr>
                <w:rFonts w:hint="eastAsia" w:ascii="宋体" w:hAnsi="宋体"/>
                <w:b/>
                <w:color w:val="auto"/>
                <w:szCs w:val="21"/>
                <w:highlight w:val="none"/>
              </w:rPr>
              <w:t>根据《广西壮族自治区财政厅关于进一步发挥政府采购政策功能促进企业发展的通知》（桂财采〔2022〕30号）规定，对中小企业收取的履约保证金数额不得超过政府采购合同金额的2%。采购人可根据供应商的资信等情况减免履约保证金。</w:t>
            </w:r>
            <w:bookmarkEnd w:id="51"/>
          </w:p>
          <w:p w14:paraId="13A98011">
            <w:pPr>
              <w:snapToGrid w:val="0"/>
              <w:spacing w:line="400" w:lineRule="exact"/>
              <w:rPr>
                <w:rFonts w:ascii="宋体" w:hAnsi="宋体" w:cs="宋体"/>
                <w:color w:val="auto"/>
                <w:szCs w:val="21"/>
                <w:highlight w:val="none"/>
              </w:rPr>
            </w:pPr>
            <w:r>
              <w:rPr>
                <w:rFonts w:hint="eastAsia" w:ascii="宋体" w:hAnsi="宋体" w:cs="宋体"/>
                <w:b/>
                <w:color w:val="auto"/>
                <w:szCs w:val="21"/>
                <w:highlight w:val="none"/>
              </w:rPr>
              <w:t>2</w:t>
            </w:r>
            <w:r>
              <w:rPr>
                <w:rFonts w:ascii="宋体" w:hAnsi="宋体" w:cs="宋体"/>
                <w:b/>
                <w:color w:val="auto"/>
                <w:szCs w:val="21"/>
                <w:highlight w:val="none"/>
              </w:rPr>
              <w:t>.</w:t>
            </w:r>
            <w:r>
              <w:rPr>
                <w:rFonts w:hint="eastAsia" w:ascii="宋体" w:hAnsi="宋体" w:cs="宋体"/>
                <w:b/>
                <w:color w:val="auto"/>
                <w:szCs w:val="21"/>
                <w:highlight w:val="none"/>
              </w:rPr>
              <w:t>履约保证金不足额缴纳的，或者银行、保险机构出具的保函额度不足的或者保函有效期低于合同履行期限（即签订采购合同之日起至履行完合同约定的权利及义务之日止）的，不予签订合同。</w:t>
            </w:r>
            <w:r>
              <w:rPr>
                <w:rFonts w:hint="eastAsia" w:ascii="宋体" w:hAnsi="宋体" w:cs="宋体"/>
                <w:b/>
                <w:color w:val="auto"/>
                <w:szCs w:val="21"/>
                <w:highlight w:val="none"/>
              </w:rPr>
              <w:br w:type="textWrapping"/>
            </w:r>
            <w:r>
              <w:rPr>
                <w:rFonts w:ascii="宋体" w:hAnsi="宋体" w:cs="宋体"/>
                <w:b/>
                <w:color w:val="auto"/>
                <w:szCs w:val="21"/>
                <w:highlight w:val="none"/>
              </w:rPr>
              <w:t>3.</w:t>
            </w:r>
            <w:r>
              <w:rPr>
                <w:rFonts w:hint="eastAsia" w:ascii="宋体" w:hAnsi="宋体" w:cs="宋体"/>
                <w:b/>
                <w:color w:val="auto"/>
                <w:szCs w:val="21"/>
                <w:highlight w:val="none"/>
              </w:rPr>
              <w:t>采用银行、保险机构出具的保函的，必须为无条件保函，否则不予签订合同。</w:t>
            </w:r>
          </w:p>
        </w:tc>
      </w:tr>
      <w:tr w14:paraId="15B32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Align w:val="center"/>
          </w:tcPr>
          <w:p w14:paraId="471AD5C7">
            <w:pPr>
              <w:spacing w:line="400" w:lineRule="exact"/>
              <w:rPr>
                <w:rFonts w:ascii="宋体" w:hAnsi="宋体" w:cs="宋体"/>
                <w:color w:val="auto"/>
                <w:szCs w:val="21"/>
                <w:highlight w:val="none"/>
              </w:rPr>
            </w:pPr>
            <w:r>
              <w:rPr>
                <w:rFonts w:hint="eastAsia" w:ascii="宋体" w:hAnsi="宋体" w:cs="宋体"/>
                <w:color w:val="auto"/>
                <w:szCs w:val="21"/>
                <w:highlight w:val="none"/>
              </w:rPr>
              <w:t>29.5</w:t>
            </w:r>
          </w:p>
        </w:tc>
        <w:tc>
          <w:tcPr>
            <w:tcW w:w="737" w:type="pct"/>
            <w:vAlign w:val="center"/>
          </w:tcPr>
          <w:p w14:paraId="6B881B4B">
            <w:pPr>
              <w:spacing w:line="400" w:lineRule="exact"/>
              <w:rPr>
                <w:rFonts w:ascii="宋体" w:hAnsi="宋体" w:cs="宋体"/>
                <w:color w:val="auto"/>
                <w:szCs w:val="21"/>
                <w:highlight w:val="none"/>
              </w:rPr>
            </w:pPr>
            <w:r>
              <w:rPr>
                <w:rFonts w:hint="eastAsia" w:ascii="宋体" w:hAnsi="宋体" w:cs="宋体"/>
                <w:color w:val="auto"/>
                <w:szCs w:val="21"/>
                <w:highlight w:val="none"/>
              </w:rPr>
              <w:t>签订合同携带的材料</w:t>
            </w:r>
          </w:p>
        </w:tc>
        <w:tc>
          <w:tcPr>
            <w:tcW w:w="3617" w:type="pct"/>
            <w:vAlign w:val="center"/>
          </w:tcPr>
          <w:p w14:paraId="5F8BEA94">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使用的有效CA证书加盖单位电子公章</w:t>
            </w:r>
          </w:p>
        </w:tc>
      </w:tr>
      <w:tr w14:paraId="0664A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Merge w:val="restart"/>
            <w:vAlign w:val="center"/>
          </w:tcPr>
          <w:p w14:paraId="14782376">
            <w:pPr>
              <w:spacing w:line="400" w:lineRule="exact"/>
              <w:rPr>
                <w:rFonts w:ascii="宋体" w:hAnsi="宋体" w:cs="宋体"/>
                <w:color w:val="auto"/>
                <w:szCs w:val="21"/>
                <w:highlight w:val="none"/>
              </w:rPr>
            </w:pPr>
            <w:r>
              <w:rPr>
                <w:rFonts w:hint="eastAsia" w:ascii="宋体" w:hAnsi="宋体" w:cs="宋体"/>
                <w:color w:val="auto"/>
                <w:szCs w:val="21"/>
                <w:highlight w:val="none"/>
              </w:rPr>
              <w:t>31.2</w:t>
            </w:r>
          </w:p>
        </w:tc>
        <w:tc>
          <w:tcPr>
            <w:tcW w:w="737" w:type="pct"/>
            <w:vAlign w:val="center"/>
          </w:tcPr>
          <w:p w14:paraId="5FF52016">
            <w:pPr>
              <w:spacing w:line="400" w:lineRule="exact"/>
              <w:rPr>
                <w:rFonts w:ascii="宋体" w:hAnsi="宋体" w:cs="宋体"/>
                <w:color w:val="auto"/>
                <w:szCs w:val="21"/>
                <w:highlight w:val="none"/>
              </w:rPr>
            </w:pPr>
            <w:r>
              <w:rPr>
                <w:rFonts w:hint="eastAsia" w:ascii="宋体" w:hAnsi="宋体" w:cs="宋体"/>
                <w:color w:val="auto"/>
                <w:szCs w:val="21"/>
                <w:highlight w:val="none"/>
              </w:rPr>
              <w:t>接收质疑函方式</w:t>
            </w:r>
          </w:p>
        </w:tc>
        <w:tc>
          <w:tcPr>
            <w:tcW w:w="3617" w:type="pct"/>
            <w:vAlign w:val="center"/>
          </w:tcPr>
          <w:p w14:paraId="59DCCB00">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以书面形式</w:t>
            </w:r>
          </w:p>
        </w:tc>
      </w:tr>
      <w:tr w14:paraId="1EFAA5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Merge w:val="continue"/>
            <w:vAlign w:val="center"/>
          </w:tcPr>
          <w:p w14:paraId="5E1FAC91">
            <w:pPr>
              <w:spacing w:line="400" w:lineRule="exact"/>
              <w:rPr>
                <w:rFonts w:ascii="宋体" w:hAnsi="宋体" w:cs="宋体"/>
                <w:color w:val="auto"/>
                <w:szCs w:val="21"/>
                <w:highlight w:val="none"/>
              </w:rPr>
            </w:pPr>
          </w:p>
        </w:tc>
        <w:tc>
          <w:tcPr>
            <w:tcW w:w="737" w:type="pct"/>
            <w:vAlign w:val="center"/>
          </w:tcPr>
          <w:p w14:paraId="002C1EC1">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质疑联系部门及联系方式</w:t>
            </w:r>
          </w:p>
        </w:tc>
        <w:tc>
          <w:tcPr>
            <w:tcW w:w="3617" w:type="pct"/>
            <w:vAlign w:val="center"/>
          </w:tcPr>
          <w:p w14:paraId="37A4910E">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广西德元工程项目管理有限责任公司</w:t>
            </w:r>
          </w:p>
          <w:p w14:paraId="3F5D8FBE">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联系电话：0779-3227382</w:t>
            </w:r>
          </w:p>
          <w:p w14:paraId="03604318">
            <w:pPr>
              <w:snapToGrid w:val="0"/>
              <w:spacing w:line="400" w:lineRule="exact"/>
              <w:rPr>
                <w:rFonts w:ascii="宋体" w:hAnsi="宋体" w:cs="宋体"/>
                <w:color w:val="auto"/>
                <w:szCs w:val="21"/>
                <w:highlight w:val="none"/>
              </w:rPr>
            </w:pPr>
            <w:r>
              <w:rPr>
                <w:rFonts w:hint="eastAsia" w:ascii="宋体" w:hAnsi="宋体" w:cs="宋体"/>
                <w:color w:val="auto"/>
                <w:szCs w:val="21"/>
                <w:highlight w:val="none"/>
              </w:rPr>
              <w:t>通讯地址：北海市北京路49号桂成花园A座1706室</w:t>
            </w:r>
          </w:p>
        </w:tc>
      </w:tr>
      <w:tr w14:paraId="533943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Merge w:val="continue"/>
            <w:vAlign w:val="center"/>
          </w:tcPr>
          <w:p w14:paraId="10B54271">
            <w:pPr>
              <w:spacing w:line="400" w:lineRule="exact"/>
              <w:rPr>
                <w:rFonts w:ascii="宋体" w:hAnsi="宋体" w:cs="宋体"/>
                <w:color w:val="auto"/>
                <w:szCs w:val="21"/>
                <w:highlight w:val="none"/>
              </w:rPr>
            </w:pPr>
          </w:p>
        </w:tc>
        <w:tc>
          <w:tcPr>
            <w:tcW w:w="737" w:type="pct"/>
            <w:vAlign w:val="center"/>
          </w:tcPr>
          <w:p w14:paraId="14C2A96B">
            <w:pPr>
              <w:spacing w:line="400" w:lineRule="exact"/>
              <w:rPr>
                <w:rFonts w:ascii="宋体" w:hAnsi="宋体" w:cs="宋体"/>
                <w:color w:val="auto"/>
                <w:szCs w:val="21"/>
                <w:highlight w:val="none"/>
              </w:rPr>
            </w:pPr>
            <w:r>
              <w:rPr>
                <w:rFonts w:hint="eastAsia" w:ascii="宋体" w:hAnsi="宋体" w:cs="宋体"/>
                <w:color w:val="auto"/>
                <w:highlight w:val="none"/>
              </w:rPr>
              <w:t>现场提交质疑办理业务时间</w:t>
            </w:r>
          </w:p>
        </w:tc>
        <w:tc>
          <w:tcPr>
            <w:tcW w:w="3617" w:type="pct"/>
            <w:vAlign w:val="center"/>
          </w:tcPr>
          <w:p w14:paraId="0AEA2279">
            <w:pPr>
              <w:snapToGrid w:val="0"/>
              <w:spacing w:line="400" w:lineRule="exact"/>
              <w:rPr>
                <w:rFonts w:ascii="宋体" w:hAnsi="宋体" w:cs="宋体"/>
                <w:color w:val="auto"/>
                <w:szCs w:val="21"/>
                <w:highlight w:val="none"/>
              </w:rPr>
            </w:pPr>
            <w:r>
              <w:rPr>
                <w:rFonts w:hint="eastAsia" w:ascii="宋体" w:hAnsi="宋体" w:cs="宋体"/>
                <w:color w:val="auto"/>
                <w:highlight w:val="none"/>
              </w:rPr>
              <w:t>质疑期内每个工作日09 时00分到 12 时00分， 15 时 00 分到18时 00分</w:t>
            </w:r>
          </w:p>
        </w:tc>
      </w:tr>
      <w:tr w14:paraId="62B45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Align w:val="center"/>
          </w:tcPr>
          <w:p w14:paraId="56CEA51D">
            <w:pPr>
              <w:spacing w:line="400" w:lineRule="exact"/>
              <w:rPr>
                <w:rFonts w:ascii="宋体" w:hAnsi="宋体" w:cs="宋体"/>
                <w:color w:val="auto"/>
                <w:szCs w:val="21"/>
                <w:highlight w:val="none"/>
              </w:rPr>
            </w:pPr>
            <w:r>
              <w:rPr>
                <w:rFonts w:hint="eastAsia" w:ascii="宋体" w:hAnsi="宋体" w:cs="宋体"/>
                <w:color w:val="auto"/>
                <w:szCs w:val="21"/>
                <w:highlight w:val="none"/>
              </w:rPr>
              <w:t>31.6</w:t>
            </w:r>
          </w:p>
        </w:tc>
        <w:tc>
          <w:tcPr>
            <w:tcW w:w="737" w:type="pct"/>
            <w:vAlign w:val="center"/>
          </w:tcPr>
          <w:p w14:paraId="50A11D61">
            <w:pPr>
              <w:spacing w:line="400" w:lineRule="exact"/>
              <w:rPr>
                <w:rFonts w:ascii="宋体" w:hAnsi="宋体" w:cs="宋体"/>
                <w:color w:val="auto"/>
                <w:szCs w:val="21"/>
                <w:highlight w:val="none"/>
              </w:rPr>
            </w:pPr>
            <w:r>
              <w:rPr>
                <w:rFonts w:hint="eastAsia" w:ascii="宋体" w:hAnsi="宋体" w:cs="宋体"/>
                <w:color w:val="auto"/>
                <w:szCs w:val="21"/>
                <w:highlight w:val="none"/>
              </w:rPr>
              <w:t>受理投诉方式</w:t>
            </w:r>
          </w:p>
        </w:tc>
        <w:tc>
          <w:tcPr>
            <w:tcW w:w="3617" w:type="pct"/>
            <w:vAlign w:val="center"/>
          </w:tcPr>
          <w:p w14:paraId="4FF0F5E4">
            <w:pPr>
              <w:snapToGrid w:val="0"/>
              <w:spacing w:line="400" w:lineRule="exact"/>
              <w:rPr>
                <w:rFonts w:ascii="宋体" w:hAnsi="宋体" w:cs="宋体"/>
                <w:color w:val="auto"/>
                <w:highlight w:val="none"/>
              </w:rPr>
            </w:pPr>
            <w:r>
              <w:rPr>
                <w:rFonts w:hint="eastAsia" w:ascii="宋体" w:hAnsi="宋体" w:cs="宋体"/>
                <w:color w:val="auto"/>
                <w:highlight w:val="none"/>
              </w:rPr>
              <w:t>1、受理方式：纸质方式受理，投诉书正、副本（经过质疑的事项才可投诉）。</w:t>
            </w:r>
          </w:p>
          <w:p w14:paraId="6A161BFE">
            <w:pPr>
              <w:snapToGrid w:val="0"/>
              <w:spacing w:line="400" w:lineRule="exact"/>
              <w:rPr>
                <w:rFonts w:ascii="宋体" w:hAnsi="宋体" w:cs="宋体"/>
                <w:color w:val="auto"/>
                <w:highlight w:val="none"/>
              </w:rPr>
            </w:pPr>
            <w:r>
              <w:rPr>
                <w:rFonts w:hint="eastAsia" w:ascii="宋体" w:hAnsi="宋体" w:cs="宋体"/>
                <w:color w:val="auto"/>
                <w:highlight w:val="none"/>
              </w:rPr>
              <w:t>2、邮寄地址：</w:t>
            </w:r>
          </w:p>
          <w:p w14:paraId="6D3CDC40">
            <w:pPr>
              <w:pStyle w:val="28"/>
              <w:snapToGrid w:val="0"/>
              <w:spacing w:line="400" w:lineRule="exact"/>
              <w:rPr>
                <w:rFonts w:hAnsi="宋体" w:cs="宋体"/>
                <w:color w:val="auto"/>
                <w:sz w:val="21"/>
                <w:highlight w:val="none"/>
              </w:rPr>
            </w:pPr>
            <w:r>
              <w:rPr>
                <w:rFonts w:hint="eastAsia" w:hAnsi="宋体" w:cs="宋体"/>
                <w:color w:val="auto"/>
                <w:sz w:val="21"/>
                <w:highlight w:val="none"/>
              </w:rPr>
              <w:t>名称：北海市财政局政府采购管理科</w:t>
            </w:r>
          </w:p>
          <w:p w14:paraId="52DA828D">
            <w:pPr>
              <w:pStyle w:val="28"/>
              <w:snapToGrid w:val="0"/>
              <w:spacing w:line="400" w:lineRule="exact"/>
              <w:rPr>
                <w:rFonts w:hAnsi="宋体" w:cs="宋体"/>
                <w:color w:val="auto"/>
                <w:sz w:val="21"/>
                <w:highlight w:val="none"/>
              </w:rPr>
            </w:pPr>
            <w:r>
              <w:rPr>
                <w:rFonts w:hint="eastAsia" w:hAnsi="宋体" w:cs="宋体"/>
                <w:color w:val="auto"/>
                <w:sz w:val="21"/>
                <w:highlight w:val="none"/>
              </w:rPr>
              <w:t>地址：北海市海城区北部湾西路19号</w:t>
            </w:r>
          </w:p>
          <w:p w14:paraId="23CF4C71">
            <w:pPr>
              <w:pStyle w:val="28"/>
              <w:snapToGrid w:val="0"/>
              <w:spacing w:line="400" w:lineRule="exact"/>
              <w:rPr>
                <w:rFonts w:hAnsi="宋体" w:cs="宋体"/>
                <w:color w:val="auto"/>
                <w:sz w:val="21"/>
                <w:highlight w:val="none"/>
              </w:rPr>
            </w:pPr>
            <w:r>
              <w:rPr>
                <w:rFonts w:hint="eastAsia" w:hAnsi="宋体" w:cs="宋体"/>
                <w:color w:val="auto"/>
                <w:sz w:val="21"/>
                <w:highlight w:val="none"/>
              </w:rPr>
              <w:t>联系电话： 0779-3063975</w:t>
            </w:r>
          </w:p>
        </w:tc>
      </w:tr>
      <w:tr w14:paraId="4319D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Align w:val="center"/>
          </w:tcPr>
          <w:p w14:paraId="3A731453">
            <w:pPr>
              <w:spacing w:line="400" w:lineRule="exact"/>
              <w:rPr>
                <w:rFonts w:ascii="宋体" w:hAnsi="宋体" w:cs="宋体"/>
                <w:color w:val="auto"/>
                <w:szCs w:val="21"/>
                <w:highlight w:val="none"/>
              </w:rPr>
            </w:pPr>
            <w:r>
              <w:rPr>
                <w:rFonts w:hint="eastAsia" w:ascii="宋体" w:hAnsi="宋体" w:cs="宋体"/>
                <w:color w:val="auto"/>
                <w:szCs w:val="21"/>
                <w:highlight w:val="none"/>
              </w:rPr>
              <w:t>33</w:t>
            </w:r>
          </w:p>
        </w:tc>
        <w:tc>
          <w:tcPr>
            <w:tcW w:w="737" w:type="pct"/>
            <w:vAlign w:val="center"/>
          </w:tcPr>
          <w:p w14:paraId="6BDF842C">
            <w:pPr>
              <w:spacing w:line="400" w:lineRule="exact"/>
              <w:rPr>
                <w:rFonts w:ascii="宋体" w:hAnsi="宋体" w:cs="宋体"/>
                <w:color w:val="auto"/>
                <w:szCs w:val="21"/>
                <w:highlight w:val="none"/>
              </w:rPr>
            </w:pPr>
            <w:r>
              <w:rPr>
                <w:rFonts w:hint="eastAsia" w:ascii="宋体" w:hAnsi="宋体" w:cs="宋体"/>
                <w:color w:val="auto"/>
                <w:szCs w:val="21"/>
                <w:highlight w:val="none"/>
              </w:rPr>
              <w:t>采购代理费</w:t>
            </w:r>
          </w:p>
        </w:tc>
        <w:tc>
          <w:tcPr>
            <w:tcW w:w="3617" w:type="pct"/>
            <w:vAlign w:val="center"/>
          </w:tcPr>
          <w:p w14:paraId="78DE8BE2">
            <w:pPr>
              <w:pStyle w:val="28"/>
              <w:snapToGrid w:val="0"/>
              <w:spacing w:line="400" w:lineRule="exact"/>
              <w:rPr>
                <w:rFonts w:hAnsi="宋体" w:cs="宋体"/>
                <w:color w:val="auto"/>
                <w:sz w:val="21"/>
                <w:highlight w:val="none"/>
              </w:rPr>
            </w:pPr>
            <w:r>
              <w:rPr>
                <w:rFonts w:hint="eastAsia" w:hAnsi="宋体" w:cs="宋体"/>
                <w:color w:val="auto"/>
                <w:sz w:val="21"/>
                <w:highlight w:val="none"/>
              </w:rPr>
              <w:t>1、采购代理服务费支付方式：</w:t>
            </w:r>
            <w:r>
              <w:rPr>
                <w:rFonts w:hint="eastAsia" w:hAnsi="宋体"/>
                <w:color w:val="auto"/>
                <w:sz w:val="21"/>
                <w:highlight w:val="none"/>
              </w:rPr>
              <w:t>本项目的采购代理服务费向</w:t>
            </w:r>
            <w:r>
              <w:rPr>
                <w:rFonts w:hint="eastAsia" w:hAnsi="宋体" w:cs="宋体"/>
                <w:color w:val="auto"/>
                <w:sz w:val="21"/>
                <w:highlight w:val="none"/>
              </w:rPr>
              <w:t>成交供应商</w:t>
            </w:r>
            <w:r>
              <w:rPr>
                <w:rFonts w:hint="eastAsia" w:hAnsi="宋体"/>
                <w:color w:val="auto"/>
                <w:sz w:val="21"/>
                <w:highlight w:val="none"/>
              </w:rPr>
              <w:t>收取，</w:t>
            </w:r>
            <w:r>
              <w:rPr>
                <w:rFonts w:hint="eastAsia" w:hAnsi="宋体" w:cs="宋体"/>
                <w:color w:val="auto"/>
                <w:sz w:val="21"/>
                <w:highlight w:val="none"/>
              </w:rPr>
              <w:t>成交供应商</w:t>
            </w:r>
            <w:r>
              <w:rPr>
                <w:rFonts w:hint="eastAsia" w:hAnsi="宋体"/>
                <w:color w:val="auto"/>
                <w:sz w:val="21"/>
                <w:highlight w:val="none"/>
              </w:rPr>
              <w:t>应向采购代理机构一次付清招标代理服务费。</w:t>
            </w:r>
          </w:p>
          <w:p w14:paraId="0CA95FB4">
            <w:pPr>
              <w:pStyle w:val="28"/>
              <w:snapToGrid w:val="0"/>
              <w:spacing w:line="400" w:lineRule="exact"/>
              <w:rPr>
                <w:rFonts w:hAnsi="宋体" w:cs="宋体"/>
                <w:color w:val="auto"/>
                <w:sz w:val="21"/>
                <w:highlight w:val="none"/>
              </w:rPr>
            </w:pPr>
            <w:r>
              <w:rPr>
                <w:rFonts w:hint="eastAsia" w:hAnsi="宋体" w:cs="宋体"/>
                <w:color w:val="auto"/>
                <w:sz w:val="21"/>
                <w:highlight w:val="none"/>
              </w:rPr>
              <w:t>2、采购代理服务费收取标准：</w:t>
            </w:r>
          </w:p>
          <w:p w14:paraId="58C946F1">
            <w:pPr>
              <w:pStyle w:val="28"/>
              <w:snapToGrid w:val="0"/>
              <w:spacing w:line="400" w:lineRule="exact"/>
              <w:rPr>
                <w:rFonts w:hAnsi="宋体"/>
                <w:color w:val="auto"/>
                <w:sz w:val="21"/>
                <w:highlight w:val="none"/>
              </w:rPr>
            </w:pPr>
            <w:r>
              <w:rPr>
                <w:rFonts w:hint="eastAsia" w:hAnsi="宋体"/>
                <w:color w:val="auto"/>
                <w:sz w:val="21"/>
                <w:highlight w:val="none"/>
              </w:rPr>
              <w:t>按照国家发展计划委员会《招标代理服务费管理暂行办法》（计价格（2002）1980号、《国家发展改革委关于降低部分建设项目收费标准规范收费行为等有关问题的通知》（发改价格[2011]534号）的标准计取。</w:t>
            </w:r>
          </w:p>
          <w:p w14:paraId="3CB3817D">
            <w:pPr>
              <w:pStyle w:val="28"/>
              <w:snapToGrid w:val="0"/>
              <w:spacing w:line="400" w:lineRule="exact"/>
              <w:ind w:firstLine="420" w:firstLineChars="200"/>
              <w:rPr>
                <w:rFonts w:hAnsi="宋体"/>
                <w:color w:val="auto"/>
                <w:sz w:val="21"/>
                <w:highlight w:val="none"/>
              </w:rPr>
            </w:pPr>
            <w:r>
              <w:rPr>
                <w:rFonts w:hint="eastAsia" w:hAnsi="宋体"/>
                <w:color w:val="auto"/>
                <w:sz w:val="21"/>
                <w:highlight w:val="none"/>
              </w:rPr>
              <w:t>账户名称：广西德元工程项目管理有限责任公司北海分公司</w:t>
            </w:r>
          </w:p>
          <w:p w14:paraId="4D7B6E81">
            <w:pPr>
              <w:pStyle w:val="28"/>
              <w:snapToGrid w:val="0"/>
              <w:spacing w:line="400" w:lineRule="exact"/>
              <w:ind w:firstLine="420" w:firstLineChars="200"/>
              <w:rPr>
                <w:rFonts w:hAnsi="宋体"/>
                <w:color w:val="auto"/>
                <w:sz w:val="21"/>
                <w:highlight w:val="none"/>
              </w:rPr>
            </w:pPr>
            <w:r>
              <w:rPr>
                <w:rFonts w:hint="eastAsia" w:hAnsi="宋体"/>
                <w:color w:val="auto"/>
                <w:sz w:val="21"/>
                <w:highlight w:val="none"/>
              </w:rPr>
              <w:t>开 户 行：中国建设银行股份有限公司北海市北海大道支行</w:t>
            </w:r>
          </w:p>
          <w:p w14:paraId="134B1964">
            <w:pPr>
              <w:pStyle w:val="28"/>
              <w:snapToGrid w:val="0"/>
              <w:spacing w:line="400" w:lineRule="exact"/>
              <w:ind w:firstLine="420" w:firstLineChars="200"/>
              <w:rPr>
                <w:rFonts w:hAnsi="宋体" w:cs="宋体"/>
                <w:color w:val="auto"/>
                <w:sz w:val="21"/>
                <w:highlight w:val="none"/>
              </w:rPr>
            </w:pPr>
            <w:r>
              <w:rPr>
                <w:rFonts w:hint="eastAsia" w:hAnsi="宋体"/>
                <w:color w:val="auto"/>
                <w:sz w:val="21"/>
                <w:highlight w:val="none"/>
              </w:rPr>
              <w:t>帐    号：4500 1655 1130 5070 3077</w:t>
            </w:r>
          </w:p>
        </w:tc>
      </w:tr>
      <w:tr w14:paraId="072EBC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Align w:val="center"/>
          </w:tcPr>
          <w:p w14:paraId="50B0CCB6">
            <w:pPr>
              <w:spacing w:line="400" w:lineRule="exact"/>
              <w:rPr>
                <w:rFonts w:ascii="宋体" w:hAnsi="宋体" w:cs="宋体"/>
                <w:color w:val="auto"/>
                <w:szCs w:val="21"/>
                <w:highlight w:val="none"/>
              </w:rPr>
            </w:pPr>
            <w:r>
              <w:rPr>
                <w:rFonts w:hint="eastAsia" w:ascii="宋体" w:hAnsi="宋体" w:cs="宋体"/>
                <w:color w:val="auto"/>
                <w:szCs w:val="21"/>
                <w:highlight w:val="none"/>
              </w:rPr>
              <w:t>34.1</w:t>
            </w:r>
          </w:p>
        </w:tc>
        <w:tc>
          <w:tcPr>
            <w:tcW w:w="737" w:type="pct"/>
            <w:vAlign w:val="center"/>
          </w:tcPr>
          <w:p w14:paraId="29AA4480">
            <w:pPr>
              <w:spacing w:line="400" w:lineRule="exact"/>
              <w:rPr>
                <w:rFonts w:ascii="宋体" w:hAnsi="宋体" w:cs="宋体"/>
                <w:color w:val="auto"/>
                <w:szCs w:val="21"/>
                <w:highlight w:val="none"/>
              </w:rPr>
            </w:pPr>
            <w:r>
              <w:rPr>
                <w:rFonts w:hint="eastAsia" w:ascii="宋体" w:hAnsi="宋体" w:cs="宋体"/>
                <w:color w:val="auto"/>
                <w:highlight w:val="none"/>
              </w:rPr>
              <w:t>解释</w:t>
            </w:r>
          </w:p>
        </w:tc>
        <w:tc>
          <w:tcPr>
            <w:tcW w:w="3617" w:type="pct"/>
            <w:vAlign w:val="center"/>
          </w:tcPr>
          <w:p w14:paraId="0412A8F0">
            <w:pPr>
              <w:pStyle w:val="28"/>
              <w:snapToGrid w:val="0"/>
              <w:spacing w:line="400" w:lineRule="exact"/>
              <w:rPr>
                <w:rFonts w:hAnsi="宋体" w:cs="宋体"/>
                <w:b/>
                <w:color w:val="auto"/>
                <w:sz w:val="21"/>
                <w:highlight w:val="none"/>
              </w:rPr>
            </w:pPr>
            <w:r>
              <w:rPr>
                <w:rFonts w:hint="eastAsia" w:hAnsi="宋体" w:cs="宋体"/>
                <w:b/>
                <w:color w:val="auto"/>
                <w:sz w:val="21"/>
                <w:highlight w:val="none"/>
              </w:rPr>
              <w:t>解释权：</w:t>
            </w:r>
            <w:r>
              <w:rPr>
                <w:rFonts w:hint="eastAsia" w:hAnsi="宋体" w:cs="宋体"/>
                <w:color w:val="auto"/>
                <w:sz w:val="21"/>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sz w:val="21"/>
                <w:highlight w:val="none"/>
              </w:rPr>
              <w:t>由采购人或者采购代理机构负责解释。</w:t>
            </w:r>
          </w:p>
          <w:p w14:paraId="5AE7A8C5">
            <w:pPr>
              <w:pStyle w:val="28"/>
              <w:snapToGrid w:val="0"/>
              <w:spacing w:line="400" w:lineRule="exact"/>
              <w:rPr>
                <w:rFonts w:hAnsi="宋体" w:cs="宋体"/>
                <w:color w:val="auto"/>
                <w:sz w:val="21"/>
                <w:highlight w:val="none"/>
              </w:rPr>
            </w:pPr>
            <w:r>
              <w:rPr>
                <w:rFonts w:hint="eastAsia" w:hAnsi="宋体" w:cs="宋体"/>
                <w:b/>
                <w:color w:val="auto"/>
                <w:sz w:val="21"/>
                <w:highlight w:val="none"/>
              </w:rPr>
              <w:t>法律责任：</w:t>
            </w:r>
            <w:r>
              <w:rPr>
                <w:rFonts w:hint="eastAsia" w:hAnsi="宋体" w:cs="宋体"/>
                <w:color w:val="auto"/>
                <w:sz w:val="21"/>
                <w:highlight w:val="none"/>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14:paraId="04428681">
            <w:pPr>
              <w:pStyle w:val="28"/>
              <w:snapToGrid w:val="0"/>
              <w:spacing w:line="400" w:lineRule="exact"/>
              <w:rPr>
                <w:rFonts w:hAnsi="宋体" w:cs="宋体"/>
                <w:color w:val="auto"/>
                <w:kern w:val="2"/>
                <w:sz w:val="21"/>
                <w:highlight w:val="none"/>
              </w:rPr>
            </w:pPr>
            <w:r>
              <w:rPr>
                <w:rFonts w:hint="eastAsia" w:hAnsi="宋体" w:cs="宋体"/>
                <w:color w:val="auto"/>
                <w:sz w:val="21"/>
                <w:highlight w:val="none"/>
              </w:rPr>
              <w:t>2.本项目采购代理机构应严格按照“广西政府采购云”平台项目采购全流程电子化电子开评标规程执行项目采购活动，代理机构在“项目管理”—“采购文件管理”内开评标规则设置作为本采购文件的组成部分，一经开标不可更改，因代理机构开评标规则设置错误导致采购活动无法开展下去的情况，由代理机构负责解释并承担后果。</w:t>
            </w:r>
          </w:p>
        </w:tc>
      </w:tr>
      <w:tr w14:paraId="7C055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645" w:type="pct"/>
            <w:vAlign w:val="center"/>
          </w:tcPr>
          <w:p w14:paraId="270D2E28">
            <w:pPr>
              <w:spacing w:line="400" w:lineRule="exact"/>
              <w:rPr>
                <w:rFonts w:ascii="宋体" w:hAnsi="宋体" w:cs="宋体"/>
                <w:color w:val="auto"/>
                <w:szCs w:val="21"/>
                <w:highlight w:val="none"/>
              </w:rPr>
            </w:pPr>
            <w:r>
              <w:rPr>
                <w:rFonts w:hint="eastAsia" w:ascii="宋体" w:hAnsi="宋体" w:cs="宋体"/>
                <w:color w:val="auto"/>
                <w:szCs w:val="21"/>
                <w:highlight w:val="none"/>
              </w:rPr>
              <w:t>34.2</w:t>
            </w:r>
          </w:p>
        </w:tc>
        <w:tc>
          <w:tcPr>
            <w:tcW w:w="737" w:type="pct"/>
            <w:vAlign w:val="center"/>
          </w:tcPr>
          <w:p w14:paraId="3FB084C8">
            <w:pPr>
              <w:spacing w:line="400" w:lineRule="exact"/>
              <w:rPr>
                <w:rFonts w:ascii="宋体" w:hAnsi="宋体" w:cs="宋体"/>
                <w:color w:val="auto"/>
                <w:szCs w:val="21"/>
                <w:highlight w:val="none"/>
              </w:rPr>
            </w:pPr>
            <w:r>
              <w:rPr>
                <w:rFonts w:hint="eastAsia" w:ascii="宋体" w:hAnsi="宋体" w:cs="宋体"/>
                <w:color w:val="auto"/>
                <w:szCs w:val="21"/>
                <w:highlight w:val="none"/>
              </w:rPr>
              <w:t>其他</w:t>
            </w:r>
          </w:p>
        </w:tc>
        <w:tc>
          <w:tcPr>
            <w:tcW w:w="3617" w:type="pct"/>
            <w:vAlign w:val="center"/>
          </w:tcPr>
          <w:p w14:paraId="71E2B4BC">
            <w:pPr>
              <w:pStyle w:val="28"/>
              <w:snapToGrid w:val="0"/>
              <w:spacing w:line="400" w:lineRule="exact"/>
              <w:rPr>
                <w:rFonts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213C8676">
            <w:pPr>
              <w:pStyle w:val="28"/>
              <w:snapToGrid w:val="0"/>
              <w:spacing w:line="400" w:lineRule="exact"/>
              <w:rPr>
                <w:rFonts w:hAnsi="宋体" w:cs="宋体"/>
                <w:color w:val="auto"/>
                <w:sz w:val="21"/>
                <w:highlight w:val="none"/>
              </w:rPr>
            </w:pPr>
            <w:r>
              <w:rPr>
                <w:rFonts w:hint="eastAsia" w:hAnsi="宋体" w:cs="宋体"/>
                <w:color w:val="auto"/>
                <w:sz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9FF2194">
            <w:pPr>
              <w:pStyle w:val="28"/>
              <w:snapToGrid w:val="0"/>
              <w:spacing w:line="400" w:lineRule="exact"/>
              <w:rPr>
                <w:rFonts w:hAnsi="宋体" w:cs="宋体"/>
                <w:color w:val="auto"/>
                <w:sz w:val="21"/>
                <w:highlight w:val="none"/>
              </w:rPr>
            </w:pPr>
            <w:r>
              <w:rPr>
                <w:rFonts w:hint="eastAsia" w:hAnsi="宋体" w:cs="宋体"/>
                <w:color w:val="auto"/>
                <w:sz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3BB7F3E5">
            <w:pPr>
              <w:pStyle w:val="28"/>
              <w:snapToGrid w:val="0"/>
              <w:spacing w:line="400" w:lineRule="exact"/>
              <w:rPr>
                <w:rFonts w:hAnsi="宋体" w:cs="宋体"/>
                <w:color w:val="auto"/>
                <w:sz w:val="21"/>
                <w:highlight w:val="none"/>
              </w:rPr>
            </w:pPr>
            <w:r>
              <w:rPr>
                <w:rFonts w:hint="eastAsia" w:hAnsi="宋体" w:cs="宋体"/>
                <w:color w:val="auto"/>
                <w:sz w:val="21"/>
                <w:highlight w:val="none"/>
              </w:rPr>
              <w:t>4.自然人竞标的，磋商文件规定盖公章处由自然人摁手指指印。</w:t>
            </w:r>
          </w:p>
          <w:p w14:paraId="1B147CD3">
            <w:pPr>
              <w:pStyle w:val="28"/>
              <w:snapToGrid w:val="0"/>
              <w:spacing w:line="400" w:lineRule="exact"/>
              <w:rPr>
                <w:rFonts w:hAnsi="宋体" w:cs="宋体"/>
                <w:color w:val="auto"/>
                <w:sz w:val="21"/>
                <w:highlight w:val="none"/>
              </w:rPr>
            </w:pPr>
            <w:r>
              <w:rPr>
                <w:rFonts w:hint="eastAsia" w:hAnsi="宋体" w:cs="宋体"/>
                <w:color w:val="auto"/>
                <w:sz w:val="21"/>
                <w:highlight w:val="none"/>
              </w:rPr>
              <w:t>5.本磋商文件所称的“以上”“以下”“以内”“届满”，包括本数；所称的“不满”“超过”“以外”，不包括本数。</w:t>
            </w:r>
          </w:p>
        </w:tc>
      </w:tr>
    </w:tbl>
    <w:p w14:paraId="74A58D68">
      <w:pPr>
        <w:pStyle w:val="3"/>
        <w:spacing w:line="420" w:lineRule="exact"/>
        <w:jc w:val="center"/>
        <w:rPr>
          <w:rFonts w:ascii="宋体" w:hAnsi="宋体" w:cs="宋体"/>
          <w:bCs w:val="0"/>
          <w:color w:val="auto"/>
          <w:highlight w:val="none"/>
        </w:rPr>
      </w:pPr>
      <w:r>
        <w:rPr>
          <w:rFonts w:hint="eastAsia" w:ascii="宋体" w:hAnsi="宋体" w:cs="宋体"/>
          <w:b w:val="0"/>
          <w:color w:val="auto"/>
          <w:highlight w:val="none"/>
        </w:rPr>
        <w:br w:type="page"/>
      </w:r>
      <w:bookmarkStart w:id="52" w:name="_Toc24221"/>
      <w:bookmarkStart w:id="53" w:name="_Toc120174192"/>
      <w:r>
        <w:rPr>
          <w:rFonts w:hint="eastAsia" w:ascii="宋体" w:hAnsi="宋体" w:cs="宋体"/>
          <w:bCs w:val="0"/>
          <w:color w:val="auto"/>
          <w:highlight w:val="none"/>
        </w:rPr>
        <w:t>第二节 供应商须知正文</w:t>
      </w:r>
      <w:bookmarkEnd w:id="52"/>
      <w:bookmarkEnd w:id="53"/>
    </w:p>
    <w:p w14:paraId="0E2ED308">
      <w:pPr>
        <w:pStyle w:val="4"/>
        <w:spacing w:before="0" w:after="0" w:line="360" w:lineRule="auto"/>
        <w:ind w:firstLine="480" w:firstLineChars="200"/>
        <w:rPr>
          <w:rFonts w:ascii="宋体" w:hAnsi="宋体" w:cs="宋体"/>
          <w:b w:val="0"/>
          <w:color w:val="auto"/>
          <w:highlight w:val="none"/>
        </w:rPr>
      </w:pPr>
      <w:bookmarkStart w:id="54" w:name="_Toc28690"/>
      <w:bookmarkStart w:id="55" w:name="_Toc120174193"/>
      <w:bookmarkStart w:id="56" w:name="_Toc120173684"/>
      <w:r>
        <w:rPr>
          <w:rFonts w:hint="eastAsia" w:ascii="宋体" w:hAnsi="宋体" w:cs="宋体"/>
          <w:b w:val="0"/>
          <w:color w:val="auto"/>
          <w:highlight w:val="none"/>
        </w:rPr>
        <w:t>一、总则</w:t>
      </w:r>
      <w:bookmarkEnd w:id="54"/>
      <w:bookmarkEnd w:id="55"/>
      <w:bookmarkEnd w:id="56"/>
    </w:p>
    <w:p w14:paraId="3562A450">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1.适用范围</w:t>
      </w:r>
    </w:p>
    <w:p w14:paraId="244652B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38DF7B5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708C6C8F">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2.定义</w:t>
      </w:r>
    </w:p>
    <w:p w14:paraId="562D989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2E44CA2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2.2“采购代理机构”是指政府采购集中采购机构和集中采购机构以外的采购代理机构。</w:t>
      </w:r>
    </w:p>
    <w:p w14:paraId="200D05F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2EAA20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2.4“服务”是指除货物和工程以外的其他政府采购对象。</w:t>
      </w:r>
    </w:p>
    <w:p w14:paraId="4FB95D6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1540CE6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7239F4D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3471DBC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0F084F4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4CD5702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333BF4C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1E29B4F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410FE5D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19F1EE02">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3.供应商的资格条件</w:t>
      </w:r>
    </w:p>
    <w:p w14:paraId="7144885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供应商的资格条件详见“供应商须知前附表”。</w:t>
      </w:r>
    </w:p>
    <w:p w14:paraId="6D2F1B43">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4.磋商费用</w:t>
      </w:r>
    </w:p>
    <w:p w14:paraId="4335D93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03DBFBC4">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5.联合体竞标</w:t>
      </w:r>
    </w:p>
    <w:p w14:paraId="2956325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6AD53C6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s="宋体"/>
          <w:color w:val="auto"/>
          <w:highlight w:val="none"/>
        </w:rPr>
        <w:t>如接受联合体竞标，</w:t>
      </w:r>
      <w:r>
        <w:rPr>
          <w:rFonts w:hint="eastAsia" w:ascii="宋体" w:hAnsi="宋体" w:cs="宋体"/>
          <w:color w:val="auto"/>
          <w:szCs w:val="21"/>
          <w:highlight w:val="none"/>
        </w:rPr>
        <w:t>联合体竞标要求详见“供应商须知前附表”。</w:t>
      </w:r>
    </w:p>
    <w:p w14:paraId="117AC8E9">
      <w:pPr>
        <w:spacing w:line="360" w:lineRule="auto"/>
        <w:ind w:firstLine="420" w:firstLineChars="200"/>
        <w:rPr>
          <w:rFonts w:ascii="宋体" w:hAnsi="宋体" w:cs="宋体"/>
          <w:bCs/>
          <w:color w:val="auto"/>
          <w:szCs w:val="21"/>
          <w:highlight w:val="none"/>
        </w:rPr>
      </w:pPr>
      <w:r>
        <w:rPr>
          <w:rFonts w:hint="eastAsia" w:ascii="宋体" w:hAnsi="宋体" w:cs="宋体"/>
          <w:color w:val="auto"/>
          <w:szCs w:val="21"/>
          <w:highlight w:val="none"/>
        </w:rPr>
        <w:t>5.3</w:t>
      </w:r>
      <w:r>
        <w:rPr>
          <w:rFonts w:hint="eastAsia" w:ascii="宋体" w:hAnsi="宋体" w:cs="宋体"/>
          <w:bCs/>
          <w:color w:val="auto"/>
          <w:szCs w:val="21"/>
          <w:highlight w:val="none"/>
        </w:rPr>
        <w:t>根据《政府采购促进中小企业发展管理办法》（财库[2020]46号）第九条规定，接受大中型企业与小微企业组成联合体的采购项目，对于联合协议约定小微企业的合同份额占到合同总金额 30%以上的，采购人、采购代理机构应当对联合体的报价给予 2%-3%（工程项目为 1%—2%）的扣除，用扣除后的价格参加评审。组成联合体的小微企业与联合体内其他企业、分包企业之间存在直接控股、管理关系的，不享受价格扣除优惠政策。</w:t>
      </w:r>
    </w:p>
    <w:p w14:paraId="2E7A3A6F">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 xml:space="preserve">6.转包与分包             </w:t>
      </w:r>
    </w:p>
    <w:p w14:paraId="2220791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52D2F74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w:t>
      </w:r>
      <w:r>
        <w:rPr>
          <w:rFonts w:hint="eastAsia" w:ascii="宋体" w:hAnsi="宋体" w:cs="宋体"/>
          <w:bCs/>
          <w:color w:val="auto"/>
          <w:szCs w:val="21"/>
          <w:highlight w:val="none"/>
        </w:rPr>
        <w:t>根据《政府采购促进中小企业发展管理办法》（财库[2020]46号）第九条规定，允许大中型企业向一家或者多家小微企业分包的采购项目，对于分包意向协议约定小微企业的合同份额占到合同总金额 30%以上的，采购人、采购代理机构应当对大中型企业的报价给予 2%-3%的扣除，用扣除后的价格参加评审。接受分包的小微企业与分包企业之间存在直接控股、管理关系的，不享受价格扣除优惠政策。</w:t>
      </w:r>
    </w:p>
    <w:p w14:paraId="0264F294">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7.特别说明</w:t>
      </w:r>
    </w:p>
    <w:p w14:paraId="75BAC97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7.1如果本磋商文件要求提供供应商或制造商的资格、信誉、荣誉、业绩与企业认证等材料的，资格、信誉、荣誉、业绩与企业认证等必须为供应商或者制造商所拥有或自身获得 。</w:t>
      </w:r>
    </w:p>
    <w:p w14:paraId="19CEDE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3033104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320377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49FD63C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18E9DE1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5EFA5B3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458B448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0AD08AD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7D6B42D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6F0A2D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28A4503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42A5878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634DE99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3F0716A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0DFBF0F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1558CCD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p>
    <w:p w14:paraId="0AB8018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5020015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76E165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3FF0EDF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18E4F95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233D45D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00ACD91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02102F1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41EBCEB0">
      <w:pPr>
        <w:pStyle w:val="4"/>
        <w:spacing w:before="0" w:after="0" w:line="360" w:lineRule="auto"/>
        <w:ind w:firstLine="480" w:firstLineChars="200"/>
        <w:rPr>
          <w:rFonts w:ascii="宋体" w:hAnsi="宋体" w:cs="宋体"/>
          <w:b w:val="0"/>
          <w:bCs w:val="0"/>
          <w:color w:val="auto"/>
          <w:highlight w:val="none"/>
        </w:rPr>
      </w:pPr>
      <w:bookmarkStart w:id="57" w:name="_Toc120174194"/>
      <w:bookmarkStart w:id="58" w:name="_Toc120173685"/>
      <w:bookmarkStart w:id="59" w:name="_Toc14469"/>
      <w:r>
        <w:rPr>
          <w:rFonts w:hint="eastAsia" w:ascii="宋体" w:hAnsi="宋体" w:cs="宋体"/>
          <w:b w:val="0"/>
          <w:bCs w:val="0"/>
          <w:color w:val="auto"/>
          <w:highlight w:val="none"/>
        </w:rPr>
        <w:t>二、磋商文件</w:t>
      </w:r>
      <w:bookmarkEnd w:id="57"/>
      <w:bookmarkEnd w:id="58"/>
      <w:bookmarkEnd w:id="59"/>
    </w:p>
    <w:p w14:paraId="0E651DE7">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8.磋商文件的构成</w:t>
      </w:r>
    </w:p>
    <w:p w14:paraId="5838D79F">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第一章 竞争性磋商公告；</w:t>
      </w:r>
    </w:p>
    <w:p w14:paraId="17B4CB27">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第二章 采购需求；</w:t>
      </w:r>
    </w:p>
    <w:p w14:paraId="0DE24939">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 xml:space="preserve">第三章 供应商须知； </w:t>
      </w:r>
    </w:p>
    <w:p w14:paraId="3D1FD012">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第四章 评审程序、评审方法和评审标准；</w:t>
      </w:r>
    </w:p>
    <w:p w14:paraId="087E1D81">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第五章 工程量清单及图纸；</w:t>
      </w:r>
    </w:p>
    <w:p w14:paraId="693EA4F8">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第六章 响应文件格式；</w:t>
      </w:r>
    </w:p>
    <w:p w14:paraId="234BA665">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第七章 合同文本；</w:t>
      </w:r>
    </w:p>
    <w:p w14:paraId="283B448A">
      <w:pPr>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第八章 质疑、投诉材料格式。</w:t>
      </w:r>
    </w:p>
    <w:p w14:paraId="04C11F6E">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9.供应商的询问</w:t>
      </w:r>
    </w:p>
    <w:p w14:paraId="7FDF626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7CEE009">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10.磋商文件的澄清和修改</w:t>
      </w:r>
    </w:p>
    <w:p w14:paraId="1675923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3776EC65">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6857C32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09E738B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10.4</w:t>
      </w:r>
      <w:r>
        <w:rPr>
          <w:rFonts w:hint="eastAsia" w:ascii="宋体" w:hAnsi="宋体" w:cs="宋体"/>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06779422">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10.5  采购人和采购代理机构可以视采购具体情况，变更提交首次响应文件截止时间和竞谈时间，将变更时间将在“采购文件公告”中“七、其他补充事宜 2.信息公告发布媒体”规定的政府采购信息发布媒体上发布更正公告。</w:t>
      </w:r>
    </w:p>
    <w:p w14:paraId="347A930D">
      <w:pPr>
        <w:spacing w:line="360" w:lineRule="auto"/>
        <w:ind w:firstLine="440" w:firstLineChars="200"/>
        <w:rPr>
          <w:rFonts w:ascii="宋体" w:hAnsi="宋体" w:cs="宋体"/>
          <w:color w:val="auto"/>
          <w:kern w:val="0"/>
          <w:sz w:val="22"/>
          <w:szCs w:val="21"/>
          <w:highlight w:val="none"/>
        </w:rPr>
      </w:pPr>
      <w:r>
        <w:rPr>
          <w:rFonts w:hint="eastAsia" w:ascii="宋体" w:hAnsi="宋体" w:cs="宋体"/>
          <w:color w:val="auto"/>
          <w:kern w:val="0"/>
          <w:sz w:val="22"/>
          <w:szCs w:val="21"/>
          <w:highlight w:val="none"/>
        </w:rPr>
        <w:t>▲</w:t>
      </w:r>
      <w:r>
        <w:rPr>
          <w:rFonts w:hint="eastAsia" w:ascii="宋体" w:hAnsi="宋体" w:cs="宋体"/>
          <w:b/>
          <w:color w:val="auto"/>
          <w:kern w:val="0"/>
          <w:sz w:val="22"/>
          <w:szCs w:val="21"/>
          <w:highlight w:val="none"/>
        </w:rPr>
        <w:t>响应文件未按磋商文件的澄清、修改的内容编制，又不符合实质性要求的，其响应文件作无效处理。</w:t>
      </w:r>
    </w:p>
    <w:p w14:paraId="5D682420">
      <w:pPr>
        <w:pStyle w:val="4"/>
        <w:spacing w:before="0" w:after="0" w:line="360" w:lineRule="auto"/>
        <w:ind w:firstLine="480" w:firstLineChars="200"/>
        <w:rPr>
          <w:rFonts w:ascii="宋体" w:hAnsi="宋体" w:cs="宋体"/>
          <w:b w:val="0"/>
          <w:bCs w:val="0"/>
          <w:color w:val="auto"/>
          <w:highlight w:val="none"/>
        </w:rPr>
      </w:pPr>
      <w:bookmarkStart w:id="60" w:name="_Toc120174195"/>
      <w:bookmarkStart w:id="61" w:name="_Toc23844"/>
      <w:bookmarkStart w:id="62" w:name="_Toc120173686"/>
      <w:r>
        <w:rPr>
          <w:rFonts w:hint="eastAsia" w:ascii="宋体" w:hAnsi="宋体" w:cs="宋体"/>
          <w:b w:val="0"/>
          <w:bCs w:val="0"/>
          <w:color w:val="auto"/>
          <w:highlight w:val="none"/>
        </w:rPr>
        <w:t>三、响应文件的编制</w:t>
      </w:r>
      <w:bookmarkEnd w:id="60"/>
      <w:bookmarkEnd w:id="61"/>
      <w:bookmarkEnd w:id="62"/>
    </w:p>
    <w:p w14:paraId="7F3EC79F">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11.响应文件的编制原则</w:t>
      </w:r>
    </w:p>
    <w:p w14:paraId="267D237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29C633B8">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12.响应文件的组成</w:t>
      </w:r>
    </w:p>
    <w:p w14:paraId="33BAE91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12.1响应文件由资格证明文件、报价商务技术文件二部分组成。</w:t>
      </w:r>
    </w:p>
    <w:p w14:paraId="248E047C">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774EC1B1">
      <w:pPr>
        <w:spacing w:line="360" w:lineRule="auto"/>
        <w:ind w:left="420" w:leftChars="200" w:firstLine="420" w:firstLineChars="200"/>
        <w:rPr>
          <w:rFonts w:ascii="宋体" w:hAnsi="宋体" w:cs="宋体"/>
          <w:color w:val="auto"/>
          <w:szCs w:val="21"/>
          <w:highlight w:val="none"/>
        </w:rPr>
      </w:pPr>
      <w:r>
        <w:rPr>
          <w:rFonts w:hint="eastAsia" w:ascii="宋体" w:hAnsi="宋体" w:cs="宋体"/>
          <w:color w:val="auto"/>
          <w:szCs w:val="21"/>
          <w:highlight w:val="none"/>
        </w:rPr>
        <w:t>12.1.2报价商务技术文件：详见须知前附表</w:t>
      </w:r>
    </w:p>
    <w:p w14:paraId="2369896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22CA0A9E">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13.计量单位</w:t>
      </w:r>
    </w:p>
    <w:p w14:paraId="3C06181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50D69872">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14.竞标的风险</w:t>
      </w:r>
    </w:p>
    <w:p w14:paraId="53A33D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3886F35C">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15.响应报价要求和构成</w:t>
      </w:r>
    </w:p>
    <w:p w14:paraId="2C32DD00">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15.1磋商价格</w:t>
      </w:r>
    </w:p>
    <w:p w14:paraId="365514E7">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本工程的报价方式为工程量清单报价，合同承包方式为：固定综合单价。</w:t>
      </w:r>
    </w:p>
    <w:p w14:paraId="790FBBD4">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15.1.1 本工程量清单是根据竞争性磋商文件中包括的、有合同约束力的招标工程量清单的国家标准、行业标准、合同条款中约定的工程量计算规则编制。计量采用中华人民共和国法定计量单位。</w:t>
      </w:r>
    </w:p>
    <w:p w14:paraId="6BA5B304">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15.1.2 本工程量清单应与竞争性磋商文件中的供应商须知、通用合同条款、专用合同条款、技术规范等一起阅读和理解。</w:t>
      </w:r>
    </w:p>
    <w:p w14:paraId="4ED19C29">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15.1.3本工程量清单中所列工程数量是估算的或设计的预计数量，仅作为投标报价的共同基础，不能作为最终结算与支付的依据。实际支付应按实际完成的工程量，由承包人按技术规范规定的计量方法，以发包人认可的尺寸、断面计量，按本工程量清单的单价和总额价计算支付金额；或者，根据具体情况，按合同条款的规定，由发包人确定的单价或总额价计算支付额。</w:t>
      </w:r>
    </w:p>
    <w:p w14:paraId="5A60A689">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15.1.4 工程量清单中所列工程量的变动，丝毫不会降低或影响合同条款的效力，也不免除承包人按规定的标准进行施工和修复缺陷的责任。</w:t>
      </w:r>
    </w:p>
    <w:p w14:paraId="48E1C736">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15.1.5本项目以工程量清单所列数量作为报价的依据。</w:t>
      </w:r>
    </w:p>
    <w:p w14:paraId="18A43C9C">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15.1.6工程量清单另册发放。 </w:t>
      </w:r>
    </w:p>
    <w:p w14:paraId="6FB5E5EA">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15.1.7 工程量清单中的每一子目须填入单价或价格，且只允许有一个报价。</w:t>
      </w:r>
    </w:p>
    <w:p w14:paraId="30423985">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15.1.8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77A5725D">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15.1.9 工程量清单中供应商没有填入单价或价格的子目，其费用视为己分摊在工程量清单中其他相关子目的单价或价格之中。承包人必须按发包人指令完成工程量清单中未填入单价或价格的子目，但不能得到结算与支付。</w:t>
      </w:r>
    </w:p>
    <w:p w14:paraId="21214BD4">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15.1.10 符合合同条款规定的全部费用应认为已被计入有标价的工程量清单所列各子目之中，未列子目不予计量的工作，其费用应视为已分摊在本合同工程的有关子目的单价或总额价之中。</w:t>
      </w:r>
    </w:p>
    <w:p w14:paraId="1566C92D">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15.1.11承包人用于本合同工程的各类装备的提供、运输、维护、拆卸、拼装等支付的费用，已包括在工程量清单的单价与总额价之中。</w:t>
      </w:r>
    </w:p>
    <w:p w14:paraId="23408FED">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15.1.12 工程量清单中各项金额均以人民币（元）结算。</w:t>
      </w:r>
    </w:p>
    <w:p w14:paraId="7EDE42FF">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15.1.13 暂列金额（不含计日工总额）的数量及拟用子目的说明：详见工程量清单。</w:t>
      </w:r>
    </w:p>
    <w:p w14:paraId="2FBD30EA">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15.1.14 暂估价的数量及拟用子目的说明：详见工程量清单。</w:t>
      </w:r>
    </w:p>
    <w:p w14:paraId="080A59A7">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15.1.15磋商供应商的磋商报价须按竞争性磋商采购文件及澄清答疑中所确认的工程量清单进行报价。磋商供应商对自己所填写的项目编码、计量单位、工程数量负责。评审中，如报价文件项目编码、计量单位、工程数量与采购人提供的无法一致，该清单项目作废，该清单项目的费用视为包含在其他清单项目中；该清单项目作废，如作废的清单项目达到3项以上（含本数）或作废的清单项目造价累计超过单位工程磋商报价的2%（含本数），视为不响应竞争性磋商采购文件实质性内容，作无效磋商处理。 </w:t>
      </w:r>
    </w:p>
    <w:p w14:paraId="101E0A94">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15.2磋商价格计算依据：</w:t>
      </w:r>
    </w:p>
    <w:p w14:paraId="5869E49A">
      <w:pPr>
        <w:spacing w:line="480" w:lineRule="exact"/>
        <w:ind w:firstLine="420" w:firstLineChars="200"/>
        <w:rPr>
          <w:rFonts w:hint="eastAsia" w:ascii="宋体" w:hAnsi="宋体" w:cs="宋体"/>
          <w:color w:val="auto"/>
          <w:szCs w:val="21"/>
          <w:highlight w:val="none"/>
          <w:lang w:eastAsia="zh-CN"/>
        </w:rPr>
      </w:pP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广西区水利厅、区发改委、财政厅以桂水基(2007)38号文颁布的《广西水利水电工程设计概(预)算编制规定》、《广西水利水电建筑工程概、预算定额》、《广西水利水电设备安装工程概、预算定额》和《广西水利水电工程机械台时费定额》</w:t>
      </w:r>
      <w:r>
        <w:rPr>
          <w:rFonts w:hint="eastAsia" w:ascii="宋体" w:hAnsi="宋体" w:cs="宋体"/>
          <w:color w:val="auto"/>
          <w:szCs w:val="21"/>
          <w:highlight w:val="none"/>
          <w:lang w:eastAsia="zh-CN"/>
        </w:rPr>
        <w:t>；</w:t>
      </w:r>
    </w:p>
    <w:p w14:paraId="4729E57F">
      <w:pPr>
        <w:spacing w:line="480" w:lineRule="exact"/>
        <w:ind w:firstLine="420" w:firstLineChars="200"/>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rPr>
        <w:t>广西水利厅以桂水基(2014)41号文发布的《广西壮族自治区水利水电工程概(预)算补充定额》</w:t>
      </w:r>
      <w:r>
        <w:rPr>
          <w:rFonts w:hint="eastAsia" w:ascii="宋体" w:hAnsi="宋体" w:cs="宋体"/>
          <w:color w:val="auto"/>
          <w:szCs w:val="21"/>
          <w:highlight w:val="none"/>
          <w:lang w:eastAsia="zh-CN"/>
        </w:rPr>
        <w:t>；</w:t>
      </w:r>
    </w:p>
    <w:p w14:paraId="5C1B0F45">
      <w:pPr>
        <w:spacing w:line="48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rPr>
        <w:t>《关于调整广西水利水电建设工程定额人工预算单价的通知》(桂水基(2016)1号)</w:t>
      </w:r>
      <w:r>
        <w:rPr>
          <w:rFonts w:hint="eastAsia" w:ascii="宋体" w:hAnsi="宋体" w:cs="宋体"/>
          <w:color w:val="auto"/>
          <w:szCs w:val="21"/>
          <w:highlight w:val="none"/>
          <w:lang w:eastAsia="zh-CN"/>
        </w:rPr>
        <w:t>；</w:t>
      </w:r>
    </w:p>
    <w:p w14:paraId="267F664D">
      <w:pPr>
        <w:spacing w:line="48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cs="宋体"/>
          <w:color w:val="auto"/>
          <w:szCs w:val="21"/>
          <w:highlight w:val="none"/>
        </w:rPr>
        <w:t>《水利厅关于营业税改增值税后广西水利水电工程计价依据调整的通知》(桂水基(2016)16号文)</w:t>
      </w:r>
      <w:r>
        <w:rPr>
          <w:rFonts w:hint="eastAsia" w:ascii="宋体" w:hAnsi="宋体" w:cs="宋体"/>
          <w:color w:val="auto"/>
          <w:szCs w:val="21"/>
          <w:highlight w:val="none"/>
          <w:lang w:eastAsia="zh-CN"/>
        </w:rPr>
        <w:t>；</w:t>
      </w:r>
    </w:p>
    <w:p w14:paraId="2F683D09">
      <w:pPr>
        <w:spacing w:line="480" w:lineRule="exact"/>
        <w:ind w:firstLine="420" w:firstLineChars="200"/>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w:t>
      </w:r>
      <w:r>
        <w:rPr>
          <w:rFonts w:hint="eastAsia" w:ascii="宋体" w:hAnsi="宋体" w:cs="宋体"/>
          <w:color w:val="auto"/>
          <w:szCs w:val="21"/>
          <w:highlight w:val="none"/>
        </w:rPr>
        <w:t>水利厅办公室转发水利部办公厅关于印发《水利工程营业税改增值税计价依据调整办法》的通知(水办基(2016)31号)</w:t>
      </w:r>
      <w:r>
        <w:rPr>
          <w:rFonts w:hint="eastAsia" w:ascii="宋体" w:hAnsi="宋体" w:cs="宋体"/>
          <w:color w:val="auto"/>
          <w:szCs w:val="21"/>
          <w:highlight w:val="none"/>
          <w:lang w:eastAsia="zh-CN"/>
        </w:rPr>
        <w:t>；</w:t>
      </w:r>
    </w:p>
    <w:p w14:paraId="7A4C8BDE">
      <w:pPr>
        <w:spacing w:line="48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lang w:eastAsia="zh-CN"/>
        </w:rPr>
        <w:t>）</w:t>
      </w:r>
      <w:r>
        <w:rPr>
          <w:rFonts w:hint="eastAsia" w:ascii="宋体" w:hAnsi="宋体" w:cs="宋体"/>
          <w:color w:val="auto"/>
          <w:szCs w:val="21"/>
          <w:highlight w:val="none"/>
        </w:rPr>
        <w:t>自治区水利厅关于调整水利工程增值税计算标准的通知(桂水建设(2019)4号)</w:t>
      </w:r>
      <w:r>
        <w:rPr>
          <w:rFonts w:hint="eastAsia" w:ascii="宋体" w:hAnsi="宋体" w:cs="宋体"/>
          <w:color w:val="auto"/>
          <w:szCs w:val="21"/>
          <w:highlight w:val="none"/>
          <w:lang w:eastAsia="zh-CN"/>
        </w:rPr>
        <w:t>；</w:t>
      </w:r>
    </w:p>
    <w:p w14:paraId="3B5C6E39">
      <w:pPr>
        <w:spacing w:line="480" w:lineRule="exact"/>
        <w:ind w:firstLine="420" w:firstLineChars="200"/>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7</w:t>
      </w:r>
      <w:r>
        <w:rPr>
          <w:rFonts w:hint="eastAsia" w:ascii="宋体" w:hAnsi="宋体" w:cs="宋体"/>
          <w:color w:val="auto"/>
          <w:szCs w:val="21"/>
          <w:highlight w:val="none"/>
          <w:lang w:eastAsia="zh-CN"/>
        </w:rPr>
        <w:t>）</w:t>
      </w:r>
      <w:r>
        <w:rPr>
          <w:rFonts w:hint="eastAsia" w:ascii="宋体" w:hAnsi="宋体" w:cs="宋体"/>
          <w:color w:val="auto"/>
          <w:szCs w:val="21"/>
          <w:highlight w:val="none"/>
        </w:rPr>
        <w:t>广西人力资源和社会保障厅降低社会保险费率(桂人社规(2019)9号)</w:t>
      </w:r>
      <w:r>
        <w:rPr>
          <w:rFonts w:hint="eastAsia" w:ascii="宋体" w:hAnsi="宋体" w:cs="宋体"/>
          <w:color w:val="auto"/>
          <w:szCs w:val="21"/>
          <w:highlight w:val="none"/>
          <w:lang w:eastAsia="zh-CN"/>
        </w:rPr>
        <w:t>；</w:t>
      </w:r>
    </w:p>
    <w:p w14:paraId="5FEDE0EF">
      <w:pPr>
        <w:spacing w:line="480" w:lineRule="exact"/>
        <w:ind w:firstLine="420" w:firstLineChars="200"/>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lang w:eastAsia="zh-CN"/>
        </w:rPr>
        <w:t>）</w:t>
      </w:r>
      <w:r>
        <w:rPr>
          <w:rFonts w:hint="eastAsia" w:ascii="宋体" w:hAnsi="宋体" w:cs="宋体"/>
          <w:color w:val="auto"/>
          <w:szCs w:val="21"/>
          <w:highlight w:val="none"/>
        </w:rPr>
        <w:t>自治区水利厅关于调整水利工程安全文明施工措施费费率的通知(桂水建设(2023)4号)</w:t>
      </w:r>
      <w:r>
        <w:rPr>
          <w:rFonts w:hint="eastAsia" w:ascii="宋体" w:hAnsi="宋体" w:cs="宋体"/>
          <w:color w:val="auto"/>
          <w:szCs w:val="21"/>
          <w:highlight w:val="none"/>
          <w:lang w:eastAsia="zh-CN"/>
        </w:rPr>
        <w:t>；</w:t>
      </w:r>
    </w:p>
    <w:p w14:paraId="43AA5FD4">
      <w:pPr>
        <w:spacing w:line="4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lang w:eastAsia="zh-CN"/>
        </w:rPr>
        <w:t>）</w:t>
      </w:r>
      <w:r>
        <w:rPr>
          <w:rFonts w:hint="eastAsia" w:ascii="宋体" w:hAnsi="宋体" w:cs="宋体"/>
          <w:color w:val="auto"/>
          <w:szCs w:val="21"/>
          <w:highlight w:val="none"/>
        </w:rPr>
        <w:t>初步设计文件及图纸。</w:t>
      </w:r>
    </w:p>
    <w:p w14:paraId="66EED868">
      <w:pPr>
        <w:spacing w:line="480" w:lineRule="exact"/>
        <w:ind w:firstLine="420" w:firstLineChars="200"/>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lang w:eastAsia="zh-CN"/>
        </w:rPr>
        <w:t>）</w:t>
      </w:r>
      <w:r>
        <w:rPr>
          <w:rFonts w:hint="eastAsia" w:ascii="宋体" w:hAnsi="宋体" w:cs="宋体"/>
          <w:color w:val="auto"/>
          <w:szCs w:val="21"/>
          <w:highlight w:val="none"/>
        </w:rPr>
        <w:t>与建设工程项目有关的标准、规范、技术资料及其他相关资料</w:t>
      </w:r>
      <w:r>
        <w:rPr>
          <w:rFonts w:hint="eastAsia" w:ascii="宋体" w:hAnsi="宋体" w:cs="宋体"/>
          <w:color w:val="auto"/>
          <w:szCs w:val="21"/>
          <w:highlight w:val="none"/>
          <w:lang w:eastAsia="zh-CN"/>
        </w:rPr>
        <w:t>；</w:t>
      </w:r>
    </w:p>
    <w:p w14:paraId="10E852F5">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11</w:t>
      </w:r>
      <w:r>
        <w:rPr>
          <w:rFonts w:hint="eastAsia" w:ascii="宋体" w:hAnsi="宋体" w:cs="宋体"/>
          <w:color w:val="auto"/>
          <w:szCs w:val="21"/>
          <w:highlight w:val="none"/>
          <w:lang w:eastAsia="zh-CN"/>
        </w:rPr>
        <w:t>）</w:t>
      </w:r>
      <w:r>
        <w:rPr>
          <w:rFonts w:hint="eastAsia" w:ascii="宋体" w:hAnsi="宋体" w:cs="宋体"/>
          <w:color w:val="auto"/>
          <w:szCs w:val="21"/>
          <w:highlight w:val="none"/>
        </w:rPr>
        <w:t>其他说明</w:t>
      </w:r>
      <w:r>
        <w:rPr>
          <w:rFonts w:hint="eastAsia" w:ascii="宋体" w:hAnsi="宋体" w:cs="宋体"/>
          <w:color w:val="auto"/>
          <w:szCs w:val="21"/>
          <w:highlight w:val="none"/>
          <w:lang w:eastAsia="zh-CN"/>
        </w:rPr>
        <w:t>：</w:t>
      </w:r>
      <w:r>
        <w:rPr>
          <w:rFonts w:hint="eastAsia" w:ascii="宋体" w:hAnsi="宋体" w:cs="宋体"/>
          <w:color w:val="auto"/>
          <w:szCs w:val="21"/>
          <w:highlight w:val="none"/>
        </w:rPr>
        <w:t>材料价格按2025年第07期《北海市合浦县建设工程造价信息》、《北海市建设工程造价信息》公布的价格信息中的“除税价”计算，工程造价信息中没有的材料价格，参考市场价询价。</w:t>
      </w:r>
    </w:p>
    <w:p w14:paraId="3BC33D79">
      <w:pPr>
        <w:spacing w:line="480" w:lineRule="exact"/>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15.3本项目有二次报价（即最终报价），如二次报价总价有变动，除报总价外还须提供二次报价的已标价工程量清单作为应答文件的组成部分并加盖单位公章（不得以总价下浮的方式做报价，否则作无效磋商处理），磋商供应商需提前做好相关准备（加盖公章的二次报价的工程量清单扫描件），并根据二次报价指令在规定的时间内递交报价文件，报价高于采购预算控制价的竞争性磋商响应文件将被拒绝；如磋商供应商在二次报价时，总报价不做改变，则只需报总价，无需提供二次报价的已标价工程量清单。</w:t>
      </w:r>
    </w:p>
    <w:p w14:paraId="4C1A14D6">
      <w:pPr>
        <w:spacing w:line="480" w:lineRule="exact"/>
        <w:ind w:firstLine="420" w:firstLineChars="200"/>
        <w:rPr>
          <w:rFonts w:ascii="宋体" w:hAnsi="宋体" w:cs="宋体"/>
          <w:b/>
          <w:bCs/>
          <w:color w:val="auto"/>
          <w:sz w:val="24"/>
          <w:highlight w:val="none"/>
        </w:rPr>
      </w:pPr>
      <w:r>
        <w:rPr>
          <w:rFonts w:hint="eastAsia" w:ascii="宋体" w:hAnsi="宋体" w:cs="宋体"/>
          <w:color w:val="auto"/>
          <w:szCs w:val="21"/>
          <w:highlight w:val="none"/>
        </w:rPr>
        <w:t>15.4竞标报价（包含首次报价、最后报价）超过规定的采购预算金额或者最高限价的（如本项目公布了最高限价），其响应文件将作无效处理。</w:t>
      </w:r>
    </w:p>
    <w:p w14:paraId="1F9E3354">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16.竞标有效期</w:t>
      </w:r>
    </w:p>
    <w:p w14:paraId="1323F256">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65149865">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62273BA6">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16282ACC">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17.磋商保证金</w:t>
      </w:r>
    </w:p>
    <w:p w14:paraId="1DFE7F45">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详见“供应商须知前附表”。</w:t>
      </w:r>
    </w:p>
    <w:p w14:paraId="47654585">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18.响应文件编制的要求</w:t>
      </w:r>
    </w:p>
    <w:p w14:paraId="1328D5C9">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18.1各供应商在编制响应文件时请按照磋商文件“第六章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209E4B06">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73B0F833">
      <w:pPr>
        <w:spacing w:line="480" w:lineRule="exact"/>
        <w:ind w:firstLine="422" w:firstLineChars="200"/>
        <w:rPr>
          <w:rFonts w:ascii="宋体" w:hAnsi="宋体" w:cs="宋体"/>
          <w:b/>
          <w:color w:val="auto"/>
          <w:szCs w:val="21"/>
          <w:highlight w:val="none"/>
        </w:rPr>
      </w:pPr>
      <w:r>
        <w:rPr>
          <w:rFonts w:hint="eastAsia" w:ascii="宋体" w:hAnsi="宋体" w:cs="宋体"/>
          <w:b/>
          <w:color w:val="auto"/>
          <w:szCs w:val="21"/>
          <w:highlight w:val="none"/>
        </w:rPr>
        <w:t>18.3响应文件须由供应商在</w:t>
      </w:r>
      <w:r>
        <w:rPr>
          <w:rFonts w:hint="eastAsia" w:ascii="宋体" w:hAnsi="宋体" w:cs="宋体"/>
          <w:b/>
          <w:color w:val="auto"/>
          <w:kern w:val="0"/>
          <w:szCs w:val="21"/>
          <w:highlight w:val="none"/>
          <w:lang w:val="zh-CN"/>
        </w:rPr>
        <w:t>“</w:t>
      </w:r>
      <w:r>
        <w:rPr>
          <w:rFonts w:hint="eastAsia" w:ascii="宋体" w:hAnsi="宋体" w:cs="宋体"/>
          <w:b/>
          <w:color w:val="auto"/>
          <w:szCs w:val="21"/>
          <w:highlight w:val="none"/>
        </w:rPr>
        <w:t>第六章 响应文件格式</w:t>
      </w:r>
      <w:r>
        <w:rPr>
          <w:rFonts w:hint="eastAsia" w:ascii="宋体" w:hAnsi="宋体" w:cs="宋体"/>
          <w:b/>
          <w:color w:val="auto"/>
          <w:kern w:val="0"/>
          <w:szCs w:val="21"/>
          <w:highlight w:val="none"/>
          <w:lang w:val="zh-CN"/>
        </w:rPr>
        <w:t>”</w:t>
      </w:r>
      <w:r>
        <w:rPr>
          <w:rFonts w:hint="eastAsia" w:ascii="宋体" w:hAnsi="宋体" w:cs="宋体"/>
          <w:b/>
          <w:color w:val="auto"/>
          <w:szCs w:val="21"/>
          <w:highlight w:val="none"/>
        </w:rPr>
        <w:t>规定位置进行签署、盖章，否则其响应文件按无效响应处理。骑缝盖公章不视为在规定位置盖章。</w:t>
      </w:r>
    </w:p>
    <w:p w14:paraId="672EA041">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18.4响应文件中标注的供应商名称应与营业执照（事业单位法人证书、执业许可证、自然人身份证）及电子公章一致，否则其响应文件按无效响应处理。</w:t>
      </w:r>
    </w:p>
    <w:p w14:paraId="02C6D4D4">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20DF7C1E">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19.电子响应文件的制作、加密</w:t>
      </w:r>
    </w:p>
    <w:p w14:paraId="38A96018">
      <w:pPr>
        <w:spacing w:line="480" w:lineRule="exact"/>
        <w:ind w:left="218" w:leftChars="104" w:firstLine="210" w:firstLineChars="100"/>
        <w:rPr>
          <w:rFonts w:ascii="宋体" w:hAnsi="宋体" w:cs="宋体"/>
          <w:color w:val="auto"/>
          <w:szCs w:val="21"/>
          <w:highlight w:val="none"/>
        </w:rPr>
      </w:pPr>
      <w:r>
        <w:rPr>
          <w:rFonts w:hint="eastAsia" w:ascii="宋体" w:hAnsi="宋体" w:cs="宋体"/>
          <w:color w:val="auto"/>
          <w:szCs w:val="21"/>
          <w:highlight w:val="none"/>
        </w:rPr>
        <w:t>19.1.1 供应商制作电子响应文件前，必须登陆“广西政府采购云平台”进行磋商文件</w:t>
      </w:r>
    </w:p>
    <w:p w14:paraId="54D8575A">
      <w:pPr>
        <w:spacing w:line="480" w:lineRule="exact"/>
        <w:rPr>
          <w:rFonts w:ascii="宋体" w:hAnsi="宋体" w:cs="宋体"/>
          <w:color w:val="auto"/>
          <w:szCs w:val="21"/>
          <w:highlight w:val="none"/>
        </w:rPr>
      </w:pPr>
      <w:r>
        <w:rPr>
          <w:rFonts w:hint="eastAsia" w:ascii="宋体" w:hAnsi="宋体" w:cs="宋体"/>
          <w:color w:val="auto"/>
          <w:szCs w:val="21"/>
          <w:highlight w:val="none"/>
        </w:rPr>
        <w:t xml:space="preserve">的获取操作。 </w:t>
      </w:r>
    </w:p>
    <w:p w14:paraId="0A9C0159">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19.1.2 供应商下载或获取磋商文件后，登录“广西政府采购云平台电子投标客户端”，按照本磋商文件规定的响应文件格式、顺序以及“广西政府采购云平台”的要求，通过“广西政府采购云平台电子投标客户端”编制电子响应文件。 </w:t>
      </w:r>
    </w:p>
    <w:p w14:paraId="1DEC6B28">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19.1.3 供应商应按“广西政府采购云平台电子投标客户端”载明的“标书关联”功能进行电子响应文件相应内容的关联定位，以便评标委员会在评审时点击相应评审项可直接定位到该评审内容；如供应商的电子响应文件未能关联定位相应内容，或者关联定位的内容与该评审项不符，导致评标委员会无法查询并做出对供应商不利的评审，相关后果由供应商自行承担。 </w:t>
      </w:r>
    </w:p>
    <w:p w14:paraId="11D79D60">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19.1.4 电子响应文件不得涂改，若有修改错漏处，须由法定代表人（负责人、自然人）或授权委托代理人通过“广西政府采购云平台电子投标客户端”采用广西政府采购云平台个人 CA 证书签章，没有办理广西政府采购云平台个人 CA 证书签章的，在响应文件中响应位置手写签字后扫描或者拍照做成PDF 的格式上传。 </w:t>
      </w:r>
    </w:p>
    <w:p w14:paraId="17BD1610">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19.1.5 供应商编制、生成电子响应文件后应当加密响应文件。供应商未按规定编制并加密的响应文件，“广西政府采购云平台”将予以拒收。</w:t>
      </w:r>
    </w:p>
    <w:p w14:paraId="4C042167">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20.响应文件的提交</w:t>
      </w:r>
    </w:p>
    <w:p w14:paraId="55825218">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03944F38">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20.2 在响应文件提交截止时间以后，不能补充、修改响应文件。</w:t>
      </w:r>
    </w:p>
    <w:p w14:paraId="6BAFCB6B">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20.3 在提交“最后报价”后，供应商不能退出磋商环节。</w:t>
      </w:r>
    </w:p>
    <w:p w14:paraId="521BAAED">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0A792509">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20.5 采购机构不可视情况延长提交响应文件的截止时间。</w:t>
      </w:r>
    </w:p>
    <w:p w14:paraId="648E8310">
      <w:pPr>
        <w:spacing w:line="480" w:lineRule="exact"/>
        <w:ind w:firstLine="420" w:firstLineChars="200"/>
        <w:rPr>
          <w:rFonts w:ascii="宋体" w:hAnsi="宋体" w:cs="宋体"/>
          <w:color w:val="auto"/>
          <w:sz w:val="24"/>
          <w:highlight w:val="none"/>
        </w:rPr>
      </w:pPr>
      <w:r>
        <w:rPr>
          <w:rFonts w:hint="eastAsia" w:ascii="宋体" w:hAnsi="宋体" w:cs="宋体"/>
          <w:color w:val="auto"/>
          <w:szCs w:val="21"/>
          <w:highlight w:val="none"/>
        </w:rPr>
        <w:t>20.6备份响应文件。</w:t>
      </w:r>
      <w:r>
        <w:rPr>
          <w:rFonts w:hint="eastAsia" w:ascii="宋体" w:hAnsi="宋体" w:cs="宋体"/>
          <w:bCs/>
          <w:color w:val="auto"/>
          <w:szCs w:val="21"/>
          <w:highlight w:val="none"/>
        </w:rPr>
        <w:t>详见在“供应商须知前附表”。</w:t>
      </w:r>
    </w:p>
    <w:p w14:paraId="4A46F0E0">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21.首次响应文件的补充、修改与撤回</w:t>
      </w:r>
    </w:p>
    <w:p w14:paraId="1E93A914">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详见“供应商须知前附表”。</w:t>
      </w:r>
    </w:p>
    <w:p w14:paraId="21CA26BB">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22. 首次响应文件的退回</w:t>
      </w:r>
    </w:p>
    <w:p w14:paraId="633C8BD4">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 w:val="22"/>
          <w:szCs w:val="22"/>
          <w:highlight w:val="none"/>
        </w:rPr>
        <w:t>广西政府采购云平台</w:t>
      </w:r>
      <w:r>
        <w:rPr>
          <w:rFonts w:hint="eastAsia" w:ascii="宋体" w:hAnsi="宋体" w:cs="宋体"/>
          <w:color w:val="auto"/>
          <w:szCs w:val="21"/>
          <w:highlight w:val="none"/>
        </w:rPr>
        <w:t>”操作退回，除此之外采购人和采购代理机构对已提交的电子响应文件概不退回。</w:t>
      </w:r>
    </w:p>
    <w:p w14:paraId="24CD3130">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23. 截止时间后的撤回</w:t>
      </w:r>
    </w:p>
    <w:p w14:paraId="6EE4CADD">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p>
    <w:p w14:paraId="5A47649D">
      <w:pPr>
        <w:pStyle w:val="4"/>
        <w:spacing w:before="0" w:after="0" w:line="480" w:lineRule="exact"/>
        <w:ind w:firstLine="480" w:firstLineChars="200"/>
        <w:rPr>
          <w:rFonts w:ascii="宋体" w:hAnsi="宋体" w:cs="宋体"/>
          <w:b w:val="0"/>
          <w:bCs w:val="0"/>
          <w:color w:val="auto"/>
          <w:highlight w:val="none"/>
        </w:rPr>
      </w:pPr>
      <w:bookmarkStart w:id="63" w:name="_Toc22542"/>
      <w:bookmarkStart w:id="64" w:name="_Toc120173687"/>
      <w:bookmarkStart w:id="65" w:name="_Toc120174196"/>
      <w:r>
        <w:rPr>
          <w:rFonts w:hint="eastAsia" w:ascii="宋体" w:hAnsi="宋体" w:cs="宋体"/>
          <w:b w:val="0"/>
          <w:bCs w:val="0"/>
          <w:color w:val="auto"/>
          <w:highlight w:val="none"/>
        </w:rPr>
        <w:t>四、评审及磋商</w:t>
      </w:r>
      <w:bookmarkEnd w:id="63"/>
      <w:bookmarkEnd w:id="64"/>
      <w:bookmarkEnd w:id="65"/>
    </w:p>
    <w:p w14:paraId="7FEBBD43">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24.磋商小组成立</w:t>
      </w:r>
    </w:p>
    <w:p w14:paraId="11C8B891">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5C5D44A7">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011F9A6E">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25.首次响应文件的开启</w:t>
      </w:r>
    </w:p>
    <w:p w14:paraId="347426AF">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66FCCE4E">
      <w:pPr>
        <w:pStyle w:val="28"/>
        <w:spacing w:line="480" w:lineRule="exact"/>
        <w:ind w:firstLine="420" w:firstLineChars="200"/>
        <w:rPr>
          <w:rFonts w:hAnsi="宋体" w:cs="宋体"/>
          <w:bCs/>
          <w:color w:val="auto"/>
          <w:sz w:val="21"/>
          <w:highlight w:val="none"/>
        </w:rPr>
      </w:pPr>
      <w:r>
        <w:rPr>
          <w:rFonts w:hint="eastAsia" w:hAnsi="宋体" w:cs="宋体"/>
          <w:color w:val="auto"/>
          <w:sz w:val="21"/>
          <w:highlight w:val="none"/>
        </w:rPr>
        <w:t xml:space="preserve">25.2 </w:t>
      </w:r>
      <w:r>
        <w:rPr>
          <w:rFonts w:hint="eastAsia" w:hAnsi="宋体" w:cs="宋体"/>
          <w:bCs/>
          <w:color w:val="auto"/>
          <w:sz w:val="21"/>
          <w:highlight w:val="none"/>
        </w:rPr>
        <w:t>响应文件解密</w:t>
      </w:r>
    </w:p>
    <w:p w14:paraId="0B837DAA">
      <w:pPr>
        <w:pStyle w:val="28"/>
        <w:snapToGrid w:val="0"/>
        <w:spacing w:line="480" w:lineRule="exact"/>
        <w:ind w:firstLine="420" w:firstLineChars="200"/>
        <w:rPr>
          <w:rFonts w:hAnsi="宋体" w:cs="宋体"/>
          <w:color w:val="auto"/>
          <w:sz w:val="21"/>
          <w:highlight w:val="none"/>
        </w:rPr>
      </w:pPr>
      <w:r>
        <w:rPr>
          <w:rFonts w:hint="eastAsia" w:hAnsi="宋体" w:cs="宋体"/>
          <w:bCs/>
          <w:color w:val="auto"/>
          <w:sz w:val="21"/>
          <w:highlight w:val="none"/>
        </w:rPr>
        <w:t>采购代理机构将在“供应商须知前附表”规定的时</w:t>
      </w:r>
      <w:r>
        <w:rPr>
          <w:rFonts w:hint="eastAsia" w:hAnsi="宋体" w:cs="宋体"/>
          <w:color w:val="auto"/>
          <w:sz w:val="21"/>
          <w:highlight w:val="none"/>
        </w:rPr>
        <w:t>间通过电子交易平台组织响应文件开启，采购机构依托电子交易平台发起开始解密指令，供应商的法定代表人或其委托代理人</w:t>
      </w:r>
      <w:r>
        <w:rPr>
          <w:rFonts w:hint="eastAsia" w:hAnsi="宋体" w:cs="宋体"/>
          <w:b/>
          <w:color w:val="auto"/>
          <w:sz w:val="21"/>
          <w:highlight w:val="none"/>
        </w:rPr>
        <w:t>须携带加密时所用的CA锁按平台提示和采购文件的规定登录到“广西政府采购云平台”电子开标大厅签到并在发起解密指令之时起30分钟内完成对电子响应文件在线解密</w:t>
      </w:r>
      <w:r>
        <w:rPr>
          <w:rFonts w:hint="eastAsia" w:hAnsi="宋体" w:cs="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cs="宋体"/>
          <w:b/>
          <w:color w:val="auto"/>
          <w:sz w:val="21"/>
          <w:highlight w:val="none"/>
        </w:rPr>
        <w:t>视为响应文件无效。</w:t>
      </w:r>
      <w:r>
        <w:rPr>
          <w:rFonts w:hint="eastAsia" w:hAnsi="宋体" w:cs="宋体"/>
          <w:color w:val="auto"/>
          <w:sz w:val="21"/>
          <w:highlight w:val="none"/>
        </w:rPr>
        <w:t>（解密</w:t>
      </w:r>
      <w:r>
        <w:rPr>
          <w:rFonts w:hint="eastAsia" w:hAnsi="宋体" w:cs="宋体"/>
          <w:bCs/>
          <w:color w:val="auto"/>
          <w:sz w:val="21"/>
          <w:highlight w:val="none"/>
        </w:rPr>
        <w:t>异常情况处理：详见本章</w:t>
      </w:r>
      <w:r>
        <w:rPr>
          <w:rFonts w:hint="eastAsia" w:hAnsi="宋体" w:cs="宋体"/>
          <w:color w:val="auto"/>
          <w:sz w:val="21"/>
          <w:highlight w:val="none"/>
        </w:rPr>
        <w:t>26.3 电子交易活动的中止。）</w:t>
      </w:r>
    </w:p>
    <w:p w14:paraId="4E788D2B">
      <w:pPr>
        <w:pStyle w:val="28"/>
        <w:spacing w:line="480" w:lineRule="exact"/>
        <w:ind w:firstLine="420" w:firstLineChars="200"/>
        <w:rPr>
          <w:rFonts w:hAnsi="宋体" w:cs="宋体"/>
          <w:color w:val="auto"/>
          <w:sz w:val="21"/>
          <w:highlight w:val="none"/>
        </w:rPr>
      </w:pPr>
      <w:r>
        <w:rPr>
          <w:rFonts w:hint="eastAsia" w:hAnsi="宋体" w:cs="宋体"/>
          <w:color w:val="auto"/>
          <w:sz w:val="21"/>
          <w:highlight w:val="none"/>
        </w:rPr>
        <w:t>如</w:t>
      </w:r>
      <w:r>
        <w:rPr>
          <w:rFonts w:hint="eastAsia" w:hAnsi="宋体" w:cs="宋体"/>
          <w:bCs/>
          <w:color w:val="auto"/>
          <w:sz w:val="21"/>
          <w:highlight w:val="none"/>
        </w:rPr>
        <w:t>供应商成功解密响应文件，但未在“</w:t>
      </w:r>
      <w:r>
        <w:rPr>
          <w:rFonts w:hint="eastAsia" w:hAnsi="宋体" w:cs="宋体"/>
          <w:color w:val="auto"/>
          <w:sz w:val="22"/>
          <w:szCs w:val="22"/>
          <w:highlight w:val="none"/>
        </w:rPr>
        <w:t>广西政府采购云平台</w:t>
      </w:r>
      <w:r>
        <w:rPr>
          <w:rFonts w:hint="eastAsia" w:hAnsi="宋体" w:cs="宋体"/>
          <w:bCs/>
          <w:color w:val="auto"/>
          <w:sz w:val="21"/>
          <w:highlight w:val="none"/>
        </w:rPr>
        <w:t>”电子开标大厅参加磋商的，视同认可磋商过程和结果，</w:t>
      </w:r>
      <w:r>
        <w:rPr>
          <w:rFonts w:hint="eastAsia" w:hAnsi="宋体" w:cs="宋体"/>
          <w:color w:val="auto"/>
          <w:sz w:val="21"/>
          <w:highlight w:val="none"/>
        </w:rPr>
        <w:t>由此产生的后果由供应商自行负责。</w:t>
      </w:r>
    </w:p>
    <w:p w14:paraId="01CC7D1F">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26.评审程序、评审方法和评审标准</w:t>
      </w:r>
    </w:p>
    <w:p w14:paraId="1CE8C137">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2849223E">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26.2 采购需求负偏离要求及磋商顺序详见 “ 供应商须知前附表”。磋商文件内容违反国家有关强制性规定的，磋商小组应当停止评审并向采购人或者采购代理机构说明情况，并在评审报告中书面体现</w:t>
      </w:r>
    </w:p>
    <w:p w14:paraId="18B3650A">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26.3</w:t>
      </w:r>
      <w:r>
        <w:rPr>
          <w:rFonts w:hint="eastAsia" w:ascii="宋体" w:hAnsi="宋体" w:cs="宋体"/>
          <w:color w:val="auto"/>
          <w:szCs w:val="21"/>
          <w:highlight w:val="none"/>
        </w:rPr>
        <w:t>采购需求负偏离要求及磋商顺序详见“ 供应商须知前附表”。</w:t>
      </w:r>
    </w:p>
    <w:p w14:paraId="3537F32C">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26.4电子交易活动的中止。采购过程中出现以下情形，导致电子交易平台无法正常运行，或者无法保证电子交易的公平、公正和安全时，采购机构可中止电子交易活动：</w:t>
      </w:r>
    </w:p>
    <w:p w14:paraId="3E789DDA">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 xml:space="preserve">（1）电子交易平台发生故障而无法登录访问的； </w:t>
      </w:r>
    </w:p>
    <w:p w14:paraId="344C76E2">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（2）电子交易平台应用或数据库出现错误，不能进行正常操作的；</w:t>
      </w:r>
    </w:p>
    <w:p w14:paraId="747988E6">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（3）电子交易平台发现严重安全漏洞，有潜在泄密危险的；</w:t>
      </w:r>
    </w:p>
    <w:p w14:paraId="7585E6B9">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 xml:space="preserve">（4）病毒发作导致不能进行正常操作的； </w:t>
      </w:r>
    </w:p>
    <w:p w14:paraId="2CF13B1F">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（5）其他无法保证电子交易的公平、公正和安全的情况。</w:t>
      </w:r>
    </w:p>
    <w:p w14:paraId="3D75EE1A">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03C2D1D">
      <w:pPr>
        <w:pStyle w:val="4"/>
        <w:spacing w:before="0" w:after="0" w:line="480" w:lineRule="exact"/>
        <w:ind w:firstLine="360" w:firstLineChars="150"/>
        <w:rPr>
          <w:rFonts w:ascii="宋体" w:hAnsi="宋体" w:cs="宋体"/>
          <w:b w:val="0"/>
          <w:bCs w:val="0"/>
          <w:color w:val="auto"/>
          <w:highlight w:val="none"/>
        </w:rPr>
      </w:pPr>
      <w:bookmarkStart w:id="66" w:name="_Toc120173688"/>
      <w:bookmarkStart w:id="67" w:name="_Toc17649"/>
      <w:bookmarkStart w:id="68" w:name="_Toc120174197"/>
      <w:r>
        <w:rPr>
          <w:rFonts w:hint="eastAsia" w:ascii="宋体" w:hAnsi="宋体" w:cs="宋体"/>
          <w:b w:val="0"/>
          <w:bCs w:val="0"/>
          <w:color w:val="auto"/>
          <w:highlight w:val="none"/>
        </w:rPr>
        <w:t>五、成交及合同</w:t>
      </w:r>
      <w:bookmarkEnd w:id="66"/>
      <w:bookmarkEnd w:id="67"/>
      <w:bookmarkEnd w:id="68"/>
    </w:p>
    <w:p w14:paraId="4F9BB14A">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27.确定成交供应商及结果公告</w:t>
      </w:r>
    </w:p>
    <w:p w14:paraId="22ED322F">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27.1确定成交供应商。</w:t>
      </w:r>
      <w:r>
        <w:rPr>
          <w:rFonts w:hint="eastAsia" w:ascii="宋体" w:hAnsi="宋体" w:cs="宋体"/>
          <w:color w:val="auto"/>
          <w:kern w:val="0"/>
          <w:szCs w:val="21"/>
          <w:highlight w:val="none"/>
        </w:rPr>
        <w:t xml:space="preserve"> 由采购人直接委托评审专家确定</w:t>
      </w:r>
      <w:r>
        <w:rPr>
          <w:rFonts w:hint="eastAsia" w:ascii="宋体" w:hAnsi="宋体" w:cs="宋体"/>
          <w:color w:val="auto"/>
          <w:szCs w:val="21"/>
          <w:highlight w:val="none"/>
        </w:rPr>
        <w:t>，评审报告提出的排序第一的供应商为成交供应商。</w:t>
      </w:r>
    </w:p>
    <w:p w14:paraId="00AB07CD">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w:t>
      </w:r>
      <w:r>
        <w:rPr>
          <w:rFonts w:hint="eastAsia" w:ascii="宋体" w:hAnsi="宋体" w:cs="宋体"/>
          <w:color w:val="auto"/>
          <w:szCs w:val="21"/>
          <w:highlight w:val="none"/>
        </w:rPr>
        <w:t>同时向成交供应商发出成交通知书。</w:t>
      </w:r>
    </w:p>
    <w:p w14:paraId="3C56E4F7">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重大税收违法失信主体、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6C9AB8FC">
      <w:pPr>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06B79E60">
      <w:pPr>
        <w:spacing w:line="480" w:lineRule="exact"/>
        <w:ind w:firstLine="420" w:firstLineChars="200"/>
        <w:rPr>
          <w:rFonts w:ascii="宋体" w:hAnsi="宋体" w:cs="宋体"/>
          <w:color w:val="auto"/>
          <w:szCs w:val="21"/>
          <w:highlight w:val="none"/>
        </w:rPr>
      </w:pPr>
      <w:r>
        <w:rPr>
          <w:rFonts w:hint="eastAsia" w:ascii="宋体" w:hAnsi="宋体" w:cs="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4D43820B">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28.履约保证金</w:t>
      </w:r>
    </w:p>
    <w:p w14:paraId="31E0D08A">
      <w:pPr>
        <w:spacing w:line="480" w:lineRule="exact"/>
        <w:ind w:firstLine="420" w:firstLineChars="200"/>
        <w:rPr>
          <w:rFonts w:ascii="宋体" w:hAnsi="宋体" w:cs="宋体"/>
          <w:b/>
          <w:bCs/>
          <w:color w:val="auto"/>
          <w:sz w:val="24"/>
          <w:highlight w:val="none"/>
        </w:rPr>
      </w:pPr>
      <w:r>
        <w:rPr>
          <w:rFonts w:hint="eastAsia" w:ascii="宋体" w:hAnsi="宋体" w:cs="宋体"/>
          <w:color w:val="auto"/>
          <w:szCs w:val="21"/>
          <w:highlight w:val="none"/>
        </w:rPr>
        <w:t>详见 “供应商须知前附表”</w:t>
      </w:r>
    </w:p>
    <w:p w14:paraId="18AD113B">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29.签订合同</w:t>
      </w:r>
    </w:p>
    <w:p w14:paraId="427AC8C5">
      <w:pPr>
        <w:pStyle w:val="338"/>
        <w:spacing w:before="0"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29.1采购人与成交供应商应当自成交通知书发出之日起25日内，按照采购文件确定的事项签订政府采购电子合同，具备条件的项目应缩短合同签订时间至8个工作日内。采购人因不可抗力原因延迟签订电子合同的，应当自不可抗力事由消除之日起5个工作日内完成合同签订事宜。鼓励采购人通过完善内部流程进一步缩短电子合同签订期限。</w:t>
      </w:r>
    </w:p>
    <w:p w14:paraId="7B74FA37">
      <w:pPr>
        <w:pStyle w:val="338"/>
        <w:spacing w:before="0"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lang w:val="zh-CN"/>
        </w:rPr>
        <w:t>2</w:t>
      </w:r>
      <w:r>
        <w:rPr>
          <w:rFonts w:hint="eastAsia" w:ascii="宋体" w:hAnsi="宋体" w:cs="宋体"/>
          <w:color w:val="auto"/>
          <w:sz w:val="21"/>
          <w:szCs w:val="21"/>
          <w:highlight w:val="none"/>
        </w:rPr>
        <w:t>9</w:t>
      </w:r>
      <w:r>
        <w:rPr>
          <w:rFonts w:hint="eastAsia" w:ascii="宋体" w:hAnsi="宋体" w:cs="宋体"/>
          <w:color w:val="auto"/>
          <w:sz w:val="21"/>
          <w:szCs w:val="21"/>
          <w:highlight w:val="none"/>
          <w:lang w:val="zh-CN"/>
        </w:rPr>
        <w:t>.2成交人按规定的日期、时间、地点，由法定代表人或其授权代表与采购人代表签订合同。如成交人为联合体的，由联合体成员各方法定代表人或其授权代表与采购人代表签订合同。</w:t>
      </w:r>
    </w:p>
    <w:p w14:paraId="51B00937">
      <w:pPr>
        <w:pStyle w:val="338"/>
        <w:spacing w:before="0"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29.3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695E58EC">
      <w:pPr>
        <w:pStyle w:val="338"/>
        <w:spacing w:before="0"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29.4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14:paraId="63863CAF">
      <w:pPr>
        <w:pStyle w:val="338"/>
        <w:spacing w:before="0" w:line="480" w:lineRule="exact"/>
        <w:ind w:firstLine="420"/>
        <w:rPr>
          <w:rFonts w:ascii="宋体" w:hAnsi="宋体" w:cs="宋体"/>
          <w:color w:val="auto"/>
          <w:sz w:val="21"/>
          <w:szCs w:val="21"/>
          <w:highlight w:val="none"/>
        </w:rPr>
      </w:pPr>
      <w:r>
        <w:rPr>
          <w:rFonts w:hint="eastAsia" w:ascii="宋体" w:hAnsi="宋体" w:cs="宋体"/>
          <w:color w:val="auto"/>
          <w:sz w:val="21"/>
          <w:szCs w:val="21"/>
          <w:highlight w:val="none"/>
        </w:rPr>
        <w:t>29.5如签订合同并生效后，供应商无故拒绝或延期，除按照合同条款处理外，列入不良行为记录一次，并给予通报。</w:t>
      </w:r>
    </w:p>
    <w:p w14:paraId="2FD2F572">
      <w:pPr>
        <w:pStyle w:val="338"/>
        <w:spacing w:before="0" w:line="480" w:lineRule="exact"/>
        <w:ind w:firstLine="420"/>
        <w:rPr>
          <w:rFonts w:ascii="宋体" w:hAnsi="宋体" w:cs="宋体"/>
          <w:color w:val="auto"/>
          <w:szCs w:val="21"/>
          <w:highlight w:val="none"/>
        </w:rPr>
      </w:pPr>
      <w:r>
        <w:rPr>
          <w:rFonts w:hint="eastAsia" w:ascii="宋体" w:hAnsi="宋体" w:cs="宋体"/>
          <w:color w:val="auto"/>
          <w:sz w:val="21"/>
          <w:szCs w:val="21"/>
          <w:highlight w:val="none"/>
        </w:rPr>
        <w:t>29.6采购合同由采购人与成交供应商根据磋商文件、响应文件等内容通过政府采购电子交易平台在线签订，自动备案。</w:t>
      </w:r>
    </w:p>
    <w:p w14:paraId="4B1ED128">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30.政府采购合同公告</w:t>
      </w:r>
    </w:p>
    <w:p w14:paraId="784AD4F4">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采购人或者受托采购代理机构应当自政府采购合同签订之日起2个工作日内，将政府采购合同</w:t>
      </w:r>
      <w:r>
        <w:rPr>
          <w:rFonts w:hint="eastAsia" w:ascii="宋体" w:hAnsi="宋体" w:cs="宋体"/>
          <w:bCs/>
          <w:color w:val="auto"/>
          <w:highlight w:val="none"/>
        </w:rPr>
        <w:t>在以下媒体上发布</w:t>
      </w:r>
      <w:r>
        <w:rPr>
          <w:rFonts w:hint="eastAsia" w:ascii="宋体" w:hAnsi="宋体" w:cs="宋体"/>
          <w:color w:val="auto"/>
          <w:kern w:val="0"/>
          <w:szCs w:val="21"/>
          <w:highlight w:val="none"/>
        </w:rPr>
        <w:t>“广西政府采购网”（http://zfcg.gxzf.gov.cn）</w:t>
      </w:r>
      <w:r>
        <w:rPr>
          <w:rFonts w:hint="eastAsia" w:ascii="宋体" w:hAnsi="宋体" w:cs="宋体"/>
          <w:color w:val="auto"/>
          <w:highlight w:val="none"/>
        </w:rPr>
        <w:t>上公告，但政府采购合同中涉及国家秘密、商业秘密的内容除外。</w:t>
      </w:r>
    </w:p>
    <w:p w14:paraId="69D88448">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31. 询问、质疑和投诉</w:t>
      </w:r>
    </w:p>
    <w:p w14:paraId="3257B0DF">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6929385F">
      <w:pPr>
        <w:spacing w:line="480" w:lineRule="exact"/>
        <w:ind w:firstLine="420" w:firstLineChars="200"/>
        <w:rPr>
          <w:rFonts w:ascii="宋体" w:hAnsi="宋体" w:cs="宋体"/>
          <w:b/>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宋体"/>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color w:val="auto"/>
          <w:highlight w:val="none"/>
        </w:rPr>
        <w:t>。</w:t>
      </w:r>
      <w:r>
        <w:rPr>
          <w:rFonts w:hint="eastAsia" w:ascii="宋体" w:hAnsi="宋体" w:cs="宋体"/>
          <w:b/>
          <w:color w:val="auto"/>
          <w:szCs w:val="21"/>
          <w:highlight w:val="none"/>
        </w:rPr>
        <w:t xml:space="preserve">具体质疑起算时间及处理方式如下： </w:t>
      </w:r>
    </w:p>
    <w:p w14:paraId="6D647AC9">
      <w:pPr>
        <w:spacing w:line="480" w:lineRule="exact"/>
        <w:ind w:firstLine="420" w:firstLineChars="200"/>
        <w:rPr>
          <w:rFonts w:ascii="宋体" w:hAnsi="宋体" w:cs="宋体"/>
          <w:bCs/>
          <w:color w:val="auto"/>
          <w:highlight w:val="none"/>
        </w:rPr>
      </w:pPr>
      <w:r>
        <w:rPr>
          <w:rFonts w:hint="eastAsia" w:ascii="宋体" w:hAnsi="宋体" w:cs="宋体"/>
          <w:bCs/>
          <w:color w:val="auto"/>
          <w:highlight w:val="none"/>
        </w:rPr>
        <w:t>（1）潜在供应商依法获取采购文件后，认为采购文件使自己的权益受到损害的，应当在竞争性磋商采购文件公告期限届满之日起7个工作日内提出质疑。</w:t>
      </w:r>
      <w:r>
        <w:rPr>
          <w:rFonts w:hint="eastAsia" w:ascii="宋体" w:hAnsi="宋体" w:cs="宋体"/>
          <w:color w:val="auto"/>
          <w:highlight w:val="none"/>
        </w:rPr>
        <w:t>委托代理协议无特殊约定的，</w:t>
      </w:r>
      <w:r>
        <w:rPr>
          <w:rFonts w:hint="eastAsia" w:ascii="宋体" w:hAnsi="宋体" w:cs="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42C76EE6">
      <w:pPr>
        <w:spacing w:line="480" w:lineRule="exact"/>
        <w:ind w:firstLine="420" w:firstLineChars="200"/>
        <w:rPr>
          <w:rFonts w:ascii="宋体" w:hAnsi="宋体" w:cs="宋体"/>
          <w:bCs/>
          <w:color w:val="auto"/>
          <w:highlight w:val="none"/>
        </w:rPr>
      </w:pPr>
      <w:r>
        <w:rPr>
          <w:rFonts w:hint="eastAsia" w:ascii="宋体" w:hAnsi="宋体" w:cs="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77F64D63">
      <w:pPr>
        <w:spacing w:line="480" w:lineRule="exact"/>
        <w:ind w:firstLine="420" w:firstLineChars="200"/>
        <w:rPr>
          <w:rFonts w:ascii="宋体" w:hAnsi="宋体" w:cs="宋体"/>
          <w:color w:val="auto"/>
          <w:highlight w:val="none"/>
        </w:rPr>
      </w:pPr>
      <w:r>
        <w:rPr>
          <w:rFonts w:hint="eastAsia" w:ascii="宋体" w:hAnsi="宋体" w:cs="宋体"/>
          <w:bCs/>
          <w:color w:val="auto"/>
          <w:highlight w:val="none"/>
        </w:rPr>
        <w:t>（3）供应商认为成交结果使自己的权益受到损害的，应当在成交结果公告期限届满之日起7个工作日内提出质疑，由采购人受理并负责答复。</w:t>
      </w:r>
    </w:p>
    <w:p w14:paraId="3F03B504">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0C444395">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cs="宋体"/>
          <w:bCs/>
          <w:color w:val="auto"/>
          <w:highlight w:val="none"/>
        </w:rPr>
        <w:t>（质疑函格式后附）</w:t>
      </w:r>
      <w:r>
        <w:rPr>
          <w:rFonts w:hint="eastAsia" w:ascii="宋体" w:hAnsi="宋体" w:cs="宋体"/>
          <w:color w:val="auto"/>
          <w:highlight w:val="none"/>
        </w:rPr>
        <w:t>：</w:t>
      </w:r>
    </w:p>
    <w:p w14:paraId="31E15889">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2D0E5C75">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（2）质疑项目的名称、编号；</w:t>
      </w:r>
    </w:p>
    <w:p w14:paraId="1AFDC26F">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（3）具体、明确的质疑事项和与质疑事项相关的请求；</w:t>
      </w:r>
    </w:p>
    <w:p w14:paraId="1418CC35">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（4）事实依据；</w:t>
      </w:r>
    </w:p>
    <w:p w14:paraId="165EC35B">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（5）必要的法律依据；</w:t>
      </w:r>
    </w:p>
    <w:p w14:paraId="4C793314">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（6）提出质疑的日期。</w:t>
      </w:r>
    </w:p>
    <w:p w14:paraId="60A968DF">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5E290E59">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68185647">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08B2DBDB">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50A90FEA">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00D4560F">
      <w:pPr>
        <w:spacing w:line="480" w:lineRule="exact"/>
        <w:ind w:firstLine="420" w:firstLineChars="200"/>
        <w:rPr>
          <w:rFonts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p>
    <w:p w14:paraId="6CF62CF4">
      <w:pPr>
        <w:pStyle w:val="4"/>
        <w:spacing w:before="0" w:after="0" w:line="480" w:lineRule="exact"/>
        <w:ind w:firstLine="236" w:firstLineChars="98"/>
        <w:rPr>
          <w:rFonts w:ascii="宋体" w:hAnsi="宋体" w:cs="宋体"/>
          <w:b w:val="0"/>
          <w:color w:val="auto"/>
          <w:highlight w:val="none"/>
        </w:rPr>
      </w:pPr>
      <w:bookmarkStart w:id="69" w:name="_Toc23957"/>
      <w:bookmarkStart w:id="70" w:name="_Toc120173689"/>
      <w:bookmarkStart w:id="71" w:name="_Toc120174198"/>
      <w:r>
        <w:rPr>
          <w:rFonts w:hint="eastAsia" w:ascii="宋体" w:hAnsi="宋体" w:cs="宋体"/>
          <w:color w:val="auto"/>
          <w:highlight w:val="none"/>
        </w:rPr>
        <w:t>六</w:t>
      </w:r>
      <w:r>
        <w:rPr>
          <w:rFonts w:hint="eastAsia" w:ascii="宋体" w:hAnsi="宋体" w:cs="宋体"/>
          <w:b w:val="0"/>
          <w:color w:val="auto"/>
          <w:highlight w:val="none"/>
        </w:rPr>
        <w:t>、验收</w:t>
      </w:r>
      <w:bookmarkEnd w:id="69"/>
      <w:bookmarkEnd w:id="70"/>
      <w:bookmarkEnd w:id="71"/>
    </w:p>
    <w:p w14:paraId="3B276CA0">
      <w:pPr>
        <w:tabs>
          <w:tab w:val="left" w:pos="0"/>
        </w:tabs>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32.验收</w:t>
      </w:r>
    </w:p>
    <w:p w14:paraId="727F0F5D">
      <w:pPr>
        <w:tabs>
          <w:tab w:val="left" w:pos="0"/>
        </w:tabs>
        <w:spacing w:line="4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F7D4971">
      <w:pPr>
        <w:tabs>
          <w:tab w:val="left" w:pos="0"/>
        </w:tabs>
        <w:spacing w:line="4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547721D5">
      <w:pPr>
        <w:tabs>
          <w:tab w:val="left" w:pos="0"/>
        </w:tabs>
        <w:spacing w:line="480" w:lineRule="exact"/>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959C18A">
      <w:pPr>
        <w:tabs>
          <w:tab w:val="left" w:pos="0"/>
        </w:tabs>
        <w:spacing w:line="480" w:lineRule="exact"/>
        <w:ind w:firstLine="420" w:firstLineChars="200"/>
        <w:rPr>
          <w:rFonts w:ascii="宋体" w:hAnsi="宋体" w:cs="宋体"/>
          <w:color w:val="auto"/>
          <w:szCs w:val="21"/>
          <w:highlight w:val="none"/>
        </w:rPr>
      </w:pPr>
      <w:r>
        <w:rPr>
          <w:rFonts w:hint="eastAsia" w:ascii="宋体" w:hAnsi="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0362D12F">
      <w:pPr>
        <w:pStyle w:val="4"/>
        <w:spacing w:before="0" w:after="0" w:line="480" w:lineRule="exact"/>
        <w:ind w:firstLine="240" w:firstLineChars="100"/>
        <w:rPr>
          <w:rFonts w:ascii="宋体" w:hAnsi="宋体" w:cs="宋体"/>
          <w:b w:val="0"/>
          <w:bCs w:val="0"/>
          <w:color w:val="auto"/>
          <w:highlight w:val="none"/>
        </w:rPr>
      </w:pPr>
      <w:bookmarkStart w:id="72" w:name="_Toc120173690"/>
      <w:bookmarkStart w:id="73" w:name="_Toc19758"/>
      <w:bookmarkStart w:id="74" w:name="_Toc120174199"/>
      <w:r>
        <w:rPr>
          <w:rFonts w:hint="eastAsia" w:ascii="宋体" w:hAnsi="宋体" w:cs="宋体"/>
          <w:b w:val="0"/>
          <w:bCs w:val="0"/>
          <w:color w:val="auto"/>
          <w:highlight w:val="none"/>
        </w:rPr>
        <w:t>七、其他事项</w:t>
      </w:r>
      <w:bookmarkEnd w:id="72"/>
      <w:bookmarkEnd w:id="73"/>
      <w:bookmarkEnd w:id="74"/>
    </w:p>
    <w:p w14:paraId="00FFA9E8">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33.代理服务费</w:t>
      </w:r>
    </w:p>
    <w:p w14:paraId="6B25D4BD">
      <w:pPr>
        <w:tabs>
          <w:tab w:val="left" w:pos="2835"/>
        </w:tabs>
        <w:spacing w:line="48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代理服务收费标准及缴费账户详见“供应商须知前附表”，供应商为联合体的，可以由联合体中的一方或者多方共同交纳代理服务费。</w:t>
      </w:r>
    </w:p>
    <w:p w14:paraId="255F3DFD">
      <w:pPr>
        <w:spacing w:line="480" w:lineRule="exact"/>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34.需要补充的其他内容</w:t>
      </w:r>
    </w:p>
    <w:p w14:paraId="51D9E482">
      <w:pPr>
        <w:pStyle w:val="28"/>
        <w:spacing w:line="480" w:lineRule="exact"/>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2F2021A6">
      <w:pPr>
        <w:pStyle w:val="28"/>
        <w:spacing w:line="480" w:lineRule="exact"/>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34.2 其他事项详见“供应商须知前附表”。</w:t>
      </w:r>
    </w:p>
    <w:p w14:paraId="7EB7AFA6">
      <w:pPr>
        <w:pStyle w:val="28"/>
        <w:spacing w:line="480" w:lineRule="exact"/>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67DA650B">
      <w:pPr>
        <w:pStyle w:val="28"/>
        <w:spacing w:line="480" w:lineRule="exact"/>
        <w:ind w:firstLine="420" w:firstLineChars="200"/>
        <w:contextualSpacing/>
        <w:rPr>
          <w:rFonts w:hAnsi="宋体"/>
          <w:color w:val="auto"/>
          <w:sz w:val="21"/>
          <w:highlight w:val="none"/>
        </w:rPr>
      </w:pPr>
      <w:r>
        <w:rPr>
          <w:rFonts w:hint="eastAsia" w:hAnsi="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40634D02">
      <w:pPr>
        <w:pStyle w:val="28"/>
        <w:spacing w:line="480" w:lineRule="exact"/>
        <w:ind w:firstLine="420" w:firstLineChars="200"/>
        <w:contextualSpacing/>
        <w:rPr>
          <w:rFonts w:hAnsi="宋体"/>
          <w:color w:val="auto"/>
          <w:sz w:val="21"/>
          <w:highlight w:val="none"/>
        </w:rPr>
      </w:pPr>
      <w:r>
        <w:rPr>
          <w:rFonts w:hint="eastAsia" w:hAnsi="宋体"/>
          <w:color w:val="auto"/>
          <w:sz w:val="21"/>
          <w:highlight w:val="none"/>
        </w:rPr>
        <w:t>（2）在工程采购项目中，工程由中小企业承建，即工程施工单位为中小企业，不对其中涉及的货物的制造商和服务的承接商作出要求；</w:t>
      </w:r>
    </w:p>
    <w:p w14:paraId="3C8E22CA">
      <w:pPr>
        <w:pStyle w:val="28"/>
        <w:spacing w:line="480" w:lineRule="exact"/>
        <w:ind w:firstLine="420" w:firstLineChars="200"/>
        <w:contextualSpacing/>
        <w:rPr>
          <w:rFonts w:hAnsi="宋体"/>
          <w:color w:val="auto"/>
          <w:sz w:val="21"/>
          <w:highlight w:val="none"/>
        </w:rPr>
      </w:pPr>
      <w:r>
        <w:rPr>
          <w:rFonts w:hint="eastAsia" w:hAnsi="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33D969CA">
      <w:pPr>
        <w:pStyle w:val="28"/>
        <w:spacing w:line="480" w:lineRule="exact"/>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36BC2C05">
      <w:pPr>
        <w:pStyle w:val="28"/>
        <w:spacing w:line="480" w:lineRule="exact"/>
        <w:ind w:firstLine="420" w:firstLineChars="200"/>
        <w:textAlignment w:val="center"/>
        <w:rPr>
          <w:rFonts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6BF19A26">
      <w:pPr>
        <w:pStyle w:val="28"/>
        <w:spacing w:line="360" w:lineRule="auto"/>
        <w:ind w:firstLine="402" w:firstLineChars="200"/>
        <w:textAlignment w:val="center"/>
        <w:rPr>
          <w:rFonts w:hAnsi="宋体" w:cs="宋体"/>
          <w:color w:val="auto"/>
          <w:highlight w:val="none"/>
        </w:rPr>
      </w:pPr>
      <w:r>
        <w:rPr>
          <w:rFonts w:hint="eastAsia" w:hAnsi="宋体" w:cs="宋体"/>
          <w:b/>
          <w:color w:val="auto"/>
          <w:highlight w:val="none"/>
        </w:rPr>
        <w:br w:type="page"/>
      </w:r>
    </w:p>
    <w:p w14:paraId="2EB397F2">
      <w:pPr>
        <w:pStyle w:val="2"/>
        <w:spacing w:before="0" w:after="0" w:line="360" w:lineRule="auto"/>
        <w:jc w:val="center"/>
        <w:rPr>
          <w:rFonts w:ascii="宋体" w:hAnsi="宋体" w:cs="宋体"/>
          <w:color w:val="auto"/>
          <w:highlight w:val="none"/>
        </w:rPr>
      </w:pPr>
      <w:bookmarkStart w:id="75" w:name="_Toc120174200"/>
      <w:bookmarkStart w:id="76" w:name="_Toc2955"/>
      <w:bookmarkStart w:id="77" w:name="_Toc9176"/>
      <w:bookmarkStart w:id="78" w:name="_Toc18314"/>
      <w:bookmarkStart w:id="79" w:name="_第四章__评审程序、评审方法和评审标准"/>
      <w:r>
        <w:rPr>
          <w:rFonts w:hint="eastAsia" w:ascii="宋体" w:hAnsi="宋体" w:cs="宋体"/>
          <w:color w:val="auto"/>
          <w:highlight w:val="none"/>
        </w:rPr>
        <w:t>第四章  评审程序、评审方法和评审标准</w:t>
      </w:r>
      <w:bookmarkEnd w:id="75"/>
      <w:bookmarkEnd w:id="76"/>
      <w:bookmarkEnd w:id="77"/>
      <w:bookmarkEnd w:id="78"/>
    </w:p>
    <w:bookmarkEnd w:id="79"/>
    <w:p w14:paraId="3AD8E75F">
      <w:pPr>
        <w:pStyle w:val="3"/>
        <w:spacing w:before="0" w:after="0" w:line="360" w:lineRule="auto"/>
        <w:jc w:val="center"/>
        <w:rPr>
          <w:rFonts w:ascii="宋体" w:hAnsi="宋体" w:cs="宋体"/>
          <w:b w:val="0"/>
          <w:color w:val="auto"/>
          <w:highlight w:val="none"/>
        </w:rPr>
      </w:pPr>
      <w:bookmarkStart w:id="80" w:name="_Toc15339"/>
      <w:bookmarkStart w:id="81" w:name="_Toc120174201"/>
      <w:r>
        <w:rPr>
          <w:rFonts w:hint="eastAsia" w:ascii="宋体" w:hAnsi="宋体" w:cs="宋体"/>
          <w:b w:val="0"/>
          <w:color w:val="auto"/>
          <w:highlight w:val="none"/>
        </w:rPr>
        <w:t>第一节 评审程序和评审方法</w:t>
      </w:r>
      <w:bookmarkEnd w:id="80"/>
      <w:bookmarkEnd w:id="81"/>
    </w:p>
    <w:p w14:paraId="2E30F3CA">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1.确认磋商文件</w:t>
      </w:r>
    </w:p>
    <w:p w14:paraId="270562C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由磋商小组确认磋商文件。</w:t>
      </w:r>
    </w:p>
    <w:p w14:paraId="14AB3055">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2.资格审查</w:t>
      </w:r>
    </w:p>
    <w:p w14:paraId="0669DDA9">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2.1响应文件开启后，磋商小组依法对供应商的资格证明文件进行审查。</w:t>
      </w:r>
    </w:p>
    <w:p w14:paraId="2669596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3296FF43">
      <w:pPr>
        <w:snapToGrid w:val="0"/>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（1）查询渠道：</w:t>
      </w:r>
      <w:r>
        <w:rPr>
          <w:rFonts w:hint="eastAsia" w:ascii="宋体" w:hAnsi="宋体" w:cs="宋体"/>
          <w:color w:val="auto"/>
          <w:sz w:val="22"/>
          <w:szCs w:val="22"/>
          <w:highlight w:val="none"/>
        </w:rPr>
        <w:t>广西政府采购云平台</w:t>
      </w:r>
      <w:r>
        <w:rPr>
          <w:rFonts w:hint="eastAsia" w:ascii="宋体" w:hAnsi="宋体" w:cs="宋体"/>
          <w:color w:val="auto"/>
          <w:szCs w:val="21"/>
          <w:highlight w:val="none"/>
        </w:rPr>
        <w:t>“信用中国”网站(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65"/>
          <w:rFonts w:hint="eastAsia" w:ascii="宋体" w:hAnsi="宋体" w:cs="宋体"/>
          <w:color w:val="auto"/>
          <w:highlight w:val="none"/>
        </w:rPr>
        <w:t>www.creditchina.gov.cn</w:t>
      </w:r>
      <w:r>
        <w:rPr>
          <w:rStyle w:val="65"/>
          <w:rFonts w:hint="eastAsia" w:ascii="宋体" w:hAnsi="宋体" w:cs="宋体"/>
          <w:color w:val="auto"/>
          <w:highlight w:val="none"/>
        </w:rPr>
        <w:fldChar w:fldCharType="end"/>
      </w:r>
      <w:r>
        <w:rPr>
          <w:rFonts w:hint="eastAsia" w:ascii="宋体" w:hAnsi="宋体" w:cs="宋体"/>
          <w:color w:val="auto"/>
          <w:szCs w:val="21"/>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65"/>
          <w:rFonts w:hint="eastAsia" w:ascii="宋体" w:hAnsi="宋体" w:cs="宋体"/>
          <w:color w:val="auto"/>
          <w:highlight w:val="none"/>
        </w:rPr>
        <w:t>www.ccgp.gov.cn</w:t>
      </w:r>
      <w:r>
        <w:rPr>
          <w:rStyle w:val="65"/>
          <w:rFonts w:hint="eastAsia" w:ascii="宋体" w:hAnsi="宋体" w:cs="宋体"/>
          <w:color w:val="auto"/>
          <w:highlight w:val="none"/>
        </w:rPr>
        <w:fldChar w:fldCharType="end"/>
      </w:r>
      <w:r>
        <w:rPr>
          <w:rFonts w:hint="eastAsia" w:ascii="宋体" w:hAnsi="宋体" w:cs="宋体"/>
          <w:color w:val="auto"/>
          <w:szCs w:val="21"/>
          <w:highlight w:val="none"/>
        </w:rPr>
        <w:t>)链接入口。</w:t>
      </w:r>
    </w:p>
    <w:p w14:paraId="65CB6E13">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484ACCB5">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789C149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6CFDB9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3F2758B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638334CD">
      <w:pPr>
        <w:snapToGrid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3B8D91E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41227D2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6327B97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p>
    <w:p w14:paraId="060255C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2.4通过资格审查的合格供应商不足3家的，不得进入符合性审查环节，采购人或者采购代理机构应当重新开展采购活动。</w:t>
      </w:r>
    </w:p>
    <w:p w14:paraId="22A1ADCE">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3.符合性审查</w:t>
      </w:r>
    </w:p>
    <w:p w14:paraId="2F956AA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1228CEE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29625AC">
      <w:pPr>
        <w:spacing w:line="360" w:lineRule="auto"/>
        <w:ind w:firstLine="420" w:firstLineChars="200"/>
        <w:rPr>
          <w:rFonts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15300257">
      <w:pPr>
        <w:spacing w:line="360" w:lineRule="auto"/>
        <w:ind w:firstLine="396" w:firstLineChars="200"/>
        <w:rPr>
          <w:rFonts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6DD688B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5A46B3E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6570C1B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31C5768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7F61177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4ACD5A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3.5商务技术、报价评审</w:t>
      </w:r>
    </w:p>
    <w:p w14:paraId="431BF51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22972CB5">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（1）商务技术评审</w:t>
      </w:r>
    </w:p>
    <w:p w14:paraId="1C9AE70F">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1）响应文件未按磋商文件要求签署、盖章；</w:t>
      </w:r>
    </w:p>
    <w:p w14:paraId="7D9EF2FA">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 xml:space="preserve">2）委托代理人未能出具有效身份证明或者出具的身份证明与授权委托书中的信息不符； </w:t>
      </w:r>
    </w:p>
    <w:p w14:paraId="55DC5A6E">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01860050">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4）商务条款中标“▲”的条款发生负偏离的或者允许负偏离的条款数超过“供应商须知前附表”规定项数的或者标明实质性的要求发生负偏离；</w:t>
      </w:r>
    </w:p>
    <w:p w14:paraId="0CC6A215">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5）未对竞标有效期作出响应或者响应文件承诺的竞标有效期不满足磋商文件要求；</w:t>
      </w:r>
    </w:p>
    <w:p w14:paraId="3B44A8C4">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6）响应文件的实质性内容未使用中文表述、使用计量单位不符合磋商文件要求；</w:t>
      </w:r>
    </w:p>
    <w:p w14:paraId="540B41D4">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7）响应文件中的文件资料因填写不齐全或者内容虚假或者出现其他情形而导致被磋商小组认定无效；</w:t>
      </w:r>
    </w:p>
    <w:p w14:paraId="4EE94346">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8）响应文件含有采购人不能接受的附加条件；</w:t>
      </w:r>
    </w:p>
    <w:p w14:paraId="65C6A56D">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9）属于“供应商须知正文”第7.5条情形；</w:t>
      </w:r>
    </w:p>
    <w:p w14:paraId="10C52E00">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10）技术需求允许负偏离的条款数超过“供应商须知前附表”规定项数；</w:t>
      </w:r>
    </w:p>
    <w:p w14:paraId="778282F3">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11）虚假竞标，或者出现其他情形而导致被磋商小组认定无效；</w:t>
      </w:r>
    </w:p>
    <w:p w14:paraId="64E69305">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12）竞标技术方案不明确，磋商文件未允许但响应文件中存在一个或者一个以上备选（替代）竞标方案；</w:t>
      </w:r>
    </w:p>
    <w:p w14:paraId="7CA312A3">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13）响应文件标注的项目名称或者项目编号与竞争性磋商文件标注的项目名称或者项目编号不一致的；</w:t>
      </w:r>
    </w:p>
    <w:p w14:paraId="170EDFAB">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14）未响应磋商文件实质性要求；</w:t>
      </w:r>
    </w:p>
    <w:p w14:paraId="30A75EB1">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15）法律、法规和磋商文件规定的其他无效情形。</w:t>
      </w:r>
    </w:p>
    <w:p w14:paraId="1FE86F4A">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（2）报价评审</w:t>
      </w:r>
    </w:p>
    <w:p w14:paraId="33022C32">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1）响应文件未提供“供应商须知前附表” 报价文件中规定的“响应报价表”；</w:t>
      </w:r>
    </w:p>
    <w:p w14:paraId="75664A7C">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2）未采用人民币报价或者未按照磋商文件标明的币种报价；</w:t>
      </w:r>
    </w:p>
    <w:p w14:paraId="70446C75">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0C01B6A0">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38C7BDD1">
      <w:pPr>
        <w:spacing w:line="360" w:lineRule="auto"/>
        <w:ind w:firstLine="422" w:firstLineChars="200"/>
        <w:rPr>
          <w:rFonts w:ascii="宋体" w:hAnsi="宋体" w:cs="宋体"/>
          <w:b/>
          <w:bCs/>
          <w:color w:val="auto"/>
          <w:szCs w:val="21"/>
          <w:highlight w:val="none"/>
        </w:rPr>
      </w:pPr>
      <w:r>
        <w:rPr>
          <w:rFonts w:hint="eastAsia" w:ascii="宋体" w:hAnsi="宋体" w:cs="宋体"/>
          <w:b/>
          <w:bCs/>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61C9BC6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6）在单价合同工程中供应商采用总价优惠或以总价百分比优惠的方式进行竞标报价的；</w:t>
      </w:r>
    </w:p>
    <w:p w14:paraId="134DFEE9">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7）竞标总报价与已标价工程量清单汇总表不一致的；</w:t>
      </w:r>
    </w:p>
    <w:p w14:paraId="3238E04D">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8）安全文明施工费和规费、增值税不按广西区费用定额及造价管理相关文件规定报价的（园林绿化及仿古建筑工程除外）；（适用于房屋建筑和市政工程项目）</w:t>
      </w:r>
    </w:p>
    <w:p w14:paraId="4B01B187">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 xml:space="preserve">9）供应商已标价工程量清单的项目编码（12位）、计量单位、工程量任何一处与工程量清单不一致的； </w:t>
      </w:r>
    </w:p>
    <w:p w14:paraId="1B0473CB">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10）供应商已标价工程量清单的项目名称或项目特征与工程量清单不一致，评标委员会要求澄清、说明或补正，但供应商拒绝澄清、说明或补正的；（适用于房屋建筑和市政工程项目）</w:t>
      </w:r>
    </w:p>
    <w:p w14:paraId="14DAEDDE">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11）设有暂估价、暂列金额的，竞标时未按工程量清单给出的暂估价总价、暂列金额总价计入竞标总报价中的；</w:t>
      </w:r>
    </w:p>
    <w:p w14:paraId="2DE41D30">
      <w:pPr>
        <w:spacing w:line="360" w:lineRule="auto"/>
        <w:ind w:firstLine="422" w:firstLineChars="200"/>
        <w:rPr>
          <w:rFonts w:ascii="宋体" w:hAnsi="宋体" w:cs="宋体"/>
          <w:b/>
          <w:color w:val="auto"/>
          <w:szCs w:val="21"/>
          <w:highlight w:val="none"/>
        </w:rPr>
      </w:pPr>
      <w:r>
        <w:rPr>
          <w:rFonts w:hint="eastAsia" w:ascii="宋体" w:hAnsi="宋体" w:cs="宋体"/>
          <w:b/>
          <w:color w:val="auto"/>
          <w:szCs w:val="21"/>
          <w:highlight w:val="none"/>
        </w:rPr>
        <w:t>12）供应商对工程量清单内容进行增减或对竞标范围进行调整的；</w:t>
      </w:r>
    </w:p>
    <w:p w14:paraId="2340957A">
      <w:pPr>
        <w:spacing w:line="360" w:lineRule="auto"/>
        <w:ind w:firstLine="422" w:firstLineChars="200"/>
        <w:rPr>
          <w:rFonts w:ascii="宋体" w:hAnsi="宋体"/>
          <w:b/>
          <w:color w:val="auto"/>
          <w:szCs w:val="21"/>
          <w:highlight w:val="none"/>
        </w:rPr>
      </w:pPr>
      <w:r>
        <w:rPr>
          <w:rFonts w:hint="eastAsia" w:ascii="宋体" w:hAnsi="宋体" w:cs="宋体"/>
          <w:b/>
          <w:color w:val="auto"/>
          <w:szCs w:val="21"/>
          <w:highlight w:val="none"/>
        </w:rPr>
        <w:t>13）</w:t>
      </w:r>
      <w:r>
        <w:rPr>
          <w:rFonts w:hint="eastAsia" w:ascii="宋体" w:hAnsi="宋体"/>
          <w:b/>
          <w:color w:val="auto"/>
          <w:szCs w:val="21"/>
          <w:highlight w:val="none"/>
        </w:rPr>
        <w:t>响应文件响应的标的数量及单位与竞争性磋商采购文件要求实质性不一致的；</w:t>
      </w:r>
    </w:p>
    <w:p w14:paraId="7FB33764">
      <w:pPr>
        <w:spacing w:line="360" w:lineRule="auto"/>
        <w:ind w:firstLine="422" w:firstLineChars="200"/>
        <w:rPr>
          <w:rFonts w:ascii="宋体" w:hAnsi="宋体" w:cs="宋体"/>
          <w:b/>
          <w:color w:val="auto"/>
          <w:szCs w:val="21"/>
          <w:highlight w:val="none"/>
        </w:rPr>
      </w:pPr>
      <w:r>
        <w:rPr>
          <w:rFonts w:ascii="宋体" w:hAnsi="宋体" w:cs="宋体"/>
          <w:b/>
          <w:color w:val="auto"/>
          <w:szCs w:val="21"/>
          <w:highlight w:val="none"/>
        </w:rPr>
        <w:t>1</w:t>
      </w:r>
      <w:r>
        <w:rPr>
          <w:rFonts w:hint="eastAsia" w:ascii="宋体" w:hAnsi="宋体" w:cs="宋体"/>
          <w:b/>
          <w:color w:val="auto"/>
          <w:szCs w:val="21"/>
          <w:highlight w:val="none"/>
        </w:rPr>
        <w:t>4）未响应磋商文件实质性要求的。</w:t>
      </w:r>
    </w:p>
    <w:p w14:paraId="196101E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39919C4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22264370">
      <w:pPr>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4.磋商程序</w:t>
      </w:r>
    </w:p>
    <w:p w14:paraId="30F5F721">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671685D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6619E65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0AA78CC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8CF6B1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284CBDFB">
      <w:pPr>
        <w:widowControl/>
        <w:tabs>
          <w:tab w:val="left" w:pos="540"/>
        </w:tabs>
        <w:spacing w:line="360" w:lineRule="auto"/>
        <w:ind w:firstLine="420" w:firstLineChars="200"/>
        <w:jc w:val="left"/>
        <w:rPr>
          <w:rFonts w:ascii="宋体" w:hAnsi="宋体" w:cs="宋体"/>
          <w:b/>
          <w:color w:val="auto"/>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宋体" w:hAnsi="宋体" w:cs="宋体"/>
          <w:b/>
          <w:color w:val="auto"/>
          <w:sz w:val="24"/>
          <w:highlight w:val="none"/>
        </w:rPr>
        <w:t>主要内容包括：</w:t>
      </w:r>
    </w:p>
    <w:p w14:paraId="2321117D">
      <w:pPr>
        <w:pStyle w:val="338"/>
        <w:spacing w:before="0"/>
        <w:ind w:firstLine="396"/>
        <w:rPr>
          <w:rFonts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46A8B0F1">
      <w:pPr>
        <w:pStyle w:val="338"/>
        <w:spacing w:before="0"/>
        <w:ind w:firstLine="396"/>
        <w:rPr>
          <w:rFonts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5098E0CC">
      <w:pPr>
        <w:pStyle w:val="338"/>
        <w:spacing w:before="0"/>
        <w:ind w:firstLine="396"/>
        <w:rPr>
          <w:rFonts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13F4C462">
      <w:pPr>
        <w:widowControl/>
        <w:tabs>
          <w:tab w:val="left" w:pos="540"/>
        </w:tabs>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301EA803">
      <w:pPr>
        <w:tabs>
          <w:tab w:val="left" w:pos="2835"/>
        </w:tabs>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23204EB6">
      <w:pPr>
        <w:ind w:firstLine="200"/>
        <w:rPr>
          <w:rFonts w:ascii="宋体" w:hAnsi="宋体" w:cs="宋体"/>
          <w:color w:val="auto"/>
          <w:szCs w:val="21"/>
          <w:highlight w:val="none"/>
        </w:rPr>
      </w:pPr>
      <w:r>
        <w:rPr>
          <w:rFonts w:hint="eastAsia" w:ascii="宋体" w:hAnsi="宋体" w:cs="宋体"/>
          <w:b/>
          <w:bCs/>
          <w:color w:val="auto"/>
          <w:sz w:val="24"/>
          <w:highlight w:val="none"/>
        </w:rPr>
        <w:t>5. 最后报价</w:t>
      </w:r>
    </w:p>
    <w:p w14:paraId="29786AD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5.1磋商文件能够详细列明采购标的的技术、服务要求的，磋商结束后，由磋商小组要求所有继续参加磋商的供应商在规定时间内在“</w:t>
      </w:r>
      <w:r>
        <w:rPr>
          <w:rFonts w:hint="eastAsia" w:ascii="宋体" w:hAnsi="宋体" w:cs="宋体"/>
          <w:color w:val="auto"/>
          <w:sz w:val="22"/>
          <w:szCs w:val="22"/>
          <w:highlight w:val="none"/>
        </w:rPr>
        <w:t>广西政府采购云平台</w:t>
      </w:r>
      <w:r>
        <w:rPr>
          <w:rFonts w:hint="eastAsia" w:ascii="宋体" w:hAnsi="宋体" w:cs="宋体"/>
          <w:color w:val="auto"/>
          <w:szCs w:val="21"/>
          <w:highlight w:val="none"/>
        </w:rPr>
        <w:t>”开标大厅提交加盖供应商电子签章的最后报价，除本章第5.3条外，提交最后报价的供应商不得少于3家，否则必须重新采购。</w:t>
      </w:r>
    </w:p>
    <w:p w14:paraId="0BA89CD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w:t>
      </w:r>
      <w:r>
        <w:rPr>
          <w:rFonts w:hint="eastAsia" w:ascii="宋体" w:hAnsi="宋体" w:cs="宋体"/>
          <w:color w:val="auto"/>
          <w:sz w:val="22"/>
          <w:szCs w:val="22"/>
          <w:highlight w:val="none"/>
        </w:rPr>
        <w:t>广西政府采购云平台</w:t>
      </w:r>
      <w:r>
        <w:rPr>
          <w:rFonts w:hint="eastAsia" w:ascii="宋体" w:hAnsi="宋体" w:cs="宋体"/>
          <w:color w:val="auto"/>
          <w:szCs w:val="21"/>
          <w:highlight w:val="none"/>
        </w:rPr>
        <w:t>”开标大厅提交最后报价。</w:t>
      </w:r>
      <w:r>
        <w:rPr>
          <w:rFonts w:hint="eastAsia" w:ascii="宋体" w:hAnsi="宋体" w:cs="宋体"/>
          <w:b/>
          <w:color w:val="auto"/>
          <w:szCs w:val="21"/>
          <w:highlight w:val="none"/>
        </w:rPr>
        <w:t>如果供应商的最后报价与首次报价不一致的，不可只报竞标总报价，必须同时提供“已标价工程量清单”，否则做无效响应处理。</w:t>
      </w:r>
    </w:p>
    <w:p w14:paraId="5E94D3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0E7F936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4F45AC1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3EE866A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74B7864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3FA87CE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3DCBD16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4F2E2E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39CBC66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5987BBC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473CABD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w:t>
      </w:r>
      <w:r>
        <w:rPr>
          <w:rFonts w:hint="eastAsia" w:ascii="宋体" w:hAnsi="宋体" w:cs="宋体"/>
          <w:color w:val="auto"/>
          <w:sz w:val="22"/>
          <w:szCs w:val="22"/>
          <w:highlight w:val="none"/>
        </w:rPr>
        <w:t>，磋商小组应当告知有关供应商</w:t>
      </w:r>
      <w:r>
        <w:rPr>
          <w:rFonts w:hint="eastAsia" w:ascii="宋体" w:hAnsi="宋体" w:cs="宋体"/>
          <w:color w:val="auto"/>
          <w:szCs w:val="21"/>
          <w:highlight w:val="none"/>
        </w:rPr>
        <w:t>。</w:t>
      </w:r>
    </w:p>
    <w:p w14:paraId="7D9A624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26B91696">
      <w:pPr>
        <w:ind w:firstLine="200"/>
        <w:rPr>
          <w:rFonts w:ascii="宋体" w:hAnsi="宋体" w:cs="宋体"/>
          <w:b/>
          <w:bCs/>
          <w:color w:val="auto"/>
          <w:sz w:val="24"/>
          <w:highlight w:val="none"/>
        </w:rPr>
      </w:pPr>
      <w:r>
        <w:rPr>
          <w:rFonts w:hint="eastAsia" w:ascii="宋体" w:hAnsi="宋体" w:cs="宋体"/>
          <w:b/>
          <w:bCs/>
          <w:color w:val="auto"/>
          <w:sz w:val="24"/>
          <w:highlight w:val="none"/>
        </w:rPr>
        <w:t>6.比较与评价</w:t>
      </w:r>
    </w:p>
    <w:p w14:paraId="25A4356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6.1评审方法：综合评分法。</w:t>
      </w:r>
    </w:p>
    <w:p w14:paraId="27A1CA7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04E148D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51B350F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6736FCA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4387B7C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48A366E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3FB06D10">
      <w:pPr>
        <w:spacing w:line="360" w:lineRule="auto"/>
        <w:ind w:firstLine="420" w:firstLineChars="200"/>
        <w:rPr>
          <w:rFonts w:ascii="宋体" w:hAnsi="宋体" w:cs="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6E54C5EB">
      <w:pPr>
        <w:spacing w:line="36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539B0AC">
      <w:pPr>
        <w:spacing w:before="240" w:beforeLines="100" w:after="182" w:afterLines="76"/>
        <w:ind w:firstLine="200"/>
        <w:rPr>
          <w:rFonts w:ascii="宋体" w:hAnsi="宋体" w:cs="宋体"/>
          <w:b/>
          <w:bCs/>
          <w:color w:val="auto"/>
          <w:sz w:val="24"/>
          <w:highlight w:val="none"/>
        </w:rPr>
      </w:pPr>
      <w:r>
        <w:rPr>
          <w:rFonts w:ascii="宋体" w:hAnsi="宋体" w:cs="宋体"/>
          <w:b/>
          <w:bCs/>
          <w:color w:val="auto"/>
          <w:sz w:val="24"/>
          <w:highlight w:val="none"/>
        </w:rPr>
        <w:t>7</w:t>
      </w:r>
      <w:r>
        <w:rPr>
          <w:rFonts w:hint="eastAsia" w:ascii="宋体" w:hAnsi="宋体" w:cs="宋体"/>
          <w:b/>
          <w:bCs/>
          <w:color w:val="auto"/>
          <w:sz w:val="24"/>
          <w:highlight w:val="none"/>
        </w:rPr>
        <w:t>.评审标准</w:t>
      </w: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918"/>
        <w:gridCol w:w="1112"/>
        <w:gridCol w:w="6071"/>
      </w:tblGrid>
      <w:tr w14:paraId="52A61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780" w:type="dxa"/>
            <w:vAlign w:val="center"/>
          </w:tcPr>
          <w:p w14:paraId="74369C2B">
            <w:pPr>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序号</w:t>
            </w:r>
          </w:p>
        </w:tc>
        <w:tc>
          <w:tcPr>
            <w:tcW w:w="2025" w:type="dxa"/>
            <w:gridSpan w:val="2"/>
            <w:vAlign w:val="center"/>
          </w:tcPr>
          <w:p w14:paraId="6E120DC9">
            <w:pPr>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c>
          <w:tcPr>
            <w:tcW w:w="6071" w:type="dxa"/>
            <w:vAlign w:val="center"/>
          </w:tcPr>
          <w:p w14:paraId="45A7D513">
            <w:pPr>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评分标准</w:t>
            </w:r>
          </w:p>
        </w:tc>
      </w:tr>
      <w:tr w14:paraId="4473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80" w:type="dxa"/>
            <w:vAlign w:val="center"/>
          </w:tcPr>
          <w:p w14:paraId="493BE717">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1</w:t>
            </w:r>
          </w:p>
        </w:tc>
        <w:tc>
          <w:tcPr>
            <w:tcW w:w="2025" w:type="dxa"/>
            <w:gridSpan w:val="2"/>
            <w:vAlign w:val="center"/>
          </w:tcPr>
          <w:p w14:paraId="1A1D3E17">
            <w:pPr>
              <w:spacing w:line="276" w:lineRule="auto"/>
              <w:jc w:val="center"/>
              <w:rPr>
                <w:rFonts w:ascii="宋体" w:hAnsi="宋体" w:cs="Tahoma"/>
                <w:b/>
                <w:color w:val="auto"/>
                <w:kern w:val="0"/>
                <w:szCs w:val="21"/>
                <w:highlight w:val="none"/>
              </w:rPr>
            </w:pPr>
            <w:r>
              <w:rPr>
                <w:rFonts w:hint="eastAsia" w:ascii="宋体" w:hAnsi="宋体" w:cs="Tahoma"/>
                <w:b/>
                <w:color w:val="auto"/>
                <w:kern w:val="0"/>
                <w:szCs w:val="21"/>
                <w:highlight w:val="none"/>
              </w:rPr>
              <w:t>价格分</w:t>
            </w:r>
          </w:p>
          <w:p w14:paraId="6EE3BEEF">
            <w:pPr>
              <w:spacing w:line="276" w:lineRule="auto"/>
              <w:jc w:val="center"/>
              <w:rPr>
                <w:rFonts w:ascii="宋体" w:hAnsi="宋体" w:cs="Tahoma"/>
                <w:color w:val="auto"/>
                <w:kern w:val="0"/>
                <w:szCs w:val="21"/>
                <w:highlight w:val="none"/>
              </w:rPr>
            </w:pPr>
            <w:r>
              <w:rPr>
                <w:rFonts w:hint="eastAsia" w:ascii="宋体" w:hAnsi="宋体" w:cs="Tahoma"/>
                <w:b/>
                <w:color w:val="auto"/>
                <w:kern w:val="0"/>
                <w:szCs w:val="21"/>
                <w:highlight w:val="none"/>
              </w:rPr>
              <w:t>（满分45分）</w:t>
            </w:r>
          </w:p>
        </w:tc>
        <w:tc>
          <w:tcPr>
            <w:tcW w:w="6071" w:type="dxa"/>
            <w:vAlign w:val="center"/>
          </w:tcPr>
          <w:p w14:paraId="3220DB13">
            <w:pPr>
              <w:pStyle w:val="28"/>
              <w:numPr>
                <w:ilvl w:val="0"/>
                <w:numId w:val="4"/>
              </w:numPr>
              <w:spacing w:line="276" w:lineRule="auto"/>
              <w:rPr>
                <w:color w:val="auto"/>
                <w:sz w:val="21"/>
                <w:highlight w:val="none"/>
                <w:u w:val="single"/>
              </w:rPr>
            </w:pPr>
            <w:r>
              <w:rPr>
                <w:rFonts w:hint="eastAsia"/>
                <w:color w:val="auto"/>
                <w:sz w:val="21"/>
                <w:highlight w:val="none"/>
              </w:rPr>
              <w:t>以进入比较与评价环节的最低的评审价为基准价，基准价得分为</w:t>
            </w:r>
            <w:r>
              <w:rPr>
                <w:color w:val="auto"/>
                <w:sz w:val="21"/>
                <w:highlight w:val="none"/>
                <w:u w:val="single"/>
              </w:rPr>
              <w:t xml:space="preserve"> </w:t>
            </w:r>
            <w:r>
              <w:rPr>
                <w:rFonts w:hint="eastAsia"/>
                <w:color w:val="auto"/>
                <w:sz w:val="21"/>
                <w:highlight w:val="none"/>
                <w:u w:val="single"/>
              </w:rPr>
              <w:t>45</w:t>
            </w:r>
            <w:r>
              <w:rPr>
                <w:color w:val="auto"/>
                <w:sz w:val="21"/>
                <w:highlight w:val="none"/>
                <w:u w:val="single"/>
              </w:rPr>
              <w:t xml:space="preserve"> </w:t>
            </w:r>
            <w:r>
              <w:rPr>
                <w:rFonts w:hint="eastAsia"/>
                <w:color w:val="auto"/>
                <w:sz w:val="21"/>
                <w:highlight w:val="none"/>
                <w:u w:val="single"/>
              </w:rPr>
              <w:t>分。</w:t>
            </w:r>
          </w:p>
          <w:p w14:paraId="3181324F">
            <w:pPr>
              <w:pStyle w:val="28"/>
              <w:numPr>
                <w:ilvl w:val="0"/>
                <w:numId w:val="4"/>
              </w:numPr>
              <w:spacing w:line="276" w:lineRule="auto"/>
              <w:rPr>
                <w:color w:val="auto"/>
                <w:sz w:val="21"/>
                <w:highlight w:val="none"/>
                <w:u w:val="single"/>
              </w:rPr>
            </w:pPr>
            <w:r>
              <w:rPr>
                <w:rFonts w:hint="eastAsia"/>
                <w:color w:val="auto"/>
                <w:sz w:val="21"/>
                <w:highlight w:val="none"/>
              </w:rPr>
              <w:t>价格分计算公式：报价得分</w:t>
            </w:r>
            <w:r>
              <w:rPr>
                <w:rFonts w:ascii="Times New Roman"/>
                <w:color w:val="auto"/>
                <w:sz w:val="21"/>
                <w:highlight w:val="none"/>
              </w:rPr>
              <w:t>=</w:t>
            </w:r>
            <w:r>
              <w:rPr>
                <w:rFonts w:hint="eastAsia"/>
                <w:color w:val="auto"/>
                <w:sz w:val="21"/>
                <w:highlight w:val="none"/>
              </w:rPr>
              <w:t>（基准价</w:t>
            </w:r>
            <w:r>
              <w:rPr>
                <w:rFonts w:ascii="Times New Roman"/>
                <w:color w:val="auto"/>
                <w:sz w:val="21"/>
                <w:highlight w:val="none"/>
              </w:rPr>
              <w:t>/</w:t>
            </w:r>
            <w:r>
              <w:rPr>
                <w:rFonts w:hint="eastAsia"/>
                <w:color w:val="auto"/>
                <w:sz w:val="21"/>
                <w:highlight w:val="none"/>
              </w:rPr>
              <w:t>最后报价）×</w:t>
            </w:r>
            <w:r>
              <w:rPr>
                <w:rFonts w:hint="eastAsia" w:ascii="Times New Roman"/>
                <w:color w:val="auto"/>
                <w:sz w:val="21"/>
                <w:highlight w:val="none"/>
                <w:u w:val="single"/>
              </w:rPr>
              <w:t xml:space="preserve"> 45</w:t>
            </w:r>
            <w:r>
              <w:rPr>
                <w:rFonts w:ascii="Times New Roman"/>
                <w:color w:val="auto"/>
                <w:spacing w:val="-4"/>
                <w:sz w:val="21"/>
                <w:highlight w:val="none"/>
                <w:u w:val="single"/>
              </w:rPr>
              <w:t xml:space="preserve"> </w:t>
            </w:r>
            <w:r>
              <w:rPr>
                <w:rFonts w:hint="eastAsia"/>
                <w:color w:val="auto"/>
                <w:sz w:val="21"/>
                <w:highlight w:val="none"/>
                <w:u w:val="single"/>
              </w:rPr>
              <w:t>分</w:t>
            </w:r>
          </w:p>
        </w:tc>
      </w:tr>
      <w:tr w14:paraId="0BE03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80" w:type="dxa"/>
            <w:vAlign w:val="center"/>
          </w:tcPr>
          <w:p w14:paraId="27F33B94">
            <w:pPr>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2</w:t>
            </w:r>
          </w:p>
        </w:tc>
        <w:tc>
          <w:tcPr>
            <w:tcW w:w="2025" w:type="dxa"/>
            <w:gridSpan w:val="2"/>
            <w:vAlign w:val="center"/>
          </w:tcPr>
          <w:p w14:paraId="39416A8B">
            <w:pPr>
              <w:spacing w:line="276"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技术分</w:t>
            </w:r>
          </w:p>
          <w:p w14:paraId="1DA11ECE">
            <w:pPr>
              <w:spacing w:line="276"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（满分35分）</w:t>
            </w:r>
          </w:p>
        </w:tc>
        <w:tc>
          <w:tcPr>
            <w:tcW w:w="6071" w:type="dxa"/>
            <w:vAlign w:val="center"/>
          </w:tcPr>
          <w:p w14:paraId="4927832D">
            <w:pPr>
              <w:spacing w:line="276"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评审因素</w:t>
            </w:r>
          </w:p>
        </w:tc>
      </w:tr>
      <w:tr w14:paraId="042E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atLeast"/>
          <w:jc w:val="center"/>
        </w:trPr>
        <w:tc>
          <w:tcPr>
            <w:tcW w:w="780" w:type="dxa"/>
            <w:vAlign w:val="center"/>
          </w:tcPr>
          <w:p w14:paraId="33370DD5">
            <w:pPr>
              <w:adjustRightInd w:val="0"/>
              <w:spacing w:line="276" w:lineRule="auto"/>
              <w:ind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2.1</w:t>
            </w:r>
          </w:p>
        </w:tc>
        <w:tc>
          <w:tcPr>
            <w:tcW w:w="2030" w:type="dxa"/>
            <w:gridSpan w:val="2"/>
            <w:vAlign w:val="center"/>
          </w:tcPr>
          <w:p w14:paraId="621A8290">
            <w:pPr>
              <w:spacing w:line="380" w:lineRule="exact"/>
              <w:jc w:val="left"/>
              <w:rPr>
                <w:rFonts w:ascii="宋体" w:hAnsi="宋体"/>
                <w:color w:val="auto"/>
                <w:highlight w:val="none"/>
              </w:rPr>
            </w:pPr>
            <w:r>
              <w:rPr>
                <w:rFonts w:hint="eastAsia" w:ascii="宋体" w:hAnsi="宋体" w:cs="宋体"/>
                <w:b/>
                <w:bCs/>
                <w:color w:val="auto"/>
                <w:szCs w:val="21"/>
                <w:highlight w:val="none"/>
              </w:rPr>
              <w:t>主要施工方法（10分）</w:t>
            </w:r>
          </w:p>
        </w:tc>
        <w:tc>
          <w:tcPr>
            <w:tcW w:w="6066" w:type="dxa"/>
            <w:vAlign w:val="center"/>
          </w:tcPr>
          <w:p w14:paraId="2E0FB484">
            <w:pPr>
              <w:spacing w:line="380" w:lineRule="exact"/>
              <w:jc w:val="left"/>
              <w:rPr>
                <w:rFonts w:ascii="宋体" w:hAnsi="宋体" w:cs="宋体"/>
                <w:color w:val="auto"/>
                <w:szCs w:val="21"/>
                <w:highlight w:val="none"/>
              </w:rPr>
            </w:pPr>
            <w:r>
              <w:rPr>
                <w:rFonts w:hint="eastAsia" w:ascii="宋体" w:hAnsi="宋体" w:cs="宋体"/>
                <w:color w:val="auto"/>
                <w:szCs w:val="21"/>
                <w:highlight w:val="none"/>
              </w:rPr>
              <w:t>一档（10分）：各主要分部施工方法符合项目实际，须有详尽的施工组织方案，工艺先进、方法科学合理、可行，能指导具体施工并确保安全。</w:t>
            </w:r>
          </w:p>
          <w:p w14:paraId="2B8CFC81">
            <w:pPr>
              <w:spacing w:line="380" w:lineRule="exact"/>
              <w:jc w:val="left"/>
              <w:rPr>
                <w:rFonts w:ascii="宋体" w:hAnsi="宋体" w:cs="宋体"/>
                <w:color w:val="auto"/>
                <w:szCs w:val="21"/>
                <w:highlight w:val="none"/>
              </w:rPr>
            </w:pPr>
            <w:r>
              <w:rPr>
                <w:rFonts w:hint="eastAsia" w:ascii="宋体" w:hAnsi="宋体" w:cs="宋体"/>
                <w:color w:val="auto"/>
                <w:szCs w:val="21"/>
                <w:highlight w:val="none"/>
              </w:rPr>
              <w:t>二档（</w:t>
            </w:r>
            <w:r>
              <w:rPr>
                <w:rFonts w:ascii="宋体" w:hAnsi="宋体" w:cs="宋体"/>
                <w:color w:val="auto"/>
                <w:szCs w:val="21"/>
                <w:highlight w:val="none"/>
              </w:rPr>
              <w:t>7</w:t>
            </w:r>
            <w:r>
              <w:rPr>
                <w:rFonts w:hint="eastAsia" w:ascii="宋体" w:hAnsi="宋体" w:cs="宋体"/>
                <w:color w:val="auto"/>
                <w:szCs w:val="21"/>
                <w:highlight w:val="none"/>
              </w:rPr>
              <w:t>分）：各主要分部施工方法符合项目基本实际，须有详尽的施工组织方案，工艺一般、方法基本可行，能指导具体施工并确保安全。</w:t>
            </w:r>
          </w:p>
          <w:p w14:paraId="5ABF9E74">
            <w:pPr>
              <w:spacing w:line="380" w:lineRule="exact"/>
              <w:jc w:val="left"/>
              <w:rPr>
                <w:rFonts w:hAnsi="宋体"/>
                <w:b/>
                <w:color w:val="auto"/>
                <w:szCs w:val="21"/>
                <w:highlight w:val="none"/>
              </w:rPr>
            </w:pPr>
            <w:r>
              <w:rPr>
                <w:rFonts w:hint="eastAsia" w:ascii="宋体" w:hAnsi="宋体" w:cs="宋体"/>
                <w:color w:val="auto"/>
                <w:szCs w:val="21"/>
                <w:highlight w:val="none"/>
              </w:rPr>
              <w:t>三档（4分）：各主要分部施工方法不符合项目实际，无详尽的施工组织方案，不能指导具体施工并确保安全。</w:t>
            </w:r>
          </w:p>
        </w:tc>
      </w:tr>
      <w:tr w14:paraId="1A326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80" w:type="dxa"/>
            <w:vAlign w:val="center"/>
          </w:tcPr>
          <w:p w14:paraId="0DCF176D">
            <w:pPr>
              <w:adjustRightInd w:val="0"/>
              <w:spacing w:line="276" w:lineRule="auto"/>
              <w:ind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2.2</w:t>
            </w:r>
          </w:p>
        </w:tc>
        <w:tc>
          <w:tcPr>
            <w:tcW w:w="2030" w:type="dxa"/>
            <w:gridSpan w:val="2"/>
            <w:vAlign w:val="center"/>
          </w:tcPr>
          <w:p w14:paraId="5CC264AC">
            <w:pPr>
              <w:spacing w:line="380" w:lineRule="exact"/>
              <w:jc w:val="left"/>
              <w:rPr>
                <w:rFonts w:hAnsi="宋体"/>
                <w:b/>
                <w:bCs/>
                <w:color w:val="auto"/>
                <w:szCs w:val="21"/>
                <w:highlight w:val="none"/>
              </w:rPr>
            </w:pPr>
            <w:r>
              <w:rPr>
                <w:rFonts w:hint="eastAsia" w:ascii="宋体" w:hAnsi="宋体" w:cs="宋体"/>
                <w:b/>
                <w:bCs/>
                <w:color w:val="auto"/>
                <w:szCs w:val="21"/>
                <w:highlight w:val="none"/>
              </w:rPr>
              <w:t>拟投入的主要物资计划（5分）</w:t>
            </w:r>
          </w:p>
        </w:tc>
        <w:tc>
          <w:tcPr>
            <w:tcW w:w="6066" w:type="dxa"/>
            <w:vAlign w:val="center"/>
          </w:tcPr>
          <w:p w14:paraId="289CFD8B">
            <w:pPr>
              <w:spacing w:line="380" w:lineRule="exact"/>
              <w:jc w:val="left"/>
              <w:rPr>
                <w:rFonts w:ascii="宋体" w:hAnsi="宋体" w:cs="宋体"/>
                <w:color w:val="auto"/>
                <w:szCs w:val="21"/>
                <w:highlight w:val="none"/>
              </w:rPr>
            </w:pPr>
            <w:r>
              <w:rPr>
                <w:rFonts w:hint="eastAsia" w:ascii="宋体" w:hAnsi="宋体" w:cs="宋体"/>
                <w:color w:val="auto"/>
                <w:szCs w:val="21"/>
                <w:highlight w:val="none"/>
              </w:rPr>
              <w:t>一档（5分）：投入的主要设备材料有详细的组织计划且计划完整周密，数量、选型配置、进场时间安排科学合理，满足施工需要。</w:t>
            </w:r>
          </w:p>
          <w:p w14:paraId="29B775EB">
            <w:pPr>
              <w:spacing w:line="380" w:lineRule="exact"/>
              <w:jc w:val="left"/>
              <w:rPr>
                <w:rFonts w:ascii="宋体" w:hAnsi="宋体" w:cs="宋体"/>
                <w:color w:val="auto"/>
                <w:szCs w:val="21"/>
                <w:highlight w:val="none"/>
              </w:rPr>
            </w:pPr>
            <w:r>
              <w:rPr>
                <w:rFonts w:hint="eastAsia" w:ascii="宋体" w:hAnsi="宋体" w:cs="宋体"/>
                <w:color w:val="auto"/>
                <w:szCs w:val="21"/>
                <w:highlight w:val="none"/>
              </w:rPr>
              <w:t>二档（</w:t>
            </w:r>
            <w:r>
              <w:rPr>
                <w:rFonts w:ascii="宋体" w:hAnsi="宋体" w:cs="宋体"/>
                <w:color w:val="auto"/>
                <w:szCs w:val="21"/>
                <w:highlight w:val="none"/>
              </w:rPr>
              <w:t>3</w:t>
            </w:r>
            <w:r>
              <w:rPr>
                <w:rFonts w:hint="eastAsia" w:ascii="宋体" w:hAnsi="宋体" w:cs="宋体"/>
                <w:color w:val="auto"/>
                <w:szCs w:val="21"/>
                <w:highlight w:val="none"/>
              </w:rPr>
              <w:t>分）：投入的主要设备材料有组织计划且计划周密，数量、选型配置、进场时间安排合理，满足施工需要。</w:t>
            </w:r>
          </w:p>
          <w:p w14:paraId="7E338997">
            <w:pPr>
              <w:spacing w:line="380" w:lineRule="exact"/>
              <w:jc w:val="left"/>
              <w:rPr>
                <w:rFonts w:hAnsi="宋体"/>
                <w:b/>
                <w:color w:val="auto"/>
                <w:szCs w:val="21"/>
                <w:highlight w:val="none"/>
              </w:rPr>
            </w:pPr>
            <w:r>
              <w:rPr>
                <w:rFonts w:hint="eastAsia" w:ascii="宋体" w:hAnsi="宋体" w:cs="宋体"/>
                <w:color w:val="auto"/>
                <w:szCs w:val="21"/>
                <w:highlight w:val="none"/>
              </w:rPr>
              <w:t>三档（</w:t>
            </w:r>
            <w:r>
              <w:rPr>
                <w:rFonts w:ascii="宋体" w:hAnsi="宋体" w:cs="宋体"/>
                <w:color w:val="auto"/>
                <w:szCs w:val="21"/>
                <w:highlight w:val="none"/>
              </w:rPr>
              <w:t>1</w:t>
            </w:r>
            <w:r>
              <w:rPr>
                <w:rFonts w:hint="eastAsia" w:ascii="宋体" w:hAnsi="宋体" w:cs="宋体"/>
                <w:color w:val="auto"/>
                <w:szCs w:val="21"/>
                <w:highlight w:val="none"/>
              </w:rPr>
              <w:t>分）：投入的主要设备材料无详细的组织计划，数量、选型配置、进场时间安排不合理，不能满足施工需要。</w:t>
            </w:r>
          </w:p>
        </w:tc>
      </w:tr>
      <w:tr w14:paraId="6FA5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80" w:type="dxa"/>
            <w:vAlign w:val="center"/>
          </w:tcPr>
          <w:p w14:paraId="19ECA5EC">
            <w:pPr>
              <w:adjustRightInd w:val="0"/>
              <w:spacing w:line="276" w:lineRule="auto"/>
              <w:ind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2.3</w:t>
            </w:r>
          </w:p>
        </w:tc>
        <w:tc>
          <w:tcPr>
            <w:tcW w:w="2030" w:type="dxa"/>
            <w:gridSpan w:val="2"/>
            <w:vAlign w:val="center"/>
          </w:tcPr>
          <w:p w14:paraId="26A61F36">
            <w:pPr>
              <w:spacing w:line="380" w:lineRule="exact"/>
              <w:jc w:val="left"/>
              <w:rPr>
                <w:rFonts w:hAnsi="宋体"/>
                <w:b/>
                <w:bCs/>
                <w:color w:val="auto"/>
                <w:szCs w:val="21"/>
                <w:highlight w:val="none"/>
              </w:rPr>
            </w:pPr>
            <w:r>
              <w:rPr>
                <w:rFonts w:hint="eastAsia" w:ascii="宋体" w:hAnsi="宋体" w:cs="宋体"/>
                <w:b/>
                <w:bCs/>
                <w:color w:val="auto"/>
                <w:szCs w:val="21"/>
                <w:highlight w:val="none"/>
              </w:rPr>
              <w:t>确保工程安全、质量的技术组织措施（5分）</w:t>
            </w:r>
          </w:p>
        </w:tc>
        <w:tc>
          <w:tcPr>
            <w:tcW w:w="6066" w:type="dxa"/>
            <w:vAlign w:val="center"/>
          </w:tcPr>
          <w:p w14:paraId="4E08113D">
            <w:pPr>
              <w:spacing w:line="380" w:lineRule="exact"/>
              <w:jc w:val="left"/>
              <w:rPr>
                <w:rFonts w:ascii="宋体" w:hAnsi="宋体" w:cs="宋体"/>
                <w:color w:val="auto"/>
                <w:szCs w:val="21"/>
                <w:highlight w:val="none"/>
              </w:rPr>
            </w:pPr>
            <w:r>
              <w:rPr>
                <w:rFonts w:hint="eastAsia" w:ascii="宋体" w:hAnsi="宋体" w:cs="宋体"/>
                <w:color w:val="auto"/>
                <w:szCs w:val="21"/>
                <w:highlight w:val="none"/>
              </w:rPr>
              <w:t>一档（5分）：有专门且专业的安全、质量技术管理班子和制度，且人员配备科学合理，制度科学合理健全。主要工序安全、质量技术保证措施和手段科学合理，自控体系完整，能有效保证技术质量和满足安全技术标准。</w:t>
            </w:r>
          </w:p>
          <w:p w14:paraId="268A3AF6">
            <w:pPr>
              <w:spacing w:line="380" w:lineRule="exact"/>
              <w:jc w:val="left"/>
              <w:rPr>
                <w:rFonts w:ascii="宋体" w:hAnsi="宋体" w:cs="宋体"/>
                <w:color w:val="auto"/>
                <w:szCs w:val="21"/>
                <w:highlight w:val="none"/>
              </w:rPr>
            </w:pPr>
            <w:r>
              <w:rPr>
                <w:rFonts w:hint="eastAsia" w:ascii="宋体" w:hAnsi="宋体" w:cs="宋体"/>
                <w:color w:val="auto"/>
                <w:szCs w:val="21"/>
                <w:highlight w:val="none"/>
              </w:rPr>
              <w:t>二档（</w:t>
            </w:r>
            <w:r>
              <w:rPr>
                <w:rFonts w:ascii="宋体" w:hAnsi="宋体" w:cs="宋体"/>
                <w:color w:val="auto"/>
                <w:szCs w:val="21"/>
                <w:highlight w:val="none"/>
              </w:rPr>
              <w:t>3</w:t>
            </w:r>
            <w:r>
              <w:rPr>
                <w:rFonts w:hint="eastAsia" w:ascii="宋体" w:hAnsi="宋体" w:cs="宋体"/>
                <w:color w:val="auto"/>
                <w:szCs w:val="21"/>
                <w:highlight w:val="none"/>
              </w:rPr>
              <w:t>分）：有专门的安全、质量技术管理班子和制度，且人员配备合理，制度合理健全。主要工序的安全、质量技术保证措施和手段较好，能保证技术质量和满足安全技术标准。</w:t>
            </w:r>
          </w:p>
          <w:p w14:paraId="2004B521">
            <w:pPr>
              <w:spacing w:line="380" w:lineRule="exact"/>
              <w:jc w:val="left"/>
              <w:rPr>
                <w:rFonts w:hAnsi="宋体"/>
                <w:b/>
                <w:color w:val="auto"/>
                <w:szCs w:val="21"/>
                <w:highlight w:val="none"/>
              </w:rPr>
            </w:pPr>
            <w:r>
              <w:rPr>
                <w:rFonts w:hint="eastAsia" w:ascii="宋体" w:hAnsi="宋体" w:cs="宋体"/>
                <w:color w:val="auto"/>
                <w:szCs w:val="21"/>
                <w:highlight w:val="none"/>
              </w:rPr>
              <w:t>三档（</w:t>
            </w:r>
            <w:r>
              <w:rPr>
                <w:rFonts w:ascii="宋体" w:hAnsi="宋体" w:cs="宋体"/>
                <w:color w:val="auto"/>
                <w:szCs w:val="21"/>
                <w:highlight w:val="none"/>
              </w:rPr>
              <w:t>1</w:t>
            </w:r>
            <w:r>
              <w:rPr>
                <w:rFonts w:hint="eastAsia" w:ascii="宋体" w:hAnsi="宋体" w:cs="宋体"/>
                <w:color w:val="auto"/>
                <w:szCs w:val="21"/>
                <w:highlight w:val="none"/>
              </w:rPr>
              <w:t>分）：有安全、质量技术管理班子和制度，有人员配备，制度不健全。主要工序无安全、质量技术保证措施和手段，自控体系不合理。</w:t>
            </w:r>
          </w:p>
        </w:tc>
      </w:tr>
      <w:tr w14:paraId="7E26B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80" w:type="dxa"/>
            <w:vAlign w:val="center"/>
          </w:tcPr>
          <w:p w14:paraId="37F6CDCA">
            <w:pPr>
              <w:adjustRightInd w:val="0"/>
              <w:spacing w:line="276" w:lineRule="auto"/>
              <w:ind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2.4</w:t>
            </w:r>
          </w:p>
        </w:tc>
        <w:tc>
          <w:tcPr>
            <w:tcW w:w="2030" w:type="dxa"/>
            <w:gridSpan w:val="2"/>
            <w:vAlign w:val="center"/>
          </w:tcPr>
          <w:p w14:paraId="12419B5F">
            <w:pPr>
              <w:spacing w:line="380" w:lineRule="exact"/>
              <w:jc w:val="left"/>
              <w:rPr>
                <w:rFonts w:hAnsi="宋体"/>
                <w:b/>
                <w:bCs/>
                <w:color w:val="auto"/>
                <w:szCs w:val="21"/>
                <w:highlight w:val="none"/>
              </w:rPr>
            </w:pPr>
            <w:r>
              <w:rPr>
                <w:rFonts w:hint="eastAsia" w:ascii="宋体" w:hAnsi="宋体" w:cs="宋体"/>
                <w:b/>
                <w:bCs/>
                <w:color w:val="auto"/>
                <w:szCs w:val="21"/>
                <w:highlight w:val="none"/>
              </w:rPr>
              <w:t>确保工期的技术组织措施（5分）</w:t>
            </w:r>
          </w:p>
        </w:tc>
        <w:tc>
          <w:tcPr>
            <w:tcW w:w="6066" w:type="dxa"/>
            <w:vAlign w:val="center"/>
          </w:tcPr>
          <w:p w14:paraId="79F24EF2">
            <w:pPr>
              <w:spacing w:line="380" w:lineRule="exact"/>
              <w:jc w:val="left"/>
              <w:rPr>
                <w:rFonts w:ascii="宋体" w:hAnsi="宋体" w:cs="宋体"/>
                <w:color w:val="auto"/>
                <w:szCs w:val="21"/>
                <w:highlight w:val="none"/>
              </w:rPr>
            </w:pPr>
            <w:r>
              <w:rPr>
                <w:rFonts w:hint="eastAsia" w:ascii="宋体" w:hAnsi="宋体" w:cs="宋体"/>
                <w:color w:val="auto"/>
                <w:szCs w:val="21"/>
                <w:highlight w:val="none"/>
              </w:rPr>
              <w:t>一档（5分）：在施工工艺、施工方法、材料选用、劳动力安排、技术等方面有保证工期的具体措施且措施得当，针对赶工措施有具体的表述，赶工措施合理科学，可操作性高。有控制工期的施工进度计划。有施工总进度表或施工网络图，各项计划图表编制完善，安排科学合理，符合本项目施工实际要求。</w:t>
            </w:r>
          </w:p>
          <w:p w14:paraId="5FCB8609">
            <w:pPr>
              <w:spacing w:line="380" w:lineRule="exact"/>
              <w:jc w:val="left"/>
              <w:rPr>
                <w:rFonts w:ascii="宋体" w:hAnsi="宋体" w:cs="宋体"/>
                <w:color w:val="auto"/>
                <w:szCs w:val="21"/>
                <w:highlight w:val="none"/>
              </w:rPr>
            </w:pPr>
            <w:r>
              <w:rPr>
                <w:rFonts w:hint="eastAsia" w:ascii="宋体" w:hAnsi="宋体" w:cs="宋体"/>
                <w:color w:val="auto"/>
                <w:szCs w:val="21"/>
                <w:highlight w:val="none"/>
              </w:rPr>
              <w:t>二档（</w:t>
            </w:r>
            <w:r>
              <w:rPr>
                <w:rFonts w:ascii="宋体" w:hAnsi="宋体" w:cs="宋体"/>
                <w:color w:val="auto"/>
                <w:szCs w:val="21"/>
                <w:highlight w:val="none"/>
              </w:rPr>
              <w:t>3</w:t>
            </w:r>
            <w:r>
              <w:rPr>
                <w:rFonts w:hint="eastAsia" w:ascii="宋体" w:hAnsi="宋体" w:cs="宋体"/>
                <w:color w:val="auto"/>
                <w:szCs w:val="21"/>
                <w:highlight w:val="none"/>
              </w:rPr>
              <w:t>分）：在施工工艺、施工方法、材料选用、劳动力安排、技术等方面有保证工期的措施但措施一般， 有赶工措施。有控制工期的施工进度计划。有施工总进度表或施工网络图，各项计划图表编制一般，安排合理，基本符合本项目施工实际要求。</w:t>
            </w:r>
          </w:p>
          <w:p w14:paraId="1DE1E54F">
            <w:pPr>
              <w:spacing w:line="380" w:lineRule="exact"/>
              <w:jc w:val="left"/>
              <w:rPr>
                <w:rFonts w:hAnsi="宋体"/>
                <w:b/>
                <w:color w:val="auto"/>
                <w:szCs w:val="21"/>
                <w:highlight w:val="none"/>
              </w:rPr>
            </w:pPr>
            <w:r>
              <w:rPr>
                <w:rFonts w:hint="eastAsia" w:ascii="宋体" w:hAnsi="宋体" w:cs="宋体"/>
                <w:color w:val="auto"/>
                <w:szCs w:val="21"/>
                <w:highlight w:val="none"/>
              </w:rPr>
              <w:t>三档（</w:t>
            </w:r>
            <w:r>
              <w:rPr>
                <w:rFonts w:ascii="宋体" w:hAnsi="宋体" w:cs="宋体"/>
                <w:color w:val="auto"/>
                <w:szCs w:val="21"/>
                <w:highlight w:val="none"/>
              </w:rPr>
              <w:t>1</w:t>
            </w:r>
            <w:r>
              <w:rPr>
                <w:rFonts w:hint="eastAsia" w:ascii="宋体" w:hAnsi="宋体" w:cs="宋体"/>
                <w:color w:val="auto"/>
                <w:szCs w:val="21"/>
                <w:highlight w:val="none"/>
              </w:rPr>
              <w:t>分）在施工工艺、施工方法、材料选用、劳动力安排、技术等方面有保证工期的措施但措施较差，有赶工措施。有控制工期的施工进度计划但不科学。有施工总进度表或施工网络图，各项计划图表编制一般，安排基本合理，仅基本符合本项目施工实际要求。</w:t>
            </w:r>
          </w:p>
        </w:tc>
      </w:tr>
      <w:tr w14:paraId="7DFD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780" w:type="dxa"/>
            <w:vAlign w:val="center"/>
          </w:tcPr>
          <w:p w14:paraId="2EAB21BD">
            <w:pPr>
              <w:adjustRightInd w:val="0"/>
              <w:spacing w:line="276" w:lineRule="auto"/>
              <w:ind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2.5</w:t>
            </w:r>
          </w:p>
        </w:tc>
        <w:tc>
          <w:tcPr>
            <w:tcW w:w="2030" w:type="dxa"/>
            <w:gridSpan w:val="2"/>
            <w:vAlign w:val="center"/>
          </w:tcPr>
          <w:p w14:paraId="763A0C93">
            <w:pPr>
              <w:spacing w:line="380" w:lineRule="exact"/>
              <w:jc w:val="left"/>
              <w:rPr>
                <w:rFonts w:hAnsi="宋体"/>
                <w:b/>
                <w:bCs/>
                <w:color w:val="auto"/>
                <w:szCs w:val="21"/>
                <w:highlight w:val="none"/>
              </w:rPr>
            </w:pPr>
            <w:r>
              <w:rPr>
                <w:rFonts w:hint="eastAsia" w:ascii="宋体" w:hAnsi="宋体" w:cs="宋体"/>
                <w:b/>
                <w:bCs/>
                <w:color w:val="auto"/>
                <w:szCs w:val="21"/>
                <w:highlight w:val="none"/>
              </w:rPr>
              <w:t>确保文明施工的技术组织措施（5分）</w:t>
            </w:r>
          </w:p>
        </w:tc>
        <w:tc>
          <w:tcPr>
            <w:tcW w:w="6066" w:type="dxa"/>
            <w:vAlign w:val="center"/>
          </w:tcPr>
          <w:p w14:paraId="2C015718">
            <w:pPr>
              <w:spacing w:line="380" w:lineRule="exact"/>
              <w:jc w:val="left"/>
              <w:rPr>
                <w:rFonts w:ascii="宋体" w:hAnsi="宋体" w:cs="宋体"/>
                <w:color w:val="auto"/>
                <w:szCs w:val="21"/>
                <w:highlight w:val="none"/>
              </w:rPr>
            </w:pPr>
            <w:r>
              <w:rPr>
                <w:rFonts w:hint="eastAsia" w:ascii="宋体" w:hAnsi="宋体" w:cs="宋体"/>
                <w:color w:val="auto"/>
                <w:szCs w:val="21"/>
                <w:highlight w:val="none"/>
              </w:rPr>
              <w:t xml:space="preserve">一档（5分）：针对本工程项目特点，有现场文明施工、环境保护措施，且措施内容达到《建筑施工安全生产检查标准》（JGJ59-2011）合格标准并符合《广西壮族自治区建筑工程文明施工导则》要求。各项措施周全、具体、有效。有具体实现现场文明施工目标的承诺。 </w:t>
            </w:r>
          </w:p>
          <w:p w14:paraId="4A76F894">
            <w:pPr>
              <w:spacing w:line="380" w:lineRule="exact"/>
              <w:jc w:val="left"/>
              <w:rPr>
                <w:rFonts w:ascii="宋体" w:hAnsi="宋体" w:cs="宋体"/>
                <w:color w:val="auto"/>
                <w:szCs w:val="21"/>
                <w:highlight w:val="none"/>
              </w:rPr>
            </w:pPr>
            <w:r>
              <w:rPr>
                <w:rFonts w:hint="eastAsia" w:ascii="宋体" w:hAnsi="宋体" w:cs="宋体"/>
                <w:color w:val="auto"/>
                <w:szCs w:val="21"/>
                <w:highlight w:val="none"/>
              </w:rPr>
              <w:t>二档（</w:t>
            </w:r>
            <w:r>
              <w:rPr>
                <w:rFonts w:ascii="宋体" w:hAnsi="宋体" w:cs="宋体"/>
                <w:color w:val="auto"/>
                <w:szCs w:val="21"/>
                <w:highlight w:val="none"/>
              </w:rPr>
              <w:t>3</w:t>
            </w:r>
            <w:r>
              <w:rPr>
                <w:rFonts w:hint="eastAsia" w:ascii="宋体" w:hAnsi="宋体" w:cs="宋体"/>
                <w:color w:val="auto"/>
                <w:szCs w:val="21"/>
                <w:highlight w:val="none"/>
              </w:rPr>
              <w:t>分）：针对本工程项目特点，有合理的现场文明施工、环境保护措施，且措施内容达到《建筑施工安全生产检查标准》（JGJ59-2011）合格标准并符合《广西壮族自治区建筑工程文明施工导则》要求。各项措施一般。有具体实现现场文明施工目标的承诺。</w:t>
            </w:r>
          </w:p>
          <w:p w14:paraId="512B1CD5">
            <w:pPr>
              <w:spacing w:line="380" w:lineRule="exact"/>
              <w:jc w:val="left"/>
              <w:rPr>
                <w:rFonts w:hAnsi="宋体"/>
                <w:b/>
                <w:color w:val="auto"/>
                <w:szCs w:val="21"/>
                <w:highlight w:val="none"/>
              </w:rPr>
            </w:pPr>
            <w:r>
              <w:rPr>
                <w:rFonts w:hint="eastAsia" w:ascii="宋体" w:hAnsi="宋体" w:cs="宋体"/>
                <w:color w:val="auto"/>
                <w:szCs w:val="21"/>
                <w:highlight w:val="none"/>
              </w:rPr>
              <w:t>三档（</w:t>
            </w:r>
            <w:r>
              <w:rPr>
                <w:rFonts w:ascii="宋体" w:hAnsi="宋体" w:cs="宋体"/>
                <w:color w:val="auto"/>
                <w:szCs w:val="21"/>
                <w:highlight w:val="none"/>
              </w:rPr>
              <w:t>1</w:t>
            </w:r>
            <w:r>
              <w:rPr>
                <w:rFonts w:hint="eastAsia" w:ascii="宋体" w:hAnsi="宋体" w:cs="宋体"/>
                <w:color w:val="auto"/>
                <w:szCs w:val="21"/>
                <w:highlight w:val="none"/>
              </w:rPr>
              <w:t>分）：有基本的现场文明施工、环境保护措施，且措施内容达到《建筑施工安全生产检查标准》（JGJ59-2011）合格标准并符合《广西壮族自治区建筑工程文明施工导则》要求。各项措施一般。有具体实现现场文明施工目标的承诺。</w:t>
            </w:r>
          </w:p>
        </w:tc>
      </w:tr>
      <w:tr w14:paraId="75036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780" w:type="dxa"/>
            <w:vAlign w:val="center"/>
          </w:tcPr>
          <w:p w14:paraId="127D7E9F">
            <w:pPr>
              <w:adjustRightInd w:val="0"/>
              <w:spacing w:line="276" w:lineRule="auto"/>
              <w:ind w:right="-105" w:rightChars="-50"/>
              <w:jc w:val="center"/>
              <w:textAlignment w:val="baseline"/>
              <w:rPr>
                <w:rFonts w:ascii="宋体" w:hAnsi="宋体"/>
                <w:bCs/>
                <w:color w:val="auto"/>
                <w:kern w:val="0"/>
                <w:szCs w:val="21"/>
                <w:highlight w:val="none"/>
              </w:rPr>
            </w:pPr>
            <w:r>
              <w:rPr>
                <w:rFonts w:hint="eastAsia" w:ascii="宋体" w:hAnsi="宋体"/>
                <w:bCs/>
                <w:color w:val="auto"/>
                <w:kern w:val="0"/>
                <w:szCs w:val="21"/>
                <w:highlight w:val="none"/>
              </w:rPr>
              <w:t>2.6</w:t>
            </w:r>
          </w:p>
        </w:tc>
        <w:tc>
          <w:tcPr>
            <w:tcW w:w="2030" w:type="dxa"/>
            <w:gridSpan w:val="2"/>
            <w:vAlign w:val="center"/>
          </w:tcPr>
          <w:p w14:paraId="736F5A1F">
            <w:pPr>
              <w:spacing w:line="380" w:lineRule="exact"/>
              <w:jc w:val="left"/>
              <w:rPr>
                <w:rFonts w:hAnsi="宋体"/>
                <w:b/>
                <w:bCs/>
                <w:color w:val="auto"/>
                <w:szCs w:val="21"/>
                <w:highlight w:val="none"/>
              </w:rPr>
            </w:pPr>
            <w:r>
              <w:rPr>
                <w:rFonts w:ascii="宋体" w:hAnsi="宋体" w:cs="宋体"/>
                <w:b/>
                <w:bCs/>
                <w:color w:val="auto"/>
                <w:szCs w:val="21"/>
                <w:highlight w:val="none"/>
              </w:rPr>
              <w:t>工程施工的重点和难点及保证措施</w:t>
            </w:r>
            <w:r>
              <w:rPr>
                <w:rFonts w:hint="eastAsia" w:ascii="宋体" w:hAnsi="宋体" w:cs="宋体"/>
                <w:b/>
                <w:bCs/>
                <w:color w:val="auto"/>
                <w:szCs w:val="21"/>
                <w:highlight w:val="none"/>
              </w:rPr>
              <w:t>（5分）</w:t>
            </w:r>
          </w:p>
        </w:tc>
        <w:tc>
          <w:tcPr>
            <w:tcW w:w="6066" w:type="dxa"/>
            <w:vAlign w:val="center"/>
          </w:tcPr>
          <w:p w14:paraId="11E15897">
            <w:pPr>
              <w:spacing w:line="380" w:lineRule="exact"/>
              <w:jc w:val="left"/>
              <w:rPr>
                <w:rFonts w:ascii="宋体" w:hAnsi="宋体" w:cs="宋体"/>
                <w:color w:val="auto"/>
                <w:szCs w:val="21"/>
                <w:highlight w:val="none"/>
              </w:rPr>
            </w:pPr>
            <w:r>
              <w:rPr>
                <w:rFonts w:hint="eastAsia" w:ascii="宋体" w:hAnsi="宋体" w:cs="宋体"/>
                <w:color w:val="auto"/>
                <w:szCs w:val="21"/>
                <w:highlight w:val="none"/>
              </w:rPr>
              <w:t>一档</w:t>
            </w:r>
            <w:r>
              <w:rPr>
                <w:rFonts w:ascii="宋体" w:hAnsi="宋体" w:cs="宋体"/>
                <w:color w:val="auto"/>
                <w:szCs w:val="21"/>
                <w:highlight w:val="none"/>
              </w:rPr>
              <w:t>（</w:t>
            </w:r>
            <w:r>
              <w:rPr>
                <w:rFonts w:hint="eastAsia" w:ascii="宋体" w:hAnsi="宋体" w:cs="宋体"/>
                <w:color w:val="auto"/>
                <w:szCs w:val="21"/>
                <w:highlight w:val="none"/>
              </w:rPr>
              <w:t>5</w:t>
            </w:r>
            <w:r>
              <w:rPr>
                <w:rFonts w:ascii="宋体" w:hAnsi="宋体" w:cs="宋体"/>
                <w:color w:val="auto"/>
                <w:szCs w:val="21"/>
                <w:highlight w:val="none"/>
              </w:rPr>
              <w:t xml:space="preserve">分）：针对本工程的特点，阐述本工程的重点和难点，解决重点和难点问题的方法科学合理，完全满足要求。 </w:t>
            </w:r>
          </w:p>
          <w:p w14:paraId="0D10601E">
            <w:pPr>
              <w:spacing w:line="380" w:lineRule="exact"/>
              <w:jc w:val="left"/>
              <w:rPr>
                <w:rFonts w:ascii="宋体" w:hAnsi="宋体" w:cs="宋体"/>
                <w:color w:val="auto"/>
                <w:szCs w:val="21"/>
                <w:highlight w:val="none"/>
              </w:rPr>
            </w:pPr>
            <w:r>
              <w:rPr>
                <w:rFonts w:hint="eastAsia" w:ascii="宋体" w:hAnsi="宋体" w:cs="宋体"/>
                <w:color w:val="auto"/>
                <w:szCs w:val="21"/>
                <w:highlight w:val="none"/>
              </w:rPr>
              <w:t>二档</w:t>
            </w:r>
            <w:r>
              <w:rPr>
                <w:rFonts w:ascii="宋体" w:hAnsi="宋体" w:cs="宋体"/>
                <w:color w:val="auto"/>
                <w:szCs w:val="21"/>
                <w:highlight w:val="none"/>
              </w:rPr>
              <w:t xml:space="preserve">（3分）：针对本工程的特点，阐述本工程的重点和难点，解决重点和难点问题的方法合理，满足要求。 </w:t>
            </w:r>
          </w:p>
          <w:p w14:paraId="48440869">
            <w:pPr>
              <w:spacing w:line="380" w:lineRule="exact"/>
              <w:jc w:val="left"/>
              <w:rPr>
                <w:rFonts w:hAnsi="宋体"/>
                <w:b/>
                <w:color w:val="auto"/>
                <w:szCs w:val="21"/>
                <w:highlight w:val="none"/>
              </w:rPr>
            </w:pPr>
            <w:r>
              <w:rPr>
                <w:rFonts w:hint="eastAsia" w:ascii="宋体" w:hAnsi="宋体" w:cs="宋体"/>
                <w:color w:val="auto"/>
                <w:szCs w:val="21"/>
                <w:highlight w:val="none"/>
              </w:rPr>
              <w:t>三档</w:t>
            </w:r>
            <w:r>
              <w:rPr>
                <w:rFonts w:ascii="宋体" w:hAnsi="宋体" w:cs="宋体"/>
                <w:color w:val="auto"/>
                <w:szCs w:val="21"/>
                <w:highlight w:val="none"/>
              </w:rPr>
              <w:t>（1分）：针对本工程的特点，阐述本工程的重点和难点，解决重点和难点问题的方法基本合理，基本满足要求。</w:t>
            </w:r>
          </w:p>
        </w:tc>
      </w:tr>
      <w:tr w14:paraId="237E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80" w:type="dxa"/>
            <w:vAlign w:val="center"/>
          </w:tcPr>
          <w:p w14:paraId="1FE2D6CB">
            <w:pPr>
              <w:spacing w:line="360" w:lineRule="auto"/>
              <w:jc w:val="center"/>
              <w:rPr>
                <w:rFonts w:ascii="宋体" w:hAnsi="宋体" w:cs="Tahoma"/>
                <w:b/>
                <w:bCs/>
                <w:color w:val="auto"/>
                <w:kern w:val="0"/>
                <w:szCs w:val="21"/>
                <w:highlight w:val="none"/>
              </w:rPr>
            </w:pPr>
            <w:r>
              <w:rPr>
                <w:rFonts w:hint="eastAsia" w:ascii="宋体" w:hAnsi="宋体" w:cs="Tahoma"/>
                <w:b/>
                <w:bCs/>
                <w:color w:val="auto"/>
                <w:kern w:val="0"/>
                <w:szCs w:val="21"/>
                <w:highlight w:val="none"/>
              </w:rPr>
              <w:t>3</w:t>
            </w:r>
          </w:p>
        </w:tc>
        <w:tc>
          <w:tcPr>
            <w:tcW w:w="2025" w:type="dxa"/>
            <w:gridSpan w:val="2"/>
            <w:vAlign w:val="center"/>
          </w:tcPr>
          <w:p w14:paraId="5C56EC81">
            <w:pPr>
              <w:spacing w:line="276" w:lineRule="auto"/>
              <w:jc w:val="center"/>
              <w:rPr>
                <w:rFonts w:ascii="宋体" w:hAnsi="宋体" w:cs="Courier New"/>
                <w:b/>
                <w:bCs/>
                <w:color w:val="auto"/>
                <w:szCs w:val="21"/>
                <w:highlight w:val="none"/>
              </w:rPr>
            </w:pPr>
            <w:r>
              <w:rPr>
                <w:rFonts w:hint="eastAsia" w:ascii="宋体" w:hAnsi="宋体" w:cs="Courier New"/>
                <w:b/>
                <w:bCs/>
                <w:color w:val="auto"/>
                <w:szCs w:val="21"/>
                <w:highlight w:val="none"/>
              </w:rPr>
              <w:t>商务分</w:t>
            </w:r>
          </w:p>
          <w:p w14:paraId="0DBC0B00">
            <w:pPr>
              <w:spacing w:line="276" w:lineRule="auto"/>
              <w:jc w:val="center"/>
              <w:rPr>
                <w:rFonts w:ascii="宋体" w:hAnsi="宋体" w:cs="Courier New"/>
                <w:b/>
                <w:bCs/>
                <w:color w:val="auto"/>
                <w:szCs w:val="21"/>
                <w:highlight w:val="none"/>
              </w:rPr>
            </w:pPr>
            <w:r>
              <w:rPr>
                <w:rFonts w:hint="eastAsia" w:ascii="宋体" w:hAnsi="宋体" w:cs="Courier New"/>
                <w:b/>
                <w:bCs/>
                <w:color w:val="auto"/>
                <w:szCs w:val="21"/>
                <w:highlight w:val="none"/>
              </w:rPr>
              <w:t>（</w:t>
            </w:r>
            <w:r>
              <w:rPr>
                <w:rFonts w:hint="eastAsia" w:ascii="宋体" w:hAnsi="宋体" w:cs="Tahoma"/>
                <w:b/>
                <w:bCs/>
                <w:color w:val="auto"/>
                <w:kern w:val="0"/>
                <w:szCs w:val="21"/>
                <w:highlight w:val="none"/>
              </w:rPr>
              <w:t>满分</w:t>
            </w:r>
            <w:r>
              <w:rPr>
                <w:rFonts w:hint="eastAsia" w:ascii="宋体" w:hAnsi="宋体" w:cs="Courier New"/>
                <w:b/>
                <w:bCs/>
                <w:color w:val="auto"/>
                <w:szCs w:val="21"/>
                <w:highlight w:val="none"/>
              </w:rPr>
              <w:t>20分）</w:t>
            </w:r>
          </w:p>
        </w:tc>
        <w:tc>
          <w:tcPr>
            <w:tcW w:w="6071" w:type="dxa"/>
            <w:vAlign w:val="center"/>
          </w:tcPr>
          <w:p w14:paraId="01FEB554">
            <w:pPr>
              <w:spacing w:line="276" w:lineRule="auto"/>
              <w:jc w:val="center"/>
              <w:rPr>
                <w:rFonts w:ascii="宋体" w:hAnsi="宋体"/>
                <w:b/>
                <w:color w:val="auto"/>
                <w:highlight w:val="none"/>
              </w:rPr>
            </w:pPr>
            <w:r>
              <w:rPr>
                <w:rFonts w:hint="eastAsia" w:ascii="宋体" w:hAnsi="宋体"/>
                <w:b/>
                <w:color w:val="auto"/>
                <w:highlight w:val="none"/>
              </w:rPr>
              <w:t>评审因素</w:t>
            </w:r>
          </w:p>
        </w:tc>
      </w:tr>
      <w:tr w14:paraId="7B1E6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780" w:type="dxa"/>
            <w:vMerge w:val="restart"/>
            <w:vAlign w:val="center"/>
          </w:tcPr>
          <w:p w14:paraId="5A0C7882">
            <w:pPr>
              <w:spacing w:line="360" w:lineRule="auto"/>
              <w:jc w:val="center"/>
              <w:rPr>
                <w:rFonts w:ascii="宋体" w:hAnsi="宋体" w:cs="Tahoma"/>
                <w:color w:val="auto"/>
                <w:kern w:val="0"/>
                <w:szCs w:val="21"/>
                <w:highlight w:val="none"/>
              </w:rPr>
            </w:pPr>
            <w:r>
              <w:rPr>
                <w:rFonts w:hint="eastAsia" w:ascii="宋体" w:hAnsi="宋体" w:cs="Tahoma"/>
                <w:color w:val="auto"/>
                <w:kern w:val="0"/>
                <w:szCs w:val="21"/>
                <w:highlight w:val="none"/>
              </w:rPr>
              <w:t>3.1</w:t>
            </w:r>
          </w:p>
        </w:tc>
        <w:tc>
          <w:tcPr>
            <w:tcW w:w="918" w:type="dxa"/>
            <w:vMerge w:val="restart"/>
            <w:vAlign w:val="center"/>
          </w:tcPr>
          <w:p w14:paraId="2B7806B1">
            <w:pPr>
              <w:adjustRightInd w:val="0"/>
              <w:spacing w:line="276" w:lineRule="auto"/>
              <w:jc w:val="center"/>
              <w:textAlignment w:val="baseline"/>
              <w:rPr>
                <w:rFonts w:ascii="宋体" w:hAnsi="宋体"/>
                <w:b/>
                <w:bCs/>
                <w:color w:val="auto"/>
                <w:kern w:val="0"/>
                <w:szCs w:val="21"/>
                <w:highlight w:val="none"/>
              </w:rPr>
            </w:pPr>
          </w:p>
          <w:p w14:paraId="36A58A9E">
            <w:pPr>
              <w:adjustRightInd w:val="0"/>
              <w:spacing w:line="276" w:lineRule="auto"/>
              <w:ind w:right="-13" w:rightChars="-6"/>
              <w:jc w:val="center"/>
              <w:textAlignment w:val="baseline"/>
              <w:rPr>
                <w:rFonts w:ascii="宋体" w:hAnsi="宋体" w:cs="Courier New"/>
                <w:color w:val="auto"/>
                <w:szCs w:val="21"/>
                <w:highlight w:val="none"/>
              </w:rPr>
            </w:pPr>
            <w:r>
              <w:rPr>
                <w:rFonts w:hint="eastAsia" w:ascii="宋体" w:hAnsi="宋体" w:cs="宋体"/>
                <w:b/>
                <w:bCs/>
                <w:color w:val="auto"/>
                <w:szCs w:val="21"/>
                <w:highlight w:val="none"/>
              </w:rPr>
              <w:t>项目管理机构</w:t>
            </w:r>
            <w:r>
              <w:rPr>
                <w:rFonts w:hint="eastAsia" w:ascii="宋体" w:hAnsi="宋体" w:cs="Tahoma"/>
                <w:b/>
                <w:bCs/>
                <w:color w:val="auto"/>
                <w:kern w:val="0"/>
                <w:szCs w:val="21"/>
                <w:highlight w:val="none"/>
              </w:rPr>
              <w:t>（满分1</w:t>
            </w:r>
            <w:r>
              <w:rPr>
                <w:rFonts w:ascii="宋体" w:hAnsi="宋体" w:cs="Tahoma"/>
                <w:b/>
                <w:bCs/>
                <w:color w:val="auto"/>
                <w:kern w:val="0"/>
                <w:szCs w:val="21"/>
                <w:highlight w:val="none"/>
              </w:rPr>
              <w:t>6</w:t>
            </w:r>
            <w:r>
              <w:rPr>
                <w:rFonts w:hint="eastAsia" w:ascii="宋体" w:hAnsi="宋体" w:cs="Tahoma"/>
                <w:b/>
                <w:bCs/>
                <w:color w:val="auto"/>
                <w:kern w:val="0"/>
                <w:szCs w:val="21"/>
                <w:highlight w:val="none"/>
              </w:rPr>
              <w:t>分）</w:t>
            </w:r>
          </w:p>
        </w:tc>
        <w:tc>
          <w:tcPr>
            <w:tcW w:w="1107" w:type="dxa"/>
            <w:vAlign w:val="center"/>
          </w:tcPr>
          <w:p w14:paraId="07C3B2D5">
            <w:pPr>
              <w:adjustRightInd w:val="0"/>
              <w:spacing w:line="276" w:lineRule="auto"/>
              <w:jc w:val="center"/>
              <w:textAlignment w:val="baseline"/>
              <w:rPr>
                <w:rFonts w:ascii="宋体" w:hAnsi="宋体" w:cs="Courier New"/>
                <w:color w:val="auto"/>
                <w:szCs w:val="21"/>
                <w:highlight w:val="none"/>
              </w:rPr>
            </w:pPr>
            <w:r>
              <w:rPr>
                <w:rFonts w:hint="eastAsia" w:ascii="宋体" w:hAnsi="宋体"/>
                <w:b/>
                <w:bCs/>
                <w:color w:val="auto"/>
                <w:kern w:val="0"/>
                <w:szCs w:val="21"/>
                <w:highlight w:val="none"/>
              </w:rPr>
              <w:t>项目经理情况（6分）</w:t>
            </w:r>
          </w:p>
        </w:tc>
        <w:tc>
          <w:tcPr>
            <w:tcW w:w="6071" w:type="dxa"/>
            <w:vAlign w:val="center"/>
          </w:tcPr>
          <w:p w14:paraId="79B04A46">
            <w:pPr>
              <w:pStyle w:val="490"/>
              <w:kinsoku w:val="0"/>
              <w:overflowPunct w:val="0"/>
              <w:spacing w:line="440" w:lineRule="exact"/>
              <w:ind w:right="-101" w:rightChars="-48"/>
              <w:jc w:val="both"/>
              <w:rPr>
                <w:rFonts w:ascii="宋体" w:hAnsi="宋体" w:cs="Times New Roman"/>
                <w:b/>
                <w:color w:val="auto"/>
                <w:highlight w:val="none"/>
              </w:rPr>
            </w:pPr>
            <w:r>
              <w:rPr>
                <w:rFonts w:hint="eastAsia" w:ascii="宋体" w:hAnsi="宋体" w:eastAsia="宋体" w:cs="宋体"/>
                <w:color w:val="auto"/>
                <w:spacing w:val="-4"/>
                <w:sz w:val="21"/>
                <w:szCs w:val="21"/>
                <w:highlight w:val="none"/>
              </w:rPr>
              <w:t>项目经理</w:t>
            </w:r>
            <w:r>
              <w:rPr>
                <w:rFonts w:hint="eastAsia" w:ascii="宋体" w:hAnsi="宋体" w:eastAsia="宋体" w:cs="宋体"/>
                <w:color w:val="auto"/>
                <w:spacing w:val="-4"/>
                <w:sz w:val="21"/>
                <w:szCs w:val="21"/>
                <w:highlight w:val="none"/>
                <w:lang w:val="en-US"/>
              </w:rPr>
              <w:t>同时</w:t>
            </w:r>
            <w:r>
              <w:rPr>
                <w:rFonts w:hint="eastAsia" w:ascii="宋体" w:hAnsi="宋体" w:eastAsia="宋体" w:cs="宋体"/>
                <w:color w:val="auto"/>
                <w:spacing w:val="-4"/>
                <w:sz w:val="21"/>
                <w:szCs w:val="21"/>
                <w:highlight w:val="none"/>
              </w:rPr>
              <w:t>具备</w:t>
            </w:r>
            <w:r>
              <w:rPr>
                <w:rFonts w:hint="eastAsia" w:ascii="宋体" w:hAnsi="宋体" w:eastAsia="宋体" w:cs="宋体"/>
                <w:color w:val="auto"/>
                <w:spacing w:val="-4"/>
                <w:sz w:val="21"/>
                <w:szCs w:val="21"/>
                <w:highlight w:val="none"/>
                <w:lang w:val="en-US"/>
              </w:rPr>
              <w:t>水利水电</w:t>
            </w:r>
            <w:r>
              <w:rPr>
                <w:rFonts w:hint="eastAsia" w:ascii="宋体" w:hAnsi="宋体" w:eastAsia="宋体" w:cs="宋体"/>
                <w:color w:val="auto"/>
                <w:spacing w:val="-4"/>
                <w:sz w:val="21"/>
                <w:szCs w:val="21"/>
                <w:highlight w:val="none"/>
              </w:rPr>
              <w:t>专业</w:t>
            </w:r>
            <w:r>
              <w:rPr>
                <w:rFonts w:hint="eastAsia" w:ascii="宋体" w:hAnsi="宋体" w:eastAsia="宋体" w:cs="宋体"/>
                <w:color w:val="auto"/>
                <w:spacing w:val="-4"/>
                <w:sz w:val="21"/>
                <w:szCs w:val="21"/>
                <w:highlight w:val="none"/>
                <w:lang w:val="en-US"/>
              </w:rPr>
              <w:t>高</w:t>
            </w:r>
            <w:r>
              <w:rPr>
                <w:rFonts w:hint="eastAsia" w:ascii="宋体" w:hAnsi="宋体" w:eastAsia="宋体" w:cs="宋体"/>
                <w:color w:val="auto"/>
                <w:spacing w:val="-4"/>
                <w:sz w:val="21"/>
                <w:szCs w:val="21"/>
                <w:highlight w:val="none"/>
              </w:rPr>
              <w:t>级及以上职称</w:t>
            </w:r>
            <w:r>
              <w:rPr>
                <w:rFonts w:hint="eastAsia" w:ascii="宋体" w:hAnsi="宋体" w:eastAsia="宋体" w:cs="宋体"/>
                <w:color w:val="auto"/>
                <w:spacing w:val="-4"/>
                <w:sz w:val="21"/>
                <w:szCs w:val="21"/>
                <w:highlight w:val="none"/>
                <w:lang w:val="en-US"/>
              </w:rPr>
              <w:t>及本科及以上学历</w:t>
            </w:r>
            <w:r>
              <w:rPr>
                <w:rFonts w:hint="eastAsia" w:ascii="宋体" w:hAnsi="宋体" w:eastAsia="宋体" w:cs="宋体"/>
                <w:color w:val="auto"/>
                <w:spacing w:val="-4"/>
                <w:sz w:val="21"/>
                <w:szCs w:val="21"/>
                <w:highlight w:val="none"/>
              </w:rPr>
              <w:t>的得</w:t>
            </w:r>
            <w:r>
              <w:rPr>
                <w:rFonts w:hint="eastAsia" w:ascii="宋体" w:hAnsi="宋体" w:eastAsia="宋体" w:cs="宋体"/>
                <w:color w:val="auto"/>
                <w:sz w:val="21"/>
                <w:szCs w:val="21"/>
                <w:highlight w:val="none"/>
                <w:lang w:val="en-US"/>
              </w:rPr>
              <w:t>6</w:t>
            </w:r>
            <w:r>
              <w:rPr>
                <w:rFonts w:hint="eastAsia" w:ascii="宋体" w:hAnsi="宋体" w:eastAsia="宋体" w:cs="宋体"/>
                <w:color w:val="auto"/>
                <w:sz w:val="21"/>
                <w:szCs w:val="21"/>
                <w:highlight w:val="none"/>
              </w:rPr>
              <w:t>分，响应文件</w:t>
            </w:r>
            <w:r>
              <w:rPr>
                <w:rFonts w:hint="eastAsia" w:ascii="宋体" w:hAnsi="宋体" w:eastAsia="宋体" w:cs="宋体"/>
                <w:color w:val="auto"/>
                <w:spacing w:val="-1"/>
                <w:sz w:val="21"/>
                <w:szCs w:val="21"/>
                <w:highlight w:val="none"/>
              </w:rPr>
              <w:t>提供职称证、</w:t>
            </w:r>
            <w:r>
              <w:rPr>
                <w:rFonts w:hint="eastAsia" w:ascii="宋体" w:hAnsi="宋体" w:eastAsia="宋体" w:cs="宋体"/>
                <w:color w:val="auto"/>
                <w:spacing w:val="-1"/>
                <w:sz w:val="21"/>
                <w:szCs w:val="21"/>
                <w:highlight w:val="none"/>
                <w:lang w:val="en-US"/>
              </w:rPr>
              <w:t>身份证、学历证书</w:t>
            </w:r>
            <w:r>
              <w:rPr>
                <w:rFonts w:hint="eastAsia" w:ascii="宋体" w:hAnsi="宋体" w:eastAsia="宋体" w:cs="宋体"/>
                <w:color w:val="auto"/>
                <w:spacing w:val="-1"/>
                <w:sz w:val="21"/>
                <w:szCs w:val="21"/>
                <w:highlight w:val="none"/>
              </w:rPr>
              <w:t>复印件</w:t>
            </w:r>
            <w:r>
              <w:rPr>
                <w:rFonts w:hint="eastAsia" w:ascii="宋体" w:hAnsi="宋体" w:eastAsia="宋体" w:cs="宋体"/>
                <w:color w:val="auto"/>
                <w:sz w:val="21"/>
                <w:szCs w:val="21"/>
                <w:highlight w:val="none"/>
              </w:rPr>
              <w:t>（加盖供应商公章）</w:t>
            </w:r>
            <w:r>
              <w:rPr>
                <w:rFonts w:hint="eastAsia" w:ascii="宋体" w:hAnsi="宋体" w:eastAsia="宋体" w:cs="宋体"/>
                <w:color w:val="auto"/>
                <w:sz w:val="21"/>
                <w:szCs w:val="21"/>
                <w:highlight w:val="none"/>
                <w:lang w:val="en-US"/>
              </w:rPr>
              <w:t>，并提供拟投入人员均为本单位在职员工的承诺函，不提供的不得分。</w:t>
            </w:r>
          </w:p>
        </w:tc>
      </w:tr>
      <w:tr w14:paraId="537A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jc w:val="center"/>
        </w:trPr>
        <w:tc>
          <w:tcPr>
            <w:tcW w:w="780" w:type="dxa"/>
            <w:vMerge w:val="continue"/>
            <w:vAlign w:val="center"/>
          </w:tcPr>
          <w:p w14:paraId="58A64BD2">
            <w:pPr>
              <w:spacing w:line="360" w:lineRule="auto"/>
              <w:jc w:val="center"/>
              <w:rPr>
                <w:rFonts w:ascii="宋体" w:hAnsi="宋体" w:cs="Tahoma"/>
                <w:color w:val="auto"/>
                <w:kern w:val="0"/>
                <w:szCs w:val="21"/>
                <w:highlight w:val="none"/>
              </w:rPr>
            </w:pPr>
          </w:p>
        </w:tc>
        <w:tc>
          <w:tcPr>
            <w:tcW w:w="918" w:type="dxa"/>
            <w:vMerge w:val="continue"/>
            <w:vAlign w:val="center"/>
          </w:tcPr>
          <w:p w14:paraId="7EB793AC">
            <w:pPr>
              <w:adjustRightInd w:val="0"/>
              <w:spacing w:line="276" w:lineRule="auto"/>
              <w:ind w:right="-13" w:rightChars="-6"/>
              <w:jc w:val="center"/>
              <w:textAlignment w:val="baseline"/>
              <w:rPr>
                <w:rFonts w:ascii="宋体" w:hAnsi="宋体" w:cs="Courier New"/>
                <w:color w:val="auto"/>
                <w:szCs w:val="21"/>
                <w:highlight w:val="none"/>
              </w:rPr>
            </w:pPr>
          </w:p>
        </w:tc>
        <w:tc>
          <w:tcPr>
            <w:tcW w:w="1107" w:type="dxa"/>
            <w:vAlign w:val="center"/>
          </w:tcPr>
          <w:p w14:paraId="63A92C43">
            <w:pPr>
              <w:spacing w:line="380" w:lineRule="exact"/>
              <w:jc w:val="left"/>
              <w:rPr>
                <w:rFonts w:ascii="宋体" w:hAnsi="宋体" w:cs="Courier New"/>
                <w:color w:val="auto"/>
                <w:szCs w:val="21"/>
                <w:highlight w:val="none"/>
              </w:rPr>
            </w:pPr>
            <w:r>
              <w:rPr>
                <w:rFonts w:hint="eastAsia" w:ascii="宋体" w:hAnsi="宋体" w:cs="宋体"/>
                <w:b/>
                <w:bCs/>
                <w:color w:val="auto"/>
                <w:szCs w:val="21"/>
                <w:highlight w:val="none"/>
              </w:rPr>
              <w:t>拟投入本工程管理人员情况（</w:t>
            </w:r>
            <w:r>
              <w:rPr>
                <w:rFonts w:ascii="宋体" w:hAnsi="宋体" w:cs="宋体"/>
                <w:b/>
                <w:bCs/>
                <w:color w:val="auto"/>
                <w:szCs w:val="21"/>
                <w:highlight w:val="none"/>
              </w:rPr>
              <w:t>10</w:t>
            </w:r>
            <w:r>
              <w:rPr>
                <w:rFonts w:hint="eastAsia" w:ascii="宋体" w:hAnsi="宋体" w:cs="宋体"/>
                <w:b/>
                <w:bCs/>
                <w:color w:val="auto"/>
                <w:szCs w:val="21"/>
                <w:highlight w:val="none"/>
              </w:rPr>
              <w:t>分）</w:t>
            </w:r>
          </w:p>
        </w:tc>
        <w:tc>
          <w:tcPr>
            <w:tcW w:w="6071" w:type="dxa"/>
            <w:vAlign w:val="center"/>
          </w:tcPr>
          <w:p w14:paraId="6C13ED10">
            <w:pPr>
              <w:spacing w:line="380" w:lineRule="exact"/>
              <w:jc w:val="left"/>
              <w:rPr>
                <w:rFonts w:ascii="宋体" w:hAnsi="宋体"/>
                <w:b/>
                <w:color w:val="auto"/>
                <w:highlight w:val="none"/>
              </w:rPr>
            </w:pPr>
            <w:r>
              <w:rPr>
                <w:rFonts w:hint="eastAsia" w:ascii="宋体" w:hAnsi="宋体" w:cs="宋体"/>
                <w:color w:val="auto"/>
                <w:szCs w:val="21"/>
                <w:highlight w:val="none"/>
              </w:rPr>
              <w:t>技术负责人具备水利水电专业高级及以上职称的得4分，施工员、质检员、安全员每类人员具备中级及以上职称的，每一人员得2分，本项最高分</w:t>
            </w:r>
            <w:r>
              <w:rPr>
                <w:rFonts w:ascii="宋体" w:hAnsi="宋体" w:cs="宋体"/>
                <w:color w:val="auto"/>
                <w:szCs w:val="21"/>
                <w:highlight w:val="none"/>
              </w:rPr>
              <w:t>10</w:t>
            </w:r>
            <w:r>
              <w:rPr>
                <w:rFonts w:hint="eastAsia" w:ascii="宋体" w:hAnsi="宋体" w:cs="宋体"/>
                <w:color w:val="auto"/>
                <w:szCs w:val="21"/>
                <w:highlight w:val="none"/>
              </w:rPr>
              <w:t>分，响应文件提供职称证、身份证复印件（加盖供应商公章），并提供拟投入人员均为本单位在职员工的承诺函，不提供的不得分。</w:t>
            </w:r>
          </w:p>
        </w:tc>
      </w:tr>
      <w:tr w14:paraId="3CF5D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7" w:hRule="atLeast"/>
          <w:jc w:val="center"/>
        </w:trPr>
        <w:tc>
          <w:tcPr>
            <w:tcW w:w="780" w:type="dxa"/>
            <w:vAlign w:val="center"/>
          </w:tcPr>
          <w:p w14:paraId="1D92AC56">
            <w:pPr>
              <w:spacing w:line="360" w:lineRule="auto"/>
              <w:jc w:val="center"/>
              <w:rPr>
                <w:rFonts w:ascii="宋体" w:hAnsi="宋体" w:cs="Tahoma"/>
                <w:color w:val="auto"/>
                <w:kern w:val="0"/>
                <w:szCs w:val="21"/>
                <w:highlight w:val="none"/>
              </w:rPr>
            </w:pPr>
            <w:r>
              <w:rPr>
                <w:rFonts w:ascii="宋体" w:hAnsi="宋体" w:cs="Tahoma"/>
                <w:color w:val="auto"/>
                <w:kern w:val="0"/>
                <w:szCs w:val="21"/>
                <w:highlight w:val="none"/>
              </w:rPr>
              <w:t>3.</w:t>
            </w:r>
            <w:r>
              <w:rPr>
                <w:rFonts w:hint="eastAsia" w:ascii="宋体" w:hAnsi="宋体" w:cs="Tahoma"/>
                <w:color w:val="auto"/>
                <w:kern w:val="0"/>
                <w:szCs w:val="21"/>
                <w:highlight w:val="none"/>
              </w:rPr>
              <w:t>2</w:t>
            </w:r>
          </w:p>
        </w:tc>
        <w:tc>
          <w:tcPr>
            <w:tcW w:w="2025" w:type="dxa"/>
            <w:gridSpan w:val="2"/>
            <w:vAlign w:val="center"/>
          </w:tcPr>
          <w:p w14:paraId="1EEA2F1E">
            <w:pPr>
              <w:spacing w:line="276" w:lineRule="auto"/>
              <w:jc w:val="center"/>
              <w:rPr>
                <w:rFonts w:ascii="宋体" w:hAnsi="宋体" w:cs="Tahoma"/>
                <w:color w:val="auto"/>
                <w:kern w:val="0"/>
                <w:szCs w:val="21"/>
                <w:highlight w:val="none"/>
              </w:rPr>
            </w:pPr>
            <w:r>
              <w:rPr>
                <w:rFonts w:hint="eastAsia" w:ascii="宋体" w:hAnsi="宋体" w:cs="Courier New"/>
                <w:b/>
                <w:color w:val="auto"/>
                <w:szCs w:val="21"/>
                <w:highlight w:val="none"/>
              </w:rPr>
              <w:t>项目业绩分（</w:t>
            </w:r>
            <w:r>
              <w:rPr>
                <w:rFonts w:ascii="宋体" w:hAnsi="宋体" w:cs="Courier New"/>
                <w:b/>
                <w:color w:val="auto"/>
                <w:szCs w:val="21"/>
                <w:highlight w:val="none"/>
              </w:rPr>
              <w:t>4</w:t>
            </w:r>
            <w:r>
              <w:rPr>
                <w:rFonts w:hint="eastAsia" w:ascii="宋体" w:hAnsi="宋体" w:cs="Courier New"/>
                <w:b/>
                <w:color w:val="auto"/>
                <w:szCs w:val="21"/>
                <w:highlight w:val="none"/>
              </w:rPr>
              <w:t>分）</w:t>
            </w:r>
          </w:p>
        </w:tc>
        <w:tc>
          <w:tcPr>
            <w:tcW w:w="6071" w:type="dxa"/>
            <w:vAlign w:val="center"/>
          </w:tcPr>
          <w:p w14:paraId="191E5D81">
            <w:pPr>
              <w:spacing w:line="400" w:lineRule="exact"/>
              <w:rPr>
                <w:rFonts w:ascii="宋体" w:hAnsi="宋体" w:cs="Courier New"/>
                <w:bCs/>
                <w:color w:val="auto"/>
                <w:szCs w:val="21"/>
                <w:highlight w:val="none"/>
              </w:rPr>
            </w:pPr>
            <w:r>
              <w:rPr>
                <w:rFonts w:hint="eastAsia" w:ascii="宋体" w:hAnsi="宋体" w:cs="新宋体"/>
                <w:color w:val="auto"/>
                <w:szCs w:val="21"/>
                <w:highlight w:val="none"/>
              </w:rPr>
              <w:t>供应商2022年1月1日至今承接过类似施工项目</w:t>
            </w:r>
            <w:r>
              <w:rPr>
                <w:rFonts w:hint="eastAsia" w:ascii="宋体" w:hAnsi="宋体"/>
                <w:color w:val="auto"/>
                <w:szCs w:val="21"/>
                <w:highlight w:val="none"/>
              </w:rPr>
              <w:t>业绩</w:t>
            </w:r>
            <w:r>
              <w:rPr>
                <w:rFonts w:hint="eastAsia" w:ascii="宋体" w:hAnsi="宋体" w:cs="新宋体"/>
                <w:color w:val="auto"/>
                <w:szCs w:val="21"/>
                <w:highlight w:val="none"/>
              </w:rPr>
              <w:t>的，每个得1分，满分</w:t>
            </w:r>
            <w:r>
              <w:rPr>
                <w:rFonts w:ascii="宋体" w:hAnsi="宋体" w:cs="新宋体"/>
                <w:color w:val="auto"/>
                <w:szCs w:val="21"/>
                <w:highlight w:val="none"/>
              </w:rPr>
              <w:t>4</w:t>
            </w:r>
            <w:r>
              <w:rPr>
                <w:rFonts w:hint="eastAsia" w:ascii="宋体" w:hAnsi="宋体" w:cs="新宋体"/>
                <w:color w:val="auto"/>
                <w:szCs w:val="21"/>
                <w:highlight w:val="none"/>
              </w:rPr>
              <w:t>分（</w:t>
            </w:r>
            <w:r>
              <w:rPr>
                <w:rFonts w:hint="eastAsia" w:ascii="宋体" w:hAnsi="宋体" w:cs="新宋体"/>
                <w:b/>
                <w:bCs/>
                <w:color w:val="auto"/>
                <w:szCs w:val="21"/>
                <w:highlight w:val="none"/>
              </w:rPr>
              <w:t>响应文件须提供合同或者中标通知书复印件、竣工验收证明，并加盖供应商电子公章，不提供者不得分</w:t>
            </w:r>
            <w:r>
              <w:rPr>
                <w:rFonts w:hint="eastAsia" w:ascii="宋体" w:hAnsi="宋体" w:cs="新宋体"/>
                <w:color w:val="auto"/>
                <w:szCs w:val="21"/>
                <w:highlight w:val="none"/>
              </w:rPr>
              <w:t>）</w:t>
            </w:r>
          </w:p>
        </w:tc>
      </w:tr>
      <w:tr w14:paraId="4E14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876" w:type="dxa"/>
            <w:gridSpan w:val="4"/>
            <w:vAlign w:val="center"/>
          </w:tcPr>
          <w:p w14:paraId="3F02160B">
            <w:pPr>
              <w:pStyle w:val="28"/>
              <w:spacing w:line="360" w:lineRule="auto"/>
              <w:ind w:firstLine="420" w:firstLineChars="200"/>
              <w:rPr>
                <w:rFonts w:hAnsi="宋体" w:cs="Courier New"/>
                <w:bCs/>
                <w:color w:val="auto"/>
                <w:kern w:val="2"/>
                <w:sz w:val="21"/>
                <w:highlight w:val="none"/>
              </w:rPr>
            </w:pPr>
            <w:r>
              <w:rPr>
                <w:rFonts w:hint="eastAsia" w:hAnsi="宋体" w:cs="Courier New"/>
                <w:bCs/>
                <w:color w:val="auto"/>
                <w:kern w:val="2"/>
                <w:sz w:val="21"/>
                <w:highlight w:val="none"/>
              </w:rPr>
              <w:t>总得分＝1＋2＋3</w:t>
            </w:r>
          </w:p>
        </w:tc>
      </w:tr>
    </w:tbl>
    <w:p w14:paraId="024376E5">
      <w:pPr>
        <w:pStyle w:val="28"/>
        <w:spacing w:line="360" w:lineRule="auto"/>
        <w:ind w:firstLine="420" w:firstLineChars="200"/>
        <w:rPr>
          <w:rFonts w:hAnsi="宋体" w:cs="宋体"/>
          <w:bCs/>
          <w:color w:val="auto"/>
          <w:sz w:val="21"/>
          <w:highlight w:val="none"/>
        </w:rPr>
      </w:pPr>
    </w:p>
    <w:p w14:paraId="7134D6C0">
      <w:pPr>
        <w:pStyle w:val="28"/>
        <w:spacing w:line="360" w:lineRule="auto"/>
        <w:ind w:firstLine="420" w:firstLineChars="200"/>
        <w:rPr>
          <w:rFonts w:hAnsi="宋体" w:cs="宋体"/>
          <w:bCs/>
          <w:color w:val="auto"/>
          <w:sz w:val="21"/>
          <w:highlight w:val="none"/>
        </w:rPr>
      </w:pPr>
      <w:r>
        <w:rPr>
          <w:rFonts w:hAnsi="宋体" w:cs="宋体"/>
          <w:bCs/>
          <w:color w:val="auto"/>
          <w:sz w:val="21"/>
          <w:highlight w:val="none"/>
        </w:rPr>
        <w:t>7</w:t>
      </w:r>
      <w:r>
        <w:rPr>
          <w:rFonts w:hint="eastAsia" w:hAnsi="宋体" w:cs="宋体"/>
          <w:bCs/>
          <w:color w:val="auto"/>
          <w:sz w:val="21"/>
          <w:highlight w:val="none"/>
        </w:rPr>
        <w:t>.2商务技术评审因素为客观评分项的，应在评分项目或评分标准中予以标注为“客观分”。对供应商的客观评分项目，各评审专家评分应当一致。</w:t>
      </w:r>
    </w:p>
    <w:p w14:paraId="54D91A20">
      <w:pPr>
        <w:spacing w:line="360" w:lineRule="auto"/>
        <w:ind w:firstLine="420" w:firstLineChars="200"/>
        <w:rPr>
          <w:rFonts w:ascii="宋体" w:hAnsi="宋体" w:cs="宋体"/>
          <w:color w:val="auto"/>
          <w:highlight w:val="none"/>
        </w:rPr>
        <w:sectPr>
          <w:footerReference r:id="rId8" w:type="first"/>
          <w:footerReference r:id="rId7" w:type="default"/>
          <w:pgSz w:w="11910" w:h="16840"/>
          <w:pgMar w:top="1340" w:right="1500" w:bottom="1220" w:left="1680" w:header="720" w:footer="720" w:gutter="0"/>
          <w:pgNumType w:fmt="decimal"/>
          <w:cols w:space="720" w:num="1"/>
        </w:sectPr>
      </w:pPr>
      <w:r>
        <w:rPr>
          <w:rFonts w:hint="eastAsia" w:ascii="宋体" w:hAnsi="宋体" w:cs="宋体"/>
          <w:color w:val="auto"/>
          <w:highlight w:val="none"/>
        </w:rPr>
        <w:t>7.3</w:t>
      </w:r>
      <w:r>
        <w:rPr>
          <w:rFonts w:hint="eastAsia" w:ascii="宋体" w:hAnsi="宋体" w:cs="宋体"/>
          <w:color w:val="auto"/>
          <w:szCs w:val="21"/>
          <w:highlight w:val="none"/>
        </w:rPr>
        <w:t>由磋商小组根据综合评分情况，按照评审得分由高到低顺序推荐3名以上成交候选供应商,并在线编写电子评审报告。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27CC1B83">
      <w:pPr>
        <w:spacing w:line="400" w:lineRule="exact"/>
        <w:ind w:firstLine="420" w:firstLineChars="200"/>
        <w:rPr>
          <w:rFonts w:ascii="宋体" w:hAnsi="宋体" w:cs="宋体"/>
          <w:color w:val="auto"/>
          <w:highlight w:val="none"/>
        </w:rPr>
      </w:pPr>
    </w:p>
    <w:p w14:paraId="5C483AEB">
      <w:pPr>
        <w:pStyle w:val="20"/>
        <w:rPr>
          <w:rFonts w:ascii="宋体" w:hAnsi="宋体" w:cs="宋体"/>
          <w:color w:val="auto"/>
          <w:highlight w:val="none"/>
        </w:rPr>
      </w:pPr>
    </w:p>
    <w:p w14:paraId="5A092A67">
      <w:pPr>
        <w:rPr>
          <w:rFonts w:ascii="宋体" w:hAnsi="宋体" w:cs="宋体"/>
          <w:color w:val="auto"/>
          <w:highlight w:val="none"/>
        </w:rPr>
      </w:pPr>
    </w:p>
    <w:p w14:paraId="2CAC93E0">
      <w:pPr>
        <w:pStyle w:val="20"/>
        <w:rPr>
          <w:rFonts w:ascii="宋体" w:hAnsi="宋体" w:cs="宋体"/>
          <w:color w:val="auto"/>
          <w:highlight w:val="none"/>
        </w:rPr>
      </w:pPr>
    </w:p>
    <w:p w14:paraId="73B1C5C6">
      <w:pPr>
        <w:rPr>
          <w:rFonts w:ascii="宋体" w:hAnsi="宋体" w:cs="宋体"/>
          <w:color w:val="auto"/>
          <w:highlight w:val="none"/>
        </w:rPr>
      </w:pPr>
    </w:p>
    <w:p w14:paraId="05FD2F20">
      <w:pPr>
        <w:pStyle w:val="20"/>
        <w:rPr>
          <w:rFonts w:ascii="宋体" w:hAnsi="宋体" w:cs="宋体"/>
          <w:color w:val="auto"/>
          <w:highlight w:val="none"/>
        </w:rPr>
      </w:pPr>
    </w:p>
    <w:p w14:paraId="5D058B35">
      <w:pPr>
        <w:rPr>
          <w:rFonts w:ascii="宋体" w:hAnsi="宋体" w:cs="宋体"/>
          <w:color w:val="auto"/>
          <w:highlight w:val="none"/>
        </w:rPr>
      </w:pPr>
    </w:p>
    <w:p w14:paraId="38BA4D04">
      <w:pPr>
        <w:pStyle w:val="20"/>
        <w:rPr>
          <w:color w:val="auto"/>
          <w:highlight w:val="none"/>
        </w:rPr>
      </w:pPr>
    </w:p>
    <w:p w14:paraId="5E296758">
      <w:pPr>
        <w:pStyle w:val="2"/>
        <w:jc w:val="center"/>
        <w:rPr>
          <w:color w:val="auto"/>
          <w:highlight w:val="none"/>
        </w:rPr>
      </w:pPr>
      <w:bookmarkStart w:id="82" w:name="_Toc25776"/>
      <w:bookmarkStart w:id="83" w:name="_第五章_工程量清单及图纸"/>
      <w:r>
        <w:rPr>
          <w:rFonts w:hint="eastAsia"/>
          <w:color w:val="auto"/>
          <w:highlight w:val="none"/>
        </w:rPr>
        <w:t>第五章  工程量清单及图纸</w:t>
      </w:r>
      <w:bookmarkEnd w:id="82"/>
    </w:p>
    <w:p w14:paraId="10C2A034">
      <w:pPr>
        <w:rPr>
          <w:rFonts w:ascii="宋体" w:hAnsi="宋体" w:cs="宋体"/>
          <w:color w:val="auto"/>
          <w:highlight w:val="none"/>
        </w:rPr>
      </w:pPr>
      <w:r>
        <w:rPr>
          <w:rFonts w:hint="eastAsia"/>
          <w:color w:val="auto"/>
          <w:highlight w:val="none"/>
        </w:rPr>
        <w:t xml:space="preserve">                                      （另册）</w:t>
      </w:r>
      <w:bookmarkEnd w:id="83"/>
    </w:p>
    <w:p w14:paraId="15889D8C">
      <w:pPr>
        <w:pStyle w:val="20"/>
        <w:rPr>
          <w:rFonts w:ascii="宋体" w:hAnsi="宋体" w:cs="宋体"/>
          <w:color w:val="auto"/>
          <w:highlight w:val="none"/>
        </w:rPr>
      </w:pPr>
    </w:p>
    <w:p w14:paraId="3510AF3E">
      <w:pPr>
        <w:rPr>
          <w:rFonts w:ascii="宋体" w:hAnsi="宋体" w:cs="宋体"/>
          <w:color w:val="auto"/>
          <w:highlight w:val="none"/>
        </w:rPr>
      </w:pPr>
    </w:p>
    <w:p w14:paraId="5C1FBDE1">
      <w:pPr>
        <w:pStyle w:val="20"/>
        <w:rPr>
          <w:rFonts w:ascii="宋体" w:hAnsi="宋体" w:cs="宋体"/>
          <w:color w:val="auto"/>
          <w:highlight w:val="none"/>
        </w:rPr>
      </w:pPr>
    </w:p>
    <w:p w14:paraId="48C45135">
      <w:pPr>
        <w:rPr>
          <w:rFonts w:ascii="宋体" w:hAnsi="宋体" w:cs="宋体"/>
          <w:color w:val="auto"/>
          <w:highlight w:val="none"/>
        </w:rPr>
      </w:pPr>
    </w:p>
    <w:p w14:paraId="2E6C2A62">
      <w:pPr>
        <w:pStyle w:val="20"/>
        <w:rPr>
          <w:rFonts w:ascii="宋体" w:hAnsi="宋体" w:cs="宋体"/>
          <w:color w:val="auto"/>
          <w:highlight w:val="none"/>
        </w:rPr>
      </w:pPr>
    </w:p>
    <w:p w14:paraId="06A2BA10">
      <w:pPr>
        <w:rPr>
          <w:rFonts w:ascii="宋体" w:hAnsi="宋体" w:cs="宋体"/>
          <w:color w:val="auto"/>
          <w:highlight w:val="none"/>
        </w:rPr>
      </w:pPr>
    </w:p>
    <w:p w14:paraId="2BC89DBA">
      <w:pPr>
        <w:pStyle w:val="20"/>
        <w:rPr>
          <w:rFonts w:ascii="宋体" w:hAnsi="宋体" w:cs="宋体"/>
          <w:color w:val="auto"/>
          <w:highlight w:val="none"/>
        </w:rPr>
      </w:pPr>
    </w:p>
    <w:p w14:paraId="4A57BEF6">
      <w:pPr>
        <w:rPr>
          <w:rFonts w:ascii="宋体" w:hAnsi="宋体" w:cs="宋体"/>
          <w:color w:val="auto"/>
          <w:highlight w:val="none"/>
        </w:rPr>
      </w:pPr>
    </w:p>
    <w:p w14:paraId="2345CDC4">
      <w:pPr>
        <w:pStyle w:val="20"/>
        <w:rPr>
          <w:rFonts w:ascii="宋体" w:hAnsi="宋体" w:cs="宋体"/>
          <w:color w:val="auto"/>
          <w:highlight w:val="none"/>
        </w:rPr>
      </w:pPr>
    </w:p>
    <w:p w14:paraId="47F3AF58">
      <w:pPr>
        <w:rPr>
          <w:rFonts w:ascii="宋体" w:hAnsi="宋体" w:cs="宋体"/>
          <w:color w:val="auto"/>
          <w:highlight w:val="none"/>
        </w:rPr>
      </w:pPr>
    </w:p>
    <w:p w14:paraId="6A9AA652">
      <w:pPr>
        <w:pStyle w:val="20"/>
        <w:rPr>
          <w:rFonts w:ascii="宋体" w:hAnsi="宋体" w:cs="宋体"/>
          <w:color w:val="auto"/>
          <w:highlight w:val="none"/>
        </w:rPr>
      </w:pPr>
    </w:p>
    <w:p w14:paraId="49EB9272">
      <w:pPr>
        <w:rPr>
          <w:rFonts w:ascii="宋体" w:hAnsi="宋体" w:cs="宋体"/>
          <w:color w:val="auto"/>
          <w:highlight w:val="none"/>
        </w:rPr>
      </w:pPr>
    </w:p>
    <w:p w14:paraId="6D5E0683">
      <w:pPr>
        <w:pStyle w:val="20"/>
        <w:rPr>
          <w:rFonts w:ascii="宋体" w:hAnsi="宋体" w:cs="宋体"/>
          <w:color w:val="auto"/>
          <w:highlight w:val="none"/>
        </w:rPr>
      </w:pPr>
    </w:p>
    <w:p w14:paraId="4B2CCD65">
      <w:pPr>
        <w:rPr>
          <w:rFonts w:ascii="宋体" w:hAnsi="宋体" w:cs="宋体"/>
          <w:color w:val="auto"/>
          <w:highlight w:val="none"/>
        </w:rPr>
      </w:pPr>
    </w:p>
    <w:p w14:paraId="10D074A2">
      <w:pPr>
        <w:pStyle w:val="20"/>
        <w:rPr>
          <w:rFonts w:ascii="宋体" w:hAnsi="宋体" w:cs="宋体"/>
          <w:color w:val="auto"/>
          <w:highlight w:val="none"/>
        </w:rPr>
      </w:pPr>
    </w:p>
    <w:p w14:paraId="281735A2">
      <w:pPr>
        <w:rPr>
          <w:rFonts w:ascii="宋体" w:hAnsi="宋体" w:cs="宋体"/>
          <w:color w:val="auto"/>
          <w:highlight w:val="none"/>
        </w:rPr>
      </w:pPr>
    </w:p>
    <w:p w14:paraId="1D7145F8">
      <w:pPr>
        <w:pStyle w:val="20"/>
        <w:rPr>
          <w:color w:val="auto"/>
          <w:highlight w:val="none"/>
        </w:rPr>
      </w:pPr>
    </w:p>
    <w:p w14:paraId="1D9604D3">
      <w:pPr>
        <w:rPr>
          <w:rFonts w:ascii="宋体" w:hAnsi="宋体" w:cs="宋体"/>
          <w:color w:val="auto"/>
          <w:highlight w:val="none"/>
        </w:rPr>
      </w:pPr>
    </w:p>
    <w:p w14:paraId="6985E529">
      <w:pPr>
        <w:rPr>
          <w:rFonts w:hint="eastAsia" w:ascii="宋体" w:hAnsi="宋体" w:cs="宋体"/>
          <w:color w:val="auto"/>
          <w:highlight w:val="none"/>
        </w:rPr>
      </w:pPr>
      <w:bookmarkStart w:id="84" w:name="_Toc6595"/>
      <w:bookmarkStart w:id="85" w:name="_Toc120174204"/>
      <w:bookmarkStart w:id="86" w:name="_Toc24130"/>
      <w:bookmarkStart w:id="87" w:name="_Toc24573"/>
      <w:bookmarkStart w:id="88" w:name="_第六章___响应文件格式"/>
      <w:r>
        <w:rPr>
          <w:rFonts w:hint="eastAsia" w:ascii="宋体" w:hAnsi="宋体" w:cs="宋体"/>
          <w:color w:val="auto"/>
          <w:highlight w:val="none"/>
        </w:rPr>
        <w:br w:type="page"/>
      </w:r>
    </w:p>
    <w:p w14:paraId="54CF2004">
      <w:pPr>
        <w:bidi w:val="0"/>
        <w:rPr>
          <w:rFonts w:hint="eastAsia"/>
          <w:color w:val="auto"/>
          <w:highlight w:val="none"/>
        </w:rPr>
      </w:pPr>
    </w:p>
    <w:p w14:paraId="4D519F80">
      <w:pPr>
        <w:bidi w:val="0"/>
        <w:rPr>
          <w:rFonts w:hint="eastAsia"/>
          <w:color w:val="auto"/>
          <w:highlight w:val="none"/>
        </w:rPr>
      </w:pPr>
    </w:p>
    <w:p w14:paraId="54A79CC9">
      <w:pPr>
        <w:bidi w:val="0"/>
        <w:rPr>
          <w:rFonts w:hint="eastAsia"/>
          <w:color w:val="auto"/>
          <w:highlight w:val="none"/>
        </w:rPr>
      </w:pPr>
    </w:p>
    <w:p w14:paraId="3C9284FA">
      <w:pPr>
        <w:bidi w:val="0"/>
        <w:rPr>
          <w:rFonts w:hint="eastAsia"/>
          <w:color w:val="auto"/>
          <w:highlight w:val="none"/>
        </w:rPr>
      </w:pPr>
    </w:p>
    <w:p w14:paraId="58DFD1B3">
      <w:pPr>
        <w:bidi w:val="0"/>
        <w:rPr>
          <w:rFonts w:hint="eastAsia"/>
          <w:color w:val="auto"/>
          <w:highlight w:val="none"/>
        </w:rPr>
      </w:pPr>
    </w:p>
    <w:p w14:paraId="47105478">
      <w:pPr>
        <w:bidi w:val="0"/>
        <w:rPr>
          <w:rFonts w:hint="eastAsia"/>
          <w:color w:val="auto"/>
          <w:highlight w:val="none"/>
        </w:rPr>
      </w:pPr>
    </w:p>
    <w:p w14:paraId="1F43E24E">
      <w:pPr>
        <w:pStyle w:val="2"/>
        <w:jc w:val="center"/>
        <w:rPr>
          <w:rFonts w:ascii="宋体" w:hAnsi="宋体" w:cs="宋体"/>
          <w:color w:val="auto"/>
          <w:highlight w:val="none"/>
        </w:rPr>
        <w:sectPr>
          <w:pgSz w:w="11910" w:h="16840"/>
          <w:pgMar w:top="1340" w:right="1500" w:bottom="1220" w:left="1680" w:header="720" w:footer="720" w:gutter="0"/>
          <w:pgNumType w:fmt="decimal"/>
          <w:cols w:space="720" w:num="1"/>
        </w:sectPr>
      </w:pPr>
      <w:r>
        <w:rPr>
          <w:rFonts w:hint="eastAsia" w:ascii="宋体" w:hAnsi="宋体" w:cs="宋体"/>
          <w:color w:val="auto"/>
          <w:highlight w:val="none"/>
        </w:rPr>
        <w:t>第六章   响应文件格式</w:t>
      </w:r>
      <w:bookmarkEnd w:id="84"/>
      <w:bookmarkEnd w:id="85"/>
      <w:bookmarkEnd w:id="86"/>
      <w:bookmarkEnd w:id="87"/>
    </w:p>
    <w:bookmarkEnd w:id="88"/>
    <w:p w14:paraId="0A4D810A">
      <w:pPr>
        <w:pStyle w:val="3"/>
        <w:jc w:val="center"/>
        <w:rPr>
          <w:color w:val="auto"/>
          <w:highlight w:val="none"/>
        </w:rPr>
      </w:pPr>
      <w:bookmarkStart w:id="89" w:name="_Toc80205938"/>
      <w:bookmarkStart w:id="90" w:name="_Toc80886942"/>
      <w:bookmarkStart w:id="91" w:name="_Toc97909567"/>
      <w:r>
        <w:rPr>
          <w:rFonts w:hint="eastAsia"/>
          <w:color w:val="auto"/>
          <w:highlight w:val="none"/>
        </w:rPr>
        <w:t>第一节 封面格式</w:t>
      </w:r>
      <w:bookmarkEnd w:id="89"/>
      <w:bookmarkEnd w:id="90"/>
      <w:bookmarkEnd w:id="91"/>
    </w:p>
    <w:p w14:paraId="5A5C00AC">
      <w:pPr>
        <w:snapToGrid w:val="0"/>
        <w:spacing w:before="120" w:beforeLines="50" w:after="50"/>
        <w:jc w:val="center"/>
        <w:rPr>
          <w:rFonts w:ascii="宋体" w:hAnsi="宋体" w:cs="宋体"/>
          <w:bCs/>
          <w:color w:val="auto"/>
          <w:sz w:val="24"/>
          <w:szCs w:val="20"/>
          <w:highlight w:val="none"/>
        </w:rPr>
      </w:pPr>
    </w:p>
    <w:p w14:paraId="1692AE7D">
      <w:pPr>
        <w:snapToGrid w:val="0"/>
        <w:spacing w:before="120" w:beforeLines="50" w:after="50"/>
        <w:jc w:val="center"/>
        <w:rPr>
          <w:rFonts w:ascii="宋体" w:hAnsi="宋体" w:cs="宋体"/>
          <w:bCs/>
          <w:color w:val="auto"/>
          <w:sz w:val="44"/>
          <w:szCs w:val="44"/>
          <w:highlight w:val="none"/>
        </w:rPr>
      </w:pPr>
      <w:r>
        <w:rPr>
          <w:rFonts w:hint="eastAsia" w:ascii="宋体" w:hAnsi="宋体"/>
          <w:bCs/>
          <w:color w:val="auto"/>
          <w:highlight w:val="none"/>
        </w:rPr>
        <w:t xml:space="preserve">                                                             全流程电子文件</w:t>
      </w:r>
    </w:p>
    <w:p w14:paraId="143CA962">
      <w:pPr>
        <w:snapToGrid w:val="0"/>
        <w:spacing w:before="120" w:beforeLines="50" w:after="50"/>
        <w:jc w:val="center"/>
        <w:rPr>
          <w:rFonts w:ascii="宋体" w:hAnsi="宋体" w:cs="宋体"/>
          <w:bCs/>
          <w:color w:val="auto"/>
          <w:sz w:val="44"/>
          <w:szCs w:val="44"/>
          <w:highlight w:val="none"/>
        </w:rPr>
      </w:pPr>
    </w:p>
    <w:p w14:paraId="763AE260">
      <w:pPr>
        <w:snapToGrid w:val="0"/>
        <w:spacing w:before="120" w:beforeLines="50" w:after="50"/>
        <w:jc w:val="center"/>
        <w:rPr>
          <w:rFonts w:ascii="宋体" w:hAnsi="宋体" w:cs="宋体"/>
          <w:bCs/>
          <w:color w:val="auto"/>
          <w:sz w:val="44"/>
          <w:szCs w:val="44"/>
          <w:highlight w:val="none"/>
        </w:rPr>
      </w:pPr>
    </w:p>
    <w:p w14:paraId="4C0B6B8B">
      <w:pPr>
        <w:snapToGrid w:val="0"/>
        <w:spacing w:before="120"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响  应  文  件</w:t>
      </w:r>
    </w:p>
    <w:p w14:paraId="6D299846">
      <w:pPr>
        <w:snapToGrid w:val="0"/>
        <w:spacing w:before="120" w:beforeLines="50" w:after="50"/>
        <w:rPr>
          <w:rFonts w:ascii="宋体" w:hAnsi="宋体" w:cs="宋体"/>
          <w:bCs/>
          <w:color w:val="auto"/>
          <w:sz w:val="24"/>
          <w:szCs w:val="20"/>
          <w:highlight w:val="none"/>
        </w:rPr>
      </w:pPr>
    </w:p>
    <w:p w14:paraId="6FC39B08">
      <w:pPr>
        <w:snapToGrid w:val="0"/>
        <w:spacing w:before="120" w:beforeLines="50" w:after="50"/>
        <w:rPr>
          <w:rFonts w:ascii="宋体" w:hAnsi="宋体" w:cs="宋体"/>
          <w:bCs/>
          <w:color w:val="auto"/>
          <w:sz w:val="24"/>
          <w:szCs w:val="20"/>
          <w:highlight w:val="none"/>
        </w:rPr>
      </w:pPr>
    </w:p>
    <w:p w14:paraId="3E1F676F">
      <w:pPr>
        <w:snapToGrid w:val="0"/>
        <w:spacing w:before="120" w:beforeLines="50" w:after="50"/>
        <w:rPr>
          <w:rFonts w:ascii="宋体" w:hAnsi="宋体" w:cs="宋体"/>
          <w:bCs/>
          <w:color w:val="auto"/>
          <w:sz w:val="32"/>
          <w:szCs w:val="32"/>
          <w:highlight w:val="none"/>
        </w:rPr>
      </w:pPr>
    </w:p>
    <w:p w14:paraId="55CFEBF5">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项目名称：</w:t>
      </w:r>
    </w:p>
    <w:p w14:paraId="249BFFA8">
      <w:pPr>
        <w:snapToGrid w:val="0"/>
        <w:spacing w:before="120" w:beforeLines="50" w:after="50"/>
        <w:ind w:firstLine="480" w:firstLineChars="150"/>
        <w:rPr>
          <w:rFonts w:ascii="宋体" w:hAnsi="宋体" w:cs="宋体"/>
          <w:bCs/>
          <w:color w:val="auto"/>
          <w:sz w:val="32"/>
          <w:szCs w:val="32"/>
          <w:highlight w:val="none"/>
        </w:rPr>
      </w:pPr>
    </w:p>
    <w:p w14:paraId="0FAB87DB">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项目编号：</w:t>
      </w:r>
    </w:p>
    <w:p w14:paraId="42879C66">
      <w:pPr>
        <w:snapToGrid w:val="0"/>
        <w:spacing w:before="120" w:beforeLines="50" w:after="50"/>
        <w:ind w:firstLine="480" w:firstLineChars="150"/>
        <w:rPr>
          <w:rFonts w:ascii="宋体" w:hAnsi="宋体" w:cs="宋体"/>
          <w:bCs/>
          <w:color w:val="auto"/>
          <w:sz w:val="32"/>
          <w:szCs w:val="32"/>
          <w:highlight w:val="none"/>
        </w:rPr>
      </w:pPr>
    </w:p>
    <w:p w14:paraId="6787C59A">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所竞分标（如有则填写，无分标时填写“无”或者留空）：</w:t>
      </w:r>
    </w:p>
    <w:p w14:paraId="5EB488E6">
      <w:pPr>
        <w:snapToGrid w:val="0"/>
        <w:spacing w:before="120" w:beforeLines="50" w:after="50"/>
        <w:rPr>
          <w:rFonts w:ascii="宋体" w:hAnsi="宋体" w:cs="宋体"/>
          <w:bCs/>
          <w:color w:val="auto"/>
          <w:sz w:val="32"/>
          <w:szCs w:val="32"/>
          <w:highlight w:val="none"/>
        </w:rPr>
      </w:pPr>
    </w:p>
    <w:p w14:paraId="4EF4C53B">
      <w:pPr>
        <w:snapToGrid w:val="0"/>
        <w:spacing w:before="120"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供应商名称：</w:t>
      </w:r>
    </w:p>
    <w:p w14:paraId="1F3F54EF">
      <w:pPr>
        <w:snapToGrid w:val="0"/>
        <w:spacing w:before="120" w:beforeLines="50" w:after="50"/>
        <w:rPr>
          <w:rFonts w:ascii="宋体" w:hAnsi="宋体" w:cs="宋体"/>
          <w:bCs/>
          <w:color w:val="auto"/>
          <w:sz w:val="32"/>
          <w:szCs w:val="32"/>
          <w:highlight w:val="none"/>
        </w:rPr>
      </w:pPr>
    </w:p>
    <w:p w14:paraId="5BAA08E6">
      <w:pPr>
        <w:snapToGrid w:val="0"/>
        <w:spacing w:before="120" w:beforeLines="50" w:after="50"/>
        <w:ind w:firstLine="480" w:firstLineChars="150"/>
        <w:jc w:val="center"/>
        <w:rPr>
          <w:rFonts w:ascii="宋体" w:hAnsi="宋体" w:cs="宋体"/>
          <w:bCs/>
          <w:color w:val="auto"/>
          <w:sz w:val="32"/>
          <w:szCs w:val="32"/>
          <w:highlight w:val="none"/>
        </w:rPr>
      </w:pPr>
      <w:r>
        <w:rPr>
          <w:rFonts w:hint="eastAsia" w:ascii="宋体" w:hAnsi="宋体" w:cs="宋体"/>
          <w:bCs/>
          <w:color w:val="auto"/>
          <w:sz w:val="32"/>
          <w:szCs w:val="32"/>
          <w:highlight w:val="none"/>
        </w:rPr>
        <w:t>首次响应文件提交截止时间前不得解密</w:t>
      </w:r>
    </w:p>
    <w:p w14:paraId="2524429D">
      <w:pPr>
        <w:snapToGrid w:val="0"/>
        <w:spacing w:before="120" w:beforeLines="50" w:after="50"/>
        <w:ind w:firstLine="5440" w:firstLineChars="1700"/>
        <w:jc w:val="center"/>
        <w:rPr>
          <w:rFonts w:ascii="宋体" w:hAnsi="宋体" w:cs="宋体"/>
          <w:bCs/>
          <w:color w:val="auto"/>
          <w:sz w:val="32"/>
          <w:szCs w:val="32"/>
          <w:highlight w:val="none"/>
        </w:rPr>
      </w:pPr>
    </w:p>
    <w:p w14:paraId="7B1C3974">
      <w:pPr>
        <w:snapToGrid w:val="0"/>
        <w:spacing w:before="120" w:beforeLines="50" w:after="50"/>
        <w:ind w:firstLine="645"/>
        <w:jc w:val="center"/>
        <w:rPr>
          <w:rFonts w:hint="eastAsia" w:ascii="宋体" w:hAnsi="宋体" w:cs="宋体"/>
          <w:bCs/>
          <w:color w:val="auto"/>
          <w:sz w:val="32"/>
          <w:szCs w:val="32"/>
          <w:highlight w:val="none"/>
        </w:rPr>
      </w:pPr>
      <w:r>
        <w:rPr>
          <w:rFonts w:hint="eastAsia" w:ascii="宋体" w:hAnsi="宋体" w:cs="宋体"/>
          <w:bCs/>
          <w:color w:val="auto"/>
          <w:sz w:val="32"/>
          <w:szCs w:val="32"/>
          <w:highlight w:val="none"/>
        </w:rPr>
        <w:t>年    月    日</w:t>
      </w:r>
    </w:p>
    <w:p w14:paraId="2B113817">
      <w:pPr>
        <w:bidi w:val="0"/>
        <w:rPr>
          <w:rFonts w:hint="eastAsia" w:ascii="Times New Roman" w:hAnsi="Times New Roman" w:eastAsia="宋体" w:cs="Times New Roman"/>
          <w:kern w:val="2"/>
          <w:sz w:val="21"/>
          <w:szCs w:val="24"/>
          <w:lang w:val="en-US" w:eastAsia="zh-CN" w:bidi="ar-SA"/>
        </w:rPr>
      </w:pPr>
    </w:p>
    <w:p w14:paraId="5CCF021E">
      <w:pPr>
        <w:bidi w:val="0"/>
        <w:rPr>
          <w:rFonts w:hint="eastAsia"/>
          <w:lang w:val="en-US" w:eastAsia="zh-CN"/>
        </w:rPr>
      </w:pPr>
    </w:p>
    <w:p w14:paraId="53A6BCA8">
      <w:pPr>
        <w:bidi w:val="0"/>
        <w:rPr>
          <w:rFonts w:hint="eastAsia"/>
          <w:lang w:val="en-US" w:eastAsia="zh-CN"/>
        </w:rPr>
      </w:pPr>
    </w:p>
    <w:p w14:paraId="5407E1F8">
      <w:pPr>
        <w:bidi w:val="0"/>
        <w:rPr>
          <w:rFonts w:hint="eastAsia"/>
          <w:lang w:val="en-US" w:eastAsia="zh-CN"/>
        </w:rPr>
      </w:pPr>
    </w:p>
    <w:p w14:paraId="17CF5CEF">
      <w:pPr>
        <w:bidi w:val="0"/>
        <w:rPr>
          <w:rFonts w:hint="eastAsia"/>
          <w:lang w:val="en-US" w:eastAsia="zh-CN"/>
        </w:rPr>
      </w:pPr>
    </w:p>
    <w:p w14:paraId="45BCD0BD">
      <w:pPr>
        <w:bidi w:val="0"/>
        <w:rPr>
          <w:rFonts w:hint="eastAsia"/>
          <w:lang w:val="en-US" w:eastAsia="zh-CN"/>
        </w:rPr>
      </w:pPr>
    </w:p>
    <w:p w14:paraId="0B330B04">
      <w:pPr>
        <w:bidi w:val="0"/>
        <w:rPr>
          <w:rFonts w:hint="eastAsia"/>
          <w:lang w:val="en-US" w:eastAsia="zh-CN"/>
        </w:rPr>
      </w:pPr>
    </w:p>
    <w:p w14:paraId="53678853">
      <w:pPr>
        <w:bidi w:val="0"/>
        <w:rPr>
          <w:rFonts w:hint="eastAsia"/>
          <w:lang w:val="en-US" w:eastAsia="zh-CN"/>
        </w:rPr>
      </w:pPr>
    </w:p>
    <w:p w14:paraId="6FB66320">
      <w:pPr>
        <w:bidi w:val="0"/>
        <w:rPr>
          <w:rFonts w:hint="eastAsia"/>
          <w:lang w:val="en-US" w:eastAsia="zh-CN"/>
        </w:rPr>
      </w:pPr>
    </w:p>
    <w:p w14:paraId="28B12210">
      <w:pPr>
        <w:bidi w:val="0"/>
        <w:rPr>
          <w:rFonts w:hint="eastAsia"/>
          <w:lang w:val="en-US" w:eastAsia="zh-CN"/>
        </w:rPr>
      </w:pPr>
    </w:p>
    <w:p w14:paraId="3773E3D7">
      <w:pPr>
        <w:tabs>
          <w:tab w:val="left" w:pos="3668"/>
        </w:tabs>
        <w:bidi w:val="0"/>
        <w:jc w:val="left"/>
        <w:rPr>
          <w:rFonts w:hint="eastAsia"/>
          <w:lang w:val="en-US" w:eastAsia="zh-CN"/>
        </w:rPr>
        <w:sectPr>
          <w:pgSz w:w="11910" w:h="16840"/>
          <w:pgMar w:top="1340" w:right="1500" w:bottom="1220" w:left="1680" w:header="720" w:footer="720" w:gutter="0"/>
          <w:pgNumType w:fmt="decimal"/>
          <w:cols w:space="720" w:num="1"/>
        </w:sectPr>
      </w:pPr>
      <w:r>
        <w:rPr>
          <w:rFonts w:hint="eastAsia"/>
          <w:lang w:val="en-US" w:eastAsia="zh-CN"/>
        </w:rPr>
        <w:tab/>
      </w:r>
    </w:p>
    <w:p w14:paraId="04D50EBB">
      <w:pPr>
        <w:pStyle w:val="3"/>
        <w:jc w:val="center"/>
        <w:rPr>
          <w:rFonts w:ascii="宋体" w:hAnsi="宋体"/>
          <w:bCs w:val="0"/>
          <w:color w:val="auto"/>
          <w:highlight w:val="none"/>
        </w:rPr>
      </w:pPr>
      <w:bookmarkStart w:id="92" w:name="_Toc97909568"/>
      <w:bookmarkStart w:id="93" w:name="_Toc80886943"/>
      <w:bookmarkStart w:id="94" w:name="_Toc80205939"/>
      <w:r>
        <w:rPr>
          <w:rFonts w:hint="eastAsia" w:ascii="宋体" w:hAnsi="宋体"/>
          <w:bCs w:val="0"/>
          <w:color w:val="auto"/>
          <w:highlight w:val="none"/>
        </w:rPr>
        <w:t>第二节 资格证明文件格式</w:t>
      </w:r>
      <w:bookmarkEnd w:id="92"/>
      <w:bookmarkEnd w:id="93"/>
      <w:bookmarkEnd w:id="94"/>
    </w:p>
    <w:p w14:paraId="7CA2CB82">
      <w:pPr>
        <w:snapToGrid w:val="0"/>
        <w:spacing w:before="120" w:beforeLines="50" w:after="50"/>
        <w:rPr>
          <w:rFonts w:ascii="宋体" w:hAnsi="宋体"/>
          <w:bCs/>
          <w:color w:val="auto"/>
          <w:sz w:val="32"/>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0C66478B">
      <w:pPr>
        <w:snapToGrid w:val="0"/>
        <w:spacing w:before="120" w:beforeLines="50" w:after="50"/>
        <w:rPr>
          <w:rFonts w:ascii="宋体" w:hAnsi="宋体"/>
          <w:color w:val="auto"/>
          <w:sz w:val="24"/>
          <w:szCs w:val="20"/>
          <w:highlight w:val="none"/>
        </w:rPr>
      </w:pPr>
    </w:p>
    <w:p w14:paraId="4AD36926">
      <w:pPr>
        <w:snapToGrid w:val="0"/>
        <w:spacing w:before="120" w:beforeLines="50" w:after="50"/>
        <w:rPr>
          <w:rFonts w:ascii="宋体" w:hAnsi="宋体"/>
          <w:color w:val="auto"/>
          <w:sz w:val="24"/>
          <w:szCs w:val="20"/>
          <w:highlight w:val="none"/>
        </w:rPr>
      </w:pPr>
    </w:p>
    <w:p w14:paraId="2B75C5DA">
      <w:pPr>
        <w:snapToGrid w:val="0"/>
        <w:spacing w:before="120" w:beforeLines="50" w:after="50"/>
        <w:jc w:val="center"/>
        <w:rPr>
          <w:rFonts w:ascii="宋体" w:hAnsi="宋体" w:cs="方正小标宋简体"/>
          <w:bCs/>
          <w:color w:val="auto"/>
          <w:sz w:val="44"/>
          <w:szCs w:val="44"/>
          <w:highlight w:val="none"/>
        </w:rPr>
      </w:pPr>
      <w:r>
        <w:rPr>
          <w:rFonts w:hint="eastAsia" w:ascii="宋体" w:hAnsi="宋体" w:cs="方正小标宋简体"/>
          <w:bCs/>
          <w:color w:val="auto"/>
          <w:sz w:val="44"/>
          <w:szCs w:val="44"/>
          <w:highlight w:val="none"/>
        </w:rPr>
        <w:t>资  格  证  明  文  件（封面）</w:t>
      </w:r>
    </w:p>
    <w:p w14:paraId="6033F703">
      <w:pPr>
        <w:snapToGrid w:val="0"/>
        <w:spacing w:before="120" w:beforeLines="50" w:after="50"/>
        <w:rPr>
          <w:rFonts w:ascii="宋体" w:hAnsi="宋体"/>
          <w:bCs/>
          <w:color w:val="auto"/>
          <w:sz w:val="24"/>
          <w:szCs w:val="20"/>
          <w:highlight w:val="none"/>
        </w:rPr>
      </w:pPr>
    </w:p>
    <w:p w14:paraId="44981E7B">
      <w:pPr>
        <w:snapToGrid w:val="0"/>
        <w:spacing w:before="120" w:beforeLines="50" w:after="50"/>
        <w:rPr>
          <w:rFonts w:ascii="宋体" w:hAnsi="宋体"/>
          <w:bCs/>
          <w:color w:val="auto"/>
          <w:sz w:val="24"/>
          <w:szCs w:val="20"/>
          <w:highlight w:val="none"/>
        </w:rPr>
      </w:pPr>
    </w:p>
    <w:p w14:paraId="1AD64035">
      <w:pPr>
        <w:snapToGrid w:val="0"/>
        <w:spacing w:before="120" w:beforeLines="50" w:after="50"/>
        <w:rPr>
          <w:rFonts w:ascii="宋体" w:hAnsi="宋体"/>
          <w:bCs/>
          <w:color w:val="auto"/>
          <w:sz w:val="24"/>
          <w:szCs w:val="20"/>
          <w:highlight w:val="none"/>
        </w:rPr>
      </w:pPr>
    </w:p>
    <w:p w14:paraId="2869FDD5">
      <w:pPr>
        <w:snapToGrid w:val="0"/>
        <w:spacing w:before="120" w:beforeLines="50" w:after="50"/>
        <w:rPr>
          <w:rFonts w:ascii="宋体" w:hAnsi="宋体"/>
          <w:bCs/>
          <w:color w:val="auto"/>
          <w:sz w:val="24"/>
          <w:szCs w:val="20"/>
          <w:highlight w:val="none"/>
        </w:rPr>
      </w:pPr>
    </w:p>
    <w:p w14:paraId="053BA049">
      <w:pPr>
        <w:snapToGrid w:val="0"/>
        <w:spacing w:before="120" w:beforeLines="50" w:after="50"/>
        <w:rPr>
          <w:rFonts w:ascii="宋体" w:hAnsi="宋体"/>
          <w:bCs/>
          <w:color w:val="auto"/>
          <w:sz w:val="24"/>
          <w:szCs w:val="20"/>
          <w:highlight w:val="none"/>
        </w:rPr>
      </w:pPr>
    </w:p>
    <w:p w14:paraId="5B80C412">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项目名称： </w:t>
      </w:r>
    </w:p>
    <w:p w14:paraId="75EEBF2D">
      <w:pPr>
        <w:snapToGrid w:val="0"/>
        <w:spacing w:before="120" w:beforeLines="50" w:after="50"/>
        <w:ind w:firstLine="720" w:firstLineChars="225"/>
        <w:rPr>
          <w:rFonts w:ascii="宋体" w:hAnsi="宋体" w:cs="仿宋_GB2312"/>
          <w:bCs/>
          <w:color w:val="auto"/>
          <w:sz w:val="32"/>
          <w:szCs w:val="32"/>
          <w:highlight w:val="none"/>
        </w:rPr>
      </w:pPr>
    </w:p>
    <w:p w14:paraId="63291CFA">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项目编号： </w:t>
      </w:r>
    </w:p>
    <w:p w14:paraId="3B4997EF">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115681FF">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3EC5C2C4">
      <w:pPr>
        <w:snapToGrid w:val="0"/>
        <w:spacing w:before="120" w:beforeLines="50" w:after="50"/>
        <w:ind w:firstLine="720" w:firstLineChars="225"/>
        <w:rPr>
          <w:rFonts w:ascii="宋体" w:hAnsi="宋体" w:cs="仿宋_GB2312"/>
          <w:bCs/>
          <w:color w:val="auto"/>
          <w:sz w:val="32"/>
          <w:szCs w:val="32"/>
          <w:highlight w:val="none"/>
        </w:rPr>
      </w:pPr>
    </w:p>
    <w:p w14:paraId="43CDBCB5">
      <w:pPr>
        <w:pStyle w:val="14"/>
        <w:snapToGrid w:val="0"/>
        <w:spacing w:before="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6CD4DFC">
      <w:pPr>
        <w:pStyle w:val="14"/>
        <w:snapToGrid w:val="0"/>
        <w:spacing w:before="50" w:after="50"/>
        <w:ind w:firstLine="720" w:firstLineChars="225"/>
        <w:rPr>
          <w:rFonts w:ascii="宋体" w:hAnsi="宋体" w:cs="仿宋_GB2312"/>
          <w:bCs/>
          <w:color w:val="auto"/>
          <w:sz w:val="32"/>
          <w:szCs w:val="32"/>
          <w:highlight w:val="none"/>
        </w:rPr>
      </w:pPr>
    </w:p>
    <w:p w14:paraId="4D359B68">
      <w:pPr>
        <w:pStyle w:val="14"/>
        <w:snapToGrid w:val="0"/>
        <w:spacing w:before="50" w:after="50"/>
        <w:ind w:firstLine="720" w:firstLineChars="225"/>
        <w:rPr>
          <w:rFonts w:ascii="宋体" w:hAnsi="宋体" w:cs="仿宋_GB2312"/>
          <w:bCs/>
          <w:color w:val="auto"/>
          <w:sz w:val="32"/>
          <w:szCs w:val="32"/>
          <w:highlight w:val="none"/>
        </w:rPr>
      </w:pPr>
    </w:p>
    <w:p w14:paraId="1C97BCF9">
      <w:pPr>
        <w:pStyle w:val="14"/>
        <w:snapToGrid w:val="0"/>
        <w:spacing w:before="50" w:after="50"/>
        <w:ind w:firstLine="720" w:firstLineChars="225"/>
        <w:rPr>
          <w:rFonts w:ascii="宋体" w:hAnsi="宋体" w:cs="仿宋_GB2312"/>
          <w:bCs/>
          <w:color w:val="auto"/>
          <w:sz w:val="32"/>
          <w:szCs w:val="32"/>
          <w:highlight w:val="none"/>
        </w:rPr>
      </w:pPr>
    </w:p>
    <w:p w14:paraId="04396E48">
      <w:pPr>
        <w:pStyle w:val="14"/>
        <w:snapToGrid w:val="0"/>
        <w:spacing w:before="50" w:after="50"/>
        <w:ind w:firstLine="1280" w:firstLineChars="400"/>
        <w:rPr>
          <w:rFonts w:ascii="宋体" w:hAnsi="宋体" w:cs="仿宋_GB2312"/>
          <w:bCs/>
          <w:color w:val="auto"/>
          <w:sz w:val="32"/>
          <w:szCs w:val="32"/>
          <w:highlight w:val="none"/>
        </w:rPr>
      </w:pPr>
    </w:p>
    <w:p w14:paraId="2A48811F">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3A8E483F">
      <w:pPr>
        <w:pStyle w:val="20"/>
        <w:rPr>
          <w:rFonts w:ascii="宋体" w:hAnsi="宋体" w:cs="宋体"/>
          <w:color w:val="auto"/>
          <w:highlight w:val="none"/>
        </w:rPr>
      </w:pPr>
    </w:p>
    <w:p w14:paraId="7F766563">
      <w:pPr>
        <w:pStyle w:val="20"/>
        <w:rPr>
          <w:rFonts w:ascii="宋体" w:hAnsi="宋体" w:cs="宋体"/>
          <w:color w:val="auto"/>
          <w:highlight w:val="none"/>
        </w:rPr>
      </w:pPr>
    </w:p>
    <w:p w14:paraId="7C1C7242">
      <w:pPr>
        <w:rPr>
          <w:color w:val="auto"/>
          <w:highlight w:val="none"/>
        </w:rPr>
      </w:pPr>
    </w:p>
    <w:p w14:paraId="6A58525F">
      <w:pPr>
        <w:rPr>
          <w:color w:val="auto"/>
          <w:highlight w:val="none"/>
        </w:rPr>
      </w:pPr>
    </w:p>
    <w:p w14:paraId="595D0537">
      <w:pPr>
        <w:rPr>
          <w:color w:val="auto"/>
          <w:highlight w:val="none"/>
        </w:rPr>
      </w:pPr>
    </w:p>
    <w:p w14:paraId="609DEEBD">
      <w:pPr>
        <w:snapToGrid w:val="0"/>
        <w:spacing w:before="120" w:beforeLines="50" w:after="50" w:line="360" w:lineRule="auto"/>
        <w:ind w:left="142"/>
        <w:rPr>
          <w:rFonts w:ascii="宋体" w:hAnsi="宋体"/>
          <w:b/>
          <w:bCs/>
          <w:color w:val="auto"/>
          <w:sz w:val="32"/>
          <w:szCs w:val="32"/>
          <w:highlight w:val="none"/>
        </w:rPr>
      </w:pPr>
      <w:r>
        <w:rPr>
          <w:rFonts w:hint="eastAsia" w:ascii="宋体" w:hAnsi="宋体"/>
          <w:b/>
          <w:bCs/>
          <w:color w:val="auto"/>
          <w:sz w:val="32"/>
          <w:szCs w:val="32"/>
          <w:highlight w:val="none"/>
        </w:rPr>
        <w:br w:type="page"/>
      </w:r>
      <w:r>
        <w:rPr>
          <w:rFonts w:hint="eastAsia" w:ascii="宋体" w:hAnsi="宋体"/>
          <w:b/>
          <w:bCs/>
          <w:color w:val="auto"/>
          <w:sz w:val="32"/>
          <w:szCs w:val="32"/>
          <w:highlight w:val="none"/>
        </w:rPr>
        <w:t>1.资格证明文件目录</w:t>
      </w:r>
    </w:p>
    <w:p w14:paraId="25DCA7BF">
      <w:pPr>
        <w:snapToGrid w:val="0"/>
        <w:spacing w:before="120" w:beforeLines="50" w:after="50" w:line="360" w:lineRule="auto"/>
        <w:ind w:right="376" w:rightChars="179" w:firstLine="645"/>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1D1C111F">
      <w:pPr>
        <w:spacing w:line="380" w:lineRule="exact"/>
        <w:rPr>
          <w:b/>
          <w:bCs/>
          <w:color w:val="auto"/>
          <w:kern w:val="0"/>
          <w:sz w:val="32"/>
          <w:szCs w:val="32"/>
          <w:highlight w:val="none"/>
        </w:rPr>
      </w:pPr>
      <w:r>
        <w:rPr>
          <w:rFonts w:hint="eastAsia" w:ascii="宋体" w:hAnsi="宋体" w:cs="仿宋_GB2312"/>
          <w:b/>
          <w:color w:val="auto"/>
          <w:kern w:val="0"/>
          <w:sz w:val="30"/>
          <w:szCs w:val="30"/>
          <w:highlight w:val="none"/>
        </w:rPr>
        <w:br w:type="page"/>
      </w:r>
      <w:r>
        <w:rPr>
          <w:rFonts w:hint="eastAsia" w:ascii="宋体" w:hAnsi="宋体" w:cs="仿宋_GB2312"/>
          <w:b/>
          <w:color w:val="auto"/>
          <w:kern w:val="0"/>
          <w:sz w:val="32"/>
          <w:szCs w:val="32"/>
          <w:highlight w:val="none"/>
        </w:rPr>
        <w:t>2.</w:t>
      </w:r>
      <w:r>
        <w:rPr>
          <w:rFonts w:hint="eastAsia" w:ascii="宋体" w:hAnsi="宋体"/>
          <w:b/>
          <w:color w:val="auto"/>
          <w:sz w:val="32"/>
          <w:szCs w:val="32"/>
          <w:highlight w:val="none"/>
        </w:rPr>
        <w:t xml:space="preserve"> </w:t>
      </w:r>
      <w:r>
        <w:rPr>
          <w:rFonts w:hint="eastAsia"/>
          <w:b/>
          <w:bCs/>
          <w:color w:val="auto"/>
          <w:kern w:val="0"/>
          <w:sz w:val="32"/>
          <w:szCs w:val="32"/>
          <w:highlight w:val="none"/>
        </w:rPr>
        <w:t>北海市政府采购供应商信用承诺函</w:t>
      </w:r>
    </w:p>
    <w:p w14:paraId="58C997B8">
      <w:pPr>
        <w:spacing w:line="380" w:lineRule="exact"/>
        <w:rPr>
          <w:b/>
          <w:bCs/>
          <w:color w:val="auto"/>
          <w:kern w:val="0"/>
          <w:sz w:val="32"/>
          <w:szCs w:val="32"/>
          <w:highlight w:val="none"/>
        </w:rPr>
      </w:pPr>
    </w:p>
    <w:p w14:paraId="48CE564B">
      <w:pPr>
        <w:wordWrap w:val="0"/>
        <w:spacing w:line="360" w:lineRule="auto"/>
        <w:rPr>
          <w:color w:val="auto"/>
          <w:kern w:val="0"/>
          <w:sz w:val="24"/>
          <w:highlight w:val="none"/>
        </w:rPr>
      </w:pPr>
      <w:r>
        <w:rPr>
          <w:rFonts w:hint="eastAsia"/>
          <w:color w:val="auto"/>
          <w:kern w:val="0"/>
          <w:sz w:val="24"/>
          <w:highlight w:val="none"/>
        </w:rPr>
        <w:t>致（采购人或采购代理机构）：</w:t>
      </w:r>
    </w:p>
    <w:p w14:paraId="2ED15D07">
      <w:pPr>
        <w:wordWrap w:val="0"/>
        <w:spacing w:line="360" w:lineRule="auto"/>
        <w:ind w:firstLine="480" w:firstLineChars="200"/>
        <w:rPr>
          <w:color w:val="auto"/>
          <w:highlight w:val="none"/>
        </w:rPr>
      </w:pPr>
      <w:r>
        <w:rPr>
          <w:rFonts w:hint="eastAsia" w:ascii="宋体" w:hAnsi="宋体" w:cs="宋体"/>
          <w:color w:val="auto"/>
          <w:kern w:val="0"/>
          <w:sz w:val="24"/>
          <w:highlight w:val="none"/>
        </w:rPr>
        <w:t>供应商名称：</w:t>
      </w:r>
    </w:p>
    <w:p w14:paraId="30EAB0F5">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统一社会信用代码：</w:t>
      </w:r>
    </w:p>
    <w:p w14:paraId="3693718F">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供应商地址：</w:t>
      </w:r>
    </w:p>
    <w:p w14:paraId="51784A86">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我单位自愿参加本次政府采购活动，严格遵守《中华人民共和国政府采购法》及相关法律法规，依法诚信经营，无条件遵守本次政府采购活动的各项规定。我单位郑重承诺，本单位符合《中华人民共和国政府采购法》第二十二条规定的条件：</w:t>
      </w:r>
    </w:p>
    <w:p w14:paraId="0ECFCCC7">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1.我单位具有符合采购文件资格要求独立承担民事责任的能力。</w:t>
      </w:r>
    </w:p>
    <w:p w14:paraId="54EF9674">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2.我单位具有符合采购文件资格要求的财务状况报告。</w:t>
      </w:r>
    </w:p>
    <w:p w14:paraId="066BC7C5">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3.我单位具有符合采购文件资格要求的依法缴纳税收和社会保障记录的良好记录。</w:t>
      </w:r>
    </w:p>
    <w:p w14:paraId="6FDB8C0F">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4.我单位具有符合采购文件资格要求履行合同所必需的设备和专业技术能力。</w:t>
      </w:r>
    </w:p>
    <w:p w14:paraId="5498FDD4">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5.参加政府采购活动前三年内，在经营活动中没有重大违法记录。</w:t>
      </w:r>
    </w:p>
    <w:p w14:paraId="0C4E9AE4">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若我单位承诺不实，自愿承担提供虚假材料谋取中标、成交的法律责任。</w:t>
      </w:r>
    </w:p>
    <w:p w14:paraId="3E98CD62">
      <w:pPr>
        <w:snapToGrid w:val="0"/>
        <w:spacing w:line="360" w:lineRule="auto"/>
        <w:jc w:val="left"/>
        <w:rPr>
          <w:rFonts w:ascii="宋体" w:hAnsi="宋体"/>
          <w:color w:val="auto"/>
          <w:sz w:val="24"/>
          <w:highlight w:val="none"/>
        </w:rPr>
      </w:pPr>
    </w:p>
    <w:p w14:paraId="070BF70E">
      <w:pPr>
        <w:snapToGrid w:val="0"/>
        <w:spacing w:line="360" w:lineRule="auto"/>
        <w:ind w:left="-2" w:leftChars="-1" w:right="-817" w:rightChars="-389"/>
        <w:rPr>
          <w:rFonts w:ascii="宋体" w:hAnsi="宋体" w:cs="宋体"/>
          <w:color w:val="auto"/>
          <w:kern w:val="0"/>
          <w:sz w:val="24"/>
          <w:highlight w:val="none"/>
        </w:rPr>
      </w:pPr>
      <w:r>
        <w:rPr>
          <w:rFonts w:hint="eastAsia" w:ascii="宋体" w:hAnsi="宋体"/>
          <w:color w:val="auto"/>
          <w:sz w:val="24"/>
          <w:highlight w:val="none"/>
        </w:rPr>
        <w:t xml:space="preserve">                        </w:t>
      </w:r>
      <w:r>
        <w:rPr>
          <w:rFonts w:hint="eastAsia" w:ascii="宋体" w:hAnsi="宋体" w:cs="宋体"/>
          <w:color w:val="auto"/>
          <w:kern w:val="0"/>
          <w:sz w:val="24"/>
          <w:highlight w:val="none"/>
        </w:rPr>
        <w:t xml:space="preserve">   法定代表人或者委托代理人（签字）： </w:t>
      </w:r>
    </w:p>
    <w:p w14:paraId="71118E61">
      <w:pPr>
        <w:snapToGrid w:val="0"/>
        <w:spacing w:line="360" w:lineRule="auto"/>
        <w:ind w:left="-3" w:leftChars="-15" w:right="-817" w:rightChars="-389" w:hanging="28" w:hangingChars="12"/>
        <w:rPr>
          <w:rFonts w:ascii="宋体" w:hAnsi="宋体" w:cs="宋体"/>
          <w:color w:val="auto"/>
          <w:kern w:val="0"/>
          <w:sz w:val="24"/>
          <w:highlight w:val="none"/>
        </w:rPr>
      </w:pPr>
      <w:r>
        <w:rPr>
          <w:rFonts w:hint="eastAsia" w:ascii="宋体" w:hAnsi="宋体" w:cs="宋体"/>
          <w:color w:val="auto"/>
          <w:kern w:val="0"/>
          <w:sz w:val="24"/>
          <w:highlight w:val="none"/>
        </w:rPr>
        <w:t xml:space="preserve">                                    供应商名称（盖公章）：</w:t>
      </w:r>
    </w:p>
    <w:p w14:paraId="49900537">
      <w:pPr>
        <w:wordWrap w:val="0"/>
        <w:spacing w:line="360" w:lineRule="auto"/>
        <w:ind w:firstLine="480" w:firstLineChars="200"/>
        <w:jc w:val="right"/>
        <w:rPr>
          <w:rFonts w:ascii="宋体" w:hAnsi="宋体" w:cs="宋体"/>
          <w:color w:val="auto"/>
          <w:kern w:val="0"/>
          <w:sz w:val="24"/>
          <w:highlight w:val="none"/>
        </w:rPr>
      </w:pPr>
      <w:r>
        <w:rPr>
          <w:rFonts w:hint="eastAsia" w:ascii="宋体" w:hAnsi="宋体" w:cs="宋体"/>
          <w:color w:val="auto"/>
          <w:kern w:val="0"/>
          <w:sz w:val="24"/>
          <w:highlight w:val="none"/>
        </w:rPr>
        <w:t>日 期： 年 月 日</w:t>
      </w:r>
    </w:p>
    <w:p w14:paraId="3524F110">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注：1.供应商须在响应文件中按此模板提供承诺函，未提供视为未实质性响应招标（采购）文件要求，按无效谈判处理。</w:t>
      </w:r>
    </w:p>
    <w:p w14:paraId="6540C3BC">
      <w:pPr>
        <w:spacing w:line="320" w:lineRule="exact"/>
        <w:ind w:firstLine="480" w:firstLineChars="200"/>
        <w:jc w:val="left"/>
        <w:rPr>
          <w:rFonts w:ascii="宋体" w:hAnsi="宋体"/>
          <w:color w:val="auto"/>
          <w:szCs w:val="21"/>
          <w:highlight w:val="none"/>
        </w:rPr>
      </w:pPr>
      <w:r>
        <w:rPr>
          <w:rFonts w:hint="eastAsia" w:ascii="宋体" w:hAnsi="宋体" w:cs="宋体"/>
          <w:color w:val="auto"/>
          <w:kern w:val="0"/>
          <w:sz w:val="24"/>
          <w:highlight w:val="none"/>
        </w:rPr>
        <w:t>2.供应商的法定代表人（其他组织的为负责人）或者委托代理人的签名或盖章应真实、有效，如委托代理人签名或盖章的，应提供“法定代表人授权委托书”。</w:t>
      </w:r>
    </w:p>
    <w:p w14:paraId="00A1E3BC">
      <w:pPr>
        <w:rPr>
          <w:rFonts w:ascii="宋体" w:hAnsi="宋体" w:cs="仿宋_GB2312"/>
          <w:b/>
          <w:color w:val="auto"/>
          <w:kern w:val="0"/>
          <w:sz w:val="32"/>
          <w:szCs w:val="32"/>
          <w:highlight w:val="none"/>
        </w:rPr>
      </w:pPr>
    </w:p>
    <w:p w14:paraId="5DAA4E01">
      <w:pPr>
        <w:rPr>
          <w:rFonts w:ascii="宋体" w:hAnsi="宋体" w:cs="仿宋_GB2312"/>
          <w:b/>
          <w:color w:val="auto"/>
          <w:kern w:val="0"/>
          <w:sz w:val="32"/>
          <w:szCs w:val="32"/>
          <w:highlight w:val="none"/>
        </w:rPr>
      </w:pPr>
      <w:r>
        <w:rPr>
          <w:rFonts w:hint="eastAsia" w:ascii="宋体" w:hAnsi="宋体" w:cs="仿宋_GB2312"/>
          <w:b/>
          <w:color w:val="auto"/>
          <w:kern w:val="0"/>
          <w:sz w:val="32"/>
          <w:szCs w:val="32"/>
          <w:highlight w:val="none"/>
        </w:rPr>
        <w:br w:type="page"/>
      </w:r>
    </w:p>
    <w:p w14:paraId="697F6ABB">
      <w:pPr>
        <w:rPr>
          <w:rFonts w:ascii="宋体" w:hAnsi="宋体" w:cs="宋体"/>
          <w:color w:val="auto"/>
          <w:sz w:val="32"/>
          <w:szCs w:val="32"/>
          <w:highlight w:val="none"/>
          <w:u w:val="single"/>
        </w:rPr>
      </w:pPr>
      <w:r>
        <w:rPr>
          <w:rFonts w:hint="eastAsia" w:ascii="宋体" w:hAnsi="宋体" w:cs="宋体"/>
          <w:b/>
          <w:color w:val="auto"/>
          <w:sz w:val="32"/>
          <w:szCs w:val="32"/>
          <w:highlight w:val="none"/>
        </w:rPr>
        <w:t>3.项目经理（注册建造师）简历表</w:t>
      </w:r>
    </w:p>
    <w:p w14:paraId="582E8297">
      <w:pPr>
        <w:pStyle w:val="322"/>
        <w:rPr>
          <w:rFonts w:ascii="宋体" w:hAnsi="宋体" w:cs="宋体"/>
          <w:color w:val="auto"/>
          <w:highlight w:val="none"/>
          <w:u w:val="single"/>
        </w:rPr>
      </w:pPr>
    </w:p>
    <w:p w14:paraId="0B54C1F6">
      <w:pPr>
        <w:pStyle w:val="322"/>
        <w:rPr>
          <w:rFonts w:ascii="宋体" w:hAnsi="宋体" w:cs="宋体"/>
          <w:color w:val="auto"/>
          <w:highlight w:val="none"/>
        </w:rPr>
      </w:pP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2C7C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4DA1AB72">
            <w:pPr>
              <w:jc w:val="center"/>
              <w:rPr>
                <w:color w:val="auto"/>
                <w:highlight w:val="none"/>
              </w:rPr>
            </w:pPr>
            <w:r>
              <w:rPr>
                <w:rFonts w:hint="eastAsia"/>
                <w:color w:val="auto"/>
                <w:highlight w:val="none"/>
              </w:rPr>
              <w:t>姓名</w:t>
            </w:r>
          </w:p>
        </w:tc>
        <w:tc>
          <w:tcPr>
            <w:tcW w:w="2340" w:type="dxa"/>
            <w:gridSpan w:val="3"/>
            <w:vAlign w:val="center"/>
          </w:tcPr>
          <w:p w14:paraId="4E3B0D47">
            <w:pPr>
              <w:jc w:val="center"/>
              <w:rPr>
                <w:color w:val="auto"/>
                <w:highlight w:val="none"/>
              </w:rPr>
            </w:pPr>
          </w:p>
        </w:tc>
        <w:tc>
          <w:tcPr>
            <w:tcW w:w="1893" w:type="dxa"/>
            <w:gridSpan w:val="2"/>
            <w:vAlign w:val="center"/>
          </w:tcPr>
          <w:p w14:paraId="4A7946F7">
            <w:pPr>
              <w:jc w:val="center"/>
              <w:rPr>
                <w:color w:val="auto"/>
                <w:highlight w:val="none"/>
              </w:rPr>
            </w:pPr>
            <w:r>
              <w:rPr>
                <w:rFonts w:hint="eastAsia"/>
                <w:color w:val="auto"/>
                <w:highlight w:val="none"/>
              </w:rPr>
              <w:t>性别</w:t>
            </w:r>
          </w:p>
        </w:tc>
        <w:tc>
          <w:tcPr>
            <w:tcW w:w="1585" w:type="dxa"/>
            <w:gridSpan w:val="2"/>
            <w:vAlign w:val="center"/>
          </w:tcPr>
          <w:p w14:paraId="29A45A55">
            <w:pPr>
              <w:jc w:val="center"/>
              <w:rPr>
                <w:color w:val="auto"/>
                <w:highlight w:val="none"/>
              </w:rPr>
            </w:pPr>
          </w:p>
        </w:tc>
        <w:tc>
          <w:tcPr>
            <w:tcW w:w="1108" w:type="dxa"/>
            <w:gridSpan w:val="2"/>
            <w:vAlign w:val="center"/>
          </w:tcPr>
          <w:p w14:paraId="212A383C">
            <w:pPr>
              <w:jc w:val="center"/>
              <w:rPr>
                <w:color w:val="auto"/>
                <w:highlight w:val="none"/>
              </w:rPr>
            </w:pPr>
            <w:r>
              <w:rPr>
                <w:rFonts w:hint="eastAsia"/>
                <w:color w:val="auto"/>
                <w:highlight w:val="none"/>
              </w:rPr>
              <w:t>年龄</w:t>
            </w:r>
          </w:p>
        </w:tc>
        <w:tc>
          <w:tcPr>
            <w:tcW w:w="1276" w:type="dxa"/>
            <w:vAlign w:val="center"/>
          </w:tcPr>
          <w:p w14:paraId="6BBC28F7">
            <w:pPr>
              <w:jc w:val="center"/>
              <w:rPr>
                <w:color w:val="auto"/>
                <w:highlight w:val="none"/>
              </w:rPr>
            </w:pPr>
          </w:p>
        </w:tc>
      </w:tr>
      <w:tr w14:paraId="2396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3EE37AA9">
            <w:pPr>
              <w:jc w:val="center"/>
              <w:rPr>
                <w:color w:val="auto"/>
                <w:highlight w:val="none"/>
              </w:rPr>
            </w:pPr>
            <w:r>
              <w:rPr>
                <w:rFonts w:hint="eastAsia"/>
                <w:color w:val="auto"/>
                <w:highlight w:val="none"/>
              </w:rPr>
              <w:t>职务</w:t>
            </w:r>
          </w:p>
        </w:tc>
        <w:tc>
          <w:tcPr>
            <w:tcW w:w="2340" w:type="dxa"/>
            <w:gridSpan w:val="3"/>
            <w:vAlign w:val="center"/>
          </w:tcPr>
          <w:p w14:paraId="37E57F9C">
            <w:pPr>
              <w:jc w:val="center"/>
              <w:rPr>
                <w:color w:val="auto"/>
                <w:highlight w:val="none"/>
              </w:rPr>
            </w:pPr>
          </w:p>
        </w:tc>
        <w:tc>
          <w:tcPr>
            <w:tcW w:w="1893" w:type="dxa"/>
            <w:gridSpan w:val="2"/>
            <w:vAlign w:val="center"/>
          </w:tcPr>
          <w:p w14:paraId="7A5D51D2">
            <w:pPr>
              <w:jc w:val="center"/>
              <w:rPr>
                <w:color w:val="auto"/>
                <w:highlight w:val="none"/>
              </w:rPr>
            </w:pPr>
            <w:r>
              <w:rPr>
                <w:rFonts w:hint="eastAsia"/>
                <w:color w:val="auto"/>
                <w:highlight w:val="none"/>
              </w:rPr>
              <w:t>职称</w:t>
            </w:r>
          </w:p>
        </w:tc>
        <w:tc>
          <w:tcPr>
            <w:tcW w:w="1585" w:type="dxa"/>
            <w:gridSpan w:val="2"/>
            <w:vAlign w:val="center"/>
          </w:tcPr>
          <w:p w14:paraId="6918D06F">
            <w:pPr>
              <w:jc w:val="center"/>
              <w:rPr>
                <w:color w:val="auto"/>
                <w:highlight w:val="none"/>
              </w:rPr>
            </w:pPr>
          </w:p>
        </w:tc>
        <w:tc>
          <w:tcPr>
            <w:tcW w:w="1108" w:type="dxa"/>
            <w:gridSpan w:val="2"/>
            <w:vAlign w:val="center"/>
          </w:tcPr>
          <w:p w14:paraId="780128EF">
            <w:pPr>
              <w:jc w:val="center"/>
              <w:rPr>
                <w:color w:val="auto"/>
                <w:highlight w:val="none"/>
              </w:rPr>
            </w:pPr>
            <w:r>
              <w:rPr>
                <w:rFonts w:hint="eastAsia"/>
                <w:color w:val="auto"/>
                <w:highlight w:val="none"/>
              </w:rPr>
              <w:t>学历</w:t>
            </w:r>
          </w:p>
        </w:tc>
        <w:tc>
          <w:tcPr>
            <w:tcW w:w="1276" w:type="dxa"/>
            <w:vAlign w:val="center"/>
          </w:tcPr>
          <w:p w14:paraId="5F8C4744">
            <w:pPr>
              <w:jc w:val="center"/>
              <w:rPr>
                <w:color w:val="auto"/>
                <w:highlight w:val="none"/>
              </w:rPr>
            </w:pPr>
          </w:p>
        </w:tc>
      </w:tr>
      <w:tr w14:paraId="6A5D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70CF5605">
            <w:pPr>
              <w:jc w:val="center"/>
              <w:rPr>
                <w:color w:val="auto"/>
                <w:highlight w:val="none"/>
              </w:rPr>
            </w:pPr>
            <w:r>
              <w:rPr>
                <w:rFonts w:hint="eastAsia"/>
                <w:color w:val="auto"/>
                <w:highlight w:val="none"/>
              </w:rPr>
              <w:t>参加工作时间</w:t>
            </w:r>
          </w:p>
        </w:tc>
        <w:tc>
          <w:tcPr>
            <w:tcW w:w="1893" w:type="dxa"/>
            <w:gridSpan w:val="2"/>
            <w:vAlign w:val="center"/>
          </w:tcPr>
          <w:p w14:paraId="5D240476">
            <w:pPr>
              <w:jc w:val="center"/>
              <w:rPr>
                <w:color w:val="auto"/>
                <w:highlight w:val="none"/>
              </w:rPr>
            </w:pPr>
          </w:p>
        </w:tc>
        <w:tc>
          <w:tcPr>
            <w:tcW w:w="2693" w:type="dxa"/>
            <w:gridSpan w:val="4"/>
            <w:vAlign w:val="center"/>
          </w:tcPr>
          <w:p w14:paraId="49CC0C71">
            <w:pPr>
              <w:jc w:val="center"/>
              <w:rPr>
                <w:color w:val="auto"/>
                <w:highlight w:val="none"/>
              </w:rPr>
            </w:pPr>
            <w:r>
              <w:rPr>
                <w:rFonts w:hint="eastAsia"/>
                <w:color w:val="auto"/>
                <w:highlight w:val="none"/>
              </w:rPr>
              <w:t>担任项目经理年限</w:t>
            </w:r>
          </w:p>
        </w:tc>
        <w:tc>
          <w:tcPr>
            <w:tcW w:w="1276" w:type="dxa"/>
            <w:vAlign w:val="center"/>
          </w:tcPr>
          <w:p w14:paraId="34062245">
            <w:pPr>
              <w:jc w:val="center"/>
              <w:rPr>
                <w:color w:val="auto"/>
                <w:highlight w:val="none"/>
              </w:rPr>
            </w:pPr>
          </w:p>
        </w:tc>
      </w:tr>
      <w:tr w14:paraId="18B2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vAlign w:val="center"/>
          </w:tcPr>
          <w:p w14:paraId="1E5F5DB8">
            <w:pPr>
              <w:jc w:val="center"/>
              <w:rPr>
                <w:color w:val="auto"/>
                <w:highlight w:val="none"/>
              </w:rPr>
            </w:pPr>
            <w:r>
              <w:rPr>
                <w:rFonts w:hint="eastAsia"/>
                <w:color w:val="auto"/>
                <w:highlight w:val="none"/>
              </w:rPr>
              <w:t>建造师注册编号</w:t>
            </w:r>
          </w:p>
        </w:tc>
        <w:tc>
          <w:tcPr>
            <w:tcW w:w="5862" w:type="dxa"/>
            <w:gridSpan w:val="7"/>
            <w:vAlign w:val="center"/>
          </w:tcPr>
          <w:p w14:paraId="4B9B1CF5">
            <w:pPr>
              <w:jc w:val="center"/>
              <w:rPr>
                <w:color w:val="auto"/>
                <w:highlight w:val="none"/>
              </w:rPr>
            </w:pPr>
          </w:p>
        </w:tc>
      </w:tr>
      <w:tr w14:paraId="4503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1B20665C">
            <w:pPr>
              <w:jc w:val="center"/>
              <w:rPr>
                <w:color w:val="auto"/>
                <w:highlight w:val="none"/>
              </w:rPr>
            </w:pPr>
            <w:r>
              <w:rPr>
                <w:rFonts w:hint="eastAsia"/>
                <w:color w:val="auto"/>
                <w:highlight w:val="none"/>
              </w:rPr>
              <w:t>在建和已完工程项目情况</w:t>
            </w:r>
          </w:p>
        </w:tc>
      </w:tr>
      <w:tr w14:paraId="27450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36AEEBCD">
            <w:pPr>
              <w:jc w:val="center"/>
              <w:rPr>
                <w:color w:val="auto"/>
                <w:highlight w:val="none"/>
              </w:rPr>
            </w:pPr>
            <w:r>
              <w:rPr>
                <w:rFonts w:hint="eastAsia"/>
                <w:color w:val="auto"/>
                <w:highlight w:val="none"/>
              </w:rPr>
              <w:t>建设单位</w:t>
            </w:r>
          </w:p>
        </w:tc>
        <w:tc>
          <w:tcPr>
            <w:tcW w:w="1548" w:type="dxa"/>
            <w:vAlign w:val="center"/>
          </w:tcPr>
          <w:p w14:paraId="6F98ECE3">
            <w:pPr>
              <w:jc w:val="center"/>
              <w:rPr>
                <w:color w:val="auto"/>
                <w:highlight w:val="none"/>
              </w:rPr>
            </w:pPr>
            <w:r>
              <w:rPr>
                <w:rFonts w:hint="eastAsia"/>
                <w:color w:val="auto"/>
                <w:highlight w:val="none"/>
              </w:rPr>
              <w:t>项目名称</w:t>
            </w:r>
          </w:p>
        </w:tc>
        <w:tc>
          <w:tcPr>
            <w:tcW w:w="1547" w:type="dxa"/>
            <w:gridSpan w:val="2"/>
            <w:vAlign w:val="center"/>
          </w:tcPr>
          <w:p w14:paraId="58C4C35D">
            <w:pPr>
              <w:jc w:val="center"/>
              <w:rPr>
                <w:color w:val="auto"/>
                <w:highlight w:val="none"/>
              </w:rPr>
            </w:pPr>
            <w:r>
              <w:rPr>
                <w:rFonts w:hint="eastAsia"/>
                <w:color w:val="auto"/>
                <w:highlight w:val="none"/>
              </w:rPr>
              <w:t>建设规模</w:t>
            </w:r>
          </w:p>
        </w:tc>
        <w:tc>
          <w:tcPr>
            <w:tcW w:w="1548" w:type="dxa"/>
            <w:gridSpan w:val="2"/>
            <w:vAlign w:val="center"/>
          </w:tcPr>
          <w:p w14:paraId="0F87AD37">
            <w:pPr>
              <w:jc w:val="center"/>
              <w:rPr>
                <w:color w:val="auto"/>
                <w:highlight w:val="none"/>
              </w:rPr>
            </w:pPr>
            <w:r>
              <w:rPr>
                <w:rFonts w:hint="eastAsia"/>
                <w:color w:val="auto"/>
                <w:highlight w:val="none"/>
              </w:rPr>
              <w:t>开、竣工日期</w:t>
            </w:r>
          </w:p>
        </w:tc>
        <w:tc>
          <w:tcPr>
            <w:tcW w:w="1547" w:type="dxa"/>
            <w:gridSpan w:val="2"/>
            <w:vAlign w:val="center"/>
          </w:tcPr>
          <w:p w14:paraId="630CD611">
            <w:pPr>
              <w:jc w:val="center"/>
              <w:rPr>
                <w:color w:val="auto"/>
                <w:highlight w:val="none"/>
              </w:rPr>
            </w:pPr>
            <w:r>
              <w:rPr>
                <w:rFonts w:hint="eastAsia"/>
                <w:color w:val="auto"/>
                <w:highlight w:val="none"/>
              </w:rPr>
              <w:t>在建或已完</w:t>
            </w:r>
          </w:p>
        </w:tc>
        <w:tc>
          <w:tcPr>
            <w:tcW w:w="1548" w:type="dxa"/>
            <w:gridSpan w:val="2"/>
            <w:vAlign w:val="center"/>
          </w:tcPr>
          <w:p w14:paraId="7E7D4820">
            <w:pPr>
              <w:jc w:val="center"/>
              <w:rPr>
                <w:color w:val="auto"/>
                <w:highlight w:val="none"/>
              </w:rPr>
            </w:pPr>
            <w:r>
              <w:rPr>
                <w:rFonts w:hint="eastAsia"/>
                <w:color w:val="auto"/>
                <w:highlight w:val="none"/>
              </w:rPr>
              <w:t>工程质量</w:t>
            </w:r>
          </w:p>
        </w:tc>
      </w:tr>
      <w:tr w14:paraId="716E7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1D3C2751">
            <w:pPr>
              <w:jc w:val="center"/>
              <w:rPr>
                <w:color w:val="auto"/>
                <w:highlight w:val="none"/>
              </w:rPr>
            </w:pPr>
          </w:p>
        </w:tc>
        <w:tc>
          <w:tcPr>
            <w:tcW w:w="1548" w:type="dxa"/>
            <w:vAlign w:val="center"/>
          </w:tcPr>
          <w:p w14:paraId="27BD116A">
            <w:pPr>
              <w:jc w:val="center"/>
              <w:rPr>
                <w:color w:val="auto"/>
                <w:highlight w:val="none"/>
              </w:rPr>
            </w:pPr>
          </w:p>
        </w:tc>
        <w:tc>
          <w:tcPr>
            <w:tcW w:w="1547" w:type="dxa"/>
            <w:gridSpan w:val="2"/>
            <w:vAlign w:val="center"/>
          </w:tcPr>
          <w:p w14:paraId="1B51D1D2">
            <w:pPr>
              <w:jc w:val="center"/>
              <w:rPr>
                <w:color w:val="auto"/>
                <w:highlight w:val="none"/>
              </w:rPr>
            </w:pPr>
          </w:p>
        </w:tc>
        <w:tc>
          <w:tcPr>
            <w:tcW w:w="1548" w:type="dxa"/>
            <w:gridSpan w:val="2"/>
            <w:vAlign w:val="center"/>
          </w:tcPr>
          <w:p w14:paraId="2CEB359D">
            <w:pPr>
              <w:jc w:val="center"/>
              <w:rPr>
                <w:color w:val="auto"/>
                <w:highlight w:val="none"/>
              </w:rPr>
            </w:pPr>
          </w:p>
        </w:tc>
        <w:tc>
          <w:tcPr>
            <w:tcW w:w="1547" w:type="dxa"/>
            <w:gridSpan w:val="2"/>
            <w:vAlign w:val="center"/>
          </w:tcPr>
          <w:p w14:paraId="56749715">
            <w:pPr>
              <w:jc w:val="center"/>
              <w:rPr>
                <w:color w:val="auto"/>
                <w:highlight w:val="none"/>
              </w:rPr>
            </w:pPr>
          </w:p>
        </w:tc>
        <w:tc>
          <w:tcPr>
            <w:tcW w:w="1548" w:type="dxa"/>
            <w:gridSpan w:val="2"/>
            <w:vAlign w:val="center"/>
          </w:tcPr>
          <w:p w14:paraId="51D4F2AB">
            <w:pPr>
              <w:jc w:val="center"/>
              <w:rPr>
                <w:color w:val="auto"/>
                <w:highlight w:val="none"/>
              </w:rPr>
            </w:pPr>
          </w:p>
        </w:tc>
      </w:tr>
      <w:tr w14:paraId="362B5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359E47C7">
            <w:pPr>
              <w:jc w:val="center"/>
              <w:rPr>
                <w:color w:val="auto"/>
                <w:highlight w:val="none"/>
              </w:rPr>
            </w:pPr>
          </w:p>
        </w:tc>
        <w:tc>
          <w:tcPr>
            <w:tcW w:w="1548" w:type="dxa"/>
            <w:vAlign w:val="center"/>
          </w:tcPr>
          <w:p w14:paraId="14347171">
            <w:pPr>
              <w:jc w:val="center"/>
              <w:rPr>
                <w:color w:val="auto"/>
                <w:highlight w:val="none"/>
              </w:rPr>
            </w:pPr>
          </w:p>
        </w:tc>
        <w:tc>
          <w:tcPr>
            <w:tcW w:w="1547" w:type="dxa"/>
            <w:gridSpan w:val="2"/>
            <w:vAlign w:val="center"/>
          </w:tcPr>
          <w:p w14:paraId="3AF0AEDA">
            <w:pPr>
              <w:jc w:val="center"/>
              <w:rPr>
                <w:color w:val="auto"/>
                <w:highlight w:val="none"/>
              </w:rPr>
            </w:pPr>
          </w:p>
        </w:tc>
        <w:tc>
          <w:tcPr>
            <w:tcW w:w="1548" w:type="dxa"/>
            <w:gridSpan w:val="2"/>
            <w:vAlign w:val="center"/>
          </w:tcPr>
          <w:p w14:paraId="3E70C0E1">
            <w:pPr>
              <w:jc w:val="center"/>
              <w:rPr>
                <w:color w:val="auto"/>
                <w:highlight w:val="none"/>
              </w:rPr>
            </w:pPr>
          </w:p>
        </w:tc>
        <w:tc>
          <w:tcPr>
            <w:tcW w:w="1547" w:type="dxa"/>
            <w:gridSpan w:val="2"/>
            <w:vAlign w:val="center"/>
          </w:tcPr>
          <w:p w14:paraId="06A44FDC">
            <w:pPr>
              <w:jc w:val="center"/>
              <w:rPr>
                <w:color w:val="auto"/>
                <w:highlight w:val="none"/>
              </w:rPr>
            </w:pPr>
          </w:p>
        </w:tc>
        <w:tc>
          <w:tcPr>
            <w:tcW w:w="1548" w:type="dxa"/>
            <w:gridSpan w:val="2"/>
            <w:vAlign w:val="center"/>
          </w:tcPr>
          <w:p w14:paraId="68984F69">
            <w:pPr>
              <w:jc w:val="center"/>
              <w:rPr>
                <w:color w:val="auto"/>
                <w:highlight w:val="none"/>
              </w:rPr>
            </w:pPr>
          </w:p>
        </w:tc>
      </w:tr>
      <w:tr w14:paraId="6BB2F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383F3ED4">
            <w:pPr>
              <w:jc w:val="center"/>
              <w:rPr>
                <w:color w:val="auto"/>
                <w:highlight w:val="none"/>
              </w:rPr>
            </w:pPr>
          </w:p>
        </w:tc>
        <w:tc>
          <w:tcPr>
            <w:tcW w:w="1548" w:type="dxa"/>
            <w:vAlign w:val="center"/>
          </w:tcPr>
          <w:p w14:paraId="6D5A1B09">
            <w:pPr>
              <w:jc w:val="center"/>
              <w:rPr>
                <w:color w:val="auto"/>
                <w:highlight w:val="none"/>
              </w:rPr>
            </w:pPr>
          </w:p>
        </w:tc>
        <w:tc>
          <w:tcPr>
            <w:tcW w:w="1547" w:type="dxa"/>
            <w:gridSpan w:val="2"/>
            <w:vAlign w:val="center"/>
          </w:tcPr>
          <w:p w14:paraId="34CC282C">
            <w:pPr>
              <w:jc w:val="center"/>
              <w:rPr>
                <w:color w:val="auto"/>
                <w:highlight w:val="none"/>
              </w:rPr>
            </w:pPr>
          </w:p>
        </w:tc>
        <w:tc>
          <w:tcPr>
            <w:tcW w:w="1548" w:type="dxa"/>
            <w:gridSpan w:val="2"/>
            <w:vAlign w:val="center"/>
          </w:tcPr>
          <w:p w14:paraId="172DFC39">
            <w:pPr>
              <w:jc w:val="center"/>
              <w:rPr>
                <w:color w:val="auto"/>
                <w:highlight w:val="none"/>
              </w:rPr>
            </w:pPr>
          </w:p>
        </w:tc>
        <w:tc>
          <w:tcPr>
            <w:tcW w:w="1547" w:type="dxa"/>
            <w:gridSpan w:val="2"/>
            <w:vAlign w:val="center"/>
          </w:tcPr>
          <w:p w14:paraId="5A31E12F">
            <w:pPr>
              <w:jc w:val="center"/>
              <w:rPr>
                <w:color w:val="auto"/>
                <w:highlight w:val="none"/>
              </w:rPr>
            </w:pPr>
          </w:p>
        </w:tc>
        <w:tc>
          <w:tcPr>
            <w:tcW w:w="1548" w:type="dxa"/>
            <w:gridSpan w:val="2"/>
            <w:vAlign w:val="center"/>
          </w:tcPr>
          <w:p w14:paraId="4698B70B">
            <w:pPr>
              <w:jc w:val="center"/>
              <w:rPr>
                <w:color w:val="auto"/>
                <w:highlight w:val="none"/>
              </w:rPr>
            </w:pPr>
          </w:p>
        </w:tc>
      </w:tr>
      <w:tr w14:paraId="5BBB6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4C5C14C4">
            <w:pPr>
              <w:jc w:val="center"/>
              <w:rPr>
                <w:color w:val="auto"/>
                <w:highlight w:val="none"/>
              </w:rPr>
            </w:pPr>
          </w:p>
        </w:tc>
        <w:tc>
          <w:tcPr>
            <w:tcW w:w="1548" w:type="dxa"/>
            <w:vAlign w:val="center"/>
          </w:tcPr>
          <w:p w14:paraId="03958E6E">
            <w:pPr>
              <w:jc w:val="center"/>
              <w:rPr>
                <w:color w:val="auto"/>
                <w:highlight w:val="none"/>
              </w:rPr>
            </w:pPr>
          </w:p>
        </w:tc>
        <w:tc>
          <w:tcPr>
            <w:tcW w:w="1547" w:type="dxa"/>
            <w:gridSpan w:val="2"/>
            <w:vAlign w:val="center"/>
          </w:tcPr>
          <w:p w14:paraId="1B85C2AB">
            <w:pPr>
              <w:jc w:val="center"/>
              <w:rPr>
                <w:color w:val="auto"/>
                <w:highlight w:val="none"/>
              </w:rPr>
            </w:pPr>
          </w:p>
        </w:tc>
        <w:tc>
          <w:tcPr>
            <w:tcW w:w="1548" w:type="dxa"/>
            <w:gridSpan w:val="2"/>
            <w:vAlign w:val="center"/>
          </w:tcPr>
          <w:p w14:paraId="7589D024">
            <w:pPr>
              <w:jc w:val="center"/>
              <w:rPr>
                <w:color w:val="auto"/>
                <w:highlight w:val="none"/>
              </w:rPr>
            </w:pPr>
          </w:p>
        </w:tc>
        <w:tc>
          <w:tcPr>
            <w:tcW w:w="1547" w:type="dxa"/>
            <w:gridSpan w:val="2"/>
            <w:vAlign w:val="center"/>
          </w:tcPr>
          <w:p w14:paraId="4302F3DB">
            <w:pPr>
              <w:jc w:val="center"/>
              <w:rPr>
                <w:color w:val="auto"/>
                <w:highlight w:val="none"/>
              </w:rPr>
            </w:pPr>
          </w:p>
        </w:tc>
        <w:tc>
          <w:tcPr>
            <w:tcW w:w="1548" w:type="dxa"/>
            <w:gridSpan w:val="2"/>
            <w:vAlign w:val="center"/>
          </w:tcPr>
          <w:p w14:paraId="6351FF49">
            <w:pPr>
              <w:jc w:val="center"/>
              <w:rPr>
                <w:color w:val="auto"/>
                <w:highlight w:val="none"/>
              </w:rPr>
            </w:pPr>
          </w:p>
        </w:tc>
      </w:tr>
    </w:tbl>
    <w:p w14:paraId="408A5227">
      <w:pPr>
        <w:spacing w:line="360" w:lineRule="auto"/>
        <w:rPr>
          <w:color w:val="auto"/>
          <w:szCs w:val="21"/>
          <w:highlight w:val="none"/>
        </w:rPr>
      </w:pPr>
    </w:p>
    <w:p w14:paraId="157E8A79">
      <w:pPr>
        <w:spacing w:line="360" w:lineRule="auto"/>
        <w:rPr>
          <w:rFonts w:eastAsia="楷体_GB2312"/>
          <w:color w:val="auto"/>
          <w:highlight w:val="none"/>
        </w:rPr>
      </w:pPr>
      <w:r>
        <w:rPr>
          <w:rFonts w:eastAsia="楷体_GB2312"/>
          <w:color w:val="auto"/>
          <w:highlight w:val="none"/>
        </w:rPr>
        <w:t>备注：</w:t>
      </w:r>
      <w:r>
        <w:rPr>
          <w:rFonts w:hint="eastAsia" w:eastAsia="楷体_GB2312"/>
          <w:color w:val="auto"/>
          <w:highlight w:val="none"/>
        </w:rPr>
        <w:t>附项目经理身份证、注册建造师注册证书和安全生产考核合格证书（B类）复印件加盖供应商电子签章；</w:t>
      </w:r>
    </w:p>
    <w:p w14:paraId="3292F171">
      <w:pPr>
        <w:spacing w:line="360" w:lineRule="auto"/>
        <w:ind w:firstLine="525" w:firstLineChars="250"/>
        <w:rPr>
          <w:color w:val="auto"/>
          <w:highlight w:val="none"/>
        </w:rPr>
      </w:pPr>
    </w:p>
    <w:p w14:paraId="4A453958">
      <w:pPr>
        <w:spacing w:line="360" w:lineRule="auto"/>
        <w:ind w:firstLine="525" w:firstLineChars="250"/>
        <w:rPr>
          <w:color w:val="auto"/>
          <w:highlight w:val="none"/>
        </w:rPr>
        <w:sectPr>
          <w:pgSz w:w="11907" w:h="16840"/>
          <w:pgMar w:top="1440" w:right="1440" w:bottom="1440" w:left="1377" w:header="851" w:footer="851" w:gutter="0"/>
          <w:pgNumType w:fmt="decimal"/>
          <w:cols w:space="720" w:num="1"/>
          <w:docGrid w:linePitch="312" w:charSpace="0"/>
        </w:sectPr>
      </w:pPr>
    </w:p>
    <w:p w14:paraId="5CB5AEC6">
      <w:pPr>
        <w:jc w:val="center"/>
        <w:rPr>
          <w:b/>
          <w:bCs/>
          <w:color w:val="auto"/>
          <w:sz w:val="32"/>
          <w:szCs w:val="32"/>
          <w:highlight w:val="none"/>
        </w:rPr>
      </w:pPr>
      <w:r>
        <w:rPr>
          <w:rFonts w:hint="eastAsia"/>
          <w:b/>
          <w:bCs/>
          <w:color w:val="auto"/>
          <w:sz w:val="32"/>
          <w:szCs w:val="32"/>
          <w:highlight w:val="none"/>
        </w:rPr>
        <w:t>4.专职安全员简历表</w:t>
      </w:r>
    </w:p>
    <w:p w14:paraId="40FEB88C">
      <w:pPr>
        <w:pStyle w:val="322"/>
        <w:rPr>
          <w:rFonts w:ascii="宋体" w:hAnsi="宋体" w:cs="宋体"/>
          <w:color w:val="auto"/>
          <w:highlight w:val="none"/>
          <w:u w:val="single"/>
        </w:rPr>
      </w:pPr>
    </w:p>
    <w:p w14:paraId="06FAABCE">
      <w:pPr>
        <w:pStyle w:val="322"/>
        <w:rPr>
          <w:rFonts w:ascii="宋体" w:hAnsi="宋体" w:cs="宋体"/>
          <w:color w:val="auto"/>
          <w:highlight w:val="none"/>
        </w:rPr>
      </w:pPr>
    </w:p>
    <w:tbl>
      <w:tblPr>
        <w:tblStyle w:val="5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464"/>
        <w:gridCol w:w="1548"/>
        <w:gridCol w:w="328"/>
        <w:gridCol w:w="1219"/>
        <w:gridCol w:w="674"/>
        <w:gridCol w:w="874"/>
        <w:gridCol w:w="711"/>
        <w:gridCol w:w="836"/>
        <w:gridCol w:w="272"/>
        <w:gridCol w:w="1276"/>
      </w:tblGrid>
      <w:tr w14:paraId="478F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83" w:type="dxa"/>
            <w:vAlign w:val="center"/>
          </w:tcPr>
          <w:p w14:paraId="599DA240">
            <w:pPr>
              <w:jc w:val="center"/>
              <w:rPr>
                <w:color w:val="auto"/>
                <w:highlight w:val="none"/>
              </w:rPr>
            </w:pPr>
            <w:r>
              <w:rPr>
                <w:rFonts w:hint="eastAsia"/>
                <w:color w:val="auto"/>
                <w:highlight w:val="none"/>
              </w:rPr>
              <w:t>姓名</w:t>
            </w:r>
          </w:p>
        </w:tc>
        <w:tc>
          <w:tcPr>
            <w:tcW w:w="2340" w:type="dxa"/>
            <w:gridSpan w:val="3"/>
            <w:vAlign w:val="center"/>
          </w:tcPr>
          <w:p w14:paraId="0F6655BB">
            <w:pPr>
              <w:jc w:val="center"/>
              <w:rPr>
                <w:color w:val="auto"/>
                <w:highlight w:val="none"/>
              </w:rPr>
            </w:pPr>
          </w:p>
        </w:tc>
        <w:tc>
          <w:tcPr>
            <w:tcW w:w="1893" w:type="dxa"/>
            <w:gridSpan w:val="2"/>
            <w:vAlign w:val="center"/>
          </w:tcPr>
          <w:p w14:paraId="63F3B0A9">
            <w:pPr>
              <w:jc w:val="center"/>
              <w:rPr>
                <w:color w:val="auto"/>
                <w:highlight w:val="none"/>
              </w:rPr>
            </w:pPr>
            <w:r>
              <w:rPr>
                <w:rFonts w:hint="eastAsia"/>
                <w:color w:val="auto"/>
                <w:highlight w:val="none"/>
              </w:rPr>
              <w:t>性别</w:t>
            </w:r>
          </w:p>
        </w:tc>
        <w:tc>
          <w:tcPr>
            <w:tcW w:w="1585" w:type="dxa"/>
            <w:gridSpan w:val="2"/>
            <w:vAlign w:val="center"/>
          </w:tcPr>
          <w:p w14:paraId="16CD3969">
            <w:pPr>
              <w:jc w:val="center"/>
              <w:rPr>
                <w:color w:val="auto"/>
                <w:highlight w:val="none"/>
              </w:rPr>
            </w:pPr>
          </w:p>
        </w:tc>
        <w:tc>
          <w:tcPr>
            <w:tcW w:w="1108" w:type="dxa"/>
            <w:gridSpan w:val="2"/>
            <w:vAlign w:val="center"/>
          </w:tcPr>
          <w:p w14:paraId="5A2027D7">
            <w:pPr>
              <w:jc w:val="center"/>
              <w:rPr>
                <w:color w:val="auto"/>
                <w:highlight w:val="none"/>
              </w:rPr>
            </w:pPr>
            <w:r>
              <w:rPr>
                <w:rFonts w:hint="eastAsia"/>
                <w:color w:val="auto"/>
                <w:highlight w:val="none"/>
              </w:rPr>
              <w:t>年龄</w:t>
            </w:r>
          </w:p>
        </w:tc>
        <w:tc>
          <w:tcPr>
            <w:tcW w:w="1276" w:type="dxa"/>
            <w:vAlign w:val="center"/>
          </w:tcPr>
          <w:p w14:paraId="1EA553E0">
            <w:pPr>
              <w:jc w:val="center"/>
              <w:rPr>
                <w:color w:val="auto"/>
                <w:highlight w:val="none"/>
              </w:rPr>
            </w:pPr>
          </w:p>
        </w:tc>
      </w:tr>
      <w:tr w14:paraId="3C91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1083" w:type="dxa"/>
            <w:vAlign w:val="center"/>
          </w:tcPr>
          <w:p w14:paraId="6648A36C">
            <w:pPr>
              <w:jc w:val="center"/>
              <w:rPr>
                <w:color w:val="auto"/>
                <w:highlight w:val="none"/>
              </w:rPr>
            </w:pPr>
            <w:r>
              <w:rPr>
                <w:rFonts w:hint="eastAsia"/>
                <w:color w:val="auto"/>
                <w:highlight w:val="none"/>
              </w:rPr>
              <w:t>职务</w:t>
            </w:r>
          </w:p>
        </w:tc>
        <w:tc>
          <w:tcPr>
            <w:tcW w:w="2340" w:type="dxa"/>
            <w:gridSpan w:val="3"/>
            <w:vAlign w:val="center"/>
          </w:tcPr>
          <w:p w14:paraId="0BB25A60">
            <w:pPr>
              <w:jc w:val="center"/>
              <w:rPr>
                <w:color w:val="auto"/>
                <w:highlight w:val="none"/>
              </w:rPr>
            </w:pPr>
          </w:p>
        </w:tc>
        <w:tc>
          <w:tcPr>
            <w:tcW w:w="1893" w:type="dxa"/>
            <w:gridSpan w:val="2"/>
            <w:vAlign w:val="center"/>
          </w:tcPr>
          <w:p w14:paraId="5441DD2E">
            <w:pPr>
              <w:jc w:val="center"/>
              <w:rPr>
                <w:color w:val="auto"/>
                <w:highlight w:val="none"/>
              </w:rPr>
            </w:pPr>
            <w:r>
              <w:rPr>
                <w:rFonts w:hint="eastAsia"/>
                <w:color w:val="auto"/>
                <w:highlight w:val="none"/>
              </w:rPr>
              <w:t>职称</w:t>
            </w:r>
          </w:p>
        </w:tc>
        <w:tc>
          <w:tcPr>
            <w:tcW w:w="1585" w:type="dxa"/>
            <w:gridSpan w:val="2"/>
            <w:vAlign w:val="center"/>
          </w:tcPr>
          <w:p w14:paraId="7DCF1269">
            <w:pPr>
              <w:jc w:val="center"/>
              <w:rPr>
                <w:color w:val="auto"/>
                <w:highlight w:val="none"/>
              </w:rPr>
            </w:pPr>
          </w:p>
        </w:tc>
        <w:tc>
          <w:tcPr>
            <w:tcW w:w="1108" w:type="dxa"/>
            <w:gridSpan w:val="2"/>
            <w:vAlign w:val="center"/>
          </w:tcPr>
          <w:p w14:paraId="0C024B25">
            <w:pPr>
              <w:jc w:val="center"/>
              <w:rPr>
                <w:color w:val="auto"/>
                <w:highlight w:val="none"/>
              </w:rPr>
            </w:pPr>
            <w:r>
              <w:rPr>
                <w:rFonts w:hint="eastAsia"/>
                <w:color w:val="auto"/>
                <w:highlight w:val="none"/>
              </w:rPr>
              <w:t>学历</w:t>
            </w:r>
          </w:p>
        </w:tc>
        <w:tc>
          <w:tcPr>
            <w:tcW w:w="1276" w:type="dxa"/>
            <w:vAlign w:val="center"/>
          </w:tcPr>
          <w:p w14:paraId="4F098DCD">
            <w:pPr>
              <w:jc w:val="center"/>
              <w:rPr>
                <w:color w:val="auto"/>
                <w:highlight w:val="none"/>
              </w:rPr>
            </w:pPr>
          </w:p>
        </w:tc>
      </w:tr>
      <w:tr w14:paraId="36556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3423" w:type="dxa"/>
            <w:gridSpan w:val="4"/>
            <w:vAlign w:val="center"/>
          </w:tcPr>
          <w:p w14:paraId="41E39A35">
            <w:pPr>
              <w:jc w:val="center"/>
              <w:rPr>
                <w:color w:val="auto"/>
                <w:highlight w:val="none"/>
              </w:rPr>
            </w:pPr>
            <w:r>
              <w:rPr>
                <w:rFonts w:hint="eastAsia"/>
                <w:color w:val="auto"/>
                <w:highlight w:val="none"/>
              </w:rPr>
              <w:t>参加工作时间</w:t>
            </w:r>
          </w:p>
        </w:tc>
        <w:tc>
          <w:tcPr>
            <w:tcW w:w="1893" w:type="dxa"/>
            <w:gridSpan w:val="2"/>
            <w:vAlign w:val="center"/>
          </w:tcPr>
          <w:p w14:paraId="539FB42D">
            <w:pPr>
              <w:jc w:val="center"/>
              <w:rPr>
                <w:color w:val="auto"/>
                <w:highlight w:val="none"/>
              </w:rPr>
            </w:pPr>
          </w:p>
        </w:tc>
        <w:tc>
          <w:tcPr>
            <w:tcW w:w="2693" w:type="dxa"/>
            <w:gridSpan w:val="4"/>
            <w:vAlign w:val="center"/>
          </w:tcPr>
          <w:p w14:paraId="30D002C8">
            <w:pPr>
              <w:jc w:val="center"/>
              <w:rPr>
                <w:color w:val="auto"/>
                <w:highlight w:val="none"/>
              </w:rPr>
            </w:pPr>
            <w:r>
              <w:rPr>
                <w:rFonts w:hint="eastAsia"/>
                <w:color w:val="auto"/>
                <w:highlight w:val="none"/>
              </w:rPr>
              <w:t>担任安全员年限</w:t>
            </w:r>
          </w:p>
        </w:tc>
        <w:tc>
          <w:tcPr>
            <w:tcW w:w="1276" w:type="dxa"/>
            <w:vAlign w:val="center"/>
          </w:tcPr>
          <w:p w14:paraId="370783BB">
            <w:pPr>
              <w:jc w:val="center"/>
              <w:rPr>
                <w:color w:val="auto"/>
                <w:highlight w:val="none"/>
              </w:rPr>
            </w:pPr>
          </w:p>
        </w:tc>
      </w:tr>
      <w:tr w14:paraId="46E2A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vAlign w:val="center"/>
          </w:tcPr>
          <w:p w14:paraId="050E3A63">
            <w:pPr>
              <w:jc w:val="center"/>
              <w:rPr>
                <w:color w:val="auto"/>
                <w:highlight w:val="none"/>
              </w:rPr>
            </w:pPr>
            <w:r>
              <w:rPr>
                <w:rFonts w:hint="eastAsia"/>
                <w:color w:val="auto"/>
                <w:highlight w:val="none"/>
              </w:rPr>
              <w:t>专职安全员岗位证书编号</w:t>
            </w:r>
          </w:p>
        </w:tc>
        <w:tc>
          <w:tcPr>
            <w:tcW w:w="5862" w:type="dxa"/>
            <w:gridSpan w:val="7"/>
            <w:vAlign w:val="center"/>
          </w:tcPr>
          <w:p w14:paraId="0DE28A5C">
            <w:pPr>
              <w:jc w:val="center"/>
              <w:rPr>
                <w:color w:val="auto"/>
                <w:highlight w:val="none"/>
              </w:rPr>
            </w:pPr>
          </w:p>
        </w:tc>
      </w:tr>
      <w:tr w14:paraId="7A3FD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3423" w:type="dxa"/>
            <w:gridSpan w:val="4"/>
            <w:vAlign w:val="center"/>
          </w:tcPr>
          <w:p w14:paraId="011BB688">
            <w:pPr>
              <w:jc w:val="center"/>
              <w:rPr>
                <w:color w:val="auto"/>
                <w:highlight w:val="none"/>
              </w:rPr>
            </w:pPr>
            <w:r>
              <w:rPr>
                <w:rFonts w:hint="eastAsia"/>
                <w:color w:val="auto"/>
                <w:highlight w:val="none"/>
              </w:rPr>
              <w:t>安全生产考核合格证书编号</w:t>
            </w:r>
          </w:p>
        </w:tc>
        <w:tc>
          <w:tcPr>
            <w:tcW w:w="5862" w:type="dxa"/>
            <w:gridSpan w:val="7"/>
            <w:vAlign w:val="center"/>
          </w:tcPr>
          <w:p w14:paraId="1F361E94">
            <w:pPr>
              <w:jc w:val="center"/>
              <w:rPr>
                <w:color w:val="auto"/>
                <w:highlight w:val="none"/>
              </w:rPr>
            </w:pPr>
          </w:p>
        </w:tc>
      </w:tr>
      <w:tr w14:paraId="5633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285" w:type="dxa"/>
            <w:gridSpan w:val="11"/>
            <w:vAlign w:val="center"/>
          </w:tcPr>
          <w:p w14:paraId="7F074D73">
            <w:pPr>
              <w:jc w:val="center"/>
              <w:rPr>
                <w:color w:val="auto"/>
                <w:highlight w:val="none"/>
              </w:rPr>
            </w:pPr>
            <w:r>
              <w:rPr>
                <w:rFonts w:hint="eastAsia"/>
                <w:color w:val="auto"/>
                <w:highlight w:val="none"/>
              </w:rPr>
              <w:t>在建和已完工程项目情况</w:t>
            </w:r>
          </w:p>
        </w:tc>
      </w:tr>
      <w:tr w14:paraId="51D4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547" w:type="dxa"/>
            <w:gridSpan w:val="2"/>
            <w:vAlign w:val="center"/>
          </w:tcPr>
          <w:p w14:paraId="0242B870">
            <w:pPr>
              <w:jc w:val="center"/>
              <w:rPr>
                <w:color w:val="auto"/>
                <w:highlight w:val="none"/>
              </w:rPr>
            </w:pPr>
            <w:r>
              <w:rPr>
                <w:rFonts w:hint="eastAsia"/>
                <w:color w:val="auto"/>
                <w:highlight w:val="none"/>
              </w:rPr>
              <w:t>建设单位</w:t>
            </w:r>
          </w:p>
        </w:tc>
        <w:tc>
          <w:tcPr>
            <w:tcW w:w="1548" w:type="dxa"/>
            <w:vAlign w:val="center"/>
          </w:tcPr>
          <w:p w14:paraId="54AA6087">
            <w:pPr>
              <w:jc w:val="center"/>
              <w:rPr>
                <w:color w:val="auto"/>
                <w:highlight w:val="none"/>
              </w:rPr>
            </w:pPr>
            <w:r>
              <w:rPr>
                <w:rFonts w:hint="eastAsia"/>
                <w:color w:val="auto"/>
                <w:highlight w:val="none"/>
              </w:rPr>
              <w:t>项目名称</w:t>
            </w:r>
          </w:p>
        </w:tc>
        <w:tc>
          <w:tcPr>
            <w:tcW w:w="1547" w:type="dxa"/>
            <w:gridSpan w:val="2"/>
            <w:vAlign w:val="center"/>
          </w:tcPr>
          <w:p w14:paraId="2745EB98">
            <w:pPr>
              <w:jc w:val="center"/>
              <w:rPr>
                <w:color w:val="auto"/>
                <w:highlight w:val="none"/>
              </w:rPr>
            </w:pPr>
            <w:r>
              <w:rPr>
                <w:rFonts w:hint="eastAsia"/>
                <w:color w:val="auto"/>
                <w:highlight w:val="none"/>
              </w:rPr>
              <w:t>建设规模</w:t>
            </w:r>
          </w:p>
        </w:tc>
        <w:tc>
          <w:tcPr>
            <w:tcW w:w="1548" w:type="dxa"/>
            <w:gridSpan w:val="2"/>
            <w:vAlign w:val="center"/>
          </w:tcPr>
          <w:p w14:paraId="406BFAD0">
            <w:pPr>
              <w:jc w:val="center"/>
              <w:rPr>
                <w:color w:val="auto"/>
                <w:highlight w:val="none"/>
              </w:rPr>
            </w:pPr>
            <w:r>
              <w:rPr>
                <w:rFonts w:hint="eastAsia"/>
                <w:color w:val="auto"/>
                <w:highlight w:val="none"/>
              </w:rPr>
              <w:t>开、竣工日期</w:t>
            </w:r>
          </w:p>
        </w:tc>
        <w:tc>
          <w:tcPr>
            <w:tcW w:w="1547" w:type="dxa"/>
            <w:gridSpan w:val="2"/>
            <w:vAlign w:val="center"/>
          </w:tcPr>
          <w:p w14:paraId="0981DA2D">
            <w:pPr>
              <w:jc w:val="center"/>
              <w:rPr>
                <w:color w:val="auto"/>
                <w:highlight w:val="none"/>
              </w:rPr>
            </w:pPr>
            <w:r>
              <w:rPr>
                <w:rFonts w:hint="eastAsia"/>
                <w:color w:val="auto"/>
                <w:highlight w:val="none"/>
              </w:rPr>
              <w:t>在建或已完</w:t>
            </w:r>
          </w:p>
        </w:tc>
        <w:tc>
          <w:tcPr>
            <w:tcW w:w="1548" w:type="dxa"/>
            <w:gridSpan w:val="2"/>
            <w:vAlign w:val="center"/>
          </w:tcPr>
          <w:p w14:paraId="559BB74E">
            <w:pPr>
              <w:jc w:val="center"/>
              <w:rPr>
                <w:color w:val="auto"/>
                <w:highlight w:val="none"/>
              </w:rPr>
            </w:pPr>
            <w:r>
              <w:rPr>
                <w:rFonts w:hint="eastAsia"/>
                <w:color w:val="auto"/>
                <w:highlight w:val="none"/>
              </w:rPr>
              <w:t>工程质量</w:t>
            </w:r>
          </w:p>
        </w:tc>
      </w:tr>
      <w:tr w14:paraId="56DB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4DEB801D">
            <w:pPr>
              <w:jc w:val="center"/>
              <w:rPr>
                <w:color w:val="auto"/>
                <w:highlight w:val="none"/>
              </w:rPr>
            </w:pPr>
          </w:p>
        </w:tc>
        <w:tc>
          <w:tcPr>
            <w:tcW w:w="1548" w:type="dxa"/>
            <w:vAlign w:val="center"/>
          </w:tcPr>
          <w:p w14:paraId="5E9EBB70">
            <w:pPr>
              <w:jc w:val="center"/>
              <w:rPr>
                <w:color w:val="auto"/>
                <w:highlight w:val="none"/>
              </w:rPr>
            </w:pPr>
          </w:p>
        </w:tc>
        <w:tc>
          <w:tcPr>
            <w:tcW w:w="1547" w:type="dxa"/>
            <w:gridSpan w:val="2"/>
            <w:vAlign w:val="center"/>
          </w:tcPr>
          <w:p w14:paraId="0A89AEE7">
            <w:pPr>
              <w:jc w:val="center"/>
              <w:rPr>
                <w:color w:val="auto"/>
                <w:highlight w:val="none"/>
              </w:rPr>
            </w:pPr>
          </w:p>
        </w:tc>
        <w:tc>
          <w:tcPr>
            <w:tcW w:w="1548" w:type="dxa"/>
            <w:gridSpan w:val="2"/>
            <w:vAlign w:val="center"/>
          </w:tcPr>
          <w:p w14:paraId="5F078704">
            <w:pPr>
              <w:jc w:val="center"/>
              <w:rPr>
                <w:color w:val="auto"/>
                <w:highlight w:val="none"/>
              </w:rPr>
            </w:pPr>
          </w:p>
        </w:tc>
        <w:tc>
          <w:tcPr>
            <w:tcW w:w="1547" w:type="dxa"/>
            <w:gridSpan w:val="2"/>
            <w:vAlign w:val="center"/>
          </w:tcPr>
          <w:p w14:paraId="3ED3A003">
            <w:pPr>
              <w:jc w:val="center"/>
              <w:rPr>
                <w:color w:val="auto"/>
                <w:highlight w:val="none"/>
              </w:rPr>
            </w:pPr>
          </w:p>
        </w:tc>
        <w:tc>
          <w:tcPr>
            <w:tcW w:w="1548" w:type="dxa"/>
            <w:gridSpan w:val="2"/>
            <w:vAlign w:val="center"/>
          </w:tcPr>
          <w:p w14:paraId="57AE5AB8">
            <w:pPr>
              <w:jc w:val="center"/>
              <w:rPr>
                <w:color w:val="auto"/>
                <w:highlight w:val="none"/>
              </w:rPr>
            </w:pPr>
          </w:p>
        </w:tc>
      </w:tr>
      <w:tr w14:paraId="3D7C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32EF4650">
            <w:pPr>
              <w:jc w:val="center"/>
              <w:rPr>
                <w:color w:val="auto"/>
                <w:highlight w:val="none"/>
              </w:rPr>
            </w:pPr>
          </w:p>
        </w:tc>
        <w:tc>
          <w:tcPr>
            <w:tcW w:w="1548" w:type="dxa"/>
            <w:vAlign w:val="center"/>
          </w:tcPr>
          <w:p w14:paraId="20692AFB">
            <w:pPr>
              <w:jc w:val="center"/>
              <w:rPr>
                <w:color w:val="auto"/>
                <w:highlight w:val="none"/>
              </w:rPr>
            </w:pPr>
          </w:p>
        </w:tc>
        <w:tc>
          <w:tcPr>
            <w:tcW w:w="1547" w:type="dxa"/>
            <w:gridSpan w:val="2"/>
            <w:vAlign w:val="center"/>
          </w:tcPr>
          <w:p w14:paraId="7DA29055">
            <w:pPr>
              <w:jc w:val="center"/>
              <w:rPr>
                <w:color w:val="auto"/>
                <w:highlight w:val="none"/>
              </w:rPr>
            </w:pPr>
          </w:p>
        </w:tc>
        <w:tc>
          <w:tcPr>
            <w:tcW w:w="1548" w:type="dxa"/>
            <w:gridSpan w:val="2"/>
            <w:vAlign w:val="center"/>
          </w:tcPr>
          <w:p w14:paraId="60881313">
            <w:pPr>
              <w:jc w:val="center"/>
              <w:rPr>
                <w:color w:val="auto"/>
                <w:highlight w:val="none"/>
              </w:rPr>
            </w:pPr>
          </w:p>
        </w:tc>
        <w:tc>
          <w:tcPr>
            <w:tcW w:w="1547" w:type="dxa"/>
            <w:gridSpan w:val="2"/>
            <w:vAlign w:val="center"/>
          </w:tcPr>
          <w:p w14:paraId="5F50A607">
            <w:pPr>
              <w:jc w:val="center"/>
              <w:rPr>
                <w:color w:val="auto"/>
                <w:highlight w:val="none"/>
              </w:rPr>
            </w:pPr>
          </w:p>
        </w:tc>
        <w:tc>
          <w:tcPr>
            <w:tcW w:w="1548" w:type="dxa"/>
            <w:gridSpan w:val="2"/>
            <w:vAlign w:val="center"/>
          </w:tcPr>
          <w:p w14:paraId="33FE4A7D">
            <w:pPr>
              <w:jc w:val="center"/>
              <w:rPr>
                <w:color w:val="auto"/>
                <w:highlight w:val="none"/>
              </w:rPr>
            </w:pPr>
          </w:p>
        </w:tc>
      </w:tr>
      <w:tr w14:paraId="443B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547" w:type="dxa"/>
            <w:gridSpan w:val="2"/>
            <w:vAlign w:val="center"/>
          </w:tcPr>
          <w:p w14:paraId="675A0D90">
            <w:pPr>
              <w:jc w:val="center"/>
              <w:rPr>
                <w:color w:val="auto"/>
                <w:highlight w:val="none"/>
              </w:rPr>
            </w:pPr>
          </w:p>
        </w:tc>
        <w:tc>
          <w:tcPr>
            <w:tcW w:w="1548" w:type="dxa"/>
            <w:vAlign w:val="center"/>
          </w:tcPr>
          <w:p w14:paraId="04C73D56">
            <w:pPr>
              <w:jc w:val="center"/>
              <w:rPr>
                <w:color w:val="auto"/>
                <w:highlight w:val="none"/>
              </w:rPr>
            </w:pPr>
          </w:p>
        </w:tc>
        <w:tc>
          <w:tcPr>
            <w:tcW w:w="1547" w:type="dxa"/>
            <w:gridSpan w:val="2"/>
            <w:vAlign w:val="center"/>
          </w:tcPr>
          <w:p w14:paraId="6A88AE8F">
            <w:pPr>
              <w:jc w:val="center"/>
              <w:rPr>
                <w:color w:val="auto"/>
                <w:highlight w:val="none"/>
              </w:rPr>
            </w:pPr>
          </w:p>
        </w:tc>
        <w:tc>
          <w:tcPr>
            <w:tcW w:w="1548" w:type="dxa"/>
            <w:gridSpan w:val="2"/>
            <w:vAlign w:val="center"/>
          </w:tcPr>
          <w:p w14:paraId="189D8522">
            <w:pPr>
              <w:jc w:val="center"/>
              <w:rPr>
                <w:color w:val="auto"/>
                <w:highlight w:val="none"/>
              </w:rPr>
            </w:pPr>
          </w:p>
        </w:tc>
        <w:tc>
          <w:tcPr>
            <w:tcW w:w="1547" w:type="dxa"/>
            <w:gridSpan w:val="2"/>
            <w:vAlign w:val="center"/>
          </w:tcPr>
          <w:p w14:paraId="6E093361">
            <w:pPr>
              <w:jc w:val="center"/>
              <w:rPr>
                <w:color w:val="auto"/>
                <w:highlight w:val="none"/>
              </w:rPr>
            </w:pPr>
          </w:p>
        </w:tc>
        <w:tc>
          <w:tcPr>
            <w:tcW w:w="1548" w:type="dxa"/>
            <w:gridSpan w:val="2"/>
            <w:vAlign w:val="center"/>
          </w:tcPr>
          <w:p w14:paraId="7204FBC2">
            <w:pPr>
              <w:jc w:val="center"/>
              <w:rPr>
                <w:color w:val="auto"/>
                <w:highlight w:val="none"/>
              </w:rPr>
            </w:pPr>
          </w:p>
        </w:tc>
      </w:tr>
      <w:tr w14:paraId="5162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47" w:type="dxa"/>
            <w:gridSpan w:val="2"/>
            <w:vAlign w:val="center"/>
          </w:tcPr>
          <w:p w14:paraId="2E5998B8">
            <w:pPr>
              <w:jc w:val="center"/>
              <w:rPr>
                <w:color w:val="auto"/>
                <w:highlight w:val="none"/>
              </w:rPr>
            </w:pPr>
          </w:p>
        </w:tc>
        <w:tc>
          <w:tcPr>
            <w:tcW w:w="1548" w:type="dxa"/>
            <w:vAlign w:val="center"/>
          </w:tcPr>
          <w:p w14:paraId="3E44A79B">
            <w:pPr>
              <w:jc w:val="center"/>
              <w:rPr>
                <w:color w:val="auto"/>
                <w:highlight w:val="none"/>
              </w:rPr>
            </w:pPr>
          </w:p>
        </w:tc>
        <w:tc>
          <w:tcPr>
            <w:tcW w:w="1547" w:type="dxa"/>
            <w:gridSpan w:val="2"/>
            <w:vAlign w:val="center"/>
          </w:tcPr>
          <w:p w14:paraId="6ADEBA33">
            <w:pPr>
              <w:jc w:val="center"/>
              <w:rPr>
                <w:color w:val="auto"/>
                <w:highlight w:val="none"/>
              </w:rPr>
            </w:pPr>
          </w:p>
        </w:tc>
        <w:tc>
          <w:tcPr>
            <w:tcW w:w="1548" w:type="dxa"/>
            <w:gridSpan w:val="2"/>
            <w:vAlign w:val="center"/>
          </w:tcPr>
          <w:p w14:paraId="7D9A2F02">
            <w:pPr>
              <w:jc w:val="center"/>
              <w:rPr>
                <w:color w:val="auto"/>
                <w:highlight w:val="none"/>
              </w:rPr>
            </w:pPr>
          </w:p>
        </w:tc>
        <w:tc>
          <w:tcPr>
            <w:tcW w:w="1547" w:type="dxa"/>
            <w:gridSpan w:val="2"/>
            <w:vAlign w:val="center"/>
          </w:tcPr>
          <w:p w14:paraId="1F0A62EE">
            <w:pPr>
              <w:jc w:val="center"/>
              <w:rPr>
                <w:color w:val="auto"/>
                <w:highlight w:val="none"/>
              </w:rPr>
            </w:pPr>
          </w:p>
        </w:tc>
        <w:tc>
          <w:tcPr>
            <w:tcW w:w="1548" w:type="dxa"/>
            <w:gridSpan w:val="2"/>
            <w:vAlign w:val="center"/>
          </w:tcPr>
          <w:p w14:paraId="6C81FA08">
            <w:pPr>
              <w:jc w:val="center"/>
              <w:rPr>
                <w:color w:val="auto"/>
                <w:highlight w:val="none"/>
              </w:rPr>
            </w:pPr>
          </w:p>
        </w:tc>
      </w:tr>
    </w:tbl>
    <w:p w14:paraId="37AFFD67">
      <w:pPr>
        <w:spacing w:line="360" w:lineRule="auto"/>
        <w:rPr>
          <w:color w:val="auto"/>
          <w:szCs w:val="21"/>
          <w:highlight w:val="none"/>
        </w:rPr>
      </w:pPr>
    </w:p>
    <w:p w14:paraId="759918B4">
      <w:pPr>
        <w:spacing w:before="120" w:beforeLines="50"/>
        <w:ind w:firstLine="420" w:firstLineChars="200"/>
        <w:rPr>
          <w:rFonts w:eastAsia="楷体_GB2312"/>
          <w:color w:val="auto"/>
          <w:highlight w:val="none"/>
        </w:rPr>
      </w:pPr>
      <w:r>
        <w:rPr>
          <w:rFonts w:hint="eastAsia" w:eastAsia="楷体_GB2312"/>
          <w:color w:val="auto"/>
          <w:highlight w:val="none"/>
        </w:rPr>
        <w:t>备注：附专职安全员身份证、安全生产考核合格证书（C类）复印件加盖供应商电子签章。</w:t>
      </w:r>
    </w:p>
    <w:p w14:paraId="0D55ABC0">
      <w:pPr>
        <w:jc w:val="left"/>
        <w:rPr>
          <w:rFonts w:ascii="宋体" w:hAnsi="宋体" w:cs="宋体"/>
          <w:b/>
          <w:color w:val="auto"/>
          <w:sz w:val="32"/>
          <w:szCs w:val="32"/>
          <w:highlight w:val="none"/>
        </w:rPr>
      </w:pPr>
      <w:r>
        <w:rPr>
          <w:rFonts w:hint="eastAsia" w:ascii="宋体" w:hAnsi="宋体" w:cs="仿宋_GB2312"/>
          <w:b/>
          <w:color w:val="auto"/>
          <w:kern w:val="0"/>
          <w:sz w:val="30"/>
          <w:szCs w:val="30"/>
          <w:highlight w:val="none"/>
        </w:rPr>
        <w:br w:type="page"/>
      </w:r>
      <w:r>
        <w:rPr>
          <w:rFonts w:hint="eastAsia" w:ascii="宋体" w:hAnsi="宋体" w:cs="仿宋_GB2312"/>
          <w:b/>
          <w:color w:val="auto"/>
          <w:kern w:val="0"/>
          <w:sz w:val="30"/>
          <w:szCs w:val="30"/>
          <w:highlight w:val="none"/>
        </w:rPr>
        <w:t>5.</w:t>
      </w:r>
      <w:r>
        <w:rPr>
          <w:rFonts w:hint="eastAsia" w:ascii="宋体" w:hAnsi="宋体" w:cs="宋体"/>
          <w:b/>
          <w:color w:val="auto"/>
          <w:sz w:val="32"/>
          <w:szCs w:val="32"/>
          <w:highlight w:val="none"/>
        </w:rPr>
        <w:t>项目管理机构配备情况表</w:t>
      </w:r>
    </w:p>
    <w:p w14:paraId="2AAAB00E">
      <w:pPr>
        <w:pStyle w:val="411"/>
        <w:ind w:left="420" w:firstLine="420"/>
        <w:rPr>
          <w:rFonts w:ascii="宋体" w:hAnsi="宋体" w:cs="宋体"/>
          <w:color w:val="auto"/>
          <w:highlight w:val="none"/>
          <w:u w:val="single"/>
        </w:rPr>
      </w:pPr>
    </w:p>
    <w:p w14:paraId="7130D19D">
      <w:pPr>
        <w:pStyle w:val="411"/>
        <w:ind w:left="420" w:firstLine="420"/>
        <w:rPr>
          <w:rFonts w:ascii="宋体" w:hAnsi="宋体" w:cs="宋体"/>
          <w:color w:val="auto"/>
          <w:highlight w:val="none"/>
        </w:rPr>
      </w:pPr>
      <w:bookmarkStart w:id="95" w:name="_Toc251052185"/>
      <w:r>
        <w:rPr>
          <w:rFonts w:hint="eastAsia" w:ascii="宋体" w:hAnsi="宋体" w:cs="宋体"/>
          <w:color w:val="auto"/>
          <w:highlight w:val="none"/>
        </w:rPr>
        <w:t xml:space="preserve"> </w:t>
      </w:r>
      <w:bookmarkEnd w:id="95"/>
    </w:p>
    <w:tbl>
      <w:tblPr>
        <w:tblStyle w:val="55"/>
        <w:tblW w:w="93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29"/>
        <w:gridCol w:w="816"/>
        <w:gridCol w:w="1148"/>
        <w:gridCol w:w="1148"/>
        <w:gridCol w:w="1148"/>
        <w:gridCol w:w="1148"/>
        <w:gridCol w:w="850"/>
        <w:gridCol w:w="1276"/>
      </w:tblGrid>
      <w:tr w14:paraId="2D4E8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vAlign w:val="center"/>
          </w:tcPr>
          <w:p w14:paraId="78E66DA4">
            <w:pPr>
              <w:ind w:left="223" w:hanging="222" w:hangingChars="106"/>
              <w:jc w:val="center"/>
              <w:rPr>
                <w:color w:val="auto"/>
                <w:highlight w:val="none"/>
              </w:rPr>
            </w:pPr>
            <w:r>
              <w:rPr>
                <w:rFonts w:hint="eastAsia"/>
                <w:color w:val="auto"/>
                <w:highlight w:val="none"/>
              </w:rPr>
              <w:t>岗位</w:t>
            </w:r>
          </w:p>
        </w:tc>
        <w:tc>
          <w:tcPr>
            <w:tcW w:w="829" w:type="dxa"/>
            <w:vMerge w:val="restart"/>
            <w:vAlign w:val="center"/>
          </w:tcPr>
          <w:p w14:paraId="3B09254A">
            <w:pPr>
              <w:ind w:left="223" w:hanging="222" w:hangingChars="106"/>
              <w:jc w:val="center"/>
              <w:rPr>
                <w:color w:val="auto"/>
                <w:highlight w:val="none"/>
              </w:rPr>
            </w:pPr>
            <w:bookmarkStart w:id="96" w:name="_Toc251052187"/>
            <w:r>
              <w:rPr>
                <w:rFonts w:hint="eastAsia"/>
                <w:color w:val="auto"/>
                <w:highlight w:val="none"/>
              </w:rPr>
              <w:t>姓名</w:t>
            </w:r>
            <w:bookmarkEnd w:id="96"/>
          </w:p>
        </w:tc>
        <w:tc>
          <w:tcPr>
            <w:tcW w:w="816" w:type="dxa"/>
            <w:vMerge w:val="restart"/>
            <w:vAlign w:val="center"/>
          </w:tcPr>
          <w:p w14:paraId="68E85355">
            <w:pPr>
              <w:ind w:left="223" w:hanging="222" w:hangingChars="106"/>
              <w:jc w:val="center"/>
              <w:rPr>
                <w:color w:val="auto"/>
                <w:highlight w:val="none"/>
              </w:rPr>
            </w:pPr>
            <w:bookmarkStart w:id="97" w:name="_Toc251052188"/>
            <w:r>
              <w:rPr>
                <w:rFonts w:hint="eastAsia"/>
                <w:color w:val="auto"/>
                <w:highlight w:val="none"/>
              </w:rPr>
              <w:t>职称</w:t>
            </w:r>
            <w:bookmarkEnd w:id="97"/>
          </w:p>
        </w:tc>
        <w:tc>
          <w:tcPr>
            <w:tcW w:w="4592" w:type="dxa"/>
            <w:gridSpan w:val="4"/>
            <w:vAlign w:val="center"/>
          </w:tcPr>
          <w:p w14:paraId="33D1E0B6">
            <w:pPr>
              <w:ind w:left="223" w:hanging="222" w:hangingChars="106"/>
              <w:jc w:val="center"/>
              <w:rPr>
                <w:color w:val="auto"/>
                <w:highlight w:val="none"/>
              </w:rPr>
            </w:pPr>
            <w:bookmarkStart w:id="98" w:name="_Toc251052189"/>
            <w:r>
              <w:rPr>
                <w:rFonts w:hint="eastAsia"/>
                <w:color w:val="auto"/>
                <w:highlight w:val="none"/>
              </w:rPr>
              <w:t>执业或职业资格证明</w:t>
            </w:r>
            <w:bookmarkEnd w:id="98"/>
          </w:p>
        </w:tc>
        <w:tc>
          <w:tcPr>
            <w:tcW w:w="2126" w:type="dxa"/>
            <w:gridSpan w:val="2"/>
            <w:vAlign w:val="center"/>
          </w:tcPr>
          <w:p w14:paraId="15A67120">
            <w:pPr>
              <w:ind w:left="223" w:hanging="222" w:hangingChars="106"/>
              <w:jc w:val="center"/>
              <w:rPr>
                <w:color w:val="auto"/>
                <w:highlight w:val="none"/>
              </w:rPr>
            </w:pPr>
            <w:bookmarkStart w:id="99" w:name="_Toc251052190"/>
            <w:r>
              <w:rPr>
                <w:rFonts w:hint="eastAsia"/>
                <w:color w:val="auto"/>
                <w:highlight w:val="none"/>
              </w:rPr>
              <w:t>承担完工</w:t>
            </w:r>
            <w:bookmarkEnd w:id="99"/>
            <w:bookmarkStart w:id="100" w:name="_Toc251052191"/>
            <w:r>
              <w:rPr>
                <w:rFonts w:hint="eastAsia"/>
                <w:color w:val="auto"/>
                <w:highlight w:val="none"/>
              </w:rPr>
              <w:t>工程情况</w:t>
            </w:r>
            <w:bookmarkEnd w:id="100"/>
          </w:p>
        </w:tc>
      </w:tr>
      <w:tr w14:paraId="3ACAB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vAlign w:val="center"/>
          </w:tcPr>
          <w:p w14:paraId="385BFEE3">
            <w:pPr>
              <w:ind w:left="223" w:hanging="222" w:hangingChars="106"/>
              <w:jc w:val="center"/>
              <w:rPr>
                <w:color w:val="auto"/>
                <w:highlight w:val="none"/>
              </w:rPr>
            </w:pPr>
          </w:p>
        </w:tc>
        <w:tc>
          <w:tcPr>
            <w:tcW w:w="829" w:type="dxa"/>
            <w:vMerge w:val="continue"/>
            <w:vAlign w:val="center"/>
          </w:tcPr>
          <w:p w14:paraId="3C4E1B3D">
            <w:pPr>
              <w:ind w:left="223" w:hanging="222" w:hangingChars="106"/>
              <w:jc w:val="center"/>
              <w:rPr>
                <w:color w:val="auto"/>
                <w:highlight w:val="none"/>
              </w:rPr>
            </w:pPr>
          </w:p>
        </w:tc>
        <w:tc>
          <w:tcPr>
            <w:tcW w:w="816" w:type="dxa"/>
            <w:vMerge w:val="continue"/>
            <w:vAlign w:val="center"/>
          </w:tcPr>
          <w:p w14:paraId="1B77C5A9">
            <w:pPr>
              <w:ind w:left="223" w:hanging="222" w:hangingChars="106"/>
              <w:jc w:val="center"/>
              <w:rPr>
                <w:color w:val="auto"/>
                <w:highlight w:val="none"/>
              </w:rPr>
            </w:pPr>
          </w:p>
        </w:tc>
        <w:tc>
          <w:tcPr>
            <w:tcW w:w="1148" w:type="dxa"/>
            <w:vAlign w:val="center"/>
          </w:tcPr>
          <w:p w14:paraId="5CE69758">
            <w:pPr>
              <w:ind w:left="223" w:hanging="222" w:hangingChars="106"/>
              <w:jc w:val="center"/>
              <w:rPr>
                <w:color w:val="auto"/>
                <w:highlight w:val="none"/>
              </w:rPr>
            </w:pPr>
            <w:bookmarkStart w:id="101" w:name="_Toc251052192"/>
            <w:r>
              <w:rPr>
                <w:rFonts w:hint="eastAsia"/>
                <w:color w:val="auto"/>
                <w:highlight w:val="none"/>
              </w:rPr>
              <w:t>证书名称</w:t>
            </w:r>
            <w:bookmarkEnd w:id="101"/>
          </w:p>
        </w:tc>
        <w:tc>
          <w:tcPr>
            <w:tcW w:w="1148" w:type="dxa"/>
            <w:vAlign w:val="center"/>
          </w:tcPr>
          <w:p w14:paraId="1548F897">
            <w:pPr>
              <w:ind w:left="223" w:hanging="222" w:hangingChars="106"/>
              <w:jc w:val="center"/>
              <w:rPr>
                <w:color w:val="auto"/>
                <w:highlight w:val="none"/>
              </w:rPr>
            </w:pPr>
            <w:bookmarkStart w:id="102" w:name="_Toc251052193"/>
            <w:r>
              <w:rPr>
                <w:rFonts w:hint="eastAsia"/>
                <w:color w:val="auto"/>
                <w:highlight w:val="none"/>
              </w:rPr>
              <w:t>级别</w:t>
            </w:r>
            <w:bookmarkEnd w:id="102"/>
          </w:p>
        </w:tc>
        <w:tc>
          <w:tcPr>
            <w:tcW w:w="1148" w:type="dxa"/>
            <w:vAlign w:val="center"/>
          </w:tcPr>
          <w:p w14:paraId="2B7588BB">
            <w:pPr>
              <w:ind w:left="223" w:hanging="222" w:hangingChars="106"/>
              <w:jc w:val="center"/>
              <w:rPr>
                <w:color w:val="auto"/>
                <w:highlight w:val="none"/>
              </w:rPr>
            </w:pPr>
            <w:bookmarkStart w:id="103" w:name="_Toc251052194"/>
            <w:r>
              <w:rPr>
                <w:rFonts w:hint="eastAsia"/>
                <w:color w:val="auto"/>
                <w:highlight w:val="none"/>
              </w:rPr>
              <w:t>证号</w:t>
            </w:r>
            <w:bookmarkEnd w:id="103"/>
          </w:p>
        </w:tc>
        <w:tc>
          <w:tcPr>
            <w:tcW w:w="1148" w:type="dxa"/>
            <w:vAlign w:val="center"/>
          </w:tcPr>
          <w:p w14:paraId="570B3989">
            <w:pPr>
              <w:ind w:left="223" w:hanging="222" w:hangingChars="106"/>
              <w:jc w:val="center"/>
              <w:rPr>
                <w:color w:val="auto"/>
                <w:highlight w:val="none"/>
              </w:rPr>
            </w:pPr>
            <w:bookmarkStart w:id="104" w:name="_Toc251052195"/>
            <w:r>
              <w:rPr>
                <w:rFonts w:hint="eastAsia"/>
                <w:color w:val="auto"/>
                <w:highlight w:val="none"/>
              </w:rPr>
              <w:t>专业</w:t>
            </w:r>
            <w:bookmarkEnd w:id="104"/>
          </w:p>
        </w:tc>
        <w:tc>
          <w:tcPr>
            <w:tcW w:w="850" w:type="dxa"/>
            <w:vAlign w:val="center"/>
          </w:tcPr>
          <w:p w14:paraId="64AB212C">
            <w:pPr>
              <w:ind w:left="223" w:hanging="222" w:hangingChars="106"/>
              <w:jc w:val="center"/>
              <w:rPr>
                <w:color w:val="auto"/>
                <w:highlight w:val="none"/>
              </w:rPr>
            </w:pPr>
            <w:bookmarkStart w:id="105" w:name="_Toc251052197"/>
            <w:r>
              <w:rPr>
                <w:rFonts w:hint="eastAsia"/>
                <w:color w:val="auto"/>
                <w:highlight w:val="none"/>
              </w:rPr>
              <w:t>项目数</w:t>
            </w:r>
            <w:bookmarkEnd w:id="105"/>
          </w:p>
        </w:tc>
        <w:tc>
          <w:tcPr>
            <w:tcW w:w="1276" w:type="dxa"/>
            <w:vAlign w:val="center"/>
          </w:tcPr>
          <w:p w14:paraId="14247E1D">
            <w:pPr>
              <w:ind w:left="223" w:hanging="222" w:hangingChars="106"/>
              <w:jc w:val="center"/>
              <w:rPr>
                <w:color w:val="auto"/>
                <w:highlight w:val="none"/>
              </w:rPr>
            </w:pPr>
            <w:bookmarkStart w:id="106" w:name="_Toc251052198"/>
            <w:r>
              <w:rPr>
                <w:rFonts w:hint="eastAsia"/>
                <w:color w:val="auto"/>
                <w:highlight w:val="none"/>
              </w:rPr>
              <w:t>主要项目</w:t>
            </w:r>
          </w:p>
          <w:p w14:paraId="5706CBF1">
            <w:pPr>
              <w:ind w:left="223" w:hanging="222" w:hangingChars="106"/>
              <w:jc w:val="center"/>
              <w:rPr>
                <w:color w:val="auto"/>
                <w:highlight w:val="none"/>
              </w:rPr>
            </w:pPr>
            <w:r>
              <w:rPr>
                <w:rFonts w:hint="eastAsia"/>
                <w:color w:val="auto"/>
                <w:highlight w:val="none"/>
              </w:rPr>
              <w:t>名称</w:t>
            </w:r>
            <w:bookmarkEnd w:id="106"/>
          </w:p>
        </w:tc>
      </w:tr>
      <w:tr w14:paraId="7DE8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0E312717">
            <w:pPr>
              <w:ind w:left="223" w:hanging="222" w:hangingChars="106"/>
              <w:jc w:val="center"/>
              <w:rPr>
                <w:color w:val="auto"/>
                <w:szCs w:val="21"/>
                <w:highlight w:val="none"/>
              </w:rPr>
            </w:pPr>
            <w:r>
              <w:rPr>
                <w:rFonts w:hint="eastAsia"/>
                <w:color w:val="auto"/>
                <w:szCs w:val="21"/>
                <w:highlight w:val="none"/>
              </w:rPr>
              <w:t>施工员</w:t>
            </w:r>
          </w:p>
        </w:tc>
        <w:tc>
          <w:tcPr>
            <w:tcW w:w="829" w:type="dxa"/>
            <w:vAlign w:val="center"/>
          </w:tcPr>
          <w:p w14:paraId="0EB54D3D">
            <w:pPr>
              <w:ind w:left="223" w:hanging="222" w:hangingChars="106"/>
              <w:jc w:val="center"/>
              <w:rPr>
                <w:color w:val="auto"/>
                <w:highlight w:val="none"/>
              </w:rPr>
            </w:pPr>
          </w:p>
        </w:tc>
        <w:tc>
          <w:tcPr>
            <w:tcW w:w="816" w:type="dxa"/>
            <w:vAlign w:val="center"/>
          </w:tcPr>
          <w:p w14:paraId="5C60D342">
            <w:pPr>
              <w:ind w:left="223" w:hanging="222" w:hangingChars="106"/>
              <w:jc w:val="center"/>
              <w:rPr>
                <w:color w:val="auto"/>
                <w:highlight w:val="none"/>
              </w:rPr>
            </w:pPr>
          </w:p>
        </w:tc>
        <w:tc>
          <w:tcPr>
            <w:tcW w:w="1148" w:type="dxa"/>
            <w:vAlign w:val="center"/>
          </w:tcPr>
          <w:p w14:paraId="09956A5D">
            <w:pPr>
              <w:ind w:left="223" w:hanging="222" w:hangingChars="106"/>
              <w:jc w:val="center"/>
              <w:rPr>
                <w:color w:val="auto"/>
                <w:highlight w:val="none"/>
              </w:rPr>
            </w:pPr>
          </w:p>
        </w:tc>
        <w:tc>
          <w:tcPr>
            <w:tcW w:w="1148" w:type="dxa"/>
            <w:vAlign w:val="center"/>
          </w:tcPr>
          <w:p w14:paraId="441E2E07">
            <w:pPr>
              <w:ind w:left="223" w:hanging="222" w:hangingChars="106"/>
              <w:jc w:val="center"/>
              <w:rPr>
                <w:color w:val="auto"/>
                <w:highlight w:val="none"/>
              </w:rPr>
            </w:pPr>
          </w:p>
        </w:tc>
        <w:tc>
          <w:tcPr>
            <w:tcW w:w="1148" w:type="dxa"/>
            <w:vAlign w:val="center"/>
          </w:tcPr>
          <w:p w14:paraId="54D89DE1">
            <w:pPr>
              <w:ind w:left="223" w:hanging="222" w:hangingChars="106"/>
              <w:jc w:val="center"/>
              <w:rPr>
                <w:color w:val="auto"/>
                <w:highlight w:val="none"/>
              </w:rPr>
            </w:pPr>
          </w:p>
        </w:tc>
        <w:tc>
          <w:tcPr>
            <w:tcW w:w="1148" w:type="dxa"/>
            <w:vAlign w:val="center"/>
          </w:tcPr>
          <w:p w14:paraId="152DAAB1">
            <w:pPr>
              <w:ind w:left="223" w:hanging="222" w:hangingChars="106"/>
              <w:jc w:val="center"/>
              <w:rPr>
                <w:color w:val="auto"/>
                <w:highlight w:val="none"/>
              </w:rPr>
            </w:pPr>
          </w:p>
        </w:tc>
        <w:tc>
          <w:tcPr>
            <w:tcW w:w="850" w:type="dxa"/>
            <w:vAlign w:val="center"/>
          </w:tcPr>
          <w:p w14:paraId="13F9F5A3">
            <w:pPr>
              <w:ind w:left="223" w:hanging="222" w:hangingChars="106"/>
              <w:jc w:val="center"/>
              <w:rPr>
                <w:color w:val="auto"/>
                <w:highlight w:val="none"/>
              </w:rPr>
            </w:pPr>
          </w:p>
        </w:tc>
        <w:tc>
          <w:tcPr>
            <w:tcW w:w="1276" w:type="dxa"/>
            <w:vAlign w:val="center"/>
          </w:tcPr>
          <w:p w14:paraId="77511D91">
            <w:pPr>
              <w:ind w:left="223" w:hanging="222" w:hangingChars="106"/>
              <w:jc w:val="center"/>
              <w:rPr>
                <w:color w:val="auto"/>
                <w:highlight w:val="none"/>
              </w:rPr>
            </w:pPr>
          </w:p>
        </w:tc>
      </w:tr>
      <w:tr w14:paraId="6D4A3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5155EDEF">
            <w:pPr>
              <w:ind w:left="223" w:hanging="222" w:hangingChars="106"/>
              <w:jc w:val="center"/>
              <w:rPr>
                <w:rFonts w:hint="default" w:eastAsia="宋体"/>
                <w:color w:val="auto"/>
                <w:szCs w:val="21"/>
                <w:highlight w:val="none"/>
                <w:lang w:val="en-US" w:eastAsia="zh-CN"/>
              </w:rPr>
            </w:pPr>
          </w:p>
        </w:tc>
        <w:tc>
          <w:tcPr>
            <w:tcW w:w="829" w:type="dxa"/>
            <w:vAlign w:val="center"/>
          </w:tcPr>
          <w:p w14:paraId="6895D0D9">
            <w:pPr>
              <w:ind w:left="223" w:hanging="222" w:hangingChars="106"/>
              <w:jc w:val="center"/>
              <w:rPr>
                <w:color w:val="auto"/>
                <w:highlight w:val="none"/>
              </w:rPr>
            </w:pPr>
          </w:p>
        </w:tc>
        <w:tc>
          <w:tcPr>
            <w:tcW w:w="816" w:type="dxa"/>
            <w:vAlign w:val="center"/>
          </w:tcPr>
          <w:p w14:paraId="567A0BAB">
            <w:pPr>
              <w:ind w:left="223" w:hanging="222" w:hangingChars="106"/>
              <w:jc w:val="center"/>
              <w:rPr>
                <w:color w:val="auto"/>
                <w:highlight w:val="none"/>
              </w:rPr>
            </w:pPr>
          </w:p>
        </w:tc>
        <w:tc>
          <w:tcPr>
            <w:tcW w:w="1148" w:type="dxa"/>
            <w:vAlign w:val="center"/>
          </w:tcPr>
          <w:p w14:paraId="231E7C1C">
            <w:pPr>
              <w:ind w:left="223" w:hanging="222" w:hangingChars="106"/>
              <w:jc w:val="center"/>
              <w:rPr>
                <w:color w:val="auto"/>
                <w:highlight w:val="none"/>
              </w:rPr>
            </w:pPr>
          </w:p>
        </w:tc>
        <w:tc>
          <w:tcPr>
            <w:tcW w:w="1148" w:type="dxa"/>
            <w:vAlign w:val="center"/>
          </w:tcPr>
          <w:p w14:paraId="638C019B">
            <w:pPr>
              <w:ind w:left="223" w:hanging="222" w:hangingChars="106"/>
              <w:jc w:val="center"/>
              <w:rPr>
                <w:color w:val="auto"/>
                <w:highlight w:val="none"/>
              </w:rPr>
            </w:pPr>
          </w:p>
        </w:tc>
        <w:tc>
          <w:tcPr>
            <w:tcW w:w="1148" w:type="dxa"/>
            <w:vAlign w:val="center"/>
          </w:tcPr>
          <w:p w14:paraId="0D26836F">
            <w:pPr>
              <w:ind w:left="223" w:hanging="222" w:hangingChars="106"/>
              <w:jc w:val="center"/>
              <w:rPr>
                <w:color w:val="auto"/>
                <w:highlight w:val="none"/>
              </w:rPr>
            </w:pPr>
          </w:p>
        </w:tc>
        <w:tc>
          <w:tcPr>
            <w:tcW w:w="1148" w:type="dxa"/>
            <w:vAlign w:val="center"/>
          </w:tcPr>
          <w:p w14:paraId="198CF0EC">
            <w:pPr>
              <w:ind w:left="223" w:hanging="222" w:hangingChars="106"/>
              <w:jc w:val="center"/>
              <w:rPr>
                <w:color w:val="auto"/>
                <w:highlight w:val="none"/>
              </w:rPr>
            </w:pPr>
          </w:p>
        </w:tc>
        <w:tc>
          <w:tcPr>
            <w:tcW w:w="850" w:type="dxa"/>
            <w:vAlign w:val="center"/>
          </w:tcPr>
          <w:p w14:paraId="4F035F08">
            <w:pPr>
              <w:ind w:left="223" w:hanging="222" w:hangingChars="106"/>
              <w:jc w:val="center"/>
              <w:rPr>
                <w:color w:val="auto"/>
                <w:highlight w:val="none"/>
              </w:rPr>
            </w:pPr>
          </w:p>
        </w:tc>
        <w:tc>
          <w:tcPr>
            <w:tcW w:w="1276" w:type="dxa"/>
            <w:vAlign w:val="center"/>
          </w:tcPr>
          <w:p w14:paraId="4F6192D1">
            <w:pPr>
              <w:ind w:left="223" w:hanging="222" w:hangingChars="106"/>
              <w:jc w:val="center"/>
              <w:rPr>
                <w:color w:val="auto"/>
                <w:highlight w:val="none"/>
              </w:rPr>
            </w:pPr>
          </w:p>
        </w:tc>
      </w:tr>
      <w:tr w14:paraId="0467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5456625B">
            <w:pPr>
              <w:ind w:left="223" w:hanging="222" w:hangingChars="106"/>
              <w:jc w:val="center"/>
              <w:rPr>
                <w:rFonts w:hint="eastAsia" w:eastAsia="宋体"/>
                <w:color w:val="auto"/>
                <w:szCs w:val="21"/>
                <w:highlight w:val="none"/>
                <w:lang w:val="en-US" w:eastAsia="zh-CN"/>
              </w:rPr>
            </w:pPr>
          </w:p>
        </w:tc>
        <w:tc>
          <w:tcPr>
            <w:tcW w:w="829" w:type="dxa"/>
            <w:vAlign w:val="center"/>
          </w:tcPr>
          <w:p w14:paraId="11081ACC">
            <w:pPr>
              <w:ind w:left="223" w:hanging="222" w:hangingChars="106"/>
              <w:jc w:val="center"/>
              <w:rPr>
                <w:color w:val="auto"/>
                <w:highlight w:val="none"/>
              </w:rPr>
            </w:pPr>
          </w:p>
        </w:tc>
        <w:tc>
          <w:tcPr>
            <w:tcW w:w="816" w:type="dxa"/>
            <w:vAlign w:val="center"/>
          </w:tcPr>
          <w:p w14:paraId="7EF8C080">
            <w:pPr>
              <w:ind w:left="223" w:hanging="222" w:hangingChars="106"/>
              <w:jc w:val="center"/>
              <w:rPr>
                <w:color w:val="auto"/>
                <w:highlight w:val="none"/>
              </w:rPr>
            </w:pPr>
          </w:p>
        </w:tc>
        <w:tc>
          <w:tcPr>
            <w:tcW w:w="1148" w:type="dxa"/>
            <w:vAlign w:val="center"/>
          </w:tcPr>
          <w:p w14:paraId="27FDD7C7">
            <w:pPr>
              <w:ind w:left="223" w:hanging="222" w:hangingChars="106"/>
              <w:jc w:val="center"/>
              <w:rPr>
                <w:color w:val="auto"/>
                <w:highlight w:val="none"/>
              </w:rPr>
            </w:pPr>
          </w:p>
        </w:tc>
        <w:tc>
          <w:tcPr>
            <w:tcW w:w="1148" w:type="dxa"/>
            <w:vAlign w:val="center"/>
          </w:tcPr>
          <w:p w14:paraId="504BA8B6">
            <w:pPr>
              <w:ind w:left="223" w:hanging="222" w:hangingChars="106"/>
              <w:jc w:val="center"/>
              <w:rPr>
                <w:color w:val="auto"/>
                <w:highlight w:val="none"/>
              </w:rPr>
            </w:pPr>
          </w:p>
        </w:tc>
        <w:tc>
          <w:tcPr>
            <w:tcW w:w="1148" w:type="dxa"/>
            <w:vAlign w:val="center"/>
          </w:tcPr>
          <w:p w14:paraId="01942989">
            <w:pPr>
              <w:ind w:left="223" w:hanging="222" w:hangingChars="106"/>
              <w:jc w:val="center"/>
              <w:rPr>
                <w:color w:val="auto"/>
                <w:highlight w:val="none"/>
              </w:rPr>
            </w:pPr>
          </w:p>
        </w:tc>
        <w:tc>
          <w:tcPr>
            <w:tcW w:w="1148" w:type="dxa"/>
            <w:vAlign w:val="center"/>
          </w:tcPr>
          <w:p w14:paraId="2C0A10F6">
            <w:pPr>
              <w:ind w:left="223" w:hanging="222" w:hangingChars="106"/>
              <w:jc w:val="center"/>
              <w:rPr>
                <w:color w:val="auto"/>
                <w:highlight w:val="none"/>
              </w:rPr>
            </w:pPr>
          </w:p>
        </w:tc>
        <w:tc>
          <w:tcPr>
            <w:tcW w:w="850" w:type="dxa"/>
            <w:vAlign w:val="center"/>
          </w:tcPr>
          <w:p w14:paraId="19397CF2">
            <w:pPr>
              <w:ind w:left="223" w:hanging="222" w:hangingChars="106"/>
              <w:jc w:val="center"/>
              <w:rPr>
                <w:color w:val="auto"/>
                <w:highlight w:val="none"/>
              </w:rPr>
            </w:pPr>
          </w:p>
        </w:tc>
        <w:tc>
          <w:tcPr>
            <w:tcW w:w="1276" w:type="dxa"/>
            <w:vAlign w:val="center"/>
          </w:tcPr>
          <w:p w14:paraId="4D7B0B25">
            <w:pPr>
              <w:ind w:left="223" w:hanging="222" w:hangingChars="106"/>
              <w:jc w:val="center"/>
              <w:rPr>
                <w:color w:val="auto"/>
                <w:highlight w:val="none"/>
              </w:rPr>
            </w:pPr>
          </w:p>
        </w:tc>
      </w:tr>
      <w:tr w14:paraId="507AD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vAlign w:val="center"/>
          </w:tcPr>
          <w:p w14:paraId="0DFEDA0A">
            <w:pPr>
              <w:ind w:left="223" w:hanging="222" w:hangingChars="106"/>
              <w:jc w:val="center"/>
              <w:rPr>
                <w:color w:val="auto"/>
                <w:highlight w:val="none"/>
              </w:rPr>
            </w:pPr>
            <w:r>
              <w:rPr>
                <w:rFonts w:hint="eastAsia"/>
                <w:color w:val="auto"/>
                <w:highlight w:val="none"/>
              </w:rPr>
              <w:t>……</w:t>
            </w:r>
          </w:p>
        </w:tc>
        <w:tc>
          <w:tcPr>
            <w:tcW w:w="829" w:type="dxa"/>
            <w:vAlign w:val="center"/>
          </w:tcPr>
          <w:p w14:paraId="04FF699C">
            <w:pPr>
              <w:ind w:left="223" w:hanging="222" w:hangingChars="106"/>
              <w:jc w:val="center"/>
              <w:rPr>
                <w:color w:val="auto"/>
                <w:highlight w:val="none"/>
              </w:rPr>
            </w:pPr>
          </w:p>
        </w:tc>
        <w:tc>
          <w:tcPr>
            <w:tcW w:w="816" w:type="dxa"/>
            <w:vAlign w:val="center"/>
          </w:tcPr>
          <w:p w14:paraId="55832D15">
            <w:pPr>
              <w:ind w:left="223" w:hanging="222" w:hangingChars="106"/>
              <w:jc w:val="center"/>
              <w:rPr>
                <w:color w:val="auto"/>
                <w:highlight w:val="none"/>
              </w:rPr>
            </w:pPr>
          </w:p>
        </w:tc>
        <w:tc>
          <w:tcPr>
            <w:tcW w:w="1148" w:type="dxa"/>
            <w:vAlign w:val="center"/>
          </w:tcPr>
          <w:p w14:paraId="24656D4D">
            <w:pPr>
              <w:ind w:left="223" w:hanging="222" w:hangingChars="106"/>
              <w:jc w:val="center"/>
              <w:rPr>
                <w:color w:val="auto"/>
                <w:highlight w:val="none"/>
              </w:rPr>
            </w:pPr>
          </w:p>
        </w:tc>
        <w:tc>
          <w:tcPr>
            <w:tcW w:w="1148" w:type="dxa"/>
            <w:vAlign w:val="center"/>
          </w:tcPr>
          <w:p w14:paraId="621EE150">
            <w:pPr>
              <w:ind w:left="223" w:hanging="222" w:hangingChars="106"/>
              <w:jc w:val="center"/>
              <w:rPr>
                <w:color w:val="auto"/>
                <w:highlight w:val="none"/>
              </w:rPr>
            </w:pPr>
          </w:p>
        </w:tc>
        <w:tc>
          <w:tcPr>
            <w:tcW w:w="1148" w:type="dxa"/>
            <w:vAlign w:val="center"/>
          </w:tcPr>
          <w:p w14:paraId="55B698B2">
            <w:pPr>
              <w:ind w:left="223" w:hanging="222" w:hangingChars="106"/>
              <w:jc w:val="center"/>
              <w:rPr>
                <w:color w:val="auto"/>
                <w:highlight w:val="none"/>
              </w:rPr>
            </w:pPr>
          </w:p>
        </w:tc>
        <w:tc>
          <w:tcPr>
            <w:tcW w:w="1148" w:type="dxa"/>
            <w:vAlign w:val="center"/>
          </w:tcPr>
          <w:p w14:paraId="590CCE50">
            <w:pPr>
              <w:ind w:left="223" w:hanging="222" w:hangingChars="106"/>
              <w:jc w:val="center"/>
              <w:rPr>
                <w:color w:val="auto"/>
                <w:highlight w:val="none"/>
              </w:rPr>
            </w:pPr>
          </w:p>
        </w:tc>
        <w:tc>
          <w:tcPr>
            <w:tcW w:w="850" w:type="dxa"/>
            <w:vAlign w:val="center"/>
          </w:tcPr>
          <w:p w14:paraId="5B53B13F">
            <w:pPr>
              <w:ind w:left="223" w:hanging="222" w:hangingChars="106"/>
              <w:jc w:val="center"/>
              <w:rPr>
                <w:color w:val="auto"/>
                <w:highlight w:val="none"/>
              </w:rPr>
            </w:pPr>
          </w:p>
        </w:tc>
        <w:tc>
          <w:tcPr>
            <w:tcW w:w="1276" w:type="dxa"/>
            <w:vAlign w:val="center"/>
          </w:tcPr>
          <w:p w14:paraId="34C3A417">
            <w:pPr>
              <w:ind w:left="223" w:hanging="222" w:hangingChars="106"/>
              <w:jc w:val="center"/>
              <w:rPr>
                <w:color w:val="auto"/>
                <w:highlight w:val="none"/>
              </w:rPr>
            </w:pPr>
          </w:p>
        </w:tc>
      </w:tr>
      <w:tr w14:paraId="1306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9356" w:type="dxa"/>
            <w:gridSpan w:val="9"/>
            <w:vAlign w:val="center"/>
          </w:tcPr>
          <w:p w14:paraId="13933FE0">
            <w:pPr>
              <w:spacing w:line="360" w:lineRule="auto"/>
              <w:rPr>
                <w:color w:val="auto"/>
                <w:szCs w:val="21"/>
                <w:highlight w:val="none"/>
              </w:rPr>
            </w:pPr>
            <w:bookmarkStart w:id="107" w:name="_Toc251052199"/>
            <w:r>
              <w:rPr>
                <w:rFonts w:hint="eastAsia"/>
                <w:color w:val="auto"/>
                <w:szCs w:val="21"/>
                <w:highlight w:val="none"/>
              </w:rPr>
              <w:t>一旦我单位中标，将实行项目经理负责制，我方保证并配备上述项目管理机构。上述填报内容真实，若不真实，愿按有关规定接受处理。项目管理班子机构设置、职责分工等情况另附资料说明。</w:t>
            </w:r>
            <w:bookmarkEnd w:id="107"/>
          </w:p>
        </w:tc>
      </w:tr>
    </w:tbl>
    <w:p w14:paraId="6FF9D36E">
      <w:pPr>
        <w:tabs>
          <w:tab w:val="left" w:pos="0"/>
        </w:tabs>
        <w:spacing w:line="360" w:lineRule="auto"/>
        <w:ind w:right="-210"/>
        <w:rPr>
          <w:color w:val="auto"/>
          <w:highlight w:val="none"/>
        </w:rPr>
      </w:pPr>
    </w:p>
    <w:p w14:paraId="5E3123C3">
      <w:pPr>
        <w:spacing w:line="360" w:lineRule="auto"/>
        <w:rPr>
          <w:rFonts w:eastAsia="楷体_GB2312"/>
          <w:color w:val="auto"/>
          <w:highlight w:val="none"/>
        </w:rPr>
      </w:pPr>
      <w:r>
        <w:rPr>
          <w:rFonts w:hint="eastAsia" w:eastAsia="楷体_GB2312"/>
          <w:color w:val="auto"/>
          <w:highlight w:val="none"/>
        </w:rPr>
        <w:t>备注：附以上各岗位人员身份证、资格证件等相关证明材料复印件加盖供应商电子签章。</w:t>
      </w:r>
    </w:p>
    <w:p w14:paraId="1E35D2F9">
      <w:pPr>
        <w:spacing w:line="360" w:lineRule="auto"/>
        <w:contextualSpacing/>
        <w:jc w:val="left"/>
        <w:rPr>
          <w:rFonts w:ascii="宋体" w:hAnsi="宋体" w:cs="仿宋_GB2312"/>
          <w:b/>
          <w:color w:val="auto"/>
          <w:kern w:val="0"/>
          <w:sz w:val="30"/>
          <w:szCs w:val="30"/>
          <w:highlight w:val="none"/>
        </w:rPr>
      </w:pPr>
      <w:r>
        <w:rPr>
          <w:rFonts w:hint="eastAsia" w:ascii="宋体" w:hAnsi="宋体" w:cs="仿宋_GB2312"/>
          <w:b/>
          <w:color w:val="auto"/>
          <w:kern w:val="0"/>
          <w:sz w:val="30"/>
          <w:szCs w:val="30"/>
          <w:highlight w:val="none"/>
        </w:rPr>
        <w:br w:type="page"/>
      </w:r>
      <w:r>
        <w:rPr>
          <w:rFonts w:hint="eastAsia" w:ascii="宋体" w:hAnsi="宋体" w:cs="仿宋_GB2312"/>
          <w:b/>
          <w:color w:val="auto"/>
          <w:kern w:val="0"/>
          <w:sz w:val="30"/>
          <w:szCs w:val="30"/>
          <w:highlight w:val="none"/>
        </w:rPr>
        <w:t>6.供应商直接控股股东信息</w:t>
      </w:r>
    </w:p>
    <w:p w14:paraId="11EB59D9">
      <w:pPr>
        <w:spacing w:line="360" w:lineRule="auto"/>
        <w:contextualSpacing/>
        <w:jc w:val="center"/>
        <w:rPr>
          <w:rFonts w:ascii="宋体" w:hAnsi="宋体"/>
          <w:b/>
          <w:color w:val="auto"/>
          <w:sz w:val="24"/>
          <w:highlight w:val="none"/>
        </w:rPr>
      </w:pPr>
    </w:p>
    <w:tbl>
      <w:tblPr>
        <w:tblStyle w:val="55"/>
        <w:tblW w:w="0" w:type="auto"/>
        <w:jc w:val="center"/>
        <w:shd w:val="clear" w:color="auto" w:fill="FBFBFB"/>
        <w:tblLayout w:type="fixed"/>
        <w:tblCellMar>
          <w:top w:w="0" w:type="dxa"/>
          <w:left w:w="0" w:type="dxa"/>
          <w:bottom w:w="0" w:type="dxa"/>
          <w:right w:w="0" w:type="dxa"/>
        </w:tblCellMar>
      </w:tblPr>
      <w:tblGrid>
        <w:gridCol w:w="701"/>
        <w:gridCol w:w="2655"/>
        <w:gridCol w:w="1455"/>
        <w:gridCol w:w="3197"/>
        <w:gridCol w:w="1052"/>
      </w:tblGrid>
      <w:tr w14:paraId="518C462C">
        <w:tblPrEx>
          <w:tblCellMar>
            <w:top w:w="0" w:type="dxa"/>
            <w:left w:w="0" w:type="dxa"/>
            <w:bottom w:w="0" w:type="dxa"/>
            <w:right w:w="0" w:type="dxa"/>
          </w:tblCellMar>
        </w:tblPrEx>
        <w:trPr>
          <w:tblHeader/>
          <w:jc w:val="center"/>
        </w:trPr>
        <w:tc>
          <w:tcPr>
            <w:tcW w:w="70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CE2A6F0">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E2AF524">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10B4983">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19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90FDB91">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w:t>
            </w:r>
          </w:p>
          <w:p w14:paraId="60670D43">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信用代码</w:t>
            </w:r>
          </w:p>
        </w:tc>
        <w:tc>
          <w:tcPr>
            <w:tcW w:w="105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C74A289">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256D7043">
        <w:tblPrEx>
          <w:shd w:val="clear" w:color="auto" w:fill="FBFBFB"/>
          <w:tblCellMar>
            <w:top w:w="0" w:type="dxa"/>
            <w:left w:w="0" w:type="dxa"/>
            <w:bottom w:w="0" w:type="dxa"/>
            <w:right w:w="0" w:type="dxa"/>
          </w:tblCellMar>
        </w:tblPrEx>
        <w:trPr>
          <w:jc w:val="center"/>
        </w:trPr>
        <w:tc>
          <w:tcPr>
            <w:tcW w:w="70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D6CEF1D">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71DD8F2">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F18723D">
            <w:pPr>
              <w:widowControl/>
              <w:spacing w:line="360" w:lineRule="auto"/>
              <w:contextualSpacing/>
              <w:jc w:val="center"/>
              <w:rPr>
                <w:rFonts w:ascii="宋体" w:hAnsi="宋体" w:cs="宋体"/>
                <w:color w:val="auto"/>
                <w:kern w:val="0"/>
                <w:sz w:val="24"/>
                <w:highlight w:val="none"/>
              </w:rPr>
            </w:pPr>
          </w:p>
        </w:tc>
        <w:tc>
          <w:tcPr>
            <w:tcW w:w="319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7E35C16">
            <w:pPr>
              <w:widowControl/>
              <w:spacing w:line="360" w:lineRule="auto"/>
              <w:contextualSpacing/>
              <w:jc w:val="center"/>
              <w:rPr>
                <w:rFonts w:ascii="宋体" w:hAnsi="宋体" w:cs="宋体"/>
                <w:color w:val="auto"/>
                <w:kern w:val="0"/>
                <w:sz w:val="24"/>
                <w:highlight w:val="none"/>
              </w:rPr>
            </w:pPr>
          </w:p>
        </w:tc>
        <w:tc>
          <w:tcPr>
            <w:tcW w:w="105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8508E3C">
            <w:pPr>
              <w:widowControl/>
              <w:spacing w:line="360" w:lineRule="auto"/>
              <w:contextualSpacing/>
              <w:jc w:val="center"/>
              <w:rPr>
                <w:rFonts w:ascii="宋体" w:hAnsi="宋体" w:cs="宋体"/>
                <w:color w:val="auto"/>
                <w:kern w:val="0"/>
                <w:sz w:val="24"/>
                <w:highlight w:val="none"/>
              </w:rPr>
            </w:pPr>
          </w:p>
        </w:tc>
      </w:tr>
      <w:tr w14:paraId="6A1C72A4">
        <w:tblPrEx>
          <w:shd w:val="clear" w:color="auto" w:fill="FBFBFB"/>
          <w:tblCellMar>
            <w:top w:w="0" w:type="dxa"/>
            <w:left w:w="0" w:type="dxa"/>
            <w:bottom w:w="0" w:type="dxa"/>
            <w:right w:w="0" w:type="dxa"/>
          </w:tblCellMar>
        </w:tblPrEx>
        <w:trPr>
          <w:jc w:val="center"/>
        </w:trPr>
        <w:tc>
          <w:tcPr>
            <w:tcW w:w="70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278735C">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1EE7308">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3BFAEE2">
            <w:pPr>
              <w:widowControl/>
              <w:spacing w:line="360" w:lineRule="auto"/>
              <w:contextualSpacing/>
              <w:jc w:val="center"/>
              <w:rPr>
                <w:rFonts w:ascii="宋体" w:hAnsi="宋体" w:cs="宋体"/>
                <w:color w:val="auto"/>
                <w:kern w:val="0"/>
                <w:sz w:val="24"/>
                <w:highlight w:val="none"/>
              </w:rPr>
            </w:pPr>
          </w:p>
        </w:tc>
        <w:tc>
          <w:tcPr>
            <w:tcW w:w="319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BA4D7AF">
            <w:pPr>
              <w:widowControl/>
              <w:spacing w:line="360" w:lineRule="auto"/>
              <w:contextualSpacing/>
              <w:jc w:val="center"/>
              <w:rPr>
                <w:rFonts w:ascii="宋体" w:hAnsi="宋体" w:cs="宋体"/>
                <w:color w:val="auto"/>
                <w:kern w:val="0"/>
                <w:sz w:val="24"/>
                <w:highlight w:val="none"/>
              </w:rPr>
            </w:pPr>
          </w:p>
        </w:tc>
        <w:tc>
          <w:tcPr>
            <w:tcW w:w="105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DF34EA2">
            <w:pPr>
              <w:widowControl/>
              <w:spacing w:line="360" w:lineRule="auto"/>
              <w:contextualSpacing/>
              <w:jc w:val="center"/>
              <w:rPr>
                <w:rFonts w:ascii="宋体" w:hAnsi="宋体" w:cs="宋体"/>
                <w:color w:val="auto"/>
                <w:kern w:val="0"/>
                <w:sz w:val="24"/>
                <w:highlight w:val="none"/>
              </w:rPr>
            </w:pPr>
          </w:p>
        </w:tc>
      </w:tr>
      <w:tr w14:paraId="689EE730">
        <w:tblPrEx>
          <w:shd w:val="clear" w:color="auto" w:fill="FBFBFB"/>
          <w:tblCellMar>
            <w:top w:w="0" w:type="dxa"/>
            <w:left w:w="0" w:type="dxa"/>
            <w:bottom w:w="0" w:type="dxa"/>
            <w:right w:w="0" w:type="dxa"/>
          </w:tblCellMar>
        </w:tblPrEx>
        <w:trPr>
          <w:jc w:val="center"/>
        </w:trPr>
        <w:tc>
          <w:tcPr>
            <w:tcW w:w="70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066FCF4">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A0314C0">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33FEA1C">
            <w:pPr>
              <w:widowControl/>
              <w:spacing w:line="360" w:lineRule="auto"/>
              <w:contextualSpacing/>
              <w:jc w:val="center"/>
              <w:rPr>
                <w:rFonts w:ascii="宋体" w:hAnsi="宋体" w:cs="宋体"/>
                <w:color w:val="auto"/>
                <w:kern w:val="0"/>
                <w:sz w:val="24"/>
                <w:highlight w:val="none"/>
              </w:rPr>
            </w:pPr>
          </w:p>
        </w:tc>
        <w:tc>
          <w:tcPr>
            <w:tcW w:w="319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604FE47">
            <w:pPr>
              <w:widowControl/>
              <w:spacing w:line="360" w:lineRule="auto"/>
              <w:contextualSpacing/>
              <w:jc w:val="center"/>
              <w:rPr>
                <w:rFonts w:ascii="宋体" w:hAnsi="宋体" w:cs="宋体"/>
                <w:color w:val="auto"/>
                <w:kern w:val="0"/>
                <w:sz w:val="24"/>
                <w:highlight w:val="none"/>
              </w:rPr>
            </w:pPr>
          </w:p>
        </w:tc>
        <w:tc>
          <w:tcPr>
            <w:tcW w:w="105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89BB5EB">
            <w:pPr>
              <w:widowControl/>
              <w:spacing w:line="360" w:lineRule="auto"/>
              <w:contextualSpacing/>
              <w:jc w:val="center"/>
              <w:rPr>
                <w:rFonts w:ascii="宋体" w:hAnsi="宋体" w:cs="宋体"/>
                <w:color w:val="auto"/>
                <w:kern w:val="0"/>
                <w:sz w:val="24"/>
                <w:highlight w:val="none"/>
              </w:rPr>
            </w:pPr>
          </w:p>
        </w:tc>
      </w:tr>
      <w:tr w14:paraId="4AE19AC4">
        <w:tblPrEx>
          <w:shd w:val="clear" w:color="auto" w:fill="FBFBFB"/>
          <w:tblCellMar>
            <w:top w:w="0" w:type="dxa"/>
            <w:left w:w="0" w:type="dxa"/>
            <w:bottom w:w="0" w:type="dxa"/>
            <w:right w:w="0" w:type="dxa"/>
          </w:tblCellMar>
        </w:tblPrEx>
        <w:trPr>
          <w:jc w:val="center"/>
        </w:trPr>
        <w:tc>
          <w:tcPr>
            <w:tcW w:w="70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3180F14">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D0748A9">
            <w:pPr>
              <w:widowControl/>
              <w:spacing w:line="360" w:lineRule="auto"/>
              <w:contextualSpacing/>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B7B3F6E">
            <w:pPr>
              <w:widowControl/>
              <w:spacing w:line="360" w:lineRule="auto"/>
              <w:contextualSpacing/>
              <w:jc w:val="center"/>
              <w:rPr>
                <w:rFonts w:ascii="宋体" w:hAnsi="宋体" w:cs="宋体"/>
                <w:color w:val="auto"/>
                <w:kern w:val="0"/>
                <w:sz w:val="24"/>
                <w:highlight w:val="none"/>
              </w:rPr>
            </w:pPr>
          </w:p>
        </w:tc>
        <w:tc>
          <w:tcPr>
            <w:tcW w:w="319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23D361B">
            <w:pPr>
              <w:widowControl/>
              <w:spacing w:line="360" w:lineRule="auto"/>
              <w:contextualSpacing/>
              <w:jc w:val="center"/>
              <w:rPr>
                <w:rFonts w:ascii="宋体" w:hAnsi="宋体" w:cs="宋体"/>
                <w:color w:val="auto"/>
                <w:kern w:val="0"/>
                <w:sz w:val="24"/>
                <w:highlight w:val="none"/>
              </w:rPr>
            </w:pPr>
          </w:p>
        </w:tc>
        <w:tc>
          <w:tcPr>
            <w:tcW w:w="1052"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15166CD">
            <w:pPr>
              <w:widowControl/>
              <w:spacing w:line="360" w:lineRule="auto"/>
              <w:contextualSpacing/>
              <w:jc w:val="center"/>
              <w:rPr>
                <w:rFonts w:ascii="宋体" w:hAnsi="宋体" w:cs="宋体"/>
                <w:color w:val="auto"/>
                <w:kern w:val="0"/>
                <w:sz w:val="24"/>
                <w:highlight w:val="none"/>
              </w:rPr>
            </w:pPr>
          </w:p>
        </w:tc>
      </w:tr>
    </w:tbl>
    <w:p w14:paraId="4BFB384E">
      <w:pPr>
        <w:spacing w:line="360" w:lineRule="auto"/>
        <w:contextualSpacing/>
        <w:jc w:val="left"/>
        <w:rPr>
          <w:rFonts w:ascii="宋体" w:hAnsi="宋体" w:cs="仿宋_GB2312"/>
          <w:color w:val="auto"/>
          <w:kern w:val="0"/>
          <w:sz w:val="24"/>
          <w:highlight w:val="none"/>
        </w:rPr>
      </w:pPr>
      <w:r>
        <w:rPr>
          <w:rFonts w:hint="eastAsia" w:ascii="宋体" w:hAnsi="宋体" w:cs="仿宋_GB2312"/>
          <w:color w:val="auto"/>
          <w:kern w:val="0"/>
          <w:sz w:val="24"/>
          <w:highlight w:val="none"/>
        </w:rPr>
        <w:t>注：</w:t>
      </w:r>
    </w:p>
    <w:p w14:paraId="7FABDFC6">
      <w:pPr>
        <w:spacing w:line="360" w:lineRule="auto"/>
        <w:ind w:firstLine="480" w:firstLineChars="200"/>
        <w:contextualSpacing/>
        <w:jc w:val="left"/>
        <w:rPr>
          <w:rFonts w:ascii="宋体" w:hAnsi="宋体" w:cs="仿宋_GB2312"/>
          <w:color w:val="auto"/>
          <w:kern w:val="0"/>
          <w:sz w:val="24"/>
          <w:highlight w:val="none"/>
        </w:rPr>
      </w:pPr>
      <w:r>
        <w:rPr>
          <w:rFonts w:hint="eastAsia" w:ascii="宋体" w:hAnsi="宋体" w:cs="仿宋_GB2312"/>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FB4AE28">
      <w:pPr>
        <w:spacing w:line="360" w:lineRule="auto"/>
        <w:ind w:firstLine="480" w:firstLineChars="200"/>
        <w:contextualSpacing/>
        <w:jc w:val="left"/>
        <w:rPr>
          <w:rFonts w:ascii="宋体" w:hAnsi="宋体" w:cs="仿宋_GB2312"/>
          <w:color w:val="auto"/>
          <w:kern w:val="0"/>
          <w:sz w:val="24"/>
          <w:highlight w:val="none"/>
        </w:rPr>
      </w:pPr>
      <w:r>
        <w:rPr>
          <w:rFonts w:hint="eastAsia" w:ascii="宋体" w:hAnsi="宋体" w:cs="仿宋_GB2312"/>
          <w:color w:val="auto"/>
          <w:kern w:val="0"/>
          <w:sz w:val="24"/>
          <w:highlight w:val="none"/>
        </w:rPr>
        <w:t>2.本表所指的控股关系仅限于直接控股关系，不包括间接的控股关系。公司实际控制人与公司之间的关系不属于本表所指的直接控股关系。</w:t>
      </w:r>
    </w:p>
    <w:p w14:paraId="518A1EDB">
      <w:pPr>
        <w:spacing w:line="360" w:lineRule="auto"/>
        <w:ind w:firstLine="480" w:firstLineChars="200"/>
        <w:contextualSpacing/>
        <w:jc w:val="left"/>
        <w:rPr>
          <w:rFonts w:ascii="宋体" w:hAnsi="宋体" w:cs="仿宋_GB2312"/>
          <w:color w:val="auto"/>
          <w:kern w:val="0"/>
          <w:sz w:val="24"/>
          <w:highlight w:val="none"/>
        </w:rPr>
      </w:pPr>
      <w:r>
        <w:rPr>
          <w:rFonts w:hint="eastAsia" w:ascii="宋体" w:hAnsi="宋体" w:cs="仿宋_GB2312"/>
          <w:color w:val="auto"/>
          <w:kern w:val="0"/>
          <w:sz w:val="24"/>
          <w:highlight w:val="none"/>
        </w:rPr>
        <w:t>3.供应商不存在直接控股股东的，则填“无”。</w:t>
      </w:r>
    </w:p>
    <w:p w14:paraId="3ACE87CF">
      <w:pPr>
        <w:snapToGrid w:val="0"/>
        <w:spacing w:line="360" w:lineRule="auto"/>
        <w:jc w:val="left"/>
        <w:rPr>
          <w:rFonts w:ascii="宋体" w:hAnsi="宋体" w:cs="宋体"/>
          <w:color w:val="auto"/>
          <w:sz w:val="24"/>
          <w:highlight w:val="none"/>
        </w:rPr>
      </w:pPr>
    </w:p>
    <w:p w14:paraId="203CD848">
      <w:pPr>
        <w:snapToGrid w:val="0"/>
        <w:spacing w:line="360" w:lineRule="auto"/>
        <w:jc w:val="left"/>
        <w:rPr>
          <w:rFonts w:ascii="宋体" w:hAnsi="宋体" w:cs="宋体"/>
          <w:color w:val="auto"/>
          <w:sz w:val="24"/>
          <w:highlight w:val="none"/>
        </w:rPr>
      </w:pPr>
    </w:p>
    <w:p w14:paraId="594211F4">
      <w:pPr>
        <w:snapToGrid w:val="0"/>
        <w:spacing w:line="360" w:lineRule="auto"/>
        <w:jc w:val="left"/>
        <w:rPr>
          <w:rFonts w:ascii="宋体" w:hAnsi="宋体" w:cs="宋体"/>
          <w:color w:val="auto"/>
          <w:sz w:val="24"/>
          <w:highlight w:val="none"/>
        </w:rPr>
      </w:pPr>
    </w:p>
    <w:p w14:paraId="56B7A8A3">
      <w:pPr>
        <w:autoSpaceDE w:val="0"/>
        <w:autoSpaceDN w:val="0"/>
        <w:spacing w:line="360" w:lineRule="auto"/>
        <w:ind w:left="4365" w:leftChars="1850" w:hanging="480" w:hangingChars="200"/>
        <w:rPr>
          <w:rFonts w:ascii="宋体" w:hAnsi="宋体" w:cs="仿宋_GB2312"/>
          <w:color w:val="auto"/>
          <w:kern w:val="0"/>
          <w:sz w:val="24"/>
          <w:highlight w:val="none"/>
        </w:rPr>
      </w:pPr>
      <w:r>
        <w:rPr>
          <w:rFonts w:hint="eastAsia" w:ascii="宋体" w:hAnsi="宋体" w:cs="仿宋_GB2312"/>
          <w:color w:val="auto"/>
          <w:kern w:val="0"/>
          <w:sz w:val="24"/>
          <w:highlight w:val="none"/>
        </w:rPr>
        <w:t>供应商名称（电子签章）：</w:t>
      </w:r>
    </w:p>
    <w:p w14:paraId="5ECD5DBD">
      <w:pPr>
        <w:autoSpaceDE w:val="0"/>
        <w:autoSpaceDN w:val="0"/>
        <w:spacing w:line="360" w:lineRule="auto"/>
        <w:ind w:firstLine="6120" w:firstLineChars="2550"/>
        <w:rPr>
          <w:rFonts w:ascii="宋体" w:hAnsi="宋体" w:cs="仿宋_GB2312"/>
          <w:b/>
          <w:bCs/>
          <w:color w:val="auto"/>
          <w:sz w:val="24"/>
          <w:highlight w:val="none"/>
        </w:rPr>
      </w:pPr>
      <w:r>
        <w:rPr>
          <w:rFonts w:hint="eastAsia" w:ascii="宋体" w:hAnsi="宋体" w:cs="仿宋_GB2312"/>
          <w:color w:val="auto"/>
          <w:kern w:val="0"/>
          <w:sz w:val="24"/>
          <w:highlight w:val="none"/>
          <w:lang w:val="zh-CN"/>
        </w:rPr>
        <w:t>日期：  年  月   日</w:t>
      </w:r>
    </w:p>
    <w:p w14:paraId="0792046A">
      <w:pPr>
        <w:snapToGrid w:val="0"/>
        <w:rPr>
          <w:rFonts w:ascii="宋体" w:hAnsi="宋体" w:cs="仿宋_GB2312"/>
          <w:b/>
          <w:color w:val="auto"/>
          <w:kern w:val="0"/>
          <w:sz w:val="30"/>
          <w:szCs w:val="30"/>
          <w:highlight w:val="none"/>
        </w:rPr>
      </w:pPr>
    </w:p>
    <w:p w14:paraId="07C00771">
      <w:pPr>
        <w:pStyle w:val="44"/>
        <w:ind w:left="840" w:hanging="420"/>
        <w:rPr>
          <w:rFonts w:ascii="宋体" w:hAnsi="宋体"/>
          <w:color w:val="auto"/>
          <w:highlight w:val="none"/>
        </w:rPr>
      </w:pPr>
    </w:p>
    <w:p w14:paraId="6CEA1E9D">
      <w:pPr>
        <w:rPr>
          <w:rFonts w:ascii="宋体" w:hAnsi="宋体"/>
          <w:color w:val="auto"/>
          <w:highlight w:val="none"/>
        </w:rPr>
      </w:pPr>
    </w:p>
    <w:p w14:paraId="6CA55F73">
      <w:pPr>
        <w:pStyle w:val="44"/>
        <w:ind w:left="840" w:hanging="420"/>
        <w:rPr>
          <w:rFonts w:ascii="宋体" w:hAnsi="宋体"/>
          <w:color w:val="auto"/>
          <w:highlight w:val="none"/>
        </w:rPr>
      </w:pPr>
    </w:p>
    <w:p w14:paraId="1F4BA6B5">
      <w:pPr>
        <w:rPr>
          <w:rFonts w:ascii="宋体" w:hAnsi="宋体"/>
          <w:color w:val="auto"/>
          <w:highlight w:val="none"/>
        </w:rPr>
      </w:pPr>
    </w:p>
    <w:p w14:paraId="34471ED5">
      <w:pPr>
        <w:pStyle w:val="44"/>
        <w:ind w:leftChars="0" w:firstLine="0" w:firstLineChars="0"/>
        <w:rPr>
          <w:rFonts w:ascii="宋体" w:hAnsi="宋体"/>
          <w:color w:val="auto"/>
          <w:highlight w:val="none"/>
        </w:rPr>
      </w:pPr>
    </w:p>
    <w:p w14:paraId="2776AA3F">
      <w:pPr>
        <w:rPr>
          <w:rFonts w:ascii="宋体" w:hAnsi="宋体"/>
          <w:color w:val="auto"/>
          <w:highlight w:val="none"/>
        </w:rPr>
      </w:pPr>
    </w:p>
    <w:p w14:paraId="0E6DF6B3">
      <w:pPr>
        <w:snapToGrid w:val="0"/>
        <w:jc w:val="left"/>
        <w:rPr>
          <w:rFonts w:ascii="宋体" w:hAnsi="宋体" w:cs="仿宋_GB2312"/>
          <w:b/>
          <w:color w:val="auto"/>
          <w:kern w:val="0"/>
          <w:sz w:val="30"/>
          <w:szCs w:val="30"/>
          <w:highlight w:val="none"/>
        </w:rPr>
      </w:pPr>
      <w:r>
        <w:rPr>
          <w:rFonts w:hint="eastAsia" w:ascii="宋体" w:hAnsi="宋体" w:cs="仿宋_GB2312"/>
          <w:b/>
          <w:color w:val="auto"/>
          <w:kern w:val="0"/>
          <w:sz w:val="30"/>
          <w:szCs w:val="30"/>
          <w:highlight w:val="none"/>
        </w:rPr>
        <w:br w:type="page"/>
      </w:r>
      <w:r>
        <w:rPr>
          <w:rFonts w:hint="eastAsia" w:ascii="宋体" w:hAnsi="宋体" w:cs="仿宋_GB2312"/>
          <w:b/>
          <w:color w:val="auto"/>
          <w:kern w:val="0"/>
          <w:sz w:val="30"/>
          <w:szCs w:val="30"/>
          <w:highlight w:val="none"/>
        </w:rPr>
        <w:t>7.供应商直接管理关系信息表</w:t>
      </w:r>
    </w:p>
    <w:p w14:paraId="2B9DF344">
      <w:pPr>
        <w:snapToGrid w:val="0"/>
        <w:spacing w:line="360" w:lineRule="auto"/>
        <w:jc w:val="center"/>
        <w:rPr>
          <w:rFonts w:ascii="宋体" w:hAnsi="宋体"/>
          <w:b/>
          <w:color w:val="auto"/>
          <w:sz w:val="24"/>
          <w:highlight w:val="none"/>
        </w:rPr>
      </w:pPr>
    </w:p>
    <w:tbl>
      <w:tblPr>
        <w:tblStyle w:val="55"/>
        <w:tblW w:w="0" w:type="auto"/>
        <w:jc w:val="center"/>
        <w:shd w:val="clear" w:color="auto" w:fill="FBFBFB"/>
        <w:tblLayout w:type="fixed"/>
        <w:tblCellMar>
          <w:top w:w="0" w:type="dxa"/>
          <w:left w:w="0" w:type="dxa"/>
          <w:bottom w:w="0" w:type="dxa"/>
          <w:right w:w="0" w:type="dxa"/>
        </w:tblCellMar>
      </w:tblPr>
      <w:tblGrid>
        <w:gridCol w:w="808"/>
        <w:gridCol w:w="3600"/>
        <w:gridCol w:w="3111"/>
        <w:gridCol w:w="1545"/>
      </w:tblGrid>
      <w:tr w14:paraId="79B6B8FF">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58A410E">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3EEAFA0">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11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6D43210">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54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5917EB5">
            <w:pPr>
              <w:widowControl/>
              <w:spacing w:line="360" w:lineRule="auto"/>
              <w:contextualSpacing/>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2346FF41">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1E40745">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3F7CCFD">
            <w:pPr>
              <w:widowControl/>
              <w:spacing w:line="360" w:lineRule="auto"/>
              <w:contextualSpacing/>
              <w:jc w:val="center"/>
              <w:rPr>
                <w:rFonts w:ascii="宋体" w:hAnsi="宋体" w:cs="宋体"/>
                <w:color w:val="auto"/>
                <w:kern w:val="0"/>
                <w:sz w:val="24"/>
                <w:highlight w:val="none"/>
              </w:rPr>
            </w:pPr>
          </w:p>
        </w:tc>
        <w:tc>
          <w:tcPr>
            <w:tcW w:w="311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47FE78A">
            <w:pPr>
              <w:widowControl/>
              <w:spacing w:line="360" w:lineRule="auto"/>
              <w:contextualSpacing/>
              <w:jc w:val="center"/>
              <w:rPr>
                <w:rFonts w:ascii="宋体" w:hAnsi="宋体" w:cs="宋体"/>
                <w:color w:val="auto"/>
                <w:kern w:val="0"/>
                <w:sz w:val="24"/>
                <w:highlight w:val="none"/>
              </w:rPr>
            </w:pPr>
          </w:p>
        </w:tc>
        <w:tc>
          <w:tcPr>
            <w:tcW w:w="154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9E28CF9">
            <w:pPr>
              <w:widowControl/>
              <w:spacing w:line="360" w:lineRule="auto"/>
              <w:contextualSpacing/>
              <w:jc w:val="center"/>
              <w:rPr>
                <w:rFonts w:ascii="宋体" w:hAnsi="宋体" w:cs="宋体"/>
                <w:color w:val="auto"/>
                <w:kern w:val="0"/>
                <w:sz w:val="24"/>
                <w:highlight w:val="none"/>
              </w:rPr>
            </w:pPr>
          </w:p>
        </w:tc>
      </w:tr>
      <w:tr w14:paraId="1B1E720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5BB2F6F">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917B8D3">
            <w:pPr>
              <w:widowControl/>
              <w:spacing w:line="360" w:lineRule="auto"/>
              <w:contextualSpacing/>
              <w:jc w:val="center"/>
              <w:rPr>
                <w:rFonts w:ascii="宋体" w:hAnsi="宋体" w:cs="宋体"/>
                <w:color w:val="auto"/>
                <w:kern w:val="0"/>
                <w:sz w:val="24"/>
                <w:highlight w:val="none"/>
              </w:rPr>
            </w:pPr>
          </w:p>
        </w:tc>
        <w:tc>
          <w:tcPr>
            <w:tcW w:w="311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E1A481A">
            <w:pPr>
              <w:widowControl/>
              <w:spacing w:line="360" w:lineRule="auto"/>
              <w:contextualSpacing/>
              <w:jc w:val="center"/>
              <w:rPr>
                <w:rFonts w:ascii="宋体" w:hAnsi="宋体" w:cs="宋体"/>
                <w:color w:val="auto"/>
                <w:kern w:val="0"/>
                <w:sz w:val="24"/>
                <w:highlight w:val="none"/>
              </w:rPr>
            </w:pPr>
          </w:p>
        </w:tc>
        <w:tc>
          <w:tcPr>
            <w:tcW w:w="154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14CD1EF">
            <w:pPr>
              <w:widowControl/>
              <w:spacing w:line="360" w:lineRule="auto"/>
              <w:contextualSpacing/>
              <w:jc w:val="center"/>
              <w:rPr>
                <w:rFonts w:ascii="宋体" w:hAnsi="宋体" w:cs="宋体"/>
                <w:color w:val="auto"/>
                <w:kern w:val="0"/>
                <w:sz w:val="24"/>
                <w:highlight w:val="none"/>
              </w:rPr>
            </w:pPr>
          </w:p>
        </w:tc>
      </w:tr>
      <w:tr w14:paraId="255D4C1E">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A0A2759">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2947E3C">
            <w:pPr>
              <w:widowControl/>
              <w:spacing w:line="360" w:lineRule="auto"/>
              <w:contextualSpacing/>
              <w:jc w:val="center"/>
              <w:rPr>
                <w:rFonts w:ascii="宋体" w:hAnsi="宋体" w:cs="宋体"/>
                <w:color w:val="auto"/>
                <w:kern w:val="0"/>
                <w:sz w:val="24"/>
                <w:highlight w:val="none"/>
              </w:rPr>
            </w:pPr>
          </w:p>
        </w:tc>
        <w:tc>
          <w:tcPr>
            <w:tcW w:w="311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5BBBC35">
            <w:pPr>
              <w:widowControl/>
              <w:spacing w:line="360" w:lineRule="auto"/>
              <w:contextualSpacing/>
              <w:jc w:val="center"/>
              <w:rPr>
                <w:rFonts w:ascii="宋体" w:hAnsi="宋体" w:cs="宋体"/>
                <w:color w:val="auto"/>
                <w:kern w:val="0"/>
                <w:sz w:val="24"/>
                <w:highlight w:val="none"/>
              </w:rPr>
            </w:pPr>
          </w:p>
        </w:tc>
        <w:tc>
          <w:tcPr>
            <w:tcW w:w="154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E301332">
            <w:pPr>
              <w:widowControl/>
              <w:spacing w:line="360" w:lineRule="auto"/>
              <w:contextualSpacing/>
              <w:jc w:val="center"/>
              <w:rPr>
                <w:rFonts w:ascii="宋体" w:hAnsi="宋体" w:cs="宋体"/>
                <w:color w:val="auto"/>
                <w:kern w:val="0"/>
                <w:sz w:val="24"/>
                <w:highlight w:val="none"/>
              </w:rPr>
            </w:pPr>
          </w:p>
        </w:tc>
      </w:tr>
      <w:tr w14:paraId="008CA16F">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73DE468">
            <w:pPr>
              <w:widowControl/>
              <w:spacing w:line="360" w:lineRule="auto"/>
              <w:contextualSpacing/>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C702486">
            <w:pPr>
              <w:widowControl/>
              <w:spacing w:line="360" w:lineRule="auto"/>
              <w:contextualSpacing/>
              <w:jc w:val="center"/>
              <w:rPr>
                <w:rFonts w:ascii="宋体" w:hAnsi="宋体" w:cs="宋体"/>
                <w:color w:val="auto"/>
                <w:kern w:val="0"/>
                <w:sz w:val="24"/>
                <w:highlight w:val="none"/>
              </w:rPr>
            </w:pPr>
          </w:p>
        </w:tc>
        <w:tc>
          <w:tcPr>
            <w:tcW w:w="3111"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536121B">
            <w:pPr>
              <w:widowControl/>
              <w:spacing w:line="360" w:lineRule="auto"/>
              <w:contextualSpacing/>
              <w:jc w:val="center"/>
              <w:rPr>
                <w:rFonts w:ascii="宋体" w:hAnsi="宋体" w:cs="宋体"/>
                <w:color w:val="auto"/>
                <w:kern w:val="0"/>
                <w:sz w:val="24"/>
                <w:highlight w:val="none"/>
              </w:rPr>
            </w:pPr>
          </w:p>
        </w:tc>
        <w:tc>
          <w:tcPr>
            <w:tcW w:w="154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6615F2A">
            <w:pPr>
              <w:widowControl/>
              <w:spacing w:line="360" w:lineRule="auto"/>
              <w:contextualSpacing/>
              <w:jc w:val="center"/>
              <w:rPr>
                <w:rFonts w:ascii="宋体" w:hAnsi="宋体" w:cs="宋体"/>
                <w:color w:val="auto"/>
                <w:kern w:val="0"/>
                <w:sz w:val="24"/>
                <w:highlight w:val="none"/>
              </w:rPr>
            </w:pPr>
          </w:p>
        </w:tc>
      </w:tr>
    </w:tbl>
    <w:p w14:paraId="2E19C444">
      <w:pPr>
        <w:spacing w:line="360" w:lineRule="auto"/>
        <w:ind w:firstLine="480" w:firstLineChars="200"/>
        <w:contextualSpacing/>
        <w:jc w:val="left"/>
        <w:rPr>
          <w:rFonts w:ascii="宋体" w:hAnsi="宋体" w:cs="仿宋_GB2312"/>
          <w:color w:val="auto"/>
          <w:kern w:val="0"/>
          <w:sz w:val="24"/>
          <w:highlight w:val="none"/>
        </w:rPr>
      </w:pPr>
      <w:r>
        <w:rPr>
          <w:rFonts w:hint="eastAsia" w:ascii="宋体" w:hAnsi="宋体" w:cs="仿宋_GB2312"/>
          <w:color w:val="auto"/>
          <w:kern w:val="0"/>
          <w:sz w:val="24"/>
          <w:highlight w:val="none"/>
        </w:rPr>
        <w:t>注：</w:t>
      </w:r>
    </w:p>
    <w:p w14:paraId="2D8B2D3D">
      <w:pPr>
        <w:spacing w:line="360" w:lineRule="auto"/>
        <w:ind w:firstLine="480" w:firstLineChars="200"/>
        <w:contextualSpacing/>
        <w:jc w:val="left"/>
        <w:rPr>
          <w:rFonts w:ascii="宋体" w:hAnsi="宋体" w:cs="仿宋_GB2312"/>
          <w:color w:val="auto"/>
          <w:kern w:val="0"/>
          <w:sz w:val="24"/>
          <w:highlight w:val="none"/>
        </w:rPr>
      </w:pPr>
      <w:r>
        <w:rPr>
          <w:rFonts w:hint="eastAsia" w:ascii="宋体" w:hAnsi="宋体" w:cs="仿宋_GB2312"/>
          <w:color w:val="auto"/>
          <w:kern w:val="0"/>
          <w:sz w:val="24"/>
          <w:highlight w:val="none"/>
        </w:rPr>
        <w:t>1.管理关系：是指不具有出资持股关系的其他单位之间存在的管理与被管理关系，如一些上下级关系的事业单位和团体组织。</w:t>
      </w:r>
    </w:p>
    <w:p w14:paraId="4F53358B">
      <w:pPr>
        <w:spacing w:line="360" w:lineRule="auto"/>
        <w:ind w:firstLine="480" w:firstLineChars="200"/>
        <w:contextualSpacing/>
        <w:jc w:val="left"/>
        <w:rPr>
          <w:rFonts w:ascii="宋体" w:hAnsi="宋体" w:cs="仿宋_GB2312"/>
          <w:color w:val="auto"/>
          <w:kern w:val="0"/>
          <w:sz w:val="24"/>
          <w:highlight w:val="none"/>
        </w:rPr>
      </w:pPr>
      <w:r>
        <w:rPr>
          <w:rFonts w:hint="eastAsia" w:ascii="宋体" w:hAnsi="宋体" w:cs="仿宋_GB2312"/>
          <w:color w:val="auto"/>
          <w:kern w:val="0"/>
          <w:sz w:val="24"/>
          <w:highlight w:val="none"/>
        </w:rPr>
        <w:t>2.本表所指的管理关系仅限于直接管理关系，不包括间接的管理关系。</w:t>
      </w:r>
    </w:p>
    <w:p w14:paraId="4639F66A">
      <w:pPr>
        <w:spacing w:line="360" w:lineRule="auto"/>
        <w:ind w:firstLine="480" w:firstLineChars="200"/>
        <w:contextualSpacing/>
        <w:jc w:val="left"/>
        <w:rPr>
          <w:rFonts w:ascii="宋体" w:hAnsi="宋体" w:cs="仿宋_GB2312"/>
          <w:color w:val="auto"/>
          <w:kern w:val="0"/>
          <w:sz w:val="24"/>
          <w:highlight w:val="none"/>
        </w:rPr>
      </w:pPr>
      <w:r>
        <w:rPr>
          <w:rFonts w:hint="eastAsia" w:ascii="宋体" w:hAnsi="宋体" w:cs="仿宋_GB2312"/>
          <w:color w:val="auto"/>
          <w:kern w:val="0"/>
          <w:sz w:val="24"/>
          <w:highlight w:val="none"/>
        </w:rPr>
        <w:t>3.供应商不存在直接管理关系的，则填“无”。</w:t>
      </w:r>
    </w:p>
    <w:p w14:paraId="38AF2BA8">
      <w:pPr>
        <w:spacing w:line="360" w:lineRule="auto"/>
        <w:contextualSpacing/>
        <w:jc w:val="left"/>
        <w:rPr>
          <w:rFonts w:ascii="宋体" w:hAnsi="宋体"/>
          <w:color w:val="auto"/>
          <w:sz w:val="24"/>
          <w:highlight w:val="none"/>
        </w:rPr>
      </w:pPr>
    </w:p>
    <w:p w14:paraId="332A9C21">
      <w:pPr>
        <w:autoSpaceDE w:val="0"/>
        <w:autoSpaceDN w:val="0"/>
        <w:spacing w:line="360" w:lineRule="auto"/>
        <w:ind w:left="4365" w:leftChars="1850" w:hanging="480" w:hangingChars="200"/>
        <w:rPr>
          <w:rFonts w:ascii="宋体" w:hAnsi="宋体" w:cs="仿宋_GB2312"/>
          <w:color w:val="auto"/>
          <w:kern w:val="0"/>
          <w:sz w:val="24"/>
          <w:highlight w:val="none"/>
        </w:rPr>
      </w:pPr>
      <w:r>
        <w:rPr>
          <w:rFonts w:hint="eastAsia" w:ascii="宋体" w:hAnsi="宋体" w:cs="仿宋_GB2312"/>
          <w:color w:val="auto"/>
          <w:kern w:val="0"/>
          <w:sz w:val="24"/>
          <w:highlight w:val="none"/>
        </w:rPr>
        <w:t>供应商名称（电子签章）：</w:t>
      </w:r>
    </w:p>
    <w:p w14:paraId="04B47E80">
      <w:pPr>
        <w:autoSpaceDE w:val="0"/>
        <w:autoSpaceDN w:val="0"/>
        <w:spacing w:line="360" w:lineRule="auto"/>
        <w:ind w:firstLine="6120" w:firstLineChars="2550"/>
        <w:rPr>
          <w:rFonts w:ascii="宋体" w:hAnsi="宋体" w:cs="仿宋_GB2312"/>
          <w:b/>
          <w:bCs/>
          <w:color w:val="auto"/>
          <w:sz w:val="24"/>
          <w:highlight w:val="none"/>
        </w:rPr>
      </w:pPr>
      <w:r>
        <w:rPr>
          <w:rFonts w:hint="eastAsia" w:ascii="宋体" w:hAnsi="宋体" w:cs="仿宋_GB2312"/>
          <w:color w:val="auto"/>
          <w:kern w:val="0"/>
          <w:sz w:val="24"/>
          <w:highlight w:val="none"/>
          <w:lang w:val="zh-CN"/>
        </w:rPr>
        <w:t>日期：  年  月   日</w:t>
      </w:r>
    </w:p>
    <w:p w14:paraId="1B65A62E">
      <w:pPr>
        <w:spacing w:line="360" w:lineRule="auto"/>
        <w:ind w:right="480" w:firstLine="240" w:firstLineChars="100"/>
        <w:contextualSpacing/>
        <w:jc w:val="center"/>
        <w:rPr>
          <w:rFonts w:ascii="宋体" w:hAnsi="宋体"/>
          <w:color w:val="auto"/>
          <w:sz w:val="28"/>
          <w:szCs w:val="28"/>
          <w:highlight w:val="none"/>
        </w:rPr>
      </w:pPr>
      <w:r>
        <w:rPr>
          <w:rFonts w:hint="eastAsia" w:ascii="宋体" w:hAnsi="宋体"/>
          <w:color w:val="auto"/>
          <w:sz w:val="24"/>
          <w:highlight w:val="none"/>
        </w:rPr>
        <w:t xml:space="preserve">                                  </w:t>
      </w:r>
    </w:p>
    <w:p w14:paraId="25A4F699">
      <w:pPr>
        <w:spacing w:line="320" w:lineRule="exact"/>
        <w:jc w:val="left"/>
        <w:rPr>
          <w:rFonts w:ascii="宋体" w:hAnsi="宋体"/>
          <w:b/>
          <w:color w:val="auto"/>
          <w:sz w:val="32"/>
          <w:szCs w:val="32"/>
          <w:highlight w:val="none"/>
        </w:rPr>
      </w:pPr>
      <w:r>
        <w:rPr>
          <w:rFonts w:ascii="宋体" w:hAnsi="宋体"/>
          <w:color w:val="auto"/>
          <w:sz w:val="28"/>
          <w:szCs w:val="28"/>
          <w:highlight w:val="none"/>
        </w:rPr>
        <w:br w:type="page"/>
      </w:r>
      <w:r>
        <w:rPr>
          <w:rFonts w:hint="eastAsia" w:ascii="宋体" w:hAnsi="宋体"/>
          <w:b/>
          <w:bCs/>
          <w:color w:val="auto"/>
          <w:sz w:val="32"/>
          <w:szCs w:val="32"/>
          <w:highlight w:val="none"/>
        </w:rPr>
        <w:t>8.</w:t>
      </w:r>
      <w:r>
        <w:rPr>
          <w:rFonts w:hint="eastAsia" w:ascii="宋体" w:hAnsi="宋体"/>
          <w:b/>
          <w:color w:val="auto"/>
          <w:sz w:val="32"/>
          <w:szCs w:val="32"/>
          <w:highlight w:val="none"/>
        </w:rPr>
        <w:t>竞标声明</w:t>
      </w:r>
    </w:p>
    <w:p w14:paraId="449514C9">
      <w:pPr>
        <w:spacing w:line="320" w:lineRule="exact"/>
        <w:jc w:val="center"/>
        <w:rPr>
          <w:rFonts w:ascii="宋体" w:hAnsi="宋体"/>
          <w:color w:val="auto"/>
          <w:sz w:val="24"/>
          <w:szCs w:val="20"/>
          <w:highlight w:val="none"/>
        </w:rPr>
      </w:pPr>
    </w:p>
    <w:p w14:paraId="264B4E9E">
      <w:pPr>
        <w:widowControl/>
        <w:spacing w:before="120" w:beforeLines="50" w:after="50"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（采购代理机构名称）</w:t>
      </w:r>
      <w:r>
        <w:rPr>
          <w:rFonts w:hint="eastAsia" w:ascii="宋体" w:hAnsi="宋体" w:cs="宋体"/>
          <w:color w:val="auto"/>
          <w:sz w:val="24"/>
          <w:highlight w:val="none"/>
        </w:rPr>
        <w:t>：</w:t>
      </w:r>
    </w:p>
    <w:p w14:paraId="3213D6F2">
      <w:pPr>
        <w:widowControl/>
        <w:spacing w:before="120" w:beforeLines="50" w:after="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3E29C9B2">
      <w:pPr>
        <w:widowControl/>
        <w:spacing w:before="120" w:beforeLines="50" w:line="360" w:lineRule="auto"/>
        <w:ind w:firstLine="540" w:firstLineChars="225"/>
        <w:contextualSpacing/>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项目的竞标，为便于贵方公正、择优地确定成交供应商及其施工，我方就本次竞标有关事项郑重声明如下：</w:t>
      </w:r>
    </w:p>
    <w:p w14:paraId="642B8BF3">
      <w:pPr>
        <w:widowControl/>
        <w:spacing w:before="120"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75A4E4C2">
      <w:pPr>
        <w:widowControl/>
        <w:spacing w:before="120" w:beforeLines="50" w:line="360" w:lineRule="auto"/>
        <w:ind w:firstLine="540" w:firstLineChars="225"/>
        <w:contextualSpacing/>
        <w:rPr>
          <w:rFonts w:ascii="宋体" w:hAnsi="宋体" w:cs="宋体"/>
          <w:color w:val="auto"/>
          <w:sz w:val="24"/>
          <w:highlight w:val="none"/>
        </w:rPr>
      </w:pPr>
      <w:r>
        <w:rPr>
          <w:rFonts w:hint="eastAsia" w:ascii="宋体" w:hAnsi="宋体" w:cs="宋体"/>
          <w:color w:val="auto"/>
          <w:sz w:val="24"/>
          <w:highlight w:val="none"/>
        </w:rPr>
        <w:t>2.我方不是采购人的附属机构；不是为本次采购项目提供整体设计、规范编制或者项目管理、施工、检测等施工的供应商；在获知本项目采购信息后，与采购人聘请的为此项目提供咨询施工的公司及其附属机构没有任何联系。</w:t>
      </w:r>
    </w:p>
    <w:p w14:paraId="51E8CD81">
      <w:pPr>
        <w:widowControl/>
        <w:spacing w:before="120"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3.在此，我方宣布同意如下：</w:t>
      </w:r>
    </w:p>
    <w:p w14:paraId="6B209E69">
      <w:pPr>
        <w:widowControl/>
        <w:spacing w:before="120"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5D6A0619">
      <w:pPr>
        <w:widowControl/>
        <w:spacing w:before="120"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4778D2E9">
      <w:pPr>
        <w:widowControl/>
        <w:spacing w:before="120"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014008B8">
      <w:pPr>
        <w:widowControl/>
        <w:spacing w:before="120"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（4）响应磋商文件规定的竞标有效期。</w:t>
      </w:r>
    </w:p>
    <w:p w14:paraId="109B26AE">
      <w:pPr>
        <w:widowControl/>
        <w:spacing w:before="120"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2B279EA8">
      <w:pPr>
        <w:widowControl/>
        <w:spacing w:before="120"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29FE4FEA">
      <w:pPr>
        <w:widowControl/>
        <w:spacing w:before="120"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1C4C7AAC">
      <w:pPr>
        <w:widowControl/>
        <w:spacing w:before="120"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3D0ACC39">
      <w:pPr>
        <w:widowControl/>
        <w:spacing w:before="120"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62497D96">
      <w:pPr>
        <w:widowControl/>
        <w:spacing w:before="120"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3863C19A">
      <w:pPr>
        <w:widowControl/>
        <w:spacing w:before="120"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6607102D">
      <w:pPr>
        <w:widowControl/>
        <w:spacing w:before="120" w:beforeLines="50" w:line="360" w:lineRule="auto"/>
        <w:ind w:firstLine="540" w:firstLineChars="225"/>
        <w:contextualSpacing/>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38048961">
      <w:pPr>
        <w:widowControl/>
        <w:spacing w:before="120" w:beforeLines="50" w:line="360" w:lineRule="auto"/>
        <w:ind w:firstLine="540" w:firstLineChars="225"/>
        <w:contextualSpacing/>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211731D2">
      <w:pPr>
        <w:widowControl/>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11DF0821">
      <w:pPr>
        <w:widowControl/>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34478E5D">
      <w:pPr>
        <w:pStyle w:val="28"/>
        <w:widowControl/>
        <w:spacing w:line="360" w:lineRule="auto"/>
        <w:ind w:firstLine="480" w:firstLineChars="200"/>
        <w:contextualSpacing/>
        <w:rPr>
          <w:rFonts w:hAnsi="宋体" w:cs="宋体"/>
          <w:color w:val="auto"/>
          <w:sz w:val="24"/>
          <w:szCs w:val="24"/>
          <w:highlight w:val="none"/>
          <w:u w:val="single"/>
        </w:rPr>
      </w:pPr>
      <w:r>
        <w:rPr>
          <w:rFonts w:hint="eastAsia" w:hAnsi="宋体" w:cs="宋体"/>
          <w:color w:val="auto"/>
          <w:sz w:val="24"/>
          <w:szCs w:val="24"/>
          <w:highlight w:val="none"/>
        </w:rPr>
        <w:t>7.与本磋商有关的一切正式往来信函请寄：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382D5E5A">
      <w:pPr>
        <w:pStyle w:val="28"/>
        <w:widowControl/>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电子函件：</w:t>
      </w:r>
      <w:r>
        <w:rPr>
          <w:rFonts w:hint="eastAsia" w:hAnsi="宋体" w:cs="宋体"/>
          <w:color w:val="auto"/>
          <w:sz w:val="24"/>
          <w:szCs w:val="24"/>
          <w:highlight w:val="none"/>
          <w:u w:val="single"/>
        </w:rPr>
        <w:t xml:space="preserve">                          </w:t>
      </w:r>
    </w:p>
    <w:p w14:paraId="3F8970FF">
      <w:pPr>
        <w:pStyle w:val="23"/>
        <w:widowControl/>
        <w:tabs>
          <w:tab w:val="left" w:pos="939"/>
        </w:tabs>
        <w:spacing w:line="360" w:lineRule="auto"/>
        <w:ind w:left="0" w:firstLine="360" w:firstLineChars="150"/>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账号：</w:t>
      </w:r>
      <w:r>
        <w:rPr>
          <w:rFonts w:hint="eastAsia" w:ascii="宋体" w:hAnsi="宋体" w:cs="宋体"/>
          <w:color w:val="auto"/>
          <w:sz w:val="24"/>
          <w:highlight w:val="none"/>
          <w:u w:val="single"/>
        </w:rPr>
        <w:t xml:space="preserve">                             </w:t>
      </w:r>
    </w:p>
    <w:p w14:paraId="16C0B95C">
      <w:pPr>
        <w:pStyle w:val="23"/>
        <w:widowControl/>
        <w:tabs>
          <w:tab w:val="left" w:pos="939"/>
        </w:tabs>
        <w:spacing w:line="360" w:lineRule="auto"/>
        <w:ind w:left="0" w:firstLine="537" w:firstLineChars="224"/>
        <w:rPr>
          <w:rFonts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7A93C646">
      <w:pPr>
        <w:pStyle w:val="23"/>
        <w:widowControl/>
        <w:tabs>
          <w:tab w:val="left" w:pos="939"/>
        </w:tabs>
        <w:spacing w:line="360" w:lineRule="auto"/>
        <w:ind w:left="0" w:firstLine="480" w:firstLineChars="200"/>
        <w:rPr>
          <w:rFonts w:ascii="宋体" w:hAnsi="宋体" w:cs="宋体"/>
          <w:color w:val="auto"/>
          <w:sz w:val="24"/>
          <w:highlight w:val="none"/>
        </w:rPr>
      </w:pPr>
      <w:r>
        <w:rPr>
          <w:rFonts w:hint="eastAsia" w:ascii="宋体" w:hAnsi="宋体" w:cs="宋体"/>
          <w:color w:val="auto"/>
          <w:sz w:val="24"/>
          <w:highlight w:val="none"/>
        </w:rPr>
        <w:t>特此承诺。</w:t>
      </w:r>
    </w:p>
    <w:p w14:paraId="122A730E">
      <w:pPr>
        <w:pStyle w:val="23"/>
        <w:widowControl/>
        <w:tabs>
          <w:tab w:val="left" w:pos="939"/>
        </w:tabs>
        <w:spacing w:line="360" w:lineRule="auto"/>
        <w:ind w:left="0" w:firstLine="480" w:firstLineChars="200"/>
        <w:rPr>
          <w:rFonts w:ascii="宋体" w:hAnsi="宋体" w:cs="宋体"/>
          <w:color w:val="auto"/>
          <w:sz w:val="24"/>
          <w:highlight w:val="none"/>
        </w:rPr>
      </w:pPr>
      <w:r>
        <w:rPr>
          <w:rFonts w:hint="eastAsia" w:ascii="宋体" w:hAnsi="宋体" w:cs="宋体"/>
          <w:color w:val="auto"/>
          <w:sz w:val="24"/>
          <w:highlight w:val="none"/>
        </w:rPr>
        <w:t>注：如为联合体竞标，盖章处须加盖联合体各方公章并由联合体各方法定代表人签署，否则其响应文件按无效响应处理。</w:t>
      </w:r>
    </w:p>
    <w:p w14:paraId="018C8AE0">
      <w:pPr>
        <w:pStyle w:val="23"/>
        <w:widowControl/>
        <w:tabs>
          <w:tab w:val="left" w:pos="939"/>
        </w:tabs>
        <w:spacing w:line="360" w:lineRule="auto"/>
        <w:ind w:left="0" w:firstLine="480" w:firstLineChars="200"/>
        <w:rPr>
          <w:rFonts w:ascii="宋体" w:hAnsi="宋体" w:cs="宋体"/>
          <w:color w:val="auto"/>
          <w:sz w:val="24"/>
          <w:highlight w:val="none"/>
        </w:rPr>
      </w:pPr>
    </w:p>
    <w:p w14:paraId="07B85BFD">
      <w:pPr>
        <w:pStyle w:val="23"/>
        <w:widowControl/>
        <w:tabs>
          <w:tab w:val="left" w:pos="939"/>
        </w:tabs>
        <w:spacing w:line="360" w:lineRule="auto"/>
        <w:ind w:left="0" w:firstLine="480" w:firstLineChars="200"/>
        <w:rPr>
          <w:rFonts w:ascii="宋体" w:hAnsi="宋体" w:cs="宋体"/>
          <w:color w:val="auto"/>
          <w:sz w:val="24"/>
          <w:highlight w:val="none"/>
        </w:rPr>
      </w:pPr>
    </w:p>
    <w:p w14:paraId="46ADBD9F">
      <w:pPr>
        <w:widowControl/>
        <w:snapToGrid w:val="0"/>
        <w:spacing w:before="50" w:after="50" w:line="360" w:lineRule="auto"/>
        <w:ind w:firstLine="2640" w:firstLineChars="1100"/>
        <w:rPr>
          <w:rFonts w:ascii="宋体" w:hAnsi="宋体" w:cs="仿宋_GB2312"/>
          <w:color w:val="auto"/>
          <w:sz w:val="24"/>
          <w:highlight w:val="none"/>
        </w:rPr>
      </w:pPr>
      <w:r>
        <w:rPr>
          <w:rFonts w:hint="eastAsia" w:ascii="宋体" w:hAnsi="宋体" w:cs="仿宋_GB2312"/>
          <w:color w:val="auto"/>
          <w:sz w:val="24"/>
          <w:highlight w:val="none"/>
        </w:rPr>
        <w:t>法定代表人或者委托代理人（签字）：</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12505165">
      <w:pPr>
        <w:widowControl/>
        <w:snapToGrid w:val="0"/>
        <w:spacing w:before="50" w:after="50" w:line="360" w:lineRule="auto"/>
        <w:ind w:firstLine="3840" w:firstLineChars="1600"/>
        <w:rPr>
          <w:rFonts w:ascii="宋体" w:hAnsi="宋体" w:cs="仿宋_GB2312"/>
          <w:color w:val="auto"/>
          <w:sz w:val="24"/>
          <w:highlight w:val="none"/>
          <w:u w:val="singl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p>
    <w:p w14:paraId="2E4F5C92">
      <w:pPr>
        <w:widowControl/>
        <w:snapToGrid w:val="0"/>
        <w:spacing w:before="120" w:beforeLines="50" w:after="50" w:line="360" w:lineRule="auto"/>
        <w:ind w:firstLine="240" w:firstLineChars="100"/>
        <w:jc w:val="center"/>
        <w:rPr>
          <w:rFonts w:ascii="宋体" w:hAnsi="宋体"/>
          <w:color w:val="auto"/>
          <w:sz w:val="28"/>
          <w:szCs w:val="28"/>
          <w:highlight w:val="none"/>
        </w:rPr>
      </w:pPr>
      <w:r>
        <w:rPr>
          <w:rFonts w:hint="eastAsia" w:ascii="宋体" w:hAnsi="宋体" w:cs="仿宋_GB2312"/>
          <w:color w:val="auto"/>
          <w:sz w:val="24"/>
          <w:highlight w:val="none"/>
        </w:rPr>
        <w:t xml:space="preserve">          日期：   年   月   日</w:t>
      </w:r>
    </w:p>
    <w:p w14:paraId="359F0E74">
      <w:pPr>
        <w:autoSpaceDE w:val="0"/>
        <w:autoSpaceDN w:val="0"/>
        <w:spacing w:line="360" w:lineRule="auto"/>
        <w:ind w:firstLine="6120" w:firstLineChars="2550"/>
        <w:rPr>
          <w:rFonts w:ascii="宋体" w:hAnsi="宋体" w:cs="仿宋_GB2312"/>
          <w:color w:val="auto"/>
          <w:kern w:val="0"/>
          <w:sz w:val="24"/>
          <w:highlight w:val="none"/>
          <w:lang w:val="zh-CN"/>
        </w:rPr>
        <w:sectPr>
          <w:pgSz w:w="11910" w:h="16840"/>
          <w:pgMar w:top="1340" w:right="1500" w:bottom="1220" w:left="1680" w:header="720" w:footer="720" w:gutter="0"/>
          <w:pgNumType w:fmt="decimal"/>
          <w:cols w:space="720" w:num="1"/>
        </w:sectPr>
      </w:pPr>
      <w:r>
        <w:rPr>
          <w:rFonts w:hint="eastAsia" w:ascii="宋体" w:hAnsi="宋体" w:cs="仿宋_GB2312"/>
          <w:color w:val="auto"/>
          <w:kern w:val="0"/>
          <w:sz w:val="24"/>
          <w:highlight w:val="none"/>
          <w:lang w:val="zh-CN"/>
        </w:rPr>
        <w:t xml:space="preserve"> </w:t>
      </w:r>
    </w:p>
    <w:p w14:paraId="31FA4192">
      <w:pPr>
        <w:widowControl/>
        <w:spacing w:line="588" w:lineRule="exact"/>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9.中小企业声明函</w:t>
      </w:r>
    </w:p>
    <w:p w14:paraId="68B2582D">
      <w:pPr>
        <w:widowControl/>
        <w:autoSpaceDE w:val="0"/>
        <w:autoSpaceDN w:val="0"/>
        <w:adjustRightInd w:val="0"/>
        <w:jc w:val="center"/>
        <w:rPr>
          <w:rFonts w:ascii="宋体" w:hAnsi="宋体" w:cs="宋体"/>
          <w:color w:val="auto"/>
          <w:kern w:val="0"/>
          <w:szCs w:val="21"/>
          <w:highlight w:val="none"/>
        </w:rPr>
      </w:pPr>
    </w:p>
    <w:p w14:paraId="1CEDA3E5">
      <w:pPr>
        <w:widowControl/>
        <w:autoSpaceDE w:val="0"/>
        <w:autoSpaceDN w:val="0"/>
        <w:adjustRightInd w:val="0"/>
        <w:spacing w:line="360" w:lineRule="auto"/>
        <w:ind w:firstLine="484" w:firstLineChars="202"/>
        <w:rPr>
          <w:rFonts w:ascii="宋体" w:hAnsi="宋体" w:cs="宋体"/>
          <w:color w:val="auto"/>
          <w:kern w:val="0"/>
          <w:sz w:val="24"/>
          <w:highlight w:val="none"/>
        </w:rPr>
      </w:pPr>
      <w:r>
        <w:rPr>
          <w:rFonts w:hint="eastAsia" w:ascii="宋体" w:hAnsi="宋体" w:cs="宋体"/>
          <w:color w:val="auto"/>
          <w:kern w:val="0"/>
          <w:sz w:val="24"/>
          <w:highlight w:val="none"/>
        </w:rPr>
        <w:t>本公司（联合体）郑重声明，根据《政府采购促进中小企业发展管理办法》（财库﹝2020﹞46 号）的规定，本公司（联合体）参加</w:t>
      </w:r>
      <w:r>
        <w:rPr>
          <w:rFonts w:hint="eastAsia" w:ascii="宋体" w:hAnsi="宋体" w:cs="宋体"/>
          <w:color w:val="auto"/>
          <w:kern w:val="0"/>
          <w:sz w:val="24"/>
          <w:highlight w:val="none"/>
          <w:u w:val="single"/>
        </w:rPr>
        <w:t>（单位名称）</w:t>
      </w:r>
      <w:r>
        <w:rPr>
          <w:rFonts w:hint="eastAsia" w:ascii="宋体" w:hAnsi="宋体" w:cs="宋体"/>
          <w:color w:val="auto"/>
          <w:kern w:val="0"/>
          <w:sz w:val="24"/>
          <w:highlight w:val="none"/>
        </w:rPr>
        <w:t>的</w:t>
      </w:r>
      <w:r>
        <w:rPr>
          <w:rFonts w:hint="eastAsia" w:ascii="宋体" w:hAnsi="宋体" w:cs="宋体"/>
          <w:color w:val="auto"/>
          <w:kern w:val="0"/>
          <w:sz w:val="24"/>
          <w:highlight w:val="none"/>
          <w:u w:val="single"/>
        </w:rPr>
        <w:t>（项目名称）</w:t>
      </w:r>
      <w:r>
        <w:rPr>
          <w:rFonts w:hint="eastAsia" w:ascii="宋体" w:hAnsi="宋体" w:cs="宋体"/>
          <w:color w:val="auto"/>
          <w:kern w:val="0"/>
          <w:sz w:val="24"/>
          <w:highlight w:val="none"/>
        </w:rPr>
        <w:t>采购活动，施工全部由符合政策要求的中小企业承接。相关企业（含联合体中的中小企业、签订分包意向协议的中小企业）的具体情况如下：</w:t>
      </w:r>
    </w:p>
    <w:p w14:paraId="63B55118">
      <w:pPr>
        <w:widowControl/>
        <w:autoSpaceDE w:val="0"/>
        <w:autoSpaceDN w:val="0"/>
        <w:adjustRightInd w:val="0"/>
        <w:spacing w:line="360" w:lineRule="auto"/>
        <w:ind w:firstLine="484" w:firstLineChars="202"/>
        <w:rPr>
          <w:rFonts w:ascii="宋体" w:hAnsi="宋体" w:cs="宋体"/>
          <w:color w:val="auto"/>
          <w:kern w:val="0"/>
          <w:sz w:val="24"/>
          <w:highlight w:val="none"/>
        </w:rPr>
      </w:pPr>
      <w:r>
        <w:rPr>
          <w:rFonts w:hint="eastAsia" w:ascii="宋体" w:hAnsi="宋体" w:cs="宋体"/>
          <w:color w:val="auto"/>
          <w:kern w:val="0"/>
          <w:sz w:val="24"/>
          <w:highlight w:val="none"/>
        </w:rPr>
        <w:t xml:space="preserve">1. </w:t>
      </w:r>
      <w:r>
        <w:rPr>
          <w:rFonts w:hint="eastAsia" w:ascii="宋体" w:hAnsi="宋体" w:cs="宋体"/>
          <w:color w:val="auto"/>
          <w:kern w:val="0"/>
          <w:sz w:val="24"/>
          <w:highlight w:val="none"/>
          <w:u w:val="single"/>
        </w:rPr>
        <w:t>（标的名称）</w:t>
      </w:r>
      <w:r>
        <w:rPr>
          <w:rFonts w:hint="eastAsia" w:ascii="宋体" w:hAnsi="宋体" w:cs="宋体"/>
          <w:color w:val="auto"/>
          <w:kern w:val="0"/>
          <w:sz w:val="24"/>
          <w:highlight w:val="none"/>
        </w:rPr>
        <w:t xml:space="preserve"> ，属于</w:t>
      </w:r>
      <w:r>
        <w:rPr>
          <w:rFonts w:hint="eastAsia" w:ascii="宋体" w:hAnsi="宋体" w:cs="宋体"/>
          <w:color w:val="auto"/>
          <w:kern w:val="0"/>
          <w:sz w:val="24"/>
          <w:highlight w:val="none"/>
          <w:u w:val="single"/>
        </w:rPr>
        <w:t>（磋商文件中明确的所属行业）</w:t>
      </w:r>
      <w:r>
        <w:rPr>
          <w:rFonts w:hint="eastAsia" w:ascii="宋体" w:hAnsi="宋体" w:cs="宋体"/>
          <w:color w:val="auto"/>
          <w:kern w:val="0"/>
          <w:sz w:val="24"/>
          <w:highlight w:val="none"/>
        </w:rPr>
        <w:t>；承建企业为</w:t>
      </w:r>
      <w:r>
        <w:rPr>
          <w:rFonts w:hint="eastAsia" w:ascii="宋体" w:hAnsi="宋体" w:cs="宋体"/>
          <w:color w:val="auto"/>
          <w:kern w:val="0"/>
          <w:sz w:val="24"/>
          <w:highlight w:val="none"/>
          <w:u w:val="single"/>
        </w:rPr>
        <w:t>（企业名称）</w:t>
      </w:r>
      <w:r>
        <w:rPr>
          <w:rFonts w:hint="eastAsia" w:ascii="宋体" w:hAnsi="宋体" w:cs="宋体"/>
          <w:color w:val="auto"/>
          <w:kern w:val="0"/>
          <w:sz w:val="24"/>
          <w:highlight w:val="none"/>
        </w:rPr>
        <w:t>，从业人员</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人，营业收入为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万元，资产总额为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万元，属于</w:t>
      </w:r>
      <w:r>
        <w:rPr>
          <w:rFonts w:hint="eastAsia" w:ascii="宋体" w:hAnsi="宋体" w:cs="宋体"/>
          <w:color w:val="auto"/>
          <w:kern w:val="0"/>
          <w:sz w:val="24"/>
          <w:highlight w:val="none"/>
          <w:u w:val="single"/>
        </w:rPr>
        <w:t>（中型企业、小型企业、微型企业）</w:t>
      </w:r>
      <w:r>
        <w:rPr>
          <w:rFonts w:hint="eastAsia" w:ascii="宋体" w:hAnsi="宋体" w:cs="宋体"/>
          <w:color w:val="auto"/>
          <w:kern w:val="0"/>
          <w:sz w:val="24"/>
          <w:highlight w:val="none"/>
        </w:rPr>
        <w:t>；</w:t>
      </w:r>
    </w:p>
    <w:p w14:paraId="3DF4FBCE">
      <w:pPr>
        <w:widowControl/>
        <w:autoSpaceDE w:val="0"/>
        <w:autoSpaceDN w:val="0"/>
        <w:adjustRightInd w:val="0"/>
        <w:spacing w:line="360" w:lineRule="auto"/>
        <w:ind w:firstLine="484" w:firstLineChars="202"/>
        <w:rPr>
          <w:rFonts w:ascii="宋体" w:hAnsi="宋体" w:cs="宋体"/>
          <w:color w:val="auto"/>
          <w:kern w:val="0"/>
          <w:sz w:val="24"/>
          <w:highlight w:val="none"/>
        </w:rPr>
      </w:pPr>
      <w:r>
        <w:rPr>
          <w:rFonts w:hint="eastAsia" w:ascii="宋体" w:hAnsi="宋体" w:cs="宋体"/>
          <w:color w:val="auto"/>
          <w:kern w:val="0"/>
          <w:sz w:val="24"/>
          <w:highlight w:val="none"/>
        </w:rPr>
        <w:t xml:space="preserve">2. </w:t>
      </w:r>
      <w:r>
        <w:rPr>
          <w:rFonts w:hint="eastAsia" w:ascii="宋体" w:hAnsi="宋体" w:cs="宋体"/>
          <w:color w:val="auto"/>
          <w:kern w:val="0"/>
          <w:sz w:val="24"/>
          <w:highlight w:val="none"/>
          <w:u w:val="single"/>
        </w:rPr>
        <w:t>（标的名称）</w:t>
      </w:r>
      <w:r>
        <w:rPr>
          <w:rFonts w:hint="eastAsia" w:ascii="宋体" w:hAnsi="宋体" w:cs="宋体"/>
          <w:color w:val="auto"/>
          <w:kern w:val="0"/>
          <w:sz w:val="24"/>
          <w:highlight w:val="none"/>
        </w:rPr>
        <w:t xml:space="preserve"> ，属于</w:t>
      </w:r>
      <w:r>
        <w:rPr>
          <w:rFonts w:hint="eastAsia" w:ascii="宋体" w:hAnsi="宋体" w:cs="宋体"/>
          <w:color w:val="auto"/>
          <w:kern w:val="0"/>
          <w:sz w:val="24"/>
          <w:highlight w:val="none"/>
          <w:u w:val="single"/>
        </w:rPr>
        <w:t>（磋商文件中明确的所属行业）</w:t>
      </w:r>
      <w:r>
        <w:rPr>
          <w:rFonts w:hint="eastAsia" w:ascii="宋体" w:hAnsi="宋体" w:cs="宋体"/>
          <w:color w:val="auto"/>
          <w:kern w:val="0"/>
          <w:sz w:val="24"/>
          <w:highlight w:val="none"/>
        </w:rPr>
        <w:t>；承建企业为</w:t>
      </w:r>
      <w:r>
        <w:rPr>
          <w:rFonts w:hint="eastAsia" w:ascii="宋体" w:hAnsi="宋体" w:cs="宋体"/>
          <w:color w:val="auto"/>
          <w:kern w:val="0"/>
          <w:sz w:val="24"/>
          <w:highlight w:val="none"/>
          <w:u w:val="single"/>
        </w:rPr>
        <w:t>（企业名称）</w:t>
      </w:r>
      <w:r>
        <w:rPr>
          <w:rFonts w:hint="eastAsia" w:ascii="宋体" w:hAnsi="宋体" w:cs="宋体"/>
          <w:color w:val="auto"/>
          <w:kern w:val="0"/>
          <w:sz w:val="24"/>
          <w:highlight w:val="none"/>
        </w:rPr>
        <w:t>，从业人员</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人，营业收入为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万元，资产总额为</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万元，属于</w:t>
      </w:r>
      <w:r>
        <w:rPr>
          <w:rFonts w:hint="eastAsia" w:ascii="宋体" w:hAnsi="宋体" w:cs="宋体"/>
          <w:color w:val="auto"/>
          <w:kern w:val="0"/>
          <w:sz w:val="24"/>
          <w:highlight w:val="none"/>
          <w:u w:val="single"/>
        </w:rPr>
        <w:t>（中型企业、小型企业、微型企业）</w:t>
      </w:r>
      <w:r>
        <w:rPr>
          <w:rFonts w:hint="eastAsia" w:ascii="宋体" w:hAnsi="宋体" w:cs="宋体"/>
          <w:color w:val="auto"/>
          <w:kern w:val="0"/>
          <w:sz w:val="24"/>
          <w:highlight w:val="none"/>
        </w:rPr>
        <w:t>；</w:t>
      </w:r>
    </w:p>
    <w:p w14:paraId="7A6CF1DD">
      <w:pPr>
        <w:widowControl/>
        <w:autoSpaceDE w:val="0"/>
        <w:autoSpaceDN w:val="0"/>
        <w:adjustRightInd w:val="0"/>
        <w:spacing w:line="360" w:lineRule="auto"/>
        <w:ind w:firstLine="484" w:firstLineChars="202"/>
        <w:rPr>
          <w:rFonts w:ascii="宋体" w:hAnsi="宋体" w:cs="宋体"/>
          <w:color w:val="auto"/>
          <w:kern w:val="0"/>
          <w:sz w:val="24"/>
          <w:highlight w:val="none"/>
        </w:rPr>
      </w:pPr>
      <w:r>
        <w:rPr>
          <w:rFonts w:hint="eastAsia" w:ascii="宋体" w:hAnsi="宋体" w:cs="宋体"/>
          <w:color w:val="auto"/>
          <w:kern w:val="0"/>
          <w:sz w:val="24"/>
          <w:highlight w:val="none"/>
        </w:rPr>
        <w:t>……</w:t>
      </w:r>
    </w:p>
    <w:p w14:paraId="408797EE">
      <w:pPr>
        <w:widowControl/>
        <w:autoSpaceDE w:val="0"/>
        <w:autoSpaceDN w:val="0"/>
        <w:adjustRightInd w:val="0"/>
        <w:spacing w:line="360" w:lineRule="auto"/>
        <w:ind w:firstLine="484" w:firstLineChars="202"/>
        <w:rPr>
          <w:rFonts w:ascii="宋体" w:hAnsi="宋体" w:cs="宋体"/>
          <w:color w:val="auto"/>
          <w:kern w:val="0"/>
          <w:sz w:val="24"/>
          <w:highlight w:val="none"/>
        </w:rPr>
      </w:pPr>
      <w:r>
        <w:rPr>
          <w:rFonts w:hint="eastAsia" w:ascii="宋体" w:hAnsi="宋体" w:cs="宋体"/>
          <w:color w:val="auto"/>
          <w:kern w:val="0"/>
          <w:sz w:val="24"/>
          <w:highlight w:val="none"/>
        </w:rPr>
        <w:t>以上企业，不属于大企业的分支机构，不存在控股股东为大企业的情形，也不存在与大企业的负责人为同一人的情形。</w:t>
      </w:r>
    </w:p>
    <w:p w14:paraId="2CDC6DFD">
      <w:pPr>
        <w:widowControl/>
        <w:autoSpaceDE w:val="0"/>
        <w:autoSpaceDN w:val="0"/>
        <w:adjustRightInd w:val="0"/>
        <w:spacing w:line="360" w:lineRule="auto"/>
        <w:ind w:firstLine="484" w:firstLineChars="202"/>
        <w:rPr>
          <w:rFonts w:ascii="宋体" w:hAnsi="宋体" w:cs="宋体"/>
          <w:color w:val="auto"/>
          <w:kern w:val="0"/>
          <w:sz w:val="24"/>
          <w:highlight w:val="none"/>
        </w:rPr>
      </w:pPr>
      <w:r>
        <w:rPr>
          <w:rFonts w:hint="eastAsia" w:ascii="宋体" w:hAnsi="宋体" w:cs="宋体"/>
          <w:color w:val="auto"/>
          <w:kern w:val="0"/>
          <w:sz w:val="24"/>
          <w:highlight w:val="none"/>
        </w:rPr>
        <w:t>本企业对上述声明内容的真实性负责。如有虚假，将依法承担相应责任。</w:t>
      </w:r>
    </w:p>
    <w:p w14:paraId="1F74454D">
      <w:pPr>
        <w:widowControl/>
        <w:autoSpaceDE w:val="0"/>
        <w:autoSpaceDN w:val="0"/>
        <w:adjustRightInd w:val="0"/>
        <w:spacing w:line="360" w:lineRule="auto"/>
        <w:ind w:firstLine="484" w:firstLineChars="202"/>
        <w:rPr>
          <w:rFonts w:ascii="宋体" w:hAnsi="宋体" w:cs="宋体"/>
          <w:color w:val="auto"/>
          <w:kern w:val="0"/>
          <w:sz w:val="24"/>
          <w:highlight w:val="none"/>
        </w:rPr>
      </w:pPr>
    </w:p>
    <w:p w14:paraId="4A934BE7">
      <w:pPr>
        <w:widowControl/>
        <w:autoSpaceDE w:val="0"/>
        <w:autoSpaceDN w:val="0"/>
        <w:adjustRightInd w:val="0"/>
        <w:spacing w:line="360" w:lineRule="auto"/>
        <w:ind w:firstLine="4560" w:firstLineChars="1900"/>
        <w:rPr>
          <w:rFonts w:ascii="宋体" w:hAnsi="宋体" w:cs="宋体"/>
          <w:color w:val="auto"/>
          <w:kern w:val="0"/>
          <w:sz w:val="24"/>
          <w:highlight w:val="none"/>
        </w:rPr>
      </w:pPr>
      <w:r>
        <w:rPr>
          <w:rFonts w:hint="eastAsia" w:ascii="宋体" w:hAnsi="宋体" w:cs="宋体"/>
          <w:color w:val="auto"/>
          <w:kern w:val="0"/>
          <w:sz w:val="24"/>
          <w:highlight w:val="none"/>
        </w:rPr>
        <w:t>企业名称（电子签章）：</w:t>
      </w:r>
    </w:p>
    <w:p w14:paraId="0FD3A7D9">
      <w:pPr>
        <w:widowControl/>
        <w:autoSpaceDE w:val="0"/>
        <w:autoSpaceDN w:val="0"/>
        <w:adjustRightInd w:val="0"/>
        <w:spacing w:line="360" w:lineRule="auto"/>
        <w:ind w:firstLine="5040" w:firstLineChars="2100"/>
        <w:rPr>
          <w:rFonts w:ascii="宋体" w:hAnsi="宋体" w:cs="宋体"/>
          <w:color w:val="auto"/>
          <w:kern w:val="0"/>
          <w:sz w:val="24"/>
          <w:highlight w:val="none"/>
        </w:rPr>
      </w:pPr>
      <w:r>
        <w:rPr>
          <w:rFonts w:hint="eastAsia" w:ascii="宋体" w:hAnsi="宋体" w:cs="宋体"/>
          <w:color w:val="auto"/>
          <w:kern w:val="0"/>
          <w:sz w:val="24"/>
          <w:highlight w:val="none"/>
        </w:rPr>
        <w:t>日期：</w:t>
      </w:r>
    </w:p>
    <w:p w14:paraId="45DAFBE2">
      <w:pPr>
        <w:widowControl/>
        <w:rPr>
          <w:rFonts w:ascii="宋体" w:hAnsi="宋体" w:cs="宋体"/>
          <w:color w:val="auto"/>
          <w:sz w:val="24"/>
          <w:highlight w:val="none"/>
        </w:rPr>
      </w:pPr>
    </w:p>
    <w:p w14:paraId="7CFDF4F3">
      <w:pPr>
        <w:widowControl/>
        <w:rPr>
          <w:rFonts w:ascii="宋体" w:hAnsi="宋体" w:cs="宋体"/>
          <w:color w:val="auto"/>
          <w:sz w:val="24"/>
          <w:highlight w:val="none"/>
        </w:rPr>
      </w:pPr>
      <w:r>
        <w:rPr>
          <w:rFonts w:hint="eastAsia" w:ascii="宋体" w:hAnsi="宋体" w:cs="宋体"/>
          <w:color w:val="auto"/>
          <w:sz w:val="24"/>
          <w:highlight w:val="none"/>
        </w:rPr>
        <w:t>注：请根据国家统计局《统计上大中小微型企业划分办法（2017）》及自己的真实情况出具《中小企业声明函》。依法享受中小企业优惠政策的，采购人或者采购代理机构在公告成交结果时，同时公告其《中小企业声明函》，接受社会监督。</w:t>
      </w:r>
    </w:p>
    <w:p w14:paraId="35AB050A">
      <w:pPr>
        <w:spacing w:line="520" w:lineRule="exact"/>
        <w:jc w:val="center"/>
        <w:rPr>
          <w:rFonts w:ascii="宋体" w:hAnsi="宋体" w:cs="仿宋_GB2312"/>
          <w:color w:val="auto"/>
          <w:sz w:val="32"/>
          <w:szCs w:val="32"/>
          <w:highlight w:val="none"/>
        </w:rPr>
      </w:pPr>
      <w:r>
        <w:rPr>
          <w:rFonts w:hint="eastAsia" w:ascii="宋体" w:hAnsi="宋体" w:cs="方正小标宋简体"/>
          <w:color w:val="auto"/>
          <w:sz w:val="44"/>
          <w:szCs w:val="44"/>
          <w:highlight w:val="none"/>
        </w:rPr>
        <w:br w:type="page"/>
      </w:r>
      <w:r>
        <w:rPr>
          <w:rFonts w:hint="eastAsia" w:ascii="宋体" w:hAnsi="宋体" w:cs="方正小标宋简体"/>
          <w:color w:val="auto"/>
          <w:sz w:val="44"/>
          <w:szCs w:val="44"/>
          <w:highlight w:val="none"/>
        </w:rPr>
        <w:t>残疾人福利性单位声明函</w:t>
      </w:r>
    </w:p>
    <w:p w14:paraId="7CED26B9">
      <w:pPr>
        <w:spacing w:line="520" w:lineRule="exact"/>
        <w:rPr>
          <w:rFonts w:ascii="宋体" w:hAnsi="宋体" w:cs="仿宋_GB2312"/>
          <w:color w:val="auto"/>
          <w:sz w:val="32"/>
          <w:szCs w:val="32"/>
          <w:highlight w:val="none"/>
        </w:rPr>
      </w:pPr>
    </w:p>
    <w:p w14:paraId="30F37C19">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单位的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项目采购活动由本单位提供服务。</w:t>
      </w:r>
    </w:p>
    <w:p w14:paraId="07EC8C59">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18D0EDD4">
      <w:pPr>
        <w:spacing w:line="360" w:lineRule="auto"/>
        <w:contextualSpacing/>
        <w:rPr>
          <w:rFonts w:ascii="宋体" w:hAnsi="宋体" w:cs="仿宋_GB2312"/>
          <w:color w:val="auto"/>
          <w:sz w:val="24"/>
          <w:highlight w:val="none"/>
        </w:rPr>
      </w:pPr>
    </w:p>
    <w:p w14:paraId="22409A09">
      <w:pPr>
        <w:spacing w:line="360" w:lineRule="auto"/>
        <w:contextualSpacing/>
        <w:rPr>
          <w:rFonts w:ascii="宋体" w:hAnsi="宋体" w:cs="仿宋_GB2312"/>
          <w:color w:val="auto"/>
          <w:sz w:val="24"/>
          <w:highlight w:val="none"/>
        </w:rPr>
      </w:pPr>
    </w:p>
    <w:p w14:paraId="236211B4">
      <w:pPr>
        <w:spacing w:line="360" w:lineRule="auto"/>
        <w:contextualSpacing/>
        <w:rPr>
          <w:rFonts w:ascii="宋体" w:hAnsi="宋体" w:cs="仿宋_GB2312"/>
          <w:color w:val="auto"/>
          <w:sz w:val="24"/>
          <w:highlight w:val="none"/>
        </w:rPr>
      </w:pPr>
    </w:p>
    <w:p w14:paraId="044DF658">
      <w:pPr>
        <w:spacing w:line="360" w:lineRule="auto"/>
        <w:ind w:firstLine="2400" w:firstLineChars="1000"/>
        <w:contextualSpacing/>
        <w:rPr>
          <w:rFonts w:ascii="宋体" w:hAnsi="宋体" w:cs="仿宋_GB2312"/>
          <w:color w:val="auto"/>
          <w:sz w:val="24"/>
          <w:highlight w:val="none"/>
        </w:rPr>
      </w:pPr>
      <w:r>
        <w:rPr>
          <w:rFonts w:hint="eastAsia" w:ascii="宋体" w:hAnsi="宋体" w:cs="仿宋_GB2312"/>
          <w:color w:val="auto"/>
          <w:sz w:val="24"/>
          <w:highlight w:val="none"/>
        </w:rPr>
        <w:t>供应商名称（电子签章）：</w:t>
      </w:r>
    </w:p>
    <w:p w14:paraId="3DF03A2D">
      <w:pPr>
        <w:spacing w:line="360" w:lineRule="auto"/>
        <w:ind w:firstLine="4320" w:firstLineChars="1800"/>
        <w:contextualSpacing/>
        <w:rPr>
          <w:rFonts w:ascii="宋体" w:hAnsi="宋体" w:cs="仿宋_GB2312"/>
          <w:color w:val="auto"/>
          <w:sz w:val="24"/>
          <w:highlight w:val="none"/>
        </w:rPr>
      </w:pPr>
      <w:r>
        <w:rPr>
          <w:rFonts w:hint="eastAsia" w:ascii="宋体" w:hAnsi="宋体" w:cs="仿宋_GB2312"/>
          <w:color w:val="auto"/>
          <w:sz w:val="24"/>
          <w:highlight w:val="none"/>
        </w:rPr>
        <w:t>日  期：     年   月   日</w:t>
      </w:r>
    </w:p>
    <w:p w14:paraId="43F4B0A1">
      <w:pPr>
        <w:spacing w:line="360" w:lineRule="auto"/>
        <w:contextualSpacing/>
        <w:rPr>
          <w:rFonts w:ascii="宋体" w:hAnsi="宋体" w:cs="仿宋_GB2312"/>
          <w:color w:val="auto"/>
          <w:sz w:val="24"/>
          <w:highlight w:val="none"/>
        </w:rPr>
      </w:pPr>
    </w:p>
    <w:p w14:paraId="1D28F9FD">
      <w:pPr>
        <w:spacing w:line="360" w:lineRule="auto"/>
        <w:contextualSpacing/>
        <w:rPr>
          <w:rFonts w:ascii="宋体" w:hAnsi="宋体" w:cs="仿宋_GB2312"/>
          <w:color w:val="auto"/>
          <w:sz w:val="24"/>
          <w:highlight w:val="none"/>
        </w:rPr>
      </w:pPr>
    </w:p>
    <w:p w14:paraId="480B2F28">
      <w:pPr>
        <w:spacing w:line="360" w:lineRule="auto"/>
        <w:contextualSpacing/>
        <w:rPr>
          <w:rFonts w:ascii="宋体" w:hAnsi="宋体" w:cs="仿宋_GB2312"/>
          <w:color w:val="auto"/>
          <w:sz w:val="24"/>
          <w:highlight w:val="none"/>
        </w:rPr>
      </w:pPr>
    </w:p>
    <w:p w14:paraId="701CFFF9">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2394E99F">
      <w:pPr>
        <w:rPr>
          <w:color w:val="auto"/>
          <w:highlight w:val="none"/>
        </w:rPr>
      </w:pPr>
    </w:p>
    <w:p w14:paraId="22D33D79">
      <w:pPr>
        <w:rPr>
          <w:color w:val="auto"/>
          <w:highlight w:val="none"/>
        </w:rPr>
      </w:pPr>
    </w:p>
    <w:p w14:paraId="1CEA1417">
      <w:pPr>
        <w:rPr>
          <w:color w:val="auto"/>
          <w:highlight w:val="none"/>
        </w:rPr>
      </w:pPr>
    </w:p>
    <w:p w14:paraId="5B11749F">
      <w:pPr>
        <w:pStyle w:val="3"/>
        <w:numPr>
          <w:ilvl w:val="0"/>
          <w:numId w:val="5"/>
        </w:numPr>
        <w:jc w:val="center"/>
        <w:rPr>
          <w:rFonts w:ascii="宋体" w:hAnsi="宋体"/>
          <w:color w:val="auto"/>
          <w:highlight w:val="none"/>
        </w:rPr>
      </w:pPr>
      <w:bookmarkStart w:id="108" w:name="_Toc497927072"/>
      <w:bookmarkStart w:id="109" w:name="_Toc17617"/>
      <w:bookmarkStart w:id="110" w:name="_Toc12920"/>
      <w:r>
        <w:rPr>
          <w:rFonts w:hint="eastAsia"/>
          <w:color w:val="auto"/>
          <w:highlight w:val="none"/>
        </w:rPr>
        <w:br w:type="page"/>
      </w:r>
      <w:bookmarkEnd w:id="108"/>
      <w:bookmarkEnd w:id="109"/>
      <w:bookmarkEnd w:id="110"/>
      <w:bookmarkStart w:id="111" w:name="_Toc116123773"/>
      <w:bookmarkStart w:id="112" w:name="_Toc116204870"/>
      <w:bookmarkStart w:id="113" w:name="_Toc116229059"/>
      <w:r>
        <w:rPr>
          <w:rFonts w:hint="eastAsia" w:ascii="宋体" w:hAnsi="宋体"/>
          <w:color w:val="auto"/>
          <w:highlight w:val="none"/>
        </w:rPr>
        <w:t xml:space="preserve"> 报价商务技术文件格式</w:t>
      </w:r>
      <w:bookmarkEnd w:id="111"/>
      <w:bookmarkEnd w:id="112"/>
      <w:bookmarkEnd w:id="113"/>
    </w:p>
    <w:p w14:paraId="47B3CF6D">
      <w:pPr>
        <w:pStyle w:val="14"/>
        <w:ind w:firstLine="0" w:firstLineChars="0"/>
        <w:rPr>
          <w:color w:val="auto"/>
          <w:highlight w:val="none"/>
        </w:rPr>
      </w:pPr>
    </w:p>
    <w:p w14:paraId="5829765E">
      <w:pPr>
        <w:snapToGrid w:val="0"/>
        <w:spacing w:before="120" w:beforeLines="50" w:after="50" w:line="360" w:lineRule="auto"/>
        <w:rPr>
          <w:rFonts w:ascii="宋体" w:hAnsi="宋体"/>
          <w:b/>
          <w:color w:val="auto"/>
          <w:sz w:val="32"/>
          <w:szCs w:val="32"/>
          <w:highlight w:val="none"/>
        </w:rPr>
      </w:pPr>
      <w:r>
        <w:rPr>
          <w:rFonts w:hint="eastAsia" w:ascii="宋体" w:hAnsi="宋体"/>
          <w:b/>
          <w:color w:val="auto"/>
          <w:sz w:val="32"/>
          <w:szCs w:val="32"/>
          <w:highlight w:val="none"/>
        </w:rPr>
        <w:t>1.报价商务技术文件封面格式</w:t>
      </w:r>
    </w:p>
    <w:p w14:paraId="49AED1F5">
      <w:pPr>
        <w:snapToGrid w:val="0"/>
        <w:spacing w:before="120" w:beforeLines="50" w:after="50"/>
        <w:rPr>
          <w:rFonts w:ascii="宋体" w:hAnsi="宋体"/>
          <w:color w:val="auto"/>
          <w:sz w:val="24"/>
          <w:szCs w:val="20"/>
          <w:highlight w:val="none"/>
        </w:rPr>
      </w:pPr>
      <w:r>
        <w:rPr>
          <w:rFonts w:hint="eastAsia" w:ascii="宋体" w:hAnsi="宋体"/>
          <w:color w:val="auto"/>
          <w:sz w:val="24"/>
          <w:highlight w:val="none"/>
        </w:rPr>
        <w:t xml:space="preserve">                                                        </w:t>
      </w:r>
      <w:r>
        <w:rPr>
          <w:rFonts w:hint="eastAsia" w:ascii="宋体" w:hAnsi="宋体"/>
          <w:bCs/>
          <w:color w:val="auto"/>
          <w:highlight w:val="none"/>
        </w:rPr>
        <w:t>全流程电子文件</w:t>
      </w:r>
    </w:p>
    <w:p w14:paraId="52B98DBA">
      <w:pPr>
        <w:snapToGrid w:val="0"/>
        <w:spacing w:before="120" w:beforeLines="50" w:after="50"/>
        <w:rPr>
          <w:rFonts w:ascii="宋体" w:hAnsi="宋体"/>
          <w:color w:val="auto"/>
          <w:sz w:val="24"/>
          <w:szCs w:val="20"/>
          <w:highlight w:val="none"/>
        </w:rPr>
      </w:pPr>
    </w:p>
    <w:p w14:paraId="337EFDB9">
      <w:pPr>
        <w:snapToGrid w:val="0"/>
        <w:spacing w:before="120" w:beforeLines="50" w:after="50"/>
        <w:rPr>
          <w:rFonts w:ascii="宋体" w:hAnsi="宋体"/>
          <w:color w:val="auto"/>
          <w:sz w:val="24"/>
          <w:szCs w:val="20"/>
          <w:highlight w:val="none"/>
        </w:rPr>
      </w:pPr>
    </w:p>
    <w:p w14:paraId="29D8844A">
      <w:pPr>
        <w:snapToGrid w:val="0"/>
        <w:spacing w:before="120" w:beforeLines="50" w:after="50"/>
        <w:jc w:val="center"/>
        <w:rPr>
          <w:rFonts w:ascii="宋体" w:hAnsi="宋体" w:cs="方正小标宋简体"/>
          <w:bCs/>
          <w:color w:val="auto"/>
          <w:sz w:val="44"/>
          <w:szCs w:val="44"/>
          <w:highlight w:val="none"/>
        </w:rPr>
      </w:pPr>
      <w:r>
        <w:rPr>
          <w:rFonts w:hint="eastAsia" w:ascii="宋体" w:hAnsi="宋体" w:cs="方正小标宋简体"/>
          <w:bCs/>
          <w:color w:val="auto"/>
          <w:sz w:val="44"/>
          <w:szCs w:val="44"/>
          <w:highlight w:val="none"/>
        </w:rPr>
        <w:t>报  价  商  务  技  术  文  件</w:t>
      </w:r>
    </w:p>
    <w:p w14:paraId="7257DBCD">
      <w:pPr>
        <w:snapToGrid w:val="0"/>
        <w:spacing w:before="120" w:beforeLines="50" w:after="50"/>
        <w:rPr>
          <w:rFonts w:ascii="宋体" w:hAnsi="宋体"/>
          <w:bCs/>
          <w:color w:val="auto"/>
          <w:sz w:val="24"/>
          <w:szCs w:val="20"/>
          <w:highlight w:val="none"/>
        </w:rPr>
      </w:pPr>
    </w:p>
    <w:p w14:paraId="2F984E45">
      <w:pPr>
        <w:snapToGrid w:val="0"/>
        <w:spacing w:before="120" w:beforeLines="50" w:after="50"/>
        <w:rPr>
          <w:rFonts w:ascii="宋体" w:hAnsi="宋体"/>
          <w:bCs/>
          <w:color w:val="auto"/>
          <w:sz w:val="24"/>
          <w:szCs w:val="20"/>
          <w:highlight w:val="none"/>
        </w:rPr>
      </w:pPr>
    </w:p>
    <w:p w14:paraId="00FF7E38">
      <w:pPr>
        <w:snapToGrid w:val="0"/>
        <w:spacing w:before="120" w:beforeLines="50" w:after="50"/>
        <w:rPr>
          <w:rFonts w:ascii="宋体" w:hAnsi="宋体"/>
          <w:bCs/>
          <w:color w:val="auto"/>
          <w:sz w:val="24"/>
          <w:szCs w:val="20"/>
          <w:highlight w:val="none"/>
        </w:rPr>
      </w:pPr>
    </w:p>
    <w:p w14:paraId="6499D2F4">
      <w:pPr>
        <w:snapToGrid w:val="0"/>
        <w:spacing w:before="120" w:beforeLines="50" w:after="50"/>
        <w:rPr>
          <w:rFonts w:ascii="宋体" w:hAnsi="宋体"/>
          <w:bCs/>
          <w:color w:val="auto"/>
          <w:sz w:val="24"/>
          <w:szCs w:val="20"/>
          <w:highlight w:val="none"/>
        </w:rPr>
      </w:pPr>
    </w:p>
    <w:p w14:paraId="7C3EC5B6">
      <w:pPr>
        <w:snapToGrid w:val="0"/>
        <w:spacing w:before="120" w:beforeLines="50" w:after="50"/>
        <w:rPr>
          <w:rFonts w:ascii="宋体" w:hAnsi="宋体"/>
          <w:bCs/>
          <w:color w:val="auto"/>
          <w:sz w:val="24"/>
          <w:szCs w:val="20"/>
          <w:highlight w:val="none"/>
        </w:rPr>
      </w:pPr>
    </w:p>
    <w:p w14:paraId="0F33D214">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20EFF96">
      <w:pPr>
        <w:snapToGrid w:val="0"/>
        <w:spacing w:before="120" w:beforeLines="50" w:after="50"/>
        <w:ind w:firstLine="720" w:firstLineChars="225"/>
        <w:rPr>
          <w:rFonts w:ascii="宋体" w:hAnsi="宋体" w:cs="仿宋_GB2312"/>
          <w:bCs/>
          <w:color w:val="auto"/>
          <w:sz w:val="32"/>
          <w:szCs w:val="32"/>
          <w:highlight w:val="none"/>
        </w:rPr>
      </w:pPr>
    </w:p>
    <w:p w14:paraId="247011C8">
      <w:pPr>
        <w:snapToGrid w:val="0"/>
        <w:spacing w:before="120"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7A66FBE5">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5BDA8304">
      <w:pPr>
        <w:snapToGrid w:val="0"/>
        <w:spacing w:before="120"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68E10FFC">
      <w:pPr>
        <w:pStyle w:val="14"/>
        <w:snapToGrid w:val="0"/>
        <w:spacing w:before="50" w:after="50"/>
        <w:ind w:firstLine="640"/>
        <w:rPr>
          <w:rFonts w:ascii="宋体" w:hAnsi="宋体" w:cs="仿宋_GB2312"/>
          <w:bCs/>
          <w:color w:val="auto"/>
          <w:sz w:val="32"/>
          <w:szCs w:val="32"/>
          <w:highlight w:val="none"/>
        </w:rPr>
      </w:pPr>
    </w:p>
    <w:p w14:paraId="1D2F2717">
      <w:pPr>
        <w:pStyle w:val="14"/>
        <w:snapToGrid w:val="0"/>
        <w:spacing w:before="50" w:after="50"/>
        <w:ind w:firstLine="640"/>
        <w:rPr>
          <w:rFonts w:ascii="宋体" w:hAnsi="宋体" w:cs="仿宋_GB2312"/>
          <w:bCs/>
          <w:color w:val="auto"/>
          <w:sz w:val="32"/>
          <w:szCs w:val="32"/>
          <w:highlight w:val="none"/>
        </w:rPr>
      </w:pPr>
    </w:p>
    <w:p w14:paraId="34FB7074">
      <w:pPr>
        <w:pStyle w:val="14"/>
        <w:snapToGrid w:val="0"/>
        <w:spacing w:before="50" w:after="50"/>
        <w:ind w:firstLine="64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2D15D67A">
      <w:pPr>
        <w:pStyle w:val="14"/>
        <w:snapToGrid w:val="0"/>
        <w:spacing w:before="50" w:after="50"/>
        <w:ind w:firstLine="720" w:firstLineChars="225"/>
        <w:rPr>
          <w:rFonts w:ascii="宋体" w:hAnsi="宋体" w:cs="仿宋_GB2312"/>
          <w:bCs/>
          <w:color w:val="auto"/>
          <w:sz w:val="32"/>
          <w:szCs w:val="32"/>
          <w:highlight w:val="none"/>
        </w:rPr>
      </w:pPr>
    </w:p>
    <w:p w14:paraId="39D1D2F9">
      <w:pPr>
        <w:pStyle w:val="14"/>
        <w:snapToGrid w:val="0"/>
        <w:spacing w:before="50" w:after="50"/>
        <w:ind w:firstLine="720" w:firstLineChars="225"/>
        <w:rPr>
          <w:rFonts w:ascii="宋体" w:hAnsi="宋体" w:cs="仿宋_GB2312"/>
          <w:bCs/>
          <w:color w:val="auto"/>
          <w:sz w:val="32"/>
          <w:szCs w:val="32"/>
          <w:highlight w:val="none"/>
        </w:rPr>
      </w:pPr>
    </w:p>
    <w:p w14:paraId="41976D54">
      <w:pPr>
        <w:pStyle w:val="14"/>
        <w:snapToGrid w:val="0"/>
        <w:spacing w:before="50" w:after="50"/>
        <w:ind w:firstLine="1280" w:firstLineChars="400"/>
        <w:rPr>
          <w:rFonts w:ascii="宋体" w:hAnsi="宋体" w:cs="仿宋_GB2312"/>
          <w:bCs/>
          <w:color w:val="auto"/>
          <w:sz w:val="32"/>
          <w:szCs w:val="32"/>
          <w:highlight w:val="none"/>
        </w:rPr>
      </w:pPr>
    </w:p>
    <w:p w14:paraId="694A054E">
      <w:pPr>
        <w:snapToGrid w:val="0"/>
        <w:spacing w:before="120"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57BA80B7">
      <w:pPr>
        <w:snapToGrid w:val="0"/>
        <w:spacing w:before="120" w:beforeLines="50" w:after="50" w:line="360" w:lineRule="auto"/>
        <w:ind w:left="142"/>
        <w:rPr>
          <w:rFonts w:ascii="宋体" w:hAnsi="宋体"/>
          <w:b/>
          <w:bCs/>
          <w:color w:val="auto"/>
          <w:sz w:val="24"/>
          <w:highlight w:val="none"/>
        </w:rPr>
      </w:pPr>
      <w:r>
        <w:rPr>
          <w:rFonts w:ascii="宋体" w:hAnsi="宋体"/>
          <w:color w:val="auto"/>
          <w:sz w:val="24"/>
          <w:highlight w:val="none"/>
        </w:rPr>
        <w:br w:type="page"/>
      </w:r>
      <w:r>
        <w:rPr>
          <w:rFonts w:hint="eastAsia" w:ascii="宋体" w:hAnsi="宋体"/>
          <w:b/>
          <w:bCs/>
          <w:color w:val="auto"/>
          <w:sz w:val="32"/>
          <w:szCs w:val="32"/>
          <w:highlight w:val="none"/>
        </w:rPr>
        <w:t>2.报价商务技术文件目录</w:t>
      </w:r>
    </w:p>
    <w:p w14:paraId="28E8BE3B">
      <w:pPr>
        <w:snapToGrid w:val="0"/>
        <w:spacing w:before="120" w:beforeLines="50" w:after="50" w:line="360" w:lineRule="auto"/>
        <w:ind w:right="800" w:rightChars="381" w:firstLine="640" w:firstLineChars="200"/>
        <w:rPr>
          <w:rFonts w:ascii="宋体" w:hAnsi="宋体"/>
          <w:color w:val="auto"/>
          <w:sz w:val="32"/>
          <w:szCs w:val="32"/>
          <w:highlight w:val="none"/>
        </w:rPr>
      </w:pPr>
      <w:r>
        <w:rPr>
          <w:rFonts w:hint="eastAsia" w:ascii="宋体" w:hAnsi="宋体"/>
          <w:color w:val="auto"/>
          <w:sz w:val="32"/>
          <w:szCs w:val="32"/>
          <w:highlight w:val="none"/>
        </w:rPr>
        <w:t>根据磋商文件规定及供应商提供的材料自行编写目录（部分格式后附）。</w:t>
      </w:r>
    </w:p>
    <w:p w14:paraId="03D6976F">
      <w:pPr>
        <w:snapToGrid w:val="0"/>
        <w:spacing w:line="360" w:lineRule="auto"/>
        <w:ind w:firstLine="1897" w:firstLineChars="900"/>
        <w:rPr>
          <w:rFonts w:ascii="宋体" w:hAnsi="宋体" w:cs="宋体"/>
          <w:b/>
          <w:bCs/>
          <w:color w:val="auto"/>
          <w:szCs w:val="21"/>
          <w:highlight w:val="none"/>
        </w:rPr>
      </w:pPr>
    </w:p>
    <w:p w14:paraId="5A7C2110">
      <w:pPr>
        <w:pStyle w:val="20"/>
        <w:rPr>
          <w:rFonts w:ascii="宋体" w:hAnsi="宋体" w:cs="宋体"/>
          <w:b/>
          <w:bCs/>
          <w:color w:val="auto"/>
          <w:szCs w:val="21"/>
          <w:highlight w:val="none"/>
        </w:rPr>
      </w:pPr>
    </w:p>
    <w:p w14:paraId="670D554D">
      <w:pPr>
        <w:pStyle w:val="20"/>
        <w:rPr>
          <w:rFonts w:ascii="宋体" w:hAnsi="宋体" w:cs="宋体"/>
          <w:b/>
          <w:bCs/>
          <w:color w:val="auto"/>
          <w:szCs w:val="21"/>
          <w:highlight w:val="none"/>
        </w:rPr>
      </w:pPr>
    </w:p>
    <w:p w14:paraId="058E59CC">
      <w:pPr>
        <w:pStyle w:val="20"/>
        <w:rPr>
          <w:rFonts w:ascii="宋体" w:hAnsi="宋体" w:cs="宋体"/>
          <w:b/>
          <w:bCs/>
          <w:color w:val="auto"/>
          <w:szCs w:val="21"/>
          <w:highlight w:val="none"/>
        </w:rPr>
      </w:pPr>
    </w:p>
    <w:p w14:paraId="41178D06">
      <w:pPr>
        <w:rPr>
          <w:color w:val="auto"/>
          <w:highlight w:val="none"/>
        </w:rPr>
      </w:pPr>
    </w:p>
    <w:p w14:paraId="3F89F593">
      <w:pPr>
        <w:pStyle w:val="20"/>
        <w:rPr>
          <w:rFonts w:ascii="宋体" w:hAnsi="宋体" w:cs="宋体"/>
          <w:b/>
          <w:bCs/>
          <w:color w:val="auto"/>
          <w:szCs w:val="21"/>
          <w:highlight w:val="none"/>
        </w:rPr>
      </w:pPr>
    </w:p>
    <w:p w14:paraId="2A9ECC70">
      <w:pPr>
        <w:spacing w:line="520" w:lineRule="exact"/>
        <w:jc w:val="center"/>
        <w:rPr>
          <w:rFonts w:ascii="宋体" w:hAnsi="宋体" w:cs="仿宋_GB2312"/>
          <w:b/>
          <w:color w:val="auto"/>
          <w:sz w:val="32"/>
          <w:szCs w:val="32"/>
          <w:highlight w:val="none"/>
        </w:rPr>
      </w:pPr>
      <w:r>
        <w:rPr>
          <w:rFonts w:hint="eastAsia" w:hAnsi="宋体" w:cs="宋体"/>
          <w:b/>
          <w:color w:val="auto"/>
          <w:sz w:val="28"/>
          <w:szCs w:val="28"/>
          <w:highlight w:val="none"/>
        </w:rPr>
        <w:br w:type="page"/>
      </w:r>
      <w:r>
        <w:rPr>
          <w:rFonts w:hint="eastAsia" w:ascii="宋体" w:hAnsi="宋体" w:cs="宋体"/>
          <w:b/>
          <w:color w:val="auto"/>
          <w:sz w:val="32"/>
          <w:szCs w:val="32"/>
          <w:highlight w:val="none"/>
        </w:rPr>
        <w:t>3.</w:t>
      </w:r>
      <w:r>
        <w:rPr>
          <w:rFonts w:hint="eastAsia" w:ascii="宋体" w:hAnsi="宋体" w:cs="方正小标宋简体"/>
          <w:b/>
          <w:color w:val="auto"/>
          <w:sz w:val="32"/>
          <w:szCs w:val="32"/>
          <w:highlight w:val="none"/>
        </w:rPr>
        <w:t>无串通竞标行为的承诺函</w:t>
      </w:r>
    </w:p>
    <w:p w14:paraId="2915BBD5">
      <w:pPr>
        <w:spacing w:line="400" w:lineRule="exact"/>
        <w:ind w:right="800" w:rightChars="381" w:firstLine="640" w:firstLineChars="200"/>
        <w:rPr>
          <w:rFonts w:ascii="宋体" w:hAnsi="宋体" w:cs="仿宋_GB2312"/>
          <w:color w:val="auto"/>
          <w:sz w:val="32"/>
          <w:szCs w:val="32"/>
          <w:highlight w:val="none"/>
        </w:rPr>
      </w:pPr>
    </w:p>
    <w:p w14:paraId="41D3975F">
      <w:pPr>
        <w:widowControl/>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p>
    <w:p w14:paraId="6D62EBCE">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1.不同供应商的响应文件由同一单位或者个人编制；或者不同供应商报名的IP地址一致的；</w:t>
      </w:r>
    </w:p>
    <w:p w14:paraId="06FD24F1">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387EE2A1">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76C9135A">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1AF84DDF">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42D02653">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465B0E7A">
      <w:pPr>
        <w:widowControl/>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p>
    <w:p w14:paraId="2E472D5F">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7BA46130">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6C3159CF">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3C4F3F47">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473B61FB">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4C2AB632">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1D9C781A">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16B8526B">
      <w:pPr>
        <w:widowControl/>
        <w:spacing w:line="360" w:lineRule="auto"/>
        <w:ind w:firstLine="480" w:firstLineChars="200"/>
        <w:rPr>
          <w:rFonts w:ascii="宋体" w:hAnsi="宋体" w:cs="仿宋_GB2312"/>
          <w:color w:val="auto"/>
          <w:sz w:val="24"/>
          <w:highlight w:val="none"/>
        </w:rPr>
      </w:pPr>
    </w:p>
    <w:p w14:paraId="383E8599">
      <w:pPr>
        <w:widowControl/>
        <w:spacing w:line="360" w:lineRule="auto"/>
        <w:ind w:firstLine="482" w:firstLineChars="200"/>
        <w:rPr>
          <w:rFonts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5198174C">
      <w:pPr>
        <w:widowControl/>
        <w:spacing w:line="360" w:lineRule="auto"/>
        <w:rPr>
          <w:rFonts w:ascii="宋体" w:hAnsi="宋体" w:cs="仿宋_GB2312"/>
          <w:color w:val="auto"/>
          <w:sz w:val="24"/>
          <w:highlight w:val="none"/>
        </w:rPr>
      </w:pPr>
    </w:p>
    <w:p w14:paraId="52C29AD8">
      <w:pPr>
        <w:widowControl/>
        <w:spacing w:line="360" w:lineRule="auto"/>
        <w:ind w:firstLine="3600" w:firstLineChars="1500"/>
        <w:rPr>
          <w:rFonts w:ascii="宋体" w:hAnsi="宋体" w:cs="仿宋_GB2312"/>
          <w:color w:val="auto"/>
          <w:sz w:val="24"/>
          <w:highlight w:val="none"/>
          <w:u w:val="singl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p>
    <w:p w14:paraId="0EBB4150">
      <w:pPr>
        <w:widowControl/>
        <w:spacing w:line="360" w:lineRule="auto"/>
        <w:ind w:firstLine="480" w:firstLineChars="200"/>
        <w:jc w:val="center"/>
        <w:rPr>
          <w:rFonts w:ascii="宋体" w:hAnsi="宋体" w:cs="仿宋_GB2312"/>
          <w:color w:val="auto"/>
          <w:sz w:val="32"/>
          <w:szCs w:val="32"/>
          <w:highlight w:val="none"/>
        </w:rPr>
      </w:pPr>
      <w:r>
        <w:rPr>
          <w:rFonts w:hint="eastAsia" w:ascii="宋体" w:hAnsi="宋体" w:cs="仿宋_GB2312"/>
          <w:color w:val="auto"/>
          <w:sz w:val="24"/>
          <w:highlight w:val="none"/>
        </w:rPr>
        <w:t xml:space="preserve">                       日期：    年   月   日</w:t>
      </w:r>
    </w:p>
    <w:p w14:paraId="40C562AB">
      <w:pPr>
        <w:widowControl/>
        <w:spacing w:line="480" w:lineRule="auto"/>
        <w:jc w:val="center"/>
        <w:rPr>
          <w:rFonts w:ascii="宋体" w:hAnsi="宋体" w:cs="仿宋_GB2312"/>
          <w:b/>
          <w:color w:val="auto"/>
          <w:sz w:val="32"/>
          <w:szCs w:val="32"/>
          <w:highlight w:val="none"/>
        </w:rPr>
      </w:pPr>
      <w:r>
        <w:rPr>
          <w:rFonts w:hint="eastAsia" w:ascii="宋体" w:hAnsi="宋体" w:cs="方正小标宋简体"/>
          <w:bCs/>
          <w:color w:val="auto"/>
          <w:sz w:val="44"/>
          <w:szCs w:val="44"/>
          <w:highlight w:val="none"/>
        </w:rPr>
        <w:br w:type="page"/>
      </w:r>
      <w:r>
        <w:rPr>
          <w:rFonts w:hint="eastAsia" w:ascii="宋体" w:hAnsi="宋体" w:cs="宋体"/>
          <w:bCs/>
          <w:color w:val="auto"/>
          <w:sz w:val="32"/>
          <w:szCs w:val="32"/>
          <w:highlight w:val="none"/>
        </w:rPr>
        <w:t>4.</w:t>
      </w:r>
      <w:r>
        <w:rPr>
          <w:rFonts w:hint="eastAsia" w:ascii="宋体" w:hAnsi="宋体" w:cs="宋体"/>
          <w:b/>
          <w:color w:val="auto"/>
          <w:sz w:val="32"/>
          <w:szCs w:val="32"/>
          <w:highlight w:val="none"/>
        </w:rPr>
        <w:t>磋商</w:t>
      </w:r>
      <w:r>
        <w:rPr>
          <w:rFonts w:hint="eastAsia" w:ascii="宋体" w:hAnsi="宋体" w:cs="仿宋_GB2312"/>
          <w:b/>
          <w:color w:val="auto"/>
          <w:sz w:val="32"/>
          <w:szCs w:val="32"/>
          <w:highlight w:val="none"/>
        </w:rPr>
        <w:t>函</w:t>
      </w:r>
    </w:p>
    <w:p w14:paraId="6F671455">
      <w:pPr>
        <w:widowControl/>
        <w:spacing w:line="520" w:lineRule="exact"/>
        <w:ind w:firstLine="480" w:firstLineChars="200"/>
        <w:rPr>
          <w:rFonts w:ascii="宋体" w:hAnsi="宋体" w:cs="仿宋_GB2312"/>
          <w:color w:val="auto"/>
          <w:sz w:val="24"/>
          <w:highlight w:val="none"/>
        </w:rPr>
      </w:pPr>
      <w:r>
        <w:rPr>
          <w:rFonts w:hint="eastAsia" w:ascii="宋体" w:hAnsi="宋体" w:cs="仿宋_GB2312"/>
          <w:color w:val="auto"/>
          <w:sz w:val="24"/>
          <w:highlight w:val="none"/>
        </w:rPr>
        <w:t>1、根据你方项目编号为</w:t>
      </w:r>
      <w:r>
        <w:rPr>
          <w:rFonts w:hint="eastAsia" w:ascii="宋体" w:hAnsi="宋体" w:cs="仿宋_GB2312"/>
          <w:color w:val="auto"/>
          <w:sz w:val="24"/>
          <w:highlight w:val="none"/>
          <w:u w:val="single"/>
        </w:rPr>
        <w:t xml:space="preserve"> （项目编号） 的 （项目名称） </w:t>
      </w:r>
      <w:r>
        <w:rPr>
          <w:rFonts w:hint="eastAsia" w:ascii="宋体" w:hAnsi="宋体" w:cs="仿宋_GB2312"/>
          <w:color w:val="auto"/>
          <w:sz w:val="24"/>
          <w:highlight w:val="none"/>
        </w:rPr>
        <w:t>磋商采购文件， 经研究上述磋商采购文件的磋商须知、合同条款、图纸、工程建设标准和工程量清单及其他有关文件后，我方愿以人民币（大写</w:t>
      </w:r>
      <w:r>
        <w:rPr>
          <w:rFonts w:hint="eastAsia" w:ascii="宋体" w:hAnsi="宋体" w:cs="仿宋_GB2312"/>
          <w:color w:val="auto"/>
          <w:sz w:val="24"/>
          <w:highlight w:val="none"/>
          <w:u w:val="single"/>
        </w:rPr>
        <w:t>）</w:t>
      </w:r>
      <w:r>
        <w:rPr>
          <w:rFonts w:hint="eastAsia" w:ascii="宋体" w:hAnsi="宋体" w:cs="仿宋_GB2312"/>
          <w:color w:val="auto"/>
          <w:sz w:val="24"/>
          <w:highlight w:val="none"/>
          <w:u w:val="single"/>
        </w:rPr>
        <w:tab/>
      </w:r>
      <w:r>
        <w:rPr>
          <w:rFonts w:hint="eastAsia" w:ascii="宋体" w:hAnsi="宋体" w:cs="仿宋_GB2312"/>
          <w:color w:val="auto"/>
          <w:sz w:val="24"/>
          <w:highlight w:val="none"/>
          <w:u w:val="single"/>
        </w:rPr>
        <w:t xml:space="preserve">    （小写￥     元）</w:t>
      </w:r>
      <w:r>
        <w:rPr>
          <w:rFonts w:hint="eastAsia" w:ascii="宋体" w:hAnsi="宋体" w:cs="仿宋_GB2312"/>
          <w:color w:val="auto"/>
          <w:sz w:val="24"/>
          <w:highlight w:val="none"/>
        </w:rPr>
        <w:t>的磋商总价并按上述图纸、合同条款、工程建设标准和工程量清单（如有时）的条件要求承包上述工程的施工、竣工，并承担任何质量缺陷保修责任。我方保证工程质量达到</w:t>
      </w:r>
      <w:r>
        <w:rPr>
          <w:rFonts w:hint="eastAsia" w:ascii="宋体" w:hAnsi="宋体" w:cs="仿宋_GB2312"/>
          <w:color w:val="auto"/>
          <w:sz w:val="24"/>
          <w:highlight w:val="none"/>
          <w:u w:val="single"/>
        </w:rPr>
        <w:tab/>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等级。</w:t>
      </w:r>
    </w:p>
    <w:p w14:paraId="6083F564">
      <w:pPr>
        <w:widowControl/>
        <w:spacing w:line="520" w:lineRule="exact"/>
        <w:ind w:firstLine="420"/>
        <w:rPr>
          <w:rFonts w:ascii="宋体" w:hAnsi="宋体" w:cs="仿宋_GB2312"/>
          <w:color w:val="auto"/>
          <w:sz w:val="24"/>
          <w:highlight w:val="none"/>
        </w:rPr>
      </w:pPr>
      <w:r>
        <w:rPr>
          <w:rFonts w:hint="eastAsia" w:ascii="宋体" w:hAnsi="宋体" w:cs="仿宋_GB2312"/>
          <w:color w:val="auto"/>
          <w:sz w:val="24"/>
          <w:highlight w:val="none"/>
        </w:rPr>
        <w:t>2、我方已详细审核全部磋商采购文件，包括修改文件（如有时）及有关附件。</w:t>
      </w:r>
    </w:p>
    <w:p w14:paraId="4169E88D">
      <w:pPr>
        <w:widowControl/>
        <w:spacing w:line="520" w:lineRule="exact"/>
        <w:ind w:firstLine="420"/>
        <w:rPr>
          <w:rFonts w:ascii="宋体" w:hAnsi="宋体" w:cs="仿宋_GB2312"/>
          <w:color w:val="auto"/>
          <w:sz w:val="24"/>
          <w:highlight w:val="none"/>
        </w:rPr>
      </w:pPr>
      <w:r>
        <w:rPr>
          <w:rFonts w:hint="eastAsia" w:ascii="宋体" w:hAnsi="宋体" w:cs="仿宋_GB2312"/>
          <w:color w:val="auto"/>
          <w:sz w:val="24"/>
          <w:highlight w:val="none"/>
        </w:rPr>
        <w:t>3、我方承认磋商函附录是我方响应文件的组成部分。</w:t>
      </w:r>
    </w:p>
    <w:p w14:paraId="170B404B">
      <w:pPr>
        <w:widowControl/>
        <w:spacing w:line="520" w:lineRule="exact"/>
        <w:ind w:firstLine="420"/>
        <w:rPr>
          <w:rFonts w:ascii="宋体" w:hAnsi="宋体" w:cs="仿宋_GB2312"/>
          <w:color w:val="auto"/>
          <w:sz w:val="24"/>
          <w:highlight w:val="none"/>
        </w:rPr>
      </w:pPr>
      <w:r>
        <w:rPr>
          <w:rFonts w:hint="eastAsia" w:ascii="宋体" w:hAnsi="宋体" w:cs="仿宋_GB2312"/>
          <w:color w:val="auto"/>
          <w:sz w:val="24"/>
          <w:highlight w:val="none"/>
        </w:rPr>
        <w:t>4、一旦我方成交，我方保证按合同书中规定的工期</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日历天内完成并移交全部工程。</w:t>
      </w:r>
    </w:p>
    <w:p w14:paraId="25AE3345">
      <w:pPr>
        <w:widowControl/>
        <w:spacing w:line="520" w:lineRule="exact"/>
        <w:ind w:firstLine="420"/>
        <w:rPr>
          <w:rFonts w:ascii="宋体" w:hAnsi="宋体" w:cs="仿宋_GB2312"/>
          <w:color w:val="auto"/>
          <w:sz w:val="24"/>
          <w:highlight w:val="none"/>
        </w:rPr>
      </w:pPr>
      <w:r>
        <w:rPr>
          <w:rFonts w:hint="eastAsia" w:ascii="宋体" w:hAnsi="宋体" w:cs="仿宋_GB2312"/>
          <w:color w:val="auto"/>
          <w:sz w:val="24"/>
          <w:highlight w:val="none"/>
        </w:rPr>
        <w:t>5、如果我方成交，我方将按照文件规定提交</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履约保证金作为履约担保。</w:t>
      </w:r>
    </w:p>
    <w:p w14:paraId="26F1B67C">
      <w:pPr>
        <w:widowControl/>
        <w:spacing w:line="520" w:lineRule="exact"/>
        <w:ind w:firstLine="420"/>
        <w:rPr>
          <w:rFonts w:ascii="宋体" w:hAnsi="宋体" w:cs="仿宋_GB2312"/>
          <w:color w:val="auto"/>
          <w:sz w:val="24"/>
          <w:highlight w:val="none"/>
        </w:rPr>
      </w:pPr>
      <w:r>
        <w:rPr>
          <w:rFonts w:hint="eastAsia" w:ascii="宋体" w:hAnsi="宋体" w:cs="仿宋_GB2312"/>
          <w:color w:val="auto"/>
          <w:sz w:val="24"/>
          <w:highlight w:val="none"/>
        </w:rPr>
        <w:t>6、我方同意所提交的响应文件在磋商采购文件的“供应商须知”中规定的竞标有效期内有效，在此期间内如果成交，我方将受此约束。</w:t>
      </w:r>
    </w:p>
    <w:p w14:paraId="21F2736A">
      <w:pPr>
        <w:widowControl/>
        <w:spacing w:line="520" w:lineRule="exact"/>
        <w:ind w:firstLine="420"/>
        <w:rPr>
          <w:rFonts w:ascii="宋体" w:hAnsi="宋体" w:cs="仿宋_GB2312"/>
          <w:color w:val="auto"/>
          <w:sz w:val="24"/>
          <w:highlight w:val="none"/>
        </w:rPr>
      </w:pPr>
      <w:r>
        <w:rPr>
          <w:rFonts w:hint="eastAsia" w:ascii="宋体" w:hAnsi="宋体" w:cs="仿宋_GB2312"/>
          <w:color w:val="auto"/>
          <w:sz w:val="24"/>
          <w:highlight w:val="none"/>
        </w:rPr>
        <w:t>7、除非另外达成协议并生效，你方的成交通知书和本响应文件将成为约束双方的合同文件的组成部分。</w:t>
      </w:r>
    </w:p>
    <w:p w14:paraId="6D425E1B">
      <w:pPr>
        <w:widowControl/>
        <w:spacing w:line="520" w:lineRule="exact"/>
        <w:ind w:firstLine="1440" w:firstLineChars="600"/>
        <w:jc w:val="center"/>
        <w:rPr>
          <w:rFonts w:ascii="宋体" w:hAnsi="宋体" w:cs="仿宋_GB2312"/>
          <w:color w:val="auto"/>
          <w:sz w:val="24"/>
          <w:highlight w:val="none"/>
        </w:rPr>
      </w:pPr>
    </w:p>
    <w:p w14:paraId="26211F48">
      <w:pPr>
        <w:widowControl/>
        <w:spacing w:line="520" w:lineRule="exact"/>
        <w:jc w:val="center"/>
        <w:rPr>
          <w:rFonts w:ascii="宋体" w:hAnsi="宋体" w:cs="仿宋_GB2312"/>
          <w:color w:val="auto"/>
          <w:sz w:val="24"/>
          <w:highlight w:val="none"/>
        </w:rPr>
      </w:pPr>
      <w:r>
        <w:rPr>
          <w:rFonts w:hint="eastAsia" w:ascii="宋体" w:hAnsi="宋体" w:cs="仿宋_GB2312"/>
          <w:color w:val="auto"/>
          <w:sz w:val="24"/>
          <w:highlight w:val="none"/>
        </w:rPr>
        <w:t xml:space="preserve">     供应商：</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u w:val="single"/>
        </w:rPr>
        <w:tab/>
      </w:r>
      <w:r>
        <w:rPr>
          <w:rFonts w:hint="eastAsia" w:ascii="宋体" w:hAnsi="宋体" w:cs="仿宋_GB2312"/>
          <w:color w:val="auto"/>
          <w:sz w:val="24"/>
          <w:highlight w:val="none"/>
          <w:u w:val="single"/>
        </w:rPr>
        <w:t>（电子签章）</w:t>
      </w:r>
    </w:p>
    <w:p w14:paraId="5FB9CF2B">
      <w:pPr>
        <w:widowControl/>
        <w:spacing w:line="520" w:lineRule="exact"/>
        <w:ind w:firstLine="2160" w:firstLineChars="900"/>
        <w:rPr>
          <w:rFonts w:ascii="宋体" w:hAnsi="宋体" w:cs="仿宋_GB2312"/>
          <w:color w:val="auto"/>
          <w:sz w:val="24"/>
          <w:highlight w:val="none"/>
        </w:rPr>
      </w:pPr>
      <w:r>
        <w:rPr>
          <w:rFonts w:hint="eastAsia" w:ascii="宋体" w:hAnsi="宋体" w:cs="仿宋_GB2312"/>
          <w:color w:val="auto"/>
          <w:sz w:val="24"/>
          <w:highlight w:val="none"/>
        </w:rPr>
        <w:t>单位地址：</w:t>
      </w:r>
    </w:p>
    <w:p w14:paraId="764D7F6E">
      <w:pPr>
        <w:widowControl/>
        <w:spacing w:line="520" w:lineRule="exact"/>
        <w:ind w:firstLine="2160" w:firstLineChars="900"/>
        <w:rPr>
          <w:rFonts w:ascii="宋体" w:hAnsi="宋体" w:cs="仿宋_GB2312"/>
          <w:color w:val="auto"/>
          <w:sz w:val="24"/>
          <w:highlight w:val="none"/>
        </w:rPr>
      </w:pPr>
      <w:r>
        <w:rPr>
          <w:rFonts w:hint="eastAsia" w:ascii="宋体" w:hAnsi="宋体" w:cs="仿宋_GB2312"/>
          <w:color w:val="auto"/>
          <w:sz w:val="24"/>
          <w:highlight w:val="none"/>
        </w:rPr>
        <w:t>法定代表人：</w:t>
      </w:r>
      <w:r>
        <w:rPr>
          <w:rFonts w:hint="eastAsia" w:ascii="宋体" w:hAnsi="宋体" w:cs="仿宋_GB2312"/>
          <w:color w:val="auto"/>
          <w:sz w:val="24"/>
          <w:highlight w:val="none"/>
          <w:u w:val="single"/>
        </w:rPr>
        <w:tab/>
      </w:r>
      <w:r>
        <w:rPr>
          <w:rFonts w:hint="eastAsia" w:ascii="宋体" w:hAnsi="宋体" w:cs="仿宋_GB2312"/>
          <w:color w:val="auto"/>
          <w:sz w:val="24"/>
          <w:highlight w:val="none"/>
          <w:u w:val="single"/>
        </w:rPr>
        <w:t xml:space="preserve">                   （签字或盖章）</w:t>
      </w:r>
    </w:p>
    <w:p w14:paraId="161EA4DC">
      <w:pPr>
        <w:widowControl/>
        <w:spacing w:line="520" w:lineRule="exact"/>
        <w:ind w:firstLine="2160" w:firstLineChars="900"/>
        <w:rPr>
          <w:rFonts w:ascii="宋体" w:hAnsi="宋体" w:cs="仿宋_GB2312"/>
          <w:color w:val="auto"/>
          <w:sz w:val="24"/>
          <w:highlight w:val="none"/>
        </w:rPr>
      </w:pPr>
      <w:r>
        <w:rPr>
          <w:rFonts w:hint="eastAsia" w:ascii="宋体" w:hAnsi="宋体" w:cs="仿宋_GB2312"/>
          <w:color w:val="auto"/>
          <w:sz w:val="24"/>
          <w:highlight w:val="none"/>
        </w:rPr>
        <w:t>邮政编码：</w:t>
      </w:r>
      <w:r>
        <w:rPr>
          <w:rFonts w:hint="eastAsia" w:ascii="宋体" w:hAnsi="宋体" w:cs="仿宋_GB2312"/>
          <w:color w:val="auto"/>
          <w:sz w:val="24"/>
          <w:highlight w:val="none"/>
          <w:u w:val="single"/>
        </w:rPr>
        <w:tab/>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电话：</w:t>
      </w:r>
      <w:r>
        <w:rPr>
          <w:rFonts w:hint="eastAsia" w:ascii="宋体" w:hAnsi="宋体" w:cs="仿宋_GB2312"/>
          <w:color w:val="auto"/>
          <w:sz w:val="24"/>
          <w:highlight w:val="none"/>
          <w:u w:val="single"/>
        </w:rPr>
        <w:tab/>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传真：</w:t>
      </w:r>
      <w:r>
        <w:rPr>
          <w:rFonts w:hint="eastAsia" w:ascii="宋体" w:hAnsi="宋体" w:cs="仿宋_GB2312"/>
          <w:color w:val="auto"/>
          <w:sz w:val="24"/>
          <w:highlight w:val="none"/>
          <w:u w:val="single"/>
        </w:rPr>
        <w:t xml:space="preserve">        </w:t>
      </w:r>
    </w:p>
    <w:p w14:paraId="30A7562D">
      <w:pPr>
        <w:widowControl/>
        <w:spacing w:line="520" w:lineRule="exact"/>
        <w:ind w:firstLine="2160" w:firstLineChars="900"/>
        <w:rPr>
          <w:rFonts w:ascii="宋体" w:hAnsi="宋体" w:cs="仿宋_GB2312"/>
          <w:color w:val="auto"/>
          <w:sz w:val="24"/>
          <w:highlight w:val="none"/>
          <w:u w:val="single"/>
        </w:rPr>
      </w:pPr>
      <w:r>
        <w:rPr>
          <w:rFonts w:hint="eastAsia" w:ascii="宋体" w:hAnsi="宋体" w:cs="仿宋_GB2312"/>
          <w:color w:val="auto"/>
          <w:sz w:val="24"/>
          <w:highlight w:val="none"/>
        </w:rPr>
        <w:t>开户银行名称：</w:t>
      </w:r>
    </w:p>
    <w:p w14:paraId="1EA1D66A">
      <w:pPr>
        <w:widowControl/>
        <w:spacing w:line="520" w:lineRule="exact"/>
        <w:ind w:firstLine="2160" w:firstLineChars="900"/>
        <w:rPr>
          <w:rFonts w:ascii="宋体" w:hAnsi="宋体" w:cs="仿宋_GB2312"/>
          <w:color w:val="auto"/>
          <w:sz w:val="24"/>
          <w:highlight w:val="none"/>
        </w:rPr>
      </w:pPr>
      <w:r>
        <w:rPr>
          <w:rFonts w:hint="eastAsia" w:ascii="宋体" w:hAnsi="宋体" w:cs="仿宋_GB2312"/>
          <w:color w:val="auto"/>
          <w:sz w:val="24"/>
          <w:highlight w:val="none"/>
        </w:rPr>
        <w:t>开户银行账号：</w:t>
      </w:r>
    </w:p>
    <w:p w14:paraId="41AB60B9">
      <w:pPr>
        <w:widowControl/>
        <w:spacing w:line="520" w:lineRule="exact"/>
        <w:ind w:firstLine="2160" w:firstLineChars="900"/>
        <w:rPr>
          <w:rFonts w:ascii="宋体" w:hAnsi="宋体" w:cs="仿宋_GB2312"/>
          <w:color w:val="auto"/>
          <w:sz w:val="24"/>
          <w:highlight w:val="none"/>
          <w:u w:val="single"/>
        </w:rPr>
      </w:pPr>
      <w:r>
        <w:rPr>
          <w:rFonts w:hint="eastAsia" w:ascii="宋体" w:hAnsi="宋体" w:cs="仿宋_GB2312"/>
          <w:color w:val="auto"/>
          <w:sz w:val="24"/>
          <w:highlight w:val="none"/>
        </w:rPr>
        <w:t>开户银行地址：</w:t>
      </w:r>
    </w:p>
    <w:p w14:paraId="66AA663B">
      <w:pPr>
        <w:widowControl/>
        <w:spacing w:line="520" w:lineRule="exact"/>
        <w:ind w:firstLine="2160" w:firstLineChars="900"/>
        <w:rPr>
          <w:rFonts w:ascii="宋体" w:hAnsi="宋体" w:cs="仿宋_GB2312"/>
          <w:color w:val="auto"/>
          <w:sz w:val="24"/>
          <w:highlight w:val="none"/>
        </w:rPr>
      </w:pPr>
      <w:r>
        <w:rPr>
          <w:rFonts w:hint="eastAsia" w:ascii="宋体" w:hAnsi="宋体" w:cs="仿宋_GB2312"/>
          <w:color w:val="auto"/>
          <w:sz w:val="24"/>
          <w:highlight w:val="none"/>
        </w:rPr>
        <w:t>开户银行电话：</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3220DB26">
      <w:pPr>
        <w:spacing w:line="520" w:lineRule="exact"/>
        <w:ind w:firstLine="4080" w:firstLineChars="1700"/>
        <w:rPr>
          <w:rFonts w:ascii="宋体" w:hAnsi="宋体" w:cs="仿宋_GB2312"/>
          <w:color w:val="auto"/>
          <w:sz w:val="24"/>
          <w:highlight w:val="none"/>
        </w:rPr>
      </w:pPr>
      <w:r>
        <w:rPr>
          <w:rFonts w:hint="eastAsia" w:ascii="宋体" w:hAnsi="宋体" w:cs="仿宋_GB2312"/>
          <w:color w:val="auto"/>
          <w:sz w:val="24"/>
          <w:highlight w:val="none"/>
        </w:rPr>
        <w:t>日期：</w:t>
      </w:r>
      <w:r>
        <w:rPr>
          <w:rFonts w:hint="eastAsia" w:ascii="宋体" w:hAnsi="宋体" w:cs="仿宋_GB2312"/>
          <w:color w:val="auto"/>
          <w:sz w:val="24"/>
          <w:highlight w:val="none"/>
          <w:u w:val="single"/>
        </w:rPr>
        <w:tab/>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ab/>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ab/>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318401FE">
      <w:pPr>
        <w:rPr>
          <w:rFonts w:ascii="宋体" w:hAnsi="宋体"/>
          <w:color w:val="auto"/>
          <w:highlight w:val="none"/>
        </w:rPr>
      </w:pPr>
    </w:p>
    <w:p w14:paraId="129ED54E">
      <w:pPr>
        <w:rPr>
          <w:rFonts w:hint="eastAsia" w:ascii="宋体" w:hAnsi="宋体" w:cs="宋体"/>
          <w:b/>
          <w:bCs/>
          <w:color w:val="auto"/>
          <w:w w:val="95"/>
          <w:sz w:val="30"/>
          <w:szCs w:val="30"/>
          <w:highlight w:val="none"/>
        </w:rPr>
      </w:pPr>
      <w:bookmarkStart w:id="114" w:name="_Toc116123774"/>
      <w:bookmarkStart w:id="115" w:name="_Toc116229060"/>
      <w:bookmarkStart w:id="116" w:name="_Toc116204871"/>
      <w:r>
        <w:rPr>
          <w:rFonts w:hint="eastAsia" w:ascii="宋体" w:hAnsi="宋体" w:cs="宋体"/>
          <w:b/>
          <w:bCs/>
          <w:color w:val="auto"/>
          <w:w w:val="95"/>
          <w:sz w:val="30"/>
          <w:szCs w:val="30"/>
          <w:highlight w:val="none"/>
        </w:rPr>
        <w:br w:type="page"/>
      </w:r>
    </w:p>
    <w:p w14:paraId="304D482A">
      <w:pPr>
        <w:spacing w:line="360" w:lineRule="auto"/>
        <w:jc w:val="center"/>
        <w:rPr>
          <w:b/>
          <w:bCs/>
          <w:color w:val="auto"/>
          <w:w w:val="95"/>
          <w:sz w:val="30"/>
          <w:szCs w:val="30"/>
          <w:highlight w:val="none"/>
        </w:rPr>
      </w:pPr>
      <w:r>
        <w:rPr>
          <w:rFonts w:hint="eastAsia" w:ascii="宋体" w:hAnsi="宋体" w:cs="宋体"/>
          <w:b/>
          <w:bCs/>
          <w:color w:val="auto"/>
          <w:w w:val="95"/>
          <w:sz w:val="30"/>
          <w:szCs w:val="30"/>
          <w:highlight w:val="none"/>
        </w:rPr>
        <w:t>5.磋商</w:t>
      </w:r>
      <w:r>
        <w:rPr>
          <w:rFonts w:hint="eastAsia"/>
          <w:b/>
          <w:bCs/>
          <w:color w:val="auto"/>
          <w:w w:val="95"/>
          <w:sz w:val="30"/>
          <w:szCs w:val="30"/>
          <w:highlight w:val="none"/>
        </w:rPr>
        <w:t>函附录</w:t>
      </w:r>
      <w:bookmarkEnd w:id="114"/>
      <w:bookmarkEnd w:id="115"/>
      <w:bookmarkEnd w:id="116"/>
    </w:p>
    <w:p w14:paraId="1FD63366">
      <w:pPr>
        <w:pStyle w:val="20"/>
        <w:tabs>
          <w:tab w:val="left" w:pos="6630"/>
        </w:tabs>
        <w:kinsoku w:val="0"/>
        <w:overflowPunct w:val="0"/>
        <w:spacing w:before="5" w:after="20"/>
        <w:rPr>
          <w:color w:val="auto"/>
          <w:highlight w:val="none"/>
        </w:rPr>
      </w:pPr>
      <w:r>
        <w:rPr>
          <w:color w:val="auto"/>
          <w:highlight w:val="none"/>
        </w:rPr>
        <w:pict>
          <v:shape id="任意多边形 2" o:spid="_x0000_s1026" o:spt="100" style="position:absolute;left:0pt;margin-left:157.55pt;margin-top:11.9pt;height:0.5pt;width:299.25pt;mso-position-horizontal-relative:page;z-index:251659264;mso-width-relative:page;mso-height-relative:page;" fillcolor="#000000" filled="t" stroked="f" coordsize="5985,10" o:allowincell="f" o:gfxdata="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hzs&#10;YtcAAAAJAQAADwAAAAAAAAABACAAAAAiAAAAZHJzL2Rvd25yZXYueG1sUEsBAhQAFAAAAAgAh07i&#10;QH64f9UjAgAAkAQAAA4AAAAAAAAAAQAgAAAAJgEAAGRycy9lMm9Eb2MueG1sUEsFBgAAAAAGAAYA&#10;WQEAALsFAAAAAA==&#10;" path="m5984,0l0,0,0,9,5984,9,5984,0xe">
            <v:path o:connecttype="segments"/>
            <v:fill on="t" focussize="0,0"/>
            <v:stroke on="f" joinstyle="round"/>
            <v:imagedata o:title=""/>
            <o:lock v:ext="edit"/>
          </v:shape>
        </w:pict>
      </w:r>
      <w:r>
        <w:rPr>
          <w:rFonts w:hint="eastAsia"/>
          <w:color w:val="auto"/>
          <w:highlight w:val="none"/>
        </w:rPr>
        <w:t>项目名称：</w:t>
      </w:r>
      <w:r>
        <w:rPr>
          <w:rFonts w:hint="eastAsia"/>
          <w:color w:val="auto"/>
          <w:highlight w:val="none"/>
          <w:u w:val="single"/>
        </w:rPr>
        <w:t xml:space="preserve">                                  </w:t>
      </w:r>
      <w:r>
        <w:rPr>
          <w:rFonts w:hint="eastAsia"/>
          <w:color w:val="auto"/>
          <w:highlight w:val="none"/>
        </w:rPr>
        <w:t>项目编号：</w:t>
      </w:r>
      <w:r>
        <w:rPr>
          <w:rFonts w:hint="eastAsia"/>
          <w:color w:val="auto"/>
          <w:highlight w:val="none"/>
          <w:u w:val="single"/>
        </w:rPr>
        <w:t xml:space="preserve">            </w:t>
      </w:r>
    </w:p>
    <w:tbl>
      <w:tblPr>
        <w:tblStyle w:val="55"/>
        <w:tblW w:w="0" w:type="auto"/>
        <w:tblInd w:w="0" w:type="dxa"/>
        <w:tblLayout w:type="fixed"/>
        <w:tblCellMar>
          <w:top w:w="0" w:type="dxa"/>
          <w:left w:w="0" w:type="dxa"/>
          <w:bottom w:w="0" w:type="dxa"/>
          <w:right w:w="0" w:type="dxa"/>
        </w:tblCellMar>
      </w:tblPr>
      <w:tblGrid>
        <w:gridCol w:w="994"/>
        <w:gridCol w:w="1986"/>
        <w:gridCol w:w="1443"/>
        <w:gridCol w:w="2838"/>
        <w:gridCol w:w="1673"/>
      </w:tblGrid>
      <w:tr w14:paraId="7ADC6193">
        <w:tblPrEx>
          <w:tblCellMar>
            <w:top w:w="0" w:type="dxa"/>
            <w:left w:w="0" w:type="dxa"/>
            <w:bottom w:w="0" w:type="dxa"/>
            <w:right w:w="0" w:type="dxa"/>
          </w:tblCellMar>
        </w:tblPrEx>
        <w:trPr>
          <w:trHeight w:val="678" w:hRule="atLeast"/>
        </w:trPr>
        <w:tc>
          <w:tcPr>
            <w:tcW w:w="994" w:type="dxa"/>
            <w:tcBorders>
              <w:top w:val="single" w:color="000000" w:sz="4" w:space="0"/>
              <w:left w:val="single" w:color="000000" w:sz="4" w:space="0"/>
              <w:bottom w:val="single" w:color="000000" w:sz="4" w:space="0"/>
              <w:right w:val="single" w:color="000000" w:sz="4" w:space="0"/>
            </w:tcBorders>
          </w:tcPr>
          <w:p w14:paraId="2DF3CFB1">
            <w:pPr>
              <w:pStyle w:val="490"/>
              <w:kinsoku w:val="0"/>
              <w:overflowPunct w:val="0"/>
              <w:rPr>
                <w:rFonts w:asciiTheme="minorEastAsia" w:hAnsiTheme="minorEastAsia" w:eastAsiaTheme="minorEastAsia" w:cstheme="minorEastAsia"/>
                <w:color w:val="auto"/>
                <w:sz w:val="21"/>
                <w:szCs w:val="21"/>
                <w:highlight w:val="none"/>
              </w:rPr>
            </w:pPr>
          </w:p>
          <w:p w14:paraId="7D737F48">
            <w:pPr>
              <w:pStyle w:val="490"/>
              <w:kinsoku w:val="0"/>
              <w:overflowPunct w:val="0"/>
              <w:ind w:left="214" w:right="205"/>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序 号</w:t>
            </w:r>
          </w:p>
        </w:tc>
        <w:tc>
          <w:tcPr>
            <w:tcW w:w="1986" w:type="dxa"/>
            <w:tcBorders>
              <w:top w:val="single" w:color="000000" w:sz="4" w:space="0"/>
              <w:left w:val="single" w:color="000000" w:sz="4" w:space="0"/>
              <w:bottom w:val="single" w:color="000000" w:sz="4" w:space="0"/>
              <w:right w:val="single" w:color="000000" w:sz="4" w:space="0"/>
            </w:tcBorders>
          </w:tcPr>
          <w:p w14:paraId="52E6E005">
            <w:pPr>
              <w:pStyle w:val="490"/>
              <w:kinsoku w:val="0"/>
              <w:overflowPunct w:val="0"/>
              <w:rPr>
                <w:rFonts w:asciiTheme="minorEastAsia" w:hAnsiTheme="minorEastAsia" w:eastAsiaTheme="minorEastAsia" w:cstheme="minorEastAsia"/>
                <w:color w:val="auto"/>
                <w:sz w:val="21"/>
                <w:szCs w:val="21"/>
                <w:highlight w:val="none"/>
              </w:rPr>
            </w:pPr>
          </w:p>
          <w:p w14:paraId="7E2D0B2F">
            <w:pPr>
              <w:pStyle w:val="490"/>
              <w:kinsoku w:val="0"/>
              <w:overflowPunct w:val="0"/>
              <w:ind w:left="131" w:right="124"/>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条款内容</w:t>
            </w:r>
          </w:p>
        </w:tc>
        <w:tc>
          <w:tcPr>
            <w:tcW w:w="1443" w:type="dxa"/>
            <w:tcBorders>
              <w:top w:val="single" w:color="000000" w:sz="4" w:space="0"/>
              <w:left w:val="single" w:color="000000" w:sz="4" w:space="0"/>
              <w:bottom w:val="single" w:color="000000" w:sz="4" w:space="0"/>
              <w:right w:val="single" w:color="000000" w:sz="4" w:space="0"/>
            </w:tcBorders>
          </w:tcPr>
          <w:p w14:paraId="21131571">
            <w:pPr>
              <w:pStyle w:val="490"/>
              <w:kinsoku w:val="0"/>
              <w:overflowPunct w:val="0"/>
              <w:rPr>
                <w:rFonts w:asciiTheme="minorEastAsia" w:hAnsiTheme="minorEastAsia" w:eastAsiaTheme="minorEastAsia" w:cstheme="minorEastAsia"/>
                <w:color w:val="auto"/>
                <w:sz w:val="21"/>
                <w:szCs w:val="21"/>
                <w:highlight w:val="none"/>
              </w:rPr>
            </w:pPr>
          </w:p>
          <w:p w14:paraId="742A6431">
            <w:pPr>
              <w:pStyle w:val="490"/>
              <w:kinsoku w:val="0"/>
              <w:overflowPunct w:val="0"/>
              <w:ind w:left="177" w:right="166"/>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合同条款号</w:t>
            </w:r>
          </w:p>
        </w:tc>
        <w:tc>
          <w:tcPr>
            <w:tcW w:w="2838" w:type="dxa"/>
            <w:tcBorders>
              <w:top w:val="single" w:color="000000" w:sz="4" w:space="0"/>
              <w:left w:val="single" w:color="000000" w:sz="4" w:space="0"/>
              <w:bottom w:val="single" w:color="000000" w:sz="4" w:space="0"/>
              <w:right w:val="single" w:color="000000" w:sz="4" w:space="0"/>
            </w:tcBorders>
          </w:tcPr>
          <w:p w14:paraId="1952AB55">
            <w:pPr>
              <w:pStyle w:val="490"/>
              <w:kinsoku w:val="0"/>
              <w:overflowPunct w:val="0"/>
              <w:rPr>
                <w:rFonts w:asciiTheme="minorEastAsia" w:hAnsiTheme="minorEastAsia" w:eastAsiaTheme="minorEastAsia" w:cstheme="minorEastAsia"/>
                <w:color w:val="auto"/>
                <w:sz w:val="21"/>
                <w:szCs w:val="21"/>
                <w:highlight w:val="none"/>
              </w:rPr>
            </w:pPr>
          </w:p>
          <w:p w14:paraId="1383955A">
            <w:pPr>
              <w:pStyle w:val="490"/>
              <w:kinsoku w:val="0"/>
              <w:overflowPunct w:val="0"/>
              <w:ind w:left="953" w:right="945"/>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约定内容</w:t>
            </w:r>
          </w:p>
        </w:tc>
        <w:tc>
          <w:tcPr>
            <w:tcW w:w="1673" w:type="dxa"/>
            <w:tcBorders>
              <w:top w:val="single" w:color="000000" w:sz="4" w:space="0"/>
              <w:left w:val="single" w:color="000000" w:sz="4" w:space="0"/>
              <w:bottom w:val="single" w:color="000000" w:sz="4" w:space="0"/>
              <w:right w:val="single" w:color="000000" w:sz="4" w:space="0"/>
            </w:tcBorders>
          </w:tcPr>
          <w:p w14:paraId="3A055D63">
            <w:pPr>
              <w:pStyle w:val="490"/>
              <w:kinsoku w:val="0"/>
              <w:overflowPunct w:val="0"/>
              <w:spacing w:line="338" w:lineRule="exact"/>
              <w:ind w:left="727" w:right="194" w:hanging="524"/>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供应商响应情</w:t>
            </w:r>
            <w:r>
              <w:rPr>
                <w:rFonts w:hint="eastAsia" w:asciiTheme="minorEastAsia" w:hAnsiTheme="minorEastAsia" w:eastAsiaTheme="minorEastAsia" w:cstheme="minorEastAsia"/>
                <w:color w:val="auto"/>
                <w:sz w:val="21"/>
                <w:szCs w:val="21"/>
                <w:highlight w:val="none"/>
              </w:rPr>
              <w:t>况</w:t>
            </w:r>
          </w:p>
        </w:tc>
      </w:tr>
      <w:tr w14:paraId="30B3D4C3">
        <w:tblPrEx>
          <w:tblCellMar>
            <w:top w:w="0" w:type="dxa"/>
            <w:left w:w="0" w:type="dxa"/>
            <w:bottom w:w="0" w:type="dxa"/>
            <w:right w:w="0" w:type="dxa"/>
          </w:tblCellMar>
        </w:tblPrEx>
        <w:trPr>
          <w:trHeight w:val="568" w:hRule="atLeast"/>
        </w:trPr>
        <w:tc>
          <w:tcPr>
            <w:tcW w:w="994" w:type="dxa"/>
            <w:tcBorders>
              <w:top w:val="single" w:color="000000" w:sz="4" w:space="0"/>
              <w:left w:val="single" w:color="000000" w:sz="4" w:space="0"/>
              <w:bottom w:val="single" w:color="000000" w:sz="4" w:space="0"/>
              <w:right w:val="single" w:color="000000" w:sz="4" w:space="0"/>
            </w:tcBorders>
          </w:tcPr>
          <w:p w14:paraId="73983099">
            <w:pPr>
              <w:pStyle w:val="490"/>
              <w:kinsoku w:val="0"/>
              <w:overflowPunct w:val="0"/>
              <w:spacing w:before="176"/>
              <w:ind w:left="4"/>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1986" w:type="dxa"/>
            <w:tcBorders>
              <w:top w:val="single" w:color="000000" w:sz="4" w:space="0"/>
              <w:left w:val="single" w:color="000000" w:sz="4" w:space="0"/>
              <w:bottom w:val="single" w:color="000000" w:sz="4" w:space="0"/>
              <w:right w:val="single" w:color="000000" w:sz="4" w:space="0"/>
            </w:tcBorders>
          </w:tcPr>
          <w:p w14:paraId="308D4283">
            <w:pPr>
              <w:pStyle w:val="490"/>
              <w:kinsoku w:val="0"/>
              <w:overflowPunct w:val="0"/>
              <w:spacing w:before="176"/>
              <w:ind w:left="131" w:right="124"/>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项目经理</w:t>
            </w:r>
          </w:p>
        </w:tc>
        <w:tc>
          <w:tcPr>
            <w:tcW w:w="1443" w:type="dxa"/>
            <w:tcBorders>
              <w:top w:val="single" w:color="000000" w:sz="4" w:space="0"/>
              <w:left w:val="single" w:color="000000" w:sz="4" w:space="0"/>
              <w:bottom w:val="single" w:color="000000" w:sz="4" w:space="0"/>
              <w:right w:val="single" w:color="000000" w:sz="4" w:space="0"/>
            </w:tcBorders>
          </w:tcPr>
          <w:p w14:paraId="363D68D8">
            <w:pPr>
              <w:pStyle w:val="490"/>
              <w:kinsoku w:val="0"/>
              <w:overflowPunct w:val="0"/>
              <w:spacing w:before="176"/>
              <w:ind w:left="177" w:right="166"/>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专用条款</w:t>
            </w:r>
          </w:p>
        </w:tc>
        <w:tc>
          <w:tcPr>
            <w:tcW w:w="2838" w:type="dxa"/>
            <w:tcBorders>
              <w:top w:val="single" w:color="000000" w:sz="4" w:space="0"/>
              <w:left w:val="single" w:color="000000" w:sz="4" w:space="0"/>
              <w:bottom w:val="single" w:color="000000" w:sz="4" w:space="0"/>
              <w:right w:val="single" w:color="000000" w:sz="4" w:space="0"/>
            </w:tcBorders>
          </w:tcPr>
          <w:p w14:paraId="6CEBE45B">
            <w:pPr>
              <w:pStyle w:val="490"/>
              <w:kinsoku w:val="0"/>
              <w:overflowPunct w:val="0"/>
              <w:spacing w:before="176"/>
              <w:ind w:left="953" w:right="943"/>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姓名：</w:t>
            </w:r>
          </w:p>
        </w:tc>
        <w:tc>
          <w:tcPr>
            <w:tcW w:w="1673" w:type="dxa"/>
            <w:tcBorders>
              <w:top w:val="single" w:color="000000" w:sz="4" w:space="0"/>
              <w:left w:val="single" w:color="000000" w:sz="4" w:space="0"/>
              <w:bottom w:val="single" w:color="000000" w:sz="4" w:space="0"/>
              <w:right w:val="single" w:color="000000" w:sz="4" w:space="0"/>
            </w:tcBorders>
          </w:tcPr>
          <w:p w14:paraId="30A4789C">
            <w:pPr>
              <w:pStyle w:val="490"/>
              <w:kinsoku w:val="0"/>
              <w:overflowPunct w:val="0"/>
              <w:rPr>
                <w:rFonts w:asciiTheme="minorEastAsia" w:hAnsiTheme="minorEastAsia" w:eastAsiaTheme="minorEastAsia" w:cstheme="minorEastAsia"/>
                <w:color w:val="auto"/>
                <w:sz w:val="21"/>
                <w:szCs w:val="21"/>
                <w:highlight w:val="none"/>
              </w:rPr>
            </w:pPr>
          </w:p>
        </w:tc>
      </w:tr>
      <w:tr w14:paraId="3A36DBE0">
        <w:tblPrEx>
          <w:tblCellMar>
            <w:top w:w="0" w:type="dxa"/>
            <w:left w:w="0" w:type="dxa"/>
            <w:bottom w:w="0" w:type="dxa"/>
            <w:right w:w="0" w:type="dxa"/>
          </w:tblCellMar>
        </w:tblPrEx>
        <w:trPr>
          <w:trHeight w:val="565" w:hRule="atLeast"/>
        </w:trPr>
        <w:tc>
          <w:tcPr>
            <w:tcW w:w="994" w:type="dxa"/>
            <w:tcBorders>
              <w:top w:val="single" w:color="000000" w:sz="4" w:space="0"/>
              <w:left w:val="single" w:color="000000" w:sz="4" w:space="0"/>
              <w:bottom w:val="single" w:color="000000" w:sz="4" w:space="0"/>
              <w:right w:val="single" w:color="000000" w:sz="4" w:space="0"/>
            </w:tcBorders>
          </w:tcPr>
          <w:p w14:paraId="7DF5F961">
            <w:pPr>
              <w:pStyle w:val="490"/>
              <w:kinsoku w:val="0"/>
              <w:overflowPunct w:val="0"/>
              <w:spacing w:before="174"/>
              <w:ind w:left="4"/>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986" w:type="dxa"/>
            <w:tcBorders>
              <w:top w:val="single" w:color="000000" w:sz="4" w:space="0"/>
              <w:left w:val="single" w:color="000000" w:sz="4" w:space="0"/>
              <w:bottom w:val="single" w:color="000000" w:sz="4" w:space="0"/>
              <w:right w:val="single" w:color="000000" w:sz="4" w:space="0"/>
            </w:tcBorders>
          </w:tcPr>
          <w:p w14:paraId="606CF573">
            <w:pPr>
              <w:pStyle w:val="490"/>
              <w:kinsoku w:val="0"/>
              <w:overflowPunct w:val="0"/>
              <w:spacing w:before="174"/>
              <w:ind w:left="131" w:right="124"/>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竞标有效期</w:t>
            </w:r>
          </w:p>
        </w:tc>
        <w:tc>
          <w:tcPr>
            <w:tcW w:w="1443" w:type="dxa"/>
            <w:tcBorders>
              <w:top w:val="single" w:color="000000" w:sz="4" w:space="0"/>
              <w:left w:val="single" w:color="000000" w:sz="4" w:space="0"/>
              <w:bottom w:val="single" w:color="000000" w:sz="4" w:space="0"/>
              <w:right w:val="single" w:color="000000" w:sz="4" w:space="0"/>
            </w:tcBorders>
          </w:tcPr>
          <w:p w14:paraId="4F111651">
            <w:pPr>
              <w:pStyle w:val="490"/>
              <w:kinsoku w:val="0"/>
              <w:overflowPunct w:val="0"/>
              <w:rPr>
                <w:rFonts w:asciiTheme="minorEastAsia" w:hAnsiTheme="minorEastAsia" w:eastAsiaTheme="minorEastAsia" w:cstheme="minorEastAsia"/>
                <w:color w:val="auto"/>
                <w:sz w:val="21"/>
                <w:szCs w:val="21"/>
                <w:highlight w:val="none"/>
              </w:rPr>
            </w:pPr>
          </w:p>
        </w:tc>
        <w:tc>
          <w:tcPr>
            <w:tcW w:w="2838" w:type="dxa"/>
            <w:tcBorders>
              <w:top w:val="single" w:color="000000" w:sz="4" w:space="0"/>
              <w:left w:val="single" w:color="000000" w:sz="4" w:space="0"/>
              <w:bottom w:val="single" w:color="000000" w:sz="4" w:space="0"/>
              <w:right w:val="single" w:color="000000" w:sz="4" w:space="0"/>
            </w:tcBorders>
          </w:tcPr>
          <w:p w14:paraId="5D91FD96">
            <w:pPr>
              <w:pStyle w:val="490"/>
              <w:kinsoku w:val="0"/>
              <w:overflowPunct w:val="0"/>
              <w:spacing w:before="174"/>
              <w:ind w:left="953" w:right="945"/>
              <w:jc w:val="center"/>
              <w:rPr>
                <w:rFonts w:asciiTheme="minorEastAsia" w:hAnsiTheme="minorEastAsia" w:eastAsiaTheme="minorEastAsia" w:cstheme="minorEastAsia"/>
                <w:color w:val="auto"/>
                <w:spacing w:val="-14"/>
                <w:sz w:val="21"/>
                <w:szCs w:val="21"/>
                <w:highlight w:val="none"/>
              </w:rPr>
            </w:pPr>
            <w:r>
              <w:rPr>
                <w:rFonts w:hint="eastAsia" w:asciiTheme="minorEastAsia" w:hAnsiTheme="minorEastAsia" w:eastAsiaTheme="minorEastAsia" w:cstheme="minorEastAsia"/>
                <w:color w:val="auto"/>
                <w:sz w:val="21"/>
                <w:szCs w:val="21"/>
                <w:highlight w:val="none"/>
                <w:lang w:val="en-US"/>
              </w:rPr>
              <w:t>9</w:t>
            </w:r>
            <w:r>
              <w:rPr>
                <w:rFonts w:hint="eastAsia" w:asciiTheme="minorEastAsia" w:hAnsiTheme="minorEastAsia" w:eastAsiaTheme="minorEastAsia" w:cstheme="minorEastAsia"/>
                <w:color w:val="auto"/>
                <w:sz w:val="21"/>
                <w:szCs w:val="21"/>
                <w:highlight w:val="none"/>
              </w:rPr>
              <w:t>0</w:t>
            </w:r>
            <w:r>
              <w:rPr>
                <w:rFonts w:hint="eastAsia" w:asciiTheme="minorEastAsia" w:hAnsiTheme="minorEastAsia" w:eastAsiaTheme="minorEastAsia" w:cstheme="minorEastAsia"/>
                <w:color w:val="auto"/>
                <w:spacing w:val="-14"/>
                <w:sz w:val="21"/>
                <w:szCs w:val="21"/>
                <w:highlight w:val="none"/>
              </w:rPr>
              <w:t xml:space="preserve"> 日历天</w:t>
            </w:r>
          </w:p>
        </w:tc>
        <w:tc>
          <w:tcPr>
            <w:tcW w:w="1673" w:type="dxa"/>
            <w:tcBorders>
              <w:top w:val="single" w:color="000000" w:sz="4" w:space="0"/>
              <w:left w:val="single" w:color="000000" w:sz="4" w:space="0"/>
              <w:bottom w:val="single" w:color="000000" w:sz="4" w:space="0"/>
              <w:right w:val="single" w:color="000000" w:sz="4" w:space="0"/>
            </w:tcBorders>
          </w:tcPr>
          <w:p w14:paraId="44BA4D5E">
            <w:pPr>
              <w:pStyle w:val="490"/>
              <w:kinsoku w:val="0"/>
              <w:overflowPunct w:val="0"/>
              <w:rPr>
                <w:rFonts w:asciiTheme="minorEastAsia" w:hAnsiTheme="minorEastAsia" w:eastAsiaTheme="minorEastAsia" w:cstheme="minorEastAsia"/>
                <w:color w:val="auto"/>
                <w:sz w:val="21"/>
                <w:szCs w:val="21"/>
                <w:highlight w:val="none"/>
              </w:rPr>
            </w:pPr>
          </w:p>
        </w:tc>
      </w:tr>
      <w:tr w14:paraId="6B057ECE">
        <w:tblPrEx>
          <w:tblCellMar>
            <w:top w:w="0" w:type="dxa"/>
            <w:left w:w="0" w:type="dxa"/>
            <w:bottom w:w="0" w:type="dxa"/>
            <w:right w:w="0" w:type="dxa"/>
          </w:tblCellMar>
        </w:tblPrEx>
        <w:trPr>
          <w:trHeight w:val="565" w:hRule="atLeast"/>
        </w:trPr>
        <w:tc>
          <w:tcPr>
            <w:tcW w:w="994" w:type="dxa"/>
            <w:tcBorders>
              <w:top w:val="single" w:color="000000" w:sz="4" w:space="0"/>
              <w:left w:val="single" w:color="000000" w:sz="4" w:space="0"/>
              <w:bottom w:val="single" w:color="000000" w:sz="4" w:space="0"/>
              <w:right w:val="single" w:color="000000" w:sz="4" w:space="0"/>
            </w:tcBorders>
          </w:tcPr>
          <w:p w14:paraId="659DFA36">
            <w:pPr>
              <w:pStyle w:val="490"/>
              <w:kinsoku w:val="0"/>
              <w:overflowPunct w:val="0"/>
              <w:spacing w:before="174"/>
              <w:ind w:left="4"/>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1986" w:type="dxa"/>
            <w:tcBorders>
              <w:top w:val="single" w:color="000000" w:sz="4" w:space="0"/>
              <w:left w:val="single" w:color="000000" w:sz="4" w:space="0"/>
              <w:bottom w:val="single" w:color="000000" w:sz="4" w:space="0"/>
              <w:right w:val="single" w:color="000000" w:sz="4" w:space="0"/>
            </w:tcBorders>
          </w:tcPr>
          <w:p w14:paraId="7894E1A6">
            <w:pPr>
              <w:pStyle w:val="490"/>
              <w:kinsoku w:val="0"/>
              <w:overflowPunct w:val="0"/>
              <w:spacing w:before="174"/>
              <w:ind w:left="131" w:right="122"/>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工期</w:t>
            </w:r>
          </w:p>
        </w:tc>
        <w:tc>
          <w:tcPr>
            <w:tcW w:w="1443" w:type="dxa"/>
            <w:tcBorders>
              <w:top w:val="single" w:color="000000" w:sz="4" w:space="0"/>
              <w:left w:val="single" w:color="000000" w:sz="4" w:space="0"/>
              <w:bottom w:val="single" w:color="000000" w:sz="4" w:space="0"/>
              <w:right w:val="single" w:color="000000" w:sz="4" w:space="0"/>
            </w:tcBorders>
          </w:tcPr>
          <w:p w14:paraId="02A19D10">
            <w:pPr>
              <w:pStyle w:val="490"/>
              <w:kinsoku w:val="0"/>
              <w:overflowPunct w:val="0"/>
              <w:spacing w:before="174"/>
              <w:ind w:left="177" w:right="166"/>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专用条款</w:t>
            </w:r>
          </w:p>
        </w:tc>
        <w:tc>
          <w:tcPr>
            <w:tcW w:w="2838" w:type="dxa"/>
            <w:tcBorders>
              <w:top w:val="single" w:color="000000" w:sz="4" w:space="0"/>
              <w:left w:val="single" w:color="000000" w:sz="4" w:space="0"/>
              <w:bottom w:val="single" w:color="000000" w:sz="4" w:space="0"/>
              <w:right w:val="single" w:color="000000" w:sz="4" w:space="0"/>
            </w:tcBorders>
          </w:tcPr>
          <w:p w14:paraId="0D1316C1">
            <w:pPr>
              <w:pStyle w:val="490"/>
              <w:kinsoku w:val="0"/>
              <w:overflowPunct w:val="0"/>
              <w:spacing w:before="174"/>
              <w:ind w:left="0" w:leftChars="0" w:right="0" w:rightChars="0" w:firstLine="0" w:firstLineChars="0"/>
              <w:jc w:val="center"/>
              <w:rPr>
                <w:rFonts w:asciiTheme="minorEastAsia" w:hAnsiTheme="minorEastAsia" w:eastAsiaTheme="minorEastAsia" w:cstheme="minorEastAsia"/>
                <w:color w:val="auto"/>
                <w:spacing w:val="-12"/>
                <w:sz w:val="21"/>
                <w:szCs w:val="21"/>
                <w:highlight w:val="none"/>
              </w:rPr>
            </w:pPr>
            <w:r>
              <w:rPr>
                <w:rFonts w:asciiTheme="minorEastAsia" w:hAnsiTheme="minorEastAsia" w:eastAsiaTheme="minorEastAsia" w:cstheme="minorEastAsia"/>
                <w:color w:val="auto"/>
                <w:sz w:val="21"/>
                <w:szCs w:val="21"/>
                <w:highlight w:val="none"/>
                <w:lang w:val="en-US"/>
              </w:rPr>
              <w:t>90</w:t>
            </w:r>
            <w:r>
              <w:rPr>
                <w:rFonts w:hint="eastAsia" w:asciiTheme="minorEastAsia" w:hAnsiTheme="minorEastAsia" w:eastAsiaTheme="minorEastAsia" w:cstheme="minorEastAsia"/>
                <w:color w:val="auto"/>
                <w:sz w:val="21"/>
                <w:szCs w:val="21"/>
                <w:highlight w:val="none"/>
                <w:lang w:val="en-US"/>
              </w:rPr>
              <w:t>个</w:t>
            </w:r>
            <w:r>
              <w:rPr>
                <w:rFonts w:hint="eastAsia" w:asciiTheme="minorEastAsia" w:hAnsiTheme="minorEastAsia" w:eastAsiaTheme="minorEastAsia" w:cstheme="minorEastAsia"/>
                <w:color w:val="auto"/>
                <w:spacing w:val="-12"/>
                <w:sz w:val="21"/>
                <w:szCs w:val="21"/>
                <w:highlight w:val="none"/>
              </w:rPr>
              <w:t>日历天</w:t>
            </w:r>
          </w:p>
        </w:tc>
        <w:tc>
          <w:tcPr>
            <w:tcW w:w="1673" w:type="dxa"/>
            <w:tcBorders>
              <w:top w:val="single" w:color="000000" w:sz="4" w:space="0"/>
              <w:left w:val="single" w:color="000000" w:sz="4" w:space="0"/>
              <w:bottom w:val="single" w:color="000000" w:sz="4" w:space="0"/>
              <w:right w:val="single" w:color="000000" w:sz="4" w:space="0"/>
            </w:tcBorders>
          </w:tcPr>
          <w:p w14:paraId="305C9679">
            <w:pPr>
              <w:pStyle w:val="490"/>
              <w:kinsoku w:val="0"/>
              <w:overflowPunct w:val="0"/>
              <w:rPr>
                <w:rFonts w:asciiTheme="minorEastAsia" w:hAnsiTheme="minorEastAsia" w:eastAsiaTheme="minorEastAsia" w:cstheme="minorEastAsia"/>
                <w:color w:val="auto"/>
                <w:sz w:val="21"/>
                <w:szCs w:val="21"/>
                <w:highlight w:val="none"/>
              </w:rPr>
            </w:pPr>
          </w:p>
        </w:tc>
      </w:tr>
      <w:tr w14:paraId="7CB6938B">
        <w:tblPrEx>
          <w:tblCellMar>
            <w:top w:w="0" w:type="dxa"/>
            <w:left w:w="0" w:type="dxa"/>
            <w:bottom w:w="0" w:type="dxa"/>
            <w:right w:w="0" w:type="dxa"/>
          </w:tblCellMar>
        </w:tblPrEx>
        <w:trPr>
          <w:trHeight w:val="678" w:hRule="atLeast"/>
        </w:trPr>
        <w:tc>
          <w:tcPr>
            <w:tcW w:w="994" w:type="dxa"/>
            <w:tcBorders>
              <w:top w:val="single" w:color="000000" w:sz="4" w:space="0"/>
              <w:left w:val="single" w:color="000000" w:sz="4" w:space="0"/>
              <w:bottom w:val="single" w:color="000000" w:sz="4" w:space="0"/>
              <w:right w:val="single" w:color="000000" w:sz="4" w:space="0"/>
            </w:tcBorders>
          </w:tcPr>
          <w:p w14:paraId="4CDE9424">
            <w:pPr>
              <w:pStyle w:val="490"/>
              <w:kinsoku w:val="0"/>
              <w:overflowPunct w:val="0"/>
              <w:spacing w:before="176"/>
              <w:ind w:left="4"/>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1986" w:type="dxa"/>
            <w:tcBorders>
              <w:top w:val="single" w:color="000000" w:sz="4" w:space="0"/>
              <w:left w:val="single" w:color="000000" w:sz="4" w:space="0"/>
              <w:bottom w:val="single" w:color="000000" w:sz="4" w:space="0"/>
              <w:right w:val="single" w:color="000000" w:sz="4" w:space="0"/>
            </w:tcBorders>
            <w:vAlign w:val="center"/>
          </w:tcPr>
          <w:p w14:paraId="11E60F82">
            <w:pPr>
              <w:pStyle w:val="490"/>
              <w:keepNext w:val="0"/>
              <w:keepLines w:val="0"/>
              <w:pageBreakBefore w:val="0"/>
              <w:widowControl w:val="0"/>
              <w:kinsoku w:val="0"/>
              <w:wordWrap/>
              <w:overflowPunct w:val="0"/>
              <w:topLinePunct w:val="0"/>
              <w:autoSpaceDE w:val="0"/>
              <w:autoSpaceDN w:val="0"/>
              <w:bidi w:val="0"/>
              <w:adjustRightInd/>
              <w:snapToGrid/>
              <w:ind w:left="0" w:leftChars="0" w:right="0" w:rightChars="0" w:firstLine="0" w:firstLineChars="0"/>
              <w:jc w:val="center"/>
              <w:textAlignment w:val="auto"/>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缺陷责任期</w:t>
            </w:r>
          </w:p>
        </w:tc>
        <w:tc>
          <w:tcPr>
            <w:tcW w:w="1443" w:type="dxa"/>
            <w:tcBorders>
              <w:top w:val="single" w:color="000000" w:sz="4" w:space="0"/>
              <w:left w:val="single" w:color="000000" w:sz="4" w:space="0"/>
              <w:bottom w:val="single" w:color="000000" w:sz="4" w:space="0"/>
              <w:right w:val="single" w:color="000000" w:sz="4" w:space="0"/>
            </w:tcBorders>
            <w:vAlign w:val="center"/>
          </w:tcPr>
          <w:p w14:paraId="41EDAD51">
            <w:pPr>
              <w:pStyle w:val="490"/>
              <w:keepNext w:val="0"/>
              <w:keepLines w:val="0"/>
              <w:pageBreakBefore w:val="0"/>
              <w:widowControl w:val="0"/>
              <w:kinsoku w:val="0"/>
              <w:wordWrap/>
              <w:overflowPunct w:val="0"/>
              <w:topLinePunct w:val="0"/>
              <w:autoSpaceDE w:val="0"/>
              <w:autoSpaceDN w:val="0"/>
              <w:bidi w:val="0"/>
              <w:adjustRightInd/>
              <w:snapToGrid/>
              <w:ind w:left="0" w:leftChars="0" w:right="0" w:rightChars="0" w:firstLine="0" w:firstLineChars="0"/>
              <w:jc w:val="center"/>
              <w:textAlignment w:val="auto"/>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专用条款</w:t>
            </w:r>
          </w:p>
        </w:tc>
        <w:tc>
          <w:tcPr>
            <w:tcW w:w="2838" w:type="dxa"/>
            <w:tcBorders>
              <w:top w:val="single" w:color="000000" w:sz="4" w:space="0"/>
              <w:left w:val="single" w:color="000000" w:sz="4" w:space="0"/>
              <w:bottom w:val="single" w:color="000000" w:sz="4" w:space="0"/>
              <w:right w:val="single" w:color="000000" w:sz="4" w:space="0"/>
            </w:tcBorders>
            <w:vAlign w:val="center"/>
          </w:tcPr>
          <w:p w14:paraId="561ED404">
            <w:pPr>
              <w:pStyle w:val="490"/>
              <w:keepNext w:val="0"/>
              <w:keepLines w:val="0"/>
              <w:pageBreakBefore w:val="0"/>
              <w:widowControl w:val="0"/>
              <w:kinsoku w:val="0"/>
              <w:wordWrap/>
              <w:overflowPunct w:val="0"/>
              <w:topLinePunct w:val="0"/>
              <w:autoSpaceDE w:val="0"/>
              <w:autoSpaceDN w:val="0"/>
              <w:bidi w:val="0"/>
              <w:adjustRightInd/>
              <w:snapToGrid/>
              <w:ind w:left="0" w:leftChars="0" w:right="0" w:rightChars="0" w:firstLine="0" w:firstLineChars="0"/>
              <w:jc w:val="center"/>
              <w:textAlignment w:val="auto"/>
              <w:rPr>
                <w:rFonts w:asciiTheme="minorEastAsia" w:hAnsiTheme="minorEastAsia" w:eastAsiaTheme="minorEastAsia" w:cstheme="minorEastAsia"/>
                <w:color w:val="auto"/>
                <w:spacing w:val="-18"/>
                <w:sz w:val="21"/>
                <w:szCs w:val="21"/>
                <w:highlight w:val="none"/>
              </w:rPr>
            </w:pPr>
            <w:r>
              <w:rPr>
                <w:rFonts w:asciiTheme="minorEastAsia" w:hAnsiTheme="minorEastAsia" w:eastAsiaTheme="minorEastAsia" w:cstheme="minorEastAsia"/>
                <w:color w:val="auto"/>
                <w:sz w:val="21"/>
                <w:szCs w:val="21"/>
                <w:highlight w:val="none"/>
              </w:rPr>
              <w:t>12</w:t>
            </w:r>
            <w:r>
              <w:rPr>
                <w:rFonts w:hint="eastAsia" w:asciiTheme="minorEastAsia" w:hAnsiTheme="minorEastAsia" w:eastAsiaTheme="minorEastAsia" w:cstheme="minorEastAsia"/>
                <w:color w:val="auto"/>
                <w:sz w:val="21"/>
                <w:szCs w:val="21"/>
                <w:highlight w:val="none"/>
              </w:rPr>
              <w:t xml:space="preserve"> 个月，房屋建筑工程维修部分有规范要求按其要求。</w:t>
            </w:r>
          </w:p>
        </w:tc>
        <w:tc>
          <w:tcPr>
            <w:tcW w:w="1673" w:type="dxa"/>
            <w:tcBorders>
              <w:top w:val="single" w:color="000000" w:sz="4" w:space="0"/>
              <w:left w:val="single" w:color="000000" w:sz="4" w:space="0"/>
              <w:bottom w:val="single" w:color="000000" w:sz="4" w:space="0"/>
              <w:right w:val="single" w:color="000000" w:sz="4" w:space="0"/>
            </w:tcBorders>
          </w:tcPr>
          <w:p w14:paraId="77B88440">
            <w:pPr>
              <w:pStyle w:val="490"/>
              <w:kinsoku w:val="0"/>
              <w:overflowPunct w:val="0"/>
              <w:rPr>
                <w:rFonts w:asciiTheme="minorEastAsia" w:hAnsiTheme="minorEastAsia" w:eastAsiaTheme="minorEastAsia" w:cstheme="minorEastAsia"/>
                <w:color w:val="auto"/>
                <w:sz w:val="21"/>
                <w:szCs w:val="21"/>
                <w:highlight w:val="none"/>
              </w:rPr>
            </w:pPr>
          </w:p>
        </w:tc>
      </w:tr>
      <w:tr w14:paraId="08720DF8">
        <w:tblPrEx>
          <w:tblCellMar>
            <w:top w:w="0" w:type="dxa"/>
            <w:left w:w="0" w:type="dxa"/>
            <w:bottom w:w="0" w:type="dxa"/>
            <w:right w:w="0" w:type="dxa"/>
          </w:tblCellMar>
        </w:tblPrEx>
        <w:trPr>
          <w:trHeight w:val="566" w:hRule="atLeast"/>
        </w:trPr>
        <w:tc>
          <w:tcPr>
            <w:tcW w:w="994" w:type="dxa"/>
            <w:tcBorders>
              <w:top w:val="single" w:color="000000" w:sz="4" w:space="0"/>
              <w:left w:val="single" w:color="000000" w:sz="4" w:space="0"/>
              <w:bottom w:val="single" w:color="000000" w:sz="4" w:space="0"/>
              <w:right w:val="single" w:color="000000" w:sz="4" w:space="0"/>
            </w:tcBorders>
          </w:tcPr>
          <w:p w14:paraId="034724ED">
            <w:pPr>
              <w:pStyle w:val="490"/>
              <w:kinsoku w:val="0"/>
              <w:overflowPunct w:val="0"/>
              <w:spacing w:before="174"/>
              <w:ind w:left="4"/>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5</w:t>
            </w:r>
          </w:p>
        </w:tc>
        <w:tc>
          <w:tcPr>
            <w:tcW w:w="1986" w:type="dxa"/>
            <w:tcBorders>
              <w:top w:val="single" w:color="000000" w:sz="4" w:space="0"/>
              <w:left w:val="single" w:color="000000" w:sz="4" w:space="0"/>
              <w:bottom w:val="single" w:color="000000" w:sz="4" w:space="0"/>
              <w:right w:val="single" w:color="000000" w:sz="4" w:space="0"/>
            </w:tcBorders>
          </w:tcPr>
          <w:p w14:paraId="5B603B16">
            <w:pPr>
              <w:pStyle w:val="490"/>
              <w:kinsoku w:val="0"/>
              <w:overflowPunct w:val="0"/>
              <w:spacing w:before="174"/>
              <w:ind w:left="131" w:right="122"/>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发包人支付担保</w:t>
            </w:r>
          </w:p>
        </w:tc>
        <w:tc>
          <w:tcPr>
            <w:tcW w:w="1443" w:type="dxa"/>
            <w:tcBorders>
              <w:top w:val="single" w:color="000000" w:sz="4" w:space="0"/>
              <w:left w:val="single" w:color="000000" w:sz="4" w:space="0"/>
              <w:bottom w:val="single" w:color="000000" w:sz="4" w:space="0"/>
              <w:right w:val="single" w:color="000000" w:sz="4" w:space="0"/>
            </w:tcBorders>
          </w:tcPr>
          <w:p w14:paraId="15C7B488">
            <w:pPr>
              <w:pStyle w:val="490"/>
              <w:kinsoku w:val="0"/>
              <w:overflowPunct w:val="0"/>
              <w:spacing w:before="174"/>
              <w:ind w:left="177" w:right="166"/>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专用条款</w:t>
            </w:r>
          </w:p>
        </w:tc>
        <w:tc>
          <w:tcPr>
            <w:tcW w:w="2838" w:type="dxa"/>
            <w:tcBorders>
              <w:top w:val="single" w:color="000000" w:sz="4" w:space="0"/>
              <w:left w:val="single" w:color="000000" w:sz="4" w:space="0"/>
              <w:bottom w:val="single" w:color="000000" w:sz="4" w:space="0"/>
              <w:right w:val="single" w:color="000000" w:sz="4" w:space="0"/>
            </w:tcBorders>
          </w:tcPr>
          <w:p w14:paraId="2965815A">
            <w:pPr>
              <w:pStyle w:val="490"/>
              <w:kinsoku w:val="0"/>
              <w:overflowPunct w:val="0"/>
              <w:spacing w:before="174"/>
              <w:ind w:left="5"/>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673" w:type="dxa"/>
            <w:tcBorders>
              <w:top w:val="single" w:color="000000" w:sz="4" w:space="0"/>
              <w:left w:val="single" w:color="000000" w:sz="4" w:space="0"/>
              <w:bottom w:val="single" w:color="000000" w:sz="4" w:space="0"/>
              <w:right w:val="single" w:color="000000" w:sz="4" w:space="0"/>
            </w:tcBorders>
          </w:tcPr>
          <w:p w14:paraId="36201929">
            <w:pPr>
              <w:pStyle w:val="490"/>
              <w:kinsoku w:val="0"/>
              <w:overflowPunct w:val="0"/>
              <w:rPr>
                <w:rFonts w:asciiTheme="minorEastAsia" w:hAnsiTheme="minorEastAsia" w:eastAsiaTheme="minorEastAsia" w:cstheme="minorEastAsia"/>
                <w:color w:val="auto"/>
                <w:sz w:val="21"/>
                <w:szCs w:val="21"/>
                <w:highlight w:val="none"/>
              </w:rPr>
            </w:pPr>
          </w:p>
        </w:tc>
      </w:tr>
      <w:tr w14:paraId="428116DE">
        <w:tblPrEx>
          <w:tblCellMar>
            <w:top w:w="0" w:type="dxa"/>
            <w:left w:w="0" w:type="dxa"/>
            <w:bottom w:w="0" w:type="dxa"/>
            <w:right w:w="0" w:type="dxa"/>
          </w:tblCellMar>
        </w:tblPrEx>
        <w:trPr>
          <w:trHeight w:val="681" w:hRule="atLeast"/>
        </w:trPr>
        <w:tc>
          <w:tcPr>
            <w:tcW w:w="994" w:type="dxa"/>
            <w:tcBorders>
              <w:top w:val="single" w:color="000000" w:sz="4" w:space="0"/>
              <w:left w:val="single" w:color="000000" w:sz="4" w:space="0"/>
              <w:bottom w:val="single" w:color="000000" w:sz="4" w:space="0"/>
              <w:right w:val="single" w:color="000000" w:sz="4" w:space="0"/>
            </w:tcBorders>
          </w:tcPr>
          <w:p w14:paraId="1A8E8EEE">
            <w:pPr>
              <w:pStyle w:val="490"/>
              <w:kinsoku w:val="0"/>
              <w:overflowPunct w:val="0"/>
              <w:rPr>
                <w:rFonts w:asciiTheme="minorEastAsia" w:hAnsiTheme="minorEastAsia" w:eastAsiaTheme="minorEastAsia" w:cstheme="minorEastAsia"/>
                <w:color w:val="auto"/>
                <w:sz w:val="21"/>
                <w:szCs w:val="21"/>
                <w:highlight w:val="none"/>
              </w:rPr>
            </w:pPr>
          </w:p>
          <w:p w14:paraId="6A0DFDE6">
            <w:pPr>
              <w:pStyle w:val="490"/>
              <w:kinsoku w:val="0"/>
              <w:overflowPunct w:val="0"/>
              <w:ind w:left="4"/>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1986" w:type="dxa"/>
            <w:tcBorders>
              <w:top w:val="single" w:color="000000" w:sz="4" w:space="0"/>
              <w:left w:val="single" w:color="000000" w:sz="4" w:space="0"/>
              <w:bottom w:val="single" w:color="000000" w:sz="4" w:space="0"/>
              <w:right w:val="single" w:color="000000" w:sz="4" w:space="0"/>
            </w:tcBorders>
          </w:tcPr>
          <w:p w14:paraId="35D25EA9">
            <w:pPr>
              <w:pStyle w:val="490"/>
              <w:kinsoku w:val="0"/>
              <w:overflowPunct w:val="0"/>
              <w:spacing w:before="61"/>
              <w:ind w:left="131" w:right="124"/>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承包人履约担保</w:t>
            </w:r>
          </w:p>
          <w:p w14:paraId="628647C5">
            <w:pPr>
              <w:pStyle w:val="490"/>
              <w:kinsoku w:val="0"/>
              <w:overflowPunct w:val="0"/>
              <w:spacing w:before="61"/>
              <w:ind w:left="131" w:right="124"/>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金额</w:t>
            </w:r>
          </w:p>
        </w:tc>
        <w:tc>
          <w:tcPr>
            <w:tcW w:w="1443" w:type="dxa"/>
            <w:tcBorders>
              <w:top w:val="single" w:color="000000" w:sz="4" w:space="0"/>
              <w:left w:val="single" w:color="000000" w:sz="4" w:space="0"/>
              <w:bottom w:val="single" w:color="000000" w:sz="4" w:space="0"/>
              <w:right w:val="single" w:color="000000" w:sz="4" w:space="0"/>
            </w:tcBorders>
          </w:tcPr>
          <w:p w14:paraId="547C2A41">
            <w:pPr>
              <w:pStyle w:val="490"/>
              <w:kinsoku w:val="0"/>
              <w:overflowPunct w:val="0"/>
              <w:rPr>
                <w:rFonts w:asciiTheme="minorEastAsia" w:hAnsiTheme="minorEastAsia" w:eastAsiaTheme="minorEastAsia" w:cstheme="minorEastAsia"/>
                <w:color w:val="auto"/>
                <w:sz w:val="21"/>
                <w:szCs w:val="21"/>
                <w:highlight w:val="none"/>
              </w:rPr>
            </w:pPr>
          </w:p>
          <w:p w14:paraId="3A6DE9B6">
            <w:pPr>
              <w:pStyle w:val="490"/>
              <w:kinsoku w:val="0"/>
              <w:overflowPunct w:val="0"/>
              <w:ind w:left="177" w:right="166"/>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专用条款</w:t>
            </w:r>
          </w:p>
        </w:tc>
        <w:tc>
          <w:tcPr>
            <w:tcW w:w="2838" w:type="dxa"/>
            <w:tcBorders>
              <w:top w:val="single" w:color="000000" w:sz="4" w:space="0"/>
              <w:left w:val="single" w:color="000000" w:sz="4" w:space="0"/>
              <w:bottom w:val="single" w:color="000000" w:sz="4" w:space="0"/>
              <w:right w:val="single" w:color="000000" w:sz="4" w:space="0"/>
            </w:tcBorders>
            <w:vAlign w:val="center"/>
          </w:tcPr>
          <w:p w14:paraId="25ABCCC0">
            <w:pPr>
              <w:pStyle w:val="490"/>
              <w:kinsoku w:val="0"/>
              <w:overflowPunct w:val="0"/>
              <w:jc w:val="center"/>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pacing w:val="-9"/>
                <w:sz w:val="21"/>
                <w:szCs w:val="21"/>
                <w:highlight w:val="none"/>
                <w:lang w:val="en-US"/>
              </w:rPr>
              <w:t>合同金额的2%</w:t>
            </w:r>
          </w:p>
        </w:tc>
        <w:tc>
          <w:tcPr>
            <w:tcW w:w="1673" w:type="dxa"/>
            <w:tcBorders>
              <w:top w:val="single" w:color="000000" w:sz="4" w:space="0"/>
              <w:left w:val="single" w:color="000000" w:sz="4" w:space="0"/>
              <w:bottom w:val="single" w:color="000000" w:sz="4" w:space="0"/>
              <w:right w:val="single" w:color="000000" w:sz="4" w:space="0"/>
            </w:tcBorders>
          </w:tcPr>
          <w:p w14:paraId="4ADAAF3A">
            <w:pPr>
              <w:pStyle w:val="490"/>
              <w:kinsoku w:val="0"/>
              <w:overflowPunct w:val="0"/>
              <w:rPr>
                <w:rFonts w:asciiTheme="minorEastAsia" w:hAnsiTheme="minorEastAsia" w:eastAsiaTheme="minorEastAsia" w:cstheme="minorEastAsia"/>
                <w:color w:val="auto"/>
                <w:sz w:val="21"/>
                <w:szCs w:val="21"/>
                <w:highlight w:val="none"/>
              </w:rPr>
            </w:pPr>
          </w:p>
        </w:tc>
      </w:tr>
      <w:tr w14:paraId="1A7705C3">
        <w:tblPrEx>
          <w:tblCellMar>
            <w:top w:w="0" w:type="dxa"/>
            <w:left w:w="0" w:type="dxa"/>
            <w:bottom w:w="0" w:type="dxa"/>
            <w:right w:w="0" w:type="dxa"/>
          </w:tblCellMar>
        </w:tblPrEx>
        <w:trPr>
          <w:trHeight w:val="565" w:hRule="atLeast"/>
        </w:trPr>
        <w:tc>
          <w:tcPr>
            <w:tcW w:w="994" w:type="dxa"/>
            <w:tcBorders>
              <w:top w:val="single" w:color="000000" w:sz="4" w:space="0"/>
              <w:left w:val="single" w:color="000000" w:sz="4" w:space="0"/>
              <w:bottom w:val="single" w:color="000000" w:sz="4" w:space="0"/>
              <w:right w:val="single" w:color="000000" w:sz="4" w:space="0"/>
            </w:tcBorders>
          </w:tcPr>
          <w:p w14:paraId="6D571178">
            <w:pPr>
              <w:pStyle w:val="490"/>
              <w:kinsoku w:val="0"/>
              <w:overflowPunct w:val="0"/>
              <w:spacing w:before="173"/>
              <w:ind w:left="4"/>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1986" w:type="dxa"/>
            <w:tcBorders>
              <w:top w:val="single" w:color="000000" w:sz="4" w:space="0"/>
              <w:left w:val="single" w:color="000000" w:sz="4" w:space="0"/>
              <w:bottom w:val="single" w:color="000000" w:sz="4" w:space="0"/>
              <w:right w:val="single" w:color="000000" w:sz="4" w:space="0"/>
            </w:tcBorders>
          </w:tcPr>
          <w:p w14:paraId="40462C18">
            <w:pPr>
              <w:pStyle w:val="490"/>
              <w:kinsoku w:val="0"/>
              <w:overflowPunct w:val="0"/>
              <w:spacing w:before="173"/>
              <w:ind w:left="131" w:right="122"/>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分包</w:t>
            </w:r>
          </w:p>
        </w:tc>
        <w:tc>
          <w:tcPr>
            <w:tcW w:w="1443" w:type="dxa"/>
            <w:tcBorders>
              <w:top w:val="single" w:color="000000" w:sz="4" w:space="0"/>
              <w:left w:val="single" w:color="000000" w:sz="4" w:space="0"/>
              <w:bottom w:val="single" w:color="000000" w:sz="4" w:space="0"/>
              <w:right w:val="single" w:color="000000" w:sz="4" w:space="0"/>
            </w:tcBorders>
          </w:tcPr>
          <w:p w14:paraId="5F16662A">
            <w:pPr>
              <w:pStyle w:val="490"/>
              <w:kinsoku w:val="0"/>
              <w:overflowPunct w:val="0"/>
              <w:spacing w:before="173"/>
              <w:ind w:left="177" w:right="166"/>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专用条款</w:t>
            </w:r>
          </w:p>
        </w:tc>
        <w:tc>
          <w:tcPr>
            <w:tcW w:w="2838" w:type="dxa"/>
            <w:tcBorders>
              <w:top w:val="single" w:color="000000" w:sz="4" w:space="0"/>
              <w:left w:val="single" w:color="000000" w:sz="4" w:space="0"/>
              <w:bottom w:val="single" w:color="000000" w:sz="4" w:space="0"/>
              <w:right w:val="single" w:color="000000" w:sz="4" w:space="0"/>
            </w:tcBorders>
          </w:tcPr>
          <w:p w14:paraId="795A441A">
            <w:pPr>
              <w:pStyle w:val="490"/>
              <w:kinsoku w:val="0"/>
              <w:overflowPunct w:val="0"/>
              <w:spacing w:before="173"/>
              <w:ind w:left="5"/>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1673" w:type="dxa"/>
            <w:tcBorders>
              <w:top w:val="single" w:color="000000" w:sz="4" w:space="0"/>
              <w:left w:val="single" w:color="000000" w:sz="4" w:space="0"/>
              <w:bottom w:val="single" w:color="000000" w:sz="4" w:space="0"/>
              <w:right w:val="single" w:color="000000" w:sz="4" w:space="0"/>
            </w:tcBorders>
          </w:tcPr>
          <w:p w14:paraId="16F39A66">
            <w:pPr>
              <w:pStyle w:val="490"/>
              <w:kinsoku w:val="0"/>
              <w:overflowPunct w:val="0"/>
              <w:rPr>
                <w:rFonts w:asciiTheme="minorEastAsia" w:hAnsiTheme="minorEastAsia" w:eastAsiaTheme="minorEastAsia" w:cstheme="minorEastAsia"/>
                <w:color w:val="auto"/>
                <w:sz w:val="21"/>
                <w:szCs w:val="21"/>
                <w:highlight w:val="none"/>
              </w:rPr>
            </w:pPr>
          </w:p>
        </w:tc>
      </w:tr>
      <w:tr w14:paraId="11D32876">
        <w:tblPrEx>
          <w:tblCellMar>
            <w:top w:w="0" w:type="dxa"/>
            <w:left w:w="0" w:type="dxa"/>
            <w:bottom w:w="0" w:type="dxa"/>
            <w:right w:w="0" w:type="dxa"/>
          </w:tblCellMar>
        </w:tblPrEx>
        <w:trPr>
          <w:trHeight w:val="681" w:hRule="atLeast"/>
        </w:trPr>
        <w:tc>
          <w:tcPr>
            <w:tcW w:w="994" w:type="dxa"/>
            <w:tcBorders>
              <w:top w:val="single" w:color="000000" w:sz="4" w:space="0"/>
              <w:left w:val="single" w:color="000000" w:sz="4" w:space="0"/>
              <w:bottom w:val="single" w:color="000000" w:sz="4" w:space="0"/>
              <w:right w:val="single" w:color="000000" w:sz="4" w:space="0"/>
            </w:tcBorders>
          </w:tcPr>
          <w:p w14:paraId="6324C0FC">
            <w:pPr>
              <w:pStyle w:val="490"/>
              <w:kinsoku w:val="0"/>
              <w:overflowPunct w:val="0"/>
              <w:rPr>
                <w:rFonts w:asciiTheme="minorEastAsia" w:hAnsiTheme="minorEastAsia" w:eastAsiaTheme="minorEastAsia" w:cstheme="minorEastAsia"/>
                <w:color w:val="auto"/>
                <w:sz w:val="21"/>
                <w:szCs w:val="21"/>
                <w:highlight w:val="none"/>
              </w:rPr>
            </w:pPr>
          </w:p>
          <w:p w14:paraId="140C77C3">
            <w:pPr>
              <w:pStyle w:val="490"/>
              <w:kinsoku w:val="0"/>
              <w:overflowPunct w:val="0"/>
              <w:ind w:left="4"/>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1986" w:type="dxa"/>
            <w:tcBorders>
              <w:top w:val="single" w:color="000000" w:sz="4" w:space="0"/>
              <w:left w:val="single" w:color="000000" w:sz="4" w:space="0"/>
              <w:bottom w:val="single" w:color="000000" w:sz="4" w:space="0"/>
              <w:right w:val="single" w:color="000000" w:sz="4" w:space="0"/>
            </w:tcBorders>
          </w:tcPr>
          <w:p w14:paraId="3D5B431D">
            <w:pPr>
              <w:pStyle w:val="490"/>
              <w:kinsoku w:val="0"/>
              <w:overflowPunct w:val="0"/>
              <w:rPr>
                <w:rFonts w:asciiTheme="minorEastAsia" w:hAnsiTheme="minorEastAsia" w:eastAsiaTheme="minorEastAsia" w:cstheme="minorEastAsia"/>
                <w:color w:val="auto"/>
                <w:sz w:val="21"/>
                <w:szCs w:val="21"/>
                <w:highlight w:val="none"/>
              </w:rPr>
            </w:pPr>
          </w:p>
          <w:p w14:paraId="712A901D">
            <w:pPr>
              <w:pStyle w:val="490"/>
              <w:kinsoku w:val="0"/>
              <w:overflowPunct w:val="0"/>
              <w:ind w:left="131" w:right="122"/>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逾期竣工违约金</w:t>
            </w:r>
          </w:p>
        </w:tc>
        <w:tc>
          <w:tcPr>
            <w:tcW w:w="1443" w:type="dxa"/>
            <w:tcBorders>
              <w:top w:val="single" w:color="000000" w:sz="4" w:space="0"/>
              <w:left w:val="single" w:color="000000" w:sz="4" w:space="0"/>
              <w:bottom w:val="single" w:color="000000" w:sz="4" w:space="0"/>
              <w:right w:val="single" w:color="000000" w:sz="4" w:space="0"/>
            </w:tcBorders>
          </w:tcPr>
          <w:p w14:paraId="08E7ADE9">
            <w:pPr>
              <w:pStyle w:val="490"/>
              <w:kinsoku w:val="0"/>
              <w:overflowPunct w:val="0"/>
              <w:rPr>
                <w:rFonts w:asciiTheme="minorEastAsia" w:hAnsiTheme="minorEastAsia" w:eastAsiaTheme="minorEastAsia" w:cstheme="minorEastAsia"/>
                <w:color w:val="auto"/>
                <w:sz w:val="21"/>
                <w:szCs w:val="21"/>
                <w:highlight w:val="none"/>
              </w:rPr>
            </w:pPr>
          </w:p>
          <w:p w14:paraId="3B078369">
            <w:pPr>
              <w:pStyle w:val="490"/>
              <w:kinsoku w:val="0"/>
              <w:overflowPunct w:val="0"/>
              <w:ind w:left="177" w:right="166"/>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专用条款</w:t>
            </w:r>
          </w:p>
        </w:tc>
        <w:tc>
          <w:tcPr>
            <w:tcW w:w="2838" w:type="dxa"/>
            <w:tcBorders>
              <w:top w:val="single" w:color="000000" w:sz="4" w:space="0"/>
              <w:left w:val="single" w:color="000000" w:sz="4" w:space="0"/>
              <w:bottom w:val="single" w:color="000000" w:sz="4" w:space="0"/>
              <w:right w:val="single" w:color="000000" w:sz="4" w:space="0"/>
            </w:tcBorders>
          </w:tcPr>
          <w:p w14:paraId="2A491CBA">
            <w:pPr>
              <w:pStyle w:val="490"/>
              <w:kinsoku w:val="0"/>
              <w:overflowPunct w:val="0"/>
              <w:spacing w:before="71" w:line="259" w:lineRule="exact"/>
              <w:ind w:left="156"/>
              <w:rPr>
                <w:rFonts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签约合同价格（扣暂列金、暂估价及甲供材）的</w:t>
            </w:r>
            <w:r>
              <w:rPr>
                <w:rFonts w:hint="eastAsia" w:asciiTheme="minorEastAsia" w:hAnsiTheme="minorEastAsia" w:eastAsiaTheme="minorEastAsia" w:cstheme="minorEastAsia"/>
                <w:color w:val="auto"/>
                <w:spacing w:val="-1"/>
                <w:sz w:val="21"/>
                <w:szCs w:val="21"/>
                <w:highlight w:val="none"/>
                <w:lang w:val="en-US"/>
              </w:rPr>
              <w:t>1</w:t>
            </w:r>
            <w:r>
              <w:rPr>
                <w:rFonts w:hint="eastAsia" w:asciiTheme="minorEastAsia" w:hAnsiTheme="minorEastAsia" w:eastAsiaTheme="minorEastAsia" w:cstheme="minorEastAsia"/>
                <w:color w:val="auto"/>
                <w:spacing w:val="-1"/>
                <w:sz w:val="21"/>
                <w:szCs w:val="21"/>
                <w:highlight w:val="none"/>
              </w:rPr>
              <w:t>‰/日</w:t>
            </w:r>
          </w:p>
        </w:tc>
        <w:tc>
          <w:tcPr>
            <w:tcW w:w="1673" w:type="dxa"/>
            <w:tcBorders>
              <w:top w:val="single" w:color="000000" w:sz="4" w:space="0"/>
              <w:left w:val="single" w:color="000000" w:sz="4" w:space="0"/>
              <w:bottom w:val="single" w:color="000000" w:sz="4" w:space="0"/>
              <w:right w:val="single" w:color="000000" w:sz="4" w:space="0"/>
            </w:tcBorders>
          </w:tcPr>
          <w:p w14:paraId="51DFCD48">
            <w:pPr>
              <w:pStyle w:val="490"/>
              <w:kinsoku w:val="0"/>
              <w:overflowPunct w:val="0"/>
              <w:rPr>
                <w:rFonts w:asciiTheme="minorEastAsia" w:hAnsiTheme="minorEastAsia" w:eastAsiaTheme="minorEastAsia" w:cstheme="minorEastAsia"/>
                <w:color w:val="auto"/>
                <w:sz w:val="21"/>
                <w:szCs w:val="21"/>
                <w:highlight w:val="none"/>
              </w:rPr>
            </w:pPr>
          </w:p>
        </w:tc>
      </w:tr>
      <w:tr w14:paraId="60DE65D2">
        <w:tblPrEx>
          <w:tblCellMar>
            <w:top w:w="0" w:type="dxa"/>
            <w:left w:w="0" w:type="dxa"/>
            <w:bottom w:w="0" w:type="dxa"/>
            <w:right w:w="0" w:type="dxa"/>
          </w:tblCellMar>
        </w:tblPrEx>
        <w:trPr>
          <w:trHeight w:val="775" w:hRule="atLeast"/>
        </w:trPr>
        <w:tc>
          <w:tcPr>
            <w:tcW w:w="994" w:type="dxa"/>
            <w:tcBorders>
              <w:top w:val="single" w:color="000000" w:sz="4" w:space="0"/>
              <w:left w:val="single" w:color="000000" w:sz="4" w:space="0"/>
              <w:bottom w:val="single" w:color="000000" w:sz="4" w:space="0"/>
              <w:right w:val="single" w:color="000000" w:sz="4" w:space="0"/>
            </w:tcBorders>
          </w:tcPr>
          <w:p w14:paraId="6CC40085">
            <w:pPr>
              <w:pStyle w:val="490"/>
              <w:kinsoku w:val="0"/>
              <w:overflowPunct w:val="0"/>
              <w:rPr>
                <w:rFonts w:asciiTheme="minorEastAsia" w:hAnsiTheme="minorEastAsia" w:eastAsiaTheme="minorEastAsia" w:cstheme="minorEastAsia"/>
                <w:color w:val="auto"/>
                <w:sz w:val="21"/>
                <w:szCs w:val="21"/>
                <w:highlight w:val="none"/>
              </w:rPr>
            </w:pPr>
          </w:p>
          <w:p w14:paraId="3654DD5C">
            <w:pPr>
              <w:pStyle w:val="490"/>
              <w:kinsoku w:val="0"/>
              <w:overflowPunct w:val="0"/>
              <w:spacing w:before="6"/>
              <w:rPr>
                <w:rFonts w:asciiTheme="minorEastAsia" w:hAnsiTheme="minorEastAsia" w:eastAsiaTheme="minorEastAsia" w:cstheme="minorEastAsia"/>
                <w:color w:val="auto"/>
                <w:sz w:val="21"/>
                <w:szCs w:val="21"/>
                <w:highlight w:val="none"/>
              </w:rPr>
            </w:pPr>
          </w:p>
          <w:p w14:paraId="70BCF3C0">
            <w:pPr>
              <w:pStyle w:val="490"/>
              <w:kinsoku w:val="0"/>
              <w:overflowPunct w:val="0"/>
              <w:ind w:left="4"/>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1986" w:type="dxa"/>
            <w:tcBorders>
              <w:top w:val="single" w:color="000000" w:sz="4" w:space="0"/>
              <w:left w:val="single" w:color="000000" w:sz="4" w:space="0"/>
              <w:bottom w:val="single" w:color="000000" w:sz="4" w:space="0"/>
              <w:right w:val="single" w:color="000000" w:sz="4" w:space="0"/>
            </w:tcBorders>
          </w:tcPr>
          <w:p w14:paraId="1BE00B15">
            <w:pPr>
              <w:pStyle w:val="490"/>
              <w:kinsoku w:val="0"/>
              <w:overflowPunct w:val="0"/>
              <w:spacing w:before="145" w:line="302" w:lineRule="auto"/>
              <w:ind w:right="140"/>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
                <w:sz w:val="21"/>
                <w:szCs w:val="21"/>
                <w:highlight w:val="none"/>
              </w:rPr>
              <w:t>逾期竣工违约金最</w:t>
            </w:r>
            <w:r>
              <w:rPr>
                <w:rFonts w:hint="eastAsia" w:asciiTheme="minorEastAsia" w:hAnsiTheme="minorEastAsia" w:eastAsiaTheme="minorEastAsia" w:cstheme="minorEastAsia"/>
                <w:color w:val="auto"/>
                <w:sz w:val="21"/>
                <w:szCs w:val="21"/>
                <w:highlight w:val="none"/>
              </w:rPr>
              <w:t>高限额</w:t>
            </w:r>
          </w:p>
        </w:tc>
        <w:tc>
          <w:tcPr>
            <w:tcW w:w="1443" w:type="dxa"/>
            <w:tcBorders>
              <w:top w:val="single" w:color="000000" w:sz="4" w:space="0"/>
              <w:left w:val="single" w:color="000000" w:sz="4" w:space="0"/>
              <w:bottom w:val="single" w:color="000000" w:sz="4" w:space="0"/>
              <w:right w:val="single" w:color="000000" w:sz="4" w:space="0"/>
            </w:tcBorders>
            <w:vAlign w:val="center"/>
          </w:tcPr>
          <w:p w14:paraId="7D15E1B1">
            <w:pPr>
              <w:pStyle w:val="490"/>
              <w:kinsoku w:val="0"/>
              <w:overflowPunct w:val="0"/>
              <w:ind w:right="166"/>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专用条款</w:t>
            </w:r>
          </w:p>
        </w:tc>
        <w:tc>
          <w:tcPr>
            <w:tcW w:w="2838" w:type="dxa"/>
            <w:tcBorders>
              <w:top w:val="single" w:color="000000" w:sz="4" w:space="0"/>
              <w:left w:val="single" w:color="000000" w:sz="4" w:space="0"/>
              <w:bottom w:val="single" w:color="000000" w:sz="4" w:space="0"/>
              <w:right w:val="single" w:color="000000" w:sz="4" w:space="0"/>
            </w:tcBorders>
            <w:vAlign w:val="center"/>
          </w:tcPr>
          <w:p w14:paraId="4B8044ED">
            <w:pPr>
              <w:jc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签约合同价格（扣暂列金、暂估价及甲供材）的5%</w:t>
            </w:r>
          </w:p>
        </w:tc>
        <w:tc>
          <w:tcPr>
            <w:tcW w:w="1673" w:type="dxa"/>
            <w:tcBorders>
              <w:top w:val="single" w:color="000000" w:sz="4" w:space="0"/>
              <w:left w:val="single" w:color="000000" w:sz="4" w:space="0"/>
              <w:bottom w:val="single" w:color="000000" w:sz="4" w:space="0"/>
              <w:right w:val="single" w:color="000000" w:sz="4" w:space="0"/>
            </w:tcBorders>
          </w:tcPr>
          <w:p w14:paraId="12E11B3B">
            <w:pPr>
              <w:pStyle w:val="490"/>
              <w:kinsoku w:val="0"/>
              <w:overflowPunct w:val="0"/>
              <w:rPr>
                <w:rFonts w:asciiTheme="minorEastAsia" w:hAnsiTheme="minorEastAsia" w:eastAsiaTheme="minorEastAsia" w:cstheme="minorEastAsia"/>
                <w:color w:val="auto"/>
                <w:sz w:val="21"/>
                <w:szCs w:val="21"/>
                <w:highlight w:val="none"/>
              </w:rPr>
            </w:pPr>
          </w:p>
        </w:tc>
      </w:tr>
      <w:tr w14:paraId="1E87788F">
        <w:tblPrEx>
          <w:tblCellMar>
            <w:top w:w="0" w:type="dxa"/>
            <w:left w:w="0" w:type="dxa"/>
            <w:bottom w:w="0" w:type="dxa"/>
            <w:right w:w="0" w:type="dxa"/>
          </w:tblCellMar>
        </w:tblPrEx>
        <w:trPr>
          <w:trHeight w:val="566" w:hRule="atLeast"/>
        </w:trPr>
        <w:tc>
          <w:tcPr>
            <w:tcW w:w="994" w:type="dxa"/>
            <w:tcBorders>
              <w:top w:val="single" w:color="000000" w:sz="4" w:space="0"/>
              <w:left w:val="single" w:color="000000" w:sz="4" w:space="0"/>
              <w:bottom w:val="single" w:color="000000" w:sz="4" w:space="0"/>
              <w:right w:val="single" w:color="000000" w:sz="4" w:space="0"/>
            </w:tcBorders>
          </w:tcPr>
          <w:p w14:paraId="4EF51CC1">
            <w:pPr>
              <w:pStyle w:val="490"/>
              <w:kinsoku w:val="0"/>
              <w:overflowPunct w:val="0"/>
              <w:spacing w:before="174"/>
              <w:ind w:left="209" w:right="205"/>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w:t>
            </w:r>
          </w:p>
        </w:tc>
        <w:tc>
          <w:tcPr>
            <w:tcW w:w="1986" w:type="dxa"/>
            <w:tcBorders>
              <w:top w:val="single" w:color="000000" w:sz="4" w:space="0"/>
              <w:left w:val="single" w:color="000000" w:sz="4" w:space="0"/>
              <w:bottom w:val="single" w:color="000000" w:sz="4" w:space="0"/>
              <w:right w:val="single" w:color="000000" w:sz="4" w:space="0"/>
            </w:tcBorders>
          </w:tcPr>
          <w:p w14:paraId="2C5CEE6F">
            <w:pPr>
              <w:pStyle w:val="490"/>
              <w:kinsoku w:val="0"/>
              <w:overflowPunct w:val="0"/>
              <w:spacing w:before="174"/>
              <w:ind w:left="131" w:right="124"/>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质量标准</w:t>
            </w:r>
          </w:p>
        </w:tc>
        <w:tc>
          <w:tcPr>
            <w:tcW w:w="1443" w:type="dxa"/>
            <w:tcBorders>
              <w:top w:val="single" w:color="000000" w:sz="4" w:space="0"/>
              <w:left w:val="single" w:color="000000" w:sz="4" w:space="0"/>
              <w:bottom w:val="single" w:color="000000" w:sz="4" w:space="0"/>
              <w:right w:val="single" w:color="000000" w:sz="4" w:space="0"/>
            </w:tcBorders>
          </w:tcPr>
          <w:p w14:paraId="0433D565">
            <w:pPr>
              <w:pStyle w:val="490"/>
              <w:kinsoku w:val="0"/>
              <w:overflowPunct w:val="0"/>
              <w:spacing w:before="174"/>
              <w:ind w:left="177" w:right="166"/>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专用条款</w:t>
            </w:r>
          </w:p>
        </w:tc>
        <w:tc>
          <w:tcPr>
            <w:tcW w:w="2838" w:type="dxa"/>
            <w:tcBorders>
              <w:top w:val="single" w:color="000000" w:sz="4" w:space="0"/>
              <w:left w:val="single" w:color="000000" w:sz="4" w:space="0"/>
              <w:bottom w:val="single" w:color="000000" w:sz="4" w:space="0"/>
              <w:right w:val="single" w:color="000000" w:sz="4" w:space="0"/>
            </w:tcBorders>
            <w:vAlign w:val="center"/>
          </w:tcPr>
          <w:p w14:paraId="538E3897">
            <w:pPr>
              <w:pStyle w:val="490"/>
              <w:kinsoku w:val="0"/>
              <w:overflowPunct w:val="0"/>
              <w:ind w:left="953" w:right="943"/>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合格</w:t>
            </w:r>
          </w:p>
        </w:tc>
        <w:tc>
          <w:tcPr>
            <w:tcW w:w="1673" w:type="dxa"/>
            <w:tcBorders>
              <w:top w:val="single" w:color="000000" w:sz="4" w:space="0"/>
              <w:left w:val="single" w:color="000000" w:sz="4" w:space="0"/>
              <w:bottom w:val="single" w:color="000000" w:sz="4" w:space="0"/>
              <w:right w:val="single" w:color="000000" w:sz="4" w:space="0"/>
            </w:tcBorders>
          </w:tcPr>
          <w:p w14:paraId="121DDBD7">
            <w:pPr>
              <w:pStyle w:val="490"/>
              <w:kinsoku w:val="0"/>
              <w:overflowPunct w:val="0"/>
              <w:rPr>
                <w:rFonts w:asciiTheme="minorEastAsia" w:hAnsiTheme="minorEastAsia" w:eastAsiaTheme="minorEastAsia" w:cstheme="minorEastAsia"/>
                <w:color w:val="auto"/>
                <w:sz w:val="21"/>
                <w:szCs w:val="21"/>
                <w:highlight w:val="none"/>
              </w:rPr>
            </w:pPr>
          </w:p>
        </w:tc>
      </w:tr>
      <w:tr w14:paraId="2ADFCCB4">
        <w:tblPrEx>
          <w:tblCellMar>
            <w:top w:w="0" w:type="dxa"/>
            <w:left w:w="0" w:type="dxa"/>
            <w:bottom w:w="0" w:type="dxa"/>
            <w:right w:w="0" w:type="dxa"/>
          </w:tblCellMar>
        </w:tblPrEx>
        <w:trPr>
          <w:trHeight w:val="660" w:hRule="atLeast"/>
        </w:trPr>
        <w:tc>
          <w:tcPr>
            <w:tcW w:w="994" w:type="dxa"/>
            <w:tcBorders>
              <w:top w:val="single" w:color="000000" w:sz="4" w:space="0"/>
              <w:left w:val="single" w:color="000000" w:sz="4" w:space="0"/>
              <w:bottom w:val="single" w:color="000000" w:sz="4" w:space="0"/>
              <w:right w:val="single" w:color="000000" w:sz="4" w:space="0"/>
            </w:tcBorders>
          </w:tcPr>
          <w:p w14:paraId="4E28DB4B">
            <w:pPr>
              <w:pStyle w:val="490"/>
              <w:kinsoku w:val="0"/>
              <w:overflowPunct w:val="0"/>
              <w:spacing w:before="174"/>
              <w:ind w:left="209" w:right="205"/>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w:t>
            </w:r>
          </w:p>
        </w:tc>
        <w:tc>
          <w:tcPr>
            <w:tcW w:w="1986" w:type="dxa"/>
            <w:tcBorders>
              <w:top w:val="single" w:color="000000" w:sz="4" w:space="0"/>
              <w:left w:val="single" w:color="000000" w:sz="4" w:space="0"/>
              <w:bottom w:val="single" w:color="000000" w:sz="4" w:space="0"/>
              <w:right w:val="single" w:color="000000" w:sz="4" w:space="0"/>
            </w:tcBorders>
          </w:tcPr>
          <w:p w14:paraId="1071A1D1">
            <w:pPr>
              <w:pStyle w:val="490"/>
              <w:kinsoku w:val="0"/>
              <w:overflowPunct w:val="0"/>
              <w:spacing w:before="174"/>
              <w:ind w:left="131" w:right="124"/>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预付款额度</w:t>
            </w:r>
          </w:p>
        </w:tc>
        <w:tc>
          <w:tcPr>
            <w:tcW w:w="1443" w:type="dxa"/>
            <w:tcBorders>
              <w:top w:val="single" w:color="000000" w:sz="4" w:space="0"/>
              <w:left w:val="single" w:color="000000" w:sz="4" w:space="0"/>
              <w:bottom w:val="single" w:color="000000" w:sz="4" w:space="0"/>
              <w:right w:val="single" w:color="000000" w:sz="4" w:space="0"/>
            </w:tcBorders>
          </w:tcPr>
          <w:p w14:paraId="72599308">
            <w:pPr>
              <w:pStyle w:val="490"/>
              <w:kinsoku w:val="0"/>
              <w:overflowPunct w:val="0"/>
              <w:spacing w:before="174"/>
              <w:ind w:left="177" w:right="166"/>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专用条款</w:t>
            </w:r>
          </w:p>
        </w:tc>
        <w:tc>
          <w:tcPr>
            <w:tcW w:w="2838" w:type="dxa"/>
            <w:tcBorders>
              <w:top w:val="single" w:color="000000" w:sz="4" w:space="0"/>
              <w:left w:val="single" w:color="000000" w:sz="4" w:space="0"/>
              <w:bottom w:val="single" w:color="000000" w:sz="4" w:space="0"/>
              <w:right w:val="single" w:color="000000" w:sz="4" w:space="0"/>
            </w:tcBorders>
            <w:vAlign w:val="center"/>
          </w:tcPr>
          <w:p w14:paraId="716A9E60">
            <w:pPr>
              <w:pStyle w:val="490"/>
              <w:kinsoku w:val="0"/>
              <w:overflowPunct w:val="0"/>
              <w:ind w:left="130"/>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7"/>
                <w:sz w:val="21"/>
                <w:szCs w:val="21"/>
                <w:highlight w:val="none"/>
              </w:rPr>
              <w:t>预付款为合同价格（扣暂列金、暂估价及甲供材）的30%</w:t>
            </w:r>
          </w:p>
        </w:tc>
        <w:tc>
          <w:tcPr>
            <w:tcW w:w="1673" w:type="dxa"/>
            <w:tcBorders>
              <w:top w:val="single" w:color="000000" w:sz="4" w:space="0"/>
              <w:left w:val="single" w:color="000000" w:sz="4" w:space="0"/>
              <w:bottom w:val="single" w:color="000000" w:sz="4" w:space="0"/>
              <w:right w:val="single" w:color="000000" w:sz="4" w:space="0"/>
            </w:tcBorders>
          </w:tcPr>
          <w:p w14:paraId="224ACE79">
            <w:pPr>
              <w:pStyle w:val="490"/>
              <w:kinsoku w:val="0"/>
              <w:overflowPunct w:val="0"/>
              <w:rPr>
                <w:rFonts w:asciiTheme="minorEastAsia" w:hAnsiTheme="minorEastAsia" w:eastAsiaTheme="minorEastAsia" w:cstheme="minorEastAsia"/>
                <w:color w:val="auto"/>
                <w:sz w:val="21"/>
                <w:szCs w:val="21"/>
                <w:highlight w:val="none"/>
              </w:rPr>
            </w:pPr>
          </w:p>
        </w:tc>
      </w:tr>
      <w:tr w14:paraId="139D3AAB">
        <w:tblPrEx>
          <w:tblCellMar>
            <w:top w:w="0" w:type="dxa"/>
            <w:left w:w="0" w:type="dxa"/>
            <w:bottom w:w="0" w:type="dxa"/>
            <w:right w:w="0" w:type="dxa"/>
          </w:tblCellMar>
        </w:tblPrEx>
        <w:trPr>
          <w:trHeight w:val="568" w:hRule="atLeast"/>
        </w:trPr>
        <w:tc>
          <w:tcPr>
            <w:tcW w:w="994" w:type="dxa"/>
            <w:tcBorders>
              <w:top w:val="single" w:color="000000" w:sz="4" w:space="0"/>
              <w:left w:val="single" w:color="000000" w:sz="4" w:space="0"/>
              <w:bottom w:val="single" w:color="000000" w:sz="4" w:space="0"/>
              <w:right w:val="single" w:color="000000" w:sz="4" w:space="0"/>
            </w:tcBorders>
          </w:tcPr>
          <w:p w14:paraId="66BCD993">
            <w:pPr>
              <w:pStyle w:val="490"/>
              <w:kinsoku w:val="0"/>
              <w:overflowPunct w:val="0"/>
              <w:spacing w:before="176"/>
              <w:ind w:left="209" w:right="205"/>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w:t>
            </w:r>
          </w:p>
        </w:tc>
        <w:tc>
          <w:tcPr>
            <w:tcW w:w="1986" w:type="dxa"/>
            <w:tcBorders>
              <w:top w:val="single" w:color="000000" w:sz="4" w:space="0"/>
              <w:left w:val="single" w:color="000000" w:sz="4" w:space="0"/>
              <w:bottom w:val="single" w:color="000000" w:sz="4" w:space="0"/>
              <w:right w:val="single" w:color="000000" w:sz="4" w:space="0"/>
            </w:tcBorders>
          </w:tcPr>
          <w:p w14:paraId="75F3C17A">
            <w:pPr>
              <w:pStyle w:val="490"/>
              <w:kinsoku w:val="0"/>
              <w:overflowPunct w:val="0"/>
              <w:spacing w:before="176"/>
              <w:ind w:left="131" w:right="122"/>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预付款保函金额</w:t>
            </w:r>
          </w:p>
        </w:tc>
        <w:tc>
          <w:tcPr>
            <w:tcW w:w="1443" w:type="dxa"/>
            <w:tcBorders>
              <w:top w:val="single" w:color="000000" w:sz="4" w:space="0"/>
              <w:left w:val="single" w:color="000000" w:sz="4" w:space="0"/>
              <w:bottom w:val="single" w:color="000000" w:sz="4" w:space="0"/>
              <w:right w:val="single" w:color="000000" w:sz="4" w:space="0"/>
            </w:tcBorders>
          </w:tcPr>
          <w:p w14:paraId="235266CC">
            <w:pPr>
              <w:pStyle w:val="490"/>
              <w:kinsoku w:val="0"/>
              <w:overflowPunct w:val="0"/>
              <w:spacing w:before="176"/>
              <w:ind w:left="177" w:right="166"/>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专用条款</w:t>
            </w:r>
          </w:p>
        </w:tc>
        <w:tc>
          <w:tcPr>
            <w:tcW w:w="2838" w:type="dxa"/>
            <w:tcBorders>
              <w:top w:val="single" w:color="000000" w:sz="4" w:space="0"/>
              <w:left w:val="single" w:color="000000" w:sz="4" w:space="0"/>
              <w:bottom w:val="single" w:color="000000" w:sz="4" w:space="0"/>
              <w:right w:val="single" w:color="000000" w:sz="4" w:space="0"/>
            </w:tcBorders>
          </w:tcPr>
          <w:p w14:paraId="2B3E7528">
            <w:pPr>
              <w:pStyle w:val="490"/>
              <w:kinsoku w:val="0"/>
              <w:overflowPunct w:val="0"/>
              <w:rPr>
                <w:rFonts w:asciiTheme="minorEastAsia" w:hAnsiTheme="minorEastAsia" w:eastAsiaTheme="minorEastAsia" w:cstheme="minorEastAsia"/>
                <w:color w:val="auto"/>
                <w:sz w:val="21"/>
                <w:szCs w:val="21"/>
                <w:highlight w:val="none"/>
              </w:rPr>
            </w:pPr>
          </w:p>
        </w:tc>
        <w:tc>
          <w:tcPr>
            <w:tcW w:w="1673" w:type="dxa"/>
            <w:tcBorders>
              <w:top w:val="single" w:color="000000" w:sz="4" w:space="0"/>
              <w:left w:val="single" w:color="000000" w:sz="4" w:space="0"/>
              <w:bottom w:val="single" w:color="000000" w:sz="4" w:space="0"/>
              <w:right w:val="single" w:color="000000" w:sz="4" w:space="0"/>
            </w:tcBorders>
          </w:tcPr>
          <w:p w14:paraId="1621393B">
            <w:pPr>
              <w:pStyle w:val="490"/>
              <w:kinsoku w:val="0"/>
              <w:overflowPunct w:val="0"/>
              <w:rPr>
                <w:rFonts w:asciiTheme="minorEastAsia" w:hAnsiTheme="minorEastAsia" w:eastAsiaTheme="minorEastAsia" w:cstheme="minorEastAsia"/>
                <w:color w:val="auto"/>
                <w:sz w:val="21"/>
                <w:szCs w:val="21"/>
                <w:highlight w:val="none"/>
              </w:rPr>
            </w:pPr>
          </w:p>
        </w:tc>
      </w:tr>
      <w:tr w14:paraId="127C0B31">
        <w:tblPrEx>
          <w:tblCellMar>
            <w:top w:w="0" w:type="dxa"/>
            <w:left w:w="0" w:type="dxa"/>
            <w:bottom w:w="0" w:type="dxa"/>
            <w:right w:w="0" w:type="dxa"/>
          </w:tblCellMar>
        </w:tblPrEx>
        <w:trPr>
          <w:trHeight w:val="565" w:hRule="atLeast"/>
        </w:trPr>
        <w:tc>
          <w:tcPr>
            <w:tcW w:w="994" w:type="dxa"/>
            <w:tcBorders>
              <w:top w:val="single" w:color="000000" w:sz="4" w:space="0"/>
              <w:left w:val="single" w:color="000000" w:sz="4" w:space="0"/>
              <w:bottom w:val="single" w:color="000000" w:sz="4" w:space="0"/>
              <w:right w:val="single" w:color="000000" w:sz="4" w:space="0"/>
            </w:tcBorders>
          </w:tcPr>
          <w:p w14:paraId="11E0685F">
            <w:pPr>
              <w:pStyle w:val="490"/>
              <w:kinsoku w:val="0"/>
              <w:overflowPunct w:val="0"/>
              <w:spacing w:before="174"/>
              <w:ind w:left="209" w:right="205"/>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w:t>
            </w:r>
          </w:p>
        </w:tc>
        <w:tc>
          <w:tcPr>
            <w:tcW w:w="1986" w:type="dxa"/>
            <w:tcBorders>
              <w:top w:val="single" w:color="000000" w:sz="4" w:space="0"/>
              <w:left w:val="single" w:color="000000" w:sz="4" w:space="0"/>
              <w:bottom w:val="single" w:color="000000" w:sz="4" w:space="0"/>
              <w:right w:val="single" w:color="000000" w:sz="4" w:space="0"/>
            </w:tcBorders>
          </w:tcPr>
          <w:p w14:paraId="6910CB77">
            <w:pPr>
              <w:pStyle w:val="490"/>
              <w:kinsoku w:val="0"/>
              <w:overflowPunct w:val="0"/>
              <w:spacing w:before="174"/>
              <w:ind w:left="131" w:right="122"/>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质量保证金额度</w:t>
            </w:r>
          </w:p>
        </w:tc>
        <w:tc>
          <w:tcPr>
            <w:tcW w:w="1443" w:type="dxa"/>
            <w:tcBorders>
              <w:top w:val="single" w:color="000000" w:sz="4" w:space="0"/>
              <w:left w:val="single" w:color="000000" w:sz="4" w:space="0"/>
              <w:bottom w:val="single" w:color="000000" w:sz="4" w:space="0"/>
              <w:right w:val="single" w:color="000000" w:sz="4" w:space="0"/>
            </w:tcBorders>
          </w:tcPr>
          <w:p w14:paraId="445A94F5">
            <w:pPr>
              <w:pStyle w:val="490"/>
              <w:kinsoku w:val="0"/>
              <w:overflowPunct w:val="0"/>
              <w:spacing w:before="174"/>
              <w:ind w:left="177" w:right="166"/>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专用条款</w:t>
            </w:r>
          </w:p>
        </w:tc>
        <w:tc>
          <w:tcPr>
            <w:tcW w:w="2838" w:type="dxa"/>
            <w:tcBorders>
              <w:top w:val="single" w:color="000000" w:sz="4" w:space="0"/>
              <w:left w:val="single" w:color="000000" w:sz="4" w:space="0"/>
              <w:bottom w:val="single" w:color="000000" w:sz="4" w:space="0"/>
              <w:right w:val="single" w:color="000000" w:sz="4" w:space="0"/>
            </w:tcBorders>
          </w:tcPr>
          <w:p w14:paraId="62115717">
            <w:pPr>
              <w:pStyle w:val="490"/>
              <w:kinsoku w:val="0"/>
              <w:overflowPunct w:val="0"/>
              <w:spacing w:before="174"/>
              <w:ind w:left="220"/>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12"/>
                <w:sz w:val="21"/>
                <w:szCs w:val="21"/>
                <w:highlight w:val="none"/>
              </w:rPr>
              <w:t xml:space="preserve">结算款的 </w:t>
            </w:r>
            <w:r>
              <w:rPr>
                <w:rFonts w:hint="eastAsia" w:asciiTheme="minorEastAsia" w:hAnsiTheme="minorEastAsia" w:eastAsiaTheme="minorEastAsia" w:cstheme="minorEastAsia"/>
                <w:color w:val="auto"/>
                <w:sz w:val="21"/>
                <w:szCs w:val="21"/>
                <w:highlight w:val="none"/>
                <w:lang w:val="en-US"/>
              </w:rPr>
              <w:t>3</w:t>
            </w:r>
            <w:r>
              <w:rPr>
                <w:rFonts w:hint="eastAsia" w:asciiTheme="minorEastAsia" w:hAnsiTheme="minorEastAsia" w:eastAsiaTheme="minorEastAsia" w:cstheme="minorEastAsia"/>
                <w:color w:val="auto"/>
                <w:sz w:val="21"/>
                <w:szCs w:val="21"/>
                <w:highlight w:val="none"/>
              </w:rPr>
              <w:t>%</w:t>
            </w:r>
          </w:p>
        </w:tc>
        <w:tc>
          <w:tcPr>
            <w:tcW w:w="1673" w:type="dxa"/>
            <w:tcBorders>
              <w:top w:val="single" w:color="000000" w:sz="4" w:space="0"/>
              <w:left w:val="single" w:color="000000" w:sz="4" w:space="0"/>
              <w:bottom w:val="single" w:color="000000" w:sz="4" w:space="0"/>
              <w:right w:val="single" w:color="000000" w:sz="4" w:space="0"/>
            </w:tcBorders>
          </w:tcPr>
          <w:p w14:paraId="4E46F043">
            <w:pPr>
              <w:pStyle w:val="490"/>
              <w:kinsoku w:val="0"/>
              <w:overflowPunct w:val="0"/>
              <w:rPr>
                <w:rFonts w:asciiTheme="minorEastAsia" w:hAnsiTheme="minorEastAsia" w:eastAsiaTheme="minorEastAsia" w:cstheme="minorEastAsia"/>
                <w:color w:val="auto"/>
                <w:sz w:val="21"/>
                <w:szCs w:val="21"/>
                <w:highlight w:val="none"/>
              </w:rPr>
            </w:pPr>
          </w:p>
        </w:tc>
      </w:tr>
      <w:tr w14:paraId="6E04B825">
        <w:tblPrEx>
          <w:tblCellMar>
            <w:top w:w="0" w:type="dxa"/>
            <w:left w:w="0" w:type="dxa"/>
            <w:bottom w:w="0" w:type="dxa"/>
            <w:right w:w="0" w:type="dxa"/>
          </w:tblCellMar>
        </w:tblPrEx>
        <w:trPr>
          <w:trHeight w:val="695" w:hRule="atLeast"/>
        </w:trPr>
        <w:tc>
          <w:tcPr>
            <w:tcW w:w="994" w:type="dxa"/>
            <w:tcBorders>
              <w:top w:val="single" w:color="000000" w:sz="4" w:space="0"/>
              <w:left w:val="single" w:color="000000" w:sz="4" w:space="0"/>
              <w:bottom w:val="single" w:color="000000" w:sz="4" w:space="0"/>
              <w:right w:val="single" w:color="000000" w:sz="4" w:space="0"/>
            </w:tcBorders>
          </w:tcPr>
          <w:p w14:paraId="3BC609E7">
            <w:pPr>
              <w:pStyle w:val="490"/>
              <w:kinsoku w:val="0"/>
              <w:overflowPunct w:val="0"/>
              <w:spacing w:before="146"/>
              <w:ind w:right="205"/>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w:t>
            </w:r>
          </w:p>
        </w:tc>
        <w:tc>
          <w:tcPr>
            <w:tcW w:w="1986" w:type="dxa"/>
            <w:tcBorders>
              <w:top w:val="single" w:color="000000" w:sz="4" w:space="0"/>
              <w:left w:val="single" w:color="000000" w:sz="4" w:space="0"/>
              <w:bottom w:val="single" w:color="000000" w:sz="4" w:space="0"/>
              <w:right w:val="single" w:color="000000" w:sz="4" w:space="0"/>
            </w:tcBorders>
            <w:vAlign w:val="center"/>
          </w:tcPr>
          <w:p w14:paraId="3776B81D">
            <w:pPr>
              <w:pStyle w:val="490"/>
              <w:kinsoku w:val="0"/>
              <w:overflowPunct w:val="0"/>
              <w:ind w:right="193"/>
              <w:jc w:val="center"/>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pacing w:val="-4"/>
                <w:sz w:val="21"/>
                <w:szCs w:val="21"/>
                <w:highlight w:val="none"/>
              </w:rPr>
              <w:t>第</w:t>
            </w:r>
            <w:r>
              <w:rPr>
                <w:rFonts w:hint="eastAsia" w:asciiTheme="minorEastAsia" w:hAnsiTheme="minorEastAsia" w:eastAsiaTheme="minorEastAsia" w:cstheme="minorEastAsia"/>
                <w:color w:val="auto"/>
                <w:spacing w:val="-4"/>
                <w:sz w:val="21"/>
                <w:szCs w:val="21"/>
                <w:highlight w:val="none"/>
                <w:lang w:val="en-US"/>
              </w:rPr>
              <w:t>二</w:t>
            </w:r>
            <w:r>
              <w:rPr>
                <w:rFonts w:hint="eastAsia" w:asciiTheme="minorEastAsia" w:hAnsiTheme="minorEastAsia" w:eastAsiaTheme="minorEastAsia" w:cstheme="minorEastAsia"/>
                <w:color w:val="auto"/>
                <w:spacing w:val="-4"/>
                <w:sz w:val="21"/>
                <w:szCs w:val="21"/>
                <w:highlight w:val="none"/>
              </w:rPr>
              <w:t xml:space="preserve">章 </w:t>
            </w:r>
            <w:r>
              <w:rPr>
                <w:rFonts w:hint="eastAsia" w:asciiTheme="minorEastAsia" w:hAnsiTheme="minorEastAsia" w:eastAsiaTheme="minorEastAsia" w:cstheme="minorEastAsia"/>
                <w:color w:val="auto"/>
                <w:spacing w:val="-4"/>
                <w:sz w:val="21"/>
                <w:szCs w:val="21"/>
                <w:highlight w:val="none"/>
                <w:lang w:val="en-US"/>
              </w:rPr>
              <w:t>采购需求</w:t>
            </w:r>
          </w:p>
        </w:tc>
        <w:tc>
          <w:tcPr>
            <w:tcW w:w="1443" w:type="dxa"/>
            <w:tcBorders>
              <w:top w:val="single" w:color="000000" w:sz="4" w:space="0"/>
              <w:left w:val="single" w:color="000000" w:sz="4" w:space="0"/>
              <w:bottom w:val="single" w:color="000000" w:sz="4" w:space="0"/>
              <w:right w:val="single" w:color="000000" w:sz="4" w:space="0"/>
            </w:tcBorders>
            <w:vAlign w:val="center"/>
          </w:tcPr>
          <w:p w14:paraId="6081F82A">
            <w:pPr>
              <w:pStyle w:val="490"/>
              <w:kinsoku w:val="0"/>
              <w:overflowPunct w:val="0"/>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w:t>
            </w:r>
          </w:p>
        </w:tc>
        <w:tc>
          <w:tcPr>
            <w:tcW w:w="2838" w:type="dxa"/>
            <w:tcBorders>
              <w:top w:val="single" w:color="000000" w:sz="4" w:space="0"/>
              <w:left w:val="single" w:color="000000" w:sz="4" w:space="0"/>
              <w:bottom w:val="single" w:color="000000" w:sz="4" w:space="0"/>
              <w:right w:val="single" w:color="000000" w:sz="4" w:space="0"/>
            </w:tcBorders>
            <w:vAlign w:val="center"/>
          </w:tcPr>
          <w:p w14:paraId="751A55F8">
            <w:pPr>
              <w:pStyle w:val="490"/>
              <w:kinsoku w:val="0"/>
              <w:overflowPunct w:val="0"/>
              <w:jc w:val="center"/>
              <w:rPr>
                <w:rFonts w:asciiTheme="minorEastAsia" w:hAnsiTheme="minorEastAsia" w:eastAsiaTheme="minorEastAsia" w:cstheme="minorEastAsia"/>
                <w:color w:val="auto"/>
                <w:spacing w:val="-1"/>
                <w:sz w:val="21"/>
                <w:szCs w:val="21"/>
                <w:highlight w:val="none"/>
              </w:rPr>
            </w:pPr>
            <w:r>
              <w:rPr>
                <w:rFonts w:hint="eastAsia" w:asciiTheme="minorEastAsia" w:hAnsiTheme="minorEastAsia" w:eastAsiaTheme="minorEastAsia" w:cstheme="minorEastAsia"/>
                <w:color w:val="auto"/>
                <w:spacing w:val="-1"/>
                <w:sz w:val="21"/>
                <w:szCs w:val="21"/>
                <w:highlight w:val="none"/>
              </w:rPr>
              <w:t>第</w:t>
            </w:r>
            <w:r>
              <w:rPr>
                <w:rFonts w:hint="eastAsia" w:asciiTheme="minorEastAsia" w:hAnsiTheme="minorEastAsia" w:eastAsiaTheme="minorEastAsia" w:cstheme="minorEastAsia"/>
                <w:color w:val="auto"/>
                <w:spacing w:val="-1"/>
                <w:sz w:val="21"/>
                <w:szCs w:val="21"/>
                <w:highlight w:val="none"/>
                <w:lang w:val="en-US"/>
              </w:rPr>
              <w:t>二</w:t>
            </w:r>
            <w:r>
              <w:rPr>
                <w:rFonts w:hint="eastAsia" w:asciiTheme="minorEastAsia" w:hAnsiTheme="minorEastAsia" w:eastAsiaTheme="minorEastAsia" w:cstheme="minorEastAsia"/>
                <w:color w:val="auto"/>
                <w:spacing w:val="-1"/>
                <w:sz w:val="21"/>
                <w:szCs w:val="21"/>
                <w:highlight w:val="none"/>
              </w:rPr>
              <w:t xml:space="preserve">章 </w:t>
            </w:r>
            <w:r>
              <w:rPr>
                <w:rFonts w:hint="eastAsia" w:asciiTheme="minorEastAsia" w:hAnsiTheme="minorEastAsia" w:eastAsiaTheme="minorEastAsia" w:cstheme="minorEastAsia"/>
                <w:color w:val="auto"/>
                <w:spacing w:val="-4"/>
                <w:sz w:val="21"/>
                <w:szCs w:val="21"/>
                <w:highlight w:val="none"/>
                <w:lang w:val="en-US"/>
              </w:rPr>
              <w:t>采购需求</w:t>
            </w:r>
          </w:p>
        </w:tc>
        <w:tc>
          <w:tcPr>
            <w:tcW w:w="1673" w:type="dxa"/>
            <w:tcBorders>
              <w:top w:val="single" w:color="000000" w:sz="4" w:space="0"/>
              <w:left w:val="single" w:color="000000" w:sz="4" w:space="0"/>
              <w:bottom w:val="single" w:color="000000" w:sz="4" w:space="0"/>
              <w:right w:val="single" w:color="000000" w:sz="4" w:space="0"/>
            </w:tcBorders>
            <w:vAlign w:val="center"/>
          </w:tcPr>
          <w:p w14:paraId="0E610ED2">
            <w:pPr>
              <w:pStyle w:val="490"/>
              <w:kinsoku w:val="0"/>
              <w:overflowPunct w:val="0"/>
              <w:spacing w:before="61"/>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承诺按第</w:t>
            </w:r>
            <w:r>
              <w:rPr>
                <w:rFonts w:hint="eastAsia" w:asciiTheme="minorEastAsia" w:hAnsiTheme="minorEastAsia" w:eastAsiaTheme="minorEastAsia" w:cstheme="minorEastAsia"/>
                <w:color w:val="auto"/>
                <w:sz w:val="21"/>
                <w:szCs w:val="21"/>
                <w:highlight w:val="none"/>
                <w:lang w:val="en-US"/>
              </w:rPr>
              <w:t>二</w:t>
            </w:r>
            <w:r>
              <w:rPr>
                <w:rFonts w:hint="eastAsia" w:asciiTheme="minorEastAsia" w:hAnsiTheme="minorEastAsia" w:eastAsiaTheme="minorEastAsia" w:cstheme="minorEastAsia"/>
                <w:color w:val="auto"/>
                <w:sz w:val="21"/>
                <w:szCs w:val="21"/>
                <w:highlight w:val="none"/>
              </w:rPr>
              <w:t>章</w:t>
            </w:r>
          </w:p>
          <w:p w14:paraId="3C824E5A">
            <w:pPr>
              <w:pStyle w:val="490"/>
              <w:kinsoku w:val="0"/>
              <w:overflowPunct w:val="0"/>
              <w:spacing w:line="340" w:lineRule="atLeast"/>
              <w:ind w:left="624" w:right="194" w:hanging="420"/>
              <w:jc w:val="center"/>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4"/>
                <w:sz w:val="21"/>
                <w:szCs w:val="21"/>
                <w:highlight w:val="none"/>
                <w:lang w:val="en-US"/>
              </w:rPr>
              <w:t>采购需求</w:t>
            </w:r>
            <w:r>
              <w:rPr>
                <w:rFonts w:hint="eastAsia" w:asciiTheme="minorEastAsia" w:hAnsiTheme="minorEastAsia" w:eastAsiaTheme="minorEastAsia" w:cstheme="minorEastAsia"/>
                <w:color w:val="auto"/>
                <w:sz w:val="21"/>
                <w:szCs w:val="21"/>
                <w:highlight w:val="none"/>
              </w:rPr>
              <w:t>执行</w:t>
            </w:r>
          </w:p>
        </w:tc>
      </w:tr>
      <w:tr w14:paraId="43321193">
        <w:tblPrEx>
          <w:tblCellMar>
            <w:top w:w="0" w:type="dxa"/>
            <w:left w:w="0" w:type="dxa"/>
            <w:bottom w:w="0" w:type="dxa"/>
            <w:right w:w="0" w:type="dxa"/>
          </w:tblCellMar>
        </w:tblPrEx>
        <w:trPr>
          <w:trHeight w:val="928" w:hRule="atLeast"/>
        </w:trPr>
        <w:tc>
          <w:tcPr>
            <w:tcW w:w="8934" w:type="dxa"/>
            <w:gridSpan w:val="5"/>
            <w:tcBorders>
              <w:top w:val="single" w:color="000000" w:sz="4" w:space="0"/>
              <w:left w:val="single" w:color="000000" w:sz="4" w:space="0"/>
              <w:bottom w:val="single" w:color="000000" w:sz="4" w:space="0"/>
              <w:right w:val="single" w:color="000000" w:sz="4" w:space="0"/>
            </w:tcBorders>
          </w:tcPr>
          <w:p w14:paraId="46196165">
            <w:pPr>
              <w:pStyle w:val="490"/>
              <w:kinsoku w:val="0"/>
              <w:overflowPunct w:val="0"/>
              <w:spacing w:before="6"/>
              <w:rPr>
                <w:rFonts w:asciiTheme="minorEastAsia" w:hAnsiTheme="minorEastAsia" w:eastAsiaTheme="minorEastAsia" w:cstheme="minorEastAsia"/>
                <w:color w:val="auto"/>
                <w:sz w:val="21"/>
                <w:szCs w:val="21"/>
                <w:highlight w:val="none"/>
              </w:rPr>
            </w:pPr>
          </w:p>
          <w:p w14:paraId="56BA4691">
            <w:pPr>
              <w:pStyle w:val="490"/>
              <w:kinsoku w:val="0"/>
              <w:overflowPunct w:val="0"/>
              <w:spacing w:line="302" w:lineRule="auto"/>
              <w:ind w:left="107" w:right="104"/>
              <w:rPr>
                <w:rFonts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说明：供应商在响应采购文件中规定的实质性要求和条件的基础上，可做出其他有利于采购人的承诺。此类承诺可在本表中予以补充填写。</w:t>
            </w:r>
          </w:p>
        </w:tc>
      </w:tr>
    </w:tbl>
    <w:p w14:paraId="72D919A1">
      <w:pPr>
        <w:pStyle w:val="20"/>
        <w:kinsoku w:val="0"/>
        <w:overflowPunct w:val="0"/>
        <w:ind w:left="966"/>
        <w:rPr>
          <w:color w:val="auto"/>
          <w:sz w:val="21"/>
          <w:szCs w:val="21"/>
          <w:highlight w:val="none"/>
        </w:rPr>
      </w:pPr>
      <w:r>
        <w:rPr>
          <w:rFonts w:hint="eastAsia"/>
          <w:color w:val="auto"/>
          <w:spacing w:val="-1"/>
          <w:sz w:val="21"/>
          <w:szCs w:val="21"/>
          <w:highlight w:val="none"/>
        </w:rPr>
        <w:t>供应商</w:t>
      </w:r>
      <w:r>
        <w:rPr>
          <w:rFonts w:hint="eastAsia"/>
          <w:color w:val="auto"/>
          <w:sz w:val="21"/>
          <w:szCs w:val="21"/>
          <w:highlight w:val="none"/>
        </w:rPr>
        <w:t>（电子签章）：</w:t>
      </w:r>
    </w:p>
    <w:p w14:paraId="0DB91E8B">
      <w:pPr>
        <w:pStyle w:val="20"/>
        <w:kinsoku w:val="0"/>
        <w:overflowPunct w:val="0"/>
        <w:ind w:left="966"/>
        <w:rPr>
          <w:color w:val="auto"/>
          <w:sz w:val="21"/>
          <w:szCs w:val="21"/>
          <w:highlight w:val="none"/>
        </w:rPr>
      </w:pPr>
      <w:r>
        <w:rPr>
          <w:rFonts w:hint="eastAsia"/>
          <w:color w:val="auto"/>
          <w:spacing w:val="-1"/>
          <w:sz w:val="21"/>
          <w:szCs w:val="21"/>
          <w:highlight w:val="none"/>
        </w:rPr>
        <w:t>法定代表人</w:t>
      </w:r>
      <w:r>
        <w:rPr>
          <w:rFonts w:hint="eastAsia"/>
          <w:color w:val="auto"/>
          <w:sz w:val="21"/>
          <w:szCs w:val="21"/>
          <w:highlight w:val="none"/>
        </w:rPr>
        <w:t>（签字或盖章）：</w:t>
      </w:r>
    </w:p>
    <w:p w14:paraId="11D56116">
      <w:pPr>
        <w:pStyle w:val="20"/>
        <w:tabs>
          <w:tab w:val="left" w:pos="3069"/>
          <w:tab w:val="left" w:pos="3907"/>
          <w:tab w:val="left" w:pos="4747"/>
        </w:tabs>
        <w:kinsoku w:val="0"/>
        <w:overflowPunct w:val="0"/>
        <w:ind w:left="966"/>
        <w:rPr>
          <w:color w:val="auto"/>
          <w:sz w:val="21"/>
          <w:szCs w:val="21"/>
          <w:highlight w:val="none"/>
        </w:rPr>
      </w:pPr>
      <w:r>
        <w:rPr>
          <w:rFonts w:hint="eastAsia"/>
          <w:color w:val="auto"/>
          <w:sz w:val="21"/>
          <w:szCs w:val="21"/>
          <w:highlight w:val="none"/>
        </w:rPr>
        <w:t>日期：</w:t>
      </w:r>
      <w:r>
        <w:rPr>
          <w:color w:val="auto"/>
          <w:sz w:val="21"/>
          <w:szCs w:val="21"/>
          <w:highlight w:val="none"/>
          <w:u w:val="single"/>
        </w:rPr>
        <w:tab/>
      </w:r>
      <w:r>
        <w:rPr>
          <w:rFonts w:hint="eastAsia"/>
          <w:color w:val="auto"/>
          <w:sz w:val="21"/>
          <w:szCs w:val="21"/>
          <w:highlight w:val="none"/>
        </w:rPr>
        <w:t>年</w:t>
      </w:r>
      <w:r>
        <w:rPr>
          <w:color w:val="auto"/>
          <w:sz w:val="21"/>
          <w:szCs w:val="21"/>
          <w:highlight w:val="none"/>
          <w:u w:val="single"/>
        </w:rPr>
        <w:tab/>
      </w:r>
      <w:r>
        <w:rPr>
          <w:rFonts w:hint="eastAsia"/>
          <w:color w:val="auto"/>
          <w:sz w:val="21"/>
          <w:szCs w:val="21"/>
          <w:highlight w:val="none"/>
        </w:rPr>
        <w:t>月</w:t>
      </w:r>
      <w:r>
        <w:rPr>
          <w:color w:val="auto"/>
          <w:sz w:val="21"/>
          <w:szCs w:val="21"/>
          <w:highlight w:val="none"/>
          <w:u w:val="single"/>
        </w:rPr>
        <w:tab/>
      </w:r>
      <w:r>
        <w:rPr>
          <w:rFonts w:hint="eastAsia"/>
          <w:color w:val="auto"/>
          <w:sz w:val="21"/>
          <w:szCs w:val="21"/>
          <w:highlight w:val="none"/>
        </w:rPr>
        <w:t>日</w:t>
      </w:r>
    </w:p>
    <w:p w14:paraId="41FA5160">
      <w:pPr>
        <w:rPr>
          <w:rFonts w:ascii="宋体" w:hAnsi="宋体" w:cs="宋体"/>
          <w:b/>
          <w:bCs/>
          <w:color w:val="auto"/>
          <w:sz w:val="32"/>
          <w:highlight w:val="none"/>
        </w:rPr>
      </w:pPr>
      <w:bookmarkStart w:id="117" w:name="_Toc116204872"/>
      <w:bookmarkStart w:id="118" w:name="_Toc116123775"/>
      <w:bookmarkStart w:id="119" w:name="_Toc116229061"/>
      <w:r>
        <w:rPr>
          <w:rFonts w:hint="eastAsia" w:ascii="宋体" w:hAnsi="宋体" w:cs="宋体"/>
          <w:b/>
          <w:bCs/>
          <w:color w:val="auto"/>
          <w:sz w:val="32"/>
          <w:highlight w:val="none"/>
        </w:rPr>
        <w:br w:type="page"/>
      </w:r>
    </w:p>
    <w:p w14:paraId="3B10952F">
      <w:pPr>
        <w:spacing w:line="360" w:lineRule="auto"/>
        <w:jc w:val="center"/>
        <w:rPr>
          <w:color w:val="auto"/>
          <w:spacing w:val="96"/>
          <w:highlight w:val="none"/>
        </w:rPr>
      </w:pPr>
      <w:r>
        <w:rPr>
          <w:rFonts w:hint="eastAsia" w:ascii="宋体" w:hAnsi="宋体" w:cs="宋体"/>
          <w:b/>
          <w:bCs/>
          <w:color w:val="auto"/>
          <w:sz w:val="32"/>
          <w:highlight w:val="none"/>
        </w:rPr>
        <w:t>6.磋商报</w:t>
      </w:r>
      <w:r>
        <w:rPr>
          <w:rFonts w:hint="eastAsia" w:cs="宋体"/>
          <w:b/>
          <w:bCs/>
          <w:color w:val="auto"/>
          <w:sz w:val="32"/>
          <w:highlight w:val="none"/>
        </w:rPr>
        <w:t>价表</w:t>
      </w:r>
      <w:bookmarkEnd w:id="117"/>
      <w:bookmarkEnd w:id="118"/>
      <w:bookmarkEnd w:id="119"/>
      <w:r>
        <w:rPr>
          <w:rFonts w:hint="eastAsia" w:ascii="宋体" w:hAnsi="宋体"/>
          <w:color w:val="auto"/>
          <w:szCs w:val="21"/>
          <w:highlight w:val="none"/>
        </w:rPr>
        <w:fldChar w:fldCharType="begin"/>
      </w:r>
      <w:r>
        <w:rPr>
          <w:rFonts w:hint="eastAsia" w:ascii="宋体" w:hAnsi="宋体"/>
          <w:color w:val="auto"/>
          <w:szCs w:val="21"/>
          <w:highlight w:val="none"/>
        </w:rPr>
        <w:instrText xml:space="preserve"> DOCVARIABLE  采购编号  \* MERGEFORMAT </w:instrText>
      </w:r>
      <w:r>
        <w:rPr>
          <w:rFonts w:hint="eastAsia" w:ascii="宋体" w:hAnsi="宋体"/>
          <w:color w:val="auto"/>
          <w:szCs w:val="21"/>
          <w:highlight w:val="none"/>
        </w:rPr>
        <w:fldChar w:fldCharType="end"/>
      </w:r>
      <w:r>
        <w:rPr>
          <w:rFonts w:hint="eastAsia" w:ascii="宋体" w:hAnsi="宋体"/>
          <w:color w:val="auto"/>
          <w:szCs w:val="21"/>
          <w:highlight w:val="none"/>
        </w:rPr>
        <w:fldChar w:fldCharType="begin"/>
      </w:r>
      <w:r>
        <w:rPr>
          <w:rFonts w:hint="eastAsia" w:ascii="宋体" w:hAnsi="宋体"/>
          <w:color w:val="auto"/>
          <w:szCs w:val="21"/>
          <w:highlight w:val="none"/>
        </w:rPr>
        <w:instrText xml:space="preserve"> DOCVARIABLE  采购编号  \* MERGEFORMAT </w:instrText>
      </w:r>
      <w:r>
        <w:rPr>
          <w:rFonts w:hint="eastAsia" w:ascii="宋体" w:hAnsi="宋体"/>
          <w:color w:val="auto"/>
          <w:szCs w:val="21"/>
          <w:highlight w:val="none"/>
        </w:rPr>
        <w:fldChar w:fldCharType="end"/>
      </w:r>
    </w:p>
    <w:p w14:paraId="06380697">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项目编号：</w:t>
      </w:r>
    </w:p>
    <w:p w14:paraId="2E619284">
      <w:pPr>
        <w:spacing w:line="360" w:lineRule="auto"/>
        <w:ind w:firstLine="480"/>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p>
    <w:tbl>
      <w:tblPr>
        <w:tblStyle w:val="55"/>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395"/>
        <w:gridCol w:w="1505"/>
        <w:gridCol w:w="3107"/>
        <w:gridCol w:w="1184"/>
      </w:tblGrid>
      <w:tr w14:paraId="3C354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4" w:type="dxa"/>
            <w:tcBorders>
              <w:top w:val="single" w:color="auto" w:sz="4" w:space="0"/>
              <w:left w:val="single" w:color="auto" w:sz="4" w:space="0"/>
              <w:bottom w:val="single" w:color="auto" w:sz="4" w:space="0"/>
              <w:right w:val="single" w:color="auto" w:sz="4" w:space="0"/>
            </w:tcBorders>
            <w:vAlign w:val="center"/>
          </w:tcPr>
          <w:p w14:paraId="703EAC9D">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序号</w:t>
            </w:r>
          </w:p>
        </w:tc>
        <w:tc>
          <w:tcPr>
            <w:tcW w:w="2395" w:type="dxa"/>
            <w:tcBorders>
              <w:top w:val="single" w:color="auto" w:sz="4" w:space="0"/>
              <w:left w:val="single" w:color="auto" w:sz="4" w:space="0"/>
              <w:bottom w:val="single" w:color="auto" w:sz="4" w:space="0"/>
              <w:right w:val="single" w:color="auto" w:sz="4" w:space="0"/>
            </w:tcBorders>
            <w:vAlign w:val="center"/>
          </w:tcPr>
          <w:p w14:paraId="2F70FAFF">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项目</w:t>
            </w:r>
            <w:r>
              <w:rPr>
                <w:rFonts w:ascii="宋体" w:hAnsi="宋体" w:cs="仿宋_GB2312"/>
                <w:color w:val="auto"/>
                <w:sz w:val="24"/>
                <w:highlight w:val="none"/>
              </w:rPr>
              <w:t>名称</w:t>
            </w:r>
          </w:p>
        </w:tc>
        <w:tc>
          <w:tcPr>
            <w:tcW w:w="1505" w:type="dxa"/>
            <w:tcBorders>
              <w:top w:val="single" w:color="auto" w:sz="4" w:space="0"/>
              <w:left w:val="single" w:color="auto" w:sz="4" w:space="0"/>
              <w:bottom w:val="single" w:color="auto" w:sz="4" w:space="0"/>
              <w:right w:val="single" w:color="auto" w:sz="4" w:space="0"/>
            </w:tcBorders>
            <w:vAlign w:val="center"/>
          </w:tcPr>
          <w:p w14:paraId="1C59DB23">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数量及单位</w:t>
            </w:r>
          </w:p>
        </w:tc>
        <w:tc>
          <w:tcPr>
            <w:tcW w:w="3107" w:type="dxa"/>
            <w:tcBorders>
              <w:top w:val="single" w:color="auto" w:sz="4" w:space="0"/>
              <w:left w:val="single" w:color="auto" w:sz="4" w:space="0"/>
              <w:bottom w:val="single" w:color="auto" w:sz="4" w:space="0"/>
              <w:right w:val="single" w:color="auto" w:sz="4" w:space="0"/>
            </w:tcBorders>
            <w:vAlign w:val="center"/>
          </w:tcPr>
          <w:p w14:paraId="3E3880AB">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总价（单位：元）</w:t>
            </w:r>
          </w:p>
        </w:tc>
        <w:tc>
          <w:tcPr>
            <w:tcW w:w="1184" w:type="dxa"/>
            <w:tcBorders>
              <w:top w:val="single" w:color="auto" w:sz="4" w:space="0"/>
              <w:left w:val="single" w:color="auto" w:sz="4" w:space="0"/>
              <w:bottom w:val="single" w:color="auto" w:sz="4" w:space="0"/>
              <w:right w:val="single" w:color="auto" w:sz="4" w:space="0"/>
            </w:tcBorders>
            <w:vAlign w:val="center"/>
          </w:tcPr>
          <w:p w14:paraId="18ACE761">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备注</w:t>
            </w:r>
          </w:p>
        </w:tc>
      </w:tr>
      <w:tr w14:paraId="6B141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4" w:type="dxa"/>
            <w:tcBorders>
              <w:top w:val="single" w:color="auto" w:sz="4" w:space="0"/>
              <w:left w:val="single" w:color="auto" w:sz="4" w:space="0"/>
              <w:bottom w:val="single" w:color="auto" w:sz="4" w:space="0"/>
              <w:right w:val="single" w:color="auto" w:sz="4" w:space="0"/>
            </w:tcBorders>
            <w:vAlign w:val="center"/>
          </w:tcPr>
          <w:p w14:paraId="6282D823">
            <w:pPr>
              <w:spacing w:line="360" w:lineRule="auto"/>
              <w:contextualSpacing/>
              <w:jc w:val="center"/>
              <w:rPr>
                <w:rFonts w:ascii="宋体" w:hAnsi="宋体" w:cs="仿宋_GB2312"/>
                <w:color w:val="auto"/>
                <w:sz w:val="24"/>
                <w:highlight w:val="none"/>
              </w:rPr>
            </w:pPr>
            <w:r>
              <w:rPr>
                <w:rFonts w:ascii="宋体" w:hAnsi="宋体" w:cs="仿宋_GB2312"/>
                <w:color w:val="auto"/>
                <w:sz w:val="24"/>
                <w:highlight w:val="none"/>
              </w:rPr>
              <w:t>1</w:t>
            </w:r>
          </w:p>
        </w:tc>
        <w:tc>
          <w:tcPr>
            <w:tcW w:w="2395" w:type="dxa"/>
            <w:tcBorders>
              <w:top w:val="single" w:color="auto" w:sz="4" w:space="0"/>
              <w:left w:val="single" w:color="auto" w:sz="4" w:space="0"/>
              <w:bottom w:val="single" w:color="auto" w:sz="4" w:space="0"/>
              <w:right w:val="single" w:color="auto" w:sz="4" w:space="0"/>
            </w:tcBorders>
            <w:vAlign w:val="center"/>
          </w:tcPr>
          <w:p w14:paraId="50AA9B1E">
            <w:pPr>
              <w:spacing w:line="360" w:lineRule="auto"/>
              <w:ind w:firstLine="480"/>
              <w:contextualSpacing/>
              <w:jc w:val="center"/>
              <w:rPr>
                <w:rFonts w:ascii="宋体" w:hAnsi="宋体" w:cs="仿宋_GB2312"/>
                <w:color w:val="auto"/>
                <w:sz w:val="24"/>
                <w:highlight w:val="none"/>
              </w:rPr>
            </w:pPr>
          </w:p>
        </w:tc>
        <w:tc>
          <w:tcPr>
            <w:tcW w:w="1505" w:type="dxa"/>
            <w:tcBorders>
              <w:top w:val="single" w:color="auto" w:sz="4" w:space="0"/>
              <w:left w:val="single" w:color="auto" w:sz="4" w:space="0"/>
              <w:bottom w:val="single" w:color="auto" w:sz="4" w:space="0"/>
              <w:right w:val="single" w:color="auto" w:sz="4" w:space="0"/>
            </w:tcBorders>
            <w:vAlign w:val="center"/>
          </w:tcPr>
          <w:p w14:paraId="3C0DB706">
            <w:pPr>
              <w:spacing w:line="360" w:lineRule="auto"/>
              <w:contextualSpacing/>
              <w:jc w:val="center"/>
              <w:rPr>
                <w:rFonts w:ascii="宋体" w:hAnsi="宋体" w:cs="仿宋_GB2312"/>
                <w:color w:val="auto"/>
                <w:sz w:val="24"/>
                <w:highlight w:val="none"/>
              </w:rPr>
            </w:pPr>
            <w:r>
              <w:rPr>
                <w:rFonts w:hint="eastAsia" w:ascii="宋体" w:hAnsi="宋体" w:cs="仿宋_GB2312"/>
                <w:color w:val="auto"/>
                <w:sz w:val="24"/>
                <w:highlight w:val="none"/>
              </w:rPr>
              <w:t>1项</w:t>
            </w:r>
          </w:p>
        </w:tc>
        <w:tc>
          <w:tcPr>
            <w:tcW w:w="3107" w:type="dxa"/>
            <w:tcBorders>
              <w:top w:val="single" w:color="auto" w:sz="4" w:space="0"/>
              <w:left w:val="single" w:color="auto" w:sz="4" w:space="0"/>
              <w:bottom w:val="single" w:color="auto" w:sz="4" w:space="0"/>
              <w:right w:val="single" w:color="auto" w:sz="4" w:space="0"/>
            </w:tcBorders>
          </w:tcPr>
          <w:p w14:paraId="753334F2">
            <w:pPr>
              <w:spacing w:line="360" w:lineRule="auto"/>
              <w:ind w:firstLine="480"/>
              <w:contextualSpacing/>
              <w:jc w:val="center"/>
              <w:rPr>
                <w:rFonts w:ascii="宋体" w:hAnsi="宋体" w:cs="仿宋_GB2312"/>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vAlign w:val="center"/>
          </w:tcPr>
          <w:p w14:paraId="48832AF7">
            <w:pPr>
              <w:spacing w:line="360" w:lineRule="auto"/>
              <w:ind w:firstLine="480"/>
              <w:contextualSpacing/>
              <w:jc w:val="center"/>
              <w:rPr>
                <w:rFonts w:ascii="宋体" w:hAnsi="宋体" w:cs="仿宋_GB2312"/>
                <w:color w:val="auto"/>
                <w:sz w:val="24"/>
                <w:highlight w:val="none"/>
              </w:rPr>
            </w:pPr>
          </w:p>
        </w:tc>
      </w:tr>
      <w:tr w14:paraId="1C68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5"/>
            <w:tcBorders>
              <w:top w:val="single" w:color="auto" w:sz="4" w:space="0"/>
              <w:left w:val="single" w:color="auto" w:sz="4" w:space="0"/>
              <w:bottom w:val="single" w:color="auto" w:sz="4" w:space="0"/>
              <w:right w:val="single" w:color="auto" w:sz="4" w:space="0"/>
            </w:tcBorders>
            <w:vAlign w:val="center"/>
          </w:tcPr>
          <w:p w14:paraId="7C45CA24">
            <w:pPr>
              <w:wordWrap w:val="0"/>
              <w:spacing w:line="360" w:lineRule="auto"/>
              <w:ind w:firstLine="480"/>
              <w:contextualSpacing/>
              <w:rPr>
                <w:rFonts w:ascii="宋体" w:hAnsi="宋体" w:cs="仿宋_GB2312"/>
                <w:color w:val="auto"/>
                <w:sz w:val="24"/>
                <w:highlight w:val="none"/>
              </w:rPr>
            </w:pPr>
            <w:r>
              <w:rPr>
                <w:rFonts w:hint="eastAsia" w:ascii="宋体" w:hAnsi="宋体" w:cs="仿宋_GB2312"/>
                <w:color w:val="auto"/>
                <w:sz w:val="24"/>
                <w:highlight w:val="none"/>
              </w:rPr>
              <w:t>合计金额（人民币）</w:t>
            </w:r>
            <w:r>
              <w:rPr>
                <w:rFonts w:hint="eastAsia" w:ascii="宋体" w:hAnsi="宋体" w:cs="仿宋_GB2312"/>
                <w:color w:val="auto"/>
                <w:sz w:val="24"/>
                <w:highlight w:val="none"/>
                <w:u w:val="single"/>
              </w:rPr>
              <w:t xml:space="preserve">大写：           </w:t>
            </w:r>
            <w:r>
              <w:rPr>
                <w:rFonts w:hint="eastAsia" w:ascii="宋体" w:hAnsi="宋体" w:cs="仿宋_GB2312"/>
                <w:color w:val="auto"/>
                <w:sz w:val="24"/>
                <w:highlight w:val="none"/>
              </w:rPr>
              <w:t>（小写</w:t>
            </w:r>
            <w:r>
              <w:rPr>
                <w:rFonts w:hint="eastAsia" w:ascii="宋体" w:hAnsi="宋体" w:cs="仿宋_GB2312"/>
                <w:color w:val="auto"/>
                <w:sz w:val="24"/>
                <w:highlight w:val="none"/>
                <w:u w:val="single"/>
              </w:rPr>
              <w:t>￥      元</w:t>
            </w:r>
            <w:r>
              <w:rPr>
                <w:rFonts w:hint="eastAsia" w:ascii="宋体" w:hAnsi="宋体" w:cs="仿宋_GB2312"/>
                <w:color w:val="auto"/>
                <w:sz w:val="24"/>
                <w:highlight w:val="none"/>
              </w:rPr>
              <w:t>）</w:t>
            </w:r>
          </w:p>
        </w:tc>
      </w:tr>
      <w:tr w14:paraId="7873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5"/>
            <w:tcBorders>
              <w:top w:val="single" w:color="auto" w:sz="4" w:space="0"/>
              <w:left w:val="single" w:color="auto" w:sz="4" w:space="0"/>
              <w:bottom w:val="single" w:color="auto" w:sz="4" w:space="0"/>
              <w:right w:val="single" w:color="auto" w:sz="4" w:space="0"/>
            </w:tcBorders>
            <w:vAlign w:val="center"/>
          </w:tcPr>
          <w:p w14:paraId="7A78697C">
            <w:pPr>
              <w:wordWrap w:val="0"/>
              <w:spacing w:line="360" w:lineRule="auto"/>
              <w:ind w:firstLine="480"/>
              <w:contextualSpacing/>
              <w:rPr>
                <w:rFonts w:ascii="宋体" w:hAnsi="宋体" w:cs="仿宋_GB2312"/>
                <w:color w:val="auto"/>
                <w:sz w:val="24"/>
                <w:highlight w:val="none"/>
              </w:rPr>
            </w:pPr>
            <w:r>
              <w:rPr>
                <w:rFonts w:hint="eastAsia" w:ascii="宋体" w:hAnsi="宋体" w:cs="仿宋_GB2312"/>
                <w:color w:val="auto"/>
                <w:sz w:val="24"/>
                <w:highlight w:val="none"/>
              </w:rPr>
              <w:t>项目经理姓名及证书编号：</w:t>
            </w:r>
          </w:p>
        </w:tc>
      </w:tr>
      <w:tr w14:paraId="45CE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5"/>
            <w:tcBorders>
              <w:top w:val="single" w:color="auto" w:sz="4" w:space="0"/>
              <w:left w:val="single" w:color="auto" w:sz="4" w:space="0"/>
              <w:bottom w:val="single" w:color="auto" w:sz="4" w:space="0"/>
              <w:right w:val="single" w:color="auto" w:sz="4" w:space="0"/>
            </w:tcBorders>
            <w:vAlign w:val="center"/>
          </w:tcPr>
          <w:p w14:paraId="0C9185FF">
            <w:pPr>
              <w:wordWrap w:val="0"/>
              <w:spacing w:line="360" w:lineRule="auto"/>
              <w:ind w:firstLine="480"/>
              <w:contextualSpacing/>
              <w:rPr>
                <w:rFonts w:ascii="宋体" w:hAnsi="宋体" w:cs="仿宋_GB2312"/>
                <w:color w:val="auto"/>
                <w:sz w:val="24"/>
                <w:highlight w:val="none"/>
              </w:rPr>
            </w:pPr>
            <w:r>
              <w:rPr>
                <w:rFonts w:hint="eastAsia" w:ascii="宋体" w:hAnsi="宋体" w:cs="仿宋_GB2312"/>
                <w:color w:val="auto"/>
                <w:sz w:val="24"/>
                <w:highlight w:val="none"/>
              </w:rPr>
              <w:t>质量要求：</w:t>
            </w:r>
          </w:p>
        </w:tc>
      </w:tr>
      <w:tr w14:paraId="1C074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5"/>
            <w:tcBorders>
              <w:top w:val="single" w:color="auto" w:sz="4" w:space="0"/>
              <w:left w:val="single" w:color="auto" w:sz="4" w:space="0"/>
              <w:bottom w:val="single" w:color="auto" w:sz="4" w:space="0"/>
              <w:right w:val="single" w:color="auto" w:sz="4" w:space="0"/>
            </w:tcBorders>
            <w:vAlign w:val="center"/>
          </w:tcPr>
          <w:p w14:paraId="12D8A38E">
            <w:pPr>
              <w:wordWrap w:val="0"/>
              <w:spacing w:line="360" w:lineRule="auto"/>
              <w:ind w:firstLine="480"/>
              <w:contextualSpacing/>
              <w:rPr>
                <w:rFonts w:ascii="宋体" w:hAnsi="宋体" w:cs="仿宋_GB2312"/>
                <w:color w:val="auto"/>
                <w:sz w:val="24"/>
                <w:highlight w:val="none"/>
              </w:rPr>
            </w:pPr>
            <w:r>
              <w:rPr>
                <w:rFonts w:hint="eastAsia" w:ascii="宋体" w:hAnsi="宋体" w:cs="仿宋_GB2312"/>
                <w:color w:val="auto"/>
                <w:sz w:val="24"/>
                <w:highlight w:val="none"/>
              </w:rPr>
              <w:t xml:space="preserve">合同履约期限：         </w:t>
            </w:r>
          </w:p>
        </w:tc>
      </w:tr>
    </w:tbl>
    <w:p w14:paraId="5E70FAF2">
      <w:pPr>
        <w:tabs>
          <w:tab w:val="left" w:pos="7740"/>
        </w:tabs>
        <w:spacing w:line="400" w:lineRule="exact"/>
        <w:ind w:firstLine="210" w:firstLineChars="100"/>
        <w:rPr>
          <w:rFonts w:ascii="宋体" w:hAnsi="宋体"/>
          <w:color w:val="auto"/>
          <w:szCs w:val="21"/>
          <w:highlight w:val="none"/>
        </w:rPr>
      </w:pPr>
      <w:r>
        <w:rPr>
          <w:rFonts w:hint="eastAsia" w:ascii="宋体" w:hAnsi="宋体"/>
          <w:color w:val="auto"/>
          <w:szCs w:val="21"/>
          <w:highlight w:val="none"/>
        </w:rPr>
        <w:t>注：1.供应商须按要求填写所有信息，不得随意更改本表格式。</w:t>
      </w:r>
    </w:p>
    <w:p w14:paraId="2F57EEDB">
      <w:pPr>
        <w:tabs>
          <w:tab w:val="left" w:pos="7740"/>
        </w:tabs>
        <w:spacing w:line="400" w:lineRule="exact"/>
        <w:ind w:left="630" w:leftChars="300" w:right="800" w:rightChars="381"/>
        <w:rPr>
          <w:rFonts w:ascii="宋体" w:hAnsi="宋体"/>
          <w:color w:val="auto"/>
          <w:szCs w:val="21"/>
          <w:highlight w:val="none"/>
        </w:rPr>
      </w:pPr>
      <w:r>
        <w:rPr>
          <w:rFonts w:hint="eastAsia" w:ascii="宋体" w:hAnsi="宋体"/>
          <w:color w:val="auto"/>
          <w:szCs w:val="21"/>
          <w:highlight w:val="none"/>
        </w:rPr>
        <w:t>2.本项目执行单价包干，工程量按实结算。要求包工、包料、包机械、包工期、包质量、包安全生产、包文明施工、包劳保、包保修等的承包方式。</w:t>
      </w:r>
    </w:p>
    <w:p w14:paraId="5B731256">
      <w:pPr>
        <w:tabs>
          <w:tab w:val="left" w:pos="7740"/>
        </w:tabs>
        <w:spacing w:line="400" w:lineRule="exact"/>
        <w:ind w:left="630" w:leftChars="300" w:right="800" w:rightChars="381"/>
        <w:rPr>
          <w:rFonts w:ascii="宋体" w:hAnsi="宋体"/>
          <w:color w:val="auto"/>
          <w:szCs w:val="21"/>
          <w:highlight w:val="none"/>
        </w:rPr>
      </w:pPr>
      <w:r>
        <w:rPr>
          <w:rFonts w:hint="eastAsia" w:ascii="宋体" w:hAnsi="宋体"/>
          <w:color w:val="auto"/>
          <w:szCs w:val="21"/>
          <w:highlight w:val="none"/>
        </w:rPr>
        <w:t>3.总报价应为包括人工费、材料费、机械费、管理费、利润、项目措施费、规费、税金以及施工合同包含的所有风险、责任等各项应有费用；</w:t>
      </w:r>
    </w:p>
    <w:p w14:paraId="689351B8">
      <w:pPr>
        <w:tabs>
          <w:tab w:val="left" w:pos="7740"/>
        </w:tabs>
        <w:spacing w:line="400" w:lineRule="exact"/>
        <w:ind w:firstLine="630" w:firstLineChars="300"/>
        <w:rPr>
          <w:rFonts w:ascii="宋体" w:hAnsi="宋体"/>
          <w:color w:val="auto"/>
          <w:szCs w:val="21"/>
          <w:highlight w:val="none"/>
        </w:rPr>
      </w:pPr>
      <w:r>
        <w:rPr>
          <w:rFonts w:hint="eastAsia" w:ascii="宋体" w:hAnsi="宋体"/>
          <w:color w:val="auto"/>
          <w:szCs w:val="21"/>
          <w:highlight w:val="none"/>
        </w:rPr>
        <w:t>4.采购范围内所有设备及配件费；</w:t>
      </w:r>
    </w:p>
    <w:p w14:paraId="76B2EFEF">
      <w:pPr>
        <w:tabs>
          <w:tab w:val="left" w:pos="7740"/>
        </w:tabs>
        <w:spacing w:line="400" w:lineRule="exact"/>
        <w:ind w:firstLine="630" w:firstLineChars="300"/>
        <w:rPr>
          <w:rFonts w:ascii="宋体" w:hAnsi="宋体"/>
          <w:color w:val="auto"/>
          <w:szCs w:val="21"/>
          <w:highlight w:val="none"/>
        </w:rPr>
      </w:pPr>
      <w:r>
        <w:rPr>
          <w:rFonts w:hint="eastAsia" w:ascii="宋体" w:hAnsi="宋体"/>
          <w:color w:val="auto"/>
          <w:szCs w:val="21"/>
          <w:highlight w:val="none"/>
        </w:rPr>
        <w:t>5.安装中的相关费用（包括安装过程中损耗、额外材料、审批报建费用等）；</w:t>
      </w:r>
    </w:p>
    <w:p w14:paraId="49AB99D6">
      <w:pPr>
        <w:tabs>
          <w:tab w:val="left" w:pos="7740"/>
        </w:tabs>
        <w:spacing w:line="400" w:lineRule="exact"/>
        <w:ind w:firstLine="630" w:firstLineChars="300"/>
        <w:rPr>
          <w:rFonts w:ascii="宋体" w:hAnsi="宋体"/>
          <w:color w:val="auto"/>
          <w:szCs w:val="21"/>
          <w:highlight w:val="none"/>
        </w:rPr>
      </w:pPr>
      <w:r>
        <w:rPr>
          <w:rFonts w:hint="eastAsia" w:ascii="宋体" w:hAnsi="宋体"/>
          <w:color w:val="auto"/>
          <w:szCs w:val="21"/>
          <w:highlight w:val="none"/>
        </w:rPr>
        <w:t>6.售后服务的相关费用。</w:t>
      </w:r>
    </w:p>
    <w:p w14:paraId="573983E1">
      <w:pPr>
        <w:adjustRightInd w:val="0"/>
        <w:snapToGrid w:val="0"/>
        <w:spacing w:line="300" w:lineRule="auto"/>
        <w:rPr>
          <w:color w:val="auto"/>
          <w:szCs w:val="21"/>
          <w:highlight w:val="none"/>
        </w:rPr>
      </w:pPr>
    </w:p>
    <w:p w14:paraId="5485201C">
      <w:pPr>
        <w:adjustRightInd w:val="0"/>
        <w:snapToGrid w:val="0"/>
        <w:spacing w:line="300" w:lineRule="auto"/>
        <w:rPr>
          <w:color w:val="auto"/>
          <w:szCs w:val="21"/>
          <w:highlight w:val="none"/>
        </w:rPr>
      </w:pPr>
    </w:p>
    <w:p w14:paraId="122DB60E">
      <w:pPr>
        <w:adjustRightInd w:val="0"/>
        <w:snapToGrid w:val="0"/>
        <w:spacing w:line="300" w:lineRule="auto"/>
        <w:rPr>
          <w:color w:val="auto"/>
          <w:szCs w:val="21"/>
          <w:highlight w:val="none"/>
        </w:rPr>
      </w:pPr>
    </w:p>
    <w:p w14:paraId="7EADEF6E">
      <w:pPr>
        <w:adjustRightInd w:val="0"/>
        <w:snapToGrid w:val="0"/>
        <w:spacing w:line="360" w:lineRule="auto"/>
        <w:ind w:firstLine="210" w:firstLineChars="100"/>
        <w:rPr>
          <w:color w:val="auto"/>
          <w:szCs w:val="21"/>
          <w:highlight w:val="none"/>
        </w:rPr>
      </w:pPr>
      <w:r>
        <w:rPr>
          <w:rFonts w:hint="eastAsia" w:ascii="宋体" w:hAnsi="宋体" w:cs="宋体"/>
          <w:color w:val="auto"/>
          <w:szCs w:val="21"/>
          <w:highlight w:val="none"/>
        </w:rPr>
        <w:t>供应商法定代表人（或法定代表人授权代表）签字或盖章：</w:t>
      </w:r>
      <w:r>
        <w:rPr>
          <w:rFonts w:hint="eastAsia"/>
          <w:color w:val="auto"/>
          <w:szCs w:val="21"/>
          <w:highlight w:val="none"/>
          <w:u w:val="single"/>
        </w:rPr>
        <w:t xml:space="preserve">                   </w:t>
      </w:r>
    </w:p>
    <w:p w14:paraId="71C73F93">
      <w:pPr>
        <w:adjustRightInd w:val="0"/>
        <w:snapToGrid w:val="0"/>
        <w:spacing w:line="360" w:lineRule="auto"/>
        <w:ind w:firstLine="210" w:firstLineChars="100"/>
        <w:rPr>
          <w:color w:val="auto"/>
          <w:szCs w:val="21"/>
          <w:highlight w:val="none"/>
          <w:u w:val="single"/>
        </w:rPr>
      </w:pPr>
      <w:r>
        <w:rPr>
          <w:rFonts w:hint="eastAsia"/>
          <w:color w:val="auto"/>
          <w:szCs w:val="21"/>
          <w:highlight w:val="none"/>
        </w:rPr>
        <w:t>供应商名称（</w:t>
      </w:r>
      <w:r>
        <w:rPr>
          <w:rFonts w:hint="eastAsia" w:ascii="宋体" w:hAnsi="宋体" w:cs="宋体"/>
          <w:color w:val="auto"/>
          <w:szCs w:val="21"/>
          <w:highlight w:val="none"/>
        </w:rPr>
        <w:t>电子签章</w:t>
      </w:r>
      <w:r>
        <w:rPr>
          <w:rFonts w:hint="eastAsia"/>
          <w:color w:val="auto"/>
          <w:szCs w:val="21"/>
          <w:highlight w:val="none"/>
        </w:rPr>
        <w:t>）：</w:t>
      </w:r>
      <w:r>
        <w:rPr>
          <w:rFonts w:hint="eastAsia"/>
          <w:color w:val="auto"/>
          <w:szCs w:val="21"/>
          <w:highlight w:val="none"/>
          <w:u w:val="single"/>
        </w:rPr>
        <w:t xml:space="preserve">                        </w:t>
      </w:r>
    </w:p>
    <w:p w14:paraId="03DEEAE9">
      <w:pPr>
        <w:spacing w:line="360" w:lineRule="auto"/>
        <w:ind w:firstLine="210" w:firstLineChars="100"/>
        <w:rPr>
          <w:color w:val="auto"/>
          <w:highlight w:val="none"/>
        </w:rPr>
      </w:pPr>
      <w:r>
        <w:rPr>
          <w:rFonts w:hint="eastAsia"/>
          <w:color w:val="auto"/>
          <w:szCs w:val="21"/>
          <w:highlight w:val="none"/>
        </w:rPr>
        <w:t>日期：   年   月   日</w:t>
      </w:r>
    </w:p>
    <w:p w14:paraId="19E68D8A">
      <w:pPr>
        <w:jc w:val="center"/>
        <w:rPr>
          <w:b/>
          <w:color w:val="auto"/>
          <w:sz w:val="32"/>
          <w:szCs w:val="32"/>
          <w:highlight w:val="none"/>
        </w:rPr>
      </w:pPr>
      <w:r>
        <w:rPr>
          <w:color w:val="auto"/>
          <w:sz w:val="24"/>
          <w:highlight w:val="none"/>
        </w:rPr>
        <w:br w:type="page"/>
      </w:r>
      <w:r>
        <w:rPr>
          <w:rFonts w:hint="eastAsia"/>
          <w:b/>
          <w:color w:val="auto"/>
          <w:sz w:val="32"/>
          <w:szCs w:val="32"/>
          <w:highlight w:val="none"/>
        </w:rPr>
        <w:t>已标价工程量清单</w:t>
      </w:r>
    </w:p>
    <w:p w14:paraId="3CD0B702">
      <w:pPr>
        <w:jc w:val="center"/>
        <w:rPr>
          <w:b/>
          <w:color w:val="auto"/>
          <w:sz w:val="32"/>
          <w:szCs w:val="32"/>
          <w:highlight w:val="none"/>
        </w:rPr>
      </w:pPr>
    </w:p>
    <w:p w14:paraId="6EFAA61E">
      <w:pPr>
        <w:widowControl/>
        <w:kinsoku w:val="0"/>
        <w:autoSpaceDE w:val="0"/>
        <w:autoSpaceDN w:val="0"/>
        <w:adjustRightInd w:val="0"/>
        <w:snapToGrid w:val="0"/>
        <w:spacing w:line="360" w:lineRule="auto"/>
        <w:ind w:firstLine="480" w:firstLineChars="200"/>
        <w:textAlignment w:val="baseline"/>
        <w:rPr>
          <w:rFonts w:ascii="宋体" w:hAnsi="宋体" w:cs="宋体"/>
          <w:color w:val="auto"/>
          <w:sz w:val="24"/>
          <w:highlight w:val="none"/>
        </w:rPr>
      </w:pPr>
      <w:bookmarkStart w:id="120" w:name="_Toc116123776"/>
      <w:r>
        <w:rPr>
          <w:rFonts w:hint="eastAsia" w:ascii="宋体" w:hAnsi="宋体" w:cs="宋体"/>
          <w:color w:val="auto"/>
          <w:sz w:val="24"/>
          <w:highlight w:val="none"/>
        </w:rPr>
        <w:t>1.已标价工程量清单应按第四章“工程量清单及图纸”中的相关表格及竞标报价说明填写。构成合同文件的已标价工程量清单包括第四章“工程量清单及图纸”有关工程量清单、竞标报价以及其他说明的内容。</w:t>
      </w:r>
    </w:p>
    <w:p w14:paraId="24CE649F">
      <w:pPr>
        <w:widowControl/>
        <w:kinsoku w:val="0"/>
        <w:autoSpaceDE w:val="0"/>
        <w:autoSpaceDN w:val="0"/>
        <w:adjustRightInd w:val="0"/>
        <w:snapToGrid w:val="0"/>
        <w:spacing w:line="360" w:lineRule="auto"/>
        <w:ind w:firstLine="480" w:firstLineChars="200"/>
        <w:textAlignment w:val="baseline"/>
        <w:rPr>
          <w:rFonts w:ascii="宋体" w:hAnsi="宋体" w:cs="宋体"/>
          <w:color w:val="auto"/>
          <w:sz w:val="24"/>
          <w:highlight w:val="none"/>
        </w:rPr>
      </w:pPr>
      <w:r>
        <w:rPr>
          <w:rFonts w:hint="eastAsia" w:ascii="宋体" w:hAnsi="宋体" w:cs="宋体"/>
          <w:color w:val="auto"/>
          <w:sz w:val="24"/>
          <w:highlight w:val="none"/>
        </w:rPr>
        <w:t>2.一般计税法建设工程已标价工程量清单表格按《关于建筑业实施营业税改征增值税后广西壮族自治区建设工程计价依据调整的通知》（桂建标〔2016〕17 号）附件“增值税一般计税方法工程计价表”要求提供，但规费和税费按照《关于建筑业实施营业税改征增值税后广西壮族自治区建设工程计价依据调整的通知》（桂建标〔2016〕17 号）、《自治区住房城乡建设厅关于调整建设工程计价增值税税率的通知》（桂建标〔2018〕14 号）、《自治区住房城乡建设厅关于调整建设工程计价增值税税率的通知》（桂建标〔2019〕12 号）调整，具体内容以工程量清单为准。</w:t>
      </w:r>
    </w:p>
    <w:p w14:paraId="3A8708E4">
      <w:pPr>
        <w:widowControl/>
        <w:kinsoku w:val="0"/>
        <w:autoSpaceDE w:val="0"/>
        <w:autoSpaceDN w:val="0"/>
        <w:adjustRightInd w:val="0"/>
        <w:snapToGrid w:val="0"/>
        <w:spacing w:line="360" w:lineRule="auto"/>
        <w:ind w:firstLine="480" w:firstLineChars="200"/>
        <w:textAlignment w:val="baseline"/>
        <w:rPr>
          <w:rFonts w:ascii="宋体" w:hAnsi="宋体" w:cs="宋体"/>
          <w:color w:val="auto"/>
          <w:sz w:val="24"/>
          <w:highlight w:val="none"/>
        </w:rPr>
      </w:pPr>
    </w:p>
    <w:p w14:paraId="18387AEB">
      <w:pPr>
        <w:widowControl/>
        <w:kinsoku w:val="0"/>
        <w:autoSpaceDE w:val="0"/>
        <w:autoSpaceDN w:val="0"/>
        <w:adjustRightInd w:val="0"/>
        <w:snapToGrid w:val="0"/>
        <w:spacing w:line="360" w:lineRule="auto"/>
        <w:ind w:firstLine="480" w:firstLineChars="200"/>
        <w:textAlignment w:val="baseline"/>
        <w:rPr>
          <w:rFonts w:ascii="宋体" w:hAnsi="宋体" w:cs="宋体"/>
          <w:color w:val="auto"/>
          <w:sz w:val="24"/>
          <w:highlight w:val="none"/>
        </w:rPr>
      </w:pPr>
    </w:p>
    <w:p w14:paraId="038A00F7">
      <w:pPr>
        <w:widowControl/>
        <w:kinsoku w:val="0"/>
        <w:autoSpaceDE w:val="0"/>
        <w:autoSpaceDN w:val="0"/>
        <w:adjustRightInd w:val="0"/>
        <w:snapToGrid w:val="0"/>
        <w:spacing w:line="360" w:lineRule="auto"/>
        <w:ind w:firstLine="482" w:firstLineChars="200"/>
        <w:textAlignment w:val="baseline"/>
        <w:rPr>
          <w:rFonts w:ascii="宋体" w:hAnsi="宋体" w:cs="宋体"/>
          <w:b/>
          <w:bCs/>
          <w:color w:val="auto"/>
          <w:sz w:val="24"/>
          <w:highlight w:val="none"/>
        </w:rPr>
      </w:pPr>
    </w:p>
    <w:p w14:paraId="7B16C5CE">
      <w:pPr>
        <w:widowControl/>
        <w:kinsoku w:val="0"/>
        <w:autoSpaceDE w:val="0"/>
        <w:autoSpaceDN w:val="0"/>
        <w:adjustRightInd w:val="0"/>
        <w:snapToGrid w:val="0"/>
        <w:spacing w:line="360" w:lineRule="auto"/>
        <w:ind w:firstLine="482" w:firstLineChars="200"/>
        <w:textAlignment w:val="baseline"/>
        <w:rPr>
          <w:rFonts w:ascii="宋体" w:hAnsi="宋体" w:cs="宋体"/>
          <w:b/>
          <w:bCs/>
          <w:color w:val="auto"/>
          <w:sz w:val="24"/>
          <w:highlight w:val="none"/>
        </w:rPr>
      </w:pPr>
      <w:r>
        <w:rPr>
          <w:rFonts w:hint="eastAsia" w:ascii="宋体" w:hAnsi="宋体" w:cs="宋体"/>
          <w:b/>
          <w:bCs/>
          <w:color w:val="auto"/>
          <w:sz w:val="24"/>
          <w:highlight w:val="none"/>
        </w:rPr>
        <w:t>备注：</w:t>
      </w:r>
    </w:p>
    <w:p w14:paraId="3BDC895E">
      <w:pPr>
        <w:widowControl/>
        <w:kinsoku w:val="0"/>
        <w:autoSpaceDE w:val="0"/>
        <w:autoSpaceDN w:val="0"/>
        <w:adjustRightInd w:val="0"/>
        <w:snapToGrid w:val="0"/>
        <w:spacing w:line="360" w:lineRule="auto"/>
        <w:ind w:firstLine="482" w:firstLineChars="200"/>
        <w:textAlignment w:val="baseline"/>
        <w:rPr>
          <w:rFonts w:ascii="宋体" w:hAnsi="宋体" w:cs="宋体"/>
          <w:b/>
          <w:bCs/>
          <w:color w:val="auto"/>
          <w:sz w:val="24"/>
          <w:highlight w:val="none"/>
        </w:rPr>
      </w:pPr>
      <w:r>
        <w:rPr>
          <w:rFonts w:hint="eastAsia" w:ascii="宋体" w:hAnsi="宋体" w:cs="宋体"/>
          <w:b/>
          <w:bCs/>
          <w:color w:val="auto"/>
          <w:sz w:val="24"/>
          <w:highlight w:val="none"/>
        </w:rPr>
        <w:t>（1）供应商在上传竞标报价文件时应上传纸质竞标总价封面的原件扫描件。报标总价封面必须经供应商盖章，并由法定代表人（或其授权人）签字（或盖章），同时由编制人签字盖专用章，否则按无效磋商处理。</w:t>
      </w:r>
    </w:p>
    <w:p w14:paraId="6C86A795">
      <w:pPr>
        <w:spacing w:line="360" w:lineRule="auto"/>
        <w:ind w:firstLine="482" w:firstLineChars="200"/>
        <w:rPr>
          <w:rFonts w:ascii="宋体" w:hAnsi="宋体"/>
          <w:b/>
          <w:color w:val="auto"/>
          <w:sz w:val="24"/>
          <w:highlight w:val="none"/>
        </w:rPr>
        <w:sectPr>
          <w:pgSz w:w="11907" w:h="16839"/>
          <w:pgMar w:top="1431" w:right="1272" w:bottom="1364" w:left="1418" w:header="850" w:footer="1204" w:gutter="0"/>
          <w:pgNumType w:fmt="decimal"/>
          <w:cols w:space="720" w:num="1"/>
          <w:docGrid w:linePitch="286" w:charSpace="0"/>
        </w:sectPr>
      </w:pPr>
      <w:r>
        <w:rPr>
          <w:rFonts w:hint="eastAsia" w:ascii="宋体" w:hAnsi="宋体" w:cs="宋体"/>
          <w:b/>
          <w:bCs/>
          <w:color w:val="auto"/>
          <w:sz w:val="24"/>
          <w:highlight w:val="none"/>
        </w:rPr>
        <w:t>（2）已标价工程量清单表格要严格按照工程量清单给出的表格要求和内容填报，否则按无效磋商处理。</w:t>
      </w:r>
    </w:p>
    <w:p w14:paraId="1F170745">
      <w:pPr>
        <w:jc w:val="center"/>
        <w:rPr>
          <w:rFonts w:ascii="黑体" w:eastAsia="黑体" w:cs="黑体"/>
          <w:b/>
          <w:bCs/>
          <w:color w:val="auto"/>
          <w:w w:val="95"/>
          <w:kern w:val="0"/>
          <w:sz w:val="32"/>
          <w:szCs w:val="32"/>
          <w:highlight w:val="none"/>
        </w:rPr>
      </w:pPr>
      <w:bookmarkStart w:id="121" w:name="_Toc116204873"/>
      <w:bookmarkStart w:id="122" w:name="_Toc116229062"/>
      <w:r>
        <w:rPr>
          <w:rFonts w:hint="eastAsia" w:ascii="宋体" w:hAnsi="宋体" w:cs="宋体"/>
          <w:b/>
          <w:bCs/>
          <w:color w:val="auto"/>
          <w:w w:val="95"/>
          <w:kern w:val="0"/>
          <w:sz w:val="32"/>
          <w:szCs w:val="32"/>
          <w:highlight w:val="none"/>
        </w:rPr>
        <w:t>7.建设工程项目管理承诺书</w:t>
      </w:r>
      <w:bookmarkEnd w:id="120"/>
      <w:bookmarkEnd w:id="121"/>
      <w:bookmarkEnd w:id="122"/>
    </w:p>
    <w:p w14:paraId="517EA2BB">
      <w:pPr>
        <w:tabs>
          <w:tab w:val="left" w:pos="3278"/>
        </w:tabs>
        <w:kinsoku w:val="0"/>
        <w:overflowPunct w:val="0"/>
        <w:autoSpaceDE w:val="0"/>
        <w:autoSpaceDN w:val="0"/>
        <w:adjustRightInd w:val="0"/>
        <w:rPr>
          <w:rFonts w:ascii="宋体" w:cs="宋体"/>
          <w:color w:val="auto"/>
          <w:kern w:val="0"/>
          <w:szCs w:val="21"/>
          <w:highlight w:val="none"/>
        </w:rPr>
      </w:pPr>
    </w:p>
    <w:p w14:paraId="0235B069">
      <w:pPr>
        <w:tabs>
          <w:tab w:val="left" w:pos="3278"/>
        </w:tabs>
        <w:kinsoku w:val="0"/>
        <w:overflowPunct w:val="0"/>
        <w:autoSpaceDE w:val="0"/>
        <w:autoSpaceDN w:val="0"/>
        <w:adjustRightInd w:val="0"/>
        <w:spacing w:line="360" w:lineRule="auto"/>
        <w:rPr>
          <w:rFonts w:ascii="宋体" w:cs="宋体"/>
          <w:color w:val="auto"/>
          <w:kern w:val="0"/>
          <w:szCs w:val="21"/>
          <w:highlight w:val="none"/>
        </w:rPr>
      </w:pPr>
      <w:r>
        <w:rPr>
          <w:rFonts w:hint="eastAsia" w:ascii="宋体" w:cs="宋体"/>
          <w:color w:val="auto"/>
          <w:kern w:val="0"/>
          <w:szCs w:val="21"/>
          <w:highlight w:val="none"/>
        </w:rPr>
        <w:t>致</w:t>
      </w:r>
      <w:r>
        <w:rPr>
          <w:color w:val="auto"/>
          <w:kern w:val="0"/>
          <w:szCs w:val="21"/>
          <w:highlight w:val="none"/>
          <w:u w:val="single"/>
        </w:rPr>
        <w:tab/>
      </w:r>
      <w:r>
        <w:rPr>
          <w:rFonts w:hint="eastAsia" w:ascii="宋体" w:cs="宋体"/>
          <w:color w:val="auto"/>
          <w:kern w:val="0"/>
          <w:szCs w:val="21"/>
          <w:highlight w:val="none"/>
        </w:rPr>
        <w:t>（采购人名称）：</w:t>
      </w:r>
    </w:p>
    <w:p w14:paraId="60BD62C4">
      <w:pPr>
        <w:tabs>
          <w:tab w:val="left" w:pos="3705"/>
        </w:tabs>
        <w:kinsoku w:val="0"/>
        <w:overflowPunct w:val="0"/>
        <w:autoSpaceDE w:val="0"/>
        <w:autoSpaceDN w:val="0"/>
        <w:adjustRightInd w:val="0"/>
        <w:spacing w:before="1" w:line="360" w:lineRule="auto"/>
        <w:ind w:firstLine="455"/>
        <w:rPr>
          <w:rFonts w:ascii="宋体" w:cs="宋体"/>
          <w:color w:val="auto"/>
          <w:kern w:val="0"/>
          <w:szCs w:val="21"/>
          <w:highlight w:val="none"/>
        </w:rPr>
      </w:pPr>
      <w:r>
        <w:rPr>
          <w:rFonts w:hint="eastAsia" w:ascii="宋体" w:cs="宋体"/>
          <w:color w:val="auto"/>
          <w:kern w:val="0"/>
          <w:szCs w:val="21"/>
          <w:highlight w:val="none"/>
        </w:rPr>
        <w:t>作为参与</w:t>
      </w:r>
      <w:r>
        <w:rPr>
          <w:rFonts w:hint="eastAsia" w:ascii="宋体" w:cs="宋体"/>
          <w:color w:val="auto"/>
          <w:kern w:val="0"/>
          <w:szCs w:val="21"/>
          <w:highlight w:val="none"/>
          <w:u w:val="single"/>
        </w:rPr>
        <w:t xml:space="preserve">         </w:t>
      </w:r>
      <w:r>
        <w:rPr>
          <w:rFonts w:hint="eastAsia" w:ascii="宋体" w:cs="宋体"/>
          <w:color w:val="auto"/>
          <w:spacing w:val="-2"/>
          <w:kern w:val="0"/>
          <w:szCs w:val="21"/>
          <w:highlight w:val="none"/>
        </w:rPr>
        <w:t>（工程名称）项目的竞标方，根据国家、自治区</w:t>
      </w:r>
      <w:r>
        <w:rPr>
          <w:rFonts w:hint="eastAsia" w:ascii="宋体" w:cs="宋体"/>
          <w:color w:val="auto"/>
          <w:spacing w:val="-1"/>
          <w:kern w:val="0"/>
          <w:szCs w:val="21"/>
          <w:highlight w:val="none"/>
        </w:rPr>
        <w:t>相关文件规定，</w:t>
      </w:r>
      <w:r>
        <w:rPr>
          <w:rFonts w:ascii="宋体" w:cs="宋体"/>
          <w:color w:val="auto"/>
          <w:spacing w:val="-102"/>
          <w:kern w:val="0"/>
          <w:szCs w:val="21"/>
          <w:highlight w:val="none"/>
        </w:rPr>
        <w:t xml:space="preserve"> </w:t>
      </w:r>
      <w:r>
        <w:rPr>
          <w:rFonts w:hint="eastAsia" w:ascii="宋体" w:cs="宋体"/>
          <w:color w:val="auto"/>
          <w:kern w:val="0"/>
          <w:szCs w:val="21"/>
          <w:highlight w:val="none"/>
        </w:rPr>
        <w:t>我方在此向招标人承诺：</w:t>
      </w:r>
    </w:p>
    <w:p w14:paraId="5C82E301">
      <w:pPr>
        <w:kinsoku w:val="0"/>
        <w:overflowPunct w:val="0"/>
        <w:autoSpaceDE w:val="0"/>
        <w:autoSpaceDN w:val="0"/>
        <w:adjustRightInd w:val="0"/>
        <w:spacing w:line="360" w:lineRule="auto"/>
        <w:ind w:firstLine="455"/>
        <w:rPr>
          <w:rFonts w:ascii="宋体" w:cs="宋体"/>
          <w:color w:val="auto"/>
          <w:spacing w:val="-4"/>
          <w:kern w:val="0"/>
          <w:szCs w:val="21"/>
          <w:highlight w:val="none"/>
        </w:rPr>
      </w:pPr>
      <w:r>
        <w:rPr>
          <w:color w:val="auto"/>
          <w:spacing w:val="-2"/>
          <w:kern w:val="0"/>
          <w:szCs w:val="21"/>
          <w:highlight w:val="none"/>
        </w:rPr>
        <w:t>1</w:t>
      </w:r>
      <w:r>
        <w:rPr>
          <w:rFonts w:hint="eastAsia" w:ascii="宋体" w:cs="宋体"/>
          <w:color w:val="auto"/>
          <w:spacing w:val="-4"/>
          <w:kern w:val="0"/>
          <w:szCs w:val="21"/>
          <w:highlight w:val="none"/>
        </w:rPr>
        <w:t>、一旦成交， 我方保证按照政府相关部门的规定， 在发出成交通知书之日起 7 个工作日内足额将农民工工资保障金转入农民工工资保障金专用账户。 一旦我方所承包的该项目中出现拖欠农民工工资情况， 由劳动保障、住房城乡建设行政主管部门按照《关于进一步完善建筑行业农民工工资保证金制度的通知》（桂劳社发〔2009〕50 号）从我方农民工工资保障金中先予划支。</w:t>
      </w:r>
    </w:p>
    <w:p w14:paraId="244B7A20">
      <w:pPr>
        <w:kinsoku w:val="0"/>
        <w:overflowPunct w:val="0"/>
        <w:autoSpaceDE w:val="0"/>
        <w:autoSpaceDN w:val="0"/>
        <w:adjustRightInd w:val="0"/>
        <w:spacing w:line="360" w:lineRule="auto"/>
        <w:ind w:firstLine="455"/>
        <w:rPr>
          <w:rFonts w:ascii="宋体" w:cs="宋体"/>
          <w:color w:val="auto"/>
          <w:spacing w:val="-4"/>
          <w:kern w:val="0"/>
          <w:szCs w:val="21"/>
          <w:highlight w:val="none"/>
        </w:rPr>
      </w:pPr>
      <w:r>
        <w:rPr>
          <w:rFonts w:hint="eastAsia" w:ascii="宋体" w:cs="宋体"/>
          <w:color w:val="auto"/>
          <w:spacing w:val="-4"/>
          <w:kern w:val="0"/>
          <w:szCs w:val="21"/>
          <w:highlight w:val="none"/>
        </w:rPr>
        <w:t>2、 一旦成交，我方保证在施工过程中，严格执行《广西壮族自治区建筑工程安全文明施工费使用管理细则》（桂建质〔2015〕16 号）的有关规定，确保建设工程各项安全防护、文明施工措施落实到位。如我方在该项目的承包中出现未按桂建质〔2015〕16 号文附件一规定执行的情形，我方愿意按照相关规定接受建设单位及有关主管部门的处罚。</w:t>
      </w:r>
    </w:p>
    <w:p w14:paraId="7E98F284">
      <w:pPr>
        <w:kinsoku w:val="0"/>
        <w:overflowPunct w:val="0"/>
        <w:autoSpaceDE w:val="0"/>
        <w:autoSpaceDN w:val="0"/>
        <w:adjustRightInd w:val="0"/>
        <w:spacing w:line="360" w:lineRule="auto"/>
        <w:ind w:firstLine="455"/>
        <w:rPr>
          <w:rFonts w:ascii="宋体" w:cs="宋体"/>
          <w:color w:val="auto"/>
          <w:spacing w:val="-4"/>
          <w:kern w:val="0"/>
          <w:szCs w:val="21"/>
          <w:highlight w:val="none"/>
        </w:rPr>
      </w:pPr>
      <w:r>
        <w:rPr>
          <w:rFonts w:hint="eastAsia" w:ascii="宋体" w:cs="宋体"/>
          <w:color w:val="auto"/>
          <w:spacing w:val="-4"/>
          <w:kern w:val="0"/>
          <w:szCs w:val="21"/>
          <w:highlight w:val="none"/>
        </w:rPr>
        <w:t>3、一旦成交，我方保证在施工过程中，严格执行散装水泥和预拌混凝土管理的有关规定，确保建设工程按规定使用散装水泥和预拌混凝土。如我方在该项目的承包中出现未按规定执行的情形，我方愿意按照相关规定接受建设单位及有关主管部门的处罚。</w:t>
      </w:r>
    </w:p>
    <w:p w14:paraId="4C9CAA70">
      <w:pPr>
        <w:kinsoku w:val="0"/>
        <w:overflowPunct w:val="0"/>
        <w:autoSpaceDE w:val="0"/>
        <w:autoSpaceDN w:val="0"/>
        <w:adjustRightInd w:val="0"/>
        <w:spacing w:line="360" w:lineRule="auto"/>
        <w:ind w:firstLine="455"/>
        <w:rPr>
          <w:rFonts w:ascii="宋体" w:cs="宋体"/>
          <w:color w:val="auto"/>
          <w:spacing w:val="-4"/>
          <w:kern w:val="0"/>
          <w:szCs w:val="21"/>
          <w:highlight w:val="none"/>
        </w:rPr>
      </w:pPr>
      <w:r>
        <w:rPr>
          <w:rFonts w:hint="eastAsia" w:ascii="宋体" w:cs="宋体"/>
          <w:color w:val="auto"/>
          <w:spacing w:val="-4"/>
          <w:kern w:val="0"/>
          <w:szCs w:val="21"/>
          <w:highlight w:val="none"/>
        </w:rPr>
        <w:t>4、一旦成交，我方保证在施工过程中，严格执行《关于禁止使用不符合规范要求的竹脚手架的通知》（桂建管字〔2003〕40 号）的有关规定，不使用竹脚手架。如我方在该项目的承包中出现未按规定执行的情形，我方愿意按照相关规定接受建设单位及有关主管部门的处罚。</w:t>
      </w:r>
    </w:p>
    <w:p w14:paraId="31436786">
      <w:pPr>
        <w:kinsoku w:val="0"/>
        <w:overflowPunct w:val="0"/>
        <w:autoSpaceDE w:val="0"/>
        <w:autoSpaceDN w:val="0"/>
        <w:adjustRightInd w:val="0"/>
        <w:spacing w:line="360" w:lineRule="auto"/>
        <w:ind w:firstLine="455"/>
        <w:rPr>
          <w:rFonts w:ascii="宋体" w:cs="宋体"/>
          <w:color w:val="auto"/>
          <w:spacing w:val="-4"/>
          <w:kern w:val="0"/>
          <w:szCs w:val="21"/>
          <w:highlight w:val="none"/>
        </w:rPr>
      </w:pPr>
      <w:r>
        <w:rPr>
          <w:rFonts w:hint="eastAsia" w:ascii="宋体" w:cs="宋体"/>
          <w:color w:val="auto"/>
          <w:spacing w:val="-4"/>
          <w:kern w:val="0"/>
          <w:szCs w:val="21"/>
          <w:highlight w:val="none"/>
        </w:rPr>
        <w:t xml:space="preserve">5、一旦成交，我方保证严格执行《危险性较大的分部分项工程安全管理规定》（建办质〔2018〕31 号）的规定，强化对深基坑、高切坡、高大模板、人工挖孔桩、起重吊装、临时活动板房等重大危险源的专项施工方案的编制、论证、审批、实施、检测的风险管理。 </w:t>
      </w:r>
    </w:p>
    <w:p w14:paraId="01E75B8C">
      <w:pPr>
        <w:kinsoku w:val="0"/>
        <w:overflowPunct w:val="0"/>
        <w:autoSpaceDE w:val="0"/>
        <w:autoSpaceDN w:val="0"/>
        <w:adjustRightInd w:val="0"/>
        <w:spacing w:line="463" w:lineRule="auto"/>
        <w:ind w:firstLine="455"/>
        <w:rPr>
          <w:rFonts w:ascii="宋体" w:cs="宋体"/>
          <w:color w:val="auto"/>
          <w:kern w:val="0"/>
          <w:szCs w:val="21"/>
          <w:highlight w:val="none"/>
        </w:rPr>
      </w:pPr>
    </w:p>
    <w:p w14:paraId="23AFB180">
      <w:pPr>
        <w:tabs>
          <w:tab w:val="left" w:pos="6953"/>
        </w:tabs>
        <w:kinsoku w:val="0"/>
        <w:overflowPunct w:val="0"/>
        <w:autoSpaceDE w:val="0"/>
        <w:autoSpaceDN w:val="0"/>
        <w:adjustRightInd w:val="0"/>
        <w:spacing w:before="1"/>
        <w:jc w:val="right"/>
        <w:rPr>
          <w:rFonts w:ascii="宋体" w:cs="宋体"/>
          <w:color w:val="auto"/>
          <w:kern w:val="0"/>
          <w:szCs w:val="21"/>
          <w:highlight w:val="none"/>
          <w:u w:val="single"/>
        </w:rPr>
      </w:pPr>
      <w:r>
        <w:rPr>
          <w:rFonts w:hint="eastAsia" w:ascii="宋体" w:cs="宋体"/>
          <w:color w:val="auto"/>
          <w:kern w:val="0"/>
          <w:szCs w:val="21"/>
          <w:highlight w:val="none"/>
        </w:rPr>
        <w:t>供应商：</w:t>
      </w:r>
      <w:r>
        <w:rPr>
          <w:rFonts w:hint="eastAsia" w:ascii="宋体" w:cs="宋体"/>
          <w:color w:val="auto"/>
          <w:kern w:val="0"/>
          <w:szCs w:val="21"/>
          <w:highlight w:val="none"/>
          <w:u w:val="single"/>
        </w:rPr>
        <w:t xml:space="preserve">                              （电子签章）</w:t>
      </w:r>
    </w:p>
    <w:p w14:paraId="2639325A">
      <w:pPr>
        <w:tabs>
          <w:tab w:val="left" w:pos="6953"/>
        </w:tabs>
        <w:kinsoku w:val="0"/>
        <w:overflowPunct w:val="0"/>
        <w:autoSpaceDE w:val="0"/>
        <w:autoSpaceDN w:val="0"/>
        <w:adjustRightInd w:val="0"/>
        <w:spacing w:before="1"/>
        <w:jc w:val="right"/>
        <w:rPr>
          <w:rFonts w:ascii="宋体" w:cs="宋体"/>
          <w:color w:val="auto"/>
          <w:kern w:val="0"/>
          <w:szCs w:val="21"/>
          <w:highlight w:val="none"/>
          <w:u w:val="single"/>
        </w:rPr>
      </w:pPr>
    </w:p>
    <w:p w14:paraId="7B4D6FAC">
      <w:pPr>
        <w:tabs>
          <w:tab w:val="left" w:pos="6953"/>
        </w:tabs>
        <w:kinsoku w:val="0"/>
        <w:overflowPunct w:val="0"/>
        <w:autoSpaceDE w:val="0"/>
        <w:autoSpaceDN w:val="0"/>
        <w:adjustRightInd w:val="0"/>
        <w:spacing w:before="1"/>
        <w:jc w:val="right"/>
        <w:rPr>
          <w:color w:val="auto"/>
          <w:kern w:val="0"/>
          <w:szCs w:val="21"/>
          <w:highlight w:val="none"/>
        </w:rPr>
      </w:pPr>
    </w:p>
    <w:p w14:paraId="64C2168A">
      <w:pPr>
        <w:tabs>
          <w:tab w:val="left" w:pos="5484"/>
          <w:tab w:val="left" w:pos="6533"/>
          <w:tab w:val="left" w:pos="7585"/>
          <w:tab w:val="left" w:pos="7901"/>
        </w:tabs>
        <w:kinsoku w:val="0"/>
        <w:overflowPunct w:val="0"/>
        <w:autoSpaceDE w:val="0"/>
        <w:autoSpaceDN w:val="0"/>
        <w:adjustRightInd w:val="0"/>
        <w:spacing w:before="71" w:line="348" w:lineRule="auto"/>
        <w:jc w:val="right"/>
        <w:rPr>
          <w:rFonts w:ascii="宋体" w:cs="宋体"/>
          <w:color w:val="auto"/>
          <w:kern w:val="0"/>
          <w:szCs w:val="21"/>
          <w:highlight w:val="none"/>
          <w:u w:val="single"/>
        </w:rPr>
      </w:pPr>
      <w:r>
        <w:rPr>
          <w:rFonts w:hint="eastAsia" w:ascii="宋体" w:cs="宋体"/>
          <w:color w:val="auto"/>
          <w:kern w:val="0"/>
          <w:szCs w:val="21"/>
          <w:highlight w:val="none"/>
        </w:rPr>
        <w:t xml:space="preserve">     法定代表人或授权代理人：</w:t>
      </w:r>
      <w:r>
        <w:rPr>
          <w:rFonts w:hint="eastAsia" w:ascii="宋体" w:cs="宋体"/>
          <w:color w:val="auto"/>
          <w:kern w:val="0"/>
          <w:szCs w:val="21"/>
          <w:highlight w:val="none"/>
          <w:u w:val="single"/>
        </w:rPr>
        <w:t xml:space="preserve">             （签字或盖章）</w:t>
      </w:r>
    </w:p>
    <w:p w14:paraId="04E78C1F">
      <w:pPr>
        <w:tabs>
          <w:tab w:val="left" w:pos="5484"/>
          <w:tab w:val="left" w:pos="6533"/>
          <w:tab w:val="left" w:pos="7585"/>
          <w:tab w:val="left" w:pos="7901"/>
        </w:tabs>
        <w:kinsoku w:val="0"/>
        <w:overflowPunct w:val="0"/>
        <w:autoSpaceDE w:val="0"/>
        <w:autoSpaceDN w:val="0"/>
        <w:adjustRightInd w:val="0"/>
        <w:spacing w:before="71" w:line="348" w:lineRule="auto"/>
        <w:jc w:val="right"/>
        <w:rPr>
          <w:rFonts w:ascii="宋体" w:cs="宋体"/>
          <w:color w:val="auto"/>
          <w:kern w:val="0"/>
          <w:szCs w:val="21"/>
          <w:highlight w:val="none"/>
          <w:u w:val="single"/>
        </w:rPr>
      </w:pPr>
    </w:p>
    <w:p w14:paraId="41F72886">
      <w:pPr>
        <w:tabs>
          <w:tab w:val="left" w:pos="5484"/>
          <w:tab w:val="left" w:pos="6533"/>
          <w:tab w:val="left" w:pos="7585"/>
          <w:tab w:val="left" w:pos="7901"/>
        </w:tabs>
        <w:kinsoku w:val="0"/>
        <w:overflowPunct w:val="0"/>
        <w:autoSpaceDE w:val="0"/>
        <w:autoSpaceDN w:val="0"/>
        <w:adjustRightInd w:val="0"/>
        <w:spacing w:before="71" w:line="348" w:lineRule="auto"/>
        <w:jc w:val="right"/>
        <w:rPr>
          <w:rFonts w:ascii="宋体" w:cs="宋体"/>
          <w:color w:val="auto"/>
          <w:kern w:val="0"/>
          <w:szCs w:val="21"/>
          <w:highlight w:val="none"/>
        </w:rPr>
      </w:pPr>
      <w:r>
        <w:rPr>
          <w:rFonts w:ascii="宋体" w:cs="宋体"/>
          <w:color w:val="auto"/>
          <w:spacing w:val="-102"/>
          <w:kern w:val="0"/>
          <w:szCs w:val="21"/>
          <w:highlight w:val="none"/>
          <w:u w:val="single"/>
        </w:rPr>
        <w:t xml:space="preserve"> </w:t>
      </w:r>
      <w:r>
        <w:rPr>
          <w:rFonts w:hint="eastAsia" w:ascii="宋体" w:cs="宋体"/>
          <w:color w:val="auto"/>
          <w:kern w:val="0"/>
          <w:szCs w:val="21"/>
          <w:highlight w:val="none"/>
        </w:rPr>
        <w:t>日期：</w:t>
      </w:r>
      <w:r>
        <w:rPr>
          <w:rFonts w:hint="eastAsia"/>
          <w:color w:val="auto"/>
          <w:kern w:val="0"/>
          <w:szCs w:val="21"/>
          <w:highlight w:val="none"/>
          <w:u w:val="single"/>
        </w:rPr>
        <w:t xml:space="preserve">     </w:t>
      </w:r>
      <w:r>
        <w:rPr>
          <w:rFonts w:hint="eastAsia" w:ascii="宋体" w:cs="宋体"/>
          <w:color w:val="auto"/>
          <w:kern w:val="0"/>
          <w:szCs w:val="21"/>
          <w:highlight w:val="none"/>
        </w:rPr>
        <w:t>年</w:t>
      </w:r>
      <w:r>
        <w:rPr>
          <w:rFonts w:hint="eastAsia"/>
          <w:color w:val="auto"/>
          <w:kern w:val="0"/>
          <w:szCs w:val="21"/>
          <w:highlight w:val="none"/>
          <w:u w:val="single"/>
        </w:rPr>
        <w:t xml:space="preserve">    </w:t>
      </w:r>
      <w:r>
        <w:rPr>
          <w:rFonts w:hint="eastAsia" w:ascii="宋体" w:cs="宋体"/>
          <w:color w:val="auto"/>
          <w:kern w:val="0"/>
          <w:szCs w:val="21"/>
          <w:highlight w:val="none"/>
        </w:rPr>
        <w:t>月</w:t>
      </w:r>
      <w:r>
        <w:rPr>
          <w:rFonts w:hint="eastAsia"/>
          <w:color w:val="auto"/>
          <w:kern w:val="0"/>
          <w:szCs w:val="21"/>
          <w:highlight w:val="none"/>
          <w:u w:val="single"/>
        </w:rPr>
        <w:t xml:space="preserve">    </w:t>
      </w:r>
      <w:r>
        <w:rPr>
          <w:rFonts w:hint="eastAsia" w:ascii="宋体" w:cs="宋体"/>
          <w:color w:val="auto"/>
          <w:kern w:val="0"/>
          <w:szCs w:val="21"/>
          <w:highlight w:val="none"/>
        </w:rPr>
        <w:t>日</w:t>
      </w:r>
    </w:p>
    <w:p w14:paraId="41DA7D6A">
      <w:pPr>
        <w:kinsoku w:val="0"/>
        <w:overflowPunct w:val="0"/>
        <w:autoSpaceDE w:val="0"/>
        <w:autoSpaceDN w:val="0"/>
        <w:adjustRightInd w:val="0"/>
        <w:spacing w:line="463" w:lineRule="auto"/>
        <w:ind w:left="426" w:right="802" w:firstLine="455"/>
        <w:rPr>
          <w:rFonts w:ascii="宋体" w:cs="宋体"/>
          <w:color w:val="auto"/>
          <w:kern w:val="0"/>
          <w:szCs w:val="21"/>
          <w:highlight w:val="none"/>
        </w:rPr>
      </w:pPr>
    </w:p>
    <w:p w14:paraId="760A1216">
      <w:pPr>
        <w:kinsoku w:val="0"/>
        <w:overflowPunct w:val="0"/>
        <w:autoSpaceDE w:val="0"/>
        <w:autoSpaceDN w:val="0"/>
        <w:adjustRightInd w:val="0"/>
        <w:spacing w:line="463" w:lineRule="auto"/>
        <w:ind w:right="802"/>
        <w:rPr>
          <w:rFonts w:ascii="宋体" w:cs="宋体"/>
          <w:color w:val="auto"/>
          <w:kern w:val="0"/>
          <w:szCs w:val="21"/>
          <w:highlight w:val="none"/>
        </w:rPr>
      </w:pPr>
    </w:p>
    <w:p w14:paraId="7B64DA3D">
      <w:pPr>
        <w:kinsoku w:val="0"/>
        <w:overflowPunct w:val="0"/>
        <w:autoSpaceDE w:val="0"/>
        <w:autoSpaceDN w:val="0"/>
        <w:adjustRightInd w:val="0"/>
        <w:spacing w:line="463" w:lineRule="auto"/>
        <w:ind w:left="426" w:right="802" w:firstLine="455"/>
        <w:rPr>
          <w:rFonts w:ascii="宋体" w:cs="宋体"/>
          <w:color w:val="auto"/>
          <w:kern w:val="0"/>
          <w:szCs w:val="21"/>
          <w:highlight w:val="none"/>
        </w:rPr>
      </w:pPr>
    </w:p>
    <w:p w14:paraId="671546ED">
      <w:pPr>
        <w:kinsoku w:val="0"/>
        <w:overflowPunct w:val="0"/>
        <w:autoSpaceDE w:val="0"/>
        <w:autoSpaceDN w:val="0"/>
        <w:adjustRightInd w:val="0"/>
        <w:spacing w:line="463" w:lineRule="auto"/>
        <w:ind w:left="426" w:right="802" w:firstLine="455"/>
        <w:rPr>
          <w:rFonts w:ascii="宋体" w:cs="宋体"/>
          <w:color w:val="auto"/>
          <w:kern w:val="0"/>
          <w:szCs w:val="21"/>
          <w:highlight w:val="none"/>
        </w:rPr>
      </w:pPr>
    </w:p>
    <w:p w14:paraId="364EDA2D">
      <w:pPr>
        <w:kinsoku w:val="0"/>
        <w:overflowPunct w:val="0"/>
        <w:autoSpaceDE w:val="0"/>
        <w:autoSpaceDN w:val="0"/>
        <w:adjustRightInd w:val="0"/>
        <w:spacing w:line="463" w:lineRule="auto"/>
        <w:ind w:left="426" w:right="802" w:firstLine="455"/>
        <w:rPr>
          <w:rFonts w:ascii="宋体" w:cs="宋体"/>
          <w:color w:val="auto"/>
          <w:kern w:val="0"/>
          <w:szCs w:val="21"/>
          <w:highlight w:val="none"/>
        </w:rPr>
      </w:pPr>
    </w:p>
    <w:p w14:paraId="0A14AF4B">
      <w:pPr>
        <w:spacing w:before="240" w:beforeLines="100" w:after="120" w:afterLines="50" w:line="52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8.法定代表人证明书</w:t>
      </w:r>
    </w:p>
    <w:p w14:paraId="56957389">
      <w:pPr>
        <w:spacing w:line="520" w:lineRule="exact"/>
        <w:ind w:left="540"/>
        <w:rPr>
          <w:rFonts w:ascii="宋体" w:hAnsi="宋体" w:cs="仿宋_GB2312"/>
          <w:color w:val="auto"/>
          <w:sz w:val="32"/>
          <w:szCs w:val="32"/>
          <w:highlight w:val="none"/>
        </w:rPr>
      </w:pPr>
    </w:p>
    <w:p w14:paraId="3E7E3DD0">
      <w:pPr>
        <w:spacing w:line="360" w:lineRule="auto"/>
        <w:ind w:left="540"/>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0C1635BF">
      <w:pPr>
        <w:spacing w:line="360" w:lineRule="auto"/>
        <w:ind w:left="540"/>
        <w:rPr>
          <w:rFonts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4B18AA6A">
      <w:pPr>
        <w:spacing w:line="360" w:lineRule="auto"/>
        <w:ind w:left="540"/>
        <w:rPr>
          <w:rFonts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0C4E9009">
      <w:pPr>
        <w:spacing w:line="360" w:lineRule="auto"/>
        <w:ind w:left="540"/>
        <w:rPr>
          <w:rFonts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3CF84F7C">
      <w:pPr>
        <w:spacing w:line="360" w:lineRule="auto"/>
        <w:ind w:left="540"/>
        <w:rPr>
          <w:rFonts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1D0E13F4">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w:t>
      </w:r>
      <w:r>
        <w:rPr>
          <w:rFonts w:hint="eastAsia" w:ascii="宋体" w:hAnsi="宋体" w:cs="仿宋_GB2312"/>
          <w:color w:val="auto"/>
          <w:sz w:val="24"/>
          <w:highlight w:val="none"/>
        </w:rPr>
        <w:t>的法定代表人。</w:t>
      </w:r>
    </w:p>
    <w:p w14:paraId="40202B31">
      <w:pPr>
        <w:spacing w:line="360" w:lineRule="auto"/>
        <w:ind w:left="540"/>
        <w:rPr>
          <w:rFonts w:ascii="宋体" w:hAnsi="宋体" w:cs="仿宋_GB2312"/>
          <w:color w:val="auto"/>
          <w:sz w:val="24"/>
          <w:highlight w:val="none"/>
        </w:rPr>
      </w:pPr>
      <w:r>
        <w:rPr>
          <w:rFonts w:hint="eastAsia" w:ascii="宋体" w:hAnsi="宋体" w:cs="仿宋_GB2312"/>
          <w:color w:val="auto"/>
          <w:sz w:val="24"/>
          <w:highlight w:val="none"/>
        </w:rPr>
        <w:t>特此证明。</w:t>
      </w:r>
    </w:p>
    <w:p w14:paraId="2D25CF71">
      <w:pPr>
        <w:spacing w:line="360" w:lineRule="auto"/>
        <w:ind w:left="540"/>
        <w:rPr>
          <w:rFonts w:ascii="宋体" w:hAnsi="宋体" w:cs="仿宋_GB2312"/>
          <w:color w:val="auto"/>
          <w:sz w:val="24"/>
          <w:highlight w:val="none"/>
        </w:rPr>
      </w:pPr>
    </w:p>
    <w:p w14:paraId="1E93F752">
      <w:pPr>
        <w:spacing w:line="360" w:lineRule="auto"/>
        <w:ind w:left="540"/>
        <w:rPr>
          <w:rFonts w:ascii="宋体" w:hAnsi="宋体" w:cs="仿宋_GB2312"/>
          <w:color w:val="auto"/>
          <w:sz w:val="24"/>
          <w:highlight w:val="none"/>
        </w:rPr>
      </w:pPr>
    </w:p>
    <w:p w14:paraId="2D83D364">
      <w:pPr>
        <w:spacing w:line="360" w:lineRule="auto"/>
        <w:ind w:left="540"/>
        <w:rPr>
          <w:rFonts w:ascii="宋体" w:hAnsi="宋体" w:cs="仿宋_GB2312"/>
          <w:color w:val="auto"/>
          <w:sz w:val="24"/>
          <w:highlight w:val="none"/>
        </w:rPr>
      </w:pPr>
    </w:p>
    <w:p w14:paraId="35516B8F">
      <w:pPr>
        <w:spacing w:line="360" w:lineRule="auto"/>
        <w:ind w:left="540"/>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0F982AB0">
      <w:pPr>
        <w:spacing w:line="360" w:lineRule="auto"/>
        <w:ind w:left="540"/>
        <w:rPr>
          <w:rFonts w:ascii="宋体" w:hAnsi="宋体" w:cs="仿宋_GB2312"/>
          <w:color w:val="auto"/>
          <w:sz w:val="24"/>
          <w:highlight w:val="none"/>
        </w:rPr>
      </w:pPr>
    </w:p>
    <w:p w14:paraId="5BAA5E54">
      <w:pPr>
        <w:spacing w:line="360" w:lineRule="auto"/>
        <w:ind w:left="540" w:firstLine="2880" w:firstLineChars="1200"/>
        <w:rPr>
          <w:rFonts w:ascii="宋体" w:hAnsi="宋体" w:cs="仿宋_GB2312"/>
          <w:color w:val="auto"/>
          <w:sz w:val="24"/>
          <w:highlight w:val="non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p>
    <w:p w14:paraId="31F1A5CB">
      <w:pPr>
        <w:snapToGrid w:val="0"/>
        <w:spacing w:before="120" w:beforeLines="50" w:after="50" w:line="360" w:lineRule="auto"/>
        <w:ind w:firstLine="4080" w:firstLineChars="1700"/>
        <w:rPr>
          <w:rFonts w:ascii="宋体" w:hAnsi="宋体" w:cs="仿宋_GB2312"/>
          <w:color w:val="auto"/>
          <w:sz w:val="24"/>
          <w:highlight w:val="none"/>
        </w:rPr>
      </w:pP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1E721817">
      <w:pPr>
        <w:snapToGrid w:val="0"/>
        <w:spacing w:before="120" w:beforeLines="50" w:after="50" w:line="360" w:lineRule="auto"/>
        <w:jc w:val="center"/>
        <w:rPr>
          <w:rFonts w:ascii="宋体" w:hAnsi="宋体" w:cs="仿宋_GB2312"/>
          <w:b/>
          <w:color w:val="auto"/>
          <w:sz w:val="24"/>
          <w:highlight w:val="none"/>
        </w:rPr>
      </w:pPr>
    </w:p>
    <w:p w14:paraId="1A12FECD">
      <w:pPr>
        <w:snapToGrid w:val="0"/>
        <w:spacing w:before="120" w:beforeLines="50" w:after="50" w:line="360" w:lineRule="auto"/>
        <w:rPr>
          <w:rFonts w:ascii="宋体" w:hAnsi="宋体" w:cs="仿宋_GB2312"/>
          <w:color w:val="auto"/>
          <w:sz w:val="24"/>
          <w:highlight w:val="none"/>
        </w:rPr>
      </w:pPr>
    </w:p>
    <w:p w14:paraId="65C5CD25">
      <w:pPr>
        <w:snapToGrid w:val="0"/>
        <w:spacing w:before="120" w:beforeLines="50" w:after="50" w:line="360" w:lineRule="auto"/>
        <w:ind w:firstLine="480" w:firstLineChars="200"/>
        <w:rPr>
          <w:rFonts w:ascii="宋体" w:hAnsi="宋体" w:cs="仿宋_GB2312"/>
          <w:color w:val="auto"/>
          <w:sz w:val="24"/>
          <w:highlight w:val="none"/>
        </w:rPr>
      </w:pPr>
    </w:p>
    <w:p w14:paraId="705BFA00">
      <w:pPr>
        <w:snapToGrid w:val="0"/>
        <w:spacing w:before="120" w:beforeLines="50" w:after="50" w:line="360" w:lineRule="auto"/>
        <w:ind w:firstLine="480" w:firstLineChars="200"/>
        <w:rPr>
          <w:rFonts w:ascii="宋体" w:hAnsi="宋体" w:cs="仿宋_GB2312"/>
          <w:color w:val="auto"/>
          <w:sz w:val="24"/>
          <w:highlight w:val="none"/>
        </w:rPr>
      </w:pPr>
    </w:p>
    <w:p w14:paraId="1392D1FB">
      <w:pPr>
        <w:snapToGrid w:val="0"/>
        <w:spacing w:before="120" w:beforeLines="50" w:after="50" w:line="360" w:lineRule="auto"/>
        <w:ind w:firstLine="480" w:firstLineChars="200"/>
        <w:rPr>
          <w:rFonts w:ascii="宋体" w:hAnsi="宋体" w:cs="仿宋_GB2312"/>
          <w:color w:val="auto"/>
          <w:sz w:val="24"/>
          <w:highlight w:val="none"/>
        </w:rPr>
      </w:pPr>
    </w:p>
    <w:p w14:paraId="028E46F4">
      <w:pPr>
        <w:snapToGrid w:val="0"/>
        <w:spacing w:before="120" w:beforeLines="50" w:after="50" w:line="360" w:lineRule="auto"/>
        <w:ind w:firstLine="480" w:firstLineChars="200"/>
        <w:rPr>
          <w:rFonts w:ascii="宋体" w:hAnsi="宋体" w:cs="仿宋_GB2312"/>
          <w:color w:val="auto"/>
          <w:sz w:val="24"/>
          <w:highlight w:val="none"/>
        </w:rPr>
      </w:pPr>
    </w:p>
    <w:p w14:paraId="2744BE08">
      <w:pPr>
        <w:snapToGrid w:val="0"/>
        <w:spacing w:before="120" w:beforeLines="50" w:after="50" w:line="360" w:lineRule="auto"/>
        <w:ind w:firstLine="480" w:firstLineChars="200"/>
        <w:rPr>
          <w:rFonts w:ascii="宋体" w:hAnsi="宋体" w:cs="仿宋_GB2312"/>
          <w:color w:val="auto"/>
          <w:sz w:val="24"/>
          <w:highlight w:val="none"/>
        </w:rPr>
      </w:pPr>
    </w:p>
    <w:p w14:paraId="133B0603">
      <w:pPr>
        <w:snapToGrid w:val="0"/>
        <w:spacing w:before="120" w:beforeLines="50" w:after="50" w:line="360" w:lineRule="auto"/>
        <w:ind w:firstLine="480" w:firstLineChars="200"/>
        <w:rPr>
          <w:rFonts w:ascii="宋体" w:hAnsi="宋体" w:cs="仿宋_GB2312"/>
          <w:color w:val="auto"/>
          <w:sz w:val="24"/>
          <w:highlight w:val="none"/>
        </w:rPr>
      </w:pPr>
    </w:p>
    <w:p w14:paraId="5A62680C">
      <w:pPr>
        <w:snapToGrid w:val="0"/>
        <w:spacing w:before="120" w:beforeLines="50" w:after="50" w:line="360" w:lineRule="auto"/>
        <w:ind w:firstLine="480" w:firstLineChars="200"/>
        <w:rPr>
          <w:rFonts w:ascii="宋体" w:hAnsi="宋体" w:cs="仿宋_GB2312"/>
          <w:color w:val="auto"/>
          <w:sz w:val="24"/>
          <w:highlight w:val="none"/>
        </w:rPr>
      </w:pPr>
    </w:p>
    <w:p w14:paraId="0C3E6EBA">
      <w:pPr>
        <w:snapToGrid w:val="0"/>
        <w:spacing w:before="120" w:beforeLines="50" w:after="50" w:line="360" w:lineRule="auto"/>
        <w:ind w:firstLine="643" w:firstLineChars="200"/>
        <w:rPr>
          <w:rFonts w:ascii="宋体" w:hAnsi="宋体" w:cs="仿宋_GB2312"/>
          <w:b/>
          <w:color w:val="auto"/>
          <w:sz w:val="32"/>
          <w:szCs w:val="32"/>
          <w:highlight w:val="none"/>
        </w:rPr>
      </w:pPr>
    </w:p>
    <w:p w14:paraId="522A8B4B">
      <w:pPr>
        <w:spacing w:line="520" w:lineRule="exact"/>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9.法定代表人授权委托书</w:t>
      </w:r>
    </w:p>
    <w:p w14:paraId="452E9F27">
      <w:pPr>
        <w:spacing w:line="520" w:lineRule="exact"/>
        <w:jc w:val="center"/>
        <w:rPr>
          <w:rFonts w:ascii="宋体" w:hAnsi="宋体" w:cs="方正小标宋简体"/>
          <w:color w:val="auto"/>
          <w:sz w:val="44"/>
          <w:szCs w:val="44"/>
          <w:highlight w:val="none"/>
        </w:rPr>
      </w:pPr>
      <w:r>
        <w:rPr>
          <w:rFonts w:hint="eastAsia" w:ascii="宋体" w:hAnsi="宋体" w:cs="宋体"/>
          <w:color w:val="auto"/>
          <w:sz w:val="32"/>
          <w:szCs w:val="32"/>
          <w:highlight w:val="none"/>
        </w:rPr>
        <w:t>（如有委托时）</w:t>
      </w:r>
    </w:p>
    <w:p w14:paraId="289C6C04">
      <w:pPr>
        <w:spacing w:line="520" w:lineRule="exact"/>
        <w:rPr>
          <w:rFonts w:ascii="宋体" w:hAnsi="宋体" w:cs="仿宋_GB2312"/>
          <w:color w:val="auto"/>
          <w:sz w:val="32"/>
          <w:szCs w:val="32"/>
          <w:highlight w:val="none"/>
        </w:rPr>
      </w:pPr>
    </w:p>
    <w:p w14:paraId="13E8AEEC">
      <w:pPr>
        <w:widowControl/>
        <w:spacing w:line="360" w:lineRule="auto"/>
        <w:rPr>
          <w:rFonts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608B4290">
      <w:pPr>
        <w:widowControl/>
        <w:spacing w:line="360" w:lineRule="auto"/>
        <w:ind w:firstLine="420"/>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59857C4E">
      <w:pPr>
        <w:widowControl/>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我方对委托代理人的签字事项负全部责任。</w:t>
      </w:r>
    </w:p>
    <w:p w14:paraId="70FEAF0C">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758E6315">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727C030E">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1A8E159E">
      <w:pPr>
        <w:widowControl/>
        <w:spacing w:line="360" w:lineRule="auto"/>
        <w:rPr>
          <w:rFonts w:ascii="宋体" w:hAnsi="宋体" w:cs="仿宋_GB2312"/>
          <w:color w:val="auto"/>
          <w:sz w:val="24"/>
          <w:highlight w:val="none"/>
        </w:rPr>
      </w:pPr>
    </w:p>
    <w:p w14:paraId="57E006AB">
      <w:pPr>
        <w:widowControl/>
        <w:spacing w:line="360" w:lineRule="auto"/>
        <w:ind w:firstLine="420"/>
        <w:rPr>
          <w:rFonts w:ascii="宋体" w:hAnsi="宋体" w:cs="仿宋_GB2312"/>
          <w:color w:val="auto"/>
          <w:sz w:val="24"/>
          <w:highlight w:val="none"/>
        </w:rPr>
      </w:pPr>
      <w:r>
        <w:rPr>
          <w:rFonts w:hint="eastAsia" w:ascii="宋体" w:hAnsi="宋体" w:cs="仿宋_GB2312"/>
          <w:color w:val="auto"/>
          <w:sz w:val="24"/>
          <w:highlight w:val="none"/>
        </w:rPr>
        <w:t xml:space="preserve">委托代理人（签字）：         </w:t>
      </w:r>
      <w:r>
        <w:rPr>
          <w:rFonts w:hint="eastAsia" w:ascii="宋体" w:hAnsi="宋体" w:cs="仿宋_GB2312"/>
          <w:color w:val="auto"/>
          <w:sz w:val="24"/>
          <w:highlight w:val="none"/>
        </w:rPr>
        <w:tab/>
      </w:r>
      <w:r>
        <w:rPr>
          <w:rFonts w:hint="eastAsia" w:ascii="宋体" w:hAnsi="宋体" w:cs="仿宋_GB2312"/>
          <w:color w:val="auto"/>
          <w:sz w:val="24"/>
          <w:highlight w:val="none"/>
        </w:rPr>
        <w:t xml:space="preserve">法定代表人（签字）：                    </w:t>
      </w:r>
    </w:p>
    <w:p w14:paraId="486CB7C5">
      <w:pPr>
        <w:widowControl/>
        <w:spacing w:line="360" w:lineRule="auto"/>
        <w:ind w:firstLine="420"/>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0DD2DEC1">
      <w:pPr>
        <w:widowControl/>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6DB851F3">
      <w:pPr>
        <w:widowControl/>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供应商（电子签章）：                      </w:t>
      </w:r>
    </w:p>
    <w:p w14:paraId="532CCE30">
      <w:pPr>
        <w:widowControl/>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78EEEB77">
      <w:pPr>
        <w:spacing w:line="360" w:lineRule="auto"/>
        <w:rPr>
          <w:rFonts w:ascii="宋体" w:hAnsi="宋体" w:cs="仿宋_GB2312"/>
          <w:color w:val="auto"/>
          <w:sz w:val="24"/>
          <w:highlight w:val="none"/>
        </w:rPr>
      </w:pPr>
    </w:p>
    <w:p w14:paraId="00CC20E1">
      <w:pPr>
        <w:snapToGrid w:val="0"/>
        <w:spacing w:before="120" w:beforeLines="50" w:after="50" w:line="360" w:lineRule="auto"/>
        <w:ind w:firstLine="643" w:firstLineChars="200"/>
        <w:rPr>
          <w:rFonts w:ascii="宋体" w:hAnsi="宋体" w:cs="仿宋_GB2312"/>
          <w:b/>
          <w:color w:val="auto"/>
          <w:sz w:val="32"/>
          <w:szCs w:val="32"/>
          <w:highlight w:val="none"/>
        </w:rPr>
      </w:pPr>
    </w:p>
    <w:p w14:paraId="321619E7">
      <w:pPr>
        <w:snapToGrid w:val="0"/>
        <w:spacing w:before="120" w:beforeLines="50" w:after="50" w:line="360" w:lineRule="auto"/>
        <w:ind w:firstLine="643" w:firstLineChars="200"/>
        <w:rPr>
          <w:rFonts w:ascii="宋体" w:hAnsi="宋体" w:cs="仿宋_GB2312"/>
          <w:b/>
          <w:color w:val="auto"/>
          <w:sz w:val="32"/>
          <w:szCs w:val="32"/>
          <w:highlight w:val="none"/>
        </w:rPr>
      </w:pPr>
    </w:p>
    <w:p w14:paraId="14EC754F">
      <w:pPr>
        <w:snapToGrid w:val="0"/>
        <w:spacing w:before="120" w:beforeLines="50" w:after="50" w:line="360" w:lineRule="auto"/>
        <w:ind w:firstLine="643" w:firstLineChars="200"/>
        <w:rPr>
          <w:rFonts w:ascii="宋体" w:hAnsi="宋体" w:cs="仿宋_GB2312"/>
          <w:b/>
          <w:color w:val="auto"/>
          <w:sz w:val="32"/>
          <w:szCs w:val="32"/>
          <w:highlight w:val="none"/>
        </w:rPr>
      </w:pPr>
    </w:p>
    <w:p w14:paraId="4E5D1421">
      <w:pPr>
        <w:snapToGrid w:val="0"/>
        <w:spacing w:before="120" w:beforeLines="50" w:after="50" w:line="360" w:lineRule="auto"/>
        <w:ind w:firstLine="643" w:firstLineChars="200"/>
        <w:rPr>
          <w:rFonts w:ascii="宋体" w:hAnsi="宋体" w:cs="仿宋_GB2312"/>
          <w:b/>
          <w:color w:val="auto"/>
          <w:sz w:val="32"/>
          <w:szCs w:val="32"/>
          <w:highlight w:val="none"/>
        </w:rPr>
      </w:pPr>
    </w:p>
    <w:p w14:paraId="63DA0F90">
      <w:pPr>
        <w:rPr>
          <w:color w:val="auto"/>
          <w:highlight w:val="none"/>
        </w:rPr>
      </w:pPr>
    </w:p>
    <w:p w14:paraId="3F93FA1A">
      <w:pPr>
        <w:rPr>
          <w:color w:val="auto"/>
          <w:highlight w:val="none"/>
        </w:rPr>
      </w:pPr>
    </w:p>
    <w:p w14:paraId="2AEE9BC7">
      <w:pPr>
        <w:rPr>
          <w:color w:val="auto"/>
          <w:highlight w:val="none"/>
        </w:rPr>
      </w:pPr>
    </w:p>
    <w:p w14:paraId="1EDADD17">
      <w:pPr>
        <w:snapToGrid w:val="0"/>
        <w:spacing w:before="120" w:beforeLines="50" w:after="50" w:line="360" w:lineRule="auto"/>
        <w:ind w:firstLine="643" w:firstLineChars="200"/>
        <w:rPr>
          <w:rFonts w:ascii="宋体" w:hAnsi="宋体" w:cs="仿宋_GB2312"/>
          <w:b/>
          <w:color w:val="auto"/>
          <w:sz w:val="32"/>
          <w:szCs w:val="32"/>
          <w:highlight w:val="none"/>
        </w:rPr>
      </w:pPr>
    </w:p>
    <w:p w14:paraId="4D606CE2">
      <w:pPr>
        <w:pStyle w:val="20"/>
        <w:kinsoku w:val="0"/>
        <w:overflowPunct w:val="0"/>
        <w:spacing w:before="34"/>
        <w:ind w:right="803"/>
        <w:jc w:val="center"/>
        <w:rPr>
          <w:b/>
          <w:bCs/>
          <w:color w:val="auto"/>
          <w:w w:val="95"/>
          <w:sz w:val="28"/>
          <w:szCs w:val="28"/>
          <w:highlight w:val="none"/>
        </w:rPr>
      </w:pPr>
      <w:r>
        <w:rPr>
          <w:rFonts w:hint="eastAsia"/>
          <w:b/>
          <w:bCs/>
          <w:color w:val="auto"/>
          <w:w w:val="95"/>
          <w:sz w:val="28"/>
          <w:szCs w:val="28"/>
          <w:highlight w:val="none"/>
        </w:rPr>
        <w:br w:type="page"/>
      </w:r>
      <w:r>
        <w:rPr>
          <w:rFonts w:hint="eastAsia"/>
          <w:b/>
          <w:bCs/>
          <w:color w:val="auto"/>
          <w:w w:val="95"/>
          <w:sz w:val="28"/>
          <w:szCs w:val="28"/>
          <w:highlight w:val="none"/>
        </w:rPr>
        <w:t>广西壮族自治区建筑工程安全文明施工措施项目清单内容</w:t>
      </w:r>
    </w:p>
    <w:p w14:paraId="073DF66B">
      <w:pPr>
        <w:pStyle w:val="20"/>
        <w:kinsoku w:val="0"/>
        <w:overflowPunct w:val="0"/>
        <w:spacing w:before="212" w:line="302" w:lineRule="auto"/>
        <w:ind w:right="803"/>
        <w:jc w:val="center"/>
        <w:rPr>
          <w:rFonts w:ascii="宋体" w:hAnsi="宋体"/>
          <w:bCs/>
          <w:color w:val="auto"/>
          <w:w w:val="95"/>
          <w:sz w:val="28"/>
          <w:szCs w:val="28"/>
          <w:highlight w:val="none"/>
        </w:rPr>
      </w:pPr>
      <w:r>
        <w:rPr>
          <w:rFonts w:hint="eastAsia" w:ascii="宋体" w:hAnsi="宋体"/>
          <w:bCs/>
          <w:color w:val="auto"/>
          <w:w w:val="95"/>
          <w:sz w:val="28"/>
          <w:szCs w:val="28"/>
          <w:highlight w:val="none"/>
        </w:rPr>
        <w:t>（桂建质〔</w:t>
      </w:r>
      <w:r>
        <w:rPr>
          <w:rFonts w:ascii="宋体" w:hAnsi="宋体"/>
          <w:bCs/>
          <w:color w:val="auto"/>
          <w:w w:val="95"/>
          <w:sz w:val="28"/>
          <w:szCs w:val="28"/>
          <w:highlight w:val="none"/>
        </w:rPr>
        <w:t>2015</w:t>
      </w:r>
      <w:r>
        <w:rPr>
          <w:rFonts w:hint="eastAsia" w:ascii="宋体" w:hAnsi="宋体"/>
          <w:bCs/>
          <w:color w:val="auto"/>
          <w:w w:val="95"/>
          <w:sz w:val="28"/>
          <w:szCs w:val="28"/>
          <w:highlight w:val="none"/>
        </w:rPr>
        <w:t>〕</w:t>
      </w:r>
      <w:r>
        <w:rPr>
          <w:rFonts w:ascii="宋体" w:hAnsi="宋体"/>
          <w:bCs/>
          <w:color w:val="auto"/>
          <w:w w:val="95"/>
          <w:sz w:val="28"/>
          <w:szCs w:val="28"/>
          <w:highlight w:val="none"/>
        </w:rPr>
        <w:t xml:space="preserve">16 </w:t>
      </w:r>
      <w:r>
        <w:rPr>
          <w:rFonts w:hint="eastAsia" w:ascii="宋体" w:hAnsi="宋体"/>
          <w:bCs/>
          <w:color w:val="auto"/>
          <w:w w:val="95"/>
          <w:sz w:val="28"/>
          <w:szCs w:val="28"/>
          <w:highlight w:val="none"/>
        </w:rPr>
        <w:t>号文附件一）</w:t>
      </w:r>
    </w:p>
    <w:p w14:paraId="6F2311F4">
      <w:pPr>
        <w:pStyle w:val="20"/>
        <w:kinsoku w:val="0"/>
        <w:overflowPunct w:val="0"/>
        <w:spacing w:before="212" w:line="302" w:lineRule="auto"/>
        <w:ind w:right="803"/>
        <w:jc w:val="center"/>
        <w:rPr>
          <w:b/>
          <w:bCs/>
          <w:color w:val="auto"/>
          <w:w w:val="95"/>
          <w:sz w:val="28"/>
          <w:szCs w:val="28"/>
          <w:highlight w:val="none"/>
        </w:rPr>
      </w:pPr>
      <w:r>
        <w:rPr>
          <w:rFonts w:hint="eastAsia"/>
          <w:b/>
          <w:bCs/>
          <w:color w:val="auto"/>
          <w:w w:val="95"/>
          <w:sz w:val="28"/>
          <w:szCs w:val="28"/>
          <w:highlight w:val="none"/>
        </w:rPr>
        <w:t>广西壮族自治区建设工程安全文明施工措施项目清单内容</w:t>
      </w:r>
    </w:p>
    <w:tbl>
      <w:tblPr>
        <w:tblStyle w:val="55"/>
        <w:tblW w:w="0" w:type="auto"/>
        <w:jc w:val="center"/>
        <w:tblLayout w:type="fixed"/>
        <w:tblCellMar>
          <w:top w:w="0" w:type="dxa"/>
          <w:left w:w="0" w:type="dxa"/>
          <w:bottom w:w="0" w:type="dxa"/>
          <w:right w:w="0" w:type="dxa"/>
        </w:tblCellMar>
      </w:tblPr>
      <w:tblGrid>
        <w:gridCol w:w="739"/>
        <w:gridCol w:w="523"/>
        <w:gridCol w:w="1546"/>
        <w:gridCol w:w="6689"/>
      </w:tblGrid>
      <w:tr w14:paraId="41653AD0">
        <w:tblPrEx>
          <w:tblCellMar>
            <w:top w:w="0" w:type="dxa"/>
            <w:left w:w="0" w:type="dxa"/>
            <w:bottom w:w="0" w:type="dxa"/>
            <w:right w:w="0" w:type="dxa"/>
          </w:tblCellMar>
        </w:tblPrEx>
        <w:trPr>
          <w:trHeight w:val="471" w:hRule="atLeast"/>
          <w:jc w:val="center"/>
        </w:trPr>
        <w:tc>
          <w:tcPr>
            <w:tcW w:w="739" w:type="dxa"/>
            <w:tcBorders>
              <w:top w:val="single" w:color="000000" w:sz="12" w:space="0"/>
              <w:left w:val="single" w:color="000000" w:sz="12" w:space="0"/>
              <w:bottom w:val="single" w:color="000000" w:sz="4" w:space="0"/>
              <w:right w:val="single" w:color="000000" w:sz="4" w:space="0"/>
            </w:tcBorders>
          </w:tcPr>
          <w:p w14:paraId="2F74A87D">
            <w:pPr>
              <w:pStyle w:val="490"/>
              <w:kinsoku w:val="0"/>
              <w:overflowPunct w:val="0"/>
              <w:spacing w:before="48"/>
              <w:ind w:left="157"/>
              <w:rPr>
                <w:rFonts w:ascii="微软雅黑" w:eastAsia="微软雅黑" w:cs="微软雅黑"/>
                <w:b/>
                <w:bCs/>
                <w:color w:val="auto"/>
                <w:sz w:val="21"/>
                <w:szCs w:val="21"/>
                <w:highlight w:val="none"/>
              </w:rPr>
            </w:pPr>
            <w:r>
              <w:rPr>
                <w:rFonts w:hint="eastAsia" w:ascii="微软雅黑" w:eastAsia="微软雅黑" w:cs="微软雅黑"/>
                <w:b/>
                <w:bCs/>
                <w:color w:val="auto"/>
                <w:sz w:val="21"/>
                <w:szCs w:val="21"/>
                <w:highlight w:val="none"/>
              </w:rPr>
              <w:t>类别</w:t>
            </w:r>
          </w:p>
        </w:tc>
        <w:tc>
          <w:tcPr>
            <w:tcW w:w="2069" w:type="dxa"/>
            <w:gridSpan w:val="2"/>
            <w:tcBorders>
              <w:top w:val="single" w:color="000000" w:sz="12" w:space="0"/>
              <w:left w:val="single" w:color="000000" w:sz="4" w:space="0"/>
              <w:bottom w:val="single" w:color="000000" w:sz="4" w:space="0"/>
              <w:right w:val="single" w:color="000000" w:sz="4" w:space="0"/>
            </w:tcBorders>
          </w:tcPr>
          <w:p w14:paraId="29709E26">
            <w:pPr>
              <w:pStyle w:val="490"/>
              <w:kinsoku w:val="0"/>
              <w:overflowPunct w:val="0"/>
              <w:spacing w:before="48"/>
              <w:ind w:left="623"/>
              <w:rPr>
                <w:rFonts w:ascii="微软雅黑" w:eastAsia="微软雅黑" w:cs="微软雅黑"/>
                <w:b/>
                <w:bCs/>
                <w:color w:val="auto"/>
                <w:sz w:val="21"/>
                <w:szCs w:val="21"/>
                <w:highlight w:val="none"/>
              </w:rPr>
            </w:pPr>
            <w:r>
              <w:rPr>
                <w:rFonts w:hint="eastAsia" w:ascii="微软雅黑" w:eastAsia="微软雅黑" w:cs="微软雅黑"/>
                <w:b/>
                <w:bCs/>
                <w:color w:val="auto"/>
                <w:sz w:val="21"/>
                <w:szCs w:val="21"/>
                <w:highlight w:val="none"/>
              </w:rPr>
              <w:t>项目名称</w:t>
            </w:r>
          </w:p>
        </w:tc>
        <w:tc>
          <w:tcPr>
            <w:tcW w:w="6689" w:type="dxa"/>
            <w:tcBorders>
              <w:top w:val="single" w:color="000000" w:sz="12" w:space="0"/>
              <w:left w:val="single" w:color="000000" w:sz="4" w:space="0"/>
              <w:bottom w:val="single" w:color="000000" w:sz="4" w:space="0"/>
              <w:right w:val="single" w:color="000000" w:sz="12" w:space="0"/>
            </w:tcBorders>
          </w:tcPr>
          <w:p w14:paraId="606FF05E">
            <w:pPr>
              <w:pStyle w:val="490"/>
              <w:kinsoku w:val="0"/>
              <w:overflowPunct w:val="0"/>
              <w:spacing w:before="48"/>
              <w:ind w:left="2574" w:right="2543"/>
              <w:jc w:val="center"/>
              <w:rPr>
                <w:rFonts w:ascii="微软雅黑" w:eastAsia="微软雅黑" w:cs="微软雅黑"/>
                <w:b/>
                <w:bCs/>
                <w:color w:val="auto"/>
                <w:sz w:val="21"/>
                <w:szCs w:val="21"/>
                <w:highlight w:val="none"/>
              </w:rPr>
            </w:pPr>
            <w:r>
              <w:rPr>
                <w:rFonts w:hint="eastAsia" w:ascii="微软雅黑" w:eastAsia="微软雅黑" w:cs="微软雅黑"/>
                <w:b/>
                <w:bCs/>
                <w:color w:val="auto"/>
                <w:sz w:val="21"/>
                <w:szCs w:val="21"/>
                <w:highlight w:val="none"/>
              </w:rPr>
              <w:t>主要内容和要求</w:t>
            </w:r>
          </w:p>
        </w:tc>
      </w:tr>
      <w:tr w14:paraId="0DBBE04E">
        <w:tblPrEx>
          <w:tblCellMar>
            <w:top w:w="0" w:type="dxa"/>
            <w:left w:w="0" w:type="dxa"/>
            <w:bottom w:w="0" w:type="dxa"/>
            <w:right w:w="0" w:type="dxa"/>
          </w:tblCellMar>
        </w:tblPrEx>
        <w:trPr>
          <w:trHeight w:val="599" w:hRule="atLeast"/>
          <w:jc w:val="center"/>
        </w:trPr>
        <w:tc>
          <w:tcPr>
            <w:tcW w:w="739" w:type="dxa"/>
            <w:vMerge w:val="restart"/>
            <w:tcBorders>
              <w:top w:val="single" w:color="000000" w:sz="4" w:space="0"/>
              <w:left w:val="single" w:color="000000" w:sz="12" w:space="0"/>
              <w:bottom w:val="single" w:color="000000" w:sz="4" w:space="0"/>
              <w:right w:val="single" w:color="000000" w:sz="4" w:space="0"/>
            </w:tcBorders>
          </w:tcPr>
          <w:p w14:paraId="638E1048">
            <w:pPr>
              <w:pStyle w:val="490"/>
              <w:kinsoku w:val="0"/>
              <w:overflowPunct w:val="0"/>
              <w:rPr>
                <w:b/>
                <w:bCs/>
                <w:color w:val="auto"/>
                <w:sz w:val="28"/>
                <w:szCs w:val="28"/>
                <w:highlight w:val="none"/>
              </w:rPr>
            </w:pPr>
          </w:p>
          <w:p w14:paraId="5C138860">
            <w:pPr>
              <w:pStyle w:val="490"/>
              <w:kinsoku w:val="0"/>
              <w:overflowPunct w:val="0"/>
              <w:rPr>
                <w:b/>
                <w:bCs/>
                <w:color w:val="auto"/>
                <w:sz w:val="28"/>
                <w:szCs w:val="28"/>
                <w:highlight w:val="none"/>
              </w:rPr>
            </w:pPr>
          </w:p>
          <w:p w14:paraId="7463AC21">
            <w:pPr>
              <w:pStyle w:val="490"/>
              <w:kinsoku w:val="0"/>
              <w:overflowPunct w:val="0"/>
              <w:rPr>
                <w:b/>
                <w:bCs/>
                <w:color w:val="auto"/>
                <w:sz w:val="28"/>
                <w:szCs w:val="28"/>
                <w:highlight w:val="none"/>
              </w:rPr>
            </w:pPr>
          </w:p>
          <w:p w14:paraId="2ECF655A">
            <w:pPr>
              <w:pStyle w:val="490"/>
              <w:kinsoku w:val="0"/>
              <w:overflowPunct w:val="0"/>
              <w:rPr>
                <w:b/>
                <w:bCs/>
                <w:color w:val="auto"/>
                <w:sz w:val="28"/>
                <w:szCs w:val="28"/>
                <w:highlight w:val="none"/>
              </w:rPr>
            </w:pPr>
          </w:p>
          <w:p w14:paraId="656FEECE">
            <w:pPr>
              <w:pStyle w:val="490"/>
              <w:kinsoku w:val="0"/>
              <w:overflowPunct w:val="0"/>
              <w:rPr>
                <w:b/>
                <w:bCs/>
                <w:color w:val="auto"/>
                <w:sz w:val="28"/>
                <w:szCs w:val="28"/>
                <w:highlight w:val="none"/>
              </w:rPr>
            </w:pPr>
          </w:p>
          <w:p w14:paraId="12294F1F">
            <w:pPr>
              <w:pStyle w:val="490"/>
              <w:kinsoku w:val="0"/>
              <w:overflowPunct w:val="0"/>
              <w:rPr>
                <w:b/>
                <w:bCs/>
                <w:color w:val="auto"/>
                <w:sz w:val="28"/>
                <w:szCs w:val="28"/>
                <w:highlight w:val="none"/>
              </w:rPr>
            </w:pPr>
          </w:p>
          <w:p w14:paraId="55CD1C85">
            <w:pPr>
              <w:pStyle w:val="490"/>
              <w:kinsoku w:val="0"/>
              <w:overflowPunct w:val="0"/>
              <w:spacing w:before="6"/>
              <w:rPr>
                <w:b/>
                <w:bCs/>
                <w:color w:val="auto"/>
                <w:sz w:val="28"/>
                <w:szCs w:val="28"/>
                <w:highlight w:val="none"/>
              </w:rPr>
            </w:pPr>
          </w:p>
          <w:p w14:paraId="38CC065D">
            <w:pPr>
              <w:pStyle w:val="490"/>
              <w:kinsoku w:val="0"/>
              <w:overflowPunct w:val="0"/>
              <w:spacing w:line="187" w:lineRule="auto"/>
              <w:ind w:left="157" w:right="126"/>
              <w:jc w:val="center"/>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文明施工不</w:t>
            </w:r>
            <w:r>
              <w:rPr>
                <w:rFonts w:ascii="微软雅黑" w:eastAsia="微软雅黑" w:cs="微软雅黑"/>
                <w:color w:val="auto"/>
                <w:spacing w:val="1"/>
                <w:sz w:val="21"/>
                <w:szCs w:val="21"/>
                <w:highlight w:val="none"/>
              </w:rPr>
              <w:t xml:space="preserve"> </w:t>
            </w:r>
            <w:r>
              <w:rPr>
                <w:rFonts w:hint="eastAsia" w:ascii="微软雅黑" w:eastAsia="微软雅黑" w:cs="微软雅黑"/>
                <w:color w:val="auto"/>
                <w:sz w:val="21"/>
                <w:szCs w:val="21"/>
                <w:highlight w:val="none"/>
              </w:rPr>
              <w:t>环境保护</w:t>
            </w:r>
          </w:p>
        </w:tc>
        <w:tc>
          <w:tcPr>
            <w:tcW w:w="2069" w:type="dxa"/>
            <w:gridSpan w:val="2"/>
            <w:tcBorders>
              <w:top w:val="single" w:color="000000" w:sz="4" w:space="0"/>
              <w:left w:val="single" w:color="000000" w:sz="4" w:space="0"/>
              <w:bottom w:val="single" w:color="000000" w:sz="4" w:space="0"/>
              <w:right w:val="single" w:color="000000" w:sz="4" w:space="0"/>
            </w:tcBorders>
          </w:tcPr>
          <w:p w14:paraId="061CF4C8">
            <w:pPr>
              <w:pStyle w:val="490"/>
              <w:kinsoku w:val="0"/>
              <w:overflowPunct w:val="0"/>
              <w:spacing w:line="306" w:lineRule="exact"/>
              <w:ind w:left="605" w:right="574"/>
              <w:jc w:val="center"/>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安全警示</w:t>
            </w:r>
          </w:p>
          <w:p w14:paraId="1FE74BB7">
            <w:pPr>
              <w:pStyle w:val="490"/>
              <w:kinsoku w:val="0"/>
              <w:overflowPunct w:val="0"/>
              <w:spacing w:line="273" w:lineRule="exact"/>
              <w:ind w:left="602" w:right="574"/>
              <w:jc w:val="center"/>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标志牌</w:t>
            </w:r>
          </w:p>
        </w:tc>
        <w:tc>
          <w:tcPr>
            <w:tcW w:w="6689" w:type="dxa"/>
            <w:tcBorders>
              <w:top w:val="single" w:color="000000" w:sz="4" w:space="0"/>
              <w:left w:val="single" w:color="000000" w:sz="4" w:space="0"/>
              <w:bottom w:val="single" w:color="000000" w:sz="4" w:space="0"/>
              <w:right w:val="single" w:color="000000" w:sz="12" w:space="0"/>
            </w:tcBorders>
          </w:tcPr>
          <w:p w14:paraId="075061A8">
            <w:pPr>
              <w:pStyle w:val="490"/>
              <w:kinsoku w:val="0"/>
              <w:overflowPunct w:val="0"/>
              <w:spacing w:line="306" w:lineRule="exact"/>
              <w:ind w:left="107"/>
              <w:rPr>
                <w:rFonts w:ascii="微软雅黑" w:eastAsia="微软雅黑" w:cs="微软雅黑"/>
                <w:color w:val="auto"/>
                <w:spacing w:val="-3"/>
                <w:sz w:val="21"/>
                <w:szCs w:val="21"/>
                <w:highlight w:val="none"/>
              </w:rPr>
            </w:pPr>
            <w:r>
              <w:rPr>
                <w:rFonts w:hint="eastAsia" w:ascii="微软雅黑" w:eastAsia="微软雅黑" w:cs="微软雅黑"/>
                <w:color w:val="auto"/>
                <w:spacing w:val="-3"/>
                <w:sz w:val="21"/>
                <w:szCs w:val="21"/>
                <w:highlight w:val="none"/>
              </w:rPr>
              <w:t>在易发伤亡事故（或危险）处设置明显的、符合国家标准要求的安全警</w:t>
            </w:r>
          </w:p>
          <w:p w14:paraId="31BF2A05">
            <w:pPr>
              <w:pStyle w:val="490"/>
              <w:kinsoku w:val="0"/>
              <w:overflowPunct w:val="0"/>
              <w:spacing w:line="273" w:lineRule="exact"/>
              <w:ind w:left="10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示标志牌。</w:t>
            </w:r>
          </w:p>
        </w:tc>
      </w:tr>
      <w:tr w14:paraId="74D04D9F">
        <w:tblPrEx>
          <w:tblCellMar>
            <w:top w:w="0" w:type="dxa"/>
            <w:left w:w="0" w:type="dxa"/>
            <w:bottom w:w="0" w:type="dxa"/>
            <w:right w:w="0" w:type="dxa"/>
          </w:tblCellMar>
        </w:tblPrEx>
        <w:trPr>
          <w:trHeight w:val="600" w:hRule="atLeast"/>
          <w:jc w:val="center"/>
        </w:trPr>
        <w:tc>
          <w:tcPr>
            <w:tcW w:w="739" w:type="dxa"/>
            <w:vMerge w:val="continue"/>
            <w:tcBorders>
              <w:top w:val="nil"/>
              <w:left w:val="single" w:color="000000" w:sz="12" w:space="0"/>
              <w:bottom w:val="single" w:color="000000" w:sz="4" w:space="0"/>
              <w:right w:val="single" w:color="000000" w:sz="4" w:space="0"/>
            </w:tcBorders>
          </w:tcPr>
          <w:p w14:paraId="7B98C5AE">
            <w:pPr>
              <w:pStyle w:val="20"/>
              <w:kinsoku w:val="0"/>
              <w:overflowPunct w:val="0"/>
              <w:spacing w:before="9"/>
              <w:rPr>
                <w:b/>
                <w:bCs/>
                <w:color w:val="auto"/>
                <w:sz w:val="2"/>
                <w:szCs w:val="2"/>
                <w:highlight w:val="none"/>
              </w:rPr>
            </w:pPr>
          </w:p>
        </w:tc>
        <w:tc>
          <w:tcPr>
            <w:tcW w:w="2069" w:type="dxa"/>
            <w:gridSpan w:val="2"/>
            <w:tcBorders>
              <w:top w:val="single" w:color="000000" w:sz="4" w:space="0"/>
              <w:left w:val="single" w:color="000000" w:sz="4" w:space="0"/>
              <w:bottom w:val="single" w:color="000000" w:sz="4" w:space="0"/>
              <w:right w:val="single" w:color="000000" w:sz="4" w:space="0"/>
            </w:tcBorders>
          </w:tcPr>
          <w:p w14:paraId="2EE4B101">
            <w:pPr>
              <w:pStyle w:val="490"/>
              <w:kinsoku w:val="0"/>
              <w:overflowPunct w:val="0"/>
              <w:spacing w:before="114"/>
              <w:ind w:left="623"/>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现场围挡</w:t>
            </w:r>
          </w:p>
        </w:tc>
        <w:tc>
          <w:tcPr>
            <w:tcW w:w="6689" w:type="dxa"/>
            <w:tcBorders>
              <w:top w:val="single" w:color="000000" w:sz="4" w:space="0"/>
              <w:left w:val="single" w:color="000000" w:sz="4" w:space="0"/>
              <w:bottom w:val="single" w:color="000000" w:sz="4" w:space="0"/>
              <w:right w:val="single" w:color="000000" w:sz="12" w:space="0"/>
            </w:tcBorders>
          </w:tcPr>
          <w:p w14:paraId="16673288">
            <w:pPr>
              <w:pStyle w:val="490"/>
              <w:numPr>
                <w:ilvl w:val="0"/>
                <w:numId w:val="6"/>
              </w:numPr>
              <w:tabs>
                <w:tab w:val="left" w:pos="389"/>
              </w:tabs>
              <w:kinsoku w:val="0"/>
              <w:overflowPunct w:val="0"/>
              <w:spacing w:line="306" w:lineRule="exact"/>
              <w:ind w:hanging="282"/>
              <w:rPr>
                <w:rFonts w:ascii="微软雅黑" w:eastAsia="微软雅黑" w:cs="微软雅黑"/>
                <w:color w:val="auto"/>
                <w:sz w:val="21"/>
                <w:szCs w:val="21"/>
                <w:highlight w:val="none"/>
              </w:rPr>
            </w:pPr>
            <w:r>
              <w:rPr>
                <w:rFonts w:hint="eastAsia" w:ascii="微软雅黑" w:eastAsia="微软雅黑" w:cs="微软雅黑"/>
                <w:color w:val="auto"/>
                <w:spacing w:val="-1"/>
                <w:sz w:val="21"/>
                <w:szCs w:val="21"/>
                <w:highlight w:val="none"/>
              </w:rPr>
              <w:t>现场采用封闭围挡，高度丌小于</w:t>
            </w:r>
            <w:r>
              <w:rPr>
                <w:rFonts w:ascii="微软雅黑" w:eastAsia="微软雅黑" w:cs="微软雅黑"/>
                <w:color w:val="auto"/>
                <w:spacing w:val="-1"/>
                <w:sz w:val="21"/>
                <w:szCs w:val="21"/>
                <w:highlight w:val="none"/>
              </w:rPr>
              <w:t xml:space="preserve"> </w:t>
            </w:r>
            <w:r>
              <w:rPr>
                <w:rFonts w:ascii="微软雅黑" w:eastAsia="微软雅黑" w:cs="微软雅黑"/>
                <w:color w:val="auto"/>
                <w:sz w:val="21"/>
                <w:szCs w:val="21"/>
                <w:highlight w:val="none"/>
              </w:rPr>
              <w:t>1.8m</w:t>
            </w:r>
            <w:r>
              <w:rPr>
                <w:rFonts w:hint="eastAsia" w:ascii="微软雅黑" w:eastAsia="微软雅黑" w:cs="微软雅黑"/>
                <w:color w:val="auto"/>
                <w:sz w:val="21"/>
                <w:szCs w:val="21"/>
                <w:highlight w:val="none"/>
              </w:rPr>
              <w:t>。</w:t>
            </w:r>
          </w:p>
          <w:p w14:paraId="100A439B">
            <w:pPr>
              <w:pStyle w:val="490"/>
              <w:numPr>
                <w:ilvl w:val="0"/>
                <w:numId w:val="6"/>
              </w:numPr>
              <w:tabs>
                <w:tab w:val="left" w:pos="389"/>
              </w:tabs>
              <w:kinsoku w:val="0"/>
              <w:overflowPunct w:val="0"/>
              <w:spacing w:line="274" w:lineRule="exact"/>
              <w:ind w:hanging="282"/>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围挡材料可用彩色、定垄钢板，砌块等墙体。</w:t>
            </w:r>
          </w:p>
        </w:tc>
      </w:tr>
      <w:tr w14:paraId="735CB20B">
        <w:tblPrEx>
          <w:tblCellMar>
            <w:top w:w="0" w:type="dxa"/>
            <w:left w:w="0" w:type="dxa"/>
            <w:bottom w:w="0" w:type="dxa"/>
            <w:right w:w="0" w:type="dxa"/>
          </w:tblCellMar>
        </w:tblPrEx>
        <w:trPr>
          <w:trHeight w:val="899" w:hRule="atLeast"/>
          <w:jc w:val="center"/>
        </w:trPr>
        <w:tc>
          <w:tcPr>
            <w:tcW w:w="739" w:type="dxa"/>
            <w:vMerge w:val="continue"/>
            <w:tcBorders>
              <w:top w:val="nil"/>
              <w:left w:val="single" w:color="000000" w:sz="12" w:space="0"/>
              <w:bottom w:val="single" w:color="000000" w:sz="4" w:space="0"/>
              <w:right w:val="single" w:color="000000" w:sz="4" w:space="0"/>
            </w:tcBorders>
          </w:tcPr>
          <w:p w14:paraId="763ED56E">
            <w:pPr>
              <w:pStyle w:val="20"/>
              <w:kinsoku w:val="0"/>
              <w:overflowPunct w:val="0"/>
              <w:spacing w:before="9"/>
              <w:rPr>
                <w:b/>
                <w:bCs/>
                <w:color w:val="auto"/>
                <w:sz w:val="2"/>
                <w:szCs w:val="2"/>
                <w:highlight w:val="none"/>
              </w:rPr>
            </w:pPr>
          </w:p>
        </w:tc>
        <w:tc>
          <w:tcPr>
            <w:tcW w:w="2069" w:type="dxa"/>
            <w:gridSpan w:val="2"/>
            <w:tcBorders>
              <w:top w:val="single" w:color="000000" w:sz="4" w:space="0"/>
              <w:left w:val="single" w:color="000000" w:sz="4" w:space="0"/>
              <w:bottom w:val="single" w:color="000000" w:sz="4" w:space="0"/>
              <w:right w:val="single" w:color="000000" w:sz="4" w:space="0"/>
            </w:tcBorders>
          </w:tcPr>
          <w:p w14:paraId="638EC2C9">
            <w:pPr>
              <w:pStyle w:val="490"/>
              <w:kinsoku w:val="0"/>
              <w:overflowPunct w:val="0"/>
              <w:spacing w:before="6"/>
              <w:rPr>
                <w:b/>
                <w:bCs/>
                <w:color w:val="auto"/>
                <w:sz w:val="20"/>
                <w:szCs w:val="20"/>
                <w:highlight w:val="none"/>
              </w:rPr>
            </w:pPr>
          </w:p>
          <w:p w14:paraId="76D39386">
            <w:pPr>
              <w:pStyle w:val="490"/>
              <w:kinsoku w:val="0"/>
              <w:overflowPunct w:val="0"/>
              <w:ind w:left="623"/>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七牌二图</w:t>
            </w:r>
          </w:p>
        </w:tc>
        <w:tc>
          <w:tcPr>
            <w:tcW w:w="6689" w:type="dxa"/>
            <w:tcBorders>
              <w:top w:val="single" w:color="000000" w:sz="4" w:space="0"/>
              <w:left w:val="single" w:color="000000" w:sz="4" w:space="0"/>
              <w:bottom w:val="single" w:color="000000" w:sz="4" w:space="0"/>
              <w:right w:val="single" w:color="000000" w:sz="12" w:space="0"/>
            </w:tcBorders>
          </w:tcPr>
          <w:p w14:paraId="2DCF7B36">
            <w:pPr>
              <w:pStyle w:val="490"/>
              <w:kinsoku w:val="0"/>
              <w:overflowPunct w:val="0"/>
              <w:spacing w:before="23" w:line="187" w:lineRule="auto"/>
              <w:ind w:left="107" w:right="73"/>
              <w:rPr>
                <w:rFonts w:ascii="微软雅黑" w:eastAsia="微软雅黑" w:cs="微软雅黑"/>
                <w:color w:val="auto"/>
                <w:spacing w:val="-3"/>
                <w:sz w:val="21"/>
                <w:szCs w:val="21"/>
                <w:highlight w:val="none"/>
              </w:rPr>
            </w:pPr>
            <w:r>
              <w:rPr>
                <w:rFonts w:hint="eastAsia" w:ascii="微软雅黑" w:eastAsia="微软雅黑" w:cs="微软雅黑"/>
                <w:color w:val="auto"/>
                <w:spacing w:val="-3"/>
                <w:sz w:val="21"/>
                <w:szCs w:val="21"/>
                <w:highlight w:val="none"/>
              </w:rPr>
              <w:t>在进门处悬挂工程概况、现场出入制度、管理人员名单及监督电话、安全生产规定、文明施工、消防保卫、节能公示等七牌以及施工现场总平</w:t>
            </w:r>
          </w:p>
          <w:p w14:paraId="0BB68017">
            <w:pPr>
              <w:pStyle w:val="490"/>
              <w:kinsoku w:val="0"/>
              <w:overflowPunct w:val="0"/>
              <w:spacing w:line="252" w:lineRule="exact"/>
              <w:ind w:left="10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面图、工程效果图。</w:t>
            </w:r>
          </w:p>
        </w:tc>
      </w:tr>
      <w:tr w14:paraId="597FEFA1">
        <w:tblPrEx>
          <w:tblCellMar>
            <w:top w:w="0" w:type="dxa"/>
            <w:left w:w="0" w:type="dxa"/>
            <w:bottom w:w="0" w:type="dxa"/>
            <w:right w:w="0" w:type="dxa"/>
          </w:tblCellMar>
        </w:tblPrEx>
        <w:trPr>
          <w:trHeight w:val="510" w:hRule="atLeast"/>
          <w:jc w:val="center"/>
        </w:trPr>
        <w:tc>
          <w:tcPr>
            <w:tcW w:w="739" w:type="dxa"/>
            <w:vMerge w:val="continue"/>
            <w:tcBorders>
              <w:top w:val="nil"/>
              <w:left w:val="single" w:color="000000" w:sz="12" w:space="0"/>
              <w:bottom w:val="single" w:color="000000" w:sz="4" w:space="0"/>
              <w:right w:val="single" w:color="000000" w:sz="4" w:space="0"/>
            </w:tcBorders>
          </w:tcPr>
          <w:p w14:paraId="462738F8">
            <w:pPr>
              <w:pStyle w:val="20"/>
              <w:kinsoku w:val="0"/>
              <w:overflowPunct w:val="0"/>
              <w:spacing w:before="9"/>
              <w:rPr>
                <w:b/>
                <w:bCs/>
                <w:color w:val="auto"/>
                <w:sz w:val="2"/>
                <w:szCs w:val="2"/>
                <w:highlight w:val="none"/>
              </w:rPr>
            </w:pPr>
          </w:p>
        </w:tc>
        <w:tc>
          <w:tcPr>
            <w:tcW w:w="2069" w:type="dxa"/>
            <w:gridSpan w:val="2"/>
            <w:tcBorders>
              <w:top w:val="single" w:color="000000" w:sz="4" w:space="0"/>
              <w:left w:val="single" w:color="000000" w:sz="4" w:space="0"/>
              <w:bottom w:val="single" w:color="000000" w:sz="4" w:space="0"/>
              <w:right w:val="single" w:color="000000" w:sz="4" w:space="0"/>
            </w:tcBorders>
          </w:tcPr>
          <w:p w14:paraId="69C16E5D">
            <w:pPr>
              <w:pStyle w:val="490"/>
              <w:kinsoku w:val="0"/>
              <w:overflowPunct w:val="0"/>
              <w:spacing w:before="68"/>
              <w:ind w:left="623"/>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企业标志</w:t>
            </w:r>
          </w:p>
        </w:tc>
        <w:tc>
          <w:tcPr>
            <w:tcW w:w="6689" w:type="dxa"/>
            <w:tcBorders>
              <w:top w:val="single" w:color="000000" w:sz="4" w:space="0"/>
              <w:left w:val="single" w:color="000000" w:sz="4" w:space="0"/>
              <w:bottom w:val="single" w:color="000000" w:sz="4" w:space="0"/>
              <w:right w:val="single" w:color="000000" w:sz="12" w:space="0"/>
            </w:tcBorders>
          </w:tcPr>
          <w:p w14:paraId="3CB3D1AF">
            <w:pPr>
              <w:pStyle w:val="490"/>
              <w:kinsoku w:val="0"/>
              <w:overflowPunct w:val="0"/>
              <w:spacing w:before="68"/>
              <w:ind w:left="107"/>
              <w:rPr>
                <w:rFonts w:ascii="微软雅黑" w:eastAsia="微软雅黑" w:cs="微软雅黑"/>
                <w:color w:val="auto"/>
                <w:spacing w:val="-1"/>
                <w:sz w:val="21"/>
                <w:szCs w:val="21"/>
                <w:highlight w:val="none"/>
              </w:rPr>
            </w:pPr>
            <w:r>
              <w:rPr>
                <w:rFonts w:hint="eastAsia" w:ascii="微软雅黑" w:eastAsia="微软雅黑" w:cs="微软雅黑"/>
                <w:color w:val="auto"/>
                <w:spacing w:val="-1"/>
                <w:sz w:val="21"/>
                <w:szCs w:val="21"/>
                <w:highlight w:val="none"/>
              </w:rPr>
              <w:t>现场出入的大门应设有本企业标志或企业标识。</w:t>
            </w:r>
          </w:p>
        </w:tc>
      </w:tr>
      <w:tr w14:paraId="1FE660D0">
        <w:tblPrEx>
          <w:tblCellMar>
            <w:top w:w="0" w:type="dxa"/>
            <w:left w:w="0" w:type="dxa"/>
            <w:bottom w:w="0" w:type="dxa"/>
            <w:right w:w="0" w:type="dxa"/>
          </w:tblCellMar>
        </w:tblPrEx>
        <w:trPr>
          <w:trHeight w:val="1199" w:hRule="atLeast"/>
          <w:jc w:val="center"/>
        </w:trPr>
        <w:tc>
          <w:tcPr>
            <w:tcW w:w="739" w:type="dxa"/>
            <w:vMerge w:val="continue"/>
            <w:tcBorders>
              <w:top w:val="nil"/>
              <w:left w:val="single" w:color="000000" w:sz="12" w:space="0"/>
              <w:bottom w:val="single" w:color="000000" w:sz="4" w:space="0"/>
              <w:right w:val="single" w:color="000000" w:sz="4" w:space="0"/>
            </w:tcBorders>
          </w:tcPr>
          <w:p w14:paraId="1C18D127">
            <w:pPr>
              <w:pStyle w:val="20"/>
              <w:kinsoku w:val="0"/>
              <w:overflowPunct w:val="0"/>
              <w:spacing w:before="9"/>
              <w:rPr>
                <w:b/>
                <w:bCs/>
                <w:color w:val="auto"/>
                <w:sz w:val="2"/>
                <w:szCs w:val="2"/>
                <w:highlight w:val="none"/>
              </w:rPr>
            </w:pPr>
          </w:p>
        </w:tc>
        <w:tc>
          <w:tcPr>
            <w:tcW w:w="2069" w:type="dxa"/>
            <w:gridSpan w:val="2"/>
            <w:tcBorders>
              <w:top w:val="single" w:color="000000" w:sz="4" w:space="0"/>
              <w:left w:val="single" w:color="000000" w:sz="4" w:space="0"/>
              <w:bottom w:val="single" w:color="000000" w:sz="4" w:space="0"/>
              <w:right w:val="single" w:color="000000" w:sz="4" w:space="0"/>
            </w:tcBorders>
          </w:tcPr>
          <w:p w14:paraId="7F1C7A97">
            <w:pPr>
              <w:pStyle w:val="490"/>
              <w:kinsoku w:val="0"/>
              <w:overflowPunct w:val="0"/>
              <w:spacing w:before="3"/>
              <w:rPr>
                <w:b/>
                <w:bCs/>
                <w:color w:val="auto"/>
                <w:sz w:val="32"/>
                <w:szCs w:val="32"/>
                <w:highlight w:val="none"/>
              </w:rPr>
            </w:pPr>
          </w:p>
          <w:p w14:paraId="0297E041">
            <w:pPr>
              <w:pStyle w:val="490"/>
              <w:kinsoku w:val="0"/>
              <w:overflowPunct w:val="0"/>
              <w:spacing w:before="1"/>
              <w:ind w:left="623"/>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场容场貌</w:t>
            </w:r>
          </w:p>
        </w:tc>
        <w:tc>
          <w:tcPr>
            <w:tcW w:w="6689" w:type="dxa"/>
            <w:tcBorders>
              <w:top w:val="single" w:color="000000" w:sz="4" w:space="0"/>
              <w:left w:val="single" w:color="000000" w:sz="4" w:space="0"/>
              <w:bottom w:val="single" w:color="000000" w:sz="4" w:space="0"/>
              <w:right w:val="single" w:color="000000" w:sz="12" w:space="0"/>
            </w:tcBorders>
          </w:tcPr>
          <w:p w14:paraId="1782D896">
            <w:pPr>
              <w:pStyle w:val="490"/>
              <w:numPr>
                <w:ilvl w:val="0"/>
                <w:numId w:val="7"/>
              </w:numPr>
              <w:tabs>
                <w:tab w:val="left" w:pos="389"/>
              </w:tabs>
              <w:kinsoku w:val="0"/>
              <w:overflowPunct w:val="0"/>
              <w:spacing w:line="306" w:lineRule="exact"/>
              <w:ind w:hanging="282"/>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道路畅通。</w:t>
            </w:r>
          </w:p>
          <w:p w14:paraId="11BBA41A">
            <w:pPr>
              <w:pStyle w:val="490"/>
              <w:numPr>
                <w:ilvl w:val="0"/>
                <w:numId w:val="7"/>
              </w:numPr>
              <w:tabs>
                <w:tab w:val="left" w:pos="389"/>
              </w:tabs>
              <w:kinsoku w:val="0"/>
              <w:overflowPunct w:val="0"/>
              <w:spacing w:line="300" w:lineRule="exact"/>
              <w:ind w:hanging="282"/>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排水设施齐全畅通。</w:t>
            </w:r>
          </w:p>
          <w:p w14:paraId="66932700">
            <w:pPr>
              <w:pStyle w:val="490"/>
              <w:numPr>
                <w:ilvl w:val="0"/>
                <w:numId w:val="7"/>
              </w:numPr>
              <w:tabs>
                <w:tab w:val="left" w:pos="389"/>
              </w:tabs>
              <w:kinsoku w:val="0"/>
              <w:overflowPunct w:val="0"/>
              <w:spacing w:line="300" w:lineRule="exact"/>
              <w:ind w:hanging="282"/>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工地地面硬化处理（办公区、生活区、现场道路、材料堆放、混凝</w:t>
            </w:r>
          </w:p>
          <w:p w14:paraId="364C15A0">
            <w:pPr>
              <w:pStyle w:val="490"/>
              <w:kinsoku w:val="0"/>
              <w:overflowPunct w:val="0"/>
              <w:spacing w:line="273" w:lineRule="exact"/>
              <w:ind w:left="107"/>
              <w:rPr>
                <w:rFonts w:ascii="微软雅黑" w:eastAsia="微软雅黑" w:cs="微软雅黑"/>
                <w:color w:val="auto"/>
                <w:sz w:val="21"/>
                <w:szCs w:val="21"/>
                <w:highlight w:val="none"/>
              </w:rPr>
            </w:pPr>
            <w:r>
              <w:rPr>
                <w:rFonts w:hint="eastAsia" w:ascii="微软雅黑" w:eastAsia="微软雅黑" w:cs="微软雅黑"/>
                <w:color w:val="auto"/>
                <w:spacing w:val="-1"/>
                <w:sz w:val="21"/>
                <w:szCs w:val="21"/>
                <w:highlight w:val="none"/>
              </w:rPr>
              <w:t>土搅拌、砂浆搅拌、钢筋加工等场地和外脚手架基础等</w:t>
            </w:r>
            <w:r>
              <w:rPr>
                <w:rFonts w:hint="eastAsia" w:ascii="微软雅黑" w:eastAsia="微软雅黑" w:cs="微软雅黑"/>
                <w:color w:val="auto"/>
                <w:sz w:val="21"/>
                <w:szCs w:val="21"/>
                <w:highlight w:val="none"/>
              </w:rPr>
              <w:t>）。</w:t>
            </w:r>
          </w:p>
        </w:tc>
      </w:tr>
      <w:tr w14:paraId="40F74A5A">
        <w:tblPrEx>
          <w:tblCellMar>
            <w:top w:w="0" w:type="dxa"/>
            <w:left w:w="0" w:type="dxa"/>
            <w:bottom w:w="0" w:type="dxa"/>
            <w:right w:w="0" w:type="dxa"/>
          </w:tblCellMar>
        </w:tblPrEx>
        <w:trPr>
          <w:trHeight w:val="900" w:hRule="atLeast"/>
          <w:jc w:val="center"/>
        </w:trPr>
        <w:tc>
          <w:tcPr>
            <w:tcW w:w="739" w:type="dxa"/>
            <w:vMerge w:val="continue"/>
            <w:tcBorders>
              <w:top w:val="nil"/>
              <w:left w:val="single" w:color="000000" w:sz="12" w:space="0"/>
              <w:bottom w:val="single" w:color="000000" w:sz="4" w:space="0"/>
              <w:right w:val="single" w:color="000000" w:sz="4" w:space="0"/>
            </w:tcBorders>
          </w:tcPr>
          <w:p w14:paraId="641CBC30">
            <w:pPr>
              <w:pStyle w:val="20"/>
              <w:kinsoku w:val="0"/>
              <w:overflowPunct w:val="0"/>
              <w:spacing w:before="9"/>
              <w:rPr>
                <w:b/>
                <w:bCs/>
                <w:color w:val="auto"/>
                <w:sz w:val="2"/>
                <w:szCs w:val="2"/>
                <w:highlight w:val="none"/>
              </w:rPr>
            </w:pPr>
          </w:p>
        </w:tc>
        <w:tc>
          <w:tcPr>
            <w:tcW w:w="2069" w:type="dxa"/>
            <w:gridSpan w:val="2"/>
            <w:tcBorders>
              <w:top w:val="single" w:color="000000" w:sz="4" w:space="0"/>
              <w:left w:val="single" w:color="000000" w:sz="4" w:space="0"/>
              <w:bottom w:val="single" w:color="000000" w:sz="4" w:space="0"/>
              <w:right w:val="single" w:color="000000" w:sz="4" w:space="0"/>
            </w:tcBorders>
          </w:tcPr>
          <w:p w14:paraId="3D6C7938">
            <w:pPr>
              <w:pStyle w:val="490"/>
              <w:kinsoku w:val="0"/>
              <w:overflowPunct w:val="0"/>
              <w:spacing w:before="6"/>
              <w:rPr>
                <w:b/>
                <w:bCs/>
                <w:color w:val="auto"/>
                <w:sz w:val="20"/>
                <w:szCs w:val="20"/>
                <w:highlight w:val="none"/>
              </w:rPr>
            </w:pPr>
          </w:p>
          <w:p w14:paraId="057335E2">
            <w:pPr>
              <w:pStyle w:val="490"/>
              <w:kinsoku w:val="0"/>
              <w:overflowPunct w:val="0"/>
              <w:ind w:left="623"/>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材料堆放</w:t>
            </w:r>
          </w:p>
        </w:tc>
        <w:tc>
          <w:tcPr>
            <w:tcW w:w="6689" w:type="dxa"/>
            <w:tcBorders>
              <w:top w:val="single" w:color="000000" w:sz="4" w:space="0"/>
              <w:left w:val="single" w:color="000000" w:sz="4" w:space="0"/>
              <w:bottom w:val="single" w:color="000000" w:sz="4" w:space="0"/>
              <w:right w:val="single" w:color="000000" w:sz="12" w:space="0"/>
            </w:tcBorders>
          </w:tcPr>
          <w:p w14:paraId="2FE6DF17">
            <w:pPr>
              <w:pStyle w:val="490"/>
              <w:numPr>
                <w:ilvl w:val="0"/>
                <w:numId w:val="8"/>
              </w:numPr>
              <w:tabs>
                <w:tab w:val="left" w:pos="341"/>
              </w:tabs>
              <w:kinsoku w:val="0"/>
              <w:overflowPunct w:val="0"/>
              <w:spacing w:line="306" w:lineRule="exact"/>
              <w:ind w:hanging="234"/>
              <w:rPr>
                <w:rFonts w:ascii="微软雅黑" w:eastAsia="微软雅黑" w:cs="微软雅黑"/>
                <w:color w:val="auto"/>
                <w:spacing w:val="-1"/>
                <w:sz w:val="21"/>
                <w:szCs w:val="21"/>
                <w:highlight w:val="none"/>
              </w:rPr>
            </w:pPr>
            <w:r>
              <w:rPr>
                <w:rFonts w:hint="eastAsia" w:ascii="微软雅黑" w:eastAsia="微软雅黑" w:cs="微软雅黑"/>
                <w:color w:val="auto"/>
                <w:spacing w:val="-1"/>
                <w:sz w:val="21"/>
                <w:szCs w:val="21"/>
                <w:highlight w:val="none"/>
              </w:rPr>
              <w:t>材料、构件、料具等堆放时，应有名称、品种、规格等标牌。</w:t>
            </w:r>
          </w:p>
          <w:p w14:paraId="470953D7">
            <w:pPr>
              <w:pStyle w:val="490"/>
              <w:numPr>
                <w:ilvl w:val="0"/>
                <w:numId w:val="8"/>
              </w:numPr>
              <w:tabs>
                <w:tab w:val="left" w:pos="389"/>
              </w:tabs>
              <w:kinsoku w:val="0"/>
              <w:overflowPunct w:val="0"/>
              <w:spacing w:line="300" w:lineRule="exact"/>
              <w:ind w:left="388" w:hanging="282"/>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水泥和其它易飞扬细颗粒建筑材料应封闭存放或采取覆盖等措施。</w:t>
            </w:r>
          </w:p>
          <w:p w14:paraId="4BE23AD1">
            <w:pPr>
              <w:pStyle w:val="490"/>
              <w:numPr>
                <w:ilvl w:val="0"/>
                <w:numId w:val="8"/>
              </w:numPr>
              <w:tabs>
                <w:tab w:val="left" w:pos="389"/>
              </w:tabs>
              <w:kinsoku w:val="0"/>
              <w:overflowPunct w:val="0"/>
              <w:spacing w:line="274" w:lineRule="exact"/>
              <w:ind w:left="388" w:hanging="282"/>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易燃、易爆和有毒有害物品分类存放。</w:t>
            </w:r>
          </w:p>
        </w:tc>
      </w:tr>
      <w:tr w14:paraId="7814EDB4">
        <w:tblPrEx>
          <w:tblCellMar>
            <w:top w:w="0" w:type="dxa"/>
            <w:left w:w="0" w:type="dxa"/>
            <w:bottom w:w="0" w:type="dxa"/>
            <w:right w:w="0" w:type="dxa"/>
          </w:tblCellMar>
        </w:tblPrEx>
        <w:trPr>
          <w:trHeight w:val="501" w:hRule="atLeast"/>
          <w:jc w:val="center"/>
        </w:trPr>
        <w:tc>
          <w:tcPr>
            <w:tcW w:w="739" w:type="dxa"/>
            <w:vMerge w:val="continue"/>
            <w:tcBorders>
              <w:top w:val="nil"/>
              <w:left w:val="single" w:color="000000" w:sz="12" w:space="0"/>
              <w:bottom w:val="single" w:color="000000" w:sz="4" w:space="0"/>
              <w:right w:val="single" w:color="000000" w:sz="4" w:space="0"/>
            </w:tcBorders>
          </w:tcPr>
          <w:p w14:paraId="69EC4425">
            <w:pPr>
              <w:pStyle w:val="20"/>
              <w:kinsoku w:val="0"/>
              <w:overflowPunct w:val="0"/>
              <w:spacing w:before="9"/>
              <w:rPr>
                <w:b/>
                <w:bCs/>
                <w:color w:val="auto"/>
                <w:sz w:val="2"/>
                <w:szCs w:val="2"/>
                <w:highlight w:val="none"/>
              </w:rPr>
            </w:pPr>
          </w:p>
        </w:tc>
        <w:tc>
          <w:tcPr>
            <w:tcW w:w="2069" w:type="dxa"/>
            <w:gridSpan w:val="2"/>
            <w:tcBorders>
              <w:top w:val="single" w:color="000000" w:sz="4" w:space="0"/>
              <w:left w:val="single" w:color="000000" w:sz="4" w:space="0"/>
              <w:bottom w:val="single" w:color="000000" w:sz="4" w:space="0"/>
              <w:right w:val="single" w:color="000000" w:sz="4" w:space="0"/>
            </w:tcBorders>
          </w:tcPr>
          <w:p w14:paraId="27FF3D66">
            <w:pPr>
              <w:pStyle w:val="490"/>
              <w:kinsoku w:val="0"/>
              <w:overflowPunct w:val="0"/>
              <w:spacing w:before="63"/>
              <w:ind w:left="623"/>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现场防火</w:t>
            </w:r>
          </w:p>
        </w:tc>
        <w:tc>
          <w:tcPr>
            <w:tcW w:w="6689" w:type="dxa"/>
            <w:tcBorders>
              <w:top w:val="single" w:color="000000" w:sz="4" w:space="0"/>
              <w:left w:val="single" w:color="000000" w:sz="4" w:space="0"/>
              <w:bottom w:val="single" w:color="000000" w:sz="4" w:space="0"/>
              <w:right w:val="single" w:color="000000" w:sz="12" w:space="0"/>
            </w:tcBorders>
          </w:tcPr>
          <w:p w14:paraId="05E3327F">
            <w:pPr>
              <w:pStyle w:val="490"/>
              <w:kinsoku w:val="0"/>
              <w:overflowPunct w:val="0"/>
              <w:spacing w:before="63"/>
              <w:ind w:left="10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消防器材配置合理，符合消防要求。</w:t>
            </w:r>
          </w:p>
        </w:tc>
      </w:tr>
      <w:tr w14:paraId="60CC6D65">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tcPr>
          <w:p w14:paraId="55EFFBBD">
            <w:pPr>
              <w:pStyle w:val="20"/>
              <w:kinsoku w:val="0"/>
              <w:overflowPunct w:val="0"/>
              <w:spacing w:before="9"/>
              <w:rPr>
                <w:b/>
                <w:bCs/>
                <w:color w:val="auto"/>
                <w:sz w:val="2"/>
                <w:szCs w:val="2"/>
                <w:highlight w:val="none"/>
              </w:rPr>
            </w:pPr>
          </w:p>
        </w:tc>
        <w:tc>
          <w:tcPr>
            <w:tcW w:w="2069" w:type="dxa"/>
            <w:gridSpan w:val="2"/>
            <w:tcBorders>
              <w:top w:val="single" w:color="000000" w:sz="4" w:space="0"/>
              <w:left w:val="single" w:color="000000" w:sz="4" w:space="0"/>
              <w:bottom w:val="single" w:color="000000" w:sz="4" w:space="0"/>
              <w:right w:val="single" w:color="000000" w:sz="4" w:space="0"/>
            </w:tcBorders>
          </w:tcPr>
          <w:p w14:paraId="72996A7B">
            <w:pPr>
              <w:pStyle w:val="490"/>
              <w:kinsoku w:val="0"/>
              <w:overflowPunct w:val="0"/>
              <w:spacing w:before="111"/>
              <w:ind w:left="623"/>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垃圾清运</w:t>
            </w:r>
          </w:p>
        </w:tc>
        <w:tc>
          <w:tcPr>
            <w:tcW w:w="6689" w:type="dxa"/>
            <w:tcBorders>
              <w:top w:val="single" w:color="000000" w:sz="4" w:space="0"/>
              <w:left w:val="single" w:color="000000" w:sz="4" w:space="0"/>
              <w:bottom w:val="single" w:color="000000" w:sz="4" w:space="0"/>
              <w:right w:val="single" w:color="000000" w:sz="12" w:space="0"/>
            </w:tcBorders>
          </w:tcPr>
          <w:p w14:paraId="0296F550">
            <w:pPr>
              <w:pStyle w:val="490"/>
              <w:numPr>
                <w:ilvl w:val="0"/>
                <w:numId w:val="9"/>
              </w:numPr>
              <w:tabs>
                <w:tab w:val="left" w:pos="389"/>
              </w:tabs>
              <w:kinsoku w:val="0"/>
              <w:overflowPunct w:val="0"/>
              <w:spacing w:line="306" w:lineRule="exact"/>
              <w:ind w:hanging="282"/>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施工现场应设置密闭式垃圾站，施工垃圾、生活垃圾应分类存放。</w:t>
            </w:r>
          </w:p>
          <w:p w14:paraId="744D9EA7">
            <w:pPr>
              <w:pStyle w:val="490"/>
              <w:numPr>
                <w:ilvl w:val="0"/>
                <w:numId w:val="9"/>
              </w:numPr>
              <w:tabs>
                <w:tab w:val="left" w:pos="389"/>
              </w:tabs>
              <w:kinsoku w:val="0"/>
              <w:overflowPunct w:val="0"/>
              <w:spacing w:line="273" w:lineRule="exact"/>
              <w:ind w:hanging="282"/>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施工垃圾必须采用相应容器或管道运输。</w:t>
            </w:r>
          </w:p>
        </w:tc>
      </w:tr>
      <w:tr w14:paraId="74B39A49">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tcPr>
          <w:p w14:paraId="1D8DAEDC">
            <w:pPr>
              <w:pStyle w:val="20"/>
              <w:kinsoku w:val="0"/>
              <w:overflowPunct w:val="0"/>
              <w:spacing w:before="9"/>
              <w:rPr>
                <w:b/>
                <w:bCs/>
                <w:color w:val="auto"/>
                <w:sz w:val="2"/>
                <w:szCs w:val="2"/>
                <w:highlight w:val="none"/>
              </w:rPr>
            </w:pPr>
          </w:p>
        </w:tc>
        <w:tc>
          <w:tcPr>
            <w:tcW w:w="2069" w:type="dxa"/>
            <w:gridSpan w:val="2"/>
            <w:tcBorders>
              <w:top w:val="single" w:color="000000" w:sz="4" w:space="0"/>
              <w:left w:val="single" w:color="000000" w:sz="4" w:space="0"/>
              <w:bottom w:val="single" w:color="000000" w:sz="4" w:space="0"/>
              <w:right w:val="single" w:color="000000" w:sz="4" w:space="0"/>
            </w:tcBorders>
          </w:tcPr>
          <w:p w14:paraId="5F79E85D">
            <w:pPr>
              <w:pStyle w:val="490"/>
              <w:kinsoku w:val="0"/>
              <w:overflowPunct w:val="0"/>
              <w:spacing w:line="306" w:lineRule="exact"/>
              <w:ind w:left="117"/>
              <w:rPr>
                <w:rFonts w:ascii="微软雅黑" w:eastAsia="微软雅黑" w:cs="微软雅黑"/>
                <w:color w:val="auto"/>
                <w:spacing w:val="-4"/>
                <w:sz w:val="21"/>
                <w:szCs w:val="21"/>
                <w:highlight w:val="none"/>
              </w:rPr>
            </w:pPr>
            <w:r>
              <w:rPr>
                <w:rFonts w:hint="eastAsia" w:ascii="微软雅黑" w:eastAsia="微软雅黑" w:cs="微软雅黑"/>
                <w:color w:val="auto"/>
                <w:spacing w:val="-4"/>
                <w:sz w:val="21"/>
                <w:szCs w:val="21"/>
                <w:highlight w:val="none"/>
              </w:rPr>
              <w:t>宣传栏、环保及丌扰</w:t>
            </w:r>
          </w:p>
          <w:p w14:paraId="62D42BB3">
            <w:pPr>
              <w:pStyle w:val="490"/>
              <w:kinsoku w:val="0"/>
              <w:overflowPunct w:val="0"/>
              <w:spacing w:line="273" w:lineRule="exact"/>
              <w:ind w:left="11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民措施</w:t>
            </w:r>
          </w:p>
        </w:tc>
        <w:tc>
          <w:tcPr>
            <w:tcW w:w="6689" w:type="dxa"/>
            <w:tcBorders>
              <w:top w:val="single" w:color="000000" w:sz="4" w:space="0"/>
              <w:left w:val="single" w:color="000000" w:sz="4" w:space="0"/>
              <w:bottom w:val="single" w:color="000000" w:sz="4" w:space="0"/>
              <w:right w:val="single" w:color="000000" w:sz="12" w:space="0"/>
            </w:tcBorders>
          </w:tcPr>
          <w:p w14:paraId="009D4BCC">
            <w:pPr>
              <w:pStyle w:val="490"/>
              <w:kinsoku w:val="0"/>
              <w:overflowPunct w:val="0"/>
              <w:spacing w:line="306" w:lineRule="exact"/>
              <w:ind w:left="107"/>
              <w:rPr>
                <w:rFonts w:ascii="微软雅黑" w:eastAsia="微软雅黑" w:cs="微软雅黑"/>
                <w:color w:val="auto"/>
                <w:spacing w:val="-3"/>
                <w:sz w:val="21"/>
                <w:szCs w:val="21"/>
                <w:highlight w:val="none"/>
              </w:rPr>
            </w:pPr>
            <w:r>
              <w:rPr>
                <w:rFonts w:hint="eastAsia" w:ascii="微软雅黑" w:eastAsia="微软雅黑" w:cs="微软雅黑"/>
                <w:color w:val="auto"/>
                <w:spacing w:val="-3"/>
                <w:sz w:val="21"/>
                <w:szCs w:val="21"/>
                <w:highlight w:val="none"/>
              </w:rPr>
              <w:t>宣传栏、安全宣传标语等，洗车（防止污染市区道路）、粉尘、噪声控</w:t>
            </w:r>
          </w:p>
          <w:p w14:paraId="2D717573">
            <w:pPr>
              <w:pStyle w:val="490"/>
              <w:kinsoku w:val="0"/>
              <w:overflowPunct w:val="0"/>
              <w:spacing w:line="273" w:lineRule="exact"/>
              <w:ind w:left="10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制和排污（污水、废气）措施等。</w:t>
            </w:r>
          </w:p>
        </w:tc>
      </w:tr>
      <w:tr w14:paraId="638BD3E3">
        <w:tblPrEx>
          <w:tblCellMar>
            <w:top w:w="0" w:type="dxa"/>
            <w:left w:w="0" w:type="dxa"/>
            <w:bottom w:w="0" w:type="dxa"/>
            <w:right w:w="0" w:type="dxa"/>
          </w:tblCellMar>
        </w:tblPrEx>
        <w:trPr>
          <w:trHeight w:val="889" w:hRule="atLeast"/>
          <w:jc w:val="center"/>
        </w:trPr>
        <w:tc>
          <w:tcPr>
            <w:tcW w:w="739" w:type="dxa"/>
            <w:vMerge w:val="restart"/>
            <w:tcBorders>
              <w:top w:val="single" w:color="000000" w:sz="4" w:space="0"/>
              <w:left w:val="single" w:color="000000" w:sz="12" w:space="0"/>
              <w:bottom w:val="single" w:color="000000" w:sz="12" w:space="0"/>
              <w:right w:val="single" w:color="000000" w:sz="4" w:space="0"/>
            </w:tcBorders>
          </w:tcPr>
          <w:p w14:paraId="2932E23D">
            <w:pPr>
              <w:pStyle w:val="490"/>
              <w:kinsoku w:val="0"/>
              <w:overflowPunct w:val="0"/>
              <w:rPr>
                <w:b/>
                <w:bCs/>
                <w:color w:val="auto"/>
                <w:sz w:val="28"/>
                <w:szCs w:val="28"/>
                <w:highlight w:val="none"/>
              </w:rPr>
            </w:pPr>
          </w:p>
          <w:p w14:paraId="201DF5D6">
            <w:pPr>
              <w:pStyle w:val="490"/>
              <w:kinsoku w:val="0"/>
              <w:overflowPunct w:val="0"/>
              <w:rPr>
                <w:b/>
                <w:bCs/>
                <w:color w:val="auto"/>
                <w:sz w:val="28"/>
                <w:szCs w:val="28"/>
                <w:highlight w:val="none"/>
              </w:rPr>
            </w:pPr>
          </w:p>
          <w:p w14:paraId="386CC4A5">
            <w:pPr>
              <w:pStyle w:val="490"/>
              <w:kinsoku w:val="0"/>
              <w:overflowPunct w:val="0"/>
              <w:rPr>
                <w:b/>
                <w:bCs/>
                <w:color w:val="auto"/>
                <w:sz w:val="28"/>
                <w:szCs w:val="28"/>
                <w:highlight w:val="none"/>
              </w:rPr>
            </w:pPr>
          </w:p>
          <w:p w14:paraId="3FC0C6BB">
            <w:pPr>
              <w:pStyle w:val="490"/>
              <w:kinsoku w:val="0"/>
              <w:overflowPunct w:val="0"/>
              <w:rPr>
                <w:b/>
                <w:bCs/>
                <w:color w:val="auto"/>
                <w:sz w:val="28"/>
                <w:szCs w:val="28"/>
                <w:highlight w:val="none"/>
              </w:rPr>
            </w:pPr>
          </w:p>
          <w:p w14:paraId="6194D723">
            <w:pPr>
              <w:pStyle w:val="490"/>
              <w:kinsoku w:val="0"/>
              <w:overflowPunct w:val="0"/>
              <w:rPr>
                <w:b/>
                <w:bCs/>
                <w:color w:val="auto"/>
                <w:sz w:val="28"/>
                <w:szCs w:val="28"/>
                <w:highlight w:val="none"/>
              </w:rPr>
            </w:pPr>
          </w:p>
          <w:p w14:paraId="260E4670">
            <w:pPr>
              <w:pStyle w:val="490"/>
              <w:kinsoku w:val="0"/>
              <w:overflowPunct w:val="0"/>
              <w:spacing w:before="184" w:line="187" w:lineRule="auto"/>
              <w:ind w:left="157" w:right="126"/>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临时设施</w:t>
            </w:r>
          </w:p>
        </w:tc>
        <w:tc>
          <w:tcPr>
            <w:tcW w:w="2069" w:type="dxa"/>
            <w:gridSpan w:val="2"/>
            <w:tcBorders>
              <w:top w:val="single" w:color="000000" w:sz="4" w:space="0"/>
              <w:left w:val="single" w:color="000000" w:sz="4" w:space="0"/>
              <w:bottom w:val="single" w:color="000000" w:sz="4" w:space="0"/>
              <w:right w:val="single" w:color="000000" w:sz="4" w:space="0"/>
            </w:tcBorders>
          </w:tcPr>
          <w:p w14:paraId="0CB0FFAC">
            <w:pPr>
              <w:pStyle w:val="490"/>
              <w:kinsoku w:val="0"/>
              <w:overflowPunct w:val="0"/>
              <w:spacing w:before="175" w:line="187" w:lineRule="auto"/>
              <w:ind w:left="623" w:right="590"/>
              <w:rPr>
                <w:rFonts w:ascii="微软雅黑" w:eastAsia="微软雅黑" w:cs="微软雅黑"/>
                <w:color w:val="auto"/>
                <w:spacing w:val="-1"/>
                <w:sz w:val="21"/>
                <w:szCs w:val="21"/>
                <w:highlight w:val="none"/>
              </w:rPr>
            </w:pPr>
            <w:r>
              <w:rPr>
                <w:rFonts w:hint="eastAsia" w:ascii="微软雅黑" w:eastAsia="微软雅黑" w:cs="微软雅黑"/>
                <w:color w:val="auto"/>
                <w:spacing w:val="-1"/>
                <w:sz w:val="21"/>
                <w:szCs w:val="21"/>
                <w:highlight w:val="none"/>
              </w:rPr>
              <w:t>现场办公生活设施</w:t>
            </w:r>
          </w:p>
        </w:tc>
        <w:tc>
          <w:tcPr>
            <w:tcW w:w="6689" w:type="dxa"/>
            <w:tcBorders>
              <w:top w:val="single" w:color="000000" w:sz="4" w:space="0"/>
              <w:left w:val="single" w:color="000000" w:sz="4" w:space="0"/>
              <w:bottom w:val="single" w:color="000000" w:sz="4" w:space="0"/>
              <w:right w:val="single" w:color="000000" w:sz="12" w:space="0"/>
            </w:tcBorders>
          </w:tcPr>
          <w:p w14:paraId="7D4D19CF">
            <w:pPr>
              <w:pStyle w:val="490"/>
              <w:numPr>
                <w:ilvl w:val="0"/>
                <w:numId w:val="10"/>
              </w:numPr>
              <w:tabs>
                <w:tab w:val="left" w:pos="389"/>
              </w:tabs>
              <w:kinsoku w:val="0"/>
              <w:overflowPunct w:val="0"/>
              <w:spacing w:line="306" w:lineRule="exact"/>
              <w:ind w:hanging="282"/>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施工现场办公、生活区不作业区分开设置，保持安全距离。</w:t>
            </w:r>
          </w:p>
          <w:p w14:paraId="11E42079">
            <w:pPr>
              <w:pStyle w:val="490"/>
              <w:numPr>
                <w:ilvl w:val="0"/>
                <w:numId w:val="10"/>
              </w:numPr>
              <w:tabs>
                <w:tab w:val="left" w:pos="389"/>
              </w:tabs>
              <w:kinsoku w:val="0"/>
              <w:overflowPunct w:val="0"/>
              <w:spacing w:line="300" w:lineRule="exact"/>
              <w:ind w:hanging="282"/>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工地办公室、现场宿舍、食堂、厕所、饮水、沐浴、休息场所等符</w:t>
            </w:r>
          </w:p>
          <w:p w14:paraId="77BE889D">
            <w:pPr>
              <w:pStyle w:val="490"/>
              <w:kinsoku w:val="0"/>
              <w:overflowPunct w:val="0"/>
              <w:spacing w:line="263" w:lineRule="exact"/>
              <w:ind w:left="10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合卫生、消防安全要求。</w:t>
            </w:r>
          </w:p>
        </w:tc>
      </w:tr>
      <w:tr w14:paraId="0FD90392">
        <w:tblPrEx>
          <w:tblCellMar>
            <w:top w:w="0" w:type="dxa"/>
            <w:left w:w="0" w:type="dxa"/>
            <w:bottom w:w="0" w:type="dxa"/>
            <w:right w:w="0" w:type="dxa"/>
          </w:tblCellMar>
        </w:tblPrEx>
        <w:trPr>
          <w:trHeight w:val="1180" w:hRule="atLeast"/>
          <w:jc w:val="center"/>
        </w:trPr>
        <w:tc>
          <w:tcPr>
            <w:tcW w:w="739" w:type="dxa"/>
            <w:vMerge w:val="continue"/>
            <w:tcBorders>
              <w:top w:val="nil"/>
              <w:left w:val="single" w:color="000000" w:sz="12" w:space="0"/>
              <w:bottom w:val="single" w:color="000000" w:sz="12" w:space="0"/>
              <w:right w:val="single" w:color="000000" w:sz="4" w:space="0"/>
            </w:tcBorders>
          </w:tcPr>
          <w:p w14:paraId="064C9831">
            <w:pPr>
              <w:pStyle w:val="20"/>
              <w:kinsoku w:val="0"/>
              <w:overflowPunct w:val="0"/>
              <w:spacing w:before="9"/>
              <w:rPr>
                <w:b/>
                <w:bCs/>
                <w:color w:val="auto"/>
                <w:sz w:val="2"/>
                <w:szCs w:val="2"/>
                <w:highlight w:val="none"/>
              </w:rPr>
            </w:pPr>
          </w:p>
        </w:tc>
        <w:tc>
          <w:tcPr>
            <w:tcW w:w="523" w:type="dxa"/>
            <w:vMerge w:val="restart"/>
            <w:tcBorders>
              <w:top w:val="single" w:color="000000" w:sz="4" w:space="0"/>
              <w:left w:val="single" w:color="000000" w:sz="4" w:space="0"/>
              <w:bottom w:val="single" w:color="000000" w:sz="12" w:space="0"/>
              <w:right w:val="single" w:color="000000" w:sz="4" w:space="0"/>
            </w:tcBorders>
          </w:tcPr>
          <w:p w14:paraId="4377326B">
            <w:pPr>
              <w:pStyle w:val="490"/>
              <w:kinsoku w:val="0"/>
              <w:overflowPunct w:val="0"/>
              <w:rPr>
                <w:b/>
                <w:bCs/>
                <w:color w:val="auto"/>
                <w:sz w:val="28"/>
                <w:szCs w:val="28"/>
                <w:highlight w:val="none"/>
              </w:rPr>
            </w:pPr>
          </w:p>
          <w:p w14:paraId="4ED60990">
            <w:pPr>
              <w:pStyle w:val="490"/>
              <w:kinsoku w:val="0"/>
              <w:overflowPunct w:val="0"/>
              <w:spacing w:before="9"/>
              <w:rPr>
                <w:b/>
                <w:bCs/>
                <w:color w:val="auto"/>
                <w:sz w:val="19"/>
                <w:szCs w:val="19"/>
                <w:highlight w:val="none"/>
              </w:rPr>
            </w:pPr>
          </w:p>
          <w:p w14:paraId="0439B93A">
            <w:pPr>
              <w:pStyle w:val="490"/>
              <w:kinsoku w:val="0"/>
              <w:overflowPunct w:val="0"/>
              <w:spacing w:line="187" w:lineRule="auto"/>
              <w:ind w:left="165" w:right="134"/>
              <w:jc w:val="both"/>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施工现场临时用电</w:t>
            </w:r>
          </w:p>
        </w:tc>
        <w:tc>
          <w:tcPr>
            <w:tcW w:w="1546" w:type="dxa"/>
            <w:tcBorders>
              <w:top w:val="single" w:color="000000" w:sz="4" w:space="0"/>
              <w:left w:val="single" w:color="000000" w:sz="4" w:space="0"/>
              <w:bottom w:val="single" w:color="000000" w:sz="4" w:space="0"/>
              <w:right w:val="single" w:color="000000" w:sz="4" w:space="0"/>
            </w:tcBorders>
          </w:tcPr>
          <w:p w14:paraId="3583865E">
            <w:pPr>
              <w:pStyle w:val="490"/>
              <w:kinsoku w:val="0"/>
              <w:overflowPunct w:val="0"/>
              <w:spacing w:before="7"/>
              <w:rPr>
                <w:b/>
                <w:bCs/>
                <w:color w:val="auto"/>
                <w:sz w:val="31"/>
                <w:szCs w:val="31"/>
                <w:highlight w:val="none"/>
              </w:rPr>
            </w:pPr>
          </w:p>
          <w:p w14:paraId="11C682A4">
            <w:pPr>
              <w:pStyle w:val="490"/>
              <w:kinsoku w:val="0"/>
              <w:overflowPunct w:val="0"/>
              <w:ind w:left="343" w:right="312"/>
              <w:jc w:val="center"/>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配电线路</w:t>
            </w:r>
          </w:p>
        </w:tc>
        <w:tc>
          <w:tcPr>
            <w:tcW w:w="6689" w:type="dxa"/>
            <w:tcBorders>
              <w:top w:val="single" w:color="000000" w:sz="4" w:space="0"/>
              <w:left w:val="single" w:color="000000" w:sz="4" w:space="0"/>
              <w:bottom w:val="single" w:color="000000" w:sz="4" w:space="0"/>
              <w:right w:val="single" w:color="000000" w:sz="12" w:space="0"/>
            </w:tcBorders>
          </w:tcPr>
          <w:p w14:paraId="078E93CA">
            <w:pPr>
              <w:pStyle w:val="490"/>
              <w:numPr>
                <w:ilvl w:val="0"/>
                <w:numId w:val="11"/>
              </w:numPr>
              <w:tabs>
                <w:tab w:val="left" w:pos="389"/>
              </w:tabs>
              <w:kinsoku w:val="0"/>
              <w:overflowPunct w:val="0"/>
              <w:spacing w:line="296" w:lineRule="exact"/>
              <w:ind w:hanging="282"/>
              <w:rPr>
                <w:rFonts w:ascii="微软雅黑" w:eastAsia="微软雅黑" w:cs="微软雅黑"/>
                <w:color w:val="auto"/>
                <w:spacing w:val="-4"/>
                <w:sz w:val="21"/>
                <w:szCs w:val="21"/>
                <w:highlight w:val="none"/>
              </w:rPr>
            </w:pPr>
            <w:r>
              <w:rPr>
                <w:rFonts w:hint="eastAsia" w:ascii="微软雅黑" w:eastAsia="微软雅黑" w:cs="微软雅黑"/>
                <w:color w:val="auto"/>
                <w:spacing w:val="-4"/>
                <w:sz w:val="21"/>
                <w:szCs w:val="21"/>
                <w:highlight w:val="none"/>
              </w:rPr>
              <w:t>按照</w:t>
            </w:r>
            <w:r>
              <w:rPr>
                <w:rFonts w:ascii="微软雅黑" w:eastAsia="微软雅黑" w:cs="微软雅黑"/>
                <w:color w:val="auto"/>
                <w:spacing w:val="-4"/>
                <w:sz w:val="21"/>
                <w:szCs w:val="21"/>
                <w:highlight w:val="none"/>
              </w:rPr>
              <w:t xml:space="preserve"> </w:t>
            </w:r>
            <w:r>
              <w:rPr>
                <w:rFonts w:ascii="微软雅黑" w:eastAsia="微软雅黑" w:cs="微软雅黑"/>
                <w:color w:val="auto"/>
                <w:sz w:val="21"/>
                <w:szCs w:val="21"/>
                <w:highlight w:val="none"/>
              </w:rPr>
              <w:t>TN-S</w:t>
            </w:r>
            <w:r>
              <w:rPr>
                <w:rFonts w:ascii="微软雅黑" w:eastAsia="微软雅黑" w:cs="微软雅黑"/>
                <w:color w:val="auto"/>
                <w:spacing w:val="-4"/>
                <w:sz w:val="21"/>
                <w:szCs w:val="21"/>
                <w:highlight w:val="none"/>
              </w:rPr>
              <w:t xml:space="preserve"> </w:t>
            </w:r>
            <w:r>
              <w:rPr>
                <w:rFonts w:hint="eastAsia" w:ascii="微软雅黑" w:eastAsia="微软雅黑" w:cs="微软雅黑"/>
                <w:color w:val="auto"/>
                <w:spacing w:val="-4"/>
                <w:sz w:val="21"/>
                <w:szCs w:val="21"/>
                <w:highlight w:val="none"/>
              </w:rPr>
              <w:t>系统要求配备五芯电缆、四芯电缆和三芯电缆。</w:t>
            </w:r>
          </w:p>
          <w:p w14:paraId="03C8676E">
            <w:pPr>
              <w:pStyle w:val="490"/>
              <w:numPr>
                <w:ilvl w:val="0"/>
                <w:numId w:val="11"/>
              </w:numPr>
              <w:tabs>
                <w:tab w:val="left" w:pos="389"/>
              </w:tabs>
              <w:kinsoku w:val="0"/>
              <w:overflowPunct w:val="0"/>
              <w:spacing w:before="17" w:line="187" w:lineRule="auto"/>
              <w:ind w:left="107" w:right="78" w:firstLine="0"/>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按要求架设临时用电线路的电杆、横担、瓷夹、瓷瓶等，或电缆埋地的地沟。</w:t>
            </w:r>
          </w:p>
          <w:p w14:paraId="3A349F88">
            <w:pPr>
              <w:pStyle w:val="490"/>
              <w:numPr>
                <w:ilvl w:val="0"/>
                <w:numId w:val="11"/>
              </w:numPr>
              <w:tabs>
                <w:tab w:val="left" w:pos="389"/>
              </w:tabs>
              <w:kinsoku w:val="0"/>
              <w:overflowPunct w:val="0"/>
              <w:spacing w:line="243" w:lineRule="exact"/>
              <w:ind w:right="-44" w:hanging="282"/>
              <w:rPr>
                <w:rFonts w:ascii="微软雅黑" w:eastAsia="微软雅黑" w:cs="微软雅黑"/>
                <w:color w:val="auto"/>
                <w:spacing w:val="-1"/>
                <w:sz w:val="21"/>
                <w:szCs w:val="21"/>
                <w:highlight w:val="none"/>
              </w:rPr>
            </w:pPr>
            <w:r>
              <w:rPr>
                <w:rFonts w:hint="eastAsia" w:ascii="微软雅黑" w:eastAsia="微软雅黑" w:cs="微软雅黑"/>
                <w:color w:val="auto"/>
                <w:spacing w:val="-1"/>
                <w:sz w:val="21"/>
                <w:szCs w:val="21"/>
                <w:highlight w:val="none"/>
              </w:rPr>
              <w:t>对靠近施工现场的外电线路，设置木质、塑料等绝缘体的防护设施。</w:t>
            </w:r>
          </w:p>
        </w:tc>
      </w:tr>
      <w:tr w14:paraId="1F58DA1A">
        <w:tblPrEx>
          <w:tblCellMar>
            <w:top w:w="0" w:type="dxa"/>
            <w:left w:w="0" w:type="dxa"/>
            <w:bottom w:w="0" w:type="dxa"/>
            <w:right w:w="0" w:type="dxa"/>
          </w:tblCellMar>
        </w:tblPrEx>
        <w:trPr>
          <w:trHeight w:val="1782" w:hRule="atLeast"/>
          <w:jc w:val="center"/>
        </w:trPr>
        <w:tc>
          <w:tcPr>
            <w:tcW w:w="739" w:type="dxa"/>
            <w:vMerge w:val="continue"/>
            <w:tcBorders>
              <w:top w:val="nil"/>
              <w:left w:val="single" w:color="000000" w:sz="12" w:space="0"/>
              <w:bottom w:val="single" w:color="000000" w:sz="12" w:space="0"/>
              <w:right w:val="single" w:color="000000" w:sz="4" w:space="0"/>
            </w:tcBorders>
          </w:tcPr>
          <w:p w14:paraId="136A9F61">
            <w:pPr>
              <w:pStyle w:val="20"/>
              <w:kinsoku w:val="0"/>
              <w:overflowPunct w:val="0"/>
              <w:spacing w:before="9"/>
              <w:rPr>
                <w:b/>
                <w:bCs/>
                <w:color w:val="auto"/>
                <w:sz w:val="2"/>
                <w:szCs w:val="2"/>
                <w:highlight w:val="none"/>
              </w:rPr>
            </w:pPr>
          </w:p>
        </w:tc>
        <w:tc>
          <w:tcPr>
            <w:tcW w:w="523" w:type="dxa"/>
            <w:vMerge w:val="continue"/>
            <w:tcBorders>
              <w:top w:val="nil"/>
              <w:left w:val="single" w:color="000000" w:sz="4" w:space="0"/>
              <w:bottom w:val="single" w:color="000000" w:sz="12" w:space="0"/>
              <w:right w:val="single" w:color="000000" w:sz="4" w:space="0"/>
            </w:tcBorders>
          </w:tcPr>
          <w:p w14:paraId="7C710D93">
            <w:pPr>
              <w:pStyle w:val="20"/>
              <w:kinsoku w:val="0"/>
              <w:overflowPunct w:val="0"/>
              <w:spacing w:before="9"/>
              <w:rPr>
                <w:b/>
                <w:bCs/>
                <w:color w:val="auto"/>
                <w:sz w:val="2"/>
                <w:szCs w:val="2"/>
                <w:highlight w:val="none"/>
              </w:rPr>
            </w:pPr>
          </w:p>
        </w:tc>
        <w:tc>
          <w:tcPr>
            <w:tcW w:w="1546" w:type="dxa"/>
            <w:tcBorders>
              <w:top w:val="single" w:color="000000" w:sz="4" w:space="0"/>
              <w:left w:val="single" w:color="000000" w:sz="4" w:space="0"/>
              <w:bottom w:val="single" w:color="000000" w:sz="4" w:space="0"/>
              <w:right w:val="single" w:color="000000" w:sz="4" w:space="0"/>
            </w:tcBorders>
          </w:tcPr>
          <w:p w14:paraId="1822A93B">
            <w:pPr>
              <w:pStyle w:val="490"/>
              <w:kinsoku w:val="0"/>
              <w:overflowPunct w:val="0"/>
              <w:rPr>
                <w:b/>
                <w:bCs/>
                <w:color w:val="auto"/>
                <w:sz w:val="28"/>
                <w:szCs w:val="28"/>
                <w:highlight w:val="none"/>
              </w:rPr>
            </w:pPr>
          </w:p>
          <w:p w14:paraId="04C2F469">
            <w:pPr>
              <w:pStyle w:val="490"/>
              <w:kinsoku w:val="0"/>
              <w:overflowPunct w:val="0"/>
              <w:spacing w:before="1"/>
              <w:rPr>
                <w:b/>
                <w:bCs/>
                <w:color w:val="auto"/>
                <w:sz w:val="20"/>
                <w:szCs w:val="20"/>
                <w:highlight w:val="none"/>
              </w:rPr>
            </w:pPr>
          </w:p>
          <w:p w14:paraId="4627078F">
            <w:pPr>
              <w:pStyle w:val="490"/>
              <w:kinsoku w:val="0"/>
              <w:overflowPunct w:val="0"/>
              <w:spacing w:line="187" w:lineRule="auto"/>
              <w:ind w:left="465" w:right="434"/>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配电箱开关箱</w:t>
            </w:r>
          </w:p>
        </w:tc>
        <w:tc>
          <w:tcPr>
            <w:tcW w:w="6689" w:type="dxa"/>
            <w:tcBorders>
              <w:top w:val="single" w:color="000000" w:sz="4" w:space="0"/>
              <w:left w:val="single" w:color="000000" w:sz="4" w:space="0"/>
              <w:bottom w:val="single" w:color="000000" w:sz="4" w:space="0"/>
              <w:right w:val="single" w:color="000000" w:sz="12" w:space="0"/>
            </w:tcBorders>
          </w:tcPr>
          <w:p w14:paraId="6259C141">
            <w:pPr>
              <w:pStyle w:val="490"/>
              <w:numPr>
                <w:ilvl w:val="0"/>
                <w:numId w:val="12"/>
              </w:numPr>
              <w:tabs>
                <w:tab w:val="left" w:pos="389"/>
              </w:tabs>
              <w:kinsoku w:val="0"/>
              <w:overflowPunct w:val="0"/>
              <w:spacing w:before="16" w:line="187" w:lineRule="auto"/>
              <w:ind w:right="74" w:firstLine="0"/>
              <w:jc w:val="both"/>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按三级配电要求，配备总配电箱、分配电箱、开关箱三类（铁质）</w:t>
            </w:r>
            <w:r>
              <w:rPr>
                <w:rFonts w:ascii="微软雅黑" w:eastAsia="微软雅黑" w:cs="微软雅黑"/>
                <w:color w:val="auto"/>
                <w:spacing w:val="1"/>
                <w:sz w:val="21"/>
                <w:szCs w:val="21"/>
                <w:highlight w:val="none"/>
              </w:rPr>
              <w:t xml:space="preserve"> </w:t>
            </w:r>
            <w:r>
              <w:rPr>
                <w:rFonts w:hint="eastAsia" w:ascii="微软雅黑" w:eastAsia="微软雅黑" w:cs="微软雅黑"/>
                <w:color w:val="auto"/>
                <w:spacing w:val="-3"/>
                <w:sz w:val="21"/>
                <w:szCs w:val="21"/>
                <w:highlight w:val="none"/>
              </w:rPr>
              <w:t>标准电箱，开关箱应符合“一机、一箱、一闸、一漏”，三类电箱中的</w:t>
            </w:r>
            <w:r>
              <w:rPr>
                <w:rFonts w:hint="eastAsia" w:ascii="微软雅黑" w:eastAsia="微软雅黑" w:cs="微软雅黑"/>
                <w:color w:val="auto"/>
                <w:sz w:val="21"/>
                <w:szCs w:val="21"/>
                <w:highlight w:val="none"/>
              </w:rPr>
              <w:t>各类电器应是合格品。</w:t>
            </w:r>
          </w:p>
          <w:p w14:paraId="2857BF52">
            <w:pPr>
              <w:pStyle w:val="490"/>
              <w:numPr>
                <w:ilvl w:val="0"/>
                <w:numId w:val="12"/>
              </w:numPr>
              <w:tabs>
                <w:tab w:val="left" w:pos="389"/>
              </w:tabs>
              <w:kinsoku w:val="0"/>
              <w:overflowPunct w:val="0"/>
              <w:spacing w:line="187" w:lineRule="auto"/>
              <w:ind w:right="78" w:firstLine="0"/>
              <w:jc w:val="both"/>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按两级保护的要求，选取符合容量要求和质量合格的总配电箱和开关箱中的漏电保护器。</w:t>
            </w:r>
          </w:p>
          <w:p w14:paraId="4953650F">
            <w:pPr>
              <w:pStyle w:val="490"/>
              <w:numPr>
                <w:ilvl w:val="0"/>
                <w:numId w:val="12"/>
              </w:numPr>
              <w:tabs>
                <w:tab w:val="left" w:pos="389"/>
              </w:tabs>
              <w:kinsoku w:val="0"/>
              <w:overflowPunct w:val="0"/>
              <w:spacing w:line="242" w:lineRule="exact"/>
              <w:ind w:left="388" w:hanging="282"/>
              <w:jc w:val="both"/>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对大垄、落地式分配电箱、开关箱设置防护棚和通透式围挡。</w:t>
            </w:r>
          </w:p>
        </w:tc>
      </w:tr>
      <w:tr w14:paraId="0BB2B8C6">
        <w:tblPrEx>
          <w:tblCellMar>
            <w:top w:w="0" w:type="dxa"/>
            <w:left w:w="0" w:type="dxa"/>
            <w:bottom w:w="0" w:type="dxa"/>
            <w:right w:w="0" w:type="dxa"/>
          </w:tblCellMar>
        </w:tblPrEx>
        <w:trPr>
          <w:trHeight w:val="562" w:hRule="atLeast"/>
          <w:jc w:val="center"/>
        </w:trPr>
        <w:tc>
          <w:tcPr>
            <w:tcW w:w="739" w:type="dxa"/>
            <w:vMerge w:val="continue"/>
            <w:tcBorders>
              <w:top w:val="nil"/>
              <w:left w:val="single" w:color="000000" w:sz="12" w:space="0"/>
              <w:bottom w:val="single" w:color="000000" w:sz="12" w:space="0"/>
              <w:right w:val="single" w:color="000000" w:sz="4" w:space="0"/>
            </w:tcBorders>
          </w:tcPr>
          <w:p w14:paraId="2EB3CF45">
            <w:pPr>
              <w:pStyle w:val="20"/>
              <w:kinsoku w:val="0"/>
              <w:overflowPunct w:val="0"/>
              <w:spacing w:before="9"/>
              <w:rPr>
                <w:b/>
                <w:bCs/>
                <w:color w:val="auto"/>
                <w:sz w:val="2"/>
                <w:szCs w:val="2"/>
                <w:highlight w:val="none"/>
              </w:rPr>
            </w:pPr>
          </w:p>
        </w:tc>
        <w:tc>
          <w:tcPr>
            <w:tcW w:w="523" w:type="dxa"/>
            <w:vMerge w:val="continue"/>
            <w:tcBorders>
              <w:top w:val="nil"/>
              <w:left w:val="single" w:color="000000" w:sz="4" w:space="0"/>
              <w:bottom w:val="single" w:color="000000" w:sz="12" w:space="0"/>
              <w:right w:val="single" w:color="000000" w:sz="4" w:space="0"/>
            </w:tcBorders>
          </w:tcPr>
          <w:p w14:paraId="432349E8">
            <w:pPr>
              <w:pStyle w:val="20"/>
              <w:kinsoku w:val="0"/>
              <w:overflowPunct w:val="0"/>
              <w:spacing w:before="9"/>
              <w:rPr>
                <w:b/>
                <w:bCs/>
                <w:color w:val="auto"/>
                <w:sz w:val="2"/>
                <w:szCs w:val="2"/>
                <w:highlight w:val="none"/>
              </w:rPr>
            </w:pPr>
          </w:p>
        </w:tc>
        <w:tc>
          <w:tcPr>
            <w:tcW w:w="1546" w:type="dxa"/>
            <w:tcBorders>
              <w:top w:val="single" w:color="000000" w:sz="4" w:space="0"/>
              <w:left w:val="single" w:color="000000" w:sz="4" w:space="0"/>
              <w:bottom w:val="single" w:color="000000" w:sz="12" w:space="0"/>
              <w:right w:val="single" w:color="000000" w:sz="4" w:space="0"/>
            </w:tcBorders>
          </w:tcPr>
          <w:p w14:paraId="3BD719D4">
            <w:pPr>
              <w:pStyle w:val="490"/>
              <w:kinsoku w:val="0"/>
              <w:overflowPunct w:val="0"/>
              <w:spacing w:before="89"/>
              <w:ind w:left="343" w:right="312"/>
              <w:jc w:val="center"/>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接地装置</w:t>
            </w:r>
          </w:p>
        </w:tc>
        <w:tc>
          <w:tcPr>
            <w:tcW w:w="6689" w:type="dxa"/>
            <w:tcBorders>
              <w:top w:val="single" w:color="000000" w:sz="4" w:space="0"/>
              <w:left w:val="single" w:color="000000" w:sz="4" w:space="0"/>
              <w:bottom w:val="single" w:color="000000" w:sz="12" w:space="0"/>
              <w:right w:val="single" w:color="000000" w:sz="12" w:space="0"/>
            </w:tcBorders>
          </w:tcPr>
          <w:p w14:paraId="4606BDF8">
            <w:pPr>
              <w:pStyle w:val="490"/>
              <w:kinsoku w:val="0"/>
              <w:overflowPunct w:val="0"/>
              <w:spacing w:before="89"/>
              <w:ind w:left="10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施工现场应设置丌少亍三处的重复接地装置。</w:t>
            </w:r>
          </w:p>
        </w:tc>
      </w:tr>
    </w:tbl>
    <w:p w14:paraId="62674A10">
      <w:pPr>
        <w:rPr>
          <w:b/>
          <w:bCs/>
          <w:color w:val="auto"/>
          <w:sz w:val="24"/>
          <w:highlight w:val="none"/>
        </w:rPr>
        <w:sectPr>
          <w:pgSz w:w="11910" w:h="16840"/>
          <w:pgMar w:top="1440" w:right="1170" w:bottom="1440" w:left="1500" w:header="737" w:footer="1198" w:gutter="0"/>
          <w:pgNumType w:fmt="decimal"/>
          <w:cols w:space="720" w:num="1"/>
        </w:sectPr>
      </w:pPr>
    </w:p>
    <w:tbl>
      <w:tblPr>
        <w:tblStyle w:val="55"/>
        <w:tblW w:w="0" w:type="auto"/>
        <w:jc w:val="center"/>
        <w:tblLayout w:type="fixed"/>
        <w:tblCellMar>
          <w:top w:w="0" w:type="dxa"/>
          <w:left w:w="0" w:type="dxa"/>
          <w:bottom w:w="0" w:type="dxa"/>
          <w:right w:w="0" w:type="dxa"/>
        </w:tblCellMar>
      </w:tblPr>
      <w:tblGrid>
        <w:gridCol w:w="739"/>
        <w:gridCol w:w="523"/>
        <w:gridCol w:w="1546"/>
        <w:gridCol w:w="6647"/>
      </w:tblGrid>
      <w:tr w14:paraId="736941C0">
        <w:tblPrEx>
          <w:tblCellMar>
            <w:top w:w="0" w:type="dxa"/>
            <w:left w:w="0" w:type="dxa"/>
            <w:bottom w:w="0" w:type="dxa"/>
            <w:right w:w="0" w:type="dxa"/>
          </w:tblCellMar>
        </w:tblPrEx>
        <w:trPr>
          <w:trHeight w:val="916" w:hRule="atLeast"/>
          <w:jc w:val="center"/>
        </w:trPr>
        <w:tc>
          <w:tcPr>
            <w:tcW w:w="739" w:type="dxa"/>
            <w:tcBorders>
              <w:top w:val="single" w:color="000000" w:sz="12" w:space="0"/>
              <w:left w:val="single" w:color="000000" w:sz="12" w:space="0"/>
              <w:bottom w:val="single" w:color="000000" w:sz="4" w:space="0"/>
              <w:right w:val="single" w:color="000000" w:sz="4" w:space="0"/>
            </w:tcBorders>
          </w:tcPr>
          <w:p w14:paraId="2F912241">
            <w:pPr>
              <w:pStyle w:val="490"/>
              <w:kinsoku w:val="0"/>
              <w:overflowPunct w:val="0"/>
              <w:rPr>
                <w:rFonts w:ascii="Times New Roman" w:cs="Times New Roman"/>
                <w:color w:val="auto"/>
                <w:sz w:val="20"/>
                <w:szCs w:val="20"/>
                <w:highlight w:val="none"/>
              </w:rPr>
            </w:pPr>
          </w:p>
        </w:tc>
        <w:tc>
          <w:tcPr>
            <w:tcW w:w="523" w:type="dxa"/>
            <w:tcBorders>
              <w:top w:val="single" w:color="000000" w:sz="12" w:space="0"/>
              <w:left w:val="single" w:color="000000" w:sz="4" w:space="0"/>
              <w:bottom w:val="single" w:color="000000" w:sz="4" w:space="0"/>
              <w:right w:val="single" w:color="000000" w:sz="4" w:space="0"/>
            </w:tcBorders>
          </w:tcPr>
          <w:p w14:paraId="6DDBD44D">
            <w:pPr>
              <w:pStyle w:val="490"/>
              <w:kinsoku w:val="0"/>
              <w:overflowPunct w:val="0"/>
              <w:rPr>
                <w:rFonts w:ascii="Times New Roman" w:cs="Times New Roman"/>
                <w:color w:val="auto"/>
                <w:sz w:val="20"/>
                <w:szCs w:val="20"/>
                <w:highlight w:val="none"/>
              </w:rPr>
            </w:pPr>
          </w:p>
        </w:tc>
        <w:tc>
          <w:tcPr>
            <w:tcW w:w="1546" w:type="dxa"/>
            <w:tcBorders>
              <w:top w:val="single" w:color="000000" w:sz="12" w:space="0"/>
              <w:left w:val="single" w:color="000000" w:sz="4" w:space="0"/>
              <w:bottom w:val="single" w:color="000000" w:sz="4" w:space="0"/>
              <w:right w:val="single" w:color="000000" w:sz="4" w:space="0"/>
            </w:tcBorders>
          </w:tcPr>
          <w:p w14:paraId="256C931F">
            <w:pPr>
              <w:pStyle w:val="490"/>
              <w:kinsoku w:val="0"/>
              <w:overflowPunct w:val="0"/>
              <w:spacing w:before="182" w:line="187" w:lineRule="auto"/>
              <w:ind w:left="676" w:right="120" w:hanging="526"/>
              <w:rPr>
                <w:rFonts w:ascii="微软雅黑" w:eastAsia="微软雅黑" w:cs="微软雅黑"/>
                <w:color w:val="auto"/>
                <w:sz w:val="21"/>
                <w:szCs w:val="21"/>
                <w:highlight w:val="none"/>
              </w:rPr>
            </w:pPr>
            <w:r>
              <w:rPr>
                <w:rFonts w:hint="eastAsia" w:ascii="微软雅黑" w:eastAsia="微软雅黑" w:cs="微软雅黑"/>
                <w:color w:val="auto"/>
                <w:spacing w:val="-1"/>
                <w:sz w:val="21"/>
                <w:szCs w:val="21"/>
                <w:highlight w:val="none"/>
              </w:rPr>
              <w:t>现场变配电装</w:t>
            </w:r>
            <w:r>
              <w:rPr>
                <w:rFonts w:hint="eastAsia" w:ascii="微软雅黑" w:eastAsia="微软雅黑" w:cs="微软雅黑"/>
                <w:color w:val="auto"/>
                <w:sz w:val="21"/>
                <w:szCs w:val="21"/>
                <w:highlight w:val="none"/>
              </w:rPr>
              <w:t>置</w:t>
            </w:r>
          </w:p>
        </w:tc>
        <w:tc>
          <w:tcPr>
            <w:tcW w:w="6647" w:type="dxa"/>
            <w:tcBorders>
              <w:top w:val="single" w:color="000000" w:sz="12" w:space="0"/>
              <w:left w:val="single" w:color="000000" w:sz="4" w:space="0"/>
              <w:bottom w:val="single" w:color="000000" w:sz="4" w:space="0"/>
              <w:right w:val="single" w:color="000000" w:sz="12" w:space="0"/>
            </w:tcBorders>
          </w:tcPr>
          <w:p w14:paraId="5154DD8F">
            <w:pPr>
              <w:pStyle w:val="490"/>
              <w:kinsoku w:val="0"/>
              <w:overflowPunct w:val="0"/>
              <w:spacing w:before="3"/>
              <w:rPr>
                <w:b/>
                <w:bCs/>
                <w:color w:val="auto"/>
                <w:sz w:val="21"/>
                <w:szCs w:val="21"/>
                <w:highlight w:val="none"/>
              </w:rPr>
            </w:pPr>
          </w:p>
          <w:p w14:paraId="3FC493DC">
            <w:pPr>
              <w:pStyle w:val="490"/>
              <w:kinsoku w:val="0"/>
              <w:overflowPunct w:val="0"/>
              <w:ind w:left="107"/>
              <w:rPr>
                <w:rFonts w:ascii="微软雅黑" w:eastAsia="微软雅黑" w:cs="微软雅黑"/>
                <w:color w:val="auto"/>
                <w:spacing w:val="-1"/>
                <w:sz w:val="21"/>
                <w:szCs w:val="21"/>
                <w:highlight w:val="none"/>
              </w:rPr>
            </w:pPr>
            <w:r>
              <w:rPr>
                <w:rFonts w:hint="eastAsia" w:ascii="微软雅黑" w:eastAsia="微软雅黑" w:cs="微软雅黑"/>
                <w:color w:val="auto"/>
                <w:spacing w:val="-1"/>
                <w:sz w:val="21"/>
                <w:szCs w:val="21"/>
                <w:highlight w:val="none"/>
              </w:rPr>
              <w:t>总配电房建筑材料必须达到消防防火要求，室内做硬地坪、电缆沟。</w:t>
            </w:r>
          </w:p>
        </w:tc>
      </w:tr>
      <w:tr w14:paraId="68E3E31B">
        <w:tblPrEx>
          <w:tblCellMar>
            <w:top w:w="0" w:type="dxa"/>
            <w:left w:w="0" w:type="dxa"/>
            <w:bottom w:w="0" w:type="dxa"/>
            <w:right w:w="0" w:type="dxa"/>
          </w:tblCellMar>
        </w:tblPrEx>
        <w:trPr>
          <w:trHeight w:val="611" w:hRule="atLeast"/>
          <w:jc w:val="center"/>
        </w:trPr>
        <w:tc>
          <w:tcPr>
            <w:tcW w:w="739" w:type="dxa"/>
            <w:tcBorders>
              <w:top w:val="single" w:color="000000" w:sz="4" w:space="0"/>
              <w:left w:val="single" w:color="000000" w:sz="12" w:space="0"/>
              <w:bottom w:val="single" w:color="000000" w:sz="4" w:space="0"/>
              <w:right w:val="single" w:color="000000" w:sz="4" w:space="0"/>
            </w:tcBorders>
          </w:tcPr>
          <w:p w14:paraId="280C52FF">
            <w:pPr>
              <w:pStyle w:val="490"/>
              <w:kinsoku w:val="0"/>
              <w:overflowPunct w:val="0"/>
              <w:spacing w:before="118"/>
              <w:ind w:left="157"/>
              <w:rPr>
                <w:rFonts w:ascii="微软雅黑" w:eastAsia="微软雅黑" w:cs="微软雅黑"/>
                <w:b/>
                <w:bCs/>
                <w:color w:val="auto"/>
                <w:sz w:val="21"/>
                <w:szCs w:val="21"/>
                <w:highlight w:val="none"/>
              </w:rPr>
            </w:pPr>
            <w:r>
              <w:rPr>
                <w:rFonts w:hint="eastAsia" w:ascii="微软雅黑" w:eastAsia="微软雅黑" w:cs="微软雅黑"/>
                <w:b/>
                <w:bCs/>
                <w:color w:val="auto"/>
                <w:sz w:val="21"/>
                <w:szCs w:val="21"/>
                <w:highlight w:val="none"/>
              </w:rPr>
              <w:t>类别</w:t>
            </w:r>
          </w:p>
        </w:tc>
        <w:tc>
          <w:tcPr>
            <w:tcW w:w="2069" w:type="dxa"/>
            <w:gridSpan w:val="2"/>
            <w:tcBorders>
              <w:top w:val="single" w:color="000000" w:sz="4" w:space="0"/>
              <w:left w:val="single" w:color="000000" w:sz="4" w:space="0"/>
              <w:bottom w:val="single" w:color="000000" w:sz="4" w:space="0"/>
              <w:right w:val="single" w:color="000000" w:sz="4" w:space="0"/>
            </w:tcBorders>
          </w:tcPr>
          <w:p w14:paraId="7BD8B801">
            <w:pPr>
              <w:pStyle w:val="490"/>
              <w:kinsoku w:val="0"/>
              <w:overflowPunct w:val="0"/>
              <w:spacing w:before="118"/>
              <w:ind w:left="623"/>
              <w:rPr>
                <w:rFonts w:ascii="微软雅黑" w:eastAsia="微软雅黑" w:cs="微软雅黑"/>
                <w:b/>
                <w:bCs/>
                <w:color w:val="auto"/>
                <w:sz w:val="21"/>
                <w:szCs w:val="21"/>
                <w:highlight w:val="none"/>
              </w:rPr>
            </w:pPr>
            <w:r>
              <w:rPr>
                <w:rFonts w:hint="eastAsia" w:ascii="微软雅黑" w:eastAsia="微软雅黑" w:cs="微软雅黑"/>
                <w:b/>
                <w:bCs/>
                <w:color w:val="auto"/>
                <w:sz w:val="21"/>
                <w:szCs w:val="21"/>
                <w:highlight w:val="none"/>
              </w:rPr>
              <w:t>项目名称</w:t>
            </w:r>
          </w:p>
        </w:tc>
        <w:tc>
          <w:tcPr>
            <w:tcW w:w="6647" w:type="dxa"/>
            <w:tcBorders>
              <w:top w:val="single" w:color="000000" w:sz="4" w:space="0"/>
              <w:left w:val="single" w:color="000000" w:sz="4" w:space="0"/>
              <w:bottom w:val="single" w:color="000000" w:sz="4" w:space="0"/>
              <w:right w:val="single" w:color="000000" w:sz="12" w:space="0"/>
            </w:tcBorders>
          </w:tcPr>
          <w:p w14:paraId="4418077B">
            <w:pPr>
              <w:pStyle w:val="490"/>
              <w:kinsoku w:val="0"/>
              <w:overflowPunct w:val="0"/>
              <w:spacing w:before="118"/>
              <w:ind w:left="2574" w:right="2543"/>
              <w:jc w:val="center"/>
              <w:rPr>
                <w:rFonts w:ascii="微软雅黑" w:eastAsia="微软雅黑" w:cs="微软雅黑"/>
                <w:b/>
                <w:bCs/>
                <w:color w:val="auto"/>
                <w:sz w:val="21"/>
                <w:szCs w:val="21"/>
                <w:highlight w:val="none"/>
              </w:rPr>
            </w:pPr>
            <w:r>
              <w:rPr>
                <w:rFonts w:hint="eastAsia" w:ascii="微软雅黑" w:eastAsia="微软雅黑" w:cs="微软雅黑"/>
                <w:b/>
                <w:bCs/>
                <w:color w:val="auto"/>
                <w:sz w:val="21"/>
                <w:szCs w:val="21"/>
                <w:highlight w:val="none"/>
              </w:rPr>
              <w:t>主要内容和要求</w:t>
            </w:r>
          </w:p>
        </w:tc>
      </w:tr>
      <w:tr w14:paraId="652D0220">
        <w:tblPrEx>
          <w:tblCellMar>
            <w:top w:w="0" w:type="dxa"/>
            <w:left w:w="0" w:type="dxa"/>
            <w:bottom w:w="0" w:type="dxa"/>
            <w:right w:w="0" w:type="dxa"/>
          </w:tblCellMar>
        </w:tblPrEx>
        <w:trPr>
          <w:trHeight w:val="601" w:hRule="atLeast"/>
          <w:jc w:val="center"/>
        </w:trPr>
        <w:tc>
          <w:tcPr>
            <w:tcW w:w="739" w:type="dxa"/>
            <w:vMerge w:val="restart"/>
            <w:tcBorders>
              <w:top w:val="single" w:color="000000" w:sz="4" w:space="0"/>
              <w:left w:val="single" w:color="000000" w:sz="12" w:space="0"/>
              <w:bottom w:val="single" w:color="000000" w:sz="4" w:space="0"/>
              <w:right w:val="single" w:color="000000" w:sz="4" w:space="0"/>
            </w:tcBorders>
          </w:tcPr>
          <w:p w14:paraId="098C7275">
            <w:pPr>
              <w:pStyle w:val="490"/>
              <w:kinsoku w:val="0"/>
              <w:overflowPunct w:val="0"/>
              <w:rPr>
                <w:b/>
                <w:bCs/>
                <w:color w:val="auto"/>
                <w:sz w:val="28"/>
                <w:szCs w:val="28"/>
                <w:highlight w:val="none"/>
              </w:rPr>
            </w:pPr>
          </w:p>
          <w:p w14:paraId="6C0F9857">
            <w:pPr>
              <w:pStyle w:val="490"/>
              <w:kinsoku w:val="0"/>
              <w:overflowPunct w:val="0"/>
              <w:rPr>
                <w:b/>
                <w:bCs/>
                <w:color w:val="auto"/>
                <w:sz w:val="28"/>
                <w:szCs w:val="28"/>
                <w:highlight w:val="none"/>
              </w:rPr>
            </w:pPr>
          </w:p>
          <w:p w14:paraId="2D543765">
            <w:pPr>
              <w:pStyle w:val="490"/>
              <w:kinsoku w:val="0"/>
              <w:overflowPunct w:val="0"/>
              <w:rPr>
                <w:b/>
                <w:bCs/>
                <w:color w:val="auto"/>
                <w:sz w:val="28"/>
                <w:szCs w:val="28"/>
                <w:highlight w:val="none"/>
              </w:rPr>
            </w:pPr>
          </w:p>
          <w:p w14:paraId="12DDE5DA">
            <w:pPr>
              <w:pStyle w:val="490"/>
              <w:kinsoku w:val="0"/>
              <w:overflowPunct w:val="0"/>
              <w:rPr>
                <w:b/>
                <w:bCs/>
                <w:color w:val="auto"/>
                <w:sz w:val="28"/>
                <w:szCs w:val="28"/>
                <w:highlight w:val="none"/>
              </w:rPr>
            </w:pPr>
          </w:p>
          <w:p w14:paraId="65C78C99">
            <w:pPr>
              <w:pStyle w:val="490"/>
              <w:kinsoku w:val="0"/>
              <w:overflowPunct w:val="0"/>
              <w:rPr>
                <w:b/>
                <w:bCs/>
                <w:color w:val="auto"/>
                <w:sz w:val="28"/>
                <w:szCs w:val="28"/>
                <w:highlight w:val="none"/>
              </w:rPr>
            </w:pPr>
          </w:p>
          <w:p w14:paraId="3369B076">
            <w:pPr>
              <w:pStyle w:val="490"/>
              <w:kinsoku w:val="0"/>
              <w:overflowPunct w:val="0"/>
              <w:spacing w:before="12"/>
              <w:rPr>
                <w:b/>
                <w:bCs/>
                <w:color w:val="auto"/>
                <w:sz w:val="40"/>
                <w:szCs w:val="40"/>
                <w:highlight w:val="none"/>
              </w:rPr>
            </w:pPr>
          </w:p>
          <w:p w14:paraId="78A36166">
            <w:pPr>
              <w:pStyle w:val="490"/>
              <w:kinsoku w:val="0"/>
              <w:overflowPunct w:val="0"/>
              <w:spacing w:line="187" w:lineRule="auto"/>
              <w:ind w:left="157" w:right="126"/>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安全施工</w:t>
            </w:r>
          </w:p>
        </w:tc>
        <w:tc>
          <w:tcPr>
            <w:tcW w:w="523" w:type="dxa"/>
            <w:vMerge w:val="restart"/>
            <w:tcBorders>
              <w:top w:val="single" w:color="000000" w:sz="4" w:space="0"/>
              <w:left w:val="single" w:color="000000" w:sz="4" w:space="0"/>
              <w:bottom w:val="single" w:color="000000" w:sz="4" w:space="0"/>
              <w:right w:val="single" w:color="000000" w:sz="4" w:space="0"/>
            </w:tcBorders>
          </w:tcPr>
          <w:p w14:paraId="2EDC91A6">
            <w:pPr>
              <w:pStyle w:val="490"/>
              <w:kinsoku w:val="0"/>
              <w:overflowPunct w:val="0"/>
              <w:rPr>
                <w:b/>
                <w:bCs/>
                <w:color w:val="auto"/>
                <w:sz w:val="28"/>
                <w:szCs w:val="28"/>
                <w:highlight w:val="none"/>
              </w:rPr>
            </w:pPr>
          </w:p>
          <w:p w14:paraId="5ECC5010">
            <w:pPr>
              <w:pStyle w:val="490"/>
              <w:kinsoku w:val="0"/>
              <w:overflowPunct w:val="0"/>
              <w:rPr>
                <w:b/>
                <w:bCs/>
                <w:color w:val="auto"/>
                <w:sz w:val="28"/>
                <w:szCs w:val="28"/>
                <w:highlight w:val="none"/>
              </w:rPr>
            </w:pPr>
          </w:p>
          <w:p w14:paraId="5F286FF2">
            <w:pPr>
              <w:pStyle w:val="490"/>
              <w:kinsoku w:val="0"/>
              <w:overflowPunct w:val="0"/>
              <w:rPr>
                <w:b/>
                <w:bCs/>
                <w:color w:val="auto"/>
                <w:sz w:val="28"/>
                <w:szCs w:val="28"/>
                <w:highlight w:val="none"/>
              </w:rPr>
            </w:pPr>
          </w:p>
          <w:p w14:paraId="2D5B739A">
            <w:pPr>
              <w:pStyle w:val="490"/>
              <w:kinsoku w:val="0"/>
              <w:overflowPunct w:val="0"/>
              <w:spacing w:before="3"/>
              <w:rPr>
                <w:b/>
                <w:bCs/>
                <w:color w:val="auto"/>
                <w:sz w:val="26"/>
                <w:szCs w:val="26"/>
                <w:highlight w:val="none"/>
              </w:rPr>
            </w:pPr>
          </w:p>
          <w:p w14:paraId="286EA8DF">
            <w:pPr>
              <w:pStyle w:val="490"/>
              <w:kinsoku w:val="0"/>
              <w:overflowPunct w:val="0"/>
              <w:spacing w:before="1" w:line="187" w:lineRule="auto"/>
              <w:ind w:left="165" w:right="134"/>
              <w:jc w:val="both"/>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高处作业防护</w:t>
            </w:r>
          </w:p>
        </w:tc>
        <w:tc>
          <w:tcPr>
            <w:tcW w:w="1546" w:type="dxa"/>
            <w:tcBorders>
              <w:top w:val="single" w:color="000000" w:sz="4" w:space="0"/>
              <w:left w:val="single" w:color="000000" w:sz="4" w:space="0"/>
              <w:bottom w:val="single" w:color="000000" w:sz="4" w:space="0"/>
              <w:right w:val="single" w:color="000000" w:sz="4" w:space="0"/>
            </w:tcBorders>
          </w:tcPr>
          <w:p w14:paraId="38514941">
            <w:pPr>
              <w:pStyle w:val="490"/>
              <w:kinsoku w:val="0"/>
              <w:overflowPunct w:val="0"/>
              <w:spacing w:line="309" w:lineRule="exact"/>
              <w:ind w:left="117"/>
              <w:rPr>
                <w:rFonts w:ascii="微软雅黑" w:eastAsia="微软雅黑" w:cs="微软雅黑"/>
                <w:color w:val="auto"/>
                <w:spacing w:val="9"/>
                <w:sz w:val="21"/>
                <w:szCs w:val="21"/>
                <w:highlight w:val="none"/>
              </w:rPr>
            </w:pPr>
            <w:r>
              <w:rPr>
                <w:rFonts w:hint="eastAsia" w:ascii="微软雅黑" w:eastAsia="微软雅黑" w:cs="微软雅黑"/>
                <w:color w:val="auto"/>
                <w:spacing w:val="9"/>
                <w:sz w:val="21"/>
                <w:szCs w:val="21"/>
                <w:highlight w:val="none"/>
              </w:rPr>
              <w:t>楼层、屋面、</w:t>
            </w:r>
          </w:p>
          <w:p w14:paraId="21741F14">
            <w:pPr>
              <w:pStyle w:val="490"/>
              <w:kinsoku w:val="0"/>
              <w:overflowPunct w:val="0"/>
              <w:spacing w:line="273" w:lineRule="exact"/>
              <w:ind w:left="11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阳台等临边</w:t>
            </w:r>
          </w:p>
        </w:tc>
        <w:tc>
          <w:tcPr>
            <w:tcW w:w="6647" w:type="dxa"/>
            <w:tcBorders>
              <w:top w:val="single" w:color="000000" w:sz="4" w:space="0"/>
              <w:left w:val="single" w:color="000000" w:sz="4" w:space="0"/>
              <w:bottom w:val="single" w:color="000000" w:sz="4" w:space="0"/>
              <w:right w:val="single" w:color="000000" w:sz="12" w:space="0"/>
            </w:tcBorders>
          </w:tcPr>
          <w:p w14:paraId="7ED8FB48">
            <w:pPr>
              <w:pStyle w:val="490"/>
              <w:kinsoku w:val="0"/>
              <w:overflowPunct w:val="0"/>
              <w:spacing w:before="114"/>
              <w:ind w:left="107"/>
              <w:rPr>
                <w:rFonts w:ascii="微软雅黑" w:eastAsia="微软雅黑" w:cs="微软雅黑"/>
                <w:color w:val="auto"/>
                <w:spacing w:val="-3"/>
                <w:sz w:val="21"/>
                <w:szCs w:val="21"/>
                <w:highlight w:val="none"/>
              </w:rPr>
            </w:pPr>
            <w:r>
              <w:rPr>
                <w:rFonts w:hint="eastAsia" w:ascii="微软雅黑" w:eastAsia="微软雅黑" w:cs="微软雅黑"/>
                <w:color w:val="auto"/>
                <w:spacing w:val="-2"/>
                <w:sz w:val="21"/>
                <w:szCs w:val="21"/>
                <w:highlight w:val="none"/>
              </w:rPr>
              <w:t>设两道防护栏杆和</w:t>
            </w:r>
            <w:r>
              <w:rPr>
                <w:rFonts w:ascii="微软雅黑" w:eastAsia="微软雅黑" w:cs="微软雅黑"/>
                <w:color w:val="auto"/>
                <w:spacing w:val="-2"/>
                <w:sz w:val="21"/>
                <w:szCs w:val="21"/>
                <w:highlight w:val="none"/>
              </w:rPr>
              <w:t xml:space="preserve"> </w:t>
            </w:r>
            <w:r>
              <w:rPr>
                <w:rFonts w:ascii="微软雅黑" w:eastAsia="微软雅黑" w:cs="微软雅黑"/>
                <w:color w:val="auto"/>
                <w:sz w:val="21"/>
                <w:szCs w:val="21"/>
                <w:highlight w:val="none"/>
              </w:rPr>
              <w:t>18cm</w:t>
            </w:r>
            <w:r>
              <w:rPr>
                <w:rFonts w:ascii="微软雅黑" w:eastAsia="微软雅黑" w:cs="微软雅黑"/>
                <w:color w:val="auto"/>
                <w:spacing w:val="-3"/>
                <w:sz w:val="21"/>
                <w:szCs w:val="21"/>
                <w:highlight w:val="none"/>
              </w:rPr>
              <w:t xml:space="preserve"> </w:t>
            </w:r>
            <w:r>
              <w:rPr>
                <w:rFonts w:hint="eastAsia" w:ascii="微软雅黑" w:eastAsia="微软雅黑" w:cs="微软雅黑"/>
                <w:color w:val="auto"/>
                <w:spacing w:val="-3"/>
                <w:sz w:val="21"/>
                <w:szCs w:val="21"/>
                <w:highlight w:val="none"/>
              </w:rPr>
              <w:t>高的踢脚板，用密目式安全立网全封闭。</w:t>
            </w:r>
          </w:p>
        </w:tc>
      </w:tr>
      <w:tr w14:paraId="3519F44D">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tcPr>
          <w:p w14:paraId="0AB760F7">
            <w:pPr>
              <w:rPr>
                <w:b/>
                <w:bCs/>
                <w:color w:val="auto"/>
                <w:sz w:val="2"/>
                <w:szCs w:val="2"/>
                <w:highlight w:val="none"/>
              </w:rPr>
            </w:pPr>
          </w:p>
        </w:tc>
        <w:tc>
          <w:tcPr>
            <w:tcW w:w="523" w:type="dxa"/>
            <w:vMerge w:val="continue"/>
            <w:tcBorders>
              <w:top w:val="nil"/>
              <w:left w:val="single" w:color="000000" w:sz="4" w:space="0"/>
              <w:bottom w:val="single" w:color="000000" w:sz="4" w:space="0"/>
              <w:right w:val="single" w:color="000000" w:sz="4" w:space="0"/>
            </w:tcBorders>
          </w:tcPr>
          <w:p w14:paraId="380FA751">
            <w:pPr>
              <w:rPr>
                <w:b/>
                <w:bCs/>
                <w:color w:val="auto"/>
                <w:sz w:val="2"/>
                <w:szCs w:val="2"/>
                <w:highlight w:val="none"/>
              </w:rPr>
            </w:pPr>
          </w:p>
        </w:tc>
        <w:tc>
          <w:tcPr>
            <w:tcW w:w="1546" w:type="dxa"/>
            <w:tcBorders>
              <w:top w:val="single" w:color="000000" w:sz="4" w:space="0"/>
              <w:left w:val="single" w:color="000000" w:sz="4" w:space="0"/>
              <w:bottom w:val="single" w:color="000000" w:sz="4" w:space="0"/>
              <w:right w:val="single" w:color="000000" w:sz="4" w:space="0"/>
            </w:tcBorders>
          </w:tcPr>
          <w:p w14:paraId="4B92A21F">
            <w:pPr>
              <w:pStyle w:val="490"/>
              <w:kinsoku w:val="0"/>
              <w:overflowPunct w:val="0"/>
              <w:spacing w:before="111"/>
              <w:ind w:left="11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通道口</w:t>
            </w:r>
          </w:p>
        </w:tc>
        <w:tc>
          <w:tcPr>
            <w:tcW w:w="6647" w:type="dxa"/>
            <w:tcBorders>
              <w:top w:val="single" w:color="000000" w:sz="4" w:space="0"/>
              <w:left w:val="single" w:color="000000" w:sz="4" w:space="0"/>
              <w:bottom w:val="single" w:color="000000" w:sz="4" w:space="0"/>
              <w:right w:val="single" w:color="000000" w:sz="12" w:space="0"/>
            </w:tcBorders>
          </w:tcPr>
          <w:p w14:paraId="536254FB">
            <w:pPr>
              <w:pStyle w:val="490"/>
              <w:kinsoku w:val="0"/>
              <w:overflowPunct w:val="0"/>
              <w:spacing w:line="306" w:lineRule="exact"/>
              <w:ind w:left="107" w:right="-44"/>
              <w:rPr>
                <w:rFonts w:ascii="微软雅黑" w:eastAsia="微软雅黑" w:cs="微软雅黑"/>
                <w:color w:val="auto"/>
                <w:spacing w:val="-4"/>
                <w:sz w:val="21"/>
                <w:szCs w:val="21"/>
                <w:highlight w:val="none"/>
              </w:rPr>
            </w:pPr>
            <w:r>
              <w:rPr>
                <w:rFonts w:hint="eastAsia" w:ascii="微软雅黑" w:eastAsia="微软雅黑" w:cs="微软雅黑"/>
                <w:color w:val="auto"/>
                <w:spacing w:val="-12"/>
                <w:sz w:val="21"/>
                <w:szCs w:val="21"/>
                <w:highlight w:val="none"/>
              </w:rPr>
              <w:t>设防护棚，防护棚应为丌小于</w:t>
            </w:r>
            <w:r>
              <w:rPr>
                <w:rFonts w:ascii="微软雅黑" w:eastAsia="微软雅黑" w:cs="微软雅黑"/>
                <w:color w:val="auto"/>
                <w:spacing w:val="-12"/>
                <w:sz w:val="21"/>
                <w:szCs w:val="21"/>
                <w:highlight w:val="none"/>
              </w:rPr>
              <w:t xml:space="preserve"> </w:t>
            </w:r>
            <w:r>
              <w:rPr>
                <w:rFonts w:ascii="微软雅黑" w:eastAsia="微软雅黑" w:cs="微软雅黑"/>
                <w:color w:val="auto"/>
                <w:sz w:val="21"/>
                <w:szCs w:val="21"/>
                <w:highlight w:val="none"/>
              </w:rPr>
              <w:t>5cm</w:t>
            </w:r>
            <w:r>
              <w:rPr>
                <w:rFonts w:ascii="微软雅黑" w:eastAsia="微软雅黑" w:cs="微软雅黑"/>
                <w:color w:val="auto"/>
                <w:spacing w:val="-4"/>
                <w:sz w:val="21"/>
                <w:szCs w:val="21"/>
                <w:highlight w:val="none"/>
              </w:rPr>
              <w:t xml:space="preserve"> </w:t>
            </w:r>
            <w:r>
              <w:rPr>
                <w:rFonts w:hint="eastAsia" w:ascii="微软雅黑" w:eastAsia="微软雅黑" w:cs="微软雅黑"/>
                <w:color w:val="auto"/>
                <w:spacing w:val="-4"/>
                <w:sz w:val="21"/>
                <w:szCs w:val="21"/>
                <w:highlight w:val="none"/>
              </w:rPr>
              <w:t>厚的木板或两道相距</w:t>
            </w:r>
            <w:r>
              <w:rPr>
                <w:rFonts w:ascii="微软雅黑" w:eastAsia="微软雅黑" w:cs="微软雅黑"/>
                <w:color w:val="auto"/>
                <w:spacing w:val="-4"/>
                <w:sz w:val="21"/>
                <w:szCs w:val="21"/>
                <w:highlight w:val="none"/>
              </w:rPr>
              <w:t xml:space="preserve"> </w:t>
            </w:r>
            <w:r>
              <w:rPr>
                <w:rFonts w:ascii="微软雅黑" w:eastAsia="微软雅黑" w:cs="微软雅黑"/>
                <w:color w:val="auto"/>
                <w:sz w:val="21"/>
                <w:szCs w:val="21"/>
                <w:highlight w:val="none"/>
              </w:rPr>
              <w:t>50cm</w:t>
            </w:r>
            <w:r>
              <w:rPr>
                <w:rFonts w:ascii="微软雅黑" w:eastAsia="微软雅黑" w:cs="微软雅黑"/>
                <w:color w:val="auto"/>
                <w:spacing w:val="-4"/>
                <w:sz w:val="21"/>
                <w:szCs w:val="21"/>
                <w:highlight w:val="none"/>
              </w:rPr>
              <w:t xml:space="preserve"> </w:t>
            </w:r>
            <w:r>
              <w:rPr>
                <w:rFonts w:hint="eastAsia" w:ascii="微软雅黑" w:eastAsia="微软雅黑" w:cs="微软雅黑"/>
                <w:color w:val="auto"/>
                <w:spacing w:val="-4"/>
                <w:sz w:val="21"/>
                <w:szCs w:val="21"/>
                <w:highlight w:val="none"/>
              </w:rPr>
              <w:t>的竹笆。</w:t>
            </w:r>
          </w:p>
          <w:p w14:paraId="7E62F33A">
            <w:pPr>
              <w:pStyle w:val="490"/>
              <w:kinsoku w:val="0"/>
              <w:overflowPunct w:val="0"/>
              <w:spacing w:line="273" w:lineRule="exact"/>
              <w:ind w:left="107"/>
              <w:rPr>
                <w:rFonts w:ascii="微软雅黑" w:eastAsia="微软雅黑" w:cs="微软雅黑"/>
                <w:color w:val="auto"/>
                <w:spacing w:val="-1"/>
                <w:sz w:val="21"/>
                <w:szCs w:val="21"/>
                <w:highlight w:val="none"/>
              </w:rPr>
            </w:pPr>
            <w:r>
              <w:rPr>
                <w:rFonts w:hint="eastAsia" w:ascii="微软雅黑" w:eastAsia="微软雅黑" w:cs="微软雅黑"/>
                <w:color w:val="auto"/>
                <w:spacing w:val="-1"/>
                <w:sz w:val="21"/>
                <w:szCs w:val="21"/>
                <w:highlight w:val="none"/>
              </w:rPr>
              <w:t>两侧应沿栏杆架用密目式安全网封闭。</w:t>
            </w:r>
          </w:p>
        </w:tc>
      </w:tr>
      <w:tr w14:paraId="3D3A4E99">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tcPr>
          <w:p w14:paraId="3FBE0E1B">
            <w:pPr>
              <w:rPr>
                <w:b/>
                <w:bCs/>
                <w:color w:val="auto"/>
                <w:sz w:val="2"/>
                <w:szCs w:val="2"/>
                <w:highlight w:val="none"/>
              </w:rPr>
            </w:pPr>
          </w:p>
        </w:tc>
        <w:tc>
          <w:tcPr>
            <w:tcW w:w="523" w:type="dxa"/>
            <w:vMerge w:val="continue"/>
            <w:tcBorders>
              <w:top w:val="nil"/>
              <w:left w:val="single" w:color="000000" w:sz="4" w:space="0"/>
              <w:bottom w:val="single" w:color="000000" w:sz="4" w:space="0"/>
              <w:right w:val="single" w:color="000000" w:sz="4" w:space="0"/>
            </w:tcBorders>
          </w:tcPr>
          <w:p w14:paraId="792FFD5E">
            <w:pPr>
              <w:rPr>
                <w:b/>
                <w:bCs/>
                <w:color w:val="auto"/>
                <w:sz w:val="2"/>
                <w:szCs w:val="2"/>
                <w:highlight w:val="none"/>
              </w:rPr>
            </w:pPr>
          </w:p>
        </w:tc>
        <w:tc>
          <w:tcPr>
            <w:tcW w:w="1546" w:type="dxa"/>
            <w:tcBorders>
              <w:top w:val="single" w:color="000000" w:sz="4" w:space="0"/>
              <w:left w:val="single" w:color="000000" w:sz="4" w:space="0"/>
              <w:bottom w:val="single" w:color="000000" w:sz="4" w:space="0"/>
              <w:right w:val="single" w:color="000000" w:sz="4" w:space="0"/>
            </w:tcBorders>
          </w:tcPr>
          <w:p w14:paraId="4117FE01">
            <w:pPr>
              <w:pStyle w:val="490"/>
              <w:kinsoku w:val="0"/>
              <w:overflowPunct w:val="0"/>
              <w:spacing w:before="111"/>
              <w:ind w:left="11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预留洞口</w:t>
            </w:r>
          </w:p>
        </w:tc>
        <w:tc>
          <w:tcPr>
            <w:tcW w:w="6647" w:type="dxa"/>
            <w:tcBorders>
              <w:top w:val="single" w:color="000000" w:sz="4" w:space="0"/>
              <w:left w:val="single" w:color="000000" w:sz="4" w:space="0"/>
              <w:bottom w:val="single" w:color="000000" w:sz="4" w:space="0"/>
              <w:right w:val="single" w:color="000000" w:sz="12" w:space="0"/>
            </w:tcBorders>
          </w:tcPr>
          <w:p w14:paraId="507833C5">
            <w:pPr>
              <w:pStyle w:val="490"/>
              <w:kinsoku w:val="0"/>
              <w:overflowPunct w:val="0"/>
              <w:spacing w:line="306" w:lineRule="exact"/>
              <w:ind w:left="107"/>
              <w:rPr>
                <w:rFonts w:ascii="微软雅黑" w:eastAsia="微软雅黑" w:cs="微软雅黑"/>
                <w:color w:val="auto"/>
                <w:spacing w:val="-5"/>
                <w:sz w:val="21"/>
                <w:szCs w:val="21"/>
                <w:highlight w:val="none"/>
              </w:rPr>
            </w:pPr>
            <w:r>
              <w:rPr>
                <w:rFonts w:hint="eastAsia" w:ascii="微软雅黑" w:eastAsia="微软雅黑" w:cs="微软雅黑"/>
                <w:color w:val="auto"/>
                <w:spacing w:val="-3"/>
                <w:sz w:val="21"/>
                <w:szCs w:val="21"/>
                <w:highlight w:val="none"/>
              </w:rPr>
              <w:t>用硬质材料全封闭，短边超过</w:t>
            </w:r>
            <w:r>
              <w:rPr>
                <w:rFonts w:ascii="微软雅黑" w:eastAsia="微软雅黑" w:cs="微软雅黑"/>
                <w:color w:val="auto"/>
                <w:spacing w:val="-3"/>
                <w:sz w:val="21"/>
                <w:szCs w:val="21"/>
                <w:highlight w:val="none"/>
              </w:rPr>
              <w:t xml:space="preserve"> </w:t>
            </w:r>
            <w:r>
              <w:rPr>
                <w:rFonts w:ascii="微软雅黑" w:eastAsia="微软雅黑" w:cs="微软雅黑"/>
                <w:color w:val="auto"/>
                <w:spacing w:val="-2"/>
                <w:sz w:val="21"/>
                <w:szCs w:val="21"/>
                <w:highlight w:val="none"/>
              </w:rPr>
              <w:t>1.5m</w:t>
            </w:r>
            <w:r>
              <w:rPr>
                <w:rFonts w:ascii="微软雅黑" w:eastAsia="微软雅黑" w:cs="微软雅黑"/>
                <w:color w:val="auto"/>
                <w:spacing w:val="-5"/>
                <w:sz w:val="21"/>
                <w:szCs w:val="21"/>
                <w:highlight w:val="none"/>
              </w:rPr>
              <w:t xml:space="preserve"> </w:t>
            </w:r>
            <w:r>
              <w:rPr>
                <w:rFonts w:hint="eastAsia" w:ascii="微软雅黑" w:eastAsia="微软雅黑" w:cs="微软雅黑"/>
                <w:color w:val="auto"/>
                <w:spacing w:val="-5"/>
                <w:sz w:val="21"/>
                <w:szCs w:val="21"/>
                <w:highlight w:val="none"/>
              </w:rPr>
              <w:t>长的洞口，除封闭外四周还应设有</w:t>
            </w:r>
          </w:p>
          <w:p w14:paraId="2E66EA61">
            <w:pPr>
              <w:pStyle w:val="490"/>
              <w:kinsoku w:val="0"/>
              <w:overflowPunct w:val="0"/>
              <w:spacing w:line="273" w:lineRule="exact"/>
              <w:ind w:left="10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防护栏杆。</w:t>
            </w:r>
          </w:p>
        </w:tc>
      </w:tr>
      <w:tr w14:paraId="6EF2770A">
        <w:tblPrEx>
          <w:tblCellMar>
            <w:top w:w="0" w:type="dxa"/>
            <w:left w:w="0" w:type="dxa"/>
            <w:bottom w:w="0" w:type="dxa"/>
            <w:right w:w="0" w:type="dxa"/>
          </w:tblCellMar>
        </w:tblPrEx>
        <w:trPr>
          <w:trHeight w:val="604" w:hRule="atLeast"/>
          <w:jc w:val="center"/>
        </w:trPr>
        <w:tc>
          <w:tcPr>
            <w:tcW w:w="739" w:type="dxa"/>
            <w:vMerge w:val="continue"/>
            <w:tcBorders>
              <w:top w:val="nil"/>
              <w:left w:val="single" w:color="000000" w:sz="12" w:space="0"/>
              <w:bottom w:val="single" w:color="000000" w:sz="4" w:space="0"/>
              <w:right w:val="single" w:color="000000" w:sz="4" w:space="0"/>
            </w:tcBorders>
          </w:tcPr>
          <w:p w14:paraId="00E628BD">
            <w:pPr>
              <w:rPr>
                <w:b/>
                <w:bCs/>
                <w:color w:val="auto"/>
                <w:sz w:val="2"/>
                <w:szCs w:val="2"/>
                <w:highlight w:val="none"/>
              </w:rPr>
            </w:pPr>
          </w:p>
        </w:tc>
        <w:tc>
          <w:tcPr>
            <w:tcW w:w="523" w:type="dxa"/>
            <w:vMerge w:val="continue"/>
            <w:tcBorders>
              <w:top w:val="nil"/>
              <w:left w:val="single" w:color="000000" w:sz="4" w:space="0"/>
              <w:bottom w:val="single" w:color="000000" w:sz="4" w:space="0"/>
              <w:right w:val="single" w:color="000000" w:sz="4" w:space="0"/>
            </w:tcBorders>
          </w:tcPr>
          <w:p w14:paraId="18B59661">
            <w:pPr>
              <w:rPr>
                <w:b/>
                <w:bCs/>
                <w:color w:val="auto"/>
                <w:sz w:val="2"/>
                <w:szCs w:val="2"/>
                <w:highlight w:val="none"/>
              </w:rPr>
            </w:pPr>
          </w:p>
        </w:tc>
        <w:tc>
          <w:tcPr>
            <w:tcW w:w="1546" w:type="dxa"/>
            <w:tcBorders>
              <w:top w:val="single" w:color="000000" w:sz="4" w:space="0"/>
              <w:left w:val="single" w:color="000000" w:sz="4" w:space="0"/>
              <w:bottom w:val="single" w:color="000000" w:sz="4" w:space="0"/>
              <w:right w:val="single" w:color="000000" w:sz="4" w:space="0"/>
            </w:tcBorders>
          </w:tcPr>
          <w:p w14:paraId="0956D82A">
            <w:pPr>
              <w:pStyle w:val="490"/>
              <w:kinsoku w:val="0"/>
              <w:overflowPunct w:val="0"/>
              <w:spacing w:before="117"/>
              <w:ind w:left="11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电梯井口</w:t>
            </w:r>
          </w:p>
        </w:tc>
        <w:tc>
          <w:tcPr>
            <w:tcW w:w="6647" w:type="dxa"/>
            <w:tcBorders>
              <w:top w:val="single" w:color="000000" w:sz="4" w:space="0"/>
              <w:left w:val="single" w:color="000000" w:sz="4" w:space="0"/>
              <w:bottom w:val="single" w:color="000000" w:sz="4" w:space="0"/>
              <w:right w:val="single" w:color="000000" w:sz="12" w:space="0"/>
            </w:tcBorders>
          </w:tcPr>
          <w:p w14:paraId="63AF88D4">
            <w:pPr>
              <w:pStyle w:val="490"/>
              <w:kinsoku w:val="0"/>
              <w:overflowPunct w:val="0"/>
              <w:spacing w:line="309" w:lineRule="exact"/>
              <w:ind w:left="107"/>
              <w:rPr>
                <w:rFonts w:ascii="微软雅黑" w:eastAsia="微软雅黑" w:cs="微软雅黑"/>
                <w:color w:val="auto"/>
                <w:sz w:val="21"/>
                <w:szCs w:val="21"/>
                <w:highlight w:val="none"/>
              </w:rPr>
            </w:pPr>
            <w:r>
              <w:rPr>
                <w:rFonts w:hint="eastAsia" w:ascii="微软雅黑" w:eastAsia="微软雅黑" w:cs="微软雅黑"/>
                <w:color w:val="auto"/>
                <w:spacing w:val="-1"/>
                <w:sz w:val="21"/>
                <w:szCs w:val="21"/>
                <w:highlight w:val="none"/>
              </w:rPr>
              <w:t>设置定垄化、工具化的防护门，在电梯井内每隔</w:t>
            </w:r>
            <w:r>
              <w:rPr>
                <w:rFonts w:ascii="微软雅黑" w:eastAsia="微软雅黑" w:cs="微软雅黑"/>
                <w:color w:val="auto"/>
                <w:spacing w:val="-1"/>
                <w:sz w:val="21"/>
                <w:szCs w:val="21"/>
                <w:highlight w:val="none"/>
              </w:rPr>
              <w:t xml:space="preserve"> </w:t>
            </w:r>
            <w:r>
              <w:rPr>
                <w:rFonts w:ascii="微软雅黑" w:eastAsia="微软雅黑" w:cs="微软雅黑"/>
                <w:color w:val="auto"/>
                <w:sz w:val="21"/>
                <w:szCs w:val="21"/>
                <w:highlight w:val="none"/>
              </w:rPr>
              <w:t xml:space="preserve">2 </w:t>
            </w:r>
            <w:r>
              <w:rPr>
                <w:rFonts w:hint="eastAsia" w:ascii="微软雅黑" w:eastAsia="微软雅黑" w:cs="微软雅黑"/>
                <w:color w:val="auto"/>
                <w:sz w:val="21"/>
                <w:szCs w:val="21"/>
                <w:highlight w:val="none"/>
              </w:rPr>
              <w:t>层（丌大亍</w:t>
            </w:r>
            <w:r>
              <w:rPr>
                <w:rFonts w:ascii="微软雅黑" w:eastAsia="微软雅黑" w:cs="微软雅黑"/>
                <w:color w:val="auto"/>
                <w:sz w:val="21"/>
                <w:szCs w:val="21"/>
                <w:highlight w:val="none"/>
              </w:rPr>
              <w:t xml:space="preserve"> 10m</w:t>
            </w:r>
            <w:r>
              <w:rPr>
                <w:rFonts w:hint="eastAsia" w:ascii="微软雅黑" w:eastAsia="微软雅黑" w:cs="微软雅黑"/>
                <w:color w:val="auto"/>
                <w:sz w:val="21"/>
                <w:szCs w:val="21"/>
                <w:highlight w:val="none"/>
              </w:rPr>
              <w:t>）</w:t>
            </w:r>
          </w:p>
          <w:p w14:paraId="60210CBC">
            <w:pPr>
              <w:pStyle w:val="490"/>
              <w:kinsoku w:val="0"/>
              <w:overflowPunct w:val="0"/>
              <w:spacing w:line="276" w:lineRule="exact"/>
              <w:ind w:left="10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设置一道水平防护。</w:t>
            </w:r>
          </w:p>
        </w:tc>
      </w:tr>
      <w:tr w14:paraId="155BBE96">
        <w:tblPrEx>
          <w:tblCellMar>
            <w:top w:w="0" w:type="dxa"/>
            <w:left w:w="0" w:type="dxa"/>
            <w:bottom w:w="0" w:type="dxa"/>
            <w:right w:w="0" w:type="dxa"/>
          </w:tblCellMar>
        </w:tblPrEx>
        <w:trPr>
          <w:trHeight w:val="299" w:hRule="atLeast"/>
          <w:jc w:val="center"/>
        </w:trPr>
        <w:tc>
          <w:tcPr>
            <w:tcW w:w="739" w:type="dxa"/>
            <w:vMerge w:val="continue"/>
            <w:tcBorders>
              <w:top w:val="nil"/>
              <w:left w:val="single" w:color="000000" w:sz="12" w:space="0"/>
              <w:bottom w:val="single" w:color="000000" w:sz="4" w:space="0"/>
              <w:right w:val="single" w:color="000000" w:sz="4" w:space="0"/>
            </w:tcBorders>
          </w:tcPr>
          <w:p w14:paraId="66CDA64D">
            <w:pPr>
              <w:rPr>
                <w:b/>
                <w:bCs/>
                <w:color w:val="auto"/>
                <w:sz w:val="2"/>
                <w:szCs w:val="2"/>
                <w:highlight w:val="none"/>
              </w:rPr>
            </w:pPr>
          </w:p>
        </w:tc>
        <w:tc>
          <w:tcPr>
            <w:tcW w:w="523" w:type="dxa"/>
            <w:vMerge w:val="continue"/>
            <w:tcBorders>
              <w:top w:val="nil"/>
              <w:left w:val="single" w:color="000000" w:sz="4" w:space="0"/>
              <w:bottom w:val="single" w:color="000000" w:sz="4" w:space="0"/>
              <w:right w:val="single" w:color="000000" w:sz="4" w:space="0"/>
            </w:tcBorders>
          </w:tcPr>
          <w:p w14:paraId="7A71D8EC">
            <w:pPr>
              <w:rPr>
                <w:b/>
                <w:bCs/>
                <w:color w:val="auto"/>
                <w:sz w:val="2"/>
                <w:szCs w:val="2"/>
                <w:highlight w:val="none"/>
              </w:rPr>
            </w:pPr>
          </w:p>
        </w:tc>
        <w:tc>
          <w:tcPr>
            <w:tcW w:w="1546" w:type="dxa"/>
            <w:tcBorders>
              <w:top w:val="single" w:color="000000" w:sz="4" w:space="0"/>
              <w:left w:val="single" w:color="000000" w:sz="4" w:space="0"/>
              <w:bottom w:val="single" w:color="000000" w:sz="4" w:space="0"/>
              <w:right w:val="single" w:color="000000" w:sz="4" w:space="0"/>
            </w:tcBorders>
          </w:tcPr>
          <w:p w14:paraId="7C9BC6B9">
            <w:pPr>
              <w:pStyle w:val="490"/>
              <w:kinsoku w:val="0"/>
              <w:overflowPunct w:val="0"/>
              <w:spacing w:line="280" w:lineRule="exact"/>
              <w:ind w:left="11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楼梯边</w:t>
            </w:r>
          </w:p>
        </w:tc>
        <w:tc>
          <w:tcPr>
            <w:tcW w:w="6647" w:type="dxa"/>
            <w:tcBorders>
              <w:top w:val="single" w:color="000000" w:sz="4" w:space="0"/>
              <w:left w:val="single" w:color="000000" w:sz="4" w:space="0"/>
              <w:bottom w:val="single" w:color="000000" w:sz="4" w:space="0"/>
              <w:right w:val="single" w:color="000000" w:sz="12" w:space="0"/>
            </w:tcBorders>
          </w:tcPr>
          <w:p w14:paraId="7F23A41C">
            <w:pPr>
              <w:pStyle w:val="490"/>
              <w:kinsoku w:val="0"/>
              <w:overflowPunct w:val="0"/>
              <w:spacing w:line="280" w:lineRule="exact"/>
              <w:ind w:left="107"/>
              <w:rPr>
                <w:rFonts w:ascii="微软雅黑" w:eastAsia="微软雅黑" w:cs="微软雅黑"/>
                <w:color w:val="auto"/>
                <w:spacing w:val="-4"/>
                <w:sz w:val="21"/>
                <w:szCs w:val="21"/>
                <w:highlight w:val="none"/>
              </w:rPr>
            </w:pPr>
            <w:r>
              <w:rPr>
                <w:rFonts w:hint="eastAsia" w:ascii="微软雅黑" w:eastAsia="微软雅黑" w:cs="微软雅黑"/>
                <w:color w:val="auto"/>
                <w:spacing w:val="-5"/>
                <w:sz w:val="21"/>
                <w:szCs w:val="21"/>
                <w:highlight w:val="none"/>
              </w:rPr>
              <w:t>设</w:t>
            </w:r>
            <w:r>
              <w:rPr>
                <w:rFonts w:ascii="微软雅黑" w:eastAsia="微软雅黑" w:cs="微软雅黑"/>
                <w:color w:val="auto"/>
                <w:spacing w:val="-5"/>
                <w:sz w:val="21"/>
                <w:szCs w:val="21"/>
                <w:highlight w:val="none"/>
              </w:rPr>
              <w:t xml:space="preserve"> </w:t>
            </w:r>
            <w:r>
              <w:rPr>
                <w:rFonts w:ascii="微软雅黑" w:eastAsia="微软雅黑" w:cs="微软雅黑"/>
                <w:color w:val="auto"/>
                <w:sz w:val="21"/>
                <w:szCs w:val="21"/>
                <w:highlight w:val="none"/>
              </w:rPr>
              <w:t>1.2m</w:t>
            </w:r>
            <w:r>
              <w:rPr>
                <w:rFonts w:ascii="微软雅黑" w:eastAsia="微软雅黑" w:cs="微软雅黑"/>
                <w:color w:val="auto"/>
                <w:spacing w:val="-4"/>
                <w:sz w:val="21"/>
                <w:szCs w:val="21"/>
                <w:highlight w:val="none"/>
              </w:rPr>
              <w:t xml:space="preserve"> </w:t>
            </w:r>
            <w:r>
              <w:rPr>
                <w:rFonts w:hint="eastAsia" w:ascii="微软雅黑" w:eastAsia="微软雅黑" w:cs="微软雅黑"/>
                <w:color w:val="auto"/>
                <w:spacing w:val="-4"/>
                <w:sz w:val="21"/>
                <w:szCs w:val="21"/>
                <w:highlight w:val="none"/>
              </w:rPr>
              <w:t>高的定垄化、工具化的防护栏，</w:t>
            </w:r>
            <w:r>
              <w:rPr>
                <w:rFonts w:ascii="微软雅黑" w:eastAsia="微软雅黑" w:cs="微软雅黑"/>
                <w:color w:val="auto"/>
                <w:sz w:val="21"/>
                <w:szCs w:val="21"/>
                <w:highlight w:val="none"/>
              </w:rPr>
              <w:t>18cm</w:t>
            </w:r>
            <w:r>
              <w:rPr>
                <w:rFonts w:ascii="微软雅黑" w:eastAsia="微软雅黑" w:cs="微软雅黑"/>
                <w:color w:val="auto"/>
                <w:spacing w:val="-4"/>
                <w:sz w:val="21"/>
                <w:szCs w:val="21"/>
                <w:highlight w:val="none"/>
              </w:rPr>
              <w:t xml:space="preserve"> </w:t>
            </w:r>
            <w:r>
              <w:rPr>
                <w:rFonts w:hint="eastAsia" w:ascii="微软雅黑" w:eastAsia="微软雅黑" w:cs="微软雅黑"/>
                <w:color w:val="auto"/>
                <w:spacing w:val="-4"/>
                <w:sz w:val="21"/>
                <w:szCs w:val="21"/>
                <w:highlight w:val="none"/>
              </w:rPr>
              <w:t>高的踢脚板。</w:t>
            </w:r>
          </w:p>
        </w:tc>
      </w:tr>
      <w:tr w14:paraId="1FAEA4C3">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tcPr>
          <w:p w14:paraId="7BAB3011">
            <w:pPr>
              <w:rPr>
                <w:b/>
                <w:bCs/>
                <w:color w:val="auto"/>
                <w:sz w:val="2"/>
                <w:szCs w:val="2"/>
                <w:highlight w:val="none"/>
              </w:rPr>
            </w:pPr>
          </w:p>
        </w:tc>
        <w:tc>
          <w:tcPr>
            <w:tcW w:w="523" w:type="dxa"/>
            <w:vMerge w:val="continue"/>
            <w:tcBorders>
              <w:top w:val="nil"/>
              <w:left w:val="single" w:color="000000" w:sz="4" w:space="0"/>
              <w:bottom w:val="single" w:color="000000" w:sz="4" w:space="0"/>
              <w:right w:val="single" w:color="000000" w:sz="4" w:space="0"/>
            </w:tcBorders>
          </w:tcPr>
          <w:p w14:paraId="7160097D">
            <w:pPr>
              <w:rPr>
                <w:b/>
                <w:bCs/>
                <w:color w:val="auto"/>
                <w:sz w:val="2"/>
                <w:szCs w:val="2"/>
                <w:highlight w:val="none"/>
              </w:rPr>
            </w:pPr>
          </w:p>
        </w:tc>
        <w:tc>
          <w:tcPr>
            <w:tcW w:w="1546" w:type="dxa"/>
            <w:tcBorders>
              <w:top w:val="single" w:color="000000" w:sz="4" w:space="0"/>
              <w:left w:val="single" w:color="000000" w:sz="4" w:space="0"/>
              <w:bottom w:val="single" w:color="000000" w:sz="4" w:space="0"/>
              <w:right w:val="single" w:color="000000" w:sz="4" w:space="0"/>
            </w:tcBorders>
          </w:tcPr>
          <w:p w14:paraId="0C58F06E">
            <w:pPr>
              <w:pStyle w:val="490"/>
              <w:kinsoku w:val="0"/>
              <w:overflowPunct w:val="0"/>
              <w:spacing w:line="306" w:lineRule="exact"/>
              <w:ind w:left="117"/>
              <w:rPr>
                <w:rFonts w:ascii="微软雅黑" w:eastAsia="微软雅黑" w:cs="微软雅黑"/>
                <w:color w:val="auto"/>
                <w:spacing w:val="9"/>
                <w:sz w:val="21"/>
                <w:szCs w:val="21"/>
                <w:highlight w:val="none"/>
              </w:rPr>
            </w:pPr>
            <w:r>
              <w:rPr>
                <w:rFonts w:hint="eastAsia" w:ascii="微软雅黑" w:eastAsia="微软雅黑" w:cs="微软雅黑"/>
                <w:color w:val="auto"/>
                <w:spacing w:val="9"/>
                <w:sz w:val="21"/>
                <w:szCs w:val="21"/>
                <w:highlight w:val="none"/>
              </w:rPr>
              <w:t>垂直方向交叉</w:t>
            </w:r>
          </w:p>
          <w:p w14:paraId="4B0C74B7">
            <w:pPr>
              <w:pStyle w:val="490"/>
              <w:kinsoku w:val="0"/>
              <w:overflowPunct w:val="0"/>
              <w:spacing w:line="273" w:lineRule="exact"/>
              <w:ind w:left="11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作业</w:t>
            </w:r>
          </w:p>
        </w:tc>
        <w:tc>
          <w:tcPr>
            <w:tcW w:w="6647" w:type="dxa"/>
            <w:tcBorders>
              <w:top w:val="single" w:color="000000" w:sz="4" w:space="0"/>
              <w:left w:val="single" w:color="000000" w:sz="4" w:space="0"/>
              <w:bottom w:val="single" w:color="000000" w:sz="4" w:space="0"/>
              <w:right w:val="single" w:color="000000" w:sz="12" w:space="0"/>
            </w:tcBorders>
          </w:tcPr>
          <w:p w14:paraId="37E678A2">
            <w:pPr>
              <w:pStyle w:val="490"/>
              <w:kinsoku w:val="0"/>
              <w:overflowPunct w:val="0"/>
              <w:spacing w:before="114"/>
              <w:ind w:left="10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设置防护隔离棚或其它设施。</w:t>
            </w:r>
          </w:p>
        </w:tc>
      </w:tr>
      <w:tr w14:paraId="56583872">
        <w:tblPrEx>
          <w:tblCellMar>
            <w:top w:w="0" w:type="dxa"/>
            <w:left w:w="0" w:type="dxa"/>
            <w:bottom w:w="0" w:type="dxa"/>
            <w:right w:w="0" w:type="dxa"/>
          </w:tblCellMar>
        </w:tblPrEx>
        <w:trPr>
          <w:trHeight w:val="602" w:hRule="atLeast"/>
          <w:jc w:val="center"/>
        </w:trPr>
        <w:tc>
          <w:tcPr>
            <w:tcW w:w="739" w:type="dxa"/>
            <w:vMerge w:val="continue"/>
            <w:tcBorders>
              <w:top w:val="nil"/>
              <w:left w:val="single" w:color="000000" w:sz="12" w:space="0"/>
              <w:bottom w:val="single" w:color="000000" w:sz="4" w:space="0"/>
              <w:right w:val="single" w:color="000000" w:sz="4" w:space="0"/>
            </w:tcBorders>
          </w:tcPr>
          <w:p w14:paraId="09F39260">
            <w:pPr>
              <w:rPr>
                <w:b/>
                <w:bCs/>
                <w:color w:val="auto"/>
                <w:sz w:val="2"/>
                <w:szCs w:val="2"/>
                <w:highlight w:val="none"/>
              </w:rPr>
            </w:pPr>
          </w:p>
        </w:tc>
        <w:tc>
          <w:tcPr>
            <w:tcW w:w="523" w:type="dxa"/>
            <w:vMerge w:val="continue"/>
            <w:tcBorders>
              <w:top w:val="nil"/>
              <w:left w:val="single" w:color="000000" w:sz="4" w:space="0"/>
              <w:bottom w:val="single" w:color="000000" w:sz="4" w:space="0"/>
              <w:right w:val="single" w:color="000000" w:sz="4" w:space="0"/>
            </w:tcBorders>
          </w:tcPr>
          <w:p w14:paraId="604335EE">
            <w:pPr>
              <w:rPr>
                <w:b/>
                <w:bCs/>
                <w:color w:val="auto"/>
                <w:sz w:val="2"/>
                <w:szCs w:val="2"/>
                <w:highlight w:val="none"/>
              </w:rPr>
            </w:pPr>
          </w:p>
        </w:tc>
        <w:tc>
          <w:tcPr>
            <w:tcW w:w="1546" w:type="dxa"/>
            <w:tcBorders>
              <w:top w:val="single" w:color="000000" w:sz="4" w:space="0"/>
              <w:left w:val="single" w:color="000000" w:sz="4" w:space="0"/>
              <w:bottom w:val="single" w:color="000000" w:sz="4" w:space="0"/>
              <w:right w:val="single" w:color="000000" w:sz="4" w:space="0"/>
            </w:tcBorders>
          </w:tcPr>
          <w:p w14:paraId="0D78C920">
            <w:pPr>
              <w:pStyle w:val="490"/>
              <w:kinsoku w:val="0"/>
              <w:overflowPunct w:val="0"/>
              <w:spacing w:before="114"/>
              <w:ind w:left="11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高处作业</w:t>
            </w:r>
          </w:p>
        </w:tc>
        <w:tc>
          <w:tcPr>
            <w:tcW w:w="6647" w:type="dxa"/>
            <w:tcBorders>
              <w:top w:val="single" w:color="000000" w:sz="4" w:space="0"/>
              <w:left w:val="single" w:color="000000" w:sz="4" w:space="0"/>
              <w:bottom w:val="single" w:color="000000" w:sz="4" w:space="0"/>
              <w:right w:val="single" w:color="000000" w:sz="12" w:space="0"/>
            </w:tcBorders>
          </w:tcPr>
          <w:p w14:paraId="6DC8860C">
            <w:pPr>
              <w:pStyle w:val="490"/>
              <w:kinsoku w:val="0"/>
              <w:overflowPunct w:val="0"/>
              <w:spacing w:line="309" w:lineRule="exact"/>
              <w:ind w:left="107"/>
              <w:rPr>
                <w:rFonts w:ascii="微软雅黑" w:eastAsia="微软雅黑" w:cs="微软雅黑"/>
                <w:color w:val="auto"/>
                <w:spacing w:val="-3"/>
                <w:sz w:val="21"/>
                <w:szCs w:val="21"/>
                <w:highlight w:val="none"/>
              </w:rPr>
            </w:pPr>
            <w:r>
              <w:rPr>
                <w:rFonts w:hint="eastAsia" w:ascii="微软雅黑" w:eastAsia="微软雅黑" w:cs="微软雅黑"/>
                <w:color w:val="auto"/>
                <w:spacing w:val="-3"/>
                <w:sz w:val="21"/>
                <w:szCs w:val="21"/>
                <w:highlight w:val="none"/>
              </w:rPr>
              <w:t>有悬挂安全带的悬索或其它设施，有操作平台，有上下的梯子或其它形</w:t>
            </w:r>
          </w:p>
          <w:p w14:paraId="40CB67C1">
            <w:pPr>
              <w:pStyle w:val="490"/>
              <w:kinsoku w:val="0"/>
              <w:overflowPunct w:val="0"/>
              <w:spacing w:line="273" w:lineRule="exact"/>
              <w:ind w:left="10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式的通道。</w:t>
            </w:r>
          </w:p>
        </w:tc>
      </w:tr>
      <w:tr w14:paraId="3517FF64">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tcPr>
          <w:p w14:paraId="117A4562">
            <w:pPr>
              <w:rPr>
                <w:b/>
                <w:bCs/>
                <w:color w:val="auto"/>
                <w:sz w:val="2"/>
                <w:szCs w:val="2"/>
                <w:highlight w:val="none"/>
              </w:rPr>
            </w:pPr>
          </w:p>
        </w:tc>
        <w:tc>
          <w:tcPr>
            <w:tcW w:w="523" w:type="dxa"/>
            <w:vMerge w:val="continue"/>
            <w:tcBorders>
              <w:top w:val="nil"/>
              <w:left w:val="single" w:color="000000" w:sz="4" w:space="0"/>
              <w:bottom w:val="single" w:color="000000" w:sz="4" w:space="0"/>
              <w:right w:val="single" w:color="000000" w:sz="4" w:space="0"/>
            </w:tcBorders>
          </w:tcPr>
          <w:p w14:paraId="1AC47D85">
            <w:pPr>
              <w:rPr>
                <w:b/>
                <w:bCs/>
                <w:color w:val="auto"/>
                <w:sz w:val="2"/>
                <w:szCs w:val="2"/>
                <w:highlight w:val="none"/>
              </w:rPr>
            </w:pPr>
          </w:p>
        </w:tc>
        <w:tc>
          <w:tcPr>
            <w:tcW w:w="1546" w:type="dxa"/>
            <w:tcBorders>
              <w:top w:val="single" w:color="000000" w:sz="4" w:space="0"/>
              <w:left w:val="single" w:color="000000" w:sz="4" w:space="0"/>
              <w:bottom w:val="single" w:color="000000" w:sz="4" w:space="0"/>
              <w:right w:val="single" w:color="000000" w:sz="4" w:space="0"/>
            </w:tcBorders>
          </w:tcPr>
          <w:p w14:paraId="7F1024A4">
            <w:pPr>
              <w:pStyle w:val="490"/>
              <w:kinsoku w:val="0"/>
              <w:overflowPunct w:val="0"/>
              <w:spacing w:line="306" w:lineRule="exact"/>
              <w:ind w:left="117"/>
              <w:rPr>
                <w:rFonts w:ascii="微软雅黑" w:eastAsia="微软雅黑" w:cs="微软雅黑"/>
                <w:color w:val="auto"/>
                <w:spacing w:val="9"/>
                <w:sz w:val="21"/>
                <w:szCs w:val="21"/>
                <w:highlight w:val="none"/>
              </w:rPr>
            </w:pPr>
            <w:r>
              <w:rPr>
                <w:rFonts w:hint="eastAsia" w:ascii="微软雅黑" w:eastAsia="微软雅黑" w:cs="微软雅黑"/>
                <w:color w:val="auto"/>
                <w:spacing w:val="9"/>
                <w:sz w:val="21"/>
                <w:szCs w:val="21"/>
                <w:highlight w:val="none"/>
              </w:rPr>
              <w:t>基坑、物料平</w:t>
            </w:r>
          </w:p>
          <w:p w14:paraId="295A92CD">
            <w:pPr>
              <w:pStyle w:val="490"/>
              <w:kinsoku w:val="0"/>
              <w:overflowPunct w:val="0"/>
              <w:spacing w:line="273" w:lineRule="exact"/>
              <w:ind w:left="11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台</w:t>
            </w:r>
          </w:p>
        </w:tc>
        <w:tc>
          <w:tcPr>
            <w:tcW w:w="6647" w:type="dxa"/>
            <w:tcBorders>
              <w:top w:val="single" w:color="000000" w:sz="4" w:space="0"/>
              <w:left w:val="single" w:color="000000" w:sz="4" w:space="0"/>
              <w:bottom w:val="single" w:color="000000" w:sz="4" w:space="0"/>
              <w:right w:val="single" w:color="000000" w:sz="12" w:space="0"/>
            </w:tcBorders>
          </w:tcPr>
          <w:p w14:paraId="12BE999E">
            <w:pPr>
              <w:pStyle w:val="490"/>
              <w:kinsoku w:val="0"/>
              <w:overflowPunct w:val="0"/>
              <w:spacing w:before="111"/>
              <w:ind w:left="107"/>
              <w:rPr>
                <w:rFonts w:ascii="微软雅黑" w:eastAsia="微软雅黑" w:cs="微软雅黑"/>
                <w:color w:val="auto"/>
                <w:spacing w:val="-4"/>
                <w:sz w:val="21"/>
                <w:szCs w:val="21"/>
                <w:highlight w:val="none"/>
              </w:rPr>
            </w:pPr>
            <w:r>
              <w:rPr>
                <w:rFonts w:hint="eastAsia" w:ascii="微软雅黑" w:eastAsia="微软雅黑" w:cs="微软雅黑"/>
                <w:color w:val="auto"/>
                <w:spacing w:val="-5"/>
                <w:sz w:val="21"/>
                <w:szCs w:val="21"/>
                <w:highlight w:val="none"/>
              </w:rPr>
              <w:t>设</w:t>
            </w:r>
            <w:r>
              <w:rPr>
                <w:rFonts w:ascii="微软雅黑" w:eastAsia="微软雅黑" w:cs="微软雅黑"/>
                <w:color w:val="auto"/>
                <w:spacing w:val="-5"/>
                <w:sz w:val="21"/>
                <w:szCs w:val="21"/>
                <w:highlight w:val="none"/>
              </w:rPr>
              <w:t xml:space="preserve"> </w:t>
            </w:r>
            <w:r>
              <w:rPr>
                <w:rFonts w:ascii="微软雅黑" w:eastAsia="微软雅黑" w:cs="微软雅黑"/>
                <w:color w:val="auto"/>
                <w:sz w:val="21"/>
                <w:szCs w:val="21"/>
                <w:highlight w:val="none"/>
              </w:rPr>
              <w:t>1.2m</w:t>
            </w:r>
            <w:r>
              <w:rPr>
                <w:rFonts w:ascii="微软雅黑" w:eastAsia="微软雅黑" w:cs="微软雅黑"/>
                <w:color w:val="auto"/>
                <w:spacing w:val="-4"/>
                <w:sz w:val="21"/>
                <w:szCs w:val="21"/>
                <w:highlight w:val="none"/>
              </w:rPr>
              <w:t xml:space="preserve"> </w:t>
            </w:r>
            <w:r>
              <w:rPr>
                <w:rFonts w:hint="eastAsia" w:ascii="微软雅黑" w:eastAsia="微软雅黑" w:cs="微软雅黑"/>
                <w:color w:val="auto"/>
                <w:spacing w:val="-4"/>
                <w:sz w:val="21"/>
                <w:szCs w:val="21"/>
                <w:highlight w:val="none"/>
              </w:rPr>
              <w:t>高标准化的防护栏，用密目式安全立网封闭，悬挂标识。</w:t>
            </w:r>
          </w:p>
        </w:tc>
      </w:tr>
      <w:tr w14:paraId="06164680">
        <w:tblPrEx>
          <w:tblCellMar>
            <w:top w:w="0" w:type="dxa"/>
            <w:left w:w="0" w:type="dxa"/>
            <w:bottom w:w="0" w:type="dxa"/>
            <w:right w:w="0" w:type="dxa"/>
          </w:tblCellMar>
        </w:tblPrEx>
        <w:trPr>
          <w:trHeight w:val="599" w:hRule="atLeast"/>
          <w:jc w:val="center"/>
        </w:trPr>
        <w:tc>
          <w:tcPr>
            <w:tcW w:w="739" w:type="dxa"/>
            <w:vMerge w:val="continue"/>
            <w:tcBorders>
              <w:top w:val="nil"/>
              <w:left w:val="single" w:color="000000" w:sz="12" w:space="0"/>
              <w:bottom w:val="single" w:color="000000" w:sz="4" w:space="0"/>
              <w:right w:val="single" w:color="000000" w:sz="4" w:space="0"/>
            </w:tcBorders>
          </w:tcPr>
          <w:p w14:paraId="74AD739F">
            <w:pPr>
              <w:rPr>
                <w:b/>
                <w:bCs/>
                <w:color w:val="auto"/>
                <w:sz w:val="2"/>
                <w:szCs w:val="2"/>
                <w:highlight w:val="none"/>
              </w:rPr>
            </w:pPr>
          </w:p>
        </w:tc>
        <w:tc>
          <w:tcPr>
            <w:tcW w:w="2069" w:type="dxa"/>
            <w:gridSpan w:val="2"/>
            <w:tcBorders>
              <w:top w:val="single" w:color="000000" w:sz="4" w:space="0"/>
              <w:left w:val="single" w:color="000000" w:sz="4" w:space="0"/>
              <w:bottom w:val="single" w:color="000000" w:sz="4" w:space="0"/>
              <w:right w:val="single" w:color="000000" w:sz="4" w:space="0"/>
            </w:tcBorders>
          </w:tcPr>
          <w:p w14:paraId="3D3981DD">
            <w:pPr>
              <w:pStyle w:val="490"/>
              <w:kinsoku w:val="0"/>
              <w:overflowPunct w:val="0"/>
              <w:spacing w:before="111"/>
              <w:ind w:left="412"/>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安全防护用品</w:t>
            </w:r>
          </w:p>
        </w:tc>
        <w:tc>
          <w:tcPr>
            <w:tcW w:w="6647" w:type="dxa"/>
            <w:tcBorders>
              <w:top w:val="single" w:color="000000" w:sz="4" w:space="0"/>
              <w:left w:val="single" w:color="000000" w:sz="4" w:space="0"/>
              <w:bottom w:val="single" w:color="000000" w:sz="4" w:space="0"/>
              <w:right w:val="single" w:color="000000" w:sz="12" w:space="0"/>
            </w:tcBorders>
          </w:tcPr>
          <w:p w14:paraId="6237D2BA">
            <w:pPr>
              <w:pStyle w:val="490"/>
              <w:kinsoku w:val="0"/>
              <w:overflowPunct w:val="0"/>
              <w:spacing w:line="306" w:lineRule="exact"/>
              <w:ind w:left="107" w:right="-15"/>
              <w:rPr>
                <w:rFonts w:ascii="微软雅黑" w:eastAsia="微软雅黑" w:cs="微软雅黑"/>
                <w:color w:val="auto"/>
                <w:sz w:val="21"/>
                <w:szCs w:val="21"/>
                <w:highlight w:val="none"/>
              </w:rPr>
            </w:pPr>
            <w:r>
              <w:rPr>
                <w:rFonts w:hint="eastAsia" w:ascii="微软雅黑" w:eastAsia="微软雅黑" w:cs="微软雅黑"/>
                <w:color w:val="auto"/>
                <w:spacing w:val="-1"/>
                <w:sz w:val="21"/>
                <w:szCs w:val="21"/>
                <w:highlight w:val="none"/>
              </w:rPr>
              <w:t>安全帽、安全带、特种作业人员</w:t>
            </w:r>
            <w:r>
              <w:rPr>
                <w:rFonts w:hint="eastAsia" w:ascii="微软雅黑" w:eastAsia="微软雅黑" w:cs="微软雅黑"/>
                <w:color w:val="auto"/>
                <w:sz w:val="21"/>
                <w:szCs w:val="21"/>
                <w:highlight w:val="none"/>
              </w:rPr>
              <w:t>（电工、焊工、架子工等）防护服装、</w:t>
            </w:r>
          </w:p>
          <w:p w14:paraId="129C0270">
            <w:pPr>
              <w:pStyle w:val="490"/>
              <w:kinsoku w:val="0"/>
              <w:overflowPunct w:val="0"/>
              <w:spacing w:line="273" w:lineRule="exact"/>
              <w:ind w:left="10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用品等。</w:t>
            </w:r>
          </w:p>
        </w:tc>
      </w:tr>
      <w:tr w14:paraId="05253B5A">
        <w:tblPrEx>
          <w:tblCellMar>
            <w:top w:w="0" w:type="dxa"/>
            <w:left w:w="0" w:type="dxa"/>
            <w:bottom w:w="0" w:type="dxa"/>
            <w:right w:w="0" w:type="dxa"/>
          </w:tblCellMar>
        </w:tblPrEx>
        <w:trPr>
          <w:trHeight w:val="645" w:hRule="atLeast"/>
          <w:jc w:val="center"/>
        </w:trPr>
        <w:tc>
          <w:tcPr>
            <w:tcW w:w="739" w:type="dxa"/>
            <w:vMerge w:val="restart"/>
            <w:tcBorders>
              <w:top w:val="single" w:color="000000" w:sz="4" w:space="0"/>
              <w:left w:val="single" w:color="000000" w:sz="12" w:space="0"/>
              <w:bottom w:val="single" w:color="000000" w:sz="12" w:space="0"/>
              <w:right w:val="single" w:color="000000" w:sz="4" w:space="0"/>
            </w:tcBorders>
          </w:tcPr>
          <w:p w14:paraId="1F9B5EBD">
            <w:pPr>
              <w:pStyle w:val="490"/>
              <w:kinsoku w:val="0"/>
              <w:overflowPunct w:val="0"/>
              <w:rPr>
                <w:b/>
                <w:bCs/>
                <w:color w:val="auto"/>
                <w:sz w:val="28"/>
                <w:szCs w:val="28"/>
                <w:highlight w:val="none"/>
              </w:rPr>
            </w:pPr>
          </w:p>
          <w:p w14:paraId="268E4204">
            <w:pPr>
              <w:pStyle w:val="490"/>
              <w:kinsoku w:val="0"/>
              <w:overflowPunct w:val="0"/>
              <w:rPr>
                <w:b/>
                <w:bCs/>
                <w:color w:val="auto"/>
                <w:sz w:val="28"/>
                <w:szCs w:val="28"/>
                <w:highlight w:val="none"/>
              </w:rPr>
            </w:pPr>
          </w:p>
          <w:p w14:paraId="3A8766A0">
            <w:pPr>
              <w:pStyle w:val="490"/>
              <w:kinsoku w:val="0"/>
              <w:overflowPunct w:val="0"/>
              <w:rPr>
                <w:b/>
                <w:bCs/>
                <w:color w:val="auto"/>
                <w:sz w:val="28"/>
                <w:szCs w:val="28"/>
                <w:highlight w:val="none"/>
              </w:rPr>
            </w:pPr>
          </w:p>
          <w:p w14:paraId="7778D36D">
            <w:pPr>
              <w:pStyle w:val="490"/>
              <w:kinsoku w:val="0"/>
              <w:overflowPunct w:val="0"/>
              <w:spacing w:before="3"/>
              <w:rPr>
                <w:b/>
                <w:bCs/>
                <w:color w:val="auto"/>
                <w:sz w:val="35"/>
                <w:szCs w:val="35"/>
                <w:highlight w:val="none"/>
              </w:rPr>
            </w:pPr>
          </w:p>
          <w:p w14:paraId="7153EB7D">
            <w:pPr>
              <w:pStyle w:val="490"/>
              <w:kinsoku w:val="0"/>
              <w:overflowPunct w:val="0"/>
              <w:ind w:left="15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其它</w:t>
            </w:r>
          </w:p>
        </w:tc>
        <w:tc>
          <w:tcPr>
            <w:tcW w:w="523" w:type="dxa"/>
            <w:vMerge w:val="restart"/>
            <w:tcBorders>
              <w:top w:val="single" w:color="000000" w:sz="4" w:space="0"/>
              <w:left w:val="single" w:color="000000" w:sz="4" w:space="0"/>
              <w:bottom w:val="single" w:color="000000" w:sz="4" w:space="0"/>
              <w:right w:val="single" w:color="000000" w:sz="4" w:space="0"/>
            </w:tcBorders>
          </w:tcPr>
          <w:p w14:paraId="3B7E1405">
            <w:pPr>
              <w:pStyle w:val="490"/>
              <w:kinsoku w:val="0"/>
              <w:overflowPunct w:val="0"/>
              <w:spacing w:before="23" w:line="187" w:lineRule="auto"/>
              <w:ind w:left="165" w:right="134"/>
              <w:jc w:val="both"/>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机械设备防</w:t>
            </w:r>
          </w:p>
          <w:p w14:paraId="6ED2D629">
            <w:pPr>
              <w:pStyle w:val="490"/>
              <w:kinsoku w:val="0"/>
              <w:overflowPunct w:val="0"/>
              <w:spacing w:line="237" w:lineRule="exact"/>
              <w:ind w:left="165"/>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护</w:t>
            </w:r>
          </w:p>
        </w:tc>
        <w:tc>
          <w:tcPr>
            <w:tcW w:w="1546" w:type="dxa"/>
            <w:tcBorders>
              <w:top w:val="single" w:color="000000" w:sz="4" w:space="0"/>
              <w:left w:val="single" w:color="000000" w:sz="4" w:space="0"/>
              <w:bottom w:val="single" w:color="000000" w:sz="4" w:space="0"/>
              <w:right w:val="single" w:color="000000" w:sz="4" w:space="0"/>
            </w:tcBorders>
          </w:tcPr>
          <w:p w14:paraId="296ED4A3">
            <w:pPr>
              <w:pStyle w:val="490"/>
              <w:kinsoku w:val="0"/>
              <w:overflowPunct w:val="0"/>
              <w:spacing w:before="140"/>
              <w:ind w:left="256"/>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中小垄机械</w:t>
            </w:r>
          </w:p>
        </w:tc>
        <w:tc>
          <w:tcPr>
            <w:tcW w:w="6647" w:type="dxa"/>
            <w:tcBorders>
              <w:top w:val="single" w:color="000000" w:sz="4" w:space="0"/>
              <w:left w:val="single" w:color="000000" w:sz="4" w:space="0"/>
              <w:bottom w:val="single" w:color="000000" w:sz="4" w:space="0"/>
              <w:right w:val="single" w:color="000000" w:sz="12" w:space="0"/>
            </w:tcBorders>
          </w:tcPr>
          <w:p w14:paraId="1BE040DE">
            <w:pPr>
              <w:pStyle w:val="490"/>
              <w:kinsoku w:val="0"/>
              <w:overflowPunct w:val="0"/>
              <w:spacing w:before="140"/>
              <w:ind w:left="107"/>
              <w:rPr>
                <w:rFonts w:ascii="微软雅黑" w:eastAsia="微软雅黑" w:cs="微软雅黑"/>
                <w:color w:val="auto"/>
                <w:sz w:val="21"/>
                <w:szCs w:val="21"/>
                <w:highlight w:val="none"/>
              </w:rPr>
            </w:pPr>
            <w:r>
              <w:rPr>
                <w:rFonts w:hint="eastAsia" w:ascii="微软雅黑" w:eastAsia="微软雅黑" w:cs="微软雅黑"/>
                <w:color w:val="auto"/>
                <w:spacing w:val="-1"/>
                <w:sz w:val="21"/>
                <w:szCs w:val="21"/>
                <w:highlight w:val="none"/>
              </w:rPr>
              <w:t>设防护棚</w:t>
            </w:r>
            <w:r>
              <w:rPr>
                <w:rFonts w:hint="eastAsia" w:ascii="微软雅黑" w:eastAsia="微软雅黑" w:cs="微软雅黑"/>
                <w:color w:val="auto"/>
                <w:sz w:val="21"/>
                <w:szCs w:val="21"/>
                <w:highlight w:val="none"/>
              </w:rPr>
              <w:t>（同通道口防护并有防雨措施）。</w:t>
            </w:r>
          </w:p>
        </w:tc>
      </w:tr>
      <w:tr w14:paraId="0730BA88">
        <w:tblPrEx>
          <w:tblCellMar>
            <w:top w:w="0" w:type="dxa"/>
            <w:left w:w="0" w:type="dxa"/>
            <w:bottom w:w="0" w:type="dxa"/>
            <w:right w:w="0" w:type="dxa"/>
          </w:tblCellMar>
        </w:tblPrEx>
        <w:trPr>
          <w:trHeight w:val="1114" w:hRule="atLeast"/>
          <w:jc w:val="center"/>
        </w:trPr>
        <w:tc>
          <w:tcPr>
            <w:tcW w:w="739" w:type="dxa"/>
            <w:vMerge w:val="continue"/>
            <w:tcBorders>
              <w:top w:val="nil"/>
              <w:left w:val="single" w:color="000000" w:sz="12" w:space="0"/>
              <w:bottom w:val="single" w:color="000000" w:sz="12" w:space="0"/>
              <w:right w:val="single" w:color="000000" w:sz="4" w:space="0"/>
            </w:tcBorders>
          </w:tcPr>
          <w:p w14:paraId="00628FBD">
            <w:pPr>
              <w:rPr>
                <w:b/>
                <w:bCs/>
                <w:color w:val="auto"/>
                <w:sz w:val="2"/>
                <w:szCs w:val="2"/>
                <w:highlight w:val="none"/>
              </w:rPr>
            </w:pPr>
          </w:p>
        </w:tc>
        <w:tc>
          <w:tcPr>
            <w:tcW w:w="523" w:type="dxa"/>
            <w:vMerge w:val="continue"/>
            <w:tcBorders>
              <w:top w:val="nil"/>
              <w:left w:val="single" w:color="000000" w:sz="4" w:space="0"/>
              <w:bottom w:val="single" w:color="000000" w:sz="4" w:space="0"/>
              <w:right w:val="single" w:color="000000" w:sz="4" w:space="0"/>
            </w:tcBorders>
          </w:tcPr>
          <w:p w14:paraId="6031074C">
            <w:pPr>
              <w:rPr>
                <w:b/>
                <w:bCs/>
                <w:color w:val="auto"/>
                <w:sz w:val="2"/>
                <w:szCs w:val="2"/>
                <w:highlight w:val="none"/>
              </w:rPr>
            </w:pPr>
          </w:p>
        </w:tc>
        <w:tc>
          <w:tcPr>
            <w:tcW w:w="1546" w:type="dxa"/>
            <w:tcBorders>
              <w:top w:val="single" w:color="000000" w:sz="4" w:space="0"/>
              <w:left w:val="single" w:color="000000" w:sz="4" w:space="0"/>
              <w:bottom w:val="single" w:color="000000" w:sz="4" w:space="0"/>
              <w:right w:val="single" w:color="000000" w:sz="4" w:space="0"/>
            </w:tcBorders>
          </w:tcPr>
          <w:p w14:paraId="53F1CCF2">
            <w:pPr>
              <w:pStyle w:val="490"/>
              <w:kinsoku w:val="0"/>
              <w:overflowPunct w:val="0"/>
              <w:spacing w:before="11"/>
              <w:rPr>
                <w:b/>
                <w:bCs/>
                <w:color w:val="auto"/>
                <w:sz w:val="28"/>
                <w:szCs w:val="28"/>
                <w:highlight w:val="none"/>
              </w:rPr>
            </w:pPr>
          </w:p>
          <w:p w14:paraId="7E503C13">
            <w:pPr>
              <w:pStyle w:val="490"/>
              <w:kinsoku w:val="0"/>
              <w:overflowPunct w:val="0"/>
              <w:ind w:left="151"/>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垂直运输设备</w:t>
            </w:r>
          </w:p>
        </w:tc>
        <w:tc>
          <w:tcPr>
            <w:tcW w:w="6647" w:type="dxa"/>
            <w:tcBorders>
              <w:top w:val="single" w:color="000000" w:sz="4" w:space="0"/>
              <w:left w:val="single" w:color="000000" w:sz="4" w:space="0"/>
              <w:bottom w:val="single" w:color="000000" w:sz="4" w:space="0"/>
              <w:right w:val="single" w:color="000000" w:sz="12" w:space="0"/>
            </w:tcBorders>
          </w:tcPr>
          <w:p w14:paraId="671D8EC6">
            <w:pPr>
              <w:pStyle w:val="490"/>
              <w:numPr>
                <w:ilvl w:val="0"/>
                <w:numId w:val="13"/>
              </w:numPr>
              <w:tabs>
                <w:tab w:val="left" w:pos="389"/>
              </w:tabs>
              <w:kinsoku w:val="0"/>
              <w:overflowPunct w:val="0"/>
              <w:spacing w:before="70" w:line="344" w:lineRule="exact"/>
              <w:ind w:hanging="282"/>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垂直运输设备梱测、梱验、日常维护、保养等。</w:t>
            </w:r>
          </w:p>
          <w:p w14:paraId="73FB3517">
            <w:pPr>
              <w:pStyle w:val="490"/>
              <w:numPr>
                <w:ilvl w:val="0"/>
                <w:numId w:val="13"/>
              </w:numPr>
              <w:tabs>
                <w:tab w:val="left" w:pos="389"/>
              </w:tabs>
              <w:kinsoku w:val="0"/>
              <w:overflowPunct w:val="0"/>
              <w:spacing w:before="17" w:line="187" w:lineRule="auto"/>
              <w:ind w:left="107" w:right="78" w:firstLine="0"/>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物料提升机、施工电梯等物料平台搭设、外侧用密目式安全立网全封闭，有安全通道、安全防护门、防护棚等。</w:t>
            </w:r>
          </w:p>
        </w:tc>
      </w:tr>
      <w:tr w14:paraId="21296C81">
        <w:tblPrEx>
          <w:tblCellMar>
            <w:top w:w="0" w:type="dxa"/>
            <w:left w:w="0" w:type="dxa"/>
            <w:bottom w:w="0" w:type="dxa"/>
            <w:right w:w="0" w:type="dxa"/>
          </w:tblCellMar>
        </w:tblPrEx>
        <w:trPr>
          <w:trHeight w:val="481" w:hRule="atLeast"/>
          <w:jc w:val="center"/>
        </w:trPr>
        <w:tc>
          <w:tcPr>
            <w:tcW w:w="739" w:type="dxa"/>
            <w:vMerge w:val="continue"/>
            <w:tcBorders>
              <w:top w:val="nil"/>
              <w:left w:val="single" w:color="000000" w:sz="12" w:space="0"/>
              <w:bottom w:val="single" w:color="000000" w:sz="12" w:space="0"/>
              <w:right w:val="single" w:color="000000" w:sz="4" w:space="0"/>
            </w:tcBorders>
          </w:tcPr>
          <w:p w14:paraId="73709A97">
            <w:pPr>
              <w:rPr>
                <w:b/>
                <w:bCs/>
                <w:color w:val="auto"/>
                <w:sz w:val="2"/>
                <w:szCs w:val="2"/>
                <w:highlight w:val="none"/>
              </w:rPr>
            </w:pPr>
          </w:p>
        </w:tc>
        <w:tc>
          <w:tcPr>
            <w:tcW w:w="2069" w:type="dxa"/>
            <w:gridSpan w:val="2"/>
            <w:tcBorders>
              <w:top w:val="single" w:color="000000" w:sz="4" w:space="0"/>
              <w:left w:val="single" w:color="000000" w:sz="4" w:space="0"/>
              <w:bottom w:val="single" w:color="000000" w:sz="4" w:space="0"/>
              <w:right w:val="single" w:color="000000" w:sz="4" w:space="0"/>
            </w:tcBorders>
          </w:tcPr>
          <w:p w14:paraId="41E792FC">
            <w:pPr>
              <w:pStyle w:val="490"/>
              <w:kinsoku w:val="0"/>
              <w:overflowPunct w:val="0"/>
              <w:spacing w:before="53"/>
              <w:ind w:left="412"/>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与家论证审查</w:t>
            </w:r>
          </w:p>
        </w:tc>
        <w:tc>
          <w:tcPr>
            <w:tcW w:w="6647" w:type="dxa"/>
            <w:tcBorders>
              <w:top w:val="single" w:color="000000" w:sz="4" w:space="0"/>
              <w:left w:val="single" w:color="000000" w:sz="4" w:space="0"/>
              <w:bottom w:val="single" w:color="000000" w:sz="4" w:space="0"/>
              <w:right w:val="single" w:color="000000" w:sz="12" w:space="0"/>
            </w:tcBorders>
          </w:tcPr>
          <w:p w14:paraId="6BFE9866">
            <w:pPr>
              <w:pStyle w:val="490"/>
              <w:kinsoku w:val="0"/>
              <w:overflowPunct w:val="0"/>
              <w:spacing w:before="53"/>
              <w:ind w:left="10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超过一定规模的危险性较大分部分项工程与家论证审查。</w:t>
            </w:r>
          </w:p>
        </w:tc>
      </w:tr>
      <w:tr w14:paraId="3A07FADA">
        <w:tblPrEx>
          <w:tblCellMar>
            <w:top w:w="0" w:type="dxa"/>
            <w:left w:w="0" w:type="dxa"/>
            <w:bottom w:w="0" w:type="dxa"/>
            <w:right w:w="0" w:type="dxa"/>
          </w:tblCellMar>
        </w:tblPrEx>
        <w:trPr>
          <w:trHeight w:val="478" w:hRule="atLeast"/>
          <w:jc w:val="center"/>
        </w:trPr>
        <w:tc>
          <w:tcPr>
            <w:tcW w:w="739" w:type="dxa"/>
            <w:vMerge w:val="continue"/>
            <w:tcBorders>
              <w:top w:val="nil"/>
              <w:left w:val="single" w:color="000000" w:sz="12" w:space="0"/>
              <w:bottom w:val="single" w:color="000000" w:sz="12" w:space="0"/>
              <w:right w:val="single" w:color="000000" w:sz="4" w:space="0"/>
            </w:tcBorders>
          </w:tcPr>
          <w:p w14:paraId="4D34569F">
            <w:pPr>
              <w:rPr>
                <w:b/>
                <w:bCs/>
                <w:color w:val="auto"/>
                <w:sz w:val="2"/>
                <w:szCs w:val="2"/>
                <w:highlight w:val="none"/>
              </w:rPr>
            </w:pPr>
          </w:p>
        </w:tc>
        <w:tc>
          <w:tcPr>
            <w:tcW w:w="2069" w:type="dxa"/>
            <w:gridSpan w:val="2"/>
            <w:tcBorders>
              <w:top w:val="single" w:color="000000" w:sz="4" w:space="0"/>
              <w:left w:val="single" w:color="000000" w:sz="4" w:space="0"/>
              <w:bottom w:val="single" w:color="000000" w:sz="4" w:space="0"/>
              <w:right w:val="single" w:color="000000" w:sz="4" w:space="0"/>
            </w:tcBorders>
          </w:tcPr>
          <w:p w14:paraId="6BEBEFB8">
            <w:pPr>
              <w:pStyle w:val="490"/>
              <w:kinsoku w:val="0"/>
              <w:overflowPunct w:val="0"/>
              <w:spacing w:before="51"/>
              <w:ind w:left="412"/>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应急救援预案</w:t>
            </w:r>
          </w:p>
        </w:tc>
        <w:tc>
          <w:tcPr>
            <w:tcW w:w="6647" w:type="dxa"/>
            <w:tcBorders>
              <w:top w:val="single" w:color="000000" w:sz="4" w:space="0"/>
              <w:left w:val="single" w:color="000000" w:sz="4" w:space="0"/>
              <w:bottom w:val="single" w:color="000000" w:sz="4" w:space="0"/>
              <w:right w:val="single" w:color="000000" w:sz="12" w:space="0"/>
            </w:tcBorders>
          </w:tcPr>
          <w:p w14:paraId="55585D81">
            <w:pPr>
              <w:pStyle w:val="490"/>
              <w:kinsoku w:val="0"/>
              <w:overflowPunct w:val="0"/>
              <w:spacing w:before="51"/>
              <w:ind w:left="10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救援器材准备及演练等。</w:t>
            </w:r>
          </w:p>
        </w:tc>
      </w:tr>
      <w:tr w14:paraId="61C370B7">
        <w:tblPrEx>
          <w:tblCellMar>
            <w:top w:w="0" w:type="dxa"/>
            <w:left w:w="0" w:type="dxa"/>
            <w:bottom w:w="0" w:type="dxa"/>
            <w:right w:w="0" w:type="dxa"/>
          </w:tblCellMar>
        </w:tblPrEx>
        <w:trPr>
          <w:trHeight w:val="589" w:hRule="atLeast"/>
          <w:jc w:val="center"/>
        </w:trPr>
        <w:tc>
          <w:tcPr>
            <w:tcW w:w="739" w:type="dxa"/>
            <w:vMerge w:val="continue"/>
            <w:tcBorders>
              <w:top w:val="nil"/>
              <w:left w:val="single" w:color="000000" w:sz="12" w:space="0"/>
              <w:bottom w:val="single" w:color="000000" w:sz="12" w:space="0"/>
              <w:right w:val="single" w:color="000000" w:sz="4" w:space="0"/>
            </w:tcBorders>
          </w:tcPr>
          <w:p w14:paraId="5F2F40A1">
            <w:pPr>
              <w:rPr>
                <w:b/>
                <w:bCs/>
                <w:color w:val="auto"/>
                <w:sz w:val="2"/>
                <w:szCs w:val="2"/>
                <w:highlight w:val="none"/>
              </w:rPr>
            </w:pPr>
          </w:p>
        </w:tc>
        <w:tc>
          <w:tcPr>
            <w:tcW w:w="2069" w:type="dxa"/>
            <w:gridSpan w:val="2"/>
            <w:tcBorders>
              <w:top w:val="single" w:color="000000" w:sz="4" w:space="0"/>
              <w:left w:val="single" w:color="000000" w:sz="4" w:space="0"/>
              <w:bottom w:val="single" w:color="000000" w:sz="12" w:space="0"/>
              <w:right w:val="single" w:color="000000" w:sz="4" w:space="0"/>
            </w:tcBorders>
          </w:tcPr>
          <w:p w14:paraId="32CF4C9C">
            <w:pPr>
              <w:pStyle w:val="490"/>
              <w:kinsoku w:val="0"/>
              <w:overflowPunct w:val="0"/>
              <w:spacing w:before="104"/>
              <w:ind w:left="30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非正常情况施工</w:t>
            </w:r>
          </w:p>
        </w:tc>
        <w:tc>
          <w:tcPr>
            <w:tcW w:w="6647" w:type="dxa"/>
            <w:tcBorders>
              <w:top w:val="single" w:color="000000" w:sz="4" w:space="0"/>
              <w:left w:val="single" w:color="000000" w:sz="4" w:space="0"/>
              <w:bottom w:val="single" w:color="000000" w:sz="12" w:space="0"/>
              <w:right w:val="single" w:color="000000" w:sz="12" w:space="0"/>
            </w:tcBorders>
          </w:tcPr>
          <w:p w14:paraId="55BADAA2">
            <w:pPr>
              <w:pStyle w:val="490"/>
              <w:kinsoku w:val="0"/>
              <w:overflowPunct w:val="0"/>
              <w:spacing w:line="296" w:lineRule="exact"/>
              <w:ind w:left="107"/>
              <w:rPr>
                <w:rFonts w:ascii="微软雅黑" w:eastAsia="微软雅黑" w:cs="微软雅黑"/>
                <w:color w:val="auto"/>
                <w:spacing w:val="-3"/>
                <w:sz w:val="21"/>
                <w:szCs w:val="21"/>
                <w:highlight w:val="none"/>
              </w:rPr>
            </w:pPr>
            <w:r>
              <w:rPr>
                <w:rFonts w:hint="eastAsia" w:ascii="微软雅黑" w:eastAsia="微软雅黑" w:cs="微软雅黑"/>
                <w:color w:val="auto"/>
                <w:spacing w:val="-3"/>
                <w:sz w:val="21"/>
                <w:szCs w:val="21"/>
                <w:highlight w:val="none"/>
              </w:rPr>
              <w:t>其它特殊情况下的防护费用，如：城市主干道、人流密集、河边等处施</w:t>
            </w:r>
          </w:p>
          <w:p w14:paraId="7C624A25">
            <w:pPr>
              <w:pStyle w:val="490"/>
              <w:kinsoku w:val="0"/>
              <w:overflowPunct w:val="0"/>
              <w:spacing w:line="273" w:lineRule="exact"/>
              <w:ind w:left="107"/>
              <w:rPr>
                <w:rFonts w:ascii="微软雅黑" w:eastAsia="微软雅黑" w:cs="微软雅黑"/>
                <w:color w:val="auto"/>
                <w:sz w:val="21"/>
                <w:szCs w:val="21"/>
                <w:highlight w:val="none"/>
              </w:rPr>
            </w:pPr>
            <w:r>
              <w:rPr>
                <w:rFonts w:hint="eastAsia" w:ascii="微软雅黑" w:eastAsia="微软雅黑" w:cs="微软雅黑"/>
                <w:color w:val="auto"/>
                <w:sz w:val="21"/>
                <w:szCs w:val="21"/>
                <w:highlight w:val="none"/>
              </w:rPr>
              <w:t>工及文物、古建筑、古树保护等。</w:t>
            </w:r>
          </w:p>
        </w:tc>
      </w:tr>
    </w:tbl>
    <w:p w14:paraId="21C7FF50">
      <w:pPr>
        <w:pStyle w:val="20"/>
        <w:kinsoku w:val="0"/>
        <w:overflowPunct w:val="0"/>
        <w:rPr>
          <w:b/>
          <w:bCs/>
          <w:color w:val="auto"/>
          <w:szCs w:val="20"/>
          <w:highlight w:val="none"/>
        </w:rPr>
      </w:pPr>
    </w:p>
    <w:p w14:paraId="109A69F2">
      <w:pPr>
        <w:pStyle w:val="20"/>
        <w:kinsoku w:val="0"/>
        <w:overflowPunct w:val="0"/>
        <w:spacing w:before="1"/>
        <w:rPr>
          <w:b/>
          <w:bCs/>
          <w:color w:val="auto"/>
          <w:sz w:val="19"/>
          <w:szCs w:val="19"/>
          <w:highlight w:val="none"/>
        </w:rPr>
      </w:pPr>
    </w:p>
    <w:p w14:paraId="0EDF2024">
      <w:pPr>
        <w:pStyle w:val="20"/>
        <w:kinsoku w:val="0"/>
        <w:overflowPunct w:val="0"/>
        <w:spacing w:line="278" w:lineRule="auto"/>
        <w:ind w:left="546" w:right="714" w:firstLine="419"/>
        <w:rPr>
          <w:color w:val="auto"/>
          <w:sz w:val="21"/>
          <w:szCs w:val="21"/>
          <w:highlight w:val="none"/>
        </w:rPr>
      </w:pPr>
      <w:r>
        <w:rPr>
          <w:rFonts w:hint="eastAsia"/>
          <w:color w:val="auto"/>
          <w:sz w:val="21"/>
          <w:szCs w:val="21"/>
          <w:highlight w:val="none"/>
        </w:rPr>
        <w:t>注：本表所列建筑工程安全文明施工费，是依据现行法律法规及标准规范确定的。如法律法规和标准规范修订，本表所列项目应按照修订后的法律法规和标准规范进行调整。</w:t>
      </w:r>
    </w:p>
    <w:p w14:paraId="20E0B389">
      <w:pPr>
        <w:pStyle w:val="20"/>
        <w:kinsoku w:val="0"/>
        <w:overflowPunct w:val="0"/>
        <w:spacing w:line="278" w:lineRule="auto"/>
        <w:ind w:left="546" w:right="714" w:firstLine="419"/>
        <w:rPr>
          <w:color w:val="auto"/>
          <w:sz w:val="21"/>
          <w:szCs w:val="21"/>
          <w:highlight w:val="none"/>
        </w:rPr>
        <w:sectPr>
          <w:pgSz w:w="11910" w:h="16840"/>
          <w:pgMar w:top="1440" w:right="1080" w:bottom="1440" w:left="1500" w:header="737" w:footer="1198" w:gutter="0"/>
          <w:pgNumType w:fmt="decimal"/>
          <w:cols w:space="720" w:num="1"/>
        </w:sectPr>
      </w:pPr>
    </w:p>
    <w:p w14:paraId="675459EC">
      <w:pPr>
        <w:spacing w:line="360" w:lineRule="auto"/>
        <w:jc w:val="center"/>
        <w:rPr>
          <w:b/>
          <w:bCs/>
          <w:color w:val="auto"/>
          <w:sz w:val="30"/>
          <w:szCs w:val="30"/>
          <w:highlight w:val="none"/>
        </w:rPr>
      </w:pPr>
      <w:bookmarkStart w:id="123" w:name="_Toc116204874"/>
      <w:bookmarkStart w:id="124" w:name="_Toc116229063"/>
      <w:bookmarkStart w:id="125" w:name="_Toc116123777"/>
      <w:r>
        <w:rPr>
          <w:rFonts w:hint="eastAsia"/>
          <w:b/>
          <w:bCs/>
          <w:color w:val="auto"/>
          <w:sz w:val="30"/>
          <w:szCs w:val="30"/>
          <w:highlight w:val="none"/>
        </w:rPr>
        <w:t>10.项目管理机构配备情况表</w:t>
      </w:r>
      <w:bookmarkEnd w:id="123"/>
      <w:bookmarkEnd w:id="124"/>
      <w:bookmarkEnd w:id="125"/>
    </w:p>
    <w:p w14:paraId="2A0A93B1">
      <w:pPr>
        <w:pStyle w:val="20"/>
        <w:tabs>
          <w:tab w:val="left" w:pos="4435"/>
        </w:tabs>
        <w:kinsoku w:val="0"/>
        <w:overflowPunct w:val="0"/>
        <w:spacing w:after="20"/>
        <w:rPr>
          <w:color w:val="auto"/>
          <w:highlight w:val="none"/>
        </w:rPr>
      </w:pPr>
      <w:r>
        <w:rPr>
          <w:rFonts w:hint="eastAsia"/>
          <w:color w:val="auto"/>
          <w:highlight w:val="none"/>
        </w:rPr>
        <w:t>（工程项目名称）</w:t>
      </w:r>
      <w:r>
        <w:rPr>
          <w:color w:val="auto"/>
          <w:highlight w:val="none"/>
        </w:rPr>
        <w:tab/>
      </w:r>
    </w:p>
    <w:tbl>
      <w:tblPr>
        <w:tblStyle w:val="55"/>
        <w:tblW w:w="0" w:type="auto"/>
        <w:jc w:val="center"/>
        <w:tblLayout w:type="fixed"/>
        <w:tblCellMar>
          <w:top w:w="0" w:type="dxa"/>
          <w:left w:w="0" w:type="dxa"/>
          <w:bottom w:w="0" w:type="dxa"/>
          <w:right w:w="0" w:type="dxa"/>
        </w:tblCellMar>
      </w:tblPr>
      <w:tblGrid>
        <w:gridCol w:w="992"/>
        <w:gridCol w:w="831"/>
        <w:gridCol w:w="817"/>
        <w:gridCol w:w="1148"/>
        <w:gridCol w:w="1151"/>
        <w:gridCol w:w="1148"/>
        <w:gridCol w:w="1148"/>
        <w:gridCol w:w="851"/>
        <w:gridCol w:w="1456"/>
      </w:tblGrid>
      <w:tr w14:paraId="7ADE219D">
        <w:trPr>
          <w:trHeight w:val="467" w:hRule="atLeast"/>
          <w:jc w:val="center"/>
        </w:trPr>
        <w:tc>
          <w:tcPr>
            <w:tcW w:w="992" w:type="dxa"/>
            <w:vMerge w:val="restart"/>
            <w:tcBorders>
              <w:top w:val="single" w:color="000000" w:sz="4" w:space="0"/>
              <w:left w:val="single" w:color="000000" w:sz="4" w:space="0"/>
              <w:bottom w:val="single" w:color="000000" w:sz="4" w:space="0"/>
              <w:right w:val="single" w:color="000000" w:sz="4" w:space="0"/>
            </w:tcBorders>
          </w:tcPr>
          <w:p w14:paraId="72D0C8C9">
            <w:pPr>
              <w:pStyle w:val="490"/>
              <w:kinsoku w:val="0"/>
              <w:overflowPunct w:val="0"/>
              <w:rPr>
                <w:color w:val="auto"/>
                <w:sz w:val="20"/>
                <w:szCs w:val="20"/>
                <w:highlight w:val="none"/>
              </w:rPr>
            </w:pPr>
          </w:p>
          <w:p w14:paraId="4EB3BEE7">
            <w:pPr>
              <w:pStyle w:val="490"/>
              <w:kinsoku w:val="0"/>
              <w:overflowPunct w:val="0"/>
              <w:spacing w:before="160"/>
              <w:ind w:left="285"/>
              <w:rPr>
                <w:color w:val="auto"/>
                <w:sz w:val="21"/>
                <w:szCs w:val="21"/>
                <w:highlight w:val="none"/>
              </w:rPr>
            </w:pPr>
            <w:r>
              <w:rPr>
                <w:rFonts w:hint="eastAsia"/>
                <w:color w:val="auto"/>
                <w:sz w:val="21"/>
                <w:szCs w:val="21"/>
                <w:highlight w:val="none"/>
              </w:rPr>
              <w:t>岗位</w:t>
            </w:r>
          </w:p>
        </w:tc>
        <w:tc>
          <w:tcPr>
            <w:tcW w:w="831" w:type="dxa"/>
            <w:vMerge w:val="restart"/>
            <w:tcBorders>
              <w:top w:val="single" w:color="000000" w:sz="4" w:space="0"/>
              <w:left w:val="single" w:color="000000" w:sz="4" w:space="0"/>
              <w:bottom w:val="single" w:color="000000" w:sz="4" w:space="0"/>
              <w:right w:val="single" w:color="000000" w:sz="4" w:space="0"/>
            </w:tcBorders>
          </w:tcPr>
          <w:p w14:paraId="60AF95BB">
            <w:pPr>
              <w:pStyle w:val="490"/>
              <w:kinsoku w:val="0"/>
              <w:overflowPunct w:val="0"/>
              <w:rPr>
                <w:color w:val="auto"/>
                <w:sz w:val="20"/>
                <w:szCs w:val="20"/>
                <w:highlight w:val="none"/>
              </w:rPr>
            </w:pPr>
          </w:p>
          <w:p w14:paraId="4B1023C4">
            <w:pPr>
              <w:pStyle w:val="490"/>
              <w:kinsoku w:val="0"/>
              <w:overflowPunct w:val="0"/>
              <w:spacing w:before="160"/>
              <w:ind w:left="205"/>
              <w:rPr>
                <w:color w:val="auto"/>
                <w:sz w:val="21"/>
                <w:szCs w:val="21"/>
                <w:highlight w:val="none"/>
              </w:rPr>
            </w:pPr>
            <w:r>
              <w:rPr>
                <w:rFonts w:hint="eastAsia"/>
                <w:color w:val="auto"/>
                <w:sz w:val="21"/>
                <w:szCs w:val="21"/>
                <w:highlight w:val="none"/>
              </w:rPr>
              <w:t>姓名</w:t>
            </w:r>
          </w:p>
        </w:tc>
        <w:tc>
          <w:tcPr>
            <w:tcW w:w="817" w:type="dxa"/>
            <w:vMerge w:val="restart"/>
            <w:tcBorders>
              <w:top w:val="single" w:color="000000" w:sz="4" w:space="0"/>
              <w:left w:val="single" w:color="000000" w:sz="4" w:space="0"/>
              <w:bottom w:val="single" w:color="000000" w:sz="4" w:space="0"/>
              <w:right w:val="single" w:color="000000" w:sz="4" w:space="0"/>
            </w:tcBorders>
          </w:tcPr>
          <w:p w14:paraId="4538E135">
            <w:pPr>
              <w:pStyle w:val="490"/>
              <w:kinsoku w:val="0"/>
              <w:overflowPunct w:val="0"/>
              <w:rPr>
                <w:color w:val="auto"/>
                <w:sz w:val="20"/>
                <w:szCs w:val="20"/>
                <w:highlight w:val="none"/>
              </w:rPr>
            </w:pPr>
          </w:p>
          <w:p w14:paraId="32248147">
            <w:pPr>
              <w:pStyle w:val="490"/>
              <w:kinsoku w:val="0"/>
              <w:overflowPunct w:val="0"/>
              <w:spacing w:before="160"/>
              <w:ind w:left="195"/>
              <w:rPr>
                <w:color w:val="auto"/>
                <w:sz w:val="21"/>
                <w:szCs w:val="21"/>
                <w:highlight w:val="none"/>
              </w:rPr>
            </w:pPr>
            <w:r>
              <w:rPr>
                <w:rFonts w:hint="eastAsia"/>
                <w:color w:val="auto"/>
                <w:sz w:val="21"/>
                <w:szCs w:val="21"/>
                <w:highlight w:val="none"/>
              </w:rPr>
              <w:t>职称</w:t>
            </w:r>
          </w:p>
        </w:tc>
        <w:tc>
          <w:tcPr>
            <w:tcW w:w="4595" w:type="dxa"/>
            <w:gridSpan w:val="4"/>
            <w:tcBorders>
              <w:top w:val="single" w:color="000000" w:sz="4" w:space="0"/>
              <w:left w:val="single" w:color="000000" w:sz="4" w:space="0"/>
              <w:bottom w:val="single" w:color="000000" w:sz="4" w:space="0"/>
              <w:right w:val="single" w:color="000000" w:sz="4" w:space="0"/>
            </w:tcBorders>
          </w:tcPr>
          <w:p w14:paraId="3D803E29">
            <w:pPr>
              <w:pStyle w:val="490"/>
              <w:kinsoku w:val="0"/>
              <w:overflowPunct w:val="0"/>
              <w:spacing w:before="99"/>
              <w:ind w:left="1347"/>
              <w:rPr>
                <w:color w:val="auto"/>
                <w:sz w:val="21"/>
                <w:szCs w:val="21"/>
                <w:highlight w:val="none"/>
              </w:rPr>
            </w:pPr>
            <w:r>
              <w:rPr>
                <w:rFonts w:hint="eastAsia"/>
                <w:color w:val="auto"/>
                <w:sz w:val="21"/>
                <w:szCs w:val="21"/>
                <w:highlight w:val="none"/>
              </w:rPr>
              <w:t>执业或职业资格证明</w:t>
            </w:r>
          </w:p>
        </w:tc>
        <w:tc>
          <w:tcPr>
            <w:tcW w:w="2307" w:type="dxa"/>
            <w:gridSpan w:val="2"/>
            <w:tcBorders>
              <w:top w:val="single" w:color="000000" w:sz="4" w:space="0"/>
              <w:left w:val="single" w:color="000000" w:sz="4" w:space="0"/>
              <w:bottom w:val="single" w:color="000000" w:sz="4" w:space="0"/>
              <w:right w:val="single" w:color="000000" w:sz="4" w:space="0"/>
            </w:tcBorders>
          </w:tcPr>
          <w:p w14:paraId="7BDD7BAA">
            <w:pPr>
              <w:pStyle w:val="490"/>
              <w:kinsoku w:val="0"/>
              <w:overflowPunct w:val="0"/>
              <w:spacing w:before="99"/>
              <w:ind w:left="420"/>
              <w:rPr>
                <w:color w:val="auto"/>
                <w:sz w:val="21"/>
                <w:szCs w:val="21"/>
                <w:highlight w:val="none"/>
              </w:rPr>
            </w:pPr>
            <w:r>
              <w:rPr>
                <w:rFonts w:hint="eastAsia"/>
                <w:color w:val="auto"/>
                <w:sz w:val="21"/>
                <w:szCs w:val="21"/>
                <w:highlight w:val="none"/>
              </w:rPr>
              <w:t>承担完工工程情况</w:t>
            </w:r>
          </w:p>
        </w:tc>
      </w:tr>
      <w:tr w14:paraId="09443969">
        <w:tblPrEx>
          <w:tblCellMar>
            <w:top w:w="0" w:type="dxa"/>
            <w:left w:w="0" w:type="dxa"/>
            <w:bottom w:w="0" w:type="dxa"/>
            <w:right w:w="0" w:type="dxa"/>
          </w:tblCellMar>
        </w:tblPrEx>
        <w:trPr>
          <w:trHeight w:val="623" w:hRule="atLeast"/>
          <w:jc w:val="center"/>
        </w:trPr>
        <w:tc>
          <w:tcPr>
            <w:tcW w:w="992" w:type="dxa"/>
            <w:vMerge w:val="continue"/>
            <w:tcBorders>
              <w:top w:val="nil"/>
              <w:left w:val="single" w:color="000000" w:sz="4" w:space="0"/>
              <w:bottom w:val="single" w:color="000000" w:sz="4" w:space="0"/>
              <w:right w:val="single" w:color="000000" w:sz="4" w:space="0"/>
            </w:tcBorders>
          </w:tcPr>
          <w:p w14:paraId="36BC83CA">
            <w:pPr>
              <w:pStyle w:val="20"/>
              <w:tabs>
                <w:tab w:val="left" w:pos="4435"/>
              </w:tabs>
              <w:kinsoku w:val="0"/>
              <w:overflowPunct w:val="0"/>
              <w:spacing w:after="20"/>
              <w:ind w:left="1809"/>
              <w:rPr>
                <w:color w:val="auto"/>
                <w:sz w:val="2"/>
                <w:szCs w:val="2"/>
                <w:highlight w:val="none"/>
              </w:rPr>
            </w:pPr>
          </w:p>
        </w:tc>
        <w:tc>
          <w:tcPr>
            <w:tcW w:w="831" w:type="dxa"/>
            <w:vMerge w:val="continue"/>
            <w:tcBorders>
              <w:top w:val="nil"/>
              <w:left w:val="single" w:color="000000" w:sz="4" w:space="0"/>
              <w:bottom w:val="single" w:color="000000" w:sz="4" w:space="0"/>
              <w:right w:val="single" w:color="000000" w:sz="4" w:space="0"/>
            </w:tcBorders>
          </w:tcPr>
          <w:p w14:paraId="7918AAAE">
            <w:pPr>
              <w:pStyle w:val="20"/>
              <w:tabs>
                <w:tab w:val="left" w:pos="4435"/>
              </w:tabs>
              <w:kinsoku w:val="0"/>
              <w:overflowPunct w:val="0"/>
              <w:spacing w:after="20"/>
              <w:ind w:left="1809"/>
              <w:rPr>
                <w:color w:val="auto"/>
                <w:sz w:val="2"/>
                <w:szCs w:val="2"/>
                <w:highlight w:val="none"/>
              </w:rPr>
            </w:pPr>
          </w:p>
        </w:tc>
        <w:tc>
          <w:tcPr>
            <w:tcW w:w="817" w:type="dxa"/>
            <w:vMerge w:val="continue"/>
            <w:tcBorders>
              <w:top w:val="nil"/>
              <w:left w:val="single" w:color="000000" w:sz="4" w:space="0"/>
              <w:bottom w:val="single" w:color="000000" w:sz="4" w:space="0"/>
              <w:right w:val="single" w:color="000000" w:sz="4" w:space="0"/>
            </w:tcBorders>
          </w:tcPr>
          <w:p w14:paraId="4258CE4C">
            <w:pPr>
              <w:pStyle w:val="20"/>
              <w:tabs>
                <w:tab w:val="left" w:pos="4435"/>
              </w:tabs>
              <w:kinsoku w:val="0"/>
              <w:overflowPunct w:val="0"/>
              <w:spacing w:after="20"/>
              <w:ind w:left="1809"/>
              <w:rPr>
                <w:color w:val="auto"/>
                <w:sz w:val="2"/>
                <w:szCs w:val="2"/>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63EF0177">
            <w:pPr>
              <w:pStyle w:val="490"/>
              <w:kinsoku w:val="0"/>
              <w:overflowPunct w:val="0"/>
              <w:spacing w:before="178"/>
              <w:ind w:left="152"/>
              <w:rPr>
                <w:color w:val="auto"/>
                <w:sz w:val="21"/>
                <w:szCs w:val="21"/>
                <w:highlight w:val="none"/>
              </w:rPr>
            </w:pPr>
            <w:r>
              <w:rPr>
                <w:rFonts w:hint="eastAsia"/>
                <w:color w:val="auto"/>
                <w:sz w:val="21"/>
                <w:szCs w:val="21"/>
                <w:highlight w:val="none"/>
              </w:rPr>
              <w:t>证书名称</w:t>
            </w:r>
          </w:p>
        </w:tc>
        <w:tc>
          <w:tcPr>
            <w:tcW w:w="1151" w:type="dxa"/>
            <w:tcBorders>
              <w:top w:val="single" w:color="000000" w:sz="4" w:space="0"/>
              <w:left w:val="single" w:color="000000" w:sz="4" w:space="0"/>
              <w:bottom w:val="single" w:color="000000" w:sz="4" w:space="0"/>
              <w:right w:val="single" w:color="000000" w:sz="4" w:space="0"/>
            </w:tcBorders>
          </w:tcPr>
          <w:p w14:paraId="6318137C">
            <w:pPr>
              <w:pStyle w:val="490"/>
              <w:kinsoku w:val="0"/>
              <w:overflowPunct w:val="0"/>
              <w:spacing w:before="178"/>
              <w:ind w:left="360"/>
              <w:rPr>
                <w:color w:val="auto"/>
                <w:sz w:val="21"/>
                <w:szCs w:val="21"/>
                <w:highlight w:val="none"/>
              </w:rPr>
            </w:pPr>
            <w:r>
              <w:rPr>
                <w:rFonts w:hint="eastAsia"/>
                <w:color w:val="auto"/>
                <w:sz w:val="21"/>
                <w:szCs w:val="21"/>
                <w:highlight w:val="none"/>
              </w:rPr>
              <w:t>级别</w:t>
            </w:r>
          </w:p>
        </w:tc>
        <w:tc>
          <w:tcPr>
            <w:tcW w:w="1148" w:type="dxa"/>
            <w:tcBorders>
              <w:top w:val="single" w:color="000000" w:sz="4" w:space="0"/>
              <w:left w:val="single" w:color="000000" w:sz="4" w:space="0"/>
              <w:bottom w:val="single" w:color="000000" w:sz="4" w:space="0"/>
              <w:right w:val="single" w:color="000000" w:sz="4" w:space="0"/>
            </w:tcBorders>
          </w:tcPr>
          <w:p w14:paraId="2DB07369">
            <w:pPr>
              <w:pStyle w:val="490"/>
              <w:kinsoku w:val="0"/>
              <w:overflowPunct w:val="0"/>
              <w:spacing w:before="178"/>
              <w:ind w:left="358"/>
              <w:rPr>
                <w:color w:val="auto"/>
                <w:sz w:val="21"/>
                <w:szCs w:val="21"/>
                <w:highlight w:val="none"/>
              </w:rPr>
            </w:pPr>
            <w:r>
              <w:rPr>
                <w:rFonts w:hint="eastAsia"/>
                <w:color w:val="auto"/>
                <w:sz w:val="21"/>
                <w:szCs w:val="21"/>
                <w:highlight w:val="none"/>
              </w:rPr>
              <w:t>证号</w:t>
            </w:r>
          </w:p>
        </w:tc>
        <w:tc>
          <w:tcPr>
            <w:tcW w:w="1148" w:type="dxa"/>
            <w:tcBorders>
              <w:top w:val="single" w:color="000000" w:sz="4" w:space="0"/>
              <w:left w:val="single" w:color="000000" w:sz="4" w:space="0"/>
              <w:bottom w:val="single" w:color="000000" w:sz="4" w:space="0"/>
              <w:right w:val="single" w:color="000000" w:sz="4" w:space="0"/>
            </w:tcBorders>
          </w:tcPr>
          <w:p w14:paraId="6548442E">
            <w:pPr>
              <w:pStyle w:val="490"/>
              <w:kinsoku w:val="0"/>
              <w:overflowPunct w:val="0"/>
              <w:spacing w:before="178"/>
              <w:ind w:left="358"/>
              <w:rPr>
                <w:color w:val="auto"/>
                <w:sz w:val="21"/>
                <w:szCs w:val="21"/>
                <w:highlight w:val="none"/>
              </w:rPr>
            </w:pPr>
            <w:r>
              <w:rPr>
                <w:rFonts w:hint="eastAsia"/>
                <w:color w:val="auto"/>
                <w:sz w:val="21"/>
                <w:szCs w:val="21"/>
                <w:highlight w:val="none"/>
              </w:rPr>
              <w:t>专业</w:t>
            </w:r>
          </w:p>
        </w:tc>
        <w:tc>
          <w:tcPr>
            <w:tcW w:w="851" w:type="dxa"/>
            <w:tcBorders>
              <w:top w:val="single" w:color="000000" w:sz="4" w:space="0"/>
              <w:left w:val="single" w:color="000000" w:sz="4" w:space="0"/>
              <w:bottom w:val="single" w:color="000000" w:sz="4" w:space="0"/>
              <w:right w:val="single" w:color="000000" w:sz="4" w:space="0"/>
            </w:tcBorders>
          </w:tcPr>
          <w:p w14:paraId="206C8C07">
            <w:pPr>
              <w:pStyle w:val="490"/>
              <w:kinsoku w:val="0"/>
              <w:overflowPunct w:val="0"/>
              <w:spacing w:before="178"/>
              <w:ind w:left="103"/>
              <w:rPr>
                <w:color w:val="auto"/>
                <w:sz w:val="21"/>
                <w:szCs w:val="21"/>
                <w:highlight w:val="none"/>
              </w:rPr>
            </w:pPr>
            <w:r>
              <w:rPr>
                <w:rFonts w:hint="eastAsia"/>
                <w:color w:val="auto"/>
                <w:sz w:val="21"/>
                <w:szCs w:val="21"/>
                <w:highlight w:val="none"/>
              </w:rPr>
              <w:t>项目数</w:t>
            </w:r>
          </w:p>
        </w:tc>
        <w:tc>
          <w:tcPr>
            <w:tcW w:w="1456" w:type="dxa"/>
            <w:tcBorders>
              <w:top w:val="single" w:color="000000" w:sz="4" w:space="0"/>
              <w:left w:val="single" w:color="000000" w:sz="4" w:space="0"/>
              <w:bottom w:val="single" w:color="000000" w:sz="4" w:space="0"/>
              <w:right w:val="single" w:color="000000" w:sz="4" w:space="0"/>
            </w:tcBorders>
            <w:vAlign w:val="center"/>
          </w:tcPr>
          <w:p w14:paraId="7F44B0EC">
            <w:pPr>
              <w:pStyle w:val="490"/>
              <w:kinsoku w:val="0"/>
              <w:overflowPunct w:val="0"/>
              <w:spacing w:before="22"/>
              <w:ind w:right="-34"/>
              <w:jc w:val="center"/>
              <w:rPr>
                <w:color w:val="auto"/>
                <w:sz w:val="21"/>
                <w:szCs w:val="21"/>
                <w:highlight w:val="none"/>
              </w:rPr>
            </w:pPr>
            <w:r>
              <w:rPr>
                <w:rFonts w:hint="eastAsia"/>
                <w:color w:val="auto"/>
                <w:sz w:val="21"/>
                <w:szCs w:val="21"/>
                <w:highlight w:val="none"/>
              </w:rPr>
              <w:t>主要项目名称</w:t>
            </w:r>
          </w:p>
        </w:tc>
      </w:tr>
      <w:tr w14:paraId="05089B12">
        <w:tblPrEx>
          <w:tblCellMar>
            <w:top w:w="0" w:type="dxa"/>
            <w:left w:w="0" w:type="dxa"/>
            <w:bottom w:w="0" w:type="dxa"/>
            <w:right w:w="0" w:type="dxa"/>
          </w:tblCellMar>
        </w:tblPrEx>
        <w:trPr>
          <w:trHeight w:val="659" w:hRule="atLeast"/>
          <w:jc w:val="center"/>
        </w:trPr>
        <w:tc>
          <w:tcPr>
            <w:tcW w:w="992" w:type="dxa"/>
            <w:tcBorders>
              <w:top w:val="single" w:color="000000" w:sz="4" w:space="0"/>
              <w:left w:val="single" w:color="000000" w:sz="4" w:space="0"/>
              <w:bottom w:val="single" w:color="000000" w:sz="4" w:space="0"/>
              <w:right w:val="single" w:color="000000" w:sz="4" w:space="0"/>
            </w:tcBorders>
          </w:tcPr>
          <w:p w14:paraId="195B255F">
            <w:pPr>
              <w:pStyle w:val="490"/>
              <w:kinsoku w:val="0"/>
              <w:overflowPunct w:val="0"/>
              <w:rPr>
                <w:rFonts w:ascii="Times New Roman" w:cs="Times New Roman"/>
                <w:color w:val="auto"/>
                <w:highlight w:val="none"/>
              </w:rPr>
            </w:pPr>
          </w:p>
        </w:tc>
        <w:tc>
          <w:tcPr>
            <w:tcW w:w="831" w:type="dxa"/>
            <w:tcBorders>
              <w:top w:val="single" w:color="000000" w:sz="4" w:space="0"/>
              <w:left w:val="single" w:color="000000" w:sz="4" w:space="0"/>
              <w:bottom w:val="single" w:color="000000" w:sz="4" w:space="0"/>
              <w:right w:val="single" w:color="000000" w:sz="4" w:space="0"/>
            </w:tcBorders>
          </w:tcPr>
          <w:p w14:paraId="58B57824">
            <w:pPr>
              <w:pStyle w:val="490"/>
              <w:kinsoku w:val="0"/>
              <w:overflowPunct w:val="0"/>
              <w:rPr>
                <w:rFonts w:ascii="Times New Roman" w:cs="Times New Roman"/>
                <w:color w:val="auto"/>
                <w:highlight w:val="none"/>
              </w:rPr>
            </w:pPr>
          </w:p>
        </w:tc>
        <w:tc>
          <w:tcPr>
            <w:tcW w:w="817" w:type="dxa"/>
            <w:tcBorders>
              <w:top w:val="single" w:color="000000" w:sz="4" w:space="0"/>
              <w:left w:val="single" w:color="000000" w:sz="4" w:space="0"/>
              <w:bottom w:val="single" w:color="000000" w:sz="4" w:space="0"/>
              <w:right w:val="single" w:color="000000" w:sz="4" w:space="0"/>
            </w:tcBorders>
          </w:tcPr>
          <w:p w14:paraId="44CED39F">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4D994CBC">
            <w:pPr>
              <w:pStyle w:val="490"/>
              <w:kinsoku w:val="0"/>
              <w:overflowPunct w:val="0"/>
              <w:rPr>
                <w:rFonts w:ascii="Times New Roman" w:cs="Times New Roman"/>
                <w:color w:val="auto"/>
                <w:highlight w:val="none"/>
              </w:rPr>
            </w:pPr>
          </w:p>
        </w:tc>
        <w:tc>
          <w:tcPr>
            <w:tcW w:w="1151" w:type="dxa"/>
            <w:tcBorders>
              <w:top w:val="single" w:color="000000" w:sz="4" w:space="0"/>
              <w:left w:val="single" w:color="000000" w:sz="4" w:space="0"/>
              <w:bottom w:val="single" w:color="000000" w:sz="4" w:space="0"/>
              <w:right w:val="single" w:color="000000" w:sz="4" w:space="0"/>
            </w:tcBorders>
          </w:tcPr>
          <w:p w14:paraId="0D219733">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5CB23D44">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3CE54D51">
            <w:pPr>
              <w:pStyle w:val="490"/>
              <w:kinsoku w:val="0"/>
              <w:overflowPunct w:val="0"/>
              <w:rPr>
                <w:rFonts w:ascii="Times New Roman" w:cs="Times New Roman"/>
                <w:color w:val="auto"/>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43D400AE">
            <w:pPr>
              <w:pStyle w:val="490"/>
              <w:kinsoku w:val="0"/>
              <w:overflowPunct w:val="0"/>
              <w:rPr>
                <w:rFonts w:ascii="Times New Roman" w:cs="Times New Roman"/>
                <w:color w:val="auto"/>
                <w:highlight w:val="none"/>
              </w:rPr>
            </w:pPr>
          </w:p>
        </w:tc>
        <w:tc>
          <w:tcPr>
            <w:tcW w:w="1456" w:type="dxa"/>
            <w:tcBorders>
              <w:top w:val="single" w:color="000000" w:sz="4" w:space="0"/>
              <w:left w:val="single" w:color="000000" w:sz="4" w:space="0"/>
              <w:bottom w:val="single" w:color="000000" w:sz="4" w:space="0"/>
              <w:right w:val="single" w:color="000000" w:sz="4" w:space="0"/>
            </w:tcBorders>
          </w:tcPr>
          <w:p w14:paraId="372AEE66">
            <w:pPr>
              <w:pStyle w:val="490"/>
              <w:kinsoku w:val="0"/>
              <w:overflowPunct w:val="0"/>
              <w:rPr>
                <w:rFonts w:ascii="Times New Roman" w:cs="Times New Roman"/>
                <w:color w:val="auto"/>
                <w:highlight w:val="none"/>
              </w:rPr>
            </w:pPr>
          </w:p>
        </w:tc>
      </w:tr>
      <w:tr w14:paraId="0C2768AC">
        <w:tblPrEx>
          <w:tblCellMar>
            <w:top w:w="0" w:type="dxa"/>
            <w:left w:w="0" w:type="dxa"/>
            <w:bottom w:w="0" w:type="dxa"/>
            <w:right w:w="0" w:type="dxa"/>
          </w:tblCellMar>
        </w:tblPrEx>
        <w:trPr>
          <w:trHeight w:val="659" w:hRule="atLeast"/>
          <w:jc w:val="center"/>
        </w:trPr>
        <w:tc>
          <w:tcPr>
            <w:tcW w:w="992" w:type="dxa"/>
            <w:tcBorders>
              <w:top w:val="single" w:color="000000" w:sz="4" w:space="0"/>
              <w:left w:val="single" w:color="000000" w:sz="4" w:space="0"/>
              <w:bottom w:val="single" w:color="000000" w:sz="4" w:space="0"/>
              <w:right w:val="single" w:color="000000" w:sz="4" w:space="0"/>
            </w:tcBorders>
          </w:tcPr>
          <w:p w14:paraId="3631B71D">
            <w:pPr>
              <w:pStyle w:val="490"/>
              <w:kinsoku w:val="0"/>
              <w:overflowPunct w:val="0"/>
              <w:rPr>
                <w:rFonts w:ascii="Times New Roman" w:cs="Times New Roman"/>
                <w:color w:val="auto"/>
                <w:highlight w:val="none"/>
              </w:rPr>
            </w:pPr>
          </w:p>
        </w:tc>
        <w:tc>
          <w:tcPr>
            <w:tcW w:w="831" w:type="dxa"/>
            <w:tcBorders>
              <w:top w:val="single" w:color="000000" w:sz="4" w:space="0"/>
              <w:left w:val="single" w:color="000000" w:sz="4" w:space="0"/>
              <w:bottom w:val="single" w:color="000000" w:sz="4" w:space="0"/>
              <w:right w:val="single" w:color="000000" w:sz="4" w:space="0"/>
            </w:tcBorders>
          </w:tcPr>
          <w:p w14:paraId="2C4AA881">
            <w:pPr>
              <w:pStyle w:val="490"/>
              <w:kinsoku w:val="0"/>
              <w:overflowPunct w:val="0"/>
              <w:rPr>
                <w:rFonts w:ascii="Times New Roman" w:cs="Times New Roman"/>
                <w:color w:val="auto"/>
                <w:highlight w:val="none"/>
              </w:rPr>
            </w:pPr>
          </w:p>
        </w:tc>
        <w:tc>
          <w:tcPr>
            <w:tcW w:w="817" w:type="dxa"/>
            <w:tcBorders>
              <w:top w:val="single" w:color="000000" w:sz="4" w:space="0"/>
              <w:left w:val="single" w:color="000000" w:sz="4" w:space="0"/>
              <w:bottom w:val="single" w:color="000000" w:sz="4" w:space="0"/>
              <w:right w:val="single" w:color="000000" w:sz="4" w:space="0"/>
            </w:tcBorders>
          </w:tcPr>
          <w:p w14:paraId="472F35F4">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7935AA5A">
            <w:pPr>
              <w:pStyle w:val="490"/>
              <w:kinsoku w:val="0"/>
              <w:overflowPunct w:val="0"/>
              <w:rPr>
                <w:rFonts w:ascii="Times New Roman" w:cs="Times New Roman"/>
                <w:color w:val="auto"/>
                <w:highlight w:val="none"/>
              </w:rPr>
            </w:pPr>
          </w:p>
        </w:tc>
        <w:tc>
          <w:tcPr>
            <w:tcW w:w="1151" w:type="dxa"/>
            <w:tcBorders>
              <w:top w:val="single" w:color="000000" w:sz="4" w:space="0"/>
              <w:left w:val="single" w:color="000000" w:sz="4" w:space="0"/>
              <w:bottom w:val="single" w:color="000000" w:sz="4" w:space="0"/>
              <w:right w:val="single" w:color="000000" w:sz="4" w:space="0"/>
            </w:tcBorders>
          </w:tcPr>
          <w:p w14:paraId="1AD5414C">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0236CB2B">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0B1CD9D6">
            <w:pPr>
              <w:pStyle w:val="490"/>
              <w:kinsoku w:val="0"/>
              <w:overflowPunct w:val="0"/>
              <w:rPr>
                <w:rFonts w:ascii="Times New Roman" w:cs="Times New Roman"/>
                <w:color w:val="auto"/>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6CDD9679">
            <w:pPr>
              <w:pStyle w:val="490"/>
              <w:kinsoku w:val="0"/>
              <w:overflowPunct w:val="0"/>
              <w:rPr>
                <w:rFonts w:ascii="Times New Roman" w:cs="Times New Roman"/>
                <w:color w:val="auto"/>
                <w:highlight w:val="none"/>
              </w:rPr>
            </w:pPr>
          </w:p>
        </w:tc>
        <w:tc>
          <w:tcPr>
            <w:tcW w:w="1456" w:type="dxa"/>
            <w:tcBorders>
              <w:top w:val="single" w:color="000000" w:sz="4" w:space="0"/>
              <w:left w:val="single" w:color="000000" w:sz="4" w:space="0"/>
              <w:bottom w:val="single" w:color="000000" w:sz="4" w:space="0"/>
              <w:right w:val="single" w:color="000000" w:sz="4" w:space="0"/>
            </w:tcBorders>
          </w:tcPr>
          <w:p w14:paraId="0BE2857B">
            <w:pPr>
              <w:pStyle w:val="490"/>
              <w:kinsoku w:val="0"/>
              <w:overflowPunct w:val="0"/>
              <w:rPr>
                <w:rFonts w:ascii="Times New Roman" w:cs="Times New Roman"/>
                <w:color w:val="auto"/>
                <w:highlight w:val="none"/>
              </w:rPr>
            </w:pPr>
          </w:p>
        </w:tc>
      </w:tr>
      <w:tr w14:paraId="52CB07B3">
        <w:tblPrEx>
          <w:tblCellMar>
            <w:top w:w="0" w:type="dxa"/>
            <w:left w:w="0" w:type="dxa"/>
            <w:bottom w:w="0" w:type="dxa"/>
            <w:right w:w="0" w:type="dxa"/>
          </w:tblCellMar>
        </w:tblPrEx>
        <w:trPr>
          <w:trHeight w:val="660" w:hRule="atLeast"/>
          <w:jc w:val="center"/>
        </w:trPr>
        <w:tc>
          <w:tcPr>
            <w:tcW w:w="992" w:type="dxa"/>
            <w:tcBorders>
              <w:top w:val="single" w:color="000000" w:sz="4" w:space="0"/>
              <w:left w:val="single" w:color="000000" w:sz="4" w:space="0"/>
              <w:bottom w:val="single" w:color="000000" w:sz="4" w:space="0"/>
              <w:right w:val="single" w:color="000000" w:sz="4" w:space="0"/>
            </w:tcBorders>
          </w:tcPr>
          <w:p w14:paraId="5EE74FAC">
            <w:pPr>
              <w:pStyle w:val="490"/>
              <w:kinsoku w:val="0"/>
              <w:overflowPunct w:val="0"/>
              <w:rPr>
                <w:rFonts w:ascii="Times New Roman" w:cs="Times New Roman"/>
                <w:color w:val="auto"/>
                <w:highlight w:val="none"/>
              </w:rPr>
            </w:pPr>
          </w:p>
        </w:tc>
        <w:tc>
          <w:tcPr>
            <w:tcW w:w="831" w:type="dxa"/>
            <w:tcBorders>
              <w:top w:val="single" w:color="000000" w:sz="4" w:space="0"/>
              <w:left w:val="single" w:color="000000" w:sz="4" w:space="0"/>
              <w:bottom w:val="single" w:color="000000" w:sz="4" w:space="0"/>
              <w:right w:val="single" w:color="000000" w:sz="4" w:space="0"/>
            </w:tcBorders>
          </w:tcPr>
          <w:p w14:paraId="6AE8545F">
            <w:pPr>
              <w:pStyle w:val="490"/>
              <w:kinsoku w:val="0"/>
              <w:overflowPunct w:val="0"/>
              <w:rPr>
                <w:rFonts w:ascii="Times New Roman" w:cs="Times New Roman"/>
                <w:color w:val="auto"/>
                <w:highlight w:val="none"/>
              </w:rPr>
            </w:pPr>
          </w:p>
        </w:tc>
        <w:tc>
          <w:tcPr>
            <w:tcW w:w="817" w:type="dxa"/>
            <w:tcBorders>
              <w:top w:val="single" w:color="000000" w:sz="4" w:space="0"/>
              <w:left w:val="single" w:color="000000" w:sz="4" w:space="0"/>
              <w:bottom w:val="single" w:color="000000" w:sz="4" w:space="0"/>
              <w:right w:val="single" w:color="000000" w:sz="4" w:space="0"/>
            </w:tcBorders>
          </w:tcPr>
          <w:p w14:paraId="6DF9A703">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1D890A83">
            <w:pPr>
              <w:pStyle w:val="490"/>
              <w:kinsoku w:val="0"/>
              <w:overflowPunct w:val="0"/>
              <w:rPr>
                <w:rFonts w:ascii="Times New Roman" w:cs="Times New Roman"/>
                <w:color w:val="auto"/>
                <w:highlight w:val="none"/>
              </w:rPr>
            </w:pPr>
          </w:p>
        </w:tc>
        <w:tc>
          <w:tcPr>
            <w:tcW w:w="1151" w:type="dxa"/>
            <w:tcBorders>
              <w:top w:val="single" w:color="000000" w:sz="4" w:space="0"/>
              <w:left w:val="single" w:color="000000" w:sz="4" w:space="0"/>
              <w:bottom w:val="single" w:color="000000" w:sz="4" w:space="0"/>
              <w:right w:val="single" w:color="000000" w:sz="4" w:space="0"/>
            </w:tcBorders>
          </w:tcPr>
          <w:p w14:paraId="2D651723">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1A356180">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0CEA1F6E">
            <w:pPr>
              <w:pStyle w:val="490"/>
              <w:kinsoku w:val="0"/>
              <w:overflowPunct w:val="0"/>
              <w:rPr>
                <w:rFonts w:ascii="Times New Roman" w:cs="Times New Roman"/>
                <w:color w:val="auto"/>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0CC46DB8">
            <w:pPr>
              <w:pStyle w:val="490"/>
              <w:kinsoku w:val="0"/>
              <w:overflowPunct w:val="0"/>
              <w:rPr>
                <w:rFonts w:ascii="Times New Roman" w:cs="Times New Roman"/>
                <w:color w:val="auto"/>
                <w:highlight w:val="none"/>
              </w:rPr>
            </w:pPr>
          </w:p>
        </w:tc>
        <w:tc>
          <w:tcPr>
            <w:tcW w:w="1456" w:type="dxa"/>
            <w:tcBorders>
              <w:top w:val="single" w:color="000000" w:sz="4" w:space="0"/>
              <w:left w:val="single" w:color="000000" w:sz="4" w:space="0"/>
              <w:bottom w:val="single" w:color="000000" w:sz="4" w:space="0"/>
              <w:right w:val="single" w:color="000000" w:sz="4" w:space="0"/>
            </w:tcBorders>
          </w:tcPr>
          <w:p w14:paraId="66B1EC81">
            <w:pPr>
              <w:pStyle w:val="490"/>
              <w:kinsoku w:val="0"/>
              <w:overflowPunct w:val="0"/>
              <w:rPr>
                <w:rFonts w:ascii="Times New Roman" w:cs="Times New Roman"/>
                <w:color w:val="auto"/>
                <w:highlight w:val="none"/>
              </w:rPr>
            </w:pPr>
          </w:p>
        </w:tc>
      </w:tr>
      <w:tr w14:paraId="1D0C1A97">
        <w:tblPrEx>
          <w:tblCellMar>
            <w:top w:w="0" w:type="dxa"/>
            <w:left w:w="0" w:type="dxa"/>
            <w:bottom w:w="0" w:type="dxa"/>
            <w:right w:w="0" w:type="dxa"/>
          </w:tblCellMar>
        </w:tblPrEx>
        <w:trPr>
          <w:trHeight w:val="659" w:hRule="atLeast"/>
          <w:jc w:val="center"/>
        </w:trPr>
        <w:tc>
          <w:tcPr>
            <w:tcW w:w="992" w:type="dxa"/>
            <w:tcBorders>
              <w:top w:val="single" w:color="000000" w:sz="4" w:space="0"/>
              <w:left w:val="single" w:color="000000" w:sz="4" w:space="0"/>
              <w:bottom w:val="single" w:color="000000" w:sz="4" w:space="0"/>
              <w:right w:val="single" w:color="000000" w:sz="4" w:space="0"/>
            </w:tcBorders>
          </w:tcPr>
          <w:p w14:paraId="51F33B03">
            <w:pPr>
              <w:pStyle w:val="490"/>
              <w:kinsoku w:val="0"/>
              <w:overflowPunct w:val="0"/>
              <w:rPr>
                <w:rFonts w:ascii="Times New Roman" w:cs="Times New Roman"/>
                <w:color w:val="auto"/>
                <w:highlight w:val="none"/>
              </w:rPr>
            </w:pPr>
          </w:p>
        </w:tc>
        <w:tc>
          <w:tcPr>
            <w:tcW w:w="831" w:type="dxa"/>
            <w:tcBorders>
              <w:top w:val="single" w:color="000000" w:sz="4" w:space="0"/>
              <w:left w:val="single" w:color="000000" w:sz="4" w:space="0"/>
              <w:bottom w:val="single" w:color="000000" w:sz="4" w:space="0"/>
              <w:right w:val="single" w:color="000000" w:sz="4" w:space="0"/>
            </w:tcBorders>
          </w:tcPr>
          <w:p w14:paraId="7B2BCBE3">
            <w:pPr>
              <w:pStyle w:val="490"/>
              <w:kinsoku w:val="0"/>
              <w:overflowPunct w:val="0"/>
              <w:rPr>
                <w:rFonts w:ascii="Times New Roman" w:cs="Times New Roman"/>
                <w:color w:val="auto"/>
                <w:highlight w:val="none"/>
              </w:rPr>
            </w:pPr>
          </w:p>
        </w:tc>
        <w:tc>
          <w:tcPr>
            <w:tcW w:w="817" w:type="dxa"/>
            <w:tcBorders>
              <w:top w:val="single" w:color="000000" w:sz="4" w:space="0"/>
              <w:left w:val="single" w:color="000000" w:sz="4" w:space="0"/>
              <w:bottom w:val="single" w:color="000000" w:sz="4" w:space="0"/>
              <w:right w:val="single" w:color="000000" w:sz="4" w:space="0"/>
            </w:tcBorders>
          </w:tcPr>
          <w:p w14:paraId="5A39AF96">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7211EB86">
            <w:pPr>
              <w:pStyle w:val="490"/>
              <w:kinsoku w:val="0"/>
              <w:overflowPunct w:val="0"/>
              <w:rPr>
                <w:rFonts w:ascii="Times New Roman" w:cs="Times New Roman"/>
                <w:color w:val="auto"/>
                <w:highlight w:val="none"/>
              </w:rPr>
            </w:pPr>
          </w:p>
        </w:tc>
        <w:tc>
          <w:tcPr>
            <w:tcW w:w="1151" w:type="dxa"/>
            <w:tcBorders>
              <w:top w:val="single" w:color="000000" w:sz="4" w:space="0"/>
              <w:left w:val="single" w:color="000000" w:sz="4" w:space="0"/>
              <w:bottom w:val="single" w:color="000000" w:sz="4" w:space="0"/>
              <w:right w:val="single" w:color="000000" w:sz="4" w:space="0"/>
            </w:tcBorders>
          </w:tcPr>
          <w:p w14:paraId="3485724F">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7E7F19A3">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6D07735B">
            <w:pPr>
              <w:pStyle w:val="490"/>
              <w:kinsoku w:val="0"/>
              <w:overflowPunct w:val="0"/>
              <w:rPr>
                <w:rFonts w:ascii="Times New Roman" w:cs="Times New Roman"/>
                <w:color w:val="auto"/>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51E14EB0">
            <w:pPr>
              <w:pStyle w:val="490"/>
              <w:kinsoku w:val="0"/>
              <w:overflowPunct w:val="0"/>
              <w:rPr>
                <w:rFonts w:ascii="Times New Roman" w:cs="Times New Roman"/>
                <w:color w:val="auto"/>
                <w:highlight w:val="none"/>
              </w:rPr>
            </w:pPr>
          </w:p>
        </w:tc>
        <w:tc>
          <w:tcPr>
            <w:tcW w:w="1456" w:type="dxa"/>
            <w:tcBorders>
              <w:top w:val="single" w:color="000000" w:sz="4" w:space="0"/>
              <w:left w:val="single" w:color="000000" w:sz="4" w:space="0"/>
              <w:bottom w:val="single" w:color="000000" w:sz="4" w:space="0"/>
              <w:right w:val="single" w:color="000000" w:sz="4" w:space="0"/>
            </w:tcBorders>
          </w:tcPr>
          <w:p w14:paraId="4B948DAE">
            <w:pPr>
              <w:pStyle w:val="490"/>
              <w:kinsoku w:val="0"/>
              <w:overflowPunct w:val="0"/>
              <w:rPr>
                <w:rFonts w:ascii="Times New Roman" w:cs="Times New Roman"/>
                <w:color w:val="auto"/>
                <w:highlight w:val="none"/>
              </w:rPr>
            </w:pPr>
          </w:p>
        </w:tc>
      </w:tr>
      <w:tr w14:paraId="320B751F">
        <w:tblPrEx>
          <w:tblCellMar>
            <w:top w:w="0" w:type="dxa"/>
            <w:left w:w="0" w:type="dxa"/>
            <w:bottom w:w="0" w:type="dxa"/>
            <w:right w:w="0" w:type="dxa"/>
          </w:tblCellMar>
        </w:tblPrEx>
        <w:trPr>
          <w:trHeight w:val="662" w:hRule="atLeast"/>
          <w:jc w:val="center"/>
        </w:trPr>
        <w:tc>
          <w:tcPr>
            <w:tcW w:w="992" w:type="dxa"/>
            <w:tcBorders>
              <w:top w:val="single" w:color="000000" w:sz="4" w:space="0"/>
              <w:left w:val="single" w:color="000000" w:sz="4" w:space="0"/>
              <w:bottom w:val="single" w:color="000000" w:sz="4" w:space="0"/>
              <w:right w:val="single" w:color="000000" w:sz="4" w:space="0"/>
            </w:tcBorders>
          </w:tcPr>
          <w:p w14:paraId="7464C62E">
            <w:pPr>
              <w:pStyle w:val="490"/>
              <w:kinsoku w:val="0"/>
              <w:overflowPunct w:val="0"/>
              <w:rPr>
                <w:rFonts w:ascii="Times New Roman" w:cs="Times New Roman"/>
                <w:color w:val="auto"/>
                <w:highlight w:val="none"/>
              </w:rPr>
            </w:pPr>
          </w:p>
        </w:tc>
        <w:tc>
          <w:tcPr>
            <w:tcW w:w="831" w:type="dxa"/>
            <w:tcBorders>
              <w:top w:val="single" w:color="000000" w:sz="4" w:space="0"/>
              <w:left w:val="single" w:color="000000" w:sz="4" w:space="0"/>
              <w:bottom w:val="single" w:color="000000" w:sz="4" w:space="0"/>
              <w:right w:val="single" w:color="000000" w:sz="4" w:space="0"/>
            </w:tcBorders>
          </w:tcPr>
          <w:p w14:paraId="5913BCCF">
            <w:pPr>
              <w:pStyle w:val="490"/>
              <w:kinsoku w:val="0"/>
              <w:overflowPunct w:val="0"/>
              <w:rPr>
                <w:rFonts w:ascii="Times New Roman" w:cs="Times New Roman"/>
                <w:color w:val="auto"/>
                <w:highlight w:val="none"/>
              </w:rPr>
            </w:pPr>
          </w:p>
        </w:tc>
        <w:tc>
          <w:tcPr>
            <w:tcW w:w="817" w:type="dxa"/>
            <w:tcBorders>
              <w:top w:val="single" w:color="000000" w:sz="4" w:space="0"/>
              <w:left w:val="single" w:color="000000" w:sz="4" w:space="0"/>
              <w:bottom w:val="single" w:color="000000" w:sz="4" w:space="0"/>
              <w:right w:val="single" w:color="000000" w:sz="4" w:space="0"/>
            </w:tcBorders>
          </w:tcPr>
          <w:p w14:paraId="653F32D4">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448DE2DB">
            <w:pPr>
              <w:pStyle w:val="490"/>
              <w:kinsoku w:val="0"/>
              <w:overflowPunct w:val="0"/>
              <w:rPr>
                <w:rFonts w:ascii="Times New Roman" w:cs="Times New Roman"/>
                <w:color w:val="auto"/>
                <w:highlight w:val="none"/>
              </w:rPr>
            </w:pPr>
          </w:p>
        </w:tc>
        <w:tc>
          <w:tcPr>
            <w:tcW w:w="1151" w:type="dxa"/>
            <w:tcBorders>
              <w:top w:val="single" w:color="000000" w:sz="4" w:space="0"/>
              <w:left w:val="single" w:color="000000" w:sz="4" w:space="0"/>
              <w:bottom w:val="single" w:color="000000" w:sz="4" w:space="0"/>
              <w:right w:val="single" w:color="000000" w:sz="4" w:space="0"/>
            </w:tcBorders>
          </w:tcPr>
          <w:p w14:paraId="1244BE5C">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724777E1">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3ACEF63D">
            <w:pPr>
              <w:pStyle w:val="490"/>
              <w:kinsoku w:val="0"/>
              <w:overflowPunct w:val="0"/>
              <w:rPr>
                <w:rFonts w:ascii="Times New Roman" w:cs="Times New Roman"/>
                <w:color w:val="auto"/>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30C9539C">
            <w:pPr>
              <w:pStyle w:val="490"/>
              <w:kinsoku w:val="0"/>
              <w:overflowPunct w:val="0"/>
              <w:rPr>
                <w:rFonts w:ascii="Times New Roman" w:cs="Times New Roman"/>
                <w:color w:val="auto"/>
                <w:highlight w:val="none"/>
              </w:rPr>
            </w:pPr>
          </w:p>
        </w:tc>
        <w:tc>
          <w:tcPr>
            <w:tcW w:w="1456" w:type="dxa"/>
            <w:tcBorders>
              <w:top w:val="single" w:color="000000" w:sz="4" w:space="0"/>
              <w:left w:val="single" w:color="000000" w:sz="4" w:space="0"/>
              <w:bottom w:val="single" w:color="000000" w:sz="4" w:space="0"/>
              <w:right w:val="single" w:color="000000" w:sz="4" w:space="0"/>
            </w:tcBorders>
          </w:tcPr>
          <w:p w14:paraId="36994C28">
            <w:pPr>
              <w:pStyle w:val="490"/>
              <w:kinsoku w:val="0"/>
              <w:overflowPunct w:val="0"/>
              <w:rPr>
                <w:rFonts w:ascii="Times New Roman" w:cs="Times New Roman"/>
                <w:color w:val="auto"/>
                <w:highlight w:val="none"/>
              </w:rPr>
            </w:pPr>
          </w:p>
        </w:tc>
      </w:tr>
      <w:tr w14:paraId="1DE63128">
        <w:tblPrEx>
          <w:tblCellMar>
            <w:top w:w="0" w:type="dxa"/>
            <w:left w:w="0" w:type="dxa"/>
            <w:bottom w:w="0" w:type="dxa"/>
            <w:right w:w="0" w:type="dxa"/>
          </w:tblCellMar>
        </w:tblPrEx>
        <w:trPr>
          <w:trHeight w:val="659" w:hRule="atLeast"/>
          <w:jc w:val="center"/>
        </w:trPr>
        <w:tc>
          <w:tcPr>
            <w:tcW w:w="992" w:type="dxa"/>
            <w:tcBorders>
              <w:top w:val="single" w:color="000000" w:sz="4" w:space="0"/>
              <w:left w:val="single" w:color="000000" w:sz="4" w:space="0"/>
              <w:bottom w:val="single" w:color="000000" w:sz="4" w:space="0"/>
              <w:right w:val="single" w:color="000000" w:sz="4" w:space="0"/>
            </w:tcBorders>
          </w:tcPr>
          <w:p w14:paraId="7C98F0E3">
            <w:pPr>
              <w:pStyle w:val="490"/>
              <w:kinsoku w:val="0"/>
              <w:overflowPunct w:val="0"/>
              <w:rPr>
                <w:rFonts w:ascii="Times New Roman" w:cs="Times New Roman"/>
                <w:color w:val="auto"/>
                <w:highlight w:val="none"/>
              </w:rPr>
            </w:pPr>
          </w:p>
        </w:tc>
        <w:tc>
          <w:tcPr>
            <w:tcW w:w="831" w:type="dxa"/>
            <w:tcBorders>
              <w:top w:val="single" w:color="000000" w:sz="4" w:space="0"/>
              <w:left w:val="single" w:color="000000" w:sz="4" w:space="0"/>
              <w:bottom w:val="single" w:color="000000" w:sz="4" w:space="0"/>
              <w:right w:val="single" w:color="000000" w:sz="4" w:space="0"/>
            </w:tcBorders>
          </w:tcPr>
          <w:p w14:paraId="125E3160">
            <w:pPr>
              <w:pStyle w:val="490"/>
              <w:kinsoku w:val="0"/>
              <w:overflowPunct w:val="0"/>
              <w:rPr>
                <w:rFonts w:ascii="Times New Roman" w:cs="Times New Roman"/>
                <w:color w:val="auto"/>
                <w:highlight w:val="none"/>
              </w:rPr>
            </w:pPr>
          </w:p>
        </w:tc>
        <w:tc>
          <w:tcPr>
            <w:tcW w:w="817" w:type="dxa"/>
            <w:tcBorders>
              <w:top w:val="single" w:color="000000" w:sz="4" w:space="0"/>
              <w:left w:val="single" w:color="000000" w:sz="4" w:space="0"/>
              <w:bottom w:val="single" w:color="000000" w:sz="4" w:space="0"/>
              <w:right w:val="single" w:color="000000" w:sz="4" w:space="0"/>
            </w:tcBorders>
          </w:tcPr>
          <w:p w14:paraId="4298DB8F">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7D2BD2D0">
            <w:pPr>
              <w:pStyle w:val="490"/>
              <w:kinsoku w:val="0"/>
              <w:overflowPunct w:val="0"/>
              <w:rPr>
                <w:rFonts w:ascii="Times New Roman" w:cs="Times New Roman"/>
                <w:color w:val="auto"/>
                <w:highlight w:val="none"/>
              </w:rPr>
            </w:pPr>
          </w:p>
        </w:tc>
        <w:tc>
          <w:tcPr>
            <w:tcW w:w="1151" w:type="dxa"/>
            <w:tcBorders>
              <w:top w:val="single" w:color="000000" w:sz="4" w:space="0"/>
              <w:left w:val="single" w:color="000000" w:sz="4" w:space="0"/>
              <w:bottom w:val="single" w:color="000000" w:sz="4" w:space="0"/>
              <w:right w:val="single" w:color="000000" w:sz="4" w:space="0"/>
            </w:tcBorders>
          </w:tcPr>
          <w:p w14:paraId="15437BE9">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58F56758">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598A82AB">
            <w:pPr>
              <w:pStyle w:val="490"/>
              <w:kinsoku w:val="0"/>
              <w:overflowPunct w:val="0"/>
              <w:rPr>
                <w:rFonts w:ascii="Times New Roman" w:cs="Times New Roman"/>
                <w:color w:val="auto"/>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31C3C2F2">
            <w:pPr>
              <w:pStyle w:val="490"/>
              <w:kinsoku w:val="0"/>
              <w:overflowPunct w:val="0"/>
              <w:rPr>
                <w:rFonts w:ascii="Times New Roman" w:cs="Times New Roman"/>
                <w:color w:val="auto"/>
                <w:highlight w:val="none"/>
              </w:rPr>
            </w:pPr>
          </w:p>
        </w:tc>
        <w:tc>
          <w:tcPr>
            <w:tcW w:w="1456" w:type="dxa"/>
            <w:tcBorders>
              <w:top w:val="single" w:color="000000" w:sz="4" w:space="0"/>
              <w:left w:val="single" w:color="000000" w:sz="4" w:space="0"/>
              <w:bottom w:val="single" w:color="000000" w:sz="4" w:space="0"/>
              <w:right w:val="single" w:color="000000" w:sz="4" w:space="0"/>
            </w:tcBorders>
          </w:tcPr>
          <w:p w14:paraId="3E1A9C2D">
            <w:pPr>
              <w:pStyle w:val="490"/>
              <w:kinsoku w:val="0"/>
              <w:overflowPunct w:val="0"/>
              <w:rPr>
                <w:rFonts w:ascii="Times New Roman" w:cs="Times New Roman"/>
                <w:color w:val="auto"/>
                <w:highlight w:val="none"/>
              </w:rPr>
            </w:pPr>
          </w:p>
        </w:tc>
      </w:tr>
      <w:tr w14:paraId="62C2C5DE">
        <w:tblPrEx>
          <w:tblCellMar>
            <w:top w:w="0" w:type="dxa"/>
            <w:left w:w="0" w:type="dxa"/>
            <w:bottom w:w="0" w:type="dxa"/>
            <w:right w:w="0" w:type="dxa"/>
          </w:tblCellMar>
        </w:tblPrEx>
        <w:trPr>
          <w:trHeight w:val="659" w:hRule="atLeast"/>
          <w:jc w:val="center"/>
        </w:trPr>
        <w:tc>
          <w:tcPr>
            <w:tcW w:w="992" w:type="dxa"/>
            <w:tcBorders>
              <w:top w:val="single" w:color="000000" w:sz="4" w:space="0"/>
              <w:left w:val="single" w:color="000000" w:sz="4" w:space="0"/>
              <w:bottom w:val="single" w:color="000000" w:sz="4" w:space="0"/>
              <w:right w:val="single" w:color="000000" w:sz="4" w:space="0"/>
            </w:tcBorders>
          </w:tcPr>
          <w:p w14:paraId="22F897F6">
            <w:pPr>
              <w:pStyle w:val="490"/>
              <w:kinsoku w:val="0"/>
              <w:overflowPunct w:val="0"/>
              <w:rPr>
                <w:rFonts w:ascii="Times New Roman" w:cs="Times New Roman"/>
                <w:color w:val="auto"/>
                <w:highlight w:val="none"/>
              </w:rPr>
            </w:pPr>
          </w:p>
        </w:tc>
        <w:tc>
          <w:tcPr>
            <w:tcW w:w="831" w:type="dxa"/>
            <w:tcBorders>
              <w:top w:val="single" w:color="000000" w:sz="4" w:space="0"/>
              <w:left w:val="single" w:color="000000" w:sz="4" w:space="0"/>
              <w:bottom w:val="single" w:color="000000" w:sz="4" w:space="0"/>
              <w:right w:val="single" w:color="000000" w:sz="4" w:space="0"/>
            </w:tcBorders>
          </w:tcPr>
          <w:p w14:paraId="35EA7655">
            <w:pPr>
              <w:pStyle w:val="490"/>
              <w:kinsoku w:val="0"/>
              <w:overflowPunct w:val="0"/>
              <w:rPr>
                <w:rFonts w:ascii="Times New Roman" w:cs="Times New Roman"/>
                <w:color w:val="auto"/>
                <w:highlight w:val="none"/>
              </w:rPr>
            </w:pPr>
          </w:p>
        </w:tc>
        <w:tc>
          <w:tcPr>
            <w:tcW w:w="817" w:type="dxa"/>
            <w:tcBorders>
              <w:top w:val="single" w:color="000000" w:sz="4" w:space="0"/>
              <w:left w:val="single" w:color="000000" w:sz="4" w:space="0"/>
              <w:bottom w:val="single" w:color="000000" w:sz="4" w:space="0"/>
              <w:right w:val="single" w:color="000000" w:sz="4" w:space="0"/>
            </w:tcBorders>
          </w:tcPr>
          <w:p w14:paraId="7ECA7D08">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392B9A29">
            <w:pPr>
              <w:pStyle w:val="490"/>
              <w:kinsoku w:val="0"/>
              <w:overflowPunct w:val="0"/>
              <w:rPr>
                <w:rFonts w:ascii="Times New Roman" w:cs="Times New Roman"/>
                <w:color w:val="auto"/>
                <w:highlight w:val="none"/>
              </w:rPr>
            </w:pPr>
          </w:p>
        </w:tc>
        <w:tc>
          <w:tcPr>
            <w:tcW w:w="1151" w:type="dxa"/>
            <w:tcBorders>
              <w:top w:val="single" w:color="000000" w:sz="4" w:space="0"/>
              <w:left w:val="single" w:color="000000" w:sz="4" w:space="0"/>
              <w:bottom w:val="single" w:color="000000" w:sz="4" w:space="0"/>
              <w:right w:val="single" w:color="000000" w:sz="4" w:space="0"/>
            </w:tcBorders>
          </w:tcPr>
          <w:p w14:paraId="58C5F348">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3D12E992">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19976CC5">
            <w:pPr>
              <w:pStyle w:val="490"/>
              <w:kinsoku w:val="0"/>
              <w:overflowPunct w:val="0"/>
              <w:rPr>
                <w:rFonts w:ascii="Times New Roman" w:cs="Times New Roman"/>
                <w:color w:val="auto"/>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6134762A">
            <w:pPr>
              <w:pStyle w:val="490"/>
              <w:kinsoku w:val="0"/>
              <w:overflowPunct w:val="0"/>
              <w:rPr>
                <w:rFonts w:ascii="Times New Roman" w:cs="Times New Roman"/>
                <w:color w:val="auto"/>
                <w:highlight w:val="none"/>
              </w:rPr>
            </w:pPr>
          </w:p>
        </w:tc>
        <w:tc>
          <w:tcPr>
            <w:tcW w:w="1456" w:type="dxa"/>
            <w:tcBorders>
              <w:top w:val="single" w:color="000000" w:sz="4" w:space="0"/>
              <w:left w:val="single" w:color="000000" w:sz="4" w:space="0"/>
              <w:bottom w:val="single" w:color="000000" w:sz="4" w:space="0"/>
              <w:right w:val="single" w:color="000000" w:sz="4" w:space="0"/>
            </w:tcBorders>
          </w:tcPr>
          <w:p w14:paraId="34A616BB">
            <w:pPr>
              <w:pStyle w:val="490"/>
              <w:kinsoku w:val="0"/>
              <w:overflowPunct w:val="0"/>
              <w:rPr>
                <w:rFonts w:ascii="Times New Roman" w:cs="Times New Roman"/>
                <w:color w:val="auto"/>
                <w:highlight w:val="none"/>
              </w:rPr>
            </w:pPr>
          </w:p>
        </w:tc>
      </w:tr>
      <w:tr w14:paraId="35A74A17">
        <w:tblPrEx>
          <w:tblCellMar>
            <w:top w:w="0" w:type="dxa"/>
            <w:left w:w="0" w:type="dxa"/>
            <w:bottom w:w="0" w:type="dxa"/>
            <w:right w:w="0" w:type="dxa"/>
          </w:tblCellMar>
        </w:tblPrEx>
        <w:trPr>
          <w:trHeight w:val="660" w:hRule="atLeast"/>
          <w:jc w:val="center"/>
        </w:trPr>
        <w:tc>
          <w:tcPr>
            <w:tcW w:w="992" w:type="dxa"/>
            <w:tcBorders>
              <w:top w:val="single" w:color="000000" w:sz="4" w:space="0"/>
              <w:left w:val="single" w:color="000000" w:sz="4" w:space="0"/>
              <w:bottom w:val="single" w:color="000000" w:sz="4" w:space="0"/>
              <w:right w:val="single" w:color="000000" w:sz="4" w:space="0"/>
            </w:tcBorders>
          </w:tcPr>
          <w:p w14:paraId="652DCFDB">
            <w:pPr>
              <w:pStyle w:val="490"/>
              <w:kinsoku w:val="0"/>
              <w:overflowPunct w:val="0"/>
              <w:rPr>
                <w:rFonts w:ascii="Times New Roman" w:cs="Times New Roman"/>
                <w:color w:val="auto"/>
                <w:highlight w:val="none"/>
              </w:rPr>
            </w:pPr>
          </w:p>
        </w:tc>
        <w:tc>
          <w:tcPr>
            <w:tcW w:w="831" w:type="dxa"/>
            <w:tcBorders>
              <w:top w:val="single" w:color="000000" w:sz="4" w:space="0"/>
              <w:left w:val="single" w:color="000000" w:sz="4" w:space="0"/>
              <w:bottom w:val="single" w:color="000000" w:sz="4" w:space="0"/>
              <w:right w:val="single" w:color="000000" w:sz="4" w:space="0"/>
            </w:tcBorders>
          </w:tcPr>
          <w:p w14:paraId="298BE837">
            <w:pPr>
              <w:pStyle w:val="490"/>
              <w:kinsoku w:val="0"/>
              <w:overflowPunct w:val="0"/>
              <w:rPr>
                <w:rFonts w:ascii="Times New Roman" w:cs="Times New Roman"/>
                <w:color w:val="auto"/>
                <w:highlight w:val="none"/>
              </w:rPr>
            </w:pPr>
          </w:p>
        </w:tc>
        <w:tc>
          <w:tcPr>
            <w:tcW w:w="817" w:type="dxa"/>
            <w:tcBorders>
              <w:top w:val="single" w:color="000000" w:sz="4" w:space="0"/>
              <w:left w:val="single" w:color="000000" w:sz="4" w:space="0"/>
              <w:bottom w:val="single" w:color="000000" w:sz="4" w:space="0"/>
              <w:right w:val="single" w:color="000000" w:sz="4" w:space="0"/>
            </w:tcBorders>
          </w:tcPr>
          <w:p w14:paraId="77584FC8">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11F9A8A4">
            <w:pPr>
              <w:pStyle w:val="490"/>
              <w:kinsoku w:val="0"/>
              <w:overflowPunct w:val="0"/>
              <w:rPr>
                <w:rFonts w:ascii="Times New Roman" w:cs="Times New Roman"/>
                <w:color w:val="auto"/>
                <w:highlight w:val="none"/>
              </w:rPr>
            </w:pPr>
          </w:p>
        </w:tc>
        <w:tc>
          <w:tcPr>
            <w:tcW w:w="1151" w:type="dxa"/>
            <w:tcBorders>
              <w:top w:val="single" w:color="000000" w:sz="4" w:space="0"/>
              <w:left w:val="single" w:color="000000" w:sz="4" w:space="0"/>
              <w:bottom w:val="single" w:color="000000" w:sz="4" w:space="0"/>
              <w:right w:val="single" w:color="000000" w:sz="4" w:space="0"/>
            </w:tcBorders>
          </w:tcPr>
          <w:p w14:paraId="31C74E28">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460E1F4F">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26D3FE2E">
            <w:pPr>
              <w:pStyle w:val="490"/>
              <w:kinsoku w:val="0"/>
              <w:overflowPunct w:val="0"/>
              <w:rPr>
                <w:rFonts w:ascii="Times New Roman" w:cs="Times New Roman"/>
                <w:color w:val="auto"/>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2DCAF471">
            <w:pPr>
              <w:pStyle w:val="490"/>
              <w:kinsoku w:val="0"/>
              <w:overflowPunct w:val="0"/>
              <w:rPr>
                <w:rFonts w:ascii="Times New Roman" w:cs="Times New Roman"/>
                <w:color w:val="auto"/>
                <w:highlight w:val="none"/>
              </w:rPr>
            </w:pPr>
          </w:p>
        </w:tc>
        <w:tc>
          <w:tcPr>
            <w:tcW w:w="1456" w:type="dxa"/>
            <w:tcBorders>
              <w:top w:val="single" w:color="000000" w:sz="4" w:space="0"/>
              <w:left w:val="single" w:color="000000" w:sz="4" w:space="0"/>
              <w:bottom w:val="single" w:color="000000" w:sz="4" w:space="0"/>
              <w:right w:val="single" w:color="000000" w:sz="4" w:space="0"/>
            </w:tcBorders>
          </w:tcPr>
          <w:p w14:paraId="5E1062B3">
            <w:pPr>
              <w:pStyle w:val="490"/>
              <w:kinsoku w:val="0"/>
              <w:overflowPunct w:val="0"/>
              <w:rPr>
                <w:rFonts w:ascii="Times New Roman" w:cs="Times New Roman"/>
                <w:color w:val="auto"/>
                <w:highlight w:val="none"/>
              </w:rPr>
            </w:pPr>
          </w:p>
        </w:tc>
      </w:tr>
      <w:tr w14:paraId="19616657">
        <w:tblPrEx>
          <w:tblCellMar>
            <w:top w:w="0" w:type="dxa"/>
            <w:left w:w="0" w:type="dxa"/>
            <w:bottom w:w="0" w:type="dxa"/>
            <w:right w:w="0" w:type="dxa"/>
          </w:tblCellMar>
        </w:tblPrEx>
        <w:trPr>
          <w:trHeight w:val="659" w:hRule="atLeast"/>
          <w:jc w:val="center"/>
        </w:trPr>
        <w:tc>
          <w:tcPr>
            <w:tcW w:w="992" w:type="dxa"/>
            <w:tcBorders>
              <w:top w:val="single" w:color="000000" w:sz="4" w:space="0"/>
              <w:left w:val="single" w:color="000000" w:sz="4" w:space="0"/>
              <w:bottom w:val="single" w:color="000000" w:sz="4" w:space="0"/>
              <w:right w:val="single" w:color="000000" w:sz="4" w:space="0"/>
            </w:tcBorders>
          </w:tcPr>
          <w:p w14:paraId="6DD21EC2">
            <w:pPr>
              <w:pStyle w:val="490"/>
              <w:kinsoku w:val="0"/>
              <w:overflowPunct w:val="0"/>
              <w:rPr>
                <w:rFonts w:ascii="Times New Roman" w:cs="Times New Roman"/>
                <w:color w:val="auto"/>
                <w:highlight w:val="none"/>
              </w:rPr>
            </w:pPr>
          </w:p>
        </w:tc>
        <w:tc>
          <w:tcPr>
            <w:tcW w:w="831" w:type="dxa"/>
            <w:tcBorders>
              <w:top w:val="single" w:color="000000" w:sz="4" w:space="0"/>
              <w:left w:val="single" w:color="000000" w:sz="4" w:space="0"/>
              <w:bottom w:val="single" w:color="000000" w:sz="4" w:space="0"/>
              <w:right w:val="single" w:color="000000" w:sz="4" w:space="0"/>
            </w:tcBorders>
          </w:tcPr>
          <w:p w14:paraId="30F2E07A">
            <w:pPr>
              <w:pStyle w:val="490"/>
              <w:kinsoku w:val="0"/>
              <w:overflowPunct w:val="0"/>
              <w:rPr>
                <w:rFonts w:ascii="Times New Roman" w:cs="Times New Roman"/>
                <w:color w:val="auto"/>
                <w:highlight w:val="none"/>
              </w:rPr>
            </w:pPr>
          </w:p>
        </w:tc>
        <w:tc>
          <w:tcPr>
            <w:tcW w:w="817" w:type="dxa"/>
            <w:tcBorders>
              <w:top w:val="single" w:color="000000" w:sz="4" w:space="0"/>
              <w:left w:val="single" w:color="000000" w:sz="4" w:space="0"/>
              <w:bottom w:val="single" w:color="000000" w:sz="4" w:space="0"/>
              <w:right w:val="single" w:color="000000" w:sz="4" w:space="0"/>
            </w:tcBorders>
          </w:tcPr>
          <w:p w14:paraId="709A86A7">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732CA8CE">
            <w:pPr>
              <w:pStyle w:val="490"/>
              <w:kinsoku w:val="0"/>
              <w:overflowPunct w:val="0"/>
              <w:rPr>
                <w:rFonts w:ascii="Times New Roman" w:cs="Times New Roman"/>
                <w:color w:val="auto"/>
                <w:highlight w:val="none"/>
              </w:rPr>
            </w:pPr>
          </w:p>
        </w:tc>
        <w:tc>
          <w:tcPr>
            <w:tcW w:w="1151" w:type="dxa"/>
            <w:tcBorders>
              <w:top w:val="single" w:color="000000" w:sz="4" w:space="0"/>
              <w:left w:val="single" w:color="000000" w:sz="4" w:space="0"/>
              <w:bottom w:val="single" w:color="000000" w:sz="4" w:space="0"/>
              <w:right w:val="single" w:color="000000" w:sz="4" w:space="0"/>
            </w:tcBorders>
          </w:tcPr>
          <w:p w14:paraId="1354D5A8">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38955A62">
            <w:pPr>
              <w:pStyle w:val="490"/>
              <w:kinsoku w:val="0"/>
              <w:overflowPunct w:val="0"/>
              <w:rPr>
                <w:rFonts w:ascii="Times New Roman" w:cs="Times New Roman"/>
                <w:color w:val="auto"/>
                <w:highlight w:val="none"/>
              </w:rPr>
            </w:pPr>
          </w:p>
        </w:tc>
        <w:tc>
          <w:tcPr>
            <w:tcW w:w="1148" w:type="dxa"/>
            <w:tcBorders>
              <w:top w:val="single" w:color="000000" w:sz="4" w:space="0"/>
              <w:left w:val="single" w:color="000000" w:sz="4" w:space="0"/>
              <w:bottom w:val="single" w:color="000000" w:sz="4" w:space="0"/>
              <w:right w:val="single" w:color="000000" w:sz="4" w:space="0"/>
            </w:tcBorders>
          </w:tcPr>
          <w:p w14:paraId="54B93EF6">
            <w:pPr>
              <w:pStyle w:val="490"/>
              <w:kinsoku w:val="0"/>
              <w:overflowPunct w:val="0"/>
              <w:rPr>
                <w:rFonts w:ascii="Times New Roman" w:cs="Times New Roman"/>
                <w:color w:val="auto"/>
                <w:highlight w:val="none"/>
              </w:rPr>
            </w:pPr>
          </w:p>
        </w:tc>
        <w:tc>
          <w:tcPr>
            <w:tcW w:w="851" w:type="dxa"/>
            <w:tcBorders>
              <w:top w:val="single" w:color="000000" w:sz="4" w:space="0"/>
              <w:left w:val="single" w:color="000000" w:sz="4" w:space="0"/>
              <w:bottom w:val="single" w:color="000000" w:sz="4" w:space="0"/>
              <w:right w:val="single" w:color="000000" w:sz="4" w:space="0"/>
            </w:tcBorders>
          </w:tcPr>
          <w:p w14:paraId="61B149A4">
            <w:pPr>
              <w:pStyle w:val="490"/>
              <w:kinsoku w:val="0"/>
              <w:overflowPunct w:val="0"/>
              <w:rPr>
                <w:rFonts w:ascii="Times New Roman" w:cs="Times New Roman"/>
                <w:color w:val="auto"/>
                <w:highlight w:val="none"/>
              </w:rPr>
            </w:pPr>
          </w:p>
        </w:tc>
        <w:tc>
          <w:tcPr>
            <w:tcW w:w="1456" w:type="dxa"/>
            <w:tcBorders>
              <w:top w:val="single" w:color="000000" w:sz="4" w:space="0"/>
              <w:left w:val="single" w:color="000000" w:sz="4" w:space="0"/>
              <w:bottom w:val="single" w:color="000000" w:sz="4" w:space="0"/>
              <w:right w:val="single" w:color="000000" w:sz="4" w:space="0"/>
            </w:tcBorders>
          </w:tcPr>
          <w:p w14:paraId="69631675">
            <w:pPr>
              <w:pStyle w:val="490"/>
              <w:kinsoku w:val="0"/>
              <w:overflowPunct w:val="0"/>
              <w:rPr>
                <w:rFonts w:ascii="Times New Roman" w:cs="Times New Roman"/>
                <w:color w:val="auto"/>
                <w:highlight w:val="none"/>
              </w:rPr>
            </w:pPr>
          </w:p>
        </w:tc>
      </w:tr>
      <w:tr w14:paraId="78B9ED89">
        <w:tblPrEx>
          <w:tblCellMar>
            <w:top w:w="0" w:type="dxa"/>
            <w:left w:w="0" w:type="dxa"/>
            <w:bottom w:w="0" w:type="dxa"/>
            <w:right w:w="0" w:type="dxa"/>
          </w:tblCellMar>
        </w:tblPrEx>
        <w:trPr>
          <w:trHeight w:val="1250" w:hRule="atLeast"/>
          <w:jc w:val="center"/>
        </w:trPr>
        <w:tc>
          <w:tcPr>
            <w:tcW w:w="9542" w:type="dxa"/>
            <w:gridSpan w:val="9"/>
            <w:tcBorders>
              <w:top w:val="single" w:color="000000" w:sz="4" w:space="0"/>
              <w:left w:val="single" w:color="000000" w:sz="4" w:space="0"/>
              <w:bottom w:val="single" w:color="000000" w:sz="4" w:space="0"/>
              <w:right w:val="single" w:color="000000" w:sz="4" w:space="0"/>
            </w:tcBorders>
          </w:tcPr>
          <w:p w14:paraId="489FD74B">
            <w:pPr>
              <w:pStyle w:val="490"/>
              <w:kinsoku w:val="0"/>
              <w:overflowPunct w:val="0"/>
              <w:spacing w:before="11"/>
              <w:rPr>
                <w:color w:val="auto"/>
                <w:sz w:val="19"/>
                <w:szCs w:val="19"/>
                <w:highlight w:val="none"/>
              </w:rPr>
            </w:pPr>
          </w:p>
          <w:p w14:paraId="37134139">
            <w:pPr>
              <w:pStyle w:val="490"/>
              <w:kinsoku w:val="0"/>
              <w:overflowPunct w:val="0"/>
              <w:spacing w:before="1" w:line="417" w:lineRule="auto"/>
              <w:ind w:left="108" w:right="108"/>
              <w:rPr>
                <w:color w:val="auto"/>
                <w:sz w:val="21"/>
                <w:szCs w:val="21"/>
                <w:highlight w:val="none"/>
              </w:rPr>
            </w:pPr>
            <w:r>
              <w:rPr>
                <w:rFonts w:hint="eastAsia"/>
                <w:color w:val="auto"/>
                <w:sz w:val="21"/>
                <w:szCs w:val="21"/>
                <w:highlight w:val="none"/>
              </w:rPr>
              <w:t>一旦我单位成交，将实行项目经理负责制，我方保证并配备上述项目管理机构。上述填报内容真实，若不真实，愿按有关规定接受处理。（人员证书另附。）</w:t>
            </w:r>
          </w:p>
        </w:tc>
      </w:tr>
    </w:tbl>
    <w:p w14:paraId="0FDAAC11">
      <w:pPr>
        <w:pStyle w:val="20"/>
        <w:kinsoku w:val="0"/>
        <w:overflowPunct w:val="0"/>
        <w:rPr>
          <w:color w:val="auto"/>
          <w:szCs w:val="20"/>
          <w:highlight w:val="none"/>
        </w:rPr>
      </w:pPr>
    </w:p>
    <w:p w14:paraId="5307AF10">
      <w:pPr>
        <w:pStyle w:val="20"/>
        <w:kinsoku w:val="0"/>
        <w:overflowPunct w:val="0"/>
        <w:rPr>
          <w:color w:val="auto"/>
          <w:sz w:val="23"/>
          <w:szCs w:val="23"/>
          <w:highlight w:val="none"/>
        </w:rPr>
      </w:pPr>
    </w:p>
    <w:p w14:paraId="68D3DD10">
      <w:pPr>
        <w:pStyle w:val="20"/>
        <w:tabs>
          <w:tab w:val="left" w:pos="3042"/>
          <w:tab w:val="left" w:pos="5402"/>
          <w:tab w:val="left" w:pos="5604"/>
        </w:tabs>
        <w:kinsoku w:val="0"/>
        <w:overflowPunct w:val="0"/>
        <w:spacing w:before="1" w:line="364" w:lineRule="auto"/>
        <w:ind w:left="546" w:right="4539"/>
        <w:rPr>
          <w:color w:val="auto"/>
          <w:sz w:val="24"/>
          <w:highlight w:val="none"/>
          <w:u w:val="single"/>
        </w:rPr>
      </w:pPr>
      <w:r>
        <w:rPr>
          <w:rFonts w:hint="eastAsia"/>
          <w:color w:val="auto"/>
          <w:sz w:val="24"/>
          <w:highlight w:val="none"/>
        </w:rPr>
        <w:t>法定代表人或者委托代理人</w:t>
      </w:r>
      <w:r>
        <w:rPr>
          <w:rFonts w:hint="eastAsia"/>
          <w:color w:val="auto"/>
          <w:spacing w:val="38"/>
          <w:sz w:val="24"/>
          <w:highlight w:val="none"/>
        </w:rPr>
        <w:t>签</w:t>
      </w:r>
      <w:r>
        <w:rPr>
          <w:rFonts w:hint="eastAsia"/>
          <w:color w:val="auto"/>
          <w:spacing w:val="40"/>
          <w:sz w:val="24"/>
          <w:highlight w:val="none"/>
        </w:rPr>
        <w:t>字</w:t>
      </w:r>
      <w:r>
        <w:rPr>
          <w:rFonts w:hint="eastAsia"/>
          <w:color w:val="auto"/>
          <w:sz w:val="24"/>
          <w:highlight w:val="none"/>
        </w:rPr>
        <w:t>：</w:t>
      </w:r>
      <w:r>
        <w:rPr>
          <w:color w:val="auto"/>
          <w:spacing w:val="-79"/>
          <w:sz w:val="24"/>
          <w:highlight w:val="none"/>
        </w:rPr>
        <w:t xml:space="preserve"> </w:t>
      </w:r>
      <w:r>
        <w:rPr>
          <w:color w:val="auto"/>
          <w:sz w:val="24"/>
          <w:highlight w:val="none"/>
          <w:u w:val="single"/>
        </w:rPr>
        <w:t xml:space="preserve"> </w:t>
      </w:r>
      <w:r>
        <w:rPr>
          <w:color w:val="auto"/>
          <w:sz w:val="24"/>
          <w:highlight w:val="none"/>
          <w:u w:val="single"/>
        </w:rPr>
        <w:tab/>
      </w:r>
      <w:r>
        <w:rPr>
          <w:color w:val="auto"/>
          <w:sz w:val="24"/>
          <w:highlight w:val="none"/>
          <w:u w:val="single"/>
        </w:rPr>
        <w:tab/>
      </w:r>
      <w:r>
        <w:rPr>
          <w:color w:val="auto"/>
          <w:sz w:val="24"/>
          <w:highlight w:val="none"/>
          <w:u w:val="single"/>
        </w:rPr>
        <w:t xml:space="preserve"> </w:t>
      </w:r>
    </w:p>
    <w:p w14:paraId="22D4B05E">
      <w:pPr>
        <w:pStyle w:val="20"/>
        <w:tabs>
          <w:tab w:val="left" w:pos="3042"/>
          <w:tab w:val="left" w:pos="5402"/>
          <w:tab w:val="left" w:pos="5604"/>
        </w:tabs>
        <w:kinsoku w:val="0"/>
        <w:overflowPunct w:val="0"/>
        <w:spacing w:before="1" w:line="364" w:lineRule="auto"/>
        <w:ind w:left="546" w:right="4539"/>
        <w:rPr>
          <w:color w:val="auto"/>
          <w:sz w:val="24"/>
          <w:highlight w:val="none"/>
          <w:u w:val="single"/>
        </w:rPr>
      </w:pPr>
      <w:r>
        <w:rPr>
          <w:rFonts w:hint="eastAsia"/>
          <w:color w:val="auto"/>
          <w:sz w:val="24"/>
          <w:highlight w:val="none"/>
        </w:rPr>
        <w:t>供应商名称（</w:t>
      </w:r>
      <w:r>
        <w:rPr>
          <w:color w:val="auto"/>
          <w:spacing w:val="-82"/>
          <w:sz w:val="24"/>
          <w:highlight w:val="none"/>
        </w:rPr>
        <w:t xml:space="preserve"> </w:t>
      </w:r>
      <w:r>
        <w:rPr>
          <w:rFonts w:hint="eastAsia" w:ascii="宋体" w:hAnsi="宋体" w:cs="仿宋_GB2312"/>
          <w:color w:val="auto"/>
          <w:sz w:val="24"/>
          <w:highlight w:val="none"/>
        </w:rPr>
        <w:t>电子签章</w:t>
      </w:r>
      <w:r>
        <w:rPr>
          <w:rFonts w:hint="eastAsia"/>
          <w:color w:val="auto"/>
          <w:sz w:val="24"/>
          <w:highlight w:val="none"/>
        </w:rPr>
        <w:t>）</w:t>
      </w:r>
      <w:r>
        <w:rPr>
          <w:color w:val="auto"/>
          <w:spacing w:val="-82"/>
          <w:sz w:val="24"/>
          <w:highlight w:val="none"/>
        </w:rPr>
        <w:t xml:space="preserve"> </w:t>
      </w:r>
      <w:r>
        <w:rPr>
          <w:rFonts w:hint="eastAsia"/>
          <w:color w:val="auto"/>
          <w:sz w:val="24"/>
          <w:highlight w:val="none"/>
        </w:rPr>
        <w:t>：</w:t>
      </w:r>
      <w:r>
        <w:rPr>
          <w:color w:val="auto"/>
          <w:spacing w:val="-78"/>
          <w:sz w:val="24"/>
          <w:highlight w:val="none"/>
        </w:rPr>
        <w:t xml:space="preserve"> </w:t>
      </w:r>
      <w:r>
        <w:rPr>
          <w:color w:val="auto"/>
          <w:sz w:val="24"/>
          <w:highlight w:val="none"/>
          <w:u w:val="single"/>
        </w:rPr>
        <w:t xml:space="preserve"> </w:t>
      </w:r>
      <w:r>
        <w:rPr>
          <w:color w:val="auto"/>
          <w:sz w:val="24"/>
          <w:highlight w:val="none"/>
          <w:u w:val="single"/>
        </w:rPr>
        <w:tab/>
      </w:r>
      <w:r>
        <w:rPr>
          <w:color w:val="auto"/>
          <w:sz w:val="24"/>
          <w:highlight w:val="none"/>
          <w:u w:val="single"/>
        </w:rPr>
        <w:t xml:space="preserve"> </w:t>
      </w:r>
    </w:p>
    <w:p w14:paraId="547EBBCC">
      <w:pPr>
        <w:pStyle w:val="20"/>
        <w:tabs>
          <w:tab w:val="left" w:pos="3042"/>
          <w:tab w:val="left" w:pos="5402"/>
          <w:tab w:val="left" w:pos="5604"/>
        </w:tabs>
        <w:kinsoku w:val="0"/>
        <w:overflowPunct w:val="0"/>
        <w:spacing w:before="1" w:line="364" w:lineRule="auto"/>
        <w:ind w:left="546" w:right="4539"/>
        <w:rPr>
          <w:color w:val="auto"/>
          <w:sz w:val="24"/>
          <w:highlight w:val="none"/>
        </w:rPr>
      </w:pPr>
      <w:r>
        <w:rPr>
          <w:rFonts w:hint="eastAsia"/>
          <w:color w:val="auto"/>
          <w:sz w:val="24"/>
          <w:highlight w:val="none"/>
        </w:rPr>
        <w:t>日</w:t>
      </w:r>
      <w:r>
        <w:rPr>
          <w:color w:val="auto"/>
          <w:spacing w:val="79"/>
          <w:sz w:val="24"/>
          <w:highlight w:val="none"/>
        </w:rPr>
        <w:t xml:space="preserve"> </w:t>
      </w:r>
      <w:r>
        <w:rPr>
          <w:rFonts w:hint="eastAsia"/>
          <w:color w:val="auto"/>
          <w:spacing w:val="40"/>
          <w:sz w:val="24"/>
          <w:highlight w:val="none"/>
        </w:rPr>
        <w:t>期</w:t>
      </w:r>
      <w:r>
        <w:rPr>
          <w:rFonts w:hint="eastAsia"/>
          <w:color w:val="auto"/>
          <w:sz w:val="24"/>
          <w:highlight w:val="none"/>
        </w:rPr>
        <w:t>：</w:t>
      </w:r>
      <w:r>
        <w:rPr>
          <w:color w:val="auto"/>
          <w:spacing w:val="-82"/>
          <w:sz w:val="24"/>
          <w:highlight w:val="none"/>
        </w:rPr>
        <w:t xml:space="preserve"> </w:t>
      </w:r>
      <w:r>
        <w:rPr>
          <w:color w:val="auto"/>
          <w:sz w:val="24"/>
          <w:highlight w:val="none"/>
          <w:u w:val="single"/>
        </w:rPr>
        <w:t xml:space="preserve"> </w:t>
      </w:r>
      <w:r>
        <w:rPr>
          <w:color w:val="auto"/>
          <w:sz w:val="24"/>
          <w:highlight w:val="none"/>
          <w:u w:val="single"/>
        </w:rPr>
        <w:tab/>
      </w:r>
    </w:p>
    <w:p w14:paraId="1CF75D0D">
      <w:pPr>
        <w:pStyle w:val="20"/>
        <w:tabs>
          <w:tab w:val="left" w:pos="3042"/>
          <w:tab w:val="left" w:pos="5402"/>
          <w:tab w:val="left" w:pos="5604"/>
        </w:tabs>
        <w:kinsoku w:val="0"/>
        <w:overflowPunct w:val="0"/>
        <w:spacing w:before="1" w:line="364" w:lineRule="auto"/>
        <w:ind w:left="546" w:right="4539"/>
        <w:rPr>
          <w:color w:val="auto"/>
          <w:sz w:val="24"/>
          <w:highlight w:val="none"/>
        </w:rPr>
        <w:sectPr>
          <w:pgSz w:w="11910" w:h="16840"/>
          <w:pgMar w:top="1440" w:right="1080" w:bottom="1440" w:left="1500" w:header="737" w:footer="1198" w:gutter="0"/>
          <w:pgNumType w:fmt="decimal"/>
          <w:cols w:space="720" w:num="1"/>
        </w:sectPr>
      </w:pPr>
    </w:p>
    <w:p w14:paraId="58B96A54">
      <w:pPr>
        <w:spacing w:line="360" w:lineRule="auto"/>
        <w:jc w:val="center"/>
        <w:rPr>
          <w:rFonts w:ascii="宋体" w:hAnsi="宋体" w:cs="宋体"/>
          <w:color w:val="auto"/>
          <w:sz w:val="32"/>
          <w:szCs w:val="32"/>
          <w:highlight w:val="none"/>
        </w:rPr>
      </w:pPr>
      <w:r>
        <w:rPr>
          <w:rFonts w:hint="eastAsia" w:ascii="宋体" w:hAnsi="宋体" w:cs="宋体"/>
          <w:b/>
          <w:bCs/>
          <w:color w:val="auto"/>
          <w:sz w:val="32"/>
          <w:szCs w:val="32"/>
          <w:highlight w:val="none"/>
        </w:rPr>
        <w:t>11.供应商廉政承诺</w:t>
      </w:r>
    </w:p>
    <w:p w14:paraId="5C30F19B">
      <w:pPr>
        <w:spacing w:line="360" w:lineRule="auto"/>
        <w:rPr>
          <w:rFonts w:ascii="宋体" w:hAnsi="宋体" w:cs="仿宋_GB2312"/>
          <w:color w:val="auto"/>
          <w:sz w:val="24"/>
          <w:highlight w:val="none"/>
        </w:rPr>
      </w:pPr>
    </w:p>
    <w:p w14:paraId="5CB1A006">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一、不与招标代理机构、采购人及其工作人员勾连操作项目中标。</w:t>
      </w:r>
    </w:p>
    <w:p w14:paraId="2554E26B">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二、不以任何形式向采购人及其工作人员送礼金、银行卡、有价证券、支付凭证和礼品等。</w:t>
      </w:r>
    </w:p>
    <w:p w14:paraId="447EED5A">
      <w:pPr>
        <w:widowControl/>
        <w:spacing w:line="360" w:lineRule="auto"/>
        <w:ind w:left="479" w:leftChars="228"/>
        <w:rPr>
          <w:rFonts w:ascii="宋体" w:hAnsi="宋体" w:cs="仿宋_GB2312"/>
          <w:color w:val="auto"/>
          <w:sz w:val="24"/>
          <w:highlight w:val="none"/>
        </w:rPr>
      </w:pPr>
      <w:r>
        <w:rPr>
          <w:rFonts w:hint="eastAsia" w:ascii="宋体" w:hAnsi="宋体" w:cs="仿宋_GB2312"/>
          <w:color w:val="auto"/>
          <w:sz w:val="24"/>
          <w:highlight w:val="none"/>
        </w:rPr>
        <w:t>三、不支付采购人及其工作人员以咨询费、劳务费、回扣费等名义索要的各种费用，</w:t>
      </w:r>
    </w:p>
    <w:p w14:paraId="54645E4D">
      <w:pPr>
        <w:widowControl/>
        <w:spacing w:line="360" w:lineRule="auto"/>
        <w:rPr>
          <w:rFonts w:ascii="宋体" w:hAnsi="宋体" w:cs="仿宋_GB2312"/>
          <w:color w:val="auto"/>
          <w:sz w:val="24"/>
          <w:highlight w:val="none"/>
        </w:rPr>
      </w:pPr>
      <w:r>
        <w:rPr>
          <w:rFonts w:hint="eastAsia" w:ascii="宋体" w:hAnsi="宋体" w:cs="仿宋_GB2312"/>
          <w:color w:val="auto"/>
          <w:sz w:val="24"/>
          <w:highlight w:val="none"/>
        </w:rPr>
        <w:t>不得报销应由采购人单位或个人承担的费用。</w:t>
      </w:r>
    </w:p>
    <w:p w14:paraId="29828A30">
      <w:pPr>
        <w:widowControl/>
        <w:numPr>
          <w:ilvl w:val="0"/>
          <w:numId w:val="14"/>
        </w:numPr>
        <w:spacing w:line="360" w:lineRule="auto"/>
        <w:ind w:left="479" w:leftChars="228"/>
        <w:rPr>
          <w:rFonts w:ascii="宋体" w:hAnsi="宋体" w:cs="仿宋_GB2312"/>
          <w:color w:val="auto"/>
          <w:sz w:val="24"/>
          <w:highlight w:val="none"/>
        </w:rPr>
      </w:pPr>
      <w:r>
        <w:rPr>
          <w:rFonts w:hint="eastAsia" w:ascii="宋体" w:hAnsi="宋体" w:cs="仿宋_GB2312"/>
          <w:color w:val="auto"/>
          <w:sz w:val="24"/>
          <w:highlight w:val="none"/>
        </w:rPr>
        <w:t>不为采购人及其工作人员提供旅游、健身、娱乐等消费活动，不得利用宴请等</w:t>
      </w:r>
    </w:p>
    <w:p w14:paraId="0FFC2197">
      <w:pPr>
        <w:widowControl/>
        <w:spacing w:line="360" w:lineRule="auto"/>
        <w:rPr>
          <w:rFonts w:ascii="宋体" w:hAnsi="宋体" w:cs="仿宋_GB2312"/>
          <w:color w:val="auto"/>
          <w:sz w:val="24"/>
          <w:highlight w:val="none"/>
        </w:rPr>
      </w:pPr>
      <w:r>
        <w:rPr>
          <w:rFonts w:hint="eastAsia" w:ascii="宋体" w:hAnsi="宋体" w:cs="仿宋_GB2312"/>
          <w:color w:val="auto"/>
          <w:sz w:val="24"/>
          <w:highlight w:val="none"/>
        </w:rPr>
        <w:t>活动影响采购人人员公正履行合同。</w:t>
      </w:r>
    </w:p>
    <w:p w14:paraId="56A162A3">
      <w:pPr>
        <w:widowControl/>
        <w:numPr>
          <w:ilvl w:val="0"/>
          <w:numId w:val="14"/>
        </w:numPr>
        <w:spacing w:line="360" w:lineRule="auto"/>
        <w:ind w:left="479" w:leftChars="228"/>
        <w:rPr>
          <w:rFonts w:ascii="宋体" w:hAnsi="宋体" w:cs="仿宋_GB2312"/>
          <w:color w:val="auto"/>
          <w:sz w:val="24"/>
          <w:highlight w:val="none"/>
        </w:rPr>
      </w:pPr>
      <w:r>
        <w:rPr>
          <w:rFonts w:hint="eastAsia" w:ascii="宋体" w:hAnsi="宋体" w:cs="仿宋_GB2312"/>
          <w:color w:val="auto"/>
          <w:sz w:val="24"/>
          <w:highlight w:val="none"/>
        </w:rPr>
        <w:t>不为采购人及其工作人员购置或者提供通讯工具、交通工具、家电、办公用品</w:t>
      </w:r>
    </w:p>
    <w:p w14:paraId="0851FDAE">
      <w:pPr>
        <w:widowControl/>
        <w:spacing w:line="360" w:lineRule="auto"/>
        <w:rPr>
          <w:rFonts w:ascii="宋体" w:hAnsi="宋体" w:cs="仿宋_GB2312"/>
          <w:color w:val="auto"/>
          <w:sz w:val="24"/>
          <w:highlight w:val="none"/>
        </w:rPr>
      </w:pPr>
      <w:r>
        <w:rPr>
          <w:rFonts w:hint="eastAsia" w:ascii="宋体" w:hAnsi="宋体" w:cs="仿宋_GB2312"/>
          <w:color w:val="auto"/>
          <w:sz w:val="24"/>
          <w:highlight w:val="none"/>
        </w:rPr>
        <w:t>等物品。</w:t>
      </w:r>
    </w:p>
    <w:p w14:paraId="4C7DB65B">
      <w:pPr>
        <w:widowControl/>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六、不为采购人工作人员的亲友的营利活动提供便利条件。</w:t>
      </w:r>
    </w:p>
    <w:p w14:paraId="0DC9991A">
      <w:pPr>
        <w:widowControl/>
        <w:spacing w:line="360" w:lineRule="auto"/>
        <w:ind w:left="479" w:leftChars="228"/>
        <w:rPr>
          <w:rFonts w:ascii="宋体" w:hAnsi="宋体" w:cs="仿宋_GB2312"/>
          <w:color w:val="auto"/>
          <w:sz w:val="24"/>
          <w:highlight w:val="none"/>
        </w:rPr>
      </w:pPr>
      <w:r>
        <w:rPr>
          <w:rFonts w:hint="eastAsia" w:ascii="宋体" w:hAnsi="宋体" w:cs="仿宋_GB2312"/>
          <w:color w:val="auto"/>
          <w:sz w:val="24"/>
          <w:highlight w:val="none"/>
        </w:rPr>
        <w:t>七、不为采购人工作人员在住房装修、婚丧嫁娶、家属和子女的工作安排以及出国</w:t>
      </w:r>
    </w:p>
    <w:p w14:paraId="0A033E55">
      <w:pPr>
        <w:widowControl/>
        <w:spacing w:line="360" w:lineRule="auto"/>
        <w:rPr>
          <w:rFonts w:ascii="宋体" w:hAnsi="宋体" w:cs="仿宋_GB2312"/>
          <w:color w:val="auto"/>
          <w:sz w:val="24"/>
          <w:highlight w:val="none"/>
        </w:rPr>
      </w:pPr>
      <w:r>
        <w:rPr>
          <w:rFonts w:hint="eastAsia" w:ascii="宋体" w:hAnsi="宋体" w:cs="仿宋_GB2312"/>
          <w:color w:val="auto"/>
          <w:sz w:val="24"/>
          <w:highlight w:val="none"/>
        </w:rPr>
        <w:t>等提供便利。</w:t>
      </w:r>
    </w:p>
    <w:p w14:paraId="397B0C16">
      <w:pPr>
        <w:widowControl/>
        <w:numPr>
          <w:ilvl w:val="0"/>
          <w:numId w:val="15"/>
        </w:numPr>
        <w:spacing w:line="360" w:lineRule="auto"/>
        <w:ind w:left="479" w:leftChars="228"/>
        <w:rPr>
          <w:rFonts w:ascii="宋体" w:hAnsi="宋体" w:cs="仿宋_GB2312"/>
          <w:color w:val="auto"/>
          <w:sz w:val="24"/>
          <w:highlight w:val="none"/>
        </w:rPr>
      </w:pPr>
      <w:r>
        <w:rPr>
          <w:rFonts w:hint="eastAsia" w:ascii="宋体" w:hAnsi="宋体" w:cs="仿宋_GB2312"/>
          <w:color w:val="auto"/>
          <w:sz w:val="24"/>
          <w:highlight w:val="none"/>
        </w:rPr>
        <w:t>不在合同签订、验收、付款等履行环节为获得便利向采购人任何人支付任何合</w:t>
      </w:r>
    </w:p>
    <w:p w14:paraId="408B6D3A">
      <w:pPr>
        <w:widowControl/>
        <w:spacing w:line="360" w:lineRule="auto"/>
        <w:rPr>
          <w:rFonts w:ascii="宋体" w:hAnsi="宋体" w:cs="仿宋_GB2312"/>
          <w:color w:val="auto"/>
          <w:sz w:val="24"/>
          <w:highlight w:val="none"/>
        </w:rPr>
      </w:pPr>
      <w:r>
        <w:rPr>
          <w:rFonts w:hint="eastAsia" w:ascii="宋体" w:hAnsi="宋体" w:cs="仿宋_GB2312"/>
          <w:color w:val="auto"/>
          <w:sz w:val="24"/>
          <w:highlight w:val="none"/>
        </w:rPr>
        <w:t>同约定以外的费用。</w:t>
      </w:r>
    </w:p>
    <w:p w14:paraId="3FEA1D9E">
      <w:pPr>
        <w:widowControl/>
        <w:numPr>
          <w:ilvl w:val="0"/>
          <w:numId w:val="15"/>
        </w:numPr>
        <w:spacing w:line="360" w:lineRule="auto"/>
        <w:ind w:left="479" w:leftChars="228"/>
        <w:rPr>
          <w:rFonts w:ascii="宋体" w:hAnsi="宋体" w:cs="仿宋_GB2312"/>
          <w:color w:val="auto"/>
          <w:sz w:val="24"/>
          <w:highlight w:val="none"/>
        </w:rPr>
      </w:pPr>
      <w:r>
        <w:rPr>
          <w:rFonts w:hint="eastAsia" w:ascii="宋体" w:hAnsi="宋体" w:cs="仿宋_GB2312"/>
          <w:color w:val="auto"/>
          <w:sz w:val="24"/>
          <w:highlight w:val="none"/>
        </w:rPr>
        <w:t>不与采购人工作人员就物资费用、货物供应、物资验收、物资质量问题处理等</w:t>
      </w:r>
    </w:p>
    <w:p w14:paraId="137EFE2F">
      <w:pPr>
        <w:widowControl/>
        <w:spacing w:line="360" w:lineRule="auto"/>
        <w:rPr>
          <w:rFonts w:ascii="宋体" w:hAnsi="宋体" w:cs="仿宋_GB2312"/>
          <w:color w:val="auto"/>
          <w:sz w:val="24"/>
          <w:highlight w:val="none"/>
        </w:rPr>
      </w:pPr>
      <w:r>
        <w:rPr>
          <w:rFonts w:hint="eastAsia" w:ascii="宋体" w:hAnsi="宋体" w:cs="仿宋_GB2312"/>
          <w:color w:val="auto"/>
          <w:sz w:val="24"/>
          <w:highlight w:val="none"/>
        </w:rPr>
        <w:t>进行私下商谈或者达成默契。</w:t>
      </w:r>
    </w:p>
    <w:p w14:paraId="09EA0501">
      <w:pPr>
        <w:spacing w:line="360" w:lineRule="auto"/>
        <w:rPr>
          <w:rFonts w:ascii="宋体" w:hAnsi="宋体" w:cs="仿宋_GB2312"/>
          <w:color w:val="auto"/>
          <w:sz w:val="24"/>
          <w:highlight w:val="none"/>
        </w:rPr>
      </w:pPr>
    </w:p>
    <w:p w14:paraId="71CEA61E">
      <w:pPr>
        <w:spacing w:line="480" w:lineRule="auto"/>
        <w:jc w:val="center"/>
        <w:rPr>
          <w:rFonts w:ascii="宋体" w:hAnsi="宋体" w:cs="仿宋_GB2312"/>
          <w:color w:val="auto"/>
          <w:sz w:val="24"/>
          <w:highlight w:val="none"/>
        </w:rPr>
      </w:pPr>
      <w:r>
        <w:rPr>
          <w:rFonts w:hint="eastAsia" w:ascii="宋体" w:hAnsi="宋体" w:cs="仿宋_GB2312"/>
          <w:color w:val="auto"/>
          <w:sz w:val="24"/>
          <w:highlight w:val="none"/>
        </w:rPr>
        <w:t>供应商（电子签章）：</w:t>
      </w:r>
    </w:p>
    <w:p w14:paraId="1FC7B3ED">
      <w:pPr>
        <w:spacing w:line="480" w:lineRule="auto"/>
        <w:jc w:val="center"/>
        <w:rPr>
          <w:rFonts w:ascii="宋体" w:hAnsi="宋体" w:cs="仿宋_GB2312"/>
          <w:color w:val="auto"/>
          <w:sz w:val="24"/>
          <w:highlight w:val="none"/>
        </w:rPr>
      </w:pPr>
      <w:r>
        <w:rPr>
          <w:rFonts w:hint="eastAsia" w:ascii="宋体" w:hAnsi="宋体" w:cs="仿宋_GB2312"/>
          <w:color w:val="auto"/>
          <w:sz w:val="24"/>
          <w:highlight w:val="none"/>
        </w:rPr>
        <w:t xml:space="preserve">    法定代表人（签字）：</w:t>
      </w:r>
    </w:p>
    <w:p w14:paraId="4B4E5BA5">
      <w:pPr>
        <w:spacing w:line="480" w:lineRule="auto"/>
        <w:jc w:val="center"/>
        <w:rPr>
          <w:rFonts w:ascii="宋体" w:hAnsi="宋体" w:cs="仿宋_GB2312"/>
          <w:color w:val="auto"/>
          <w:sz w:val="24"/>
          <w:highlight w:val="none"/>
        </w:rPr>
      </w:pPr>
      <w:r>
        <w:rPr>
          <w:rFonts w:hint="eastAsia" w:ascii="宋体" w:hAnsi="宋体" w:cs="仿宋_GB2312"/>
          <w:color w:val="auto"/>
          <w:sz w:val="24"/>
          <w:highlight w:val="none"/>
        </w:rPr>
        <w:t xml:space="preserve">        日期：    年    月     日</w:t>
      </w:r>
    </w:p>
    <w:p w14:paraId="181EACE6">
      <w:pPr>
        <w:pStyle w:val="20"/>
        <w:kinsoku w:val="0"/>
        <w:overflowPunct w:val="0"/>
        <w:spacing w:before="34"/>
        <w:ind w:left="1608" w:right="1780"/>
        <w:jc w:val="center"/>
        <w:rPr>
          <w:rFonts w:ascii="宋体" w:hAnsi="宋体" w:cs="宋体"/>
          <w:b/>
          <w:color w:val="auto"/>
          <w:w w:val="95"/>
          <w:sz w:val="32"/>
          <w:szCs w:val="32"/>
          <w:highlight w:val="none"/>
        </w:rPr>
      </w:pPr>
      <w:r>
        <w:rPr>
          <w:rFonts w:hint="eastAsia" w:ascii="宋体" w:hAnsi="宋体" w:cs="仿宋_GB2312"/>
          <w:color w:val="auto"/>
          <w:sz w:val="32"/>
          <w:szCs w:val="32"/>
          <w:highlight w:val="none"/>
        </w:rPr>
        <w:br w:type="page"/>
      </w:r>
      <w:r>
        <w:rPr>
          <w:rFonts w:hint="eastAsia" w:asciiTheme="minorEastAsia" w:hAnsiTheme="minorEastAsia" w:eastAsiaTheme="minorEastAsia" w:cstheme="minorEastAsia"/>
          <w:color w:val="auto"/>
          <w:sz w:val="32"/>
          <w:szCs w:val="32"/>
          <w:highlight w:val="none"/>
        </w:rPr>
        <w:t>12.</w:t>
      </w:r>
      <w:r>
        <w:rPr>
          <w:rFonts w:hint="eastAsia" w:asciiTheme="minorEastAsia" w:hAnsiTheme="minorEastAsia" w:eastAsiaTheme="minorEastAsia" w:cstheme="minorEastAsia"/>
          <w:b/>
          <w:color w:val="auto"/>
          <w:w w:val="95"/>
          <w:sz w:val="32"/>
          <w:szCs w:val="32"/>
          <w:highlight w:val="none"/>
        </w:rPr>
        <w:t>已完</w:t>
      </w:r>
      <w:r>
        <w:rPr>
          <w:rFonts w:hint="eastAsia" w:ascii="宋体" w:hAnsi="宋体" w:cs="宋体"/>
          <w:b/>
          <w:color w:val="auto"/>
          <w:w w:val="95"/>
          <w:sz w:val="32"/>
          <w:szCs w:val="32"/>
          <w:highlight w:val="none"/>
        </w:rPr>
        <w:t>成类似工程一览表</w:t>
      </w:r>
    </w:p>
    <w:p w14:paraId="6BDBB2DE">
      <w:pPr>
        <w:pStyle w:val="20"/>
        <w:kinsoku w:val="0"/>
        <w:overflowPunct w:val="0"/>
        <w:spacing w:before="5"/>
        <w:rPr>
          <w:b/>
          <w:color w:val="auto"/>
          <w:sz w:val="10"/>
          <w:highlight w:val="none"/>
        </w:rPr>
      </w:pPr>
    </w:p>
    <w:tbl>
      <w:tblPr>
        <w:tblStyle w:val="55"/>
        <w:tblW w:w="0" w:type="auto"/>
        <w:jc w:val="center"/>
        <w:tblLayout w:type="fixed"/>
        <w:tblCellMar>
          <w:top w:w="0" w:type="dxa"/>
          <w:left w:w="108" w:type="dxa"/>
          <w:bottom w:w="0" w:type="dxa"/>
          <w:right w:w="108" w:type="dxa"/>
        </w:tblCellMar>
      </w:tblPr>
      <w:tblGrid>
        <w:gridCol w:w="675"/>
        <w:gridCol w:w="1470"/>
        <w:gridCol w:w="1648"/>
        <w:gridCol w:w="1097"/>
        <w:gridCol w:w="1185"/>
        <w:gridCol w:w="1095"/>
        <w:gridCol w:w="1320"/>
        <w:gridCol w:w="1123"/>
      </w:tblGrid>
      <w:tr w14:paraId="6A9F844B">
        <w:tblPrEx>
          <w:tblCellMar>
            <w:top w:w="0" w:type="dxa"/>
            <w:left w:w="108" w:type="dxa"/>
            <w:bottom w:w="0" w:type="dxa"/>
            <w:right w:w="108" w:type="dxa"/>
          </w:tblCellMar>
        </w:tblPrEx>
        <w:trPr>
          <w:trHeight w:val="866" w:hRule="atLeast"/>
          <w:jc w:val="center"/>
        </w:trPr>
        <w:tc>
          <w:tcPr>
            <w:tcW w:w="675" w:type="dxa"/>
            <w:tcBorders>
              <w:top w:val="single" w:color="000000" w:sz="4" w:space="0"/>
              <w:left w:val="single" w:color="000000" w:sz="4" w:space="0"/>
              <w:bottom w:val="single" w:color="000000" w:sz="4" w:space="0"/>
              <w:right w:val="single" w:color="000000" w:sz="4" w:space="0"/>
            </w:tcBorders>
          </w:tcPr>
          <w:p w14:paraId="6669DB25">
            <w:pPr>
              <w:pStyle w:val="490"/>
              <w:kinsoku w:val="0"/>
              <w:overflowPunct w:val="0"/>
              <w:spacing w:before="3"/>
              <w:rPr>
                <w:b/>
                <w:color w:val="auto"/>
                <w:sz w:val="23"/>
                <w:highlight w:val="none"/>
              </w:rPr>
            </w:pPr>
          </w:p>
          <w:p w14:paraId="0608F4E2">
            <w:pPr>
              <w:pStyle w:val="490"/>
              <w:kinsoku w:val="0"/>
              <w:overflowPunct w:val="0"/>
              <w:spacing w:before="1"/>
              <w:jc w:val="center"/>
              <w:rPr>
                <w:color w:val="auto"/>
                <w:sz w:val="21"/>
                <w:highlight w:val="none"/>
              </w:rPr>
            </w:pPr>
            <w:r>
              <w:rPr>
                <w:rFonts w:hint="eastAsia"/>
                <w:color w:val="auto"/>
                <w:sz w:val="21"/>
                <w:highlight w:val="none"/>
              </w:rPr>
              <w:t>序号</w:t>
            </w:r>
          </w:p>
        </w:tc>
        <w:tc>
          <w:tcPr>
            <w:tcW w:w="1470" w:type="dxa"/>
            <w:tcBorders>
              <w:top w:val="single" w:color="000000" w:sz="4" w:space="0"/>
              <w:left w:val="single" w:color="000000" w:sz="4" w:space="0"/>
              <w:bottom w:val="single" w:color="000000" w:sz="4" w:space="0"/>
              <w:right w:val="single" w:color="000000" w:sz="4" w:space="0"/>
            </w:tcBorders>
          </w:tcPr>
          <w:p w14:paraId="20A73ECC">
            <w:pPr>
              <w:pStyle w:val="490"/>
              <w:kinsoku w:val="0"/>
              <w:overflowPunct w:val="0"/>
              <w:spacing w:before="3"/>
              <w:jc w:val="center"/>
              <w:rPr>
                <w:b/>
                <w:color w:val="auto"/>
                <w:sz w:val="23"/>
                <w:highlight w:val="none"/>
              </w:rPr>
            </w:pPr>
          </w:p>
          <w:p w14:paraId="4B20D088">
            <w:pPr>
              <w:pStyle w:val="490"/>
              <w:kinsoku w:val="0"/>
              <w:overflowPunct w:val="0"/>
              <w:spacing w:before="1"/>
              <w:jc w:val="center"/>
              <w:rPr>
                <w:color w:val="auto"/>
                <w:sz w:val="21"/>
                <w:highlight w:val="none"/>
              </w:rPr>
            </w:pPr>
            <w:r>
              <w:rPr>
                <w:rFonts w:hint="eastAsia"/>
                <w:color w:val="auto"/>
                <w:sz w:val="21"/>
                <w:highlight w:val="none"/>
              </w:rPr>
              <w:t>发包人名称</w:t>
            </w:r>
          </w:p>
        </w:tc>
        <w:tc>
          <w:tcPr>
            <w:tcW w:w="1648" w:type="dxa"/>
            <w:tcBorders>
              <w:top w:val="single" w:color="000000" w:sz="4" w:space="0"/>
              <w:left w:val="single" w:color="000000" w:sz="4" w:space="0"/>
              <w:bottom w:val="single" w:color="000000" w:sz="4" w:space="0"/>
              <w:right w:val="single" w:color="000000" w:sz="4" w:space="0"/>
            </w:tcBorders>
          </w:tcPr>
          <w:p w14:paraId="44ECC2A1">
            <w:pPr>
              <w:pStyle w:val="490"/>
              <w:kinsoku w:val="0"/>
              <w:overflowPunct w:val="0"/>
              <w:spacing w:before="142" w:line="278" w:lineRule="auto"/>
              <w:ind w:right="168"/>
              <w:jc w:val="center"/>
              <w:rPr>
                <w:color w:val="auto"/>
                <w:spacing w:val="-1"/>
                <w:sz w:val="21"/>
                <w:highlight w:val="none"/>
              </w:rPr>
            </w:pPr>
            <w:r>
              <w:rPr>
                <w:rFonts w:hint="eastAsia"/>
                <w:color w:val="auto"/>
                <w:sz w:val="21"/>
                <w:highlight w:val="none"/>
              </w:rPr>
              <w:t>工程名称</w:t>
            </w:r>
            <w:r>
              <w:rPr>
                <w:rFonts w:hint="eastAsia"/>
                <w:color w:val="auto"/>
                <w:spacing w:val="-1"/>
                <w:sz w:val="21"/>
                <w:highlight w:val="none"/>
              </w:rPr>
              <w:t>及建设地点</w:t>
            </w:r>
          </w:p>
        </w:tc>
        <w:tc>
          <w:tcPr>
            <w:tcW w:w="1097" w:type="dxa"/>
            <w:tcBorders>
              <w:top w:val="single" w:color="000000" w:sz="4" w:space="0"/>
              <w:left w:val="single" w:color="000000" w:sz="4" w:space="0"/>
              <w:bottom w:val="single" w:color="000000" w:sz="4" w:space="0"/>
              <w:right w:val="single" w:color="000000" w:sz="4" w:space="0"/>
            </w:tcBorders>
          </w:tcPr>
          <w:p w14:paraId="49F3706E">
            <w:pPr>
              <w:pStyle w:val="490"/>
              <w:kinsoku w:val="0"/>
              <w:overflowPunct w:val="0"/>
              <w:spacing w:before="142" w:line="278" w:lineRule="auto"/>
              <w:ind w:left="215" w:right="201"/>
              <w:rPr>
                <w:color w:val="auto"/>
                <w:spacing w:val="-1"/>
                <w:sz w:val="21"/>
                <w:highlight w:val="none"/>
              </w:rPr>
            </w:pPr>
            <w:r>
              <w:rPr>
                <w:rFonts w:hint="eastAsia"/>
                <w:color w:val="auto"/>
                <w:spacing w:val="-1"/>
                <w:sz w:val="21"/>
                <w:highlight w:val="none"/>
              </w:rPr>
              <w:t>结构类型</w:t>
            </w:r>
          </w:p>
        </w:tc>
        <w:tc>
          <w:tcPr>
            <w:tcW w:w="1185" w:type="dxa"/>
            <w:tcBorders>
              <w:top w:val="single" w:color="000000" w:sz="4" w:space="0"/>
              <w:left w:val="single" w:color="000000" w:sz="4" w:space="0"/>
              <w:bottom w:val="single" w:color="000000" w:sz="4" w:space="0"/>
              <w:right w:val="single" w:color="000000" w:sz="4" w:space="0"/>
            </w:tcBorders>
            <w:vAlign w:val="center"/>
          </w:tcPr>
          <w:p w14:paraId="1B2D12EA">
            <w:pPr>
              <w:jc w:val="center"/>
              <w:rPr>
                <w:color w:val="auto"/>
                <w:highlight w:val="none"/>
              </w:rPr>
            </w:pPr>
            <w:r>
              <w:rPr>
                <w:rFonts w:hint="eastAsia"/>
                <w:color w:val="auto"/>
                <w:highlight w:val="none"/>
              </w:rPr>
              <w:t>建设规模</w:t>
            </w:r>
          </w:p>
        </w:tc>
        <w:tc>
          <w:tcPr>
            <w:tcW w:w="1095" w:type="dxa"/>
            <w:tcBorders>
              <w:top w:val="single" w:color="000000" w:sz="4" w:space="0"/>
              <w:left w:val="single" w:color="000000" w:sz="4" w:space="0"/>
              <w:bottom w:val="single" w:color="000000" w:sz="4" w:space="0"/>
              <w:right w:val="single" w:color="000000" w:sz="4" w:space="0"/>
            </w:tcBorders>
            <w:vAlign w:val="center"/>
          </w:tcPr>
          <w:p w14:paraId="2B3B6484">
            <w:pPr>
              <w:jc w:val="center"/>
              <w:rPr>
                <w:color w:val="auto"/>
                <w:highlight w:val="none"/>
              </w:rPr>
            </w:pPr>
            <w:r>
              <w:rPr>
                <w:rFonts w:hint="eastAsia"/>
                <w:color w:val="auto"/>
                <w:highlight w:val="none"/>
              </w:rPr>
              <w:t>合同金额</w:t>
            </w:r>
          </w:p>
          <w:p w14:paraId="208BD6B3">
            <w:pPr>
              <w:jc w:val="center"/>
              <w:rPr>
                <w:color w:val="auto"/>
                <w:highlight w:val="none"/>
              </w:rPr>
            </w:pPr>
            <w:r>
              <w:rPr>
                <w:rFonts w:hint="eastAsia"/>
                <w:color w:val="auto"/>
                <w:highlight w:val="none"/>
              </w:rPr>
              <w:t>（万元）</w:t>
            </w:r>
          </w:p>
        </w:tc>
        <w:tc>
          <w:tcPr>
            <w:tcW w:w="1320" w:type="dxa"/>
            <w:tcBorders>
              <w:top w:val="single" w:color="000000" w:sz="4" w:space="0"/>
              <w:left w:val="single" w:color="000000" w:sz="4" w:space="0"/>
              <w:bottom w:val="single" w:color="000000" w:sz="4" w:space="0"/>
              <w:right w:val="single" w:color="000000" w:sz="4" w:space="0"/>
            </w:tcBorders>
            <w:vAlign w:val="center"/>
          </w:tcPr>
          <w:p w14:paraId="2FB85417">
            <w:pPr>
              <w:jc w:val="center"/>
              <w:rPr>
                <w:color w:val="auto"/>
                <w:spacing w:val="-1"/>
                <w:highlight w:val="none"/>
              </w:rPr>
            </w:pPr>
            <w:r>
              <w:rPr>
                <w:rFonts w:hint="eastAsia"/>
                <w:color w:val="auto"/>
                <w:highlight w:val="none"/>
              </w:rPr>
              <w:t>竣工达到质量标准</w:t>
            </w:r>
          </w:p>
        </w:tc>
        <w:tc>
          <w:tcPr>
            <w:tcW w:w="1123" w:type="dxa"/>
            <w:tcBorders>
              <w:top w:val="single" w:color="000000" w:sz="4" w:space="0"/>
              <w:left w:val="single" w:color="000000" w:sz="4" w:space="0"/>
              <w:bottom w:val="single" w:color="000000" w:sz="4" w:space="0"/>
              <w:right w:val="single" w:color="000000" w:sz="4" w:space="0"/>
            </w:tcBorders>
            <w:vAlign w:val="center"/>
          </w:tcPr>
          <w:p w14:paraId="4D7EBFA3">
            <w:pPr>
              <w:jc w:val="center"/>
              <w:rPr>
                <w:color w:val="auto"/>
                <w:highlight w:val="none"/>
              </w:rPr>
            </w:pPr>
            <w:r>
              <w:rPr>
                <w:rFonts w:hint="eastAsia"/>
                <w:color w:val="auto"/>
                <w:highlight w:val="none"/>
              </w:rPr>
              <w:t>开竣工</w:t>
            </w:r>
          </w:p>
          <w:p w14:paraId="128A9C6C">
            <w:pPr>
              <w:jc w:val="center"/>
              <w:rPr>
                <w:color w:val="auto"/>
                <w:spacing w:val="30"/>
                <w:highlight w:val="none"/>
              </w:rPr>
            </w:pPr>
            <w:r>
              <w:rPr>
                <w:rFonts w:hint="eastAsia"/>
                <w:color w:val="auto"/>
                <w:highlight w:val="none"/>
              </w:rPr>
              <w:t>日期</w:t>
            </w:r>
          </w:p>
        </w:tc>
      </w:tr>
      <w:tr w14:paraId="2F7E9C70">
        <w:tblPrEx>
          <w:tblCellMar>
            <w:top w:w="0" w:type="dxa"/>
            <w:left w:w="108" w:type="dxa"/>
            <w:bottom w:w="0" w:type="dxa"/>
            <w:right w:w="108" w:type="dxa"/>
          </w:tblCellMar>
        </w:tblPrEx>
        <w:trPr>
          <w:trHeight w:val="611" w:hRule="atLeast"/>
          <w:jc w:val="center"/>
        </w:trPr>
        <w:tc>
          <w:tcPr>
            <w:tcW w:w="675" w:type="dxa"/>
            <w:tcBorders>
              <w:top w:val="single" w:color="000000" w:sz="4" w:space="0"/>
              <w:left w:val="single" w:color="000000" w:sz="4" w:space="0"/>
              <w:bottom w:val="single" w:color="000000" w:sz="4" w:space="0"/>
              <w:right w:val="single" w:color="000000" w:sz="4" w:space="0"/>
            </w:tcBorders>
          </w:tcPr>
          <w:p w14:paraId="04A31FC5">
            <w:pPr>
              <w:pStyle w:val="490"/>
              <w:kinsoku w:val="0"/>
              <w:overflowPunct w:val="0"/>
              <w:rPr>
                <w:rFonts w:ascii="Times New Roman" w:eastAsia="Times New Roman"/>
                <w:color w:val="auto"/>
                <w:highlight w:val="none"/>
              </w:rPr>
            </w:pPr>
          </w:p>
        </w:tc>
        <w:tc>
          <w:tcPr>
            <w:tcW w:w="1470" w:type="dxa"/>
            <w:tcBorders>
              <w:top w:val="single" w:color="000000" w:sz="4" w:space="0"/>
              <w:left w:val="single" w:color="000000" w:sz="4" w:space="0"/>
              <w:bottom w:val="single" w:color="000000" w:sz="4" w:space="0"/>
              <w:right w:val="single" w:color="000000" w:sz="4" w:space="0"/>
            </w:tcBorders>
          </w:tcPr>
          <w:p w14:paraId="010678F9">
            <w:pPr>
              <w:pStyle w:val="490"/>
              <w:kinsoku w:val="0"/>
              <w:overflowPunct w:val="0"/>
              <w:rPr>
                <w:rFonts w:ascii="Times New Roman" w:eastAsia="Times New Roman"/>
                <w:color w:val="auto"/>
                <w:highlight w:val="none"/>
              </w:rPr>
            </w:pPr>
          </w:p>
        </w:tc>
        <w:tc>
          <w:tcPr>
            <w:tcW w:w="1648" w:type="dxa"/>
            <w:tcBorders>
              <w:top w:val="single" w:color="000000" w:sz="4" w:space="0"/>
              <w:left w:val="single" w:color="000000" w:sz="4" w:space="0"/>
              <w:bottom w:val="single" w:color="000000" w:sz="4" w:space="0"/>
              <w:right w:val="single" w:color="000000" w:sz="4" w:space="0"/>
            </w:tcBorders>
          </w:tcPr>
          <w:p w14:paraId="705BA8F8">
            <w:pPr>
              <w:pStyle w:val="490"/>
              <w:kinsoku w:val="0"/>
              <w:overflowPunct w:val="0"/>
              <w:rPr>
                <w:rFonts w:ascii="Times New Roman" w:eastAsia="Times New Roman"/>
                <w:color w:val="auto"/>
                <w:highlight w:val="none"/>
              </w:rPr>
            </w:pPr>
          </w:p>
        </w:tc>
        <w:tc>
          <w:tcPr>
            <w:tcW w:w="1097" w:type="dxa"/>
            <w:tcBorders>
              <w:top w:val="single" w:color="000000" w:sz="4" w:space="0"/>
              <w:left w:val="single" w:color="000000" w:sz="4" w:space="0"/>
              <w:bottom w:val="single" w:color="000000" w:sz="4" w:space="0"/>
              <w:right w:val="single" w:color="000000" w:sz="4" w:space="0"/>
            </w:tcBorders>
          </w:tcPr>
          <w:p w14:paraId="076E1B00">
            <w:pPr>
              <w:pStyle w:val="490"/>
              <w:kinsoku w:val="0"/>
              <w:overflowPunct w:val="0"/>
              <w:rPr>
                <w:rFonts w:ascii="Times New Roman" w:eastAsia="Times New Roman"/>
                <w:color w:val="auto"/>
                <w:highlight w:val="none"/>
              </w:rPr>
            </w:pPr>
          </w:p>
        </w:tc>
        <w:tc>
          <w:tcPr>
            <w:tcW w:w="1185" w:type="dxa"/>
            <w:tcBorders>
              <w:top w:val="single" w:color="000000" w:sz="4" w:space="0"/>
              <w:left w:val="single" w:color="000000" w:sz="4" w:space="0"/>
              <w:bottom w:val="single" w:color="000000" w:sz="4" w:space="0"/>
              <w:right w:val="single" w:color="000000" w:sz="4" w:space="0"/>
            </w:tcBorders>
          </w:tcPr>
          <w:p w14:paraId="260E730B">
            <w:pPr>
              <w:pStyle w:val="490"/>
              <w:kinsoku w:val="0"/>
              <w:overflowPunct w:val="0"/>
              <w:rPr>
                <w:rFonts w:ascii="Times New Roman" w:eastAsia="Times New Roman"/>
                <w:color w:val="auto"/>
                <w:highlight w:val="none"/>
              </w:rPr>
            </w:pPr>
          </w:p>
        </w:tc>
        <w:tc>
          <w:tcPr>
            <w:tcW w:w="1095" w:type="dxa"/>
            <w:tcBorders>
              <w:top w:val="single" w:color="000000" w:sz="4" w:space="0"/>
              <w:left w:val="single" w:color="000000" w:sz="4" w:space="0"/>
              <w:bottom w:val="single" w:color="000000" w:sz="4" w:space="0"/>
              <w:right w:val="single" w:color="000000" w:sz="4" w:space="0"/>
            </w:tcBorders>
          </w:tcPr>
          <w:p w14:paraId="13602EA3">
            <w:pPr>
              <w:pStyle w:val="490"/>
              <w:kinsoku w:val="0"/>
              <w:overflowPunct w:val="0"/>
              <w:rPr>
                <w:rFonts w:ascii="Times New Roman" w:eastAsia="Times New Roman"/>
                <w:color w:val="auto"/>
                <w:highlight w:val="none"/>
              </w:rPr>
            </w:pPr>
          </w:p>
        </w:tc>
        <w:tc>
          <w:tcPr>
            <w:tcW w:w="1320" w:type="dxa"/>
            <w:tcBorders>
              <w:top w:val="single" w:color="000000" w:sz="4" w:space="0"/>
              <w:left w:val="single" w:color="000000" w:sz="4" w:space="0"/>
              <w:bottom w:val="single" w:color="000000" w:sz="4" w:space="0"/>
              <w:right w:val="single" w:color="000000" w:sz="4" w:space="0"/>
            </w:tcBorders>
          </w:tcPr>
          <w:p w14:paraId="6BE9DB2F">
            <w:pPr>
              <w:pStyle w:val="490"/>
              <w:kinsoku w:val="0"/>
              <w:overflowPunct w:val="0"/>
              <w:rPr>
                <w:rFonts w:ascii="Times New Roman" w:eastAsia="Times New Roman"/>
                <w:color w:val="auto"/>
                <w:highlight w:val="none"/>
              </w:rPr>
            </w:pPr>
          </w:p>
        </w:tc>
        <w:tc>
          <w:tcPr>
            <w:tcW w:w="1123" w:type="dxa"/>
            <w:tcBorders>
              <w:top w:val="single" w:color="000000" w:sz="4" w:space="0"/>
              <w:left w:val="single" w:color="000000" w:sz="4" w:space="0"/>
              <w:bottom w:val="single" w:color="000000" w:sz="4" w:space="0"/>
              <w:right w:val="single" w:color="000000" w:sz="4" w:space="0"/>
            </w:tcBorders>
          </w:tcPr>
          <w:p w14:paraId="058A8E38">
            <w:pPr>
              <w:pStyle w:val="490"/>
              <w:kinsoku w:val="0"/>
              <w:overflowPunct w:val="0"/>
              <w:rPr>
                <w:rFonts w:ascii="Times New Roman" w:eastAsia="Times New Roman"/>
                <w:color w:val="auto"/>
                <w:highlight w:val="none"/>
              </w:rPr>
            </w:pPr>
          </w:p>
        </w:tc>
      </w:tr>
      <w:tr w14:paraId="24A34D61">
        <w:tblPrEx>
          <w:tblCellMar>
            <w:top w:w="0" w:type="dxa"/>
            <w:left w:w="108" w:type="dxa"/>
            <w:bottom w:w="0" w:type="dxa"/>
            <w:right w:w="108" w:type="dxa"/>
          </w:tblCellMar>
        </w:tblPrEx>
        <w:trPr>
          <w:trHeight w:val="621" w:hRule="atLeast"/>
          <w:jc w:val="center"/>
        </w:trPr>
        <w:tc>
          <w:tcPr>
            <w:tcW w:w="675" w:type="dxa"/>
            <w:tcBorders>
              <w:top w:val="single" w:color="000000" w:sz="4" w:space="0"/>
              <w:left w:val="single" w:color="000000" w:sz="4" w:space="0"/>
              <w:bottom w:val="single" w:color="000000" w:sz="4" w:space="0"/>
              <w:right w:val="single" w:color="000000" w:sz="4" w:space="0"/>
            </w:tcBorders>
          </w:tcPr>
          <w:p w14:paraId="274440F7">
            <w:pPr>
              <w:pStyle w:val="490"/>
              <w:kinsoku w:val="0"/>
              <w:overflowPunct w:val="0"/>
              <w:rPr>
                <w:rFonts w:ascii="Times New Roman" w:eastAsia="Times New Roman"/>
                <w:color w:val="auto"/>
                <w:highlight w:val="none"/>
              </w:rPr>
            </w:pPr>
          </w:p>
        </w:tc>
        <w:tc>
          <w:tcPr>
            <w:tcW w:w="1470" w:type="dxa"/>
            <w:tcBorders>
              <w:top w:val="single" w:color="000000" w:sz="4" w:space="0"/>
              <w:left w:val="single" w:color="000000" w:sz="4" w:space="0"/>
              <w:bottom w:val="single" w:color="000000" w:sz="4" w:space="0"/>
              <w:right w:val="single" w:color="000000" w:sz="4" w:space="0"/>
            </w:tcBorders>
          </w:tcPr>
          <w:p w14:paraId="007D1A21">
            <w:pPr>
              <w:pStyle w:val="490"/>
              <w:kinsoku w:val="0"/>
              <w:overflowPunct w:val="0"/>
              <w:rPr>
                <w:rFonts w:ascii="Times New Roman" w:eastAsia="Times New Roman"/>
                <w:color w:val="auto"/>
                <w:highlight w:val="none"/>
              </w:rPr>
            </w:pPr>
          </w:p>
        </w:tc>
        <w:tc>
          <w:tcPr>
            <w:tcW w:w="1648" w:type="dxa"/>
            <w:tcBorders>
              <w:top w:val="single" w:color="000000" w:sz="4" w:space="0"/>
              <w:left w:val="single" w:color="000000" w:sz="4" w:space="0"/>
              <w:bottom w:val="single" w:color="000000" w:sz="4" w:space="0"/>
              <w:right w:val="single" w:color="000000" w:sz="4" w:space="0"/>
            </w:tcBorders>
          </w:tcPr>
          <w:p w14:paraId="5A6001A9">
            <w:pPr>
              <w:pStyle w:val="490"/>
              <w:kinsoku w:val="0"/>
              <w:overflowPunct w:val="0"/>
              <w:rPr>
                <w:rFonts w:ascii="Times New Roman" w:eastAsia="Times New Roman"/>
                <w:color w:val="auto"/>
                <w:highlight w:val="none"/>
              </w:rPr>
            </w:pPr>
          </w:p>
        </w:tc>
        <w:tc>
          <w:tcPr>
            <w:tcW w:w="1097" w:type="dxa"/>
            <w:tcBorders>
              <w:top w:val="single" w:color="000000" w:sz="4" w:space="0"/>
              <w:left w:val="single" w:color="000000" w:sz="4" w:space="0"/>
              <w:bottom w:val="single" w:color="000000" w:sz="4" w:space="0"/>
              <w:right w:val="single" w:color="000000" w:sz="4" w:space="0"/>
            </w:tcBorders>
          </w:tcPr>
          <w:p w14:paraId="302C878A">
            <w:pPr>
              <w:pStyle w:val="490"/>
              <w:kinsoku w:val="0"/>
              <w:overflowPunct w:val="0"/>
              <w:rPr>
                <w:rFonts w:ascii="Times New Roman" w:eastAsia="Times New Roman"/>
                <w:color w:val="auto"/>
                <w:highlight w:val="none"/>
              </w:rPr>
            </w:pPr>
          </w:p>
        </w:tc>
        <w:tc>
          <w:tcPr>
            <w:tcW w:w="1185" w:type="dxa"/>
            <w:tcBorders>
              <w:top w:val="single" w:color="000000" w:sz="4" w:space="0"/>
              <w:left w:val="single" w:color="000000" w:sz="4" w:space="0"/>
              <w:bottom w:val="single" w:color="000000" w:sz="4" w:space="0"/>
              <w:right w:val="single" w:color="000000" w:sz="4" w:space="0"/>
            </w:tcBorders>
          </w:tcPr>
          <w:p w14:paraId="37588197">
            <w:pPr>
              <w:pStyle w:val="490"/>
              <w:kinsoku w:val="0"/>
              <w:overflowPunct w:val="0"/>
              <w:rPr>
                <w:rFonts w:ascii="Times New Roman" w:eastAsia="Times New Roman"/>
                <w:color w:val="auto"/>
                <w:highlight w:val="none"/>
              </w:rPr>
            </w:pPr>
          </w:p>
        </w:tc>
        <w:tc>
          <w:tcPr>
            <w:tcW w:w="1095" w:type="dxa"/>
            <w:tcBorders>
              <w:top w:val="single" w:color="000000" w:sz="4" w:space="0"/>
              <w:left w:val="single" w:color="000000" w:sz="4" w:space="0"/>
              <w:bottom w:val="single" w:color="000000" w:sz="4" w:space="0"/>
              <w:right w:val="single" w:color="000000" w:sz="4" w:space="0"/>
            </w:tcBorders>
          </w:tcPr>
          <w:p w14:paraId="59704A22">
            <w:pPr>
              <w:pStyle w:val="490"/>
              <w:kinsoku w:val="0"/>
              <w:overflowPunct w:val="0"/>
              <w:rPr>
                <w:rFonts w:ascii="Times New Roman" w:eastAsia="Times New Roman"/>
                <w:color w:val="auto"/>
                <w:highlight w:val="none"/>
              </w:rPr>
            </w:pPr>
          </w:p>
        </w:tc>
        <w:tc>
          <w:tcPr>
            <w:tcW w:w="1320" w:type="dxa"/>
            <w:tcBorders>
              <w:top w:val="single" w:color="000000" w:sz="4" w:space="0"/>
              <w:left w:val="single" w:color="000000" w:sz="4" w:space="0"/>
              <w:bottom w:val="single" w:color="000000" w:sz="4" w:space="0"/>
              <w:right w:val="single" w:color="000000" w:sz="4" w:space="0"/>
            </w:tcBorders>
          </w:tcPr>
          <w:p w14:paraId="43D8D0BE">
            <w:pPr>
              <w:pStyle w:val="490"/>
              <w:kinsoku w:val="0"/>
              <w:overflowPunct w:val="0"/>
              <w:rPr>
                <w:rFonts w:ascii="Times New Roman" w:eastAsia="Times New Roman"/>
                <w:color w:val="auto"/>
                <w:highlight w:val="none"/>
              </w:rPr>
            </w:pPr>
          </w:p>
        </w:tc>
        <w:tc>
          <w:tcPr>
            <w:tcW w:w="1123" w:type="dxa"/>
            <w:tcBorders>
              <w:top w:val="single" w:color="000000" w:sz="4" w:space="0"/>
              <w:left w:val="single" w:color="000000" w:sz="4" w:space="0"/>
              <w:bottom w:val="single" w:color="000000" w:sz="4" w:space="0"/>
              <w:right w:val="single" w:color="000000" w:sz="4" w:space="0"/>
            </w:tcBorders>
          </w:tcPr>
          <w:p w14:paraId="6FCCF36B">
            <w:pPr>
              <w:pStyle w:val="490"/>
              <w:kinsoku w:val="0"/>
              <w:overflowPunct w:val="0"/>
              <w:rPr>
                <w:rFonts w:ascii="Times New Roman" w:eastAsia="Times New Roman"/>
                <w:color w:val="auto"/>
                <w:highlight w:val="none"/>
              </w:rPr>
            </w:pPr>
          </w:p>
        </w:tc>
      </w:tr>
      <w:tr w14:paraId="50ECDAA3">
        <w:tblPrEx>
          <w:tblCellMar>
            <w:top w:w="0" w:type="dxa"/>
            <w:left w:w="108" w:type="dxa"/>
            <w:bottom w:w="0" w:type="dxa"/>
            <w:right w:w="108" w:type="dxa"/>
          </w:tblCellMar>
        </w:tblPrEx>
        <w:trPr>
          <w:trHeight w:val="613" w:hRule="atLeast"/>
          <w:jc w:val="center"/>
        </w:trPr>
        <w:tc>
          <w:tcPr>
            <w:tcW w:w="675" w:type="dxa"/>
            <w:tcBorders>
              <w:top w:val="single" w:color="000000" w:sz="4" w:space="0"/>
              <w:left w:val="single" w:color="000000" w:sz="4" w:space="0"/>
              <w:bottom w:val="single" w:color="000000" w:sz="4" w:space="0"/>
              <w:right w:val="single" w:color="000000" w:sz="4" w:space="0"/>
            </w:tcBorders>
          </w:tcPr>
          <w:p w14:paraId="27DC3F4F">
            <w:pPr>
              <w:pStyle w:val="490"/>
              <w:kinsoku w:val="0"/>
              <w:overflowPunct w:val="0"/>
              <w:rPr>
                <w:rFonts w:ascii="Times New Roman" w:eastAsia="Times New Roman"/>
                <w:color w:val="auto"/>
                <w:highlight w:val="none"/>
              </w:rPr>
            </w:pPr>
          </w:p>
        </w:tc>
        <w:tc>
          <w:tcPr>
            <w:tcW w:w="1470" w:type="dxa"/>
            <w:tcBorders>
              <w:top w:val="single" w:color="000000" w:sz="4" w:space="0"/>
              <w:left w:val="single" w:color="000000" w:sz="4" w:space="0"/>
              <w:bottom w:val="single" w:color="000000" w:sz="4" w:space="0"/>
              <w:right w:val="single" w:color="000000" w:sz="4" w:space="0"/>
            </w:tcBorders>
          </w:tcPr>
          <w:p w14:paraId="47756E99">
            <w:pPr>
              <w:pStyle w:val="490"/>
              <w:kinsoku w:val="0"/>
              <w:overflowPunct w:val="0"/>
              <w:rPr>
                <w:rFonts w:ascii="Times New Roman" w:eastAsia="Times New Roman"/>
                <w:color w:val="auto"/>
                <w:highlight w:val="none"/>
              </w:rPr>
            </w:pPr>
          </w:p>
        </w:tc>
        <w:tc>
          <w:tcPr>
            <w:tcW w:w="1648" w:type="dxa"/>
            <w:tcBorders>
              <w:top w:val="single" w:color="000000" w:sz="4" w:space="0"/>
              <w:left w:val="single" w:color="000000" w:sz="4" w:space="0"/>
              <w:bottom w:val="single" w:color="000000" w:sz="4" w:space="0"/>
              <w:right w:val="single" w:color="000000" w:sz="4" w:space="0"/>
            </w:tcBorders>
          </w:tcPr>
          <w:p w14:paraId="7F20C68F">
            <w:pPr>
              <w:pStyle w:val="490"/>
              <w:kinsoku w:val="0"/>
              <w:overflowPunct w:val="0"/>
              <w:rPr>
                <w:rFonts w:ascii="Times New Roman" w:eastAsia="Times New Roman"/>
                <w:color w:val="auto"/>
                <w:highlight w:val="none"/>
              </w:rPr>
            </w:pPr>
          </w:p>
        </w:tc>
        <w:tc>
          <w:tcPr>
            <w:tcW w:w="1097" w:type="dxa"/>
            <w:tcBorders>
              <w:top w:val="single" w:color="000000" w:sz="4" w:space="0"/>
              <w:left w:val="single" w:color="000000" w:sz="4" w:space="0"/>
              <w:bottom w:val="single" w:color="000000" w:sz="4" w:space="0"/>
              <w:right w:val="single" w:color="000000" w:sz="4" w:space="0"/>
            </w:tcBorders>
          </w:tcPr>
          <w:p w14:paraId="276E5A21">
            <w:pPr>
              <w:pStyle w:val="490"/>
              <w:kinsoku w:val="0"/>
              <w:overflowPunct w:val="0"/>
              <w:rPr>
                <w:rFonts w:ascii="Times New Roman" w:eastAsia="Times New Roman"/>
                <w:color w:val="auto"/>
                <w:highlight w:val="none"/>
              </w:rPr>
            </w:pPr>
          </w:p>
        </w:tc>
        <w:tc>
          <w:tcPr>
            <w:tcW w:w="1185" w:type="dxa"/>
            <w:tcBorders>
              <w:top w:val="single" w:color="000000" w:sz="4" w:space="0"/>
              <w:left w:val="single" w:color="000000" w:sz="4" w:space="0"/>
              <w:bottom w:val="single" w:color="000000" w:sz="4" w:space="0"/>
              <w:right w:val="single" w:color="000000" w:sz="4" w:space="0"/>
            </w:tcBorders>
          </w:tcPr>
          <w:p w14:paraId="4F847955">
            <w:pPr>
              <w:pStyle w:val="490"/>
              <w:kinsoku w:val="0"/>
              <w:overflowPunct w:val="0"/>
              <w:rPr>
                <w:rFonts w:ascii="Times New Roman" w:eastAsia="Times New Roman"/>
                <w:color w:val="auto"/>
                <w:highlight w:val="none"/>
              </w:rPr>
            </w:pPr>
          </w:p>
        </w:tc>
        <w:tc>
          <w:tcPr>
            <w:tcW w:w="1095" w:type="dxa"/>
            <w:tcBorders>
              <w:top w:val="single" w:color="000000" w:sz="4" w:space="0"/>
              <w:left w:val="single" w:color="000000" w:sz="4" w:space="0"/>
              <w:bottom w:val="single" w:color="000000" w:sz="4" w:space="0"/>
              <w:right w:val="single" w:color="000000" w:sz="4" w:space="0"/>
            </w:tcBorders>
          </w:tcPr>
          <w:p w14:paraId="282F8773">
            <w:pPr>
              <w:pStyle w:val="490"/>
              <w:kinsoku w:val="0"/>
              <w:overflowPunct w:val="0"/>
              <w:rPr>
                <w:rFonts w:ascii="Times New Roman" w:eastAsia="Times New Roman"/>
                <w:color w:val="auto"/>
                <w:highlight w:val="none"/>
              </w:rPr>
            </w:pPr>
          </w:p>
        </w:tc>
        <w:tc>
          <w:tcPr>
            <w:tcW w:w="1320" w:type="dxa"/>
            <w:tcBorders>
              <w:top w:val="single" w:color="000000" w:sz="4" w:space="0"/>
              <w:left w:val="single" w:color="000000" w:sz="4" w:space="0"/>
              <w:bottom w:val="single" w:color="000000" w:sz="4" w:space="0"/>
              <w:right w:val="single" w:color="000000" w:sz="4" w:space="0"/>
            </w:tcBorders>
          </w:tcPr>
          <w:p w14:paraId="426C0AE3">
            <w:pPr>
              <w:pStyle w:val="490"/>
              <w:kinsoku w:val="0"/>
              <w:overflowPunct w:val="0"/>
              <w:rPr>
                <w:rFonts w:ascii="Times New Roman" w:eastAsia="Times New Roman"/>
                <w:color w:val="auto"/>
                <w:highlight w:val="none"/>
              </w:rPr>
            </w:pPr>
          </w:p>
        </w:tc>
        <w:tc>
          <w:tcPr>
            <w:tcW w:w="1123" w:type="dxa"/>
            <w:tcBorders>
              <w:top w:val="single" w:color="000000" w:sz="4" w:space="0"/>
              <w:left w:val="single" w:color="000000" w:sz="4" w:space="0"/>
              <w:bottom w:val="single" w:color="000000" w:sz="4" w:space="0"/>
              <w:right w:val="single" w:color="000000" w:sz="4" w:space="0"/>
            </w:tcBorders>
          </w:tcPr>
          <w:p w14:paraId="45EA8493">
            <w:pPr>
              <w:pStyle w:val="490"/>
              <w:kinsoku w:val="0"/>
              <w:overflowPunct w:val="0"/>
              <w:rPr>
                <w:rFonts w:ascii="Times New Roman" w:eastAsia="Times New Roman"/>
                <w:color w:val="auto"/>
                <w:highlight w:val="none"/>
              </w:rPr>
            </w:pPr>
          </w:p>
        </w:tc>
      </w:tr>
      <w:tr w14:paraId="52F36695">
        <w:tblPrEx>
          <w:tblCellMar>
            <w:top w:w="0" w:type="dxa"/>
            <w:left w:w="108" w:type="dxa"/>
            <w:bottom w:w="0" w:type="dxa"/>
            <w:right w:w="108" w:type="dxa"/>
          </w:tblCellMar>
        </w:tblPrEx>
        <w:trPr>
          <w:trHeight w:val="614" w:hRule="atLeast"/>
          <w:jc w:val="center"/>
        </w:trPr>
        <w:tc>
          <w:tcPr>
            <w:tcW w:w="675" w:type="dxa"/>
            <w:tcBorders>
              <w:top w:val="single" w:color="000000" w:sz="4" w:space="0"/>
              <w:left w:val="single" w:color="000000" w:sz="4" w:space="0"/>
              <w:bottom w:val="single" w:color="000000" w:sz="4" w:space="0"/>
              <w:right w:val="single" w:color="000000" w:sz="4" w:space="0"/>
            </w:tcBorders>
          </w:tcPr>
          <w:p w14:paraId="298C73E3">
            <w:pPr>
              <w:pStyle w:val="490"/>
              <w:kinsoku w:val="0"/>
              <w:overflowPunct w:val="0"/>
              <w:rPr>
                <w:rFonts w:ascii="Times New Roman" w:eastAsia="Times New Roman"/>
                <w:color w:val="auto"/>
                <w:highlight w:val="none"/>
              </w:rPr>
            </w:pPr>
          </w:p>
        </w:tc>
        <w:tc>
          <w:tcPr>
            <w:tcW w:w="1470" w:type="dxa"/>
            <w:tcBorders>
              <w:top w:val="single" w:color="000000" w:sz="4" w:space="0"/>
              <w:left w:val="single" w:color="000000" w:sz="4" w:space="0"/>
              <w:bottom w:val="single" w:color="000000" w:sz="4" w:space="0"/>
              <w:right w:val="single" w:color="000000" w:sz="4" w:space="0"/>
            </w:tcBorders>
          </w:tcPr>
          <w:p w14:paraId="0C4688AF">
            <w:pPr>
              <w:pStyle w:val="490"/>
              <w:kinsoku w:val="0"/>
              <w:overflowPunct w:val="0"/>
              <w:rPr>
                <w:rFonts w:ascii="Times New Roman" w:eastAsia="Times New Roman"/>
                <w:color w:val="auto"/>
                <w:highlight w:val="none"/>
              </w:rPr>
            </w:pPr>
          </w:p>
        </w:tc>
        <w:tc>
          <w:tcPr>
            <w:tcW w:w="1648" w:type="dxa"/>
            <w:tcBorders>
              <w:top w:val="single" w:color="000000" w:sz="4" w:space="0"/>
              <w:left w:val="single" w:color="000000" w:sz="4" w:space="0"/>
              <w:bottom w:val="single" w:color="000000" w:sz="4" w:space="0"/>
              <w:right w:val="single" w:color="000000" w:sz="4" w:space="0"/>
            </w:tcBorders>
          </w:tcPr>
          <w:p w14:paraId="08F6646A">
            <w:pPr>
              <w:pStyle w:val="490"/>
              <w:kinsoku w:val="0"/>
              <w:overflowPunct w:val="0"/>
              <w:rPr>
                <w:rFonts w:ascii="Times New Roman" w:eastAsia="Times New Roman"/>
                <w:color w:val="auto"/>
                <w:highlight w:val="none"/>
              </w:rPr>
            </w:pPr>
          </w:p>
        </w:tc>
        <w:tc>
          <w:tcPr>
            <w:tcW w:w="1097" w:type="dxa"/>
            <w:tcBorders>
              <w:top w:val="single" w:color="000000" w:sz="4" w:space="0"/>
              <w:left w:val="single" w:color="000000" w:sz="4" w:space="0"/>
              <w:bottom w:val="single" w:color="000000" w:sz="4" w:space="0"/>
              <w:right w:val="single" w:color="000000" w:sz="4" w:space="0"/>
            </w:tcBorders>
          </w:tcPr>
          <w:p w14:paraId="6F76EAE1">
            <w:pPr>
              <w:pStyle w:val="490"/>
              <w:kinsoku w:val="0"/>
              <w:overflowPunct w:val="0"/>
              <w:rPr>
                <w:rFonts w:ascii="Times New Roman" w:eastAsia="Times New Roman"/>
                <w:color w:val="auto"/>
                <w:highlight w:val="none"/>
              </w:rPr>
            </w:pPr>
          </w:p>
        </w:tc>
        <w:tc>
          <w:tcPr>
            <w:tcW w:w="1185" w:type="dxa"/>
            <w:tcBorders>
              <w:top w:val="single" w:color="000000" w:sz="4" w:space="0"/>
              <w:left w:val="single" w:color="000000" w:sz="4" w:space="0"/>
              <w:bottom w:val="single" w:color="000000" w:sz="4" w:space="0"/>
              <w:right w:val="single" w:color="000000" w:sz="4" w:space="0"/>
            </w:tcBorders>
          </w:tcPr>
          <w:p w14:paraId="401DB8AB">
            <w:pPr>
              <w:pStyle w:val="490"/>
              <w:kinsoku w:val="0"/>
              <w:overflowPunct w:val="0"/>
              <w:rPr>
                <w:rFonts w:ascii="Times New Roman" w:eastAsia="Times New Roman"/>
                <w:color w:val="auto"/>
                <w:highlight w:val="none"/>
              </w:rPr>
            </w:pPr>
          </w:p>
        </w:tc>
        <w:tc>
          <w:tcPr>
            <w:tcW w:w="1095" w:type="dxa"/>
            <w:tcBorders>
              <w:top w:val="single" w:color="000000" w:sz="4" w:space="0"/>
              <w:left w:val="single" w:color="000000" w:sz="4" w:space="0"/>
              <w:bottom w:val="single" w:color="000000" w:sz="4" w:space="0"/>
              <w:right w:val="single" w:color="000000" w:sz="4" w:space="0"/>
            </w:tcBorders>
          </w:tcPr>
          <w:p w14:paraId="4F424692">
            <w:pPr>
              <w:pStyle w:val="490"/>
              <w:kinsoku w:val="0"/>
              <w:overflowPunct w:val="0"/>
              <w:rPr>
                <w:rFonts w:ascii="Times New Roman" w:eastAsia="Times New Roman"/>
                <w:color w:val="auto"/>
                <w:highlight w:val="none"/>
              </w:rPr>
            </w:pPr>
          </w:p>
        </w:tc>
        <w:tc>
          <w:tcPr>
            <w:tcW w:w="1320" w:type="dxa"/>
            <w:tcBorders>
              <w:top w:val="single" w:color="000000" w:sz="4" w:space="0"/>
              <w:left w:val="single" w:color="000000" w:sz="4" w:space="0"/>
              <w:bottom w:val="single" w:color="000000" w:sz="4" w:space="0"/>
              <w:right w:val="single" w:color="000000" w:sz="4" w:space="0"/>
            </w:tcBorders>
          </w:tcPr>
          <w:p w14:paraId="3C9A2FB2">
            <w:pPr>
              <w:pStyle w:val="490"/>
              <w:kinsoku w:val="0"/>
              <w:overflowPunct w:val="0"/>
              <w:rPr>
                <w:rFonts w:ascii="Times New Roman" w:eastAsia="Times New Roman"/>
                <w:color w:val="auto"/>
                <w:highlight w:val="none"/>
              </w:rPr>
            </w:pPr>
          </w:p>
        </w:tc>
        <w:tc>
          <w:tcPr>
            <w:tcW w:w="1123" w:type="dxa"/>
            <w:tcBorders>
              <w:top w:val="single" w:color="000000" w:sz="4" w:space="0"/>
              <w:left w:val="single" w:color="000000" w:sz="4" w:space="0"/>
              <w:bottom w:val="single" w:color="000000" w:sz="4" w:space="0"/>
              <w:right w:val="single" w:color="000000" w:sz="4" w:space="0"/>
            </w:tcBorders>
          </w:tcPr>
          <w:p w14:paraId="0224A5A5">
            <w:pPr>
              <w:pStyle w:val="490"/>
              <w:kinsoku w:val="0"/>
              <w:overflowPunct w:val="0"/>
              <w:rPr>
                <w:rFonts w:ascii="Times New Roman" w:eastAsia="Times New Roman"/>
                <w:color w:val="auto"/>
                <w:highlight w:val="none"/>
              </w:rPr>
            </w:pPr>
          </w:p>
        </w:tc>
      </w:tr>
      <w:tr w14:paraId="2CB0DE6F">
        <w:tblPrEx>
          <w:tblCellMar>
            <w:top w:w="0" w:type="dxa"/>
            <w:left w:w="108" w:type="dxa"/>
            <w:bottom w:w="0" w:type="dxa"/>
            <w:right w:w="108" w:type="dxa"/>
          </w:tblCellMar>
        </w:tblPrEx>
        <w:trPr>
          <w:trHeight w:val="613" w:hRule="atLeast"/>
          <w:jc w:val="center"/>
        </w:trPr>
        <w:tc>
          <w:tcPr>
            <w:tcW w:w="675" w:type="dxa"/>
            <w:tcBorders>
              <w:top w:val="single" w:color="000000" w:sz="4" w:space="0"/>
              <w:left w:val="single" w:color="000000" w:sz="4" w:space="0"/>
              <w:bottom w:val="single" w:color="000000" w:sz="4" w:space="0"/>
              <w:right w:val="single" w:color="000000" w:sz="4" w:space="0"/>
            </w:tcBorders>
          </w:tcPr>
          <w:p w14:paraId="5EB35272">
            <w:pPr>
              <w:pStyle w:val="490"/>
              <w:kinsoku w:val="0"/>
              <w:overflowPunct w:val="0"/>
              <w:rPr>
                <w:rFonts w:ascii="Times New Roman" w:eastAsia="Times New Roman"/>
                <w:color w:val="auto"/>
                <w:highlight w:val="none"/>
              </w:rPr>
            </w:pPr>
          </w:p>
        </w:tc>
        <w:tc>
          <w:tcPr>
            <w:tcW w:w="1470" w:type="dxa"/>
            <w:tcBorders>
              <w:top w:val="single" w:color="000000" w:sz="4" w:space="0"/>
              <w:left w:val="single" w:color="000000" w:sz="4" w:space="0"/>
              <w:bottom w:val="single" w:color="000000" w:sz="4" w:space="0"/>
              <w:right w:val="single" w:color="000000" w:sz="4" w:space="0"/>
            </w:tcBorders>
          </w:tcPr>
          <w:p w14:paraId="206EDAF9">
            <w:pPr>
              <w:pStyle w:val="490"/>
              <w:kinsoku w:val="0"/>
              <w:overflowPunct w:val="0"/>
              <w:rPr>
                <w:rFonts w:ascii="Times New Roman" w:eastAsia="Times New Roman"/>
                <w:color w:val="auto"/>
                <w:highlight w:val="none"/>
              </w:rPr>
            </w:pPr>
          </w:p>
        </w:tc>
        <w:tc>
          <w:tcPr>
            <w:tcW w:w="1648" w:type="dxa"/>
            <w:tcBorders>
              <w:top w:val="single" w:color="000000" w:sz="4" w:space="0"/>
              <w:left w:val="single" w:color="000000" w:sz="4" w:space="0"/>
              <w:bottom w:val="single" w:color="000000" w:sz="4" w:space="0"/>
              <w:right w:val="single" w:color="000000" w:sz="4" w:space="0"/>
            </w:tcBorders>
          </w:tcPr>
          <w:p w14:paraId="57D34A16">
            <w:pPr>
              <w:pStyle w:val="490"/>
              <w:kinsoku w:val="0"/>
              <w:overflowPunct w:val="0"/>
              <w:rPr>
                <w:rFonts w:ascii="Times New Roman" w:eastAsia="Times New Roman"/>
                <w:color w:val="auto"/>
                <w:highlight w:val="none"/>
              </w:rPr>
            </w:pPr>
          </w:p>
        </w:tc>
        <w:tc>
          <w:tcPr>
            <w:tcW w:w="1097" w:type="dxa"/>
            <w:tcBorders>
              <w:top w:val="single" w:color="000000" w:sz="4" w:space="0"/>
              <w:left w:val="single" w:color="000000" w:sz="4" w:space="0"/>
              <w:bottom w:val="single" w:color="000000" w:sz="4" w:space="0"/>
              <w:right w:val="single" w:color="000000" w:sz="4" w:space="0"/>
            </w:tcBorders>
          </w:tcPr>
          <w:p w14:paraId="5FCE20B5">
            <w:pPr>
              <w:pStyle w:val="490"/>
              <w:kinsoku w:val="0"/>
              <w:overflowPunct w:val="0"/>
              <w:rPr>
                <w:rFonts w:ascii="Times New Roman" w:eastAsia="Times New Roman"/>
                <w:color w:val="auto"/>
                <w:highlight w:val="none"/>
              </w:rPr>
            </w:pPr>
          </w:p>
        </w:tc>
        <w:tc>
          <w:tcPr>
            <w:tcW w:w="1185" w:type="dxa"/>
            <w:tcBorders>
              <w:top w:val="single" w:color="000000" w:sz="4" w:space="0"/>
              <w:left w:val="single" w:color="000000" w:sz="4" w:space="0"/>
              <w:bottom w:val="single" w:color="000000" w:sz="4" w:space="0"/>
              <w:right w:val="single" w:color="000000" w:sz="4" w:space="0"/>
            </w:tcBorders>
          </w:tcPr>
          <w:p w14:paraId="01C99D1E">
            <w:pPr>
              <w:pStyle w:val="490"/>
              <w:kinsoku w:val="0"/>
              <w:overflowPunct w:val="0"/>
              <w:rPr>
                <w:rFonts w:ascii="Times New Roman" w:eastAsia="Times New Roman"/>
                <w:color w:val="auto"/>
                <w:highlight w:val="none"/>
              </w:rPr>
            </w:pPr>
          </w:p>
        </w:tc>
        <w:tc>
          <w:tcPr>
            <w:tcW w:w="1095" w:type="dxa"/>
            <w:tcBorders>
              <w:top w:val="single" w:color="000000" w:sz="4" w:space="0"/>
              <w:left w:val="single" w:color="000000" w:sz="4" w:space="0"/>
              <w:bottom w:val="single" w:color="000000" w:sz="4" w:space="0"/>
              <w:right w:val="single" w:color="000000" w:sz="4" w:space="0"/>
            </w:tcBorders>
          </w:tcPr>
          <w:p w14:paraId="2E9D47D0">
            <w:pPr>
              <w:pStyle w:val="490"/>
              <w:kinsoku w:val="0"/>
              <w:overflowPunct w:val="0"/>
              <w:rPr>
                <w:rFonts w:ascii="Times New Roman" w:eastAsia="Times New Roman"/>
                <w:color w:val="auto"/>
                <w:highlight w:val="none"/>
              </w:rPr>
            </w:pPr>
          </w:p>
        </w:tc>
        <w:tc>
          <w:tcPr>
            <w:tcW w:w="1320" w:type="dxa"/>
            <w:tcBorders>
              <w:top w:val="single" w:color="000000" w:sz="4" w:space="0"/>
              <w:left w:val="single" w:color="000000" w:sz="4" w:space="0"/>
              <w:bottom w:val="single" w:color="000000" w:sz="4" w:space="0"/>
              <w:right w:val="single" w:color="000000" w:sz="4" w:space="0"/>
            </w:tcBorders>
          </w:tcPr>
          <w:p w14:paraId="62D8CE14">
            <w:pPr>
              <w:pStyle w:val="490"/>
              <w:kinsoku w:val="0"/>
              <w:overflowPunct w:val="0"/>
              <w:rPr>
                <w:rFonts w:ascii="Times New Roman" w:eastAsia="Times New Roman"/>
                <w:color w:val="auto"/>
                <w:highlight w:val="none"/>
              </w:rPr>
            </w:pPr>
          </w:p>
        </w:tc>
        <w:tc>
          <w:tcPr>
            <w:tcW w:w="1123" w:type="dxa"/>
            <w:tcBorders>
              <w:top w:val="single" w:color="000000" w:sz="4" w:space="0"/>
              <w:left w:val="single" w:color="000000" w:sz="4" w:space="0"/>
              <w:bottom w:val="single" w:color="000000" w:sz="4" w:space="0"/>
              <w:right w:val="single" w:color="000000" w:sz="4" w:space="0"/>
            </w:tcBorders>
          </w:tcPr>
          <w:p w14:paraId="3266CC1A">
            <w:pPr>
              <w:pStyle w:val="490"/>
              <w:kinsoku w:val="0"/>
              <w:overflowPunct w:val="0"/>
              <w:rPr>
                <w:rFonts w:ascii="Times New Roman" w:eastAsia="Times New Roman"/>
                <w:color w:val="auto"/>
                <w:highlight w:val="none"/>
              </w:rPr>
            </w:pPr>
          </w:p>
        </w:tc>
      </w:tr>
    </w:tbl>
    <w:p w14:paraId="18520BC3">
      <w:pPr>
        <w:pStyle w:val="20"/>
        <w:kinsoku w:val="0"/>
        <w:overflowPunct w:val="0"/>
        <w:rPr>
          <w:b/>
          <w:color w:val="auto"/>
          <w:sz w:val="28"/>
          <w:highlight w:val="none"/>
        </w:rPr>
      </w:pPr>
    </w:p>
    <w:p w14:paraId="1E99FD9A">
      <w:pPr>
        <w:pStyle w:val="20"/>
        <w:kinsoku w:val="0"/>
        <w:overflowPunct w:val="0"/>
        <w:spacing w:before="9"/>
        <w:rPr>
          <w:b/>
          <w:color w:val="auto"/>
          <w:sz w:val="38"/>
          <w:highlight w:val="none"/>
        </w:rPr>
      </w:pPr>
    </w:p>
    <w:p w14:paraId="14A2B48C">
      <w:pPr>
        <w:snapToGrid w:val="0"/>
        <w:spacing w:before="50" w:after="50" w:line="360" w:lineRule="auto"/>
        <w:ind w:right="141" w:rightChars="67" w:firstLine="2640" w:firstLineChars="1100"/>
        <w:rPr>
          <w:rFonts w:ascii="宋体" w:hAnsi="宋体" w:cs="仿宋_GB2312"/>
          <w:color w:val="auto"/>
          <w:sz w:val="24"/>
          <w:highlight w:val="none"/>
        </w:rPr>
      </w:pPr>
      <w:r>
        <w:rPr>
          <w:rFonts w:hint="eastAsia" w:ascii="宋体" w:hAnsi="宋体" w:cs="仿宋_GB2312"/>
          <w:color w:val="auto"/>
          <w:sz w:val="24"/>
          <w:highlight w:val="none"/>
        </w:rPr>
        <w:t>法定代表人或者委托代理人（签字）：</w:t>
      </w:r>
      <w:r>
        <w:rPr>
          <w:rFonts w:hint="eastAsia" w:ascii="宋体" w:hAnsi="宋体" w:cs="仿宋_GB2312"/>
          <w:color w:val="auto"/>
          <w:sz w:val="24"/>
          <w:highlight w:val="none"/>
          <w:u w:val="single"/>
        </w:rPr>
        <w:t xml:space="preserve">           </w:t>
      </w:r>
    </w:p>
    <w:p w14:paraId="40F509CB">
      <w:pPr>
        <w:snapToGrid w:val="0"/>
        <w:spacing w:before="50" w:after="50" w:line="360" w:lineRule="auto"/>
        <w:ind w:right="141" w:rightChars="67" w:firstLine="4560" w:firstLineChars="1900"/>
        <w:rPr>
          <w:rFonts w:ascii="宋体" w:hAnsi="宋体" w:cs="仿宋_GB2312"/>
          <w:color w:val="auto"/>
          <w:sz w:val="24"/>
          <w:highlight w:val="none"/>
          <w:u w:val="single"/>
        </w:rPr>
      </w:pPr>
      <w:r>
        <w:rPr>
          <w:rFonts w:hint="eastAsia" w:ascii="宋体" w:hAnsi="宋体" w:cs="仿宋_GB2312"/>
          <w:color w:val="auto"/>
          <w:sz w:val="24"/>
          <w:highlight w:val="none"/>
        </w:rPr>
        <w:t>供应商（电子签章）：</w:t>
      </w:r>
      <w:r>
        <w:rPr>
          <w:rFonts w:hint="eastAsia" w:ascii="宋体" w:hAnsi="宋体" w:cs="仿宋_GB2312"/>
          <w:color w:val="auto"/>
          <w:sz w:val="24"/>
          <w:highlight w:val="none"/>
          <w:u w:val="single"/>
        </w:rPr>
        <w:t xml:space="preserve">             </w:t>
      </w:r>
    </w:p>
    <w:p w14:paraId="13858DA9">
      <w:pPr>
        <w:pStyle w:val="20"/>
        <w:tabs>
          <w:tab w:val="left" w:pos="1266"/>
          <w:tab w:val="left" w:pos="1866"/>
        </w:tabs>
        <w:kinsoku w:val="0"/>
        <w:overflowPunct w:val="0"/>
        <w:spacing w:before="186"/>
        <w:ind w:left="546" w:firstLine="4800" w:firstLineChars="2000"/>
        <w:rPr>
          <w:color w:val="auto"/>
          <w:sz w:val="24"/>
          <w:highlight w:val="none"/>
        </w:rPr>
        <w:sectPr>
          <w:pgSz w:w="11910" w:h="16840"/>
          <w:pgMar w:top="1440" w:right="1370" w:bottom="1440" w:left="1520" w:header="737" w:footer="1198" w:gutter="0"/>
          <w:pgNumType w:fmt="decimal"/>
          <w:cols w:space="720" w:num="1"/>
        </w:sectPr>
      </w:pPr>
      <w:r>
        <w:rPr>
          <w:rFonts w:hint="eastAsia" w:ascii="宋体" w:hAnsi="宋体"/>
          <w:color w:val="auto"/>
          <w:sz w:val="24"/>
          <w:highlight w:val="none"/>
        </w:rPr>
        <w:t>日期：   年   月   日</w:t>
      </w:r>
    </w:p>
    <w:p w14:paraId="059848DE">
      <w:pPr>
        <w:rPr>
          <w:color w:val="auto"/>
          <w:highlight w:val="none"/>
        </w:rPr>
      </w:pPr>
    </w:p>
    <w:p w14:paraId="3E30102A">
      <w:pPr>
        <w:rPr>
          <w:color w:val="auto"/>
          <w:highlight w:val="none"/>
        </w:rPr>
      </w:pPr>
    </w:p>
    <w:p w14:paraId="54E8F8D8">
      <w:pPr>
        <w:rPr>
          <w:color w:val="auto"/>
          <w:highlight w:val="none"/>
        </w:rPr>
      </w:pPr>
    </w:p>
    <w:p w14:paraId="089F4B4B">
      <w:pPr>
        <w:rPr>
          <w:color w:val="auto"/>
          <w:highlight w:val="none"/>
        </w:rPr>
      </w:pPr>
    </w:p>
    <w:p w14:paraId="62182109">
      <w:pPr>
        <w:rPr>
          <w:color w:val="auto"/>
          <w:highlight w:val="none"/>
        </w:rPr>
      </w:pPr>
    </w:p>
    <w:p w14:paraId="52B8373A">
      <w:pPr>
        <w:rPr>
          <w:color w:val="auto"/>
          <w:highlight w:val="none"/>
        </w:rPr>
      </w:pPr>
    </w:p>
    <w:p w14:paraId="002B8790">
      <w:pPr>
        <w:rPr>
          <w:color w:val="auto"/>
          <w:highlight w:val="none"/>
        </w:rPr>
      </w:pPr>
    </w:p>
    <w:p w14:paraId="20FC4A79">
      <w:pPr>
        <w:rPr>
          <w:color w:val="auto"/>
          <w:highlight w:val="none"/>
        </w:rPr>
      </w:pPr>
    </w:p>
    <w:p w14:paraId="09C1CF6A">
      <w:pPr>
        <w:rPr>
          <w:color w:val="auto"/>
          <w:highlight w:val="none"/>
        </w:rPr>
      </w:pPr>
    </w:p>
    <w:p w14:paraId="6B3ED3FF">
      <w:pPr>
        <w:rPr>
          <w:color w:val="auto"/>
          <w:highlight w:val="none"/>
        </w:rPr>
      </w:pPr>
    </w:p>
    <w:p w14:paraId="6457CA35">
      <w:pPr>
        <w:rPr>
          <w:color w:val="auto"/>
          <w:highlight w:val="none"/>
        </w:rPr>
      </w:pPr>
    </w:p>
    <w:p w14:paraId="16F534BD">
      <w:pPr>
        <w:rPr>
          <w:color w:val="auto"/>
          <w:highlight w:val="none"/>
        </w:rPr>
      </w:pPr>
    </w:p>
    <w:p w14:paraId="57F4F633">
      <w:pPr>
        <w:rPr>
          <w:color w:val="auto"/>
          <w:highlight w:val="none"/>
        </w:rPr>
      </w:pPr>
    </w:p>
    <w:p w14:paraId="6B95DD90">
      <w:pPr>
        <w:pStyle w:val="33"/>
        <w:rPr>
          <w:rFonts w:ascii="宋体" w:hAnsi="宋体" w:cs="宋体"/>
          <w:color w:val="auto"/>
          <w:highlight w:val="none"/>
        </w:rPr>
      </w:pPr>
    </w:p>
    <w:p w14:paraId="6F61D1C0">
      <w:pPr>
        <w:pStyle w:val="33"/>
        <w:rPr>
          <w:rFonts w:ascii="宋体" w:hAnsi="宋体" w:cs="宋体"/>
          <w:color w:val="auto"/>
          <w:highlight w:val="none"/>
        </w:rPr>
      </w:pPr>
    </w:p>
    <w:p w14:paraId="16B89715">
      <w:pPr>
        <w:pStyle w:val="33"/>
        <w:rPr>
          <w:rFonts w:ascii="宋体" w:hAnsi="宋体" w:cs="宋体"/>
          <w:color w:val="auto"/>
          <w:highlight w:val="none"/>
        </w:rPr>
      </w:pPr>
    </w:p>
    <w:p w14:paraId="4288BC7F">
      <w:pPr>
        <w:pStyle w:val="33"/>
        <w:rPr>
          <w:rFonts w:ascii="宋体" w:hAnsi="宋体" w:cs="宋体"/>
          <w:color w:val="auto"/>
          <w:highlight w:val="none"/>
        </w:rPr>
      </w:pPr>
    </w:p>
    <w:p w14:paraId="12B43300">
      <w:pPr>
        <w:pStyle w:val="33"/>
        <w:rPr>
          <w:rFonts w:ascii="宋体" w:hAnsi="宋体" w:cs="宋体"/>
          <w:color w:val="auto"/>
          <w:highlight w:val="none"/>
        </w:rPr>
      </w:pPr>
    </w:p>
    <w:p w14:paraId="261538D4">
      <w:pPr>
        <w:pStyle w:val="33"/>
        <w:rPr>
          <w:rFonts w:ascii="宋体" w:hAnsi="宋体" w:cs="宋体"/>
          <w:color w:val="auto"/>
          <w:highlight w:val="none"/>
        </w:rPr>
      </w:pPr>
    </w:p>
    <w:p w14:paraId="1731EED7">
      <w:pPr>
        <w:pStyle w:val="33"/>
        <w:rPr>
          <w:rFonts w:ascii="宋体" w:hAnsi="宋体" w:cs="宋体"/>
          <w:color w:val="auto"/>
          <w:highlight w:val="none"/>
        </w:rPr>
      </w:pPr>
    </w:p>
    <w:p w14:paraId="71A46F11">
      <w:pPr>
        <w:pStyle w:val="33"/>
        <w:rPr>
          <w:rFonts w:ascii="宋体" w:hAnsi="宋体" w:cs="宋体"/>
          <w:color w:val="auto"/>
          <w:highlight w:val="none"/>
        </w:rPr>
      </w:pPr>
    </w:p>
    <w:p w14:paraId="4C45CB86">
      <w:pPr>
        <w:pStyle w:val="33"/>
        <w:rPr>
          <w:rFonts w:ascii="宋体" w:hAnsi="宋体" w:cs="宋体"/>
          <w:color w:val="auto"/>
          <w:highlight w:val="none"/>
        </w:rPr>
      </w:pPr>
    </w:p>
    <w:p w14:paraId="2C9DA055">
      <w:pPr>
        <w:pStyle w:val="33"/>
        <w:rPr>
          <w:rFonts w:ascii="宋体" w:hAnsi="宋体" w:cs="宋体"/>
          <w:color w:val="auto"/>
          <w:highlight w:val="none"/>
        </w:rPr>
      </w:pPr>
    </w:p>
    <w:p w14:paraId="361CAFC0">
      <w:pPr>
        <w:pStyle w:val="33"/>
        <w:rPr>
          <w:rFonts w:ascii="宋体" w:hAnsi="宋体" w:cs="宋体"/>
          <w:color w:val="auto"/>
          <w:highlight w:val="none"/>
        </w:rPr>
      </w:pPr>
    </w:p>
    <w:p w14:paraId="058F2E8C">
      <w:pPr>
        <w:pStyle w:val="33"/>
        <w:rPr>
          <w:rFonts w:ascii="宋体" w:hAnsi="宋体" w:cs="宋体"/>
          <w:color w:val="auto"/>
          <w:highlight w:val="none"/>
        </w:rPr>
      </w:pPr>
    </w:p>
    <w:p w14:paraId="47379970">
      <w:pPr>
        <w:pStyle w:val="2"/>
        <w:jc w:val="center"/>
        <w:rPr>
          <w:rFonts w:ascii="宋体" w:hAnsi="宋体" w:cs="宋体"/>
          <w:b w:val="0"/>
          <w:bCs w:val="0"/>
          <w:color w:val="auto"/>
          <w:highlight w:val="none"/>
        </w:rPr>
        <w:sectPr>
          <w:footerReference r:id="rId9" w:type="default"/>
          <w:pgSz w:w="11910" w:h="16840"/>
          <w:pgMar w:top="1340" w:right="1500" w:bottom="1220" w:left="1680" w:header="720" w:footer="720" w:gutter="0"/>
          <w:pgNumType w:fmt="decimal"/>
          <w:cols w:space="720" w:num="1"/>
        </w:sectPr>
      </w:pPr>
      <w:bookmarkStart w:id="126" w:name="_Toc1828"/>
      <w:bookmarkStart w:id="127" w:name="_Toc24586"/>
      <w:bookmarkStart w:id="128" w:name="_Toc120174210"/>
      <w:bookmarkStart w:id="129" w:name="_Toc31621"/>
      <w:r>
        <w:rPr>
          <w:rFonts w:hint="eastAsia" w:ascii="宋体" w:hAnsi="宋体" w:cs="宋体"/>
          <w:color w:val="auto"/>
          <w:highlight w:val="none"/>
        </w:rPr>
        <w:t xml:space="preserve">第七章 </w:t>
      </w:r>
      <w:bookmarkEnd w:id="126"/>
      <w:r>
        <w:rPr>
          <w:rFonts w:hint="eastAsia" w:ascii="宋体" w:hAnsi="宋体" w:cs="宋体"/>
          <w:color w:val="auto"/>
          <w:highlight w:val="none"/>
        </w:rPr>
        <w:t>合同条款及格式</w:t>
      </w:r>
      <w:bookmarkEnd w:id="127"/>
    </w:p>
    <w:bookmarkEnd w:id="128"/>
    <w:bookmarkEnd w:id="129"/>
    <w:p w14:paraId="3B06410B">
      <w:pPr>
        <w:pStyle w:val="3"/>
        <w:jc w:val="center"/>
        <w:rPr>
          <w:color w:val="auto"/>
          <w:highlight w:val="none"/>
        </w:rPr>
      </w:pPr>
      <w:bookmarkStart w:id="130" w:name="_Toc7153"/>
      <w:bookmarkStart w:id="131" w:name="_Toc6014"/>
      <w:bookmarkStart w:id="132" w:name="_Toc13447"/>
      <w:bookmarkStart w:id="133" w:name="_Toc147350604"/>
      <w:bookmarkStart w:id="134" w:name="_Toc241946162"/>
      <w:bookmarkStart w:id="135" w:name="bookmark878"/>
      <w:bookmarkStart w:id="136" w:name="bookmark879"/>
      <w:bookmarkStart w:id="137" w:name="bookmark880"/>
      <w:bookmarkStart w:id="138" w:name="_Toc120174328"/>
      <w:bookmarkStart w:id="139" w:name="_Toc8542"/>
      <w:r>
        <w:rPr>
          <w:rFonts w:hint="eastAsia"/>
          <w:color w:val="auto"/>
          <w:highlight w:val="none"/>
        </w:rPr>
        <w:t>第一节 通用合同条款</w:t>
      </w:r>
      <w:bookmarkEnd w:id="130"/>
      <w:bookmarkEnd w:id="131"/>
      <w:bookmarkEnd w:id="132"/>
      <w:bookmarkEnd w:id="133"/>
      <w:bookmarkEnd w:id="134"/>
      <w:bookmarkEnd w:id="135"/>
      <w:bookmarkEnd w:id="136"/>
      <w:bookmarkEnd w:id="137"/>
    </w:p>
    <w:p w14:paraId="79FA174A">
      <w:pPr>
        <w:pStyle w:val="5"/>
        <w:spacing w:line="360" w:lineRule="auto"/>
        <w:rPr>
          <w:color w:val="auto"/>
          <w:highlight w:val="none"/>
        </w:rPr>
      </w:pPr>
      <w:bookmarkStart w:id="140" w:name="bookmark881"/>
      <w:bookmarkStart w:id="141" w:name="_Toc19504"/>
      <w:bookmarkStart w:id="142" w:name="bookmark882"/>
      <w:bookmarkStart w:id="143" w:name="_Toc2030700267"/>
      <w:bookmarkStart w:id="144" w:name="_Toc17854"/>
      <w:bookmarkStart w:id="145" w:name="bookmark883"/>
      <w:bookmarkStart w:id="146" w:name="_Toc147350605"/>
      <w:r>
        <w:rPr>
          <w:rFonts w:hint="eastAsia"/>
          <w:color w:val="auto"/>
          <w:highlight w:val="none"/>
        </w:rPr>
        <w:t>1. 一般约定</w:t>
      </w:r>
      <w:bookmarkEnd w:id="140"/>
      <w:bookmarkEnd w:id="141"/>
      <w:bookmarkEnd w:id="142"/>
      <w:bookmarkEnd w:id="143"/>
      <w:bookmarkEnd w:id="144"/>
      <w:bookmarkEnd w:id="145"/>
      <w:bookmarkEnd w:id="146"/>
    </w:p>
    <w:p w14:paraId="0A5C58FD">
      <w:pPr>
        <w:spacing w:line="360" w:lineRule="auto"/>
        <w:rPr>
          <w:color w:val="auto"/>
          <w:highlight w:val="none"/>
        </w:rPr>
      </w:pPr>
      <w:bookmarkStart w:id="147" w:name="bookmark886"/>
      <w:bookmarkStart w:id="148" w:name="bookmark885"/>
      <w:bookmarkStart w:id="149" w:name="_Toc5974"/>
      <w:bookmarkStart w:id="150" w:name="bookmark884"/>
      <w:r>
        <w:rPr>
          <w:color w:val="auto"/>
          <w:highlight w:val="none"/>
        </w:rPr>
        <w:t>1.1词语定义</w:t>
      </w:r>
      <w:bookmarkEnd w:id="147"/>
      <w:bookmarkEnd w:id="148"/>
      <w:bookmarkEnd w:id="149"/>
      <w:bookmarkEnd w:id="150"/>
    </w:p>
    <w:p w14:paraId="13CE92FE">
      <w:pPr>
        <w:pStyle w:val="523"/>
        <w:ind w:firstLine="420"/>
        <w:rPr>
          <w:rFonts w:ascii="Times New Roman" w:hAnsi="Times New Roman"/>
          <w:color w:val="auto"/>
          <w:highlight w:val="none"/>
        </w:rPr>
      </w:pPr>
      <w:r>
        <w:rPr>
          <w:rFonts w:hint="eastAsia" w:ascii="Times New Roman" w:hAnsi="Times New Roman"/>
          <w:color w:val="auto"/>
          <w:highlight w:val="none"/>
        </w:rPr>
        <w:t>通用合同条款、专用合同条款中的下列词语应具有本款所赋予的含义。</w:t>
      </w:r>
    </w:p>
    <w:p w14:paraId="76E9CCC6">
      <w:pPr>
        <w:pStyle w:val="524"/>
        <w:spacing w:after="0" w:line="360" w:lineRule="auto"/>
        <w:rPr>
          <w:rFonts w:cs="宋体"/>
          <w:color w:val="auto"/>
          <w:highlight w:val="none"/>
        </w:rPr>
      </w:pPr>
      <w:r>
        <w:rPr>
          <w:rFonts w:hint="eastAsia" w:cs="宋体"/>
          <w:color w:val="auto"/>
          <w:highlight w:val="none"/>
        </w:rPr>
        <w:t>1.1.</w:t>
      </w:r>
      <w:r>
        <w:rPr>
          <w:rFonts w:hint="eastAsia" w:cs="宋体"/>
          <w:color w:val="auto"/>
          <w:highlight w:val="none"/>
          <w:lang w:val="zh-CN" w:bidi="zh-CN"/>
        </w:rPr>
        <w:t>1合同</w:t>
      </w:r>
    </w:p>
    <w:p w14:paraId="0261B21B">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1.1.1.1</w:t>
      </w:r>
      <w:r>
        <w:rPr>
          <w:rFonts w:hint="eastAsia" w:ascii="Times New Roman" w:hAnsi="Times New Roman"/>
          <w:color w:val="auto"/>
          <w:highlight w:val="none"/>
        </w:rPr>
        <w:t>合同文件（或称合同）：指合同协议书、中标通知书、投标函及投标函附录、专用合同条款、通用合同条款、技术标准和要求、图纸、已标价工程量清单，以及其他合同文件。</w:t>
      </w:r>
    </w:p>
    <w:p w14:paraId="78FA781E">
      <w:pPr>
        <w:pStyle w:val="523"/>
        <w:tabs>
          <w:tab w:val="left" w:pos="944"/>
        </w:tabs>
        <w:ind w:left="420" w:firstLine="0"/>
        <w:rPr>
          <w:rFonts w:ascii="Times New Roman" w:hAnsi="Times New Roman"/>
          <w:color w:val="auto"/>
          <w:highlight w:val="none"/>
        </w:rPr>
      </w:pPr>
      <w:bookmarkStart w:id="151" w:name="bookmark887"/>
      <w:bookmarkEnd w:id="151"/>
      <w:r>
        <w:rPr>
          <w:rFonts w:hint="eastAsia" w:ascii="Times New Roman" w:hAnsi="Times New Roman"/>
          <w:color w:val="auto"/>
          <w:highlight w:val="none"/>
          <w:lang w:val="en-US" w:bidi="en-US"/>
        </w:rPr>
        <w:t>1.1.1.</w:t>
      </w:r>
      <w:r>
        <w:rPr>
          <w:rFonts w:hint="eastAsia" w:ascii="Times New Roman" w:hAnsi="Times New Roman"/>
          <w:color w:val="auto"/>
          <w:highlight w:val="none"/>
        </w:rPr>
        <w:t>2   合同协议书：指第</w:t>
      </w:r>
      <w:r>
        <w:rPr>
          <w:rFonts w:hint="eastAsia" w:ascii="Times New Roman" w:hAnsi="Times New Roman"/>
          <w:color w:val="auto"/>
          <w:highlight w:val="none"/>
          <w:lang w:val="en-US" w:bidi="en-US"/>
        </w:rPr>
        <w:t>1.5</w:t>
      </w:r>
      <w:r>
        <w:rPr>
          <w:rFonts w:hint="eastAsia" w:ascii="Times New Roman" w:hAnsi="Times New Roman"/>
          <w:color w:val="auto"/>
          <w:highlight w:val="none"/>
        </w:rPr>
        <w:t>款所指的合同协议书。</w:t>
      </w:r>
    </w:p>
    <w:p w14:paraId="3BDF0D96">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1.1.1.</w:t>
      </w:r>
      <w:r>
        <w:rPr>
          <w:rFonts w:hint="eastAsia" w:ascii="Times New Roman" w:hAnsi="Times New Roman"/>
          <w:color w:val="auto"/>
          <w:highlight w:val="none"/>
        </w:rPr>
        <w:t>3中标通知书：指发包人通知承包人中标的函件。</w:t>
      </w:r>
    </w:p>
    <w:p w14:paraId="7719199E">
      <w:pPr>
        <w:pStyle w:val="523"/>
        <w:tabs>
          <w:tab w:val="left" w:pos="944"/>
        </w:tabs>
        <w:ind w:left="420" w:firstLine="0"/>
        <w:rPr>
          <w:rFonts w:ascii="Times New Roman" w:hAnsi="Times New Roman"/>
          <w:color w:val="auto"/>
          <w:highlight w:val="none"/>
        </w:rPr>
      </w:pPr>
      <w:bookmarkStart w:id="152" w:name="bookmark888"/>
      <w:bookmarkEnd w:id="152"/>
      <w:r>
        <w:rPr>
          <w:rFonts w:hint="eastAsia" w:ascii="Times New Roman" w:hAnsi="Times New Roman"/>
          <w:color w:val="auto"/>
          <w:highlight w:val="none"/>
          <w:lang w:val="en-US" w:bidi="en-US"/>
        </w:rPr>
        <w:t xml:space="preserve">1.1.1. </w:t>
      </w:r>
      <w:r>
        <w:rPr>
          <w:rFonts w:hint="eastAsia" w:ascii="Times New Roman" w:hAnsi="Times New Roman"/>
          <w:color w:val="auto"/>
          <w:highlight w:val="none"/>
        </w:rPr>
        <w:t>4  投标函：指构成合同文件组成部分的由承包人填写并签署的投标函。</w:t>
      </w:r>
    </w:p>
    <w:p w14:paraId="18F8B258">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1.1. 1.</w:t>
      </w:r>
      <w:r>
        <w:rPr>
          <w:rFonts w:hint="eastAsia" w:ascii="Times New Roman" w:hAnsi="Times New Roman"/>
          <w:color w:val="auto"/>
          <w:highlight w:val="none"/>
        </w:rPr>
        <w:t>5投标函附录：指附在投标函后构成合同文件的投标函附录。</w:t>
      </w:r>
    </w:p>
    <w:p w14:paraId="17DE9BD5">
      <w:pPr>
        <w:pStyle w:val="523"/>
        <w:ind w:firstLine="420"/>
        <w:rPr>
          <w:rFonts w:ascii="Times New Roman" w:hAnsi="Times New Roman"/>
          <w:color w:val="auto"/>
          <w:highlight w:val="none"/>
          <w:lang w:val="en-US" w:bidi="en-US"/>
        </w:rPr>
      </w:pPr>
      <w:bookmarkStart w:id="153" w:name="bookmark889"/>
      <w:bookmarkEnd w:id="153"/>
      <w:r>
        <w:rPr>
          <w:rFonts w:hint="eastAsia" w:ascii="Times New Roman" w:hAnsi="Times New Roman"/>
          <w:color w:val="auto"/>
          <w:highlight w:val="none"/>
          <w:lang w:val="en-US" w:bidi="en-US"/>
        </w:rPr>
        <w:t>1.1.1.6  技术标准和要求：指构成合同文件组成部分的名为技术标准和要求（合同技术条款）的文件，包括合同双方当事人约定对其所做的修改或补充。</w:t>
      </w:r>
    </w:p>
    <w:p w14:paraId="520D0741">
      <w:pPr>
        <w:pStyle w:val="523"/>
        <w:ind w:firstLine="420"/>
        <w:rPr>
          <w:rFonts w:ascii="Times New Roman" w:hAnsi="Times New Roman"/>
          <w:color w:val="auto"/>
          <w:highlight w:val="none"/>
          <w:lang w:val="en-US" w:bidi="en-US"/>
        </w:rPr>
      </w:pPr>
      <w:bookmarkStart w:id="154" w:name="bookmark890"/>
      <w:bookmarkEnd w:id="154"/>
      <w:r>
        <w:rPr>
          <w:rFonts w:hint="eastAsia" w:ascii="Times New Roman" w:hAnsi="Times New Roman"/>
          <w:color w:val="auto"/>
          <w:highlight w:val="none"/>
          <w:lang w:val="en-US" w:bidi="en-US"/>
        </w:rPr>
        <w:t>1.1.1.7  图纸：指列入合同的招标图纸、投标图纸和发包人按合同约定向承包人提供 的施工图纸和其他图纸（包括配套说明和有关资料）。列入合同的招标图纸已成为合同文件的一部分，具有合同效力，主要用于在履行合同过程中作为衡量变更的依据，但不能直接用于施工。经发包人确认进入合同的投标图纸亦成为合同文件的一部分，用于在履行合同中检验承包人是否按其投标时承诺的条件进行施工的依据，亦不能直接用于施工。</w:t>
      </w:r>
    </w:p>
    <w:p w14:paraId="58DC3063">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1.1.1.</w:t>
      </w:r>
      <w:r>
        <w:rPr>
          <w:rFonts w:hint="eastAsia" w:ascii="Times New Roman" w:hAnsi="Times New Roman"/>
          <w:color w:val="auto"/>
          <w:highlight w:val="none"/>
        </w:rPr>
        <w:t>8已标价工程量清单：指构成合同文件组成部分的由承包人按照规定的格式和要求填写并标明价格的工程量清单。</w:t>
      </w:r>
    </w:p>
    <w:p w14:paraId="123935C3">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1.1.1.</w:t>
      </w:r>
      <w:r>
        <w:rPr>
          <w:rFonts w:hint="eastAsia" w:ascii="Times New Roman" w:hAnsi="Times New Roman"/>
          <w:color w:val="auto"/>
          <w:highlight w:val="none"/>
        </w:rPr>
        <w:t>9其他合同文件：指经合同双方当事人确认构成合同文件的其他文件。</w:t>
      </w:r>
    </w:p>
    <w:p w14:paraId="37D02D9E">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1.1.2</w:t>
      </w:r>
      <w:r>
        <w:rPr>
          <w:rFonts w:hint="eastAsia" w:ascii="Times New Roman" w:hAnsi="Times New Roman"/>
          <w:color w:val="auto"/>
          <w:highlight w:val="none"/>
        </w:rPr>
        <w:t>合同当事人和人员。</w:t>
      </w:r>
    </w:p>
    <w:p w14:paraId="4872CD95">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1.1.2.1</w:t>
      </w:r>
      <w:r>
        <w:rPr>
          <w:rFonts w:hint="eastAsia" w:ascii="Times New Roman" w:hAnsi="Times New Roman"/>
          <w:color w:val="auto"/>
          <w:highlight w:val="none"/>
        </w:rPr>
        <w:t>合同当事人：指发包人和（或）承包人。</w:t>
      </w:r>
    </w:p>
    <w:p w14:paraId="77459608">
      <w:pPr>
        <w:pStyle w:val="523"/>
        <w:tabs>
          <w:tab w:val="left" w:pos="944"/>
        </w:tabs>
        <w:ind w:left="420" w:firstLine="0"/>
        <w:rPr>
          <w:rFonts w:ascii="Times New Roman" w:hAnsi="Times New Roman"/>
          <w:color w:val="auto"/>
          <w:highlight w:val="none"/>
        </w:rPr>
      </w:pPr>
      <w:bookmarkStart w:id="155" w:name="bookmark891"/>
      <w:bookmarkEnd w:id="155"/>
      <w:r>
        <w:rPr>
          <w:rFonts w:hint="eastAsia" w:ascii="Times New Roman" w:hAnsi="Times New Roman"/>
          <w:color w:val="auto"/>
          <w:highlight w:val="none"/>
          <w:lang w:val="en-US" w:bidi="en-US"/>
        </w:rPr>
        <w:t>1.1.2.2</w:t>
      </w:r>
      <w:r>
        <w:rPr>
          <w:rFonts w:hint="eastAsia" w:ascii="Times New Roman" w:hAnsi="Times New Roman"/>
          <w:color w:val="auto"/>
          <w:highlight w:val="none"/>
        </w:rPr>
        <w:t>发包人：指专用合同条款中指明并与承包人在合同协议书中签字的当事人。</w:t>
      </w:r>
    </w:p>
    <w:p w14:paraId="4399A6FE">
      <w:pPr>
        <w:pStyle w:val="523"/>
        <w:tabs>
          <w:tab w:val="left" w:pos="944"/>
        </w:tabs>
        <w:ind w:left="420" w:firstLine="0"/>
        <w:rPr>
          <w:rFonts w:ascii="Times New Roman" w:hAnsi="Times New Roman"/>
          <w:color w:val="auto"/>
          <w:highlight w:val="none"/>
        </w:rPr>
      </w:pPr>
      <w:bookmarkStart w:id="156" w:name="bookmark892"/>
      <w:bookmarkEnd w:id="156"/>
      <w:r>
        <w:rPr>
          <w:rFonts w:hint="eastAsia" w:ascii="Times New Roman" w:hAnsi="Times New Roman"/>
          <w:color w:val="auto"/>
          <w:highlight w:val="none"/>
          <w:lang w:val="en-US" w:bidi="en-US"/>
        </w:rPr>
        <w:t>1.1.2.3</w:t>
      </w:r>
      <w:r>
        <w:rPr>
          <w:rFonts w:hint="eastAsia" w:ascii="Times New Roman" w:hAnsi="Times New Roman"/>
          <w:color w:val="auto"/>
          <w:highlight w:val="none"/>
        </w:rPr>
        <w:t>承包人：指专用合同条款中指明并与发包人在合同协议书中签字的当事人。</w:t>
      </w:r>
    </w:p>
    <w:p w14:paraId="78A8424D">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1.1.2.4</w:t>
      </w:r>
      <w:r>
        <w:rPr>
          <w:rFonts w:hint="eastAsia" w:ascii="Times New Roman" w:hAnsi="Times New Roman"/>
          <w:color w:val="auto"/>
          <w:highlight w:val="none"/>
        </w:rPr>
        <w:t>承包人项目经理：指承包人派驻施工场地的全权负责人。</w:t>
      </w:r>
    </w:p>
    <w:p w14:paraId="6A04709E">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1.1.2.5</w:t>
      </w:r>
      <w:r>
        <w:rPr>
          <w:rFonts w:hint="eastAsia" w:ascii="Times New Roman" w:hAnsi="Times New Roman"/>
          <w:color w:val="auto"/>
          <w:highlight w:val="none"/>
        </w:rPr>
        <w:t>分包人：指专用合同条款中指明的，从承包人处分包合同中某一部分工程, 并与其签订分包合同的分包人。</w:t>
      </w:r>
    </w:p>
    <w:p w14:paraId="476145EC">
      <w:pPr>
        <w:pStyle w:val="523"/>
        <w:tabs>
          <w:tab w:val="left" w:pos="951"/>
        </w:tabs>
        <w:ind w:left="420" w:firstLine="0"/>
        <w:rPr>
          <w:rFonts w:ascii="Times New Roman" w:hAnsi="Times New Roman"/>
          <w:color w:val="auto"/>
          <w:highlight w:val="none"/>
        </w:rPr>
      </w:pPr>
      <w:bookmarkStart w:id="157" w:name="bookmark893"/>
      <w:bookmarkEnd w:id="157"/>
      <w:r>
        <w:rPr>
          <w:rFonts w:hint="eastAsia" w:ascii="Times New Roman" w:hAnsi="Times New Roman"/>
          <w:color w:val="auto"/>
          <w:highlight w:val="none"/>
          <w:lang w:val="en-US" w:bidi="en-US"/>
        </w:rPr>
        <w:t xml:space="preserve">1.1.2.6  </w:t>
      </w:r>
      <w:r>
        <w:rPr>
          <w:rFonts w:hint="eastAsia" w:ascii="Times New Roman" w:hAnsi="Times New Roman"/>
          <w:color w:val="auto"/>
          <w:highlight w:val="none"/>
        </w:rPr>
        <w:t>监理人：指在专用合同条款中指明的，受发包人委托对合同履行实施管理的法人或</w:t>
      </w:r>
    </w:p>
    <w:p w14:paraId="79C4577B">
      <w:pPr>
        <w:pStyle w:val="523"/>
        <w:tabs>
          <w:tab w:val="left" w:pos="951"/>
        </w:tabs>
        <w:ind w:firstLine="0"/>
        <w:rPr>
          <w:rFonts w:ascii="Times New Roman" w:hAnsi="Times New Roman"/>
          <w:color w:val="auto"/>
          <w:highlight w:val="none"/>
        </w:rPr>
      </w:pPr>
      <w:r>
        <w:rPr>
          <w:rFonts w:hint="eastAsia" w:ascii="Times New Roman" w:hAnsi="Times New Roman"/>
          <w:color w:val="auto"/>
          <w:highlight w:val="none"/>
        </w:rPr>
        <w:t>其他组织。</w:t>
      </w:r>
    </w:p>
    <w:p w14:paraId="7C5D0756">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1.1.2.</w:t>
      </w:r>
      <w:r>
        <w:rPr>
          <w:rFonts w:hint="eastAsia" w:ascii="Times New Roman" w:hAnsi="Times New Roman"/>
          <w:color w:val="auto"/>
          <w:highlight w:val="none"/>
        </w:rPr>
        <w:t>7总监理工程师（总监）:指由监理人委派常驻施工场地对合同履行实施管理的全权负责人。</w:t>
      </w:r>
    </w:p>
    <w:p w14:paraId="17EF5F9D">
      <w:pPr>
        <w:pStyle w:val="524"/>
        <w:spacing w:after="0" w:line="360" w:lineRule="auto"/>
        <w:rPr>
          <w:rFonts w:cs="宋体"/>
          <w:color w:val="auto"/>
          <w:highlight w:val="none"/>
        </w:rPr>
      </w:pPr>
      <w:r>
        <w:rPr>
          <w:rFonts w:hint="eastAsia" w:cs="宋体"/>
          <w:color w:val="auto"/>
          <w:highlight w:val="none"/>
        </w:rPr>
        <w:t>1.1.</w:t>
      </w:r>
      <w:r>
        <w:rPr>
          <w:rFonts w:hint="eastAsia" w:cs="宋体"/>
          <w:color w:val="auto"/>
          <w:highlight w:val="none"/>
          <w:lang w:val="zh-CN" w:bidi="zh-CN"/>
        </w:rPr>
        <w:t>3工程和设备</w:t>
      </w:r>
    </w:p>
    <w:p w14:paraId="5533B6C4">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1.1.3.</w:t>
      </w:r>
      <w:r>
        <w:rPr>
          <w:rFonts w:hint="eastAsia" w:ascii="Times New Roman" w:hAnsi="Times New Roman"/>
          <w:color w:val="auto"/>
          <w:highlight w:val="none"/>
        </w:rPr>
        <w:t>1工程：指永久工程和（或）临时工程。</w:t>
      </w:r>
    </w:p>
    <w:p w14:paraId="3BF767E7">
      <w:pPr>
        <w:pStyle w:val="523"/>
        <w:tabs>
          <w:tab w:val="left" w:pos="944"/>
        </w:tabs>
        <w:ind w:left="420" w:firstLine="0"/>
        <w:rPr>
          <w:rFonts w:ascii="Times New Roman" w:hAnsi="Times New Roman"/>
          <w:color w:val="auto"/>
          <w:highlight w:val="none"/>
        </w:rPr>
      </w:pPr>
      <w:bookmarkStart w:id="158" w:name="bookmark894"/>
      <w:bookmarkEnd w:id="158"/>
      <w:r>
        <w:rPr>
          <w:rFonts w:hint="eastAsia" w:ascii="Times New Roman" w:hAnsi="Times New Roman"/>
          <w:color w:val="auto"/>
          <w:highlight w:val="none"/>
          <w:lang w:val="en-US" w:bidi="en-US"/>
        </w:rPr>
        <w:t>1.1.3.</w:t>
      </w:r>
      <w:r>
        <w:rPr>
          <w:rFonts w:hint="eastAsia" w:ascii="Times New Roman" w:hAnsi="Times New Roman"/>
          <w:color w:val="auto"/>
          <w:highlight w:val="none"/>
        </w:rPr>
        <w:t>2永久工程：指按合同约定建造并移交给发包人的工程，包括工程设备。</w:t>
      </w:r>
    </w:p>
    <w:p w14:paraId="1D59D592">
      <w:pPr>
        <w:pStyle w:val="523"/>
        <w:tabs>
          <w:tab w:val="left" w:pos="954"/>
        </w:tabs>
        <w:ind w:firstLine="447" w:firstLineChars="213"/>
        <w:rPr>
          <w:rFonts w:ascii="Times New Roman" w:hAnsi="Times New Roman"/>
          <w:color w:val="auto"/>
          <w:highlight w:val="none"/>
        </w:rPr>
      </w:pPr>
      <w:bookmarkStart w:id="159" w:name="bookmark895"/>
      <w:bookmarkEnd w:id="159"/>
      <w:r>
        <w:rPr>
          <w:rFonts w:hint="eastAsia" w:ascii="Times New Roman" w:hAnsi="Times New Roman"/>
          <w:color w:val="auto"/>
          <w:highlight w:val="none"/>
          <w:lang w:val="en-US" w:bidi="en-US"/>
        </w:rPr>
        <w:t>1.1.3.</w:t>
      </w:r>
      <w:r>
        <w:rPr>
          <w:rFonts w:hint="eastAsia" w:ascii="Times New Roman" w:hAnsi="Times New Roman"/>
          <w:color w:val="auto"/>
          <w:highlight w:val="none"/>
        </w:rPr>
        <w:t>3临时工程：指为完成合同约定的永久工程所修建的各类临时性工程，不包括施工设备。</w:t>
      </w:r>
    </w:p>
    <w:p w14:paraId="1A6314EA">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1.1.3.</w:t>
      </w:r>
      <w:r>
        <w:rPr>
          <w:rFonts w:hint="eastAsia" w:ascii="Times New Roman" w:hAnsi="Times New Roman"/>
          <w:color w:val="auto"/>
          <w:highlight w:val="none"/>
        </w:rPr>
        <w:t>4单位工程：指专用合同条款中指明特定范围的永久工程。</w:t>
      </w:r>
    </w:p>
    <w:p w14:paraId="6626046F">
      <w:pPr>
        <w:pStyle w:val="523"/>
        <w:tabs>
          <w:tab w:val="left" w:pos="951"/>
        </w:tabs>
        <w:ind w:firstLine="447" w:firstLineChars="213"/>
        <w:rPr>
          <w:rFonts w:ascii="Times New Roman" w:hAnsi="Times New Roman"/>
          <w:color w:val="auto"/>
          <w:highlight w:val="none"/>
        </w:rPr>
      </w:pPr>
      <w:bookmarkStart w:id="160" w:name="bookmark896"/>
      <w:bookmarkEnd w:id="160"/>
      <w:r>
        <w:rPr>
          <w:rFonts w:hint="eastAsia" w:ascii="Times New Roman" w:hAnsi="Times New Roman"/>
          <w:color w:val="auto"/>
          <w:highlight w:val="none"/>
          <w:lang w:val="en-US" w:bidi="en-US"/>
        </w:rPr>
        <w:t>1.1.3.</w:t>
      </w:r>
      <w:r>
        <w:rPr>
          <w:rFonts w:hint="eastAsia" w:ascii="Times New Roman" w:hAnsi="Times New Roman"/>
          <w:color w:val="auto"/>
          <w:highlight w:val="none"/>
        </w:rPr>
        <w:t>5工程设备：指构成或计划构成永久工程一部分的机电设备、金属结构设备、仪器装置及其他类似的设备和装置。</w:t>
      </w:r>
    </w:p>
    <w:p w14:paraId="5B8515B3">
      <w:pPr>
        <w:pStyle w:val="523"/>
        <w:tabs>
          <w:tab w:val="left" w:pos="954"/>
        </w:tabs>
        <w:ind w:firstLine="447" w:firstLineChars="213"/>
        <w:rPr>
          <w:rFonts w:ascii="Times New Roman" w:hAnsi="Times New Roman"/>
          <w:color w:val="auto"/>
          <w:highlight w:val="none"/>
        </w:rPr>
      </w:pPr>
      <w:bookmarkStart w:id="161" w:name="bookmark897"/>
      <w:bookmarkEnd w:id="161"/>
      <w:r>
        <w:rPr>
          <w:rFonts w:hint="eastAsia" w:ascii="Times New Roman" w:hAnsi="Times New Roman"/>
          <w:color w:val="auto"/>
          <w:highlight w:val="none"/>
          <w:lang w:val="en-US" w:bidi="en-US"/>
        </w:rPr>
        <w:t>1.1.3.</w:t>
      </w:r>
      <w:r>
        <w:rPr>
          <w:rFonts w:hint="eastAsia" w:ascii="Times New Roman" w:hAnsi="Times New Roman"/>
          <w:color w:val="auto"/>
          <w:highlight w:val="none"/>
        </w:rPr>
        <w:t>6施工设备：指为完成合同约定的各项工作所需的设备、器具和其他物品，不包括临时工程和材料。</w:t>
      </w:r>
    </w:p>
    <w:p w14:paraId="1B9E6C24">
      <w:pPr>
        <w:pStyle w:val="523"/>
        <w:tabs>
          <w:tab w:val="left" w:pos="944"/>
        </w:tabs>
        <w:ind w:left="420" w:firstLine="0"/>
        <w:rPr>
          <w:rFonts w:ascii="Times New Roman" w:hAnsi="Times New Roman"/>
          <w:color w:val="auto"/>
          <w:highlight w:val="none"/>
        </w:rPr>
      </w:pPr>
      <w:bookmarkStart w:id="162" w:name="bookmark898"/>
      <w:bookmarkEnd w:id="162"/>
      <w:r>
        <w:rPr>
          <w:rFonts w:hint="eastAsia" w:ascii="Times New Roman" w:hAnsi="Times New Roman"/>
          <w:color w:val="auto"/>
          <w:highlight w:val="none"/>
          <w:lang w:val="en-US" w:bidi="en-US"/>
        </w:rPr>
        <w:t>1.1.3.7</w:t>
      </w:r>
      <w:r>
        <w:rPr>
          <w:rFonts w:hint="eastAsia" w:ascii="Times New Roman" w:hAnsi="Times New Roman"/>
          <w:color w:val="auto"/>
          <w:highlight w:val="none"/>
        </w:rPr>
        <w:t>临时设施：指为完成合同约定的各项工作所服务的临时性生产和生活设施。</w:t>
      </w:r>
    </w:p>
    <w:p w14:paraId="27A75B13">
      <w:pPr>
        <w:pStyle w:val="523"/>
        <w:tabs>
          <w:tab w:val="left" w:pos="954"/>
        </w:tabs>
        <w:ind w:left="420" w:firstLine="0"/>
        <w:rPr>
          <w:rFonts w:ascii="Times New Roman" w:hAnsi="Times New Roman"/>
          <w:color w:val="auto"/>
          <w:highlight w:val="none"/>
        </w:rPr>
      </w:pPr>
      <w:r>
        <w:rPr>
          <w:rFonts w:hint="eastAsia" w:ascii="Times New Roman" w:hAnsi="Times New Roman"/>
          <w:color w:val="auto"/>
          <w:highlight w:val="none"/>
          <w:lang w:val="en-US" w:bidi="en-US"/>
        </w:rPr>
        <w:t>1.1.3.8</w:t>
      </w:r>
      <w:r>
        <w:rPr>
          <w:rFonts w:hint="eastAsia" w:ascii="Times New Roman" w:hAnsi="Times New Roman"/>
          <w:color w:val="auto"/>
          <w:highlight w:val="none"/>
        </w:rPr>
        <w:t>承包人设备：指承包人自带的施工设备。</w:t>
      </w:r>
    </w:p>
    <w:p w14:paraId="5A5DB201">
      <w:pPr>
        <w:pStyle w:val="523"/>
        <w:tabs>
          <w:tab w:val="left" w:pos="954"/>
        </w:tabs>
        <w:ind w:firstLine="447" w:firstLineChars="213"/>
        <w:rPr>
          <w:rFonts w:ascii="Times New Roman" w:hAnsi="Times New Roman"/>
          <w:color w:val="auto"/>
          <w:highlight w:val="none"/>
        </w:rPr>
      </w:pPr>
      <w:r>
        <w:rPr>
          <w:rFonts w:hint="eastAsia" w:ascii="Times New Roman" w:hAnsi="Times New Roman"/>
          <w:color w:val="auto"/>
          <w:highlight w:val="none"/>
          <w:lang w:val="en-US" w:bidi="en-US"/>
        </w:rPr>
        <w:t>1.1.3.9</w:t>
      </w:r>
      <w:r>
        <w:rPr>
          <w:rFonts w:hint="eastAsia" w:ascii="Times New Roman" w:hAnsi="Times New Roman"/>
          <w:color w:val="auto"/>
          <w:highlight w:val="none"/>
        </w:rPr>
        <w:t>施工场地（或称工地、现场）：指用于合同工程施工的场所，以及在合同中指定作为施工场地组成部分的其他场所，包括永久占地和临时占地。</w:t>
      </w:r>
    </w:p>
    <w:p w14:paraId="5782C2DA">
      <w:pPr>
        <w:pStyle w:val="523"/>
        <w:tabs>
          <w:tab w:val="left" w:pos="951"/>
        </w:tabs>
        <w:ind w:left="420" w:firstLine="0"/>
        <w:rPr>
          <w:rFonts w:ascii="Times New Roman" w:hAnsi="Times New Roman"/>
          <w:color w:val="auto"/>
          <w:highlight w:val="none"/>
        </w:rPr>
      </w:pPr>
      <w:r>
        <w:rPr>
          <w:rFonts w:hint="eastAsia" w:ascii="Times New Roman" w:hAnsi="Times New Roman"/>
          <w:color w:val="auto"/>
          <w:highlight w:val="none"/>
          <w:lang w:val="en-US" w:bidi="en-US"/>
        </w:rPr>
        <w:t>1.1.3.10</w:t>
      </w:r>
      <w:r>
        <w:rPr>
          <w:rFonts w:hint="eastAsia" w:ascii="Times New Roman" w:hAnsi="Times New Roman"/>
          <w:color w:val="auto"/>
          <w:highlight w:val="none"/>
        </w:rPr>
        <w:t>永久占地：指发包人为建设本合同工程永久征用的场地。</w:t>
      </w:r>
    </w:p>
    <w:p w14:paraId="4E7A1404">
      <w:pPr>
        <w:pStyle w:val="523"/>
        <w:tabs>
          <w:tab w:val="left" w:pos="951"/>
        </w:tabs>
        <w:ind w:firstLine="447" w:firstLineChars="213"/>
        <w:rPr>
          <w:rFonts w:ascii="Times New Roman" w:hAnsi="Times New Roman"/>
          <w:color w:val="auto"/>
          <w:highlight w:val="none"/>
        </w:rPr>
      </w:pPr>
      <w:r>
        <w:rPr>
          <w:rFonts w:hint="eastAsia" w:ascii="Times New Roman" w:hAnsi="Times New Roman"/>
          <w:color w:val="auto"/>
          <w:highlight w:val="none"/>
          <w:lang w:val="en-US" w:bidi="en-US"/>
        </w:rPr>
        <w:t>1.1.3.11</w:t>
      </w:r>
      <w:r>
        <w:rPr>
          <w:rFonts w:hint="eastAsia" w:ascii="Times New Roman" w:hAnsi="Times New Roman"/>
          <w:color w:val="auto"/>
          <w:highlight w:val="none"/>
        </w:rPr>
        <w:t>临时占地：指发包人为建设本合同工程临时征用，并应在完工后须按合同要求退还的场地。</w:t>
      </w:r>
    </w:p>
    <w:p w14:paraId="3C5EA9BB">
      <w:pPr>
        <w:pStyle w:val="524"/>
        <w:spacing w:after="0" w:line="360" w:lineRule="auto"/>
        <w:rPr>
          <w:rFonts w:cs="宋体"/>
          <w:color w:val="auto"/>
          <w:highlight w:val="none"/>
        </w:rPr>
      </w:pPr>
      <w:r>
        <w:rPr>
          <w:rFonts w:hint="eastAsia" w:cs="宋体"/>
          <w:color w:val="auto"/>
          <w:highlight w:val="none"/>
        </w:rPr>
        <w:t>1.1.4</w:t>
      </w:r>
      <w:r>
        <w:rPr>
          <w:rFonts w:hint="eastAsia" w:cs="宋体"/>
          <w:color w:val="auto"/>
          <w:highlight w:val="none"/>
          <w:lang w:val="zh-CN" w:bidi="zh-CN"/>
        </w:rPr>
        <w:t>日期</w:t>
      </w:r>
    </w:p>
    <w:p w14:paraId="16A24154">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 xml:space="preserve">1.1.4. </w:t>
      </w:r>
      <w:r>
        <w:rPr>
          <w:rFonts w:hint="eastAsia" w:ascii="Times New Roman" w:hAnsi="Times New Roman"/>
          <w:color w:val="auto"/>
          <w:highlight w:val="none"/>
        </w:rPr>
        <w:t>1开工通知：指监理人按第</w:t>
      </w:r>
      <w:r>
        <w:rPr>
          <w:rFonts w:hint="eastAsia" w:ascii="Times New Roman" w:hAnsi="Times New Roman"/>
          <w:color w:val="auto"/>
          <w:highlight w:val="none"/>
          <w:lang w:val="en-US" w:bidi="en-US"/>
        </w:rPr>
        <w:t xml:space="preserve">11. </w:t>
      </w:r>
      <w:r>
        <w:rPr>
          <w:rFonts w:hint="eastAsia" w:ascii="Times New Roman" w:hAnsi="Times New Roman"/>
          <w:color w:val="auto"/>
          <w:highlight w:val="none"/>
        </w:rPr>
        <w:t>1款通知承包人开工的函件。</w:t>
      </w:r>
    </w:p>
    <w:p w14:paraId="69B0F78C">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1.1.4.2</w:t>
      </w:r>
      <w:r>
        <w:rPr>
          <w:rFonts w:hint="eastAsia" w:ascii="Times New Roman" w:hAnsi="Times New Roman"/>
          <w:color w:val="auto"/>
          <w:highlight w:val="none"/>
        </w:rPr>
        <w:t>开工日期：指监理人按第</w:t>
      </w:r>
      <w:r>
        <w:rPr>
          <w:rFonts w:hint="eastAsia" w:ascii="Times New Roman" w:hAnsi="Times New Roman"/>
          <w:color w:val="auto"/>
          <w:highlight w:val="none"/>
          <w:lang w:val="en-US" w:bidi="en-US"/>
        </w:rPr>
        <w:t xml:space="preserve">11. </w:t>
      </w:r>
      <w:r>
        <w:rPr>
          <w:rFonts w:hint="eastAsia" w:ascii="Times New Roman" w:hAnsi="Times New Roman"/>
          <w:color w:val="auto"/>
          <w:highlight w:val="none"/>
        </w:rPr>
        <w:t>1款发出的开工通知中写明的开工日期。</w:t>
      </w:r>
    </w:p>
    <w:p w14:paraId="4515B35D">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1.1.4.3</w:t>
      </w:r>
      <w:r>
        <w:rPr>
          <w:rFonts w:hint="eastAsia" w:ascii="Times New Roman" w:hAnsi="Times New Roman"/>
          <w:color w:val="auto"/>
          <w:highlight w:val="none"/>
        </w:rPr>
        <w:t>工期：指承包人在投标函中承诺的完成合同工程所需的期限，包括按第</w:t>
      </w:r>
      <w:r>
        <w:rPr>
          <w:rFonts w:hint="eastAsia" w:ascii="Times New Roman" w:hAnsi="Times New Roman"/>
          <w:color w:val="auto"/>
          <w:highlight w:val="none"/>
          <w:lang w:val="en-US" w:bidi="en-US"/>
        </w:rPr>
        <w:t xml:space="preserve">11.3 </w:t>
      </w:r>
      <w:r>
        <w:rPr>
          <w:rFonts w:hint="eastAsia" w:ascii="Times New Roman" w:hAnsi="Times New Roman"/>
          <w:color w:val="auto"/>
          <w:highlight w:val="none"/>
        </w:rPr>
        <w:t>款、第</w:t>
      </w:r>
      <w:r>
        <w:rPr>
          <w:rFonts w:hint="eastAsia" w:ascii="Times New Roman" w:hAnsi="Times New Roman"/>
          <w:color w:val="auto"/>
          <w:highlight w:val="none"/>
          <w:lang w:val="en-US" w:bidi="en-US"/>
        </w:rPr>
        <w:t xml:space="preserve">11. </w:t>
      </w:r>
      <w:r>
        <w:rPr>
          <w:rFonts w:hint="eastAsia" w:ascii="Times New Roman" w:hAnsi="Times New Roman"/>
          <w:color w:val="auto"/>
          <w:highlight w:val="none"/>
        </w:rPr>
        <w:t>4款和第</w:t>
      </w:r>
      <w:r>
        <w:rPr>
          <w:rFonts w:hint="eastAsia" w:ascii="Times New Roman" w:hAnsi="Times New Roman"/>
          <w:color w:val="auto"/>
          <w:highlight w:val="none"/>
          <w:lang w:val="en-US" w:bidi="en-US"/>
        </w:rPr>
        <w:t xml:space="preserve">11. </w:t>
      </w:r>
      <w:r>
        <w:rPr>
          <w:rFonts w:hint="eastAsia" w:ascii="Times New Roman" w:hAnsi="Times New Roman"/>
          <w:color w:val="auto"/>
          <w:highlight w:val="none"/>
        </w:rPr>
        <w:t>6款约定所作的变更。</w:t>
      </w:r>
    </w:p>
    <w:p w14:paraId="6C8EDA23">
      <w:pPr>
        <w:pStyle w:val="523"/>
        <w:tabs>
          <w:tab w:val="left" w:pos="949"/>
        </w:tabs>
        <w:ind w:firstLine="447" w:firstLineChars="213"/>
        <w:rPr>
          <w:rFonts w:ascii="Times New Roman" w:hAnsi="Times New Roman"/>
          <w:color w:val="auto"/>
          <w:highlight w:val="none"/>
        </w:rPr>
      </w:pPr>
      <w:bookmarkStart w:id="163" w:name="bookmark899"/>
      <w:bookmarkEnd w:id="163"/>
      <w:r>
        <w:rPr>
          <w:rFonts w:hint="eastAsia" w:ascii="Times New Roman" w:hAnsi="Times New Roman"/>
          <w:color w:val="auto"/>
          <w:highlight w:val="none"/>
          <w:lang w:val="en-US" w:bidi="en-US"/>
        </w:rPr>
        <w:t xml:space="preserve">1.1.4.4  </w:t>
      </w:r>
      <w:r>
        <w:rPr>
          <w:rFonts w:hint="eastAsia" w:ascii="Times New Roman" w:hAnsi="Times New Roman"/>
          <w:color w:val="auto"/>
          <w:highlight w:val="none"/>
        </w:rPr>
        <w:t>竣工日期：即合同工程完工日期，指第</w:t>
      </w:r>
      <w:r>
        <w:rPr>
          <w:rFonts w:hint="eastAsia" w:ascii="Times New Roman" w:hAnsi="Times New Roman"/>
          <w:color w:val="auto"/>
          <w:highlight w:val="none"/>
          <w:lang w:val="en-US" w:bidi="en-US"/>
        </w:rPr>
        <w:t xml:space="preserve">1.1. 4. </w:t>
      </w:r>
      <w:r>
        <w:rPr>
          <w:rFonts w:hint="eastAsia" w:ascii="Times New Roman" w:hAnsi="Times New Roman"/>
          <w:color w:val="auto"/>
          <w:highlight w:val="none"/>
        </w:rPr>
        <w:t>3目约定工期届满时的日期。实际完工时间以合同工程完工证书中写明的日期为准。</w:t>
      </w:r>
    </w:p>
    <w:p w14:paraId="3F536B5F">
      <w:pPr>
        <w:pStyle w:val="523"/>
        <w:tabs>
          <w:tab w:val="left" w:pos="954"/>
        </w:tabs>
        <w:ind w:firstLine="447" w:firstLineChars="213"/>
        <w:rPr>
          <w:rFonts w:ascii="Times New Roman" w:hAnsi="Times New Roman"/>
          <w:color w:val="auto"/>
          <w:highlight w:val="none"/>
        </w:rPr>
      </w:pPr>
      <w:bookmarkStart w:id="164" w:name="bookmark900"/>
      <w:bookmarkEnd w:id="164"/>
      <w:r>
        <w:rPr>
          <w:rFonts w:hint="eastAsia" w:ascii="Times New Roman" w:hAnsi="Times New Roman"/>
          <w:color w:val="auto"/>
          <w:highlight w:val="none"/>
          <w:lang w:val="en-US" w:bidi="en-US"/>
        </w:rPr>
        <w:t xml:space="preserve">1.1.4.5  </w:t>
      </w:r>
      <w:r>
        <w:rPr>
          <w:rFonts w:hint="eastAsia" w:ascii="Times New Roman" w:hAnsi="Times New Roman"/>
          <w:color w:val="auto"/>
          <w:highlight w:val="none"/>
        </w:rPr>
        <w:t>缺陷责任期：即工程质量保修期，指履行第</w:t>
      </w:r>
      <w:r>
        <w:rPr>
          <w:rFonts w:hint="eastAsia" w:ascii="Times New Roman" w:hAnsi="Times New Roman"/>
          <w:color w:val="auto"/>
          <w:highlight w:val="none"/>
          <w:lang w:val="en-US" w:bidi="en-US"/>
        </w:rPr>
        <w:t xml:space="preserve">19. </w:t>
      </w:r>
      <w:r>
        <w:rPr>
          <w:rFonts w:hint="eastAsia" w:ascii="Times New Roman" w:hAnsi="Times New Roman"/>
          <w:color w:val="auto"/>
          <w:highlight w:val="none"/>
        </w:rPr>
        <w:t>2款约定的缺陷责任的期限, 包括根据第</w:t>
      </w:r>
      <w:r>
        <w:rPr>
          <w:rFonts w:hint="eastAsia" w:ascii="Times New Roman" w:hAnsi="Times New Roman"/>
          <w:color w:val="auto"/>
          <w:highlight w:val="none"/>
          <w:lang w:val="en-US" w:bidi="en-US"/>
        </w:rPr>
        <w:t xml:space="preserve">19. </w:t>
      </w:r>
      <w:r>
        <w:rPr>
          <w:rFonts w:hint="eastAsia" w:ascii="Times New Roman" w:hAnsi="Times New Roman"/>
          <w:color w:val="auto"/>
          <w:highlight w:val="none"/>
        </w:rPr>
        <w:t>3款约定所作的延长，具体期限由专用合同条款约定。</w:t>
      </w:r>
    </w:p>
    <w:p w14:paraId="7E4B02AF">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1.1.4.6</w:t>
      </w:r>
      <w:r>
        <w:rPr>
          <w:rFonts w:hint="eastAsia" w:ascii="Times New Roman" w:hAnsi="Times New Roman"/>
          <w:color w:val="auto"/>
          <w:highlight w:val="none"/>
        </w:rPr>
        <w:t>基准日期：指投标截止时间前28天的日期。</w:t>
      </w:r>
    </w:p>
    <w:p w14:paraId="1EB2F859">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1.1.4.7</w:t>
      </w:r>
      <w:r>
        <w:rPr>
          <w:rFonts w:hint="eastAsia" w:ascii="Times New Roman" w:hAnsi="Times New Roman"/>
          <w:color w:val="auto"/>
          <w:highlight w:val="none"/>
        </w:rPr>
        <w:t>天：除特别指明外，指日历天。合同中按天计算时间的，开始当天不计入，从次日开始计算。期限最后一天的截止时间为当天24：</w:t>
      </w:r>
      <w:r>
        <w:rPr>
          <w:rFonts w:hint="eastAsia" w:ascii="Times New Roman" w:hAnsi="Times New Roman"/>
          <w:color w:val="auto"/>
          <w:highlight w:val="none"/>
          <w:lang w:val="en-US" w:bidi="en-US"/>
        </w:rPr>
        <w:t>00</w:t>
      </w:r>
      <w:r>
        <w:rPr>
          <w:rFonts w:hint="eastAsia" w:ascii="Times New Roman" w:hAnsi="Times New Roman"/>
          <w:color w:val="auto"/>
          <w:highlight w:val="none"/>
          <w:vertAlign w:val="subscript"/>
          <w:lang w:val="en-US" w:bidi="en-US"/>
        </w:rPr>
        <w:t>o</w:t>
      </w:r>
    </w:p>
    <w:p w14:paraId="52EE4313">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1.1.5</w:t>
      </w:r>
      <w:r>
        <w:rPr>
          <w:rFonts w:hint="eastAsia" w:ascii="Times New Roman" w:hAnsi="Times New Roman"/>
          <w:color w:val="auto"/>
          <w:highlight w:val="none"/>
        </w:rPr>
        <w:t>合同价格和费用</w:t>
      </w:r>
    </w:p>
    <w:p w14:paraId="19901A74">
      <w:pPr>
        <w:pStyle w:val="523"/>
        <w:tabs>
          <w:tab w:val="left" w:pos="934"/>
        </w:tabs>
        <w:ind w:firstLine="447" w:firstLineChars="213"/>
        <w:rPr>
          <w:rFonts w:ascii="Times New Roman" w:hAnsi="Times New Roman"/>
          <w:color w:val="auto"/>
          <w:highlight w:val="none"/>
        </w:rPr>
      </w:pPr>
      <w:bookmarkStart w:id="165" w:name="bookmark901"/>
      <w:bookmarkEnd w:id="165"/>
      <w:r>
        <w:rPr>
          <w:rFonts w:hint="eastAsia" w:ascii="Times New Roman" w:hAnsi="Times New Roman"/>
          <w:color w:val="auto"/>
          <w:highlight w:val="none"/>
          <w:lang w:val="en-US" w:bidi="en-US"/>
        </w:rPr>
        <w:t>1.1.5.1</w:t>
      </w:r>
      <w:r>
        <w:rPr>
          <w:rFonts w:hint="eastAsia" w:ascii="Times New Roman" w:hAnsi="Times New Roman"/>
          <w:color w:val="auto"/>
          <w:highlight w:val="none"/>
        </w:rPr>
        <w:t>签约合同价：指签定合同时合同协议书中写明的，包括了暂列金额、暂估价的合同总金额。</w:t>
      </w:r>
    </w:p>
    <w:p w14:paraId="485392DB">
      <w:pPr>
        <w:pStyle w:val="523"/>
        <w:tabs>
          <w:tab w:val="left" w:pos="954"/>
        </w:tabs>
        <w:ind w:firstLine="447" w:firstLineChars="213"/>
        <w:rPr>
          <w:rFonts w:ascii="Times New Roman" w:hAnsi="Times New Roman"/>
          <w:color w:val="auto"/>
          <w:highlight w:val="none"/>
        </w:rPr>
      </w:pPr>
      <w:bookmarkStart w:id="166" w:name="bookmark902"/>
      <w:bookmarkEnd w:id="166"/>
      <w:r>
        <w:rPr>
          <w:rFonts w:hint="eastAsia" w:ascii="Times New Roman" w:hAnsi="Times New Roman"/>
          <w:color w:val="auto"/>
          <w:highlight w:val="none"/>
        </w:rPr>
        <w:t>1.1.5.2合同价格：指承包人按合同约定完成了包括缺陷责任期内的全部承包工作后，发包人应付给承包人的金额，包括在履行合同过程中按合同约定进行的变更和调整。</w:t>
      </w:r>
    </w:p>
    <w:p w14:paraId="4935B6AC">
      <w:pPr>
        <w:pStyle w:val="523"/>
        <w:tabs>
          <w:tab w:val="left" w:pos="954"/>
        </w:tabs>
        <w:ind w:firstLine="447" w:firstLineChars="213"/>
        <w:rPr>
          <w:rFonts w:ascii="Times New Roman" w:hAnsi="Times New Roman"/>
          <w:color w:val="auto"/>
          <w:highlight w:val="none"/>
        </w:rPr>
      </w:pPr>
      <w:bookmarkStart w:id="167" w:name="bookmark903"/>
      <w:bookmarkEnd w:id="167"/>
      <w:r>
        <w:rPr>
          <w:rFonts w:hint="eastAsia" w:ascii="Times New Roman" w:hAnsi="Times New Roman"/>
          <w:color w:val="auto"/>
          <w:highlight w:val="none"/>
        </w:rPr>
        <w:t>1.1.5.3费用：指为履行合同所发生的或将要发生的所有合理开支，包括管理费和应分摊的其他费用，但不包括利润。</w:t>
      </w:r>
    </w:p>
    <w:p w14:paraId="2CADB988">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1.1.5.4</w:t>
      </w:r>
      <w:r>
        <w:rPr>
          <w:rFonts w:hint="eastAsia" w:ascii="Times New Roman" w:hAnsi="Times New Roman"/>
          <w:color w:val="auto"/>
          <w:highlight w:val="none"/>
        </w:rPr>
        <w:t>暂列金额：指已标价工程量清单中所列的暂列金额，用于在签订协议书时尚未确定或不可预见变更的施工及其所需材料、工程设备、服务等的金额，包括以计日工方式支付的金额。</w:t>
      </w:r>
    </w:p>
    <w:p w14:paraId="1FB3501A">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1. 1.5.5</w:t>
      </w:r>
      <w:r>
        <w:rPr>
          <w:rFonts w:hint="eastAsia" w:ascii="Times New Roman" w:hAnsi="Times New Roman"/>
          <w:color w:val="auto"/>
          <w:highlight w:val="none"/>
        </w:rPr>
        <w:t>暂估价：指发包人在工程量清单中给定的用于支付必然发生但暂时不能确定价格的材料、设备以及专业工程的金额。</w:t>
      </w:r>
    </w:p>
    <w:p w14:paraId="3D14CA0A">
      <w:pPr>
        <w:pStyle w:val="523"/>
        <w:ind w:firstLine="440"/>
        <w:rPr>
          <w:rFonts w:ascii="Times New Roman" w:hAnsi="Times New Roman"/>
          <w:color w:val="auto"/>
          <w:highlight w:val="none"/>
        </w:rPr>
      </w:pPr>
      <w:bookmarkStart w:id="168" w:name="bookmark904"/>
      <w:bookmarkEnd w:id="168"/>
      <w:r>
        <w:rPr>
          <w:rFonts w:hint="eastAsia" w:ascii="Times New Roman" w:hAnsi="Times New Roman"/>
          <w:color w:val="auto"/>
          <w:highlight w:val="none"/>
          <w:lang w:val="en-US" w:bidi="en-US"/>
        </w:rPr>
        <w:t>1.1.5. 6</w:t>
      </w:r>
      <w:r>
        <w:rPr>
          <w:rFonts w:hint="eastAsia" w:ascii="Times New Roman" w:hAnsi="Times New Roman"/>
          <w:color w:val="auto"/>
          <w:highlight w:val="none"/>
        </w:rPr>
        <w:t>计日工：指对零星工作采取的一种计价方式，按合同中的计日工子目及其单价计价付款。</w:t>
      </w:r>
    </w:p>
    <w:p w14:paraId="6197BE3E">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1.1.5.7</w:t>
      </w:r>
      <w:r>
        <w:rPr>
          <w:rFonts w:hint="eastAsia" w:ascii="Times New Roman" w:hAnsi="Times New Roman"/>
          <w:color w:val="auto"/>
          <w:highlight w:val="none"/>
        </w:rPr>
        <w:t>质量保证金(或称保留金)：指按第</w:t>
      </w:r>
      <w:r>
        <w:rPr>
          <w:rFonts w:hint="eastAsia" w:ascii="Times New Roman" w:hAnsi="Times New Roman"/>
          <w:color w:val="auto"/>
          <w:highlight w:val="none"/>
          <w:lang w:val="en-US" w:bidi="en-US"/>
        </w:rPr>
        <w:t>17.4.1</w:t>
      </w:r>
      <w:r>
        <w:rPr>
          <w:rFonts w:hint="eastAsia" w:ascii="Times New Roman" w:hAnsi="Times New Roman"/>
          <w:color w:val="auto"/>
          <w:highlight w:val="none"/>
        </w:rPr>
        <w:t>项约定用于保证在缺陷责任期内履行缺陷修复义务的金额。</w:t>
      </w:r>
    </w:p>
    <w:p w14:paraId="156A3DD9">
      <w:pPr>
        <w:pStyle w:val="524"/>
        <w:spacing w:after="0" w:line="360" w:lineRule="auto"/>
        <w:ind w:firstLine="440"/>
        <w:rPr>
          <w:rFonts w:cs="宋体"/>
          <w:color w:val="auto"/>
          <w:highlight w:val="none"/>
        </w:rPr>
      </w:pPr>
      <w:r>
        <w:rPr>
          <w:rFonts w:hint="eastAsia" w:cs="宋体"/>
          <w:color w:val="auto"/>
          <w:highlight w:val="none"/>
        </w:rPr>
        <w:t>1.1.6</w:t>
      </w:r>
      <w:r>
        <w:rPr>
          <w:rFonts w:hint="eastAsia" w:cs="宋体"/>
          <w:color w:val="auto"/>
          <w:highlight w:val="none"/>
          <w:lang w:val="zh-CN" w:bidi="zh-CN"/>
        </w:rPr>
        <w:t>其他</w:t>
      </w:r>
    </w:p>
    <w:p w14:paraId="27D361D6">
      <w:pPr>
        <w:pStyle w:val="523"/>
        <w:tabs>
          <w:tab w:val="left" w:pos="954"/>
        </w:tabs>
        <w:ind w:left="440" w:firstLine="0"/>
        <w:rPr>
          <w:rFonts w:ascii="Times New Roman" w:hAnsi="Times New Roman"/>
          <w:color w:val="auto"/>
          <w:highlight w:val="none"/>
        </w:rPr>
      </w:pPr>
      <w:bookmarkStart w:id="169" w:name="bookmark905"/>
      <w:bookmarkEnd w:id="169"/>
      <w:r>
        <w:rPr>
          <w:rFonts w:hint="eastAsia" w:ascii="Times New Roman" w:hAnsi="Times New Roman"/>
          <w:color w:val="auto"/>
          <w:highlight w:val="none"/>
          <w:lang w:val="en-US" w:bidi="en-US"/>
        </w:rPr>
        <w:t>1.1.6.1</w:t>
      </w:r>
      <w:r>
        <w:rPr>
          <w:rFonts w:hint="eastAsia" w:ascii="Times New Roman" w:hAnsi="Times New Roman"/>
          <w:color w:val="auto"/>
          <w:highlight w:val="none"/>
        </w:rPr>
        <w:t>书面形式：指合同文件、信函、电报、传真等可以有形地表现所载内容的形式。</w:t>
      </w:r>
    </w:p>
    <w:p w14:paraId="735D0477">
      <w:pPr>
        <w:spacing w:line="360" w:lineRule="auto"/>
        <w:rPr>
          <w:color w:val="auto"/>
          <w:highlight w:val="none"/>
        </w:rPr>
      </w:pPr>
      <w:bookmarkStart w:id="170" w:name="bookmark906"/>
      <w:bookmarkStart w:id="171" w:name="bookmark907"/>
      <w:bookmarkStart w:id="172" w:name="bookmark908"/>
      <w:bookmarkStart w:id="173" w:name="_Toc16626"/>
      <w:r>
        <w:rPr>
          <w:color w:val="auto"/>
          <w:highlight w:val="none"/>
        </w:rPr>
        <w:t>1.2语言文字</w:t>
      </w:r>
      <w:bookmarkEnd w:id="170"/>
      <w:bookmarkEnd w:id="171"/>
      <w:bookmarkEnd w:id="172"/>
      <w:bookmarkEnd w:id="173"/>
    </w:p>
    <w:p w14:paraId="52812C23">
      <w:pPr>
        <w:pStyle w:val="523"/>
        <w:ind w:firstLine="420"/>
        <w:rPr>
          <w:rFonts w:ascii="Times New Roman" w:hAnsi="Times New Roman"/>
          <w:color w:val="auto"/>
          <w:highlight w:val="none"/>
        </w:rPr>
      </w:pPr>
      <w:r>
        <w:rPr>
          <w:rFonts w:hint="eastAsia" w:ascii="Times New Roman" w:hAnsi="Times New Roman"/>
          <w:color w:val="auto"/>
          <w:highlight w:val="none"/>
        </w:rPr>
        <w:t>除专用术语外，合同使用的语言文字为中文。必要时专用术语应附有中文注释。</w:t>
      </w:r>
    </w:p>
    <w:p w14:paraId="40870B90">
      <w:pPr>
        <w:spacing w:line="360" w:lineRule="auto"/>
        <w:rPr>
          <w:color w:val="auto"/>
          <w:highlight w:val="none"/>
        </w:rPr>
      </w:pPr>
      <w:bookmarkStart w:id="174" w:name="bookmark909"/>
      <w:bookmarkStart w:id="175" w:name="bookmark910"/>
      <w:bookmarkStart w:id="176" w:name="bookmark911"/>
      <w:bookmarkStart w:id="177" w:name="_Toc7852"/>
      <w:r>
        <w:rPr>
          <w:color w:val="auto"/>
          <w:highlight w:val="none"/>
        </w:rPr>
        <w:t>1.3法律</w:t>
      </w:r>
      <w:bookmarkEnd w:id="174"/>
      <w:bookmarkEnd w:id="175"/>
      <w:bookmarkEnd w:id="176"/>
      <w:bookmarkEnd w:id="177"/>
    </w:p>
    <w:p w14:paraId="17D36CC8">
      <w:pPr>
        <w:pStyle w:val="523"/>
        <w:ind w:firstLine="440"/>
        <w:rPr>
          <w:rFonts w:ascii="Times New Roman" w:hAnsi="Times New Roman"/>
          <w:color w:val="auto"/>
          <w:highlight w:val="none"/>
        </w:rPr>
      </w:pPr>
      <w:r>
        <w:rPr>
          <w:rFonts w:hint="eastAsia" w:ascii="Times New Roman" w:hAnsi="Times New Roman"/>
          <w:color w:val="auto"/>
          <w:highlight w:val="none"/>
        </w:rPr>
        <w:t>适用于合同的法律包括中华人民共和国法律、行政法规、部门规章，以及工程所在地的地方法规、自治条例、单行条例和地方政府规章。</w:t>
      </w:r>
    </w:p>
    <w:p w14:paraId="2500E37D">
      <w:pPr>
        <w:spacing w:line="360" w:lineRule="auto"/>
        <w:rPr>
          <w:color w:val="auto"/>
          <w:highlight w:val="none"/>
        </w:rPr>
      </w:pPr>
      <w:bookmarkStart w:id="178" w:name="bookmark913"/>
      <w:bookmarkStart w:id="179" w:name="bookmark912"/>
      <w:bookmarkStart w:id="180" w:name="_Toc17089"/>
      <w:bookmarkStart w:id="181" w:name="bookmark914"/>
      <w:r>
        <w:rPr>
          <w:color w:val="auto"/>
          <w:highlight w:val="none"/>
        </w:rPr>
        <w:t>1.4合同文件的优先顺序</w:t>
      </w:r>
      <w:bookmarkEnd w:id="178"/>
      <w:bookmarkEnd w:id="179"/>
      <w:bookmarkEnd w:id="180"/>
      <w:bookmarkEnd w:id="181"/>
    </w:p>
    <w:p w14:paraId="2E23FA0B">
      <w:pPr>
        <w:pStyle w:val="523"/>
        <w:ind w:firstLine="440"/>
        <w:rPr>
          <w:rFonts w:ascii="Times New Roman" w:hAnsi="Times New Roman"/>
          <w:color w:val="auto"/>
          <w:highlight w:val="none"/>
        </w:rPr>
      </w:pPr>
      <w:r>
        <w:rPr>
          <w:rFonts w:hint="eastAsia" w:ascii="Times New Roman" w:hAnsi="Times New Roman"/>
          <w:color w:val="auto"/>
          <w:highlight w:val="none"/>
        </w:rPr>
        <w:t>组成合同的各项文件应互相解释，互为说明。除专用合同条款另有约定外，解释合同文件的优先顺序如下：</w:t>
      </w:r>
    </w:p>
    <w:p w14:paraId="353C4459">
      <w:pPr>
        <w:pStyle w:val="523"/>
        <w:numPr>
          <w:ilvl w:val="0"/>
          <w:numId w:val="16"/>
        </w:numPr>
        <w:tabs>
          <w:tab w:val="left" w:pos="923"/>
        </w:tabs>
        <w:ind w:firstLine="440"/>
        <w:rPr>
          <w:rFonts w:ascii="Times New Roman" w:hAnsi="Times New Roman"/>
          <w:color w:val="auto"/>
          <w:highlight w:val="none"/>
        </w:rPr>
      </w:pPr>
      <w:bookmarkStart w:id="182" w:name="bookmark915"/>
      <w:bookmarkEnd w:id="182"/>
      <w:r>
        <w:rPr>
          <w:rFonts w:hint="eastAsia" w:ascii="Times New Roman" w:hAnsi="Times New Roman"/>
          <w:color w:val="auto"/>
          <w:highlight w:val="none"/>
        </w:rPr>
        <w:t>合同协议书；</w:t>
      </w:r>
    </w:p>
    <w:p w14:paraId="6416E7B1">
      <w:pPr>
        <w:pStyle w:val="523"/>
        <w:numPr>
          <w:ilvl w:val="0"/>
          <w:numId w:val="16"/>
        </w:numPr>
        <w:tabs>
          <w:tab w:val="left" w:pos="923"/>
        </w:tabs>
        <w:ind w:firstLine="440"/>
        <w:rPr>
          <w:rFonts w:ascii="Times New Roman" w:hAnsi="Times New Roman"/>
          <w:color w:val="auto"/>
          <w:highlight w:val="none"/>
        </w:rPr>
      </w:pPr>
      <w:bookmarkStart w:id="183" w:name="bookmark916"/>
      <w:bookmarkEnd w:id="183"/>
      <w:r>
        <w:rPr>
          <w:rFonts w:hint="eastAsia" w:ascii="Times New Roman" w:hAnsi="Times New Roman"/>
          <w:color w:val="auto"/>
          <w:highlight w:val="none"/>
        </w:rPr>
        <w:t>中标通知书；</w:t>
      </w:r>
    </w:p>
    <w:p w14:paraId="5DC35794">
      <w:pPr>
        <w:pStyle w:val="523"/>
        <w:numPr>
          <w:ilvl w:val="0"/>
          <w:numId w:val="16"/>
        </w:numPr>
        <w:tabs>
          <w:tab w:val="left" w:pos="903"/>
        </w:tabs>
        <w:ind w:firstLine="420"/>
        <w:rPr>
          <w:rFonts w:ascii="Times New Roman" w:hAnsi="Times New Roman"/>
          <w:color w:val="auto"/>
          <w:highlight w:val="none"/>
        </w:rPr>
      </w:pPr>
      <w:bookmarkStart w:id="184" w:name="bookmark917"/>
      <w:bookmarkEnd w:id="184"/>
      <w:r>
        <w:rPr>
          <w:rFonts w:hint="eastAsia" w:ascii="Times New Roman" w:hAnsi="Times New Roman"/>
          <w:color w:val="auto"/>
          <w:highlight w:val="none"/>
        </w:rPr>
        <w:t>投标函及投标函附录；</w:t>
      </w:r>
    </w:p>
    <w:p w14:paraId="2A03A049">
      <w:pPr>
        <w:pStyle w:val="523"/>
        <w:numPr>
          <w:ilvl w:val="0"/>
          <w:numId w:val="16"/>
        </w:numPr>
        <w:tabs>
          <w:tab w:val="left" w:pos="903"/>
        </w:tabs>
        <w:ind w:firstLine="420"/>
        <w:rPr>
          <w:rFonts w:ascii="Times New Roman" w:hAnsi="Times New Roman"/>
          <w:color w:val="auto"/>
          <w:highlight w:val="none"/>
        </w:rPr>
      </w:pPr>
      <w:bookmarkStart w:id="185" w:name="bookmark918"/>
      <w:bookmarkEnd w:id="185"/>
      <w:r>
        <w:rPr>
          <w:rFonts w:hint="eastAsia" w:ascii="Times New Roman" w:hAnsi="Times New Roman"/>
          <w:color w:val="auto"/>
          <w:highlight w:val="none"/>
        </w:rPr>
        <w:t>专用合同条款；</w:t>
      </w:r>
    </w:p>
    <w:p w14:paraId="6828C9FD">
      <w:pPr>
        <w:pStyle w:val="523"/>
        <w:numPr>
          <w:ilvl w:val="0"/>
          <w:numId w:val="16"/>
        </w:numPr>
        <w:tabs>
          <w:tab w:val="left" w:pos="903"/>
        </w:tabs>
        <w:ind w:firstLine="420"/>
        <w:rPr>
          <w:rFonts w:ascii="Times New Roman" w:hAnsi="Times New Roman"/>
          <w:color w:val="auto"/>
          <w:highlight w:val="none"/>
        </w:rPr>
      </w:pPr>
      <w:bookmarkStart w:id="186" w:name="bookmark919"/>
      <w:bookmarkEnd w:id="186"/>
      <w:r>
        <w:rPr>
          <w:rFonts w:hint="eastAsia" w:ascii="Times New Roman" w:hAnsi="Times New Roman"/>
          <w:color w:val="auto"/>
          <w:highlight w:val="none"/>
        </w:rPr>
        <w:t>通用合同条款；</w:t>
      </w:r>
    </w:p>
    <w:p w14:paraId="7FD9D4F5">
      <w:pPr>
        <w:pStyle w:val="523"/>
        <w:numPr>
          <w:ilvl w:val="0"/>
          <w:numId w:val="16"/>
        </w:numPr>
        <w:tabs>
          <w:tab w:val="left" w:pos="903"/>
        </w:tabs>
        <w:ind w:firstLine="420"/>
        <w:rPr>
          <w:rFonts w:ascii="Times New Roman" w:hAnsi="Times New Roman"/>
          <w:color w:val="auto"/>
          <w:highlight w:val="none"/>
        </w:rPr>
      </w:pPr>
      <w:bookmarkStart w:id="187" w:name="bookmark920"/>
      <w:bookmarkEnd w:id="187"/>
      <w:r>
        <w:rPr>
          <w:rFonts w:hint="eastAsia" w:ascii="Times New Roman" w:hAnsi="Times New Roman"/>
          <w:color w:val="auto"/>
          <w:highlight w:val="none"/>
        </w:rPr>
        <w:t>技术标准和要求；</w:t>
      </w:r>
    </w:p>
    <w:p w14:paraId="62CBCA57">
      <w:pPr>
        <w:pStyle w:val="523"/>
        <w:numPr>
          <w:ilvl w:val="0"/>
          <w:numId w:val="16"/>
        </w:numPr>
        <w:tabs>
          <w:tab w:val="left" w:pos="903"/>
        </w:tabs>
        <w:ind w:firstLine="420"/>
        <w:rPr>
          <w:rFonts w:ascii="Times New Roman" w:hAnsi="Times New Roman"/>
          <w:color w:val="auto"/>
          <w:highlight w:val="none"/>
        </w:rPr>
      </w:pPr>
      <w:bookmarkStart w:id="188" w:name="bookmark921"/>
      <w:bookmarkEnd w:id="188"/>
      <w:r>
        <w:rPr>
          <w:rFonts w:hint="eastAsia" w:ascii="Times New Roman" w:hAnsi="Times New Roman"/>
          <w:color w:val="auto"/>
          <w:highlight w:val="none"/>
        </w:rPr>
        <w:t>图纸；</w:t>
      </w:r>
    </w:p>
    <w:p w14:paraId="3F1E57E1">
      <w:pPr>
        <w:pStyle w:val="523"/>
        <w:numPr>
          <w:ilvl w:val="0"/>
          <w:numId w:val="16"/>
        </w:numPr>
        <w:tabs>
          <w:tab w:val="left" w:pos="903"/>
        </w:tabs>
        <w:ind w:firstLine="420"/>
        <w:rPr>
          <w:rFonts w:ascii="Times New Roman" w:hAnsi="Times New Roman"/>
          <w:color w:val="auto"/>
          <w:highlight w:val="none"/>
        </w:rPr>
      </w:pPr>
      <w:bookmarkStart w:id="189" w:name="bookmark922"/>
      <w:bookmarkEnd w:id="189"/>
      <w:r>
        <w:rPr>
          <w:rFonts w:hint="eastAsia" w:ascii="Times New Roman" w:hAnsi="Times New Roman"/>
          <w:color w:val="auto"/>
          <w:highlight w:val="none"/>
        </w:rPr>
        <w:t>已标价工程量清单；</w:t>
      </w:r>
    </w:p>
    <w:p w14:paraId="0A1E1846">
      <w:pPr>
        <w:pStyle w:val="523"/>
        <w:numPr>
          <w:ilvl w:val="0"/>
          <w:numId w:val="16"/>
        </w:numPr>
        <w:tabs>
          <w:tab w:val="left" w:pos="903"/>
        </w:tabs>
        <w:ind w:firstLine="420"/>
        <w:rPr>
          <w:rFonts w:ascii="Times New Roman" w:hAnsi="Times New Roman"/>
          <w:color w:val="auto"/>
          <w:highlight w:val="none"/>
        </w:rPr>
      </w:pPr>
      <w:bookmarkStart w:id="190" w:name="bookmark923"/>
      <w:bookmarkEnd w:id="190"/>
      <w:r>
        <w:rPr>
          <w:rFonts w:hint="eastAsia" w:ascii="Times New Roman" w:hAnsi="Times New Roman"/>
          <w:color w:val="auto"/>
          <w:highlight w:val="none"/>
        </w:rPr>
        <w:t>其他合同文件。</w:t>
      </w:r>
    </w:p>
    <w:p w14:paraId="3F95FE7C">
      <w:pPr>
        <w:spacing w:line="360" w:lineRule="auto"/>
        <w:rPr>
          <w:color w:val="auto"/>
          <w:highlight w:val="none"/>
        </w:rPr>
      </w:pPr>
      <w:bookmarkStart w:id="191" w:name="bookmark925"/>
      <w:bookmarkStart w:id="192" w:name="_Toc30693"/>
      <w:bookmarkStart w:id="193" w:name="bookmark926"/>
      <w:bookmarkStart w:id="194" w:name="bookmark924"/>
      <w:r>
        <w:rPr>
          <w:color w:val="auto"/>
          <w:highlight w:val="none"/>
        </w:rPr>
        <w:t>1.5合同协议书</w:t>
      </w:r>
      <w:bookmarkEnd w:id="191"/>
      <w:bookmarkEnd w:id="192"/>
      <w:bookmarkEnd w:id="193"/>
      <w:bookmarkEnd w:id="194"/>
    </w:p>
    <w:p w14:paraId="7850B8B4">
      <w:pPr>
        <w:pStyle w:val="523"/>
        <w:ind w:firstLine="440"/>
        <w:rPr>
          <w:rFonts w:ascii="Times New Roman" w:hAnsi="Times New Roman"/>
          <w:color w:val="auto"/>
          <w:highlight w:val="none"/>
        </w:rPr>
      </w:pPr>
      <w:r>
        <w:rPr>
          <w:rFonts w:hint="eastAsia" w:ascii="Times New Roman" w:hAnsi="Times New Roman"/>
          <w:color w:val="auto"/>
          <w:highlight w:val="none"/>
        </w:rPr>
        <w:t>承包人按中标通知书规定的时间与发包人签订合同协议书。除法律另有规定或合同另有约定外，发包人和承包人的法定代表人或其委托代理人在合同协议书上签字并盖单位电子公章后，合同生效。</w:t>
      </w:r>
    </w:p>
    <w:p w14:paraId="4BCAD38A">
      <w:pPr>
        <w:spacing w:line="360" w:lineRule="auto"/>
        <w:rPr>
          <w:color w:val="auto"/>
          <w:highlight w:val="none"/>
        </w:rPr>
      </w:pPr>
      <w:bookmarkStart w:id="195" w:name="bookmark928"/>
      <w:bookmarkStart w:id="196" w:name="bookmark929"/>
      <w:bookmarkStart w:id="197" w:name="_Toc10434"/>
      <w:bookmarkStart w:id="198" w:name="bookmark927"/>
      <w:r>
        <w:rPr>
          <w:color w:val="auto"/>
          <w:highlight w:val="none"/>
        </w:rPr>
        <w:t>1.6图纸和承包人文件</w:t>
      </w:r>
      <w:bookmarkEnd w:id="195"/>
      <w:bookmarkEnd w:id="196"/>
      <w:bookmarkEnd w:id="197"/>
      <w:bookmarkEnd w:id="198"/>
    </w:p>
    <w:p w14:paraId="3F22429A">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1.6.1</w:t>
      </w:r>
      <w:r>
        <w:rPr>
          <w:rFonts w:hint="eastAsia" w:ascii="Times New Roman" w:hAnsi="Times New Roman"/>
          <w:color w:val="auto"/>
          <w:highlight w:val="none"/>
        </w:rPr>
        <w:t>图纸的提供</w:t>
      </w:r>
    </w:p>
    <w:p w14:paraId="2061F63F">
      <w:pPr>
        <w:pStyle w:val="523"/>
        <w:ind w:firstLine="420"/>
        <w:rPr>
          <w:rFonts w:ascii="Times New Roman" w:hAnsi="Times New Roman"/>
          <w:color w:val="auto"/>
          <w:highlight w:val="none"/>
        </w:rPr>
      </w:pPr>
      <w:r>
        <w:rPr>
          <w:rFonts w:hint="eastAsia" w:ascii="Times New Roman" w:hAnsi="Times New Roman"/>
          <w:color w:val="auto"/>
          <w:highlight w:val="none"/>
        </w:rPr>
        <w:t>发包人应按技术标准和要求(合同技术条款)约定的期限和数量将施工图纸以及其它图纸（包括配套说明和有关资料）提供给承包人。由于发包人未按时提供图纸造成工期延误的，按第</w:t>
      </w:r>
      <w:r>
        <w:rPr>
          <w:rFonts w:hint="eastAsia" w:ascii="Times New Roman" w:hAnsi="Times New Roman"/>
          <w:color w:val="auto"/>
          <w:highlight w:val="none"/>
          <w:lang w:val="en-US" w:bidi="en-US"/>
        </w:rPr>
        <w:t xml:space="preserve">11. </w:t>
      </w:r>
      <w:r>
        <w:rPr>
          <w:rFonts w:hint="eastAsia" w:ascii="Times New Roman" w:hAnsi="Times New Roman"/>
          <w:color w:val="auto"/>
          <w:highlight w:val="none"/>
        </w:rPr>
        <w:t>3款的约定办理。</w:t>
      </w:r>
    </w:p>
    <w:p w14:paraId="6930A2BB">
      <w:pPr>
        <w:pStyle w:val="523"/>
        <w:ind w:firstLine="420"/>
        <w:rPr>
          <w:rFonts w:ascii="Times New Roman" w:hAnsi="Times New Roman"/>
          <w:color w:val="auto"/>
          <w:highlight w:val="none"/>
        </w:rPr>
      </w:pPr>
      <w:r>
        <w:rPr>
          <w:rFonts w:hint="eastAsia" w:ascii="Times New Roman" w:hAnsi="Times New Roman"/>
          <w:color w:val="auto"/>
          <w:highlight w:val="none"/>
          <w:lang w:val="en-US"/>
        </w:rPr>
        <w:t>1.6.</w:t>
      </w:r>
      <w:r>
        <w:rPr>
          <w:rFonts w:hint="eastAsia" w:ascii="Times New Roman" w:hAnsi="Times New Roman"/>
          <w:color w:val="auto"/>
          <w:highlight w:val="none"/>
        </w:rPr>
        <w:t>2承包人提供的文件</w:t>
      </w:r>
    </w:p>
    <w:p w14:paraId="09DFC398">
      <w:pPr>
        <w:pStyle w:val="523"/>
        <w:ind w:firstLine="440"/>
        <w:rPr>
          <w:rFonts w:ascii="Times New Roman" w:hAnsi="Times New Roman"/>
          <w:color w:val="auto"/>
          <w:highlight w:val="none"/>
        </w:rPr>
      </w:pPr>
      <w:r>
        <w:rPr>
          <w:rFonts w:hint="eastAsia" w:ascii="Times New Roman" w:hAnsi="Times New Roman"/>
          <w:color w:val="auto"/>
          <w:highlight w:val="none"/>
        </w:rPr>
        <w:t>承包人提供的文件应按技术标准和要求（合同技术条款）约定的期限和数量提供给监理人。监理人应按技术标准和要求（合同技术条款）约定的期限批复承包人。</w:t>
      </w:r>
    </w:p>
    <w:p w14:paraId="685F41A8">
      <w:pPr>
        <w:pStyle w:val="523"/>
        <w:ind w:firstLine="420"/>
        <w:rPr>
          <w:rFonts w:ascii="Times New Roman" w:hAnsi="Times New Roman"/>
          <w:color w:val="auto"/>
          <w:highlight w:val="none"/>
        </w:rPr>
      </w:pPr>
      <w:r>
        <w:rPr>
          <w:rFonts w:hint="eastAsia" w:ascii="Times New Roman" w:hAnsi="Times New Roman"/>
          <w:color w:val="auto"/>
          <w:highlight w:val="none"/>
          <w:lang w:val="en-US"/>
        </w:rPr>
        <w:t>1.6.3</w:t>
      </w:r>
      <w:r>
        <w:rPr>
          <w:rFonts w:hint="eastAsia" w:ascii="Times New Roman" w:hAnsi="Times New Roman"/>
          <w:color w:val="auto"/>
          <w:highlight w:val="none"/>
        </w:rPr>
        <w:t>图纸的修改</w:t>
      </w:r>
    </w:p>
    <w:p w14:paraId="2966C703">
      <w:pPr>
        <w:pStyle w:val="523"/>
        <w:ind w:firstLine="440"/>
        <w:rPr>
          <w:rFonts w:ascii="Times New Roman" w:hAnsi="Times New Roman"/>
          <w:color w:val="auto"/>
          <w:highlight w:val="none"/>
        </w:rPr>
      </w:pPr>
      <w:r>
        <w:rPr>
          <w:rFonts w:hint="eastAsia" w:ascii="Times New Roman" w:hAnsi="Times New Roman"/>
          <w:color w:val="auto"/>
          <w:highlight w:val="none"/>
        </w:rPr>
        <w:t>设计人需要对已发给承包人的施工图纸进行修改时，监理人应在技术标准和要求（合同技术条款）约定的期限内签发施工图纸的修改图给承包人。承包人应按技术标准和要求（合同技术条款）的约定编制一份承包人实施计划提交监理人批准后执行。</w:t>
      </w:r>
    </w:p>
    <w:p w14:paraId="66ED9707">
      <w:pPr>
        <w:pStyle w:val="523"/>
        <w:ind w:firstLine="420"/>
        <w:rPr>
          <w:rFonts w:ascii="Times New Roman" w:hAnsi="Times New Roman"/>
          <w:color w:val="auto"/>
          <w:highlight w:val="none"/>
        </w:rPr>
      </w:pPr>
      <w:r>
        <w:rPr>
          <w:rFonts w:hint="eastAsia" w:ascii="Times New Roman" w:hAnsi="Times New Roman"/>
          <w:color w:val="auto"/>
          <w:highlight w:val="none"/>
          <w:lang w:val="en-US"/>
        </w:rPr>
        <w:t>1.6.4</w:t>
      </w:r>
      <w:r>
        <w:rPr>
          <w:rFonts w:hint="eastAsia" w:ascii="Times New Roman" w:hAnsi="Times New Roman"/>
          <w:color w:val="auto"/>
          <w:highlight w:val="none"/>
        </w:rPr>
        <w:t>图纸的错误</w:t>
      </w:r>
    </w:p>
    <w:p w14:paraId="43C7D8AF">
      <w:pPr>
        <w:pStyle w:val="523"/>
        <w:ind w:firstLine="440"/>
        <w:rPr>
          <w:rFonts w:ascii="Times New Roman" w:hAnsi="Times New Roman"/>
          <w:color w:val="auto"/>
          <w:highlight w:val="none"/>
        </w:rPr>
      </w:pPr>
      <w:r>
        <w:rPr>
          <w:rFonts w:hint="eastAsia" w:ascii="Times New Roman" w:hAnsi="Times New Roman"/>
          <w:color w:val="auto"/>
          <w:highlight w:val="none"/>
        </w:rPr>
        <w:t>承包人发现发包人提供的图纸存在明显错误或疏忽，应及时通知监理人。</w:t>
      </w:r>
    </w:p>
    <w:p w14:paraId="64D0960D">
      <w:pPr>
        <w:pStyle w:val="523"/>
        <w:ind w:firstLine="420"/>
        <w:rPr>
          <w:rFonts w:ascii="Times New Roman" w:hAnsi="Times New Roman"/>
          <w:color w:val="auto"/>
          <w:highlight w:val="none"/>
        </w:rPr>
      </w:pPr>
      <w:r>
        <w:rPr>
          <w:rFonts w:hint="eastAsia" w:ascii="Times New Roman" w:hAnsi="Times New Roman"/>
          <w:color w:val="auto"/>
          <w:highlight w:val="none"/>
          <w:lang w:val="en-US"/>
        </w:rPr>
        <w:t>1.6.5</w:t>
      </w:r>
      <w:r>
        <w:rPr>
          <w:rFonts w:hint="eastAsia" w:ascii="Times New Roman" w:hAnsi="Times New Roman"/>
          <w:color w:val="auto"/>
          <w:highlight w:val="none"/>
        </w:rPr>
        <w:t>图纸和承包人文件的保管</w:t>
      </w:r>
    </w:p>
    <w:p w14:paraId="311960D1">
      <w:pPr>
        <w:pStyle w:val="523"/>
        <w:ind w:firstLine="440"/>
        <w:rPr>
          <w:rFonts w:ascii="Times New Roman" w:hAnsi="Times New Roman"/>
          <w:color w:val="auto"/>
          <w:highlight w:val="none"/>
        </w:rPr>
      </w:pPr>
      <w:r>
        <w:rPr>
          <w:rFonts w:hint="eastAsia" w:ascii="Times New Roman" w:hAnsi="Times New Roman"/>
          <w:color w:val="auto"/>
          <w:highlight w:val="none"/>
        </w:rPr>
        <w:t>监理人和承包人均应在施工场地各保存一套完整的包含第</w:t>
      </w:r>
      <w:r>
        <w:rPr>
          <w:rFonts w:hint="eastAsia" w:ascii="Times New Roman" w:hAnsi="Times New Roman"/>
          <w:color w:val="auto"/>
          <w:highlight w:val="none"/>
          <w:lang w:val="en-US" w:bidi="en-US"/>
        </w:rPr>
        <w:t xml:space="preserve">1. 6. </w:t>
      </w:r>
      <w:r>
        <w:rPr>
          <w:rFonts w:hint="eastAsia" w:ascii="Times New Roman" w:hAnsi="Times New Roman"/>
          <w:color w:val="auto"/>
          <w:highlight w:val="none"/>
        </w:rPr>
        <w:t>1项、第</w:t>
      </w:r>
      <w:r>
        <w:rPr>
          <w:rFonts w:hint="eastAsia" w:ascii="Times New Roman" w:hAnsi="Times New Roman"/>
          <w:color w:val="auto"/>
          <w:highlight w:val="none"/>
          <w:lang w:val="en-US" w:bidi="en-US"/>
        </w:rPr>
        <w:t>1.6.2</w:t>
      </w:r>
      <w:r>
        <w:rPr>
          <w:rFonts w:hint="eastAsia" w:ascii="Times New Roman" w:hAnsi="Times New Roman"/>
          <w:color w:val="auto"/>
          <w:highlight w:val="none"/>
        </w:rPr>
        <w:t xml:space="preserve">项、第 </w:t>
      </w:r>
      <w:r>
        <w:rPr>
          <w:rFonts w:hint="eastAsia" w:ascii="Times New Roman" w:hAnsi="Times New Roman"/>
          <w:color w:val="auto"/>
          <w:highlight w:val="none"/>
          <w:lang w:val="en-US" w:bidi="en-US"/>
        </w:rPr>
        <w:t xml:space="preserve">1.6. </w:t>
      </w:r>
      <w:r>
        <w:rPr>
          <w:rFonts w:hint="eastAsia" w:ascii="Times New Roman" w:hAnsi="Times New Roman"/>
          <w:color w:val="auto"/>
          <w:highlight w:val="none"/>
        </w:rPr>
        <w:t>3项约定内容的图纸和承包人文件。</w:t>
      </w:r>
    </w:p>
    <w:p w14:paraId="35A40193">
      <w:pPr>
        <w:spacing w:line="360" w:lineRule="auto"/>
        <w:rPr>
          <w:color w:val="auto"/>
          <w:highlight w:val="none"/>
        </w:rPr>
      </w:pPr>
      <w:bookmarkStart w:id="199" w:name="bookmark931"/>
      <w:bookmarkStart w:id="200" w:name="bookmark932"/>
      <w:bookmarkStart w:id="201" w:name="_Toc18431"/>
      <w:bookmarkStart w:id="202" w:name="bookmark930"/>
      <w:r>
        <w:rPr>
          <w:color w:val="auto"/>
          <w:highlight w:val="none"/>
        </w:rPr>
        <w:t>1.7联络</w:t>
      </w:r>
      <w:bookmarkEnd w:id="199"/>
      <w:bookmarkEnd w:id="200"/>
      <w:bookmarkEnd w:id="201"/>
      <w:bookmarkEnd w:id="202"/>
    </w:p>
    <w:p w14:paraId="6FDD4176">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1.7.1</w:t>
      </w:r>
      <w:r>
        <w:rPr>
          <w:rFonts w:hint="eastAsia" w:ascii="Times New Roman" w:hAnsi="Times New Roman"/>
          <w:color w:val="auto"/>
          <w:highlight w:val="none"/>
        </w:rPr>
        <w:t>与合同有关的通知、批准、证明、证书、指示、要求、请求、同意、意见、确 定和决定等，均应采用书面形式。</w:t>
      </w:r>
    </w:p>
    <w:p w14:paraId="16253CA3">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1.7.2</w:t>
      </w:r>
      <w:r>
        <w:rPr>
          <w:rFonts w:hint="eastAsia" w:ascii="Times New Roman" w:hAnsi="Times New Roman"/>
          <w:color w:val="auto"/>
          <w:highlight w:val="none"/>
        </w:rPr>
        <w:t>第</w:t>
      </w:r>
      <w:r>
        <w:rPr>
          <w:rFonts w:hint="eastAsia" w:ascii="Times New Roman" w:hAnsi="Times New Roman"/>
          <w:color w:val="auto"/>
          <w:highlight w:val="none"/>
          <w:lang w:val="en-US" w:bidi="en-US"/>
        </w:rPr>
        <w:t>1.7.1</w:t>
      </w:r>
      <w:r>
        <w:rPr>
          <w:rFonts w:hint="eastAsia" w:ascii="Times New Roman" w:hAnsi="Times New Roman"/>
          <w:color w:val="auto"/>
          <w:highlight w:val="none"/>
        </w:rPr>
        <w:t>项中的通知、批准、证明、证书、指示、要求、请求、同意、意见、 确定和决定等来往函件，均应在合同约定的期限内送达指定地点和接收人，并办理签收手续。来往函件的送达期限在技术标准和要求（合同技术条款）中约定，送达地点在专用合同条款中约定。</w:t>
      </w:r>
    </w:p>
    <w:p w14:paraId="2D93FAEE">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1.7.3</w:t>
      </w:r>
      <w:r>
        <w:rPr>
          <w:rFonts w:hint="eastAsia" w:ascii="Times New Roman" w:hAnsi="Times New Roman"/>
          <w:color w:val="auto"/>
          <w:highlight w:val="none"/>
        </w:rPr>
        <w:t>来往函件均应按合同约定的期限及时发出和答复，不得无故扣压和拖延，亦不得拒收。否则，由此造成的后果由责任方负责。</w:t>
      </w:r>
    </w:p>
    <w:p w14:paraId="210E3B67">
      <w:pPr>
        <w:spacing w:line="360" w:lineRule="auto"/>
        <w:rPr>
          <w:color w:val="auto"/>
          <w:highlight w:val="none"/>
        </w:rPr>
      </w:pPr>
      <w:bookmarkStart w:id="203" w:name="bookmark933"/>
      <w:bookmarkStart w:id="204" w:name="_Toc11450"/>
      <w:bookmarkStart w:id="205" w:name="bookmark934"/>
      <w:bookmarkStart w:id="206" w:name="bookmark935"/>
      <w:r>
        <w:rPr>
          <w:color w:val="auto"/>
          <w:highlight w:val="none"/>
        </w:rPr>
        <w:t>1.8转让</w:t>
      </w:r>
      <w:bookmarkEnd w:id="203"/>
      <w:bookmarkEnd w:id="204"/>
      <w:bookmarkEnd w:id="205"/>
      <w:bookmarkEnd w:id="206"/>
    </w:p>
    <w:p w14:paraId="3A09A813">
      <w:pPr>
        <w:pStyle w:val="523"/>
        <w:ind w:firstLine="440"/>
        <w:rPr>
          <w:rFonts w:ascii="Times New Roman" w:hAnsi="Times New Roman"/>
          <w:color w:val="auto"/>
          <w:highlight w:val="none"/>
        </w:rPr>
      </w:pPr>
      <w:r>
        <w:rPr>
          <w:rFonts w:hint="eastAsia" w:ascii="Times New Roman" w:hAnsi="Times New Roman"/>
          <w:color w:val="auto"/>
          <w:highlight w:val="none"/>
        </w:rPr>
        <w:t>除合同另有约定外，未经对方当事人同意，一方当事人不得将合同权利全部或部分转让给第三人，也不得全部或部分转移合同义务。</w:t>
      </w:r>
    </w:p>
    <w:p w14:paraId="1F81A996">
      <w:pPr>
        <w:spacing w:line="360" w:lineRule="auto"/>
        <w:rPr>
          <w:color w:val="auto"/>
          <w:highlight w:val="none"/>
        </w:rPr>
      </w:pPr>
      <w:bookmarkStart w:id="207" w:name="bookmark936"/>
      <w:bookmarkStart w:id="208" w:name="_Toc28520"/>
      <w:bookmarkStart w:id="209" w:name="bookmark938"/>
      <w:bookmarkStart w:id="210" w:name="bookmark937"/>
      <w:r>
        <w:rPr>
          <w:color w:val="auto"/>
          <w:highlight w:val="none"/>
        </w:rPr>
        <w:t>1.9严禁贿赂</w:t>
      </w:r>
      <w:bookmarkEnd w:id="207"/>
      <w:bookmarkEnd w:id="208"/>
      <w:bookmarkEnd w:id="209"/>
      <w:bookmarkEnd w:id="210"/>
    </w:p>
    <w:p w14:paraId="4C539A4F">
      <w:pPr>
        <w:pStyle w:val="523"/>
        <w:ind w:firstLine="440"/>
        <w:rPr>
          <w:rFonts w:ascii="Times New Roman" w:hAnsi="Times New Roman"/>
          <w:color w:val="auto"/>
          <w:highlight w:val="none"/>
        </w:rPr>
      </w:pPr>
      <w:r>
        <w:rPr>
          <w:rFonts w:hint="eastAsia" w:ascii="Times New Roman" w:hAnsi="Times New Roman"/>
          <w:color w:val="auto"/>
          <w:highlight w:val="none"/>
        </w:rPr>
        <w:t>合同双方当事人不得以贿赂或变相贿赂的方式，谋取不当利益或损害对方权益。因贿赂造成对方损失的，行为人应赔偿损失，并承担相应的法律责任。</w:t>
      </w:r>
    </w:p>
    <w:p w14:paraId="3E53B918">
      <w:pPr>
        <w:spacing w:line="360" w:lineRule="auto"/>
        <w:rPr>
          <w:color w:val="auto"/>
          <w:highlight w:val="none"/>
        </w:rPr>
      </w:pPr>
      <w:bookmarkStart w:id="211" w:name="bookmark941"/>
      <w:bookmarkStart w:id="212" w:name="bookmark940"/>
      <w:bookmarkStart w:id="213" w:name="bookmark939"/>
      <w:bookmarkStart w:id="214" w:name="_Toc27697"/>
      <w:r>
        <w:rPr>
          <w:color w:val="auto"/>
          <w:highlight w:val="none"/>
        </w:rPr>
        <w:t>1.10化石、文物</w:t>
      </w:r>
      <w:bookmarkEnd w:id="211"/>
      <w:bookmarkEnd w:id="212"/>
      <w:bookmarkEnd w:id="213"/>
      <w:bookmarkEnd w:id="214"/>
    </w:p>
    <w:p w14:paraId="2CF092E1">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 xml:space="preserve">1.10. </w:t>
      </w:r>
      <w:r>
        <w:rPr>
          <w:rFonts w:hint="eastAsia" w:ascii="Times New Roman" w:hAnsi="Times New Roman"/>
          <w:color w:val="auto"/>
          <w:highlight w:val="none"/>
        </w:rPr>
        <w:t>1在施工场地发掘的所有文物、古迹以及具有地质研究或考古价值的其他遗迹、 化石、钱币或物品属于国家所有。一旦发现上述文物，承包人应采取有效合理的保护措施, 防止任何人员移动或损坏上述物品，并立即报告当地文物行政部门，同时通知监理人。发包人、监理人和承包人应按文物行政部门要求采取妥善保护措施，由此导致费用增加和（或）工期延误由发包人承担。</w:t>
      </w:r>
    </w:p>
    <w:p w14:paraId="243F8E51">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1.10.</w:t>
      </w:r>
      <w:r>
        <w:rPr>
          <w:rFonts w:hint="eastAsia" w:ascii="Times New Roman" w:hAnsi="Times New Roman"/>
          <w:color w:val="auto"/>
          <w:highlight w:val="none"/>
        </w:rPr>
        <w:t>2承包人发现文物后不及时报告或隐瞒不报，致使文物丢失或损坏的，应赔偿损失，并承担相应的法律责任。</w:t>
      </w:r>
    </w:p>
    <w:p w14:paraId="35438554">
      <w:pPr>
        <w:spacing w:line="360" w:lineRule="auto"/>
        <w:rPr>
          <w:color w:val="auto"/>
          <w:highlight w:val="none"/>
        </w:rPr>
      </w:pPr>
      <w:bookmarkStart w:id="215" w:name="bookmark944"/>
      <w:bookmarkStart w:id="216" w:name="bookmark943"/>
      <w:bookmarkStart w:id="217" w:name="_Toc8461"/>
      <w:bookmarkStart w:id="218" w:name="bookmark942"/>
      <w:r>
        <w:rPr>
          <w:color w:val="auto"/>
          <w:highlight w:val="none"/>
        </w:rPr>
        <w:t>1.11专利技术</w:t>
      </w:r>
      <w:bookmarkEnd w:id="215"/>
      <w:bookmarkEnd w:id="216"/>
      <w:bookmarkEnd w:id="217"/>
      <w:bookmarkEnd w:id="218"/>
    </w:p>
    <w:p w14:paraId="7A5EC16D">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1.11.1</w:t>
      </w:r>
      <w:r>
        <w:rPr>
          <w:rFonts w:hint="eastAsia" w:ascii="Times New Roman" w:hAnsi="Times New Roman"/>
          <w:color w:val="auto"/>
          <w:highlight w:val="none"/>
        </w:rPr>
        <w:t>承包人在使用任何材料、承包人设备、工程设备或采用施工工艺时，因侵犯专利权或其他知识产权所引起的责任，由承包人承担，但由于遵照发包人提供的设计或技术标准和要求引起的除外。</w:t>
      </w:r>
    </w:p>
    <w:p w14:paraId="202F719A">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1.11.2</w:t>
      </w:r>
      <w:r>
        <w:rPr>
          <w:rFonts w:hint="eastAsia" w:ascii="Times New Roman" w:hAnsi="Times New Roman"/>
          <w:color w:val="auto"/>
          <w:highlight w:val="none"/>
        </w:rPr>
        <w:t>承包人在响应文件中采用专利技术的，专利技术的使用费包含在投标报价内。</w:t>
      </w:r>
    </w:p>
    <w:p w14:paraId="5725F64A">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1.11.3</w:t>
      </w:r>
      <w:r>
        <w:rPr>
          <w:rFonts w:hint="eastAsia" w:ascii="Times New Roman" w:hAnsi="Times New Roman"/>
          <w:color w:val="auto"/>
          <w:highlight w:val="none"/>
        </w:rPr>
        <w:t>承包人的技术秘密和声明需要保密的资料和信息，发包人和监理人不得为合同以外的目的泄露给他人。</w:t>
      </w:r>
    </w:p>
    <w:p w14:paraId="66664A73">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1.11.4</w:t>
      </w:r>
      <w:r>
        <w:rPr>
          <w:rFonts w:hint="eastAsia" w:ascii="Times New Roman" w:hAnsi="Times New Roman"/>
          <w:color w:val="auto"/>
          <w:highlight w:val="none"/>
        </w:rPr>
        <w:t>合同实施过程中，发包人要求承包人采用专利技术的，发包人应办理相应的使用手续，承包人应按发包人约定的条件使用，并承担使用专利技术的相关试验工作。所需的费用由发包人承担。</w:t>
      </w:r>
    </w:p>
    <w:p w14:paraId="7D43083F">
      <w:pPr>
        <w:spacing w:line="360" w:lineRule="auto"/>
        <w:rPr>
          <w:color w:val="auto"/>
          <w:highlight w:val="none"/>
        </w:rPr>
      </w:pPr>
      <w:bookmarkStart w:id="219" w:name="bookmark947"/>
      <w:bookmarkStart w:id="220" w:name="bookmark945"/>
      <w:bookmarkStart w:id="221" w:name="_Toc21439"/>
      <w:bookmarkStart w:id="222" w:name="bookmark946"/>
      <w:r>
        <w:rPr>
          <w:color w:val="auto"/>
          <w:highlight w:val="none"/>
        </w:rPr>
        <w:t>1.12图纸和文件的保密</w:t>
      </w:r>
      <w:bookmarkEnd w:id="219"/>
      <w:bookmarkEnd w:id="220"/>
      <w:bookmarkEnd w:id="221"/>
      <w:bookmarkEnd w:id="222"/>
    </w:p>
    <w:p w14:paraId="0FA05D5D">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1.12.1</w:t>
      </w:r>
      <w:r>
        <w:rPr>
          <w:rFonts w:hint="eastAsia" w:ascii="Times New Roman" w:hAnsi="Times New Roman"/>
          <w:color w:val="auto"/>
          <w:highlight w:val="none"/>
        </w:rPr>
        <w:t>发包人提供的图纸和文件，未经发包人同意，承包人不得为合同以外的目的泄露给他人或公开发表与引用。</w:t>
      </w:r>
    </w:p>
    <w:p w14:paraId="162A71A9">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1.12.2</w:t>
      </w:r>
      <w:r>
        <w:rPr>
          <w:rFonts w:hint="eastAsia" w:ascii="Times New Roman" w:hAnsi="Times New Roman"/>
          <w:color w:val="auto"/>
          <w:highlight w:val="none"/>
        </w:rPr>
        <w:t>承包人提供的文件，未经承包人同意，发包人和监理人不得为合同以外的目的泄露给他人或公开发表与引用。</w:t>
      </w:r>
    </w:p>
    <w:p w14:paraId="75570EB3">
      <w:pPr>
        <w:pStyle w:val="5"/>
        <w:spacing w:line="360" w:lineRule="auto"/>
        <w:rPr>
          <w:color w:val="auto"/>
          <w:highlight w:val="none"/>
        </w:rPr>
      </w:pPr>
      <w:bookmarkStart w:id="223" w:name="bookmark950"/>
      <w:bookmarkEnd w:id="223"/>
      <w:bookmarkStart w:id="224" w:name="bookmark949"/>
      <w:bookmarkStart w:id="225" w:name="_Toc32636"/>
      <w:bookmarkStart w:id="226" w:name="bookmark951"/>
      <w:bookmarkStart w:id="227" w:name="_Toc3842"/>
      <w:bookmarkStart w:id="228" w:name="bookmark948"/>
      <w:bookmarkStart w:id="229" w:name="_Toc1247134707"/>
      <w:bookmarkStart w:id="230" w:name="_Toc147350606"/>
      <w:r>
        <w:rPr>
          <w:rFonts w:hint="eastAsia"/>
          <w:color w:val="auto"/>
          <w:highlight w:val="none"/>
        </w:rPr>
        <w:t>2.发包人义务</w:t>
      </w:r>
      <w:bookmarkEnd w:id="224"/>
      <w:bookmarkEnd w:id="225"/>
      <w:bookmarkEnd w:id="226"/>
      <w:bookmarkEnd w:id="227"/>
      <w:bookmarkEnd w:id="228"/>
      <w:bookmarkEnd w:id="229"/>
      <w:bookmarkEnd w:id="230"/>
    </w:p>
    <w:p w14:paraId="27DBCC9C">
      <w:pPr>
        <w:spacing w:line="360" w:lineRule="auto"/>
        <w:rPr>
          <w:color w:val="auto"/>
          <w:highlight w:val="none"/>
        </w:rPr>
      </w:pPr>
      <w:bookmarkStart w:id="231" w:name="bookmark953"/>
      <w:bookmarkStart w:id="232" w:name="bookmark954"/>
      <w:bookmarkStart w:id="233" w:name="bookmark952"/>
      <w:bookmarkStart w:id="234" w:name="_Toc19875"/>
      <w:r>
        <w:rPr>
          <w:color w:val="auto"/>
          <w:highlight w:val="none"/>
        </w:rPr>
        <w:t>2.1遵守法律</w:t>
      </w:r>
      <w:bookmarkEnd w:id="231"/>
      <w:bookmarkEnd w:id="232"/>
      <w:bookmarkEnd w:id="233"/>
      <w:bookmarkEnd w:id="234"/>
    </w:p>
    <w:p w14:paraId="36453F95">
      <w:pPr>
        <w:pStyle w:val="523"/>
        <w:ind w:firstLine="440"/>
        <w:rPr>
          <w:rFonts w:ascii="Times New Roman" w:hAnsi="Times New Roman"/>
          <w:color w:val="auto"/>
          <w:highlight w:val="none"/>
        </w:rPr>
      </w:pPr>
      <w:r>
        <w:rPr>
          <w:rFonts w:hint="eastAsia" w:ascii="Times New Roman" w:hAnsi="Times New Roman"/>
          <w:color w:val="auto"/>
          <w:highlight w:val="none"/>
        </w:rPr>
        <w:t>发包人在履行合同过程中应遵守法律，并保证承包人免于承担因发包人违反法律而引 起的任何责任。</w:t>
      </w:r>
    </w:p>
    <w:p w14:paraId="19A518D7">
      <w:pPr>
        <w:spacing w:line="360" w:lineRule="auto"/>
        <w:rPr>
          <w:color w:val="auto"/>
          <w:highlight w:val="none"/>
        </w:rPr>
      </w:pPr>
      <w:bookmarkStart w:id="235" w:name="_Toc16693"/>
      <w:bookmarkStart w:id="236" w:name="bookmark956"/>
      <w:bookmarkStart w:id="237" w:name="bookmark957"/>
      <w:bookmarkStart w:id="238" w:name="bookmark955"/>
      <w:r>
        <w:rPr>
          <w:color w:val="auto"/>
          <w:highlight w:val="none"/>
        </w:rPr>
        <w:t>2.2发出开工通知</w:t>
      </w:r>
      <w:bookmarkEnd w:id="235"/>
      <w:bookmarkEnd w:id="236"/>
      <w:bookmarkEnd w:id="237"/>
      <w:bookmarkEnd w:id="238"/>
    </w:p>
    <w:p w14:paraId="6DB69E2F">
      <w:pPr>
        <w:pStyle w:val="523"/>
        <w:ind w:firstLine="420"/>
        <w:rPr>
          <w:rFonts w:ascii="Times New Roman" w:hAnsi="Times New Roman"/>
          <w:color w:val="auto"/>
          <w:highlight w:val="none"/>
        </w:rPr>
      </w:pPr>
      <w:r>
        <w:rPr>
          <w:rFonts w:hint="eastAsia" w:ascii="Times New Roman" w:hAnsi="Times New Roman"/>
          <w:color w:val="auto"/>
          <w:highlight w:val="none"/>
        </w:rPr>
        <w:t>发包人应委托监理人按第</w:t>
      </w:r>
      <w:r>
        <w:rPr>
          <w:rFonts w:hint="eastAsia" w:ascii="Times New Roman" w:hAnsi="Times New Roman"/>
          <w:color w:val="auto"/>
          <w:highlight w:val="none"/>
          <w:lang w:val="en-US" w:bidi="en-US"/>
        </w:rPr>
        <w:t xml:space="preserve">11. </w:t>
      </w:r>
      <w:r>
        <w:rPr>
          <w:rFonts w:hint="eastAsia" w:ascii="Times New Roman" w:hAnsi="Times New Roman"/>
          <w:color w:val="auto"/>
          <w:highlight w:val="none"/>
        </w:rPr>
        <w:t>1款的约定向承包人发出开工通知。</w:t>
      </w:r>
    </w:p>
    <w:p w14:paraId="11DF661E">
      <w:pPr>
        <w:spacing w:line="360" w:lineRule="auto"/>
        <w:rPr>
          <w:color w:val="auto"/>
          <w:highlight w:val="none"/>
        </w:rPr>
      </w:pPr>
      <w:bookmarkStart w:id="239" w:name="bookmark958"/>
      <w:bookmarkStart w:id="240" w:name="bookmark960"/>
      <w:bookmarkStart w:id="241" w:name="bookmark959"/>
      <w:bookmarkStart w:id="242" w:name="_Toc5643"/>
      <w:r>
        <w:rPr>
          <w:color w:val="auto"/>
          <w:highlight w:val="none"/>
        </w:rPr>
        <w:t>2.3提供施工场地</w:t>
      </w:r>
      <w:bookmarkEnd w:id="239"/>
      <w:bookmarkEnd w:id="240"/>
      <w:bookmarkEnd w:id="241"/>
      <w:bookmarkEnd w:id="242"/>
    </w:p>
    <w:p w14:paraId="425D35E2">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2.3.1</w:t>
      </w:r>
      <w:r>
        <w:rPr>
          <w:rFonts w:hint="eastAsia" w:ascii="Times New Roman" w:hAnsi="Times New Roman"/>
          <w:color w:val="auto"/>
          <w:highlight w:val="none"/>
        </w:rPr>
        <w:t>发包人应在合同双方签定合同协议书后的14天内，将本合同工程的施工场地范围图提交给承包人。发包人提供的施工用地范围图应标明用地范围内永久占地与临时占地的范围和界限，以及指明提供给承包人用于施工场地布置的范围和界限及其有关资料。</w:t>
      </w:r>
    </w:p>
    <w:p w14:paraId="0CE906A8">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2.3.2</w:t>
      </w:r>
      <w:r>
        <w:rPr>
          <w:rFonts w:hint="eastAsia" w:ascii="Times New Roman" w:hAnsi="Times New Roman"/>
          <w:color w:val="auto"/>
          <w:highlight w:val="none"/>
        </w:rPr>
        <w:t>发包人提供的施工用地范围在专用合同条款中约定。</w:t>
      </w:r>
    </w:p>
    <w:p w14:paraId="62B10F8E">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2.3.3</w:t>
      </w:r>
      <w:r>
        <w:rPr>
          <w:rFonts w:hint="eastAsia" w:ascii="Times New Roman" w:hAnsi="Times New Roman"/>
          <w:color w:val="auto"/>
          <w:highlight w:val="none"/>
        </w:rPr>
        <w:t>除专用合同条款另有约定外，发包人应按技术标准和要求（合同技术条款）的约定，向承包人提供施工场地内的工程地质图纸和报告，以及地下障碍物图纸等施工场地有关资料，并保证资料的真实、准确、完整。</w:t>
      </w:r>
    </w:p>
    <w:p w14:paraId="3DAEA117">
      <w:pPr>
        <w:spacing w:line="360" w:lineRule="auto"/>
        <w:rPr>
          <w:color w:val="auto"/>
          <w:highlight w:val="none"/>
        </w:rPr>
      </w:pPr>
      <w:bookmarkStart w:id="243" w:name="bookmark961"/>
      <w:bookmarkStart w:id="244" w:name="_Toc3862"/>
      <w:bookmarkStart w:id="245" w:name="bookmark962"/>
      <w:bookmarkStart w:id="246" w:name="bookmark963"/>
      <w:r>
        <w:rPr>
          <w:color w:val="auto"/>
          <w:highlight w:val="none"/>
        </w:rPr>
        <w:t>2.4协助承包人办理证件和批件</w:t>
      </w:r>
      <w:bookmarkEnd w:id="243"/>
      <w:bookmarkEnd w:id="244"/>
      <w:bookmarkEnd w:id="245"/>
      <w:bookmarkEnd w:id="246"/>
    </w:p>
    <w:p w14:paraId="6F66B569">
      <w:pPr>
        <w:pStyle w:val="523"/>
        <w:ind w:firstLine="420"/>
        <w:rPr>
          <w:rFonts w:ascii="Times New Roman" w:hAnsi="Times New Roman"/>
          <w:color w:val="auto"/>
          <w:highlight w:val="none"/>
        </w:rPr>
      </w:pPr>
      <w:r>
        <w:rPr>
          <w:rFonts w:hint="eastAsia" w:ascii="Times New Roman" w:hAnsi="Times New Roman"/>
          <w:color w:val="auto"/>
          <w:highlight w:val="none"/>
        </w:rPr>
        <w:t>发包人应协助承包人办理法律规定的有关施工证件和批件。</w:t>
      </w:r>
    </w:p>
    <w:p w14:paraId="524A76FA">
      <w:pPr>
        <w:spacing w:line="360" w:lineRule="auto"/>
        <w:rPr>
          <w:color w:val="auto"/>
          <w:highlight w:val="none"/>
        </w:rPr>
      </w:pPr>
      <w:bookmarkStart w:id="247" w:name="bookmark965"/>
      <w:bookmarkStart w:id="248" w:name="_Toc27327"/>
      <w:bookmarkStart w:id="249" w:name="bookmark966"/>
      <w:bookmarkStart w:id="250" w:name="bookmark964"/>
      <w:r>
        <w:rPr>
          <w:color w:val="auto"/>
          <w:highlight w:val="none"/>
        </w:rPr>
        <w:t>2.5组织设计交底</w:t>
      </w:r>
      <w:bookmarkEnd w:id="247"/>
      <w:bookmarkEnd w:id="248"/>
      <w:bookmarkEnd w:id="249"/>
      <w:bookmarkEnd w:id="250"/>
    </w:p>
    <w:p w14:paraId="0DC33C26">
      <w:pPr>
        <w:pStyle w:val="523"/>
        <w:ind w:firstLine="420"/>
        <w:rPr>
          <w:rFonts w:ascii="Times New Roman" w:hAnsi="Times New Roman"/>
          <w:color w:val="auto"/>
          <w:highlight w:val="none"/>
        </w:rPr>
      </w:pPr>
      <w:r>
        <w:rPr>
          <w:rFonts w:hint="eastAsia" w:ascii="Times New Roman" w:hAnsi="Times New Roman"/>
          <w:color w:val="auto"/>
          <w:highlight w:val="none"/>
        </w:rPr>
        <w:t>发包人应根据合同进度计划，组织设计单位向承包人进行设计交底。</w:t>
      </w:r>
    </w:p>
    <w:p w14:paraId="15E743CA">
      <w:pPr>
        <w:spacing w:line="360" w:lineRule="auto"/>
        <w:rPr>
          <w:color w:val="auto"/>
          <w:highlight w:val="none"/>
        </w:rPr>
      </w:pPr>
      <w:bookmarkStart w:id="251" w:name="_Toc15125"/>
      <w:bookmarkStart w:id="252" w:name="bookmark969"/>
      <w:bookmarkStart w:id="253" w:name="bookmark967"/>
      <w:bookmarkStart w:id="254" w:name="bookmark968"/>
      <w:r>
        <w:rPr>
          <w:color w:val="auto"/>
          <w:highlight w:val="none"/>
        </w:rPr>
        <w:t>2.6支付合同价款</w:t>
      </w:r>
      <w:bookmarkEnd w:id="251"/>
      <w:bookmarkEnd w:id="252"/>
      <w:bookmarkEnd w:id="253"/>
      <w:bookmarkEnd w:id="254"/>
    </w:p>
    <w:p w14:paraId="642068E2">
      <w:pPr>
        <w:pStyle w:val="523"/>
        <w:ind w:firstLine="420"/>
        <w:rPr>
          <w:rFonts w:ascii="Times New Roman" w:hAnsi="Times New Roman"/>
          <w:color w:val="auto"/>
          <w:highlight w:val="none"/>
        </w:rPr>
      </w:pPr>
      <w:r>
        <w:rPr>
          <w:rFonts w:hint="eastAsia" w:ascii="Times New Roman" w:hAnsi="Times New Roman"/>
          <w:color w:val="auto"/>
          <w:highlight w:val="none"/>
        </w:rPr>
        <w:t>发包人应按合同约定向承包人及时支付合同价款。</w:t>
      </w:r>
    </w:p>
    <w:p w14:paraId="4A649166">
      <w:pPr>
        <w:spacing w:line="360" w:lineRule="auto"/>
        <w:rPr>
          <w:color w:val="auto"/>
          <w:highlight w:val="none"/>
        </w:rPr>
      </w:pPr>
      <w:bookmarkStart w:id="255" w:name="bookmark972"/>
      <w:bookmarkStart w:id="256" w:name="bookmark971"/>
      <w:bookmarkStart w:id="257" w:name="bookmark970"/>
      <w:bookmarkStart w:id="258" w:name="_Toc14608"/>
      <w:r>
        <w:rPr>
          <w:color w:val="auto"/>
          <w:highlight w:val="none"/>
        </w:rPr>
        <w:t>2.7组织竣工验收（组织法人验收）</w:t>
      </w:r>
      <w:bookmarkEnd w:id="255"/>
      <w:bookmarkEnd w:id="256"/>
      <w:bookmarkEnd w:id="257"/>
      <w:bookmarkEnd w:id="258"/>
    </w:p>
    <w:p w14:paraId="0F2AD418">
      <w:pPr>
        <w:pStyle w:val="523"/>
        <w:ind w:firstLine="420"/>
        <w:rPr>
          <w:rFonts w:ascii="Times New Roman" w:hAnsi="Times New Roman"/>
          <w:color w:val="auto"/>
          <w:highlight w:val="none"/>
        </w:rPr>
      </w:pPr>
      <w:r>
        <w:rPr>
          <w:rFonts w:hint="eastAsia" w:ascii="Times New Roman" w:hAnsi="Times New Roman"/>
          <w:color w:val="auto"/>
          <w:highlight w:val="none"/>
        </w:rPr>
        <w:t>发包人应按合同约定及时组织法人验收。</w:t>
      </w:r>
    </w:p>
    <w:p w14:paraId="79174E9E">
      <w:pPr>
        <w:spacing w:line="360" w:lineRule="auto"/>
        <w:rPr>
          <w:color w:val="auto"/>
          <w:highlight w:val="none"/>
        </w:rPr>
      </w:pPr>
      <w:bookmarkStart w:id="259" w:name="_Toc26461"/>
      <w:bookmarkStart w:id="260" w:name="bookmark974"/>
      <w:bookmarkStart w:id="261" w:name="bookmark975"/>
      <w:bookmarkStart w:id="262" w:name="bookmark973"/>
      <w:r>
        <w:rPr>
          <w:color w:val="auto"/>
          <w:highlight w:val="none"/>
        </w:rPr>
        <w:t>2.8其它义务</w:t>
      </w:r>
      <w:bookmarkEnd w:id="259"/>
      <w:bookmarkEnd w:id="260"/>
      <w:bookmarkEnd w:id="261"/>
      <w:bookmarkEnd w:id="262"/>
    </w:p>
    <w:p w14:paraId="0E30028E">
      <w:pPr>
        <w:pStyle w:val="523"/>
        <w:ind w:firstLine="420"/>
        <w:rPr>
          <w:rFonts w:ascii="Times New Roman" w:hAnsi="Times New Roman"/>
          <w:color w:val="auto"/>
          <w:highlight w:val="none"/>
        </w:rPr>
      </w:pPr>
      <w:r>
        <w:rPr>
          <w:rFonts w:hint="eastAsia" w:ascii="Times New Roman" w:hAnsi="Times New Roman"/>
          <w:color w:val="auto"/>
          <w:highlight w:val="none"/>
        </w:rPr>
        <w:t>其它义务在专用合同条款中补充约定。</w:t>
      </w:r>
    </w:p>
    <w:p w14:paraId="62DEBE80">
      <w:pPr>
        <w:pStyle w:val="5"/>
        <w:spacing w:line="360" w:lineRule="auto"/>
        <w:rPr>
          <w:color w:val="auto"/>
          <w:highlight w:val="none"/>
        </w:rPr>
      </w:pPr>
      <w:bookmarkStart w:id="263" w:name="bookmark977"/>
      <w:bookmarkStart w:id="264" w:name="_Toc7556"/>
      <w:bookmarkStart w:id="265" w:name="_Toc17454"/>
      <w:bookmarkStart w:id="266" w:name="_Toc696484498"/>
      <w:bookmarkStart w:id="267" w:name="_Toc147350607"/>
      <w:bookmarkStart w:id="268" w:name="bookmark976"/>
      <w:bookmarkStart w:id="269" w:name="bookmark978"/>
      <w:r>
        <w:rPr>
          <w:rFonts w:hint="eastAsia"/>
          <w:color w:val="auto"/>
          <w:highlight w:val="none"/>
        </w:rPr>
        <w:t>3.监理人</w:t>
      </w:r>
      <w:bookmarkEnd w:id="263"/>
      <w:bookmarkEnd w:id="264"/>
      <w:bookmarkEnd w:id="265"/>
      <w:bookmarkEnd w:id="266"/>
      <w:bookmarkEnd w:id="267"/>
      <w:bookmarkEnd w:id="268"/>
      <w:bookmarkEnd w:id="269"/>
    </w:p>
    <w:p w14:paraId="163F2831">
      <w:pPr>
        <w:spacing w:line="360" w:lineRule="auto"/>
        <w:rPr>
          <w:color w:val="auto"/>
          <w:highlight w:val="none"/>
        </w:rPr>
      </w:pPr>
      <w:bookmarkStart w:id="270" w:name="bookmark980"/>
      <w:bookmarkStart w:id="271" w:name="_Toc5442"/>
      <w:bookmarkStart w:id="272" w:name="bookmark979"/>
      <w:bookmarkStart w:id="273" w:name="bookmark981"/>
      <w:r>
        <w:rPr>
          <w:color w:val="auto"/>
          <w:highlight w:val="none"/>
        </w:rPr>
        <w:t>3.1监理人的职责和权利</w:t>
      </w:r>
      <w:bookmarkEnd w:id="270"/>
      <w:bookmarkEnd w:id="271"/>
      <w:bookmarkEnd w:id="272"/>
      <w:bookmarkEnd w:id="273"/>
    </w:p>
    <w:p w14:paraId="0FF5A4AA">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3.1.1</w:t>
      </w:r>
      <w:r>
        <w:rPr>
          <w:rFonts w:hint="eastAsia" w:ascii="Times New Roman" w:hAnsi="Times New Roman"/>
          <w:color w:val="auto"/>
          <w:highlight w:val="none"/>
        </w:rPr>
        <w:t>监理人受发包人的委托，享有合同约定的权力。监理人的权力范围在专用合同条款中约定。当监理人认为出现了危及生命、工程或毗邻财产等安全的紧急事件时，在不免除合同约定的承包人责任的情况下，监理人可以指示承包人实施为消除或减少这种危险 所必须进行的工作，即使没有发包人的事先批准，承包人也应立即遵照执行。监理人应按 第15条的约定增加相应的费用，并通知承包人。</w:t>
      </w:r>
    </w:p>
    <w:p w14:paraId="5DBABE76">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3.1.2</w:t>
      </w:r>
      <w:r>
        <w:rPr>
          <w:rFonts w:hint="eastAsia" w:ascii="Times New Roman" w:hAnsi="Times New Roman"/>
          <w:color w:val="auto"/>
          <w:highlight w:val="none"/>
        </w:rPr>
        <w:t>监理人发出的任何指示应视为已得到发包人的批准，但监理人无权免除或变更合同约定的发包人和承包人的权利、义务和责任。</w:t>
      </w:r>
    </w:p>
    <w:p w14:paraId="60299141">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3.1.3</w:t>
      </w:r>
      <w:r>
        <w:rPr>
          <w:rFonts w:hint="eastAsia" w:ascii="Times New Roman" w:hAnsi="Times New Roman"/>
          <w:color w:val="auto"/>
          <w:highlight w:val="none"/>
        </w:rPr>
        <w:t>合同约定应由承包人承担的义务和责任，不因监理人对承包人提交文件的审查或批准，对工程、材料和设备的检查和检验，以及为实施监理作出的指示等职务行为而减轻或解除。</w:t>
      </w:r>
    </w:p>
    <w:p w14:paraId="35B64308">
      <w:pPr>
        <w:spacing w:line="360" w:lineRule="auto"/>
        <w:rPr>
          <w:color w:val="auto"/>
          <w:highlight w:val="none"/>
        </w:rPr>
      </w:pPr>
      <w:bookmarkStart w:id="274" w:name="bookmark983"/>
      <w:bookmarkStart w:id="275" w:name="_Toc20317"/>
      <w:bookmarkStart w:id="276" w:name="bookmark982"/>
      <w:bookmarkStart w:id="277" w:name="bookmark984"/>
      <w:r>
        <w:rPr>
          <w:color w:val="auto"/>
          <w:highlight w:val="none"/>
        </w:rPr>
        <w:t>3.2总监理工程师</w:t>
      </w:r>
      <w:bookmarkEnd w:id="274"/>
      <w:bookmarkEnd w:id="275"/>
      <w:bookmarkEnd w:id="276"/>
      <w:bookmarkEnd w:id="277"/>
    </w:p>
    <w:p w14:paraId="2C364A45">
      <w:pPr>
        <w:pStyle w:val="523"/>
        <w:ind w:firstLine="420"/>
        <w:rPr>
          <w:rFonts w:ascii="Times New Roman" w:hAnsi="Times New Roman"/>
          <w:color w:val="auto"/>
          <w:highlight w:val="none"/>
        </w:rPr>
      </w:pPr>
      <w:r>
        <w:rPr>
          <w:rFonts w:hint="eastAsia" w:ascii="Times New Roman" w:hAnsi="Times New Roman"/>
          <w:color w:val="auto"/>
          <w:highlight w:val="none"/>
        </w:rPr>
        <w:t>发包人应在发出开工通知前将总监理工程师的任命通知承包人。总监理工程师更换时, 应在调离14天前通知承包人。总监理工程师短期离开施工场地的，应委派代表代行其职 责，并通知承包人。</w:t>
      </w:r>
    </w:p>
    <w:p w14:paraId="39CC1408">
      <w:pPr>
        <w:spacing w:line="360" w:lineRule="auto"/>
        <w:rPr>
          <w:color w:val="auto"/>
          <w:highlight w:val="none"/>
        </w:rPr>
      </w:pPr>
      <w:bookmarkStart w:id="278" w:name="_Toc11573"/>
      <w:bookmarkStart w:id="279" w:name="bookmark987"/>
      <w:bookmarkStart w:id="280" w:name="bookmark985"/>
      <w:bookmarkStart w:id="281" w:name="bookmark986"/>
      <w:r>
        <w:rPr>
          <w:color w:val="auto"/>
          <w:highlight w:val="none"/>
        </w:rPr>
        <w:t>3.3监理人员</w:t>
      </w:r>
      <w:bookmarkEnd w:id="278"/>
      <w:bookmarkEnd w:id="279"/>
      <w:bookmarkEnd w:id="280"/>
      <w:bookmarkEnd w:id="281"/>
    </w:p>
    <w:p w14:paraId="65293E03">
      <w:pPr>
        <w:pStyle w:val="523"/>
        <w:ind w:firstLine="420"/>
        <w:rPr>
          <w:rFonts w:ascii="Times New Roman" w:hAnsi="Times New Roman"/>
          <w:color w:val="auto"/>
          <w:highlight w:val="none"/>
        </w:rPr>
      </w:pPr>
      <w:bookmarkStart w:id="282" w:name="bookmark988"/>
      <w:bookmarkEnd w:id="282"/>
      <w:r>
        <w:rPr>
          <w:rFonts w:hint="eastAsia" w:ascii="Times New Roman" w:hAnsi="Times New Roman"/>
          <w:color w:val="auto"/>
          <w:highlight w:val="none"/>
        </w:rPr>
        <w:t>3.3.1总监理工程师可以授权其他监理人员负责执行其指派的一项或多项监理工作。总监理工程师应将被授权监理人员的姓名及其授权范围通知承包人。被授权的监理人员在授权范围内发出的指示视为已得到总监理工程师的同意，与总监理工程师发出的指示具有同等效力。总监理工程师撤销某项授权时，应将撤销授权的决定及时通知承包人。</w:t>
      </w:r>
    </w:p>
    <w:p w14:paraId="7A3CE163">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3.3.2</w:t>
      </w:r>
      <w:r>
        <w:rPr>
          <w:rFonts w:hint="eastAsia" w:ascii="Times New Roman" w:hAnsi="Times New Roman"/>
          <w:color w:val="auto"/>
          <w:highlight w:val="none"/>
        </w:rPr>
        <w:t>监理人员对承包人的任何工作、工程或其采用的材料和工程设备未在约定的或合理的期限内提出否定意见的，视为已获批准，但不影响监理人在以后拒绝该项工作、工程、材料或工程设备的权利。</w:t>
      </w:r>
    </w:p>
    <w:p w14:paraId="0C9F8D2D">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3.3.3</w:t>
      </w:r>
      <w:r>
        <w:rPr>
          <w:rFonts w:hint="eastAsia" w:ascii="Times New Roman" w:hAnsi="Times New Roman"/>
          <w:color w:val="auto"/>
          <w:highlight w:val="none"/>
        </w:rPr>
        <w:t>承包人对总监理工程师授权的监理人员发出的指示有疑问的，可向总监理工程师提出书面异议，总监理工程师应在48小时内对该指示予以确认、更改或撤销。</w:t>
      </w:r>
    </w:p>
    <w:p w14:paraId="5FF7B4B6">
      <w:pPr>
        <w:pStyle w:val="523"/>
        <w:ind w:firstLine="420"/>
        <w:rPr>
          <w:rFonts w:ascii="Times New Roman" w:hAnsi="Times New Roman"/>
          <w:color w:val="auto"/>
          <w:highlight w:val="none"/>
        </w:rPr>
      </w:pPr>
      <w:bookmarkStart w:id="283" w:name="bookmark989"/>
      <w:bookmarkEnd w:id="283"/>
      <w:r>
        <w:rPr>
          <w:rFonts w:hint="eastAsia" w:ascii="Times New Roman" w:hAnsi="Times New Roman"/>
          <w:color w:val="auto"/>
          <w:highlight w:val="none"/>
        </w:rPr>
        <w:t>3.3.4除专用合同条款另有约定外，总监理工程师不应将第3. 5款约定应由总监理工程师作出确定的权力授权或委托给其他监理人员。</w:t>
      </w:r>
    </w:p>
    <w:p w14:paraId="3CDCA141">
      <w:pPr>
        <w:spacing w:line="360" w:lineRule="auto"/>
        <w:rPr>
          <w:color w:val="auto"/>
          <w:highlight w:val="none"/>
        </w:rPr>
      </w:pPr>
      <w:bookmarkStart w:id="284" w:name="_Toc29343"/>
      <w:bookmarkStart w:id="285" w:name="bookmark990"/>
      <w:bookmarkStart w:id="286" w:name="bookmark991"/>
      <w:bookmarkStart w:id="287" w:name="bookmark992"/>
      <w:r>
        <w:rPr>
          <w:color w:val="auto"/>
          <w:highlight w:val="none"/>
        </w:rPr>
        <w:t>3.4监理人的指示</w:t>
      </w:r>
      <w:bookmarkEnd w:id="284"/>
      <w:bookmarkEnd w:id="285"/>
      <w:bookmarkEnd w:id="286"/>
      <w:bookmarkEnd w:id="287"/>
    </w:p>
    <w:p w14:paraId="77230D1B">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3.4.</w:t>
      </w:r>
      <w:r>
        <w:rPr>
          <w:rFonts w:hint="eastAsia" w:ascii="Times New Roman" w:hAnsi="Times New Roman"/>
          <w:color w:val="auto"/>
          <w:highlight w:val="none"/>
        </w:rPr>
        <w:t>1监理人应按第</w:t>
      </w:r>
      <w:r>
        <w:rPr>
          <w:rFonts w:hint="eastAsia" w:ascii="Times New Roman" w:hAnsi="Times New Roman"/>
          <w:color w:val="auto"/>
          <w:highlight w:val="none"/>
          <w:lang w:val="en-US" w:bidi="en-US"/>
        </w:rPr>
        <w:t xml:space="preserve">3. </w:t>
      </w:r>
      <w:r>
        <w:rPr>
          <w:rFonts w:hint="eastAsia" w:ascii="Times New Roman" w:hAnsi="Times New Roman"/>
          <w:color w:val="auto"/>
          <w:highlight w:val="none"/>
        </w:rPr>
        <w:t>1款的约定向承包人发出指示，监理人的指示应盖有监理人授权的施工场地机构章，并由总监理工程师或总监理工程师按第</w:t>
      </w:r>
      <w:r>
        <w:rPr>
          <w:rFonts w:hint="eastAsia" w:ascii="Times New Roman" w:hAnsi="Times New Roman"/>
          <w:color w:val="auto"/>
          <w:highlight w:val="none"/>
          <w:lang w:val="en-US" w:bidi="en-US"/>
        </w:rPr>
        <w:t xml:space="preserve">3. 3. </w:t>
      </w:r>
      <w:r>
        <w:rPr>
          <w:rFonts w:hint="eastAsia" w:ascii="Times New Roman" w:hAnsi="Times New Roman"/>
          <w:color w:val="auto"/>
          <w:highlight w:val="none"/>
        </w:rPr>
        <w:t>1项约定授权的监理人员签字</w:t>
      </w:r>
      <w:r>
        <w:rPr>
          <w:rFonts w:hint="eastAsia" w:ascii="Times New Roman" w:hAnsi="Times New Roman"/>
          <w:color w:val="auto"/>
          <w:highlight w:val="none"/>
          <w:lang w:val="en-US" w:bidi="en-US"/>
        </w:rPr>
        <w:t>。</w:t>
      </w:r>
    </w:p>
    <w:p w14:paraId="16BAC47D">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3.4.2</w:t>
      </w:r>
      <w:r>
        <w:rPr>
          <w:rFonts w:hint="eastAsia" w:ascii="Times New Roman" w:hAnsi="Times New Roman"/>
          <w:color w:val="auto"/>
          <w:highlight w:val="none"/>
        </w:rPr>
        <w:t>承包人收到监理人按第</w:t>
      </w:r>
      <w:r>
        <w:rPr>
          <w:rFonts w:hint="eastAsia" w:ascii="Times New Roman" w:hAnsi="Times New Roman"/>
          <w:color w:val="auto"/>
          <w:highlight w:val="none"/>
          <w:lang w:val="en-US" w:bidi="en-US"/>
        </w:rPr>
        <w:t>3. 4.1</w:t>
      </w:r>
      <w:r>
        <w:rPr>
          <w:rFonts w:hint="eastAsia" w:ascii="Times New Roman" w:hAnsi="Times New Roman"/>
          <w:color w:val="auto"/>
          <w:highlight w:val="none"/>
        </w:rPr>
        <w:t>项作出的指示后应遵照执行。指示构成变更的，应按第15条处理。</w:t>
      </w:r>
    </w:p>
    <w:p w14:paraId="1610B6AB">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3.4.3</w:t>
      </w:r>
      <w:r>
        <w:rPr>
          <w:rFonts w:hint="eastAsia" w:ascii="Times New Roman" w:hAnsi="Times New Roman"/>
          <w:color w:val="auto"/>
          <w:highlight w:val="none"/>
        </w:rPr>
        <w:t>在紧急情况下，总监理工程师或被授权的监理人员可以当场签发临时书面指示，承包人应遵照执行。承包人应在收到上述临时书面指示后24小时内，向监理人发出书 面确认函。监理人在收到书面确认函后24小时内未予答复的，该书面确认函应被视为监理人的正式指示。</w:t>
      </w:r>
    </w:p>
    <w:p w14:paraId="1A3C8DFF">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3.4.4</w:t>
      </w:r>
      <w:r>
        <w:rPr>
          <w:rFonts w:hint="eastAsia" w:ascii="Times New Roman" w:hAnsi="Times New Roman"/>
          <w:color w:val="auto"/>
          <w:highlight w:val="none"/>
        </w:rPr>
        <w:t>除合同另有约定外，承包人只从总监理工程师或按第</w:t>
      </w:r>
      <w:r>
        <w:rPr>
          <w:rFonts w:hint="eastAsia" w:ascii="Times New Roman" w:hAnsi="Times New Roman"/>
          <w:color w:val="auto"/>
          <w:highlight w:val="none"/>
          <w:lang w:val="en-US" w:bidi="en-US"/>
        </w:rPr>
        <w:t xml:space="preserve">3. 3. </w:t>
      </w:r>
      <w:r>
        <w:rPr>
          <w:rFonts w:hint="eastAsia" w:ascii="Times New Roman" w:hAnsi="Times New Roman"/>
          <w:color w:val="auto"/>
          <w:highlight w:val="none"/>
        </w:rPr>
        <w:t>1项被授权的监理人员处取得指示。</w:t>
      </w:r>
    </w:p>
    <w:p w14:paraId="20203B3E">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3.4.5</w:t>
      </w:r>
      <w:r>
        <w:rPr>
          <w:rFonts w:hint="eastAsia" w:ascii="Times New Roman" w:hAnsi="Times New Roman"/>
          <w:color w:val="auto"/>
          <w:highlight w:val="none"/>
        </w:rPr>
        <w:t>由于监理人未能按合同约定发出指示、指示延误或指示错误而导致承包人费用增加和（或）工期延误的，由发包人承担赔偿责任。</w:t>
      </w:r>
    </w:p>
    <w:p w14:paraId="0F8D7791">
      <w:pPr>
        <w:spacing w:line="360" w:lineRule="auto"/>
        <w:rPr>
          <w:color w:val="auto"/>
          <w:highlight w:val="none"/>
        </w:rPr>
      </w:pPr>
      <w:bookmarkStart w:id="288" w:name="_Toc15164"/>
      <w:bookmarkStart w:id="289" w:name="bookmark993"/>
      <w:bookmarkStart w:id="290" w:name="bookmark995"/>
      <w:bookmarkStart w:id="291" w:name="bookmark994"/>
      <w:r>
        <w:rPr>
          <w:color w:val="auto"/>
          <w:highlight w:val="none"/>
        </w:rPr>
        <w:t>3.5商定或确定</w:t>
      </w:r>
      <w:bookmarkEnd w:id="288"/>
      <w:bookmarkEnd w:id="289"/>
      <w:bookmarkEnd w:id="290"/>
      <w:bookmarkEnd w:id="291"/>
    </w:p>
    <w:p w14:paraId="4130B870">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3.5.1</w:t>
      </w:r>
      <w:r>
        <w:rPr>
          <w:rFonts w:hint="eastAsia" w:ascii="Times New Roman" w:hAnsi="Times New Roman"/>
          <w:color w:val="auto"/>
          <w:highlight w:val="none"/>
        </w:rPr>
        <w:t>合同约定总监理工程师应按照本款对任何事项进行商定或确定时，总监理工程师应与合同当事人协商，尽量达成一致。不能达成一致的，总监理工程师应认真研究后审慎确定。</w:t>
      </w:r>
    </w:p>
    <w:p w14:paraId="05207476">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3.5.2</w:t>
      </w:r>
      <w:r>
        <w:rPr>
          <w:rFonts w:hint="eastAsia" w:ascii="Times New Roman" w:hAnsi="Times New Roman"/>
          <w:color w:val="auto"/>
          <w:highlight w:val="none"/>
        </w:rPr>
        <w:t>总监理工程师应将商定或确定的事项通知合同当事人，并附详细依据。对总监理工程师的确定有异议的，构成争议，按照第24条的约定处理。在争议解决前，双方应暂按总监理工程师的确定执行，按照第24条的约定对总监理工程师的确定作出修改的，按修 改后的结果执行</w:t>
      </w:r>
      <w:r>
        <w:rPr>
          <w:rFonts w:hint="eastAsia" w:ascii="Times New Roman" w:hAnsi="Times New Roman"/>
          <w:color w:val="auto"/>
          <w:highlight w:val="none"/>
          <w:lang w:val="en-US" w:bidi="en-US"/>
        </w:rPr>
        <w:t>。</w:t>
      </w:r>
    </w:p>
    <w:p w14:paraId="49208931">
      <w:pPr>
        <w:pStyle w:val="5"/>
        <w:spacing w:line="360" w:lineRule="auto"/>
        <w:rPr>
          <w:color w:val="auto"/>
          <w:highlight w:val="none"/>
        </w:rPr>
      </w:pPr>
      <w:bookmarkStart w:id="292" w:name="_Toc147350608"/>
      <w:bookmarkStart w:id="293" w:name="bookmark998"/>
      <w:bookmarkStart w:id="294" w:name="_Toc13765"/>
      <w:bookmarkStart w:id="295" w:name="bookmark997"/>
      <w:bookmarkStart w:id="296" w:name="_Toc407217945"/>
      <w:bookmarkStart w:id="297" w:name="bookmark996"/>
      <w:bookmarkStart w:id="298" w:name="_Toc20371"/>
      <w:r>
        <w:rPr>
          <w:rFonts w:hint="eastAsia"/>
          <w:color w:val="auto"/>
          <w:highlight w:val="none"/>
        </w:rPr>
        <w:t>4.承包人</w:t>
      </w:r>
      <w:bookmarkEnd w:id="292"/>
      <w:bookmarkEnd w:id="293"/>
      <w:bookmarkEnd w:id="294"/>
      <w:bookmarkEnd w:id="295"/>
      <w:bookmarkEnd w:id="296"/>
      <w:bookmarkEnd w:id="297"/>
      <w:bookmarkEnd w:id="298"/>
    </w:p>
    <w:p w14:paraId="003BEABB">
      <w:pPr>
        <w:spacing w:line="360" w:lineRule="auto"/>
        <w:rPr>
          <w:color w:val="auto"/>
          <w:highlight w:val="none"/>
        </w:rPr>
      </w:pPr>
      <w:bookmarkStart w:id="299" w:name="bookmark1000"/>
      <w:bookmarkStart w:id="300" w:name="bookmark1001"/>
      <w:bookmarkStart w:id="301" w:name="bookmark999"/>
      <w:bookmarkStart w:id="302" w:name="_Toc11324"/>
      <w:r>
        <w:rPr>
          <w:color w:val="auto"/>
          <w:highlight w:val="none"/>
        </w:rPr>
        <w:t>4.1承包人的一般义务</w:t>
      </w:r>
      <w:bookmarkEnd w:id="299"/>
      <w:bookmarkEnd w:id="300"/>
      <w:bookmarkEnd w:id="301"/>
      <w:bookmarkEnd w:id="302"/>
    </w:p>
    <w:p w14:paraId="15A8B7D1">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4.1.1</w:t>
      </w:r>
      <w:r>
        <w:rPr>
          <w:rFonts w:hint="eastAsia" w:ascii="Times New Roman" w:hAnsi="Times New Roman"/>
          <w:color w:val="auto"/>
          <w:highlight w:val="none"/>
        </w:rPr>
        <w:t>遵守法律</w:t>
      </w:r>
    </w:p>
    <w:p w14:paraId="04A08308">
      <w:pPr>
        <w:pStyle w:val="523"/>
        <w:ind w:firstLine="420"/>
        <w:rPr>
          <w:rFonts w:ascii="Times New Roman" w:hAnsi="Times New Roman"/>
          <w:color w:val="auto"/>
          <w:highlight w:val="none"/>
        </w:rPr>
      </w:pPr>
      <w:r>
        <w:rPr>
          <w:rFonts w:hint="eastAsia" w:ascii="Times New Roman" w:hAnsi="Times New Roman"/>
          <w:color w:val="auto"/>
          <w:highlight w:val="none"/>
        </w:rPr>
        <w:t>承包人在履行合同过程中应遵守法律，并保证发包人免于承担因承包人违反法律而引起的任何责任。</w:t>
      </w:r>
    </w:p>
    <w:p w14:paraId="1CCF6AEF">
      <w:pPr>
        <w:pStyle w:val="523"/>
        <w:ind w:firstLine="420"/>
        <w:rPr>
          <w:rFonts w:ascii="Times New Roman" w:hAnsi="Times New Roman"/>
          <w:color w:val="auto"/>
          <w:highlight w:val="none"/>
        </w:rPr>
      </w:pPr>
      <w:bookmarkStart w:id="303" w:name="bookmark1002"/>
      <w:bookmarkEnd w:id="303"/>
      <w:r>
        <w:rPr>
          <w:rFonts w:hint="eastAsia" w:ascii="Times New Roman" w:hAnsi="Times New Roman"/>
          <w:color w:val="auto"/>
          <w:highlight w:val="none"/>
          <w:lang w:val="en-US"/>
        </w:rPr>
        <w:t>4.1.2</w:t>
      </w:r>
      <w:r>
        <w:rPr>
          <w:rFonts w:hint="eastAsia" w:ascii="Times New Roman" w:hAnsi="Times New Roman"/>
          <w:color w:val="auto"/>
          <w:highlight w:val="none"/>
        </w:rPr>
        <w:t>依法纳税</w:t>
      </w:r>
    </w:p>
    <w:p w14:paraId="5C46121E">
      <w:pPr>
        <w:pStyle w:val="523"/>
        <w:ind w:firstLine="420"/>
        <w:rPr>
          <w:rFonts w:ascii="Times New Roman" w:hAnsi="Times New Roman"/>
          <w:color w:val="auto"/>
          <w:highlight w:val="none"/>
        </w:rPr>
      </w:pPr>
      <w:r>
        <w:rPr>
          <w:rFonts w:hint="eastAsia" w:ascii="Times New Roman" w:hAnsi="Times New Roman"/>
          <w:color w:val="auto"/>
          <w:highlight w:val="none"/>
        </w:rPr>
        <w:t>承包人应按有关法律规定纳税，应缴纳的税金包括在合同价格内。</w:t>
      </w:r>
    </w:p>
    <w:p w14:paraId="0731FD44">
      <w:pPr>
        <w:pStyle w:val="523"/>
        <w:ind w:firstLine="420"/>
        <w:rPr>
          <w:rFonts w:ascii="Times New Roman" w:hAnsi="Times New Roman"/>
          <w:color w:val="auto"/>
          <w:highlight w:val="none"/>
        </w:rPr>
      </w:pPr>
      <w:r>
        <w:rPr>
          <w:rFonts w:hint="eastAsia" w:ascii="Times New Roman" w:hAnsi="Times New Roman"/>
          <w:color w:val="auto"/>
          <w:highlight w:val="none"/>
          <w:lang w:val="en-US"/>
        </w:rPr>
        <w:t>4.1.3</w:t>
      </w:r>
      <w:r>
        <w:rPr>
          <w:rFonts w:hint="eastAsia" w:ascii="Times New Roman" w:hAnsi="Times New Roman"/>
          <w:color w:val="auto"/>
          <w:highlight w:val="none"/>
        </w:rPr>
        <w:t>完成各项承包工作</w:t>
      </w:r>
    </w:p>
    <w:p w14:paraId="23CDD08D">
      <w:pPr>
        <w:pStyle w:val="523"/>
        <w:ind w:firstLine="420"/>
        <w:rPr>
          <w:rFonts w:ascii="Times New Roman" w:hAnsi="Times New Roman"/>
          <w:color w:val="auto"/>
          <w:highlight w:val="none"/>
        </w:rPr>
      </w:pPr>
      <w:r>
        <w:rPr>
          <w:rFonts w:hint="eastAsia" w:ascii="Times New Roman" w:hAnsi="Times New Roman"/>
          <w:color w:val="auto"/>
          <w:highlight w:val="none"/>
        </w:rPr>
        <w:t>承包人应按合同约定以及监理人根据第</w:t>
      </w:r>
      <w:r>
        <w:rPr>
          <w:rFonts w:hint="eastAsia" w:ascii="Times New Roman" w:hAnsi="Times New Roman"/>
          <w:color w:val="auto"/>
          <w:highlight w:val="none"/>
          <w:lang w:val="en-US" w:bidi="en-US"/>
        </w:rPr>
        <w:t>3.4</w:t>
      </w:r>
      <w:r>
        <w:rPr>
          <w:rFonts w:hint="eastAsia" w:ascii="Times New Roman" w:hAnsi="Times New Roman"/>
          <w:color w:val="auto"/>
          <w:highlight w:val="none"/>
        </w:rPr>
        <w:t>款作出的指示，实施、完成全部工程，并修补工程中的任何缺陷。除第</w:t>
      </w:r>
      <w:r>
        <w:rPr>
          <w:rFonts w:hint="eastAsia" w:ascii="Times New Roman" w:hAnsi="Times New Roman"/>
          <w:color w:val="auto"/>
          <w:highlight w:val="none"/>
          <w:lang w:val="en-US" w:bidi="en-US"/>
        </w:rPr>
        <w:t xml:space="preserve">5. </w:t>
      </w:r>
      <w:r>
        <w:rPr>
          <w:rFonts w:hint="eastAsia" w:ascii="Times New Roman" w:hAnsi="Times New Roman"/>
          <w:color w:val="auto"/>
          <w:highlight w:val="none"/>
        </w:rPr>
        <w:t>2款、第</w:t>
      </w:r>
      <w:r>
        <w:rPr>
          <w:rFonts w:hint="eastAsia" w:ascii="Times New Roman" w:hAnsi="Times New Roman"/>
          <w:color w:val="auto"/>
          <w:highlight w:val="none"/>
          <w:lang w:val="en-US" w:bidi="en-US"/>
        </w:rPr>
        <w:t xml:space="preserve">6. </w:t>
      </w:r>
      <w:r>
        <w:rPr>
          <w:rFonts w:hint="eastAsia" w:ascii="Times New Roman" w:hAnsi="Times New Roman"/>
          <w:color w:val="auto"/>
          <w:highlight w:val="none"/>
        </w:rPr>
        <w:t>2款另有约定外，承包人应提供为完成合同工作所需的劳务、材料、施工设备、工程设备和其它物品，并按合同约定负责临时设施的设计、建造、运行、维护、管理和拆除。</w:t>
      </w:r>
    </w:p>
    <w:p w14:paraId="29C68991">
      <w:pPr>
        <w:pStyle w:val="523"/>
        <w:ind w:firstLine="420"/>
        <w:rPr>
          <w:rFonts w:ascii="Times New Roman" w:hAnsi="Times New Roman"/>
          <w:color w:val="auto"/>
          <w:highlight w:val="none"/>
        </w:rPr>
      </w:pPr>
      <w:r>
        <w:rPr>
          <w:rFonts w:hint="eastAsia" w:ascii="Times New Roman" w:hAnsi="Times New Roman"/>
          <w:color w:val="auto"/>
          <w:highlight w:val="none"/>
          <w:lang w:val="en-US"/>
        </w:rPr>
        <w:t>4.1.4</w:t>
      </w:r>
      <w:r>
        <w:rPr>
          <w:rFonts w:hint="eastAsia" w:ascii="Times New Roman" w:hAnsi="Times New Roman"/>
          <w:color w:val="auto"/>
          <w:highlight w:val="none"/>
        </w:rPr>
        <w:t>对施工作业和施工方法的完备性负责</w:t>
      </w:r>
    </w:p>
    <w:p w14:paraId="40983912">
      <w:pPr>
        <w:pStyle w:val="523"/>
        <w:ind w:firstLine="420"/>
        <w:rPr>
          <w:rFonts w:ascii="Times New Roman" w:hAnsi="Times New Roman"/>
          <w:color w:val="auto"/>
          <w:highlight w:val="none"/>
        </w:rPr>
      </w:pPr>
      <w:r>
        <w:rPr>
          <w:rFonts w:hint="eastAsia" w:ascii="Times New Roman" w:hAnsi="Times New Roman"/>
          <w:color w:val="auto"/>
          <w:highlight w:val="none"/>
        </w:rPr>
        <w:t>承包人应按合同约定的工作内容和施工进度要求，编制施工组织设计和施工措施计划，并对所有施工作业和施工方法的完备性和安全可靠性负责。</w:t>
      </w:r>
    </w:p>
    <w:p w14:paraId="2AD246A0">
      <w:pPr>
        <w:pStyle w:val="523"/>
        <w:ind w:firstLine="420"/>
        <w:rPr>
          <w:rFonts w:ascii="Times New Roman" w:hAnsi="Times New Roman"/>
          <w:color w:val="auto"/>
          <w:highlight w:val="none"/>
        </w:rPr>
      </w:pPr>
      <w:r>
        <w:rPr>
          <w:rFonts w:hint="eastAsia" w:ascii="Times New Roman" w:hAnsi="Times New Roman"/>
          <w:color w:val="auto"/>
          <w:highlight w:val="none"/>
          <w:lang w:val="en-US"/>
        </w:rPr>
        <w:t>4.1.5</w:t>
      </w:r>
      <w:r>
        <w:rPr>
          <w:rFonts w:hint="eastAsia" w:ascii="Times New Roman" w:hAnsi="Times New Roman"/>
          <w:color w:val="auto"/>
          <w:highlight w:val="none"/>
        </w:rPr>
        <w:t>保证工程施工和人员的安全</w:t>
      </w:r>
    </w:p>
    <w:p w14:paraId="5FEC2EDB">
      <w:pPr>
        <w:pStyle w:val="523"/>
        <w:ind w:firstLine="420"/>
        <w:rPr>
          <w:rFonts w:ascii="Times New Roman" w:hAnsi="Times New Roman"/>
          <w:color w:val="auto"/>
          <w:highlight w:val="none"/>
        </w:rPr>
      </w:pPr>
      <w:r>
        <w:rPr>
          <w:rFonts w:hint="eastAsia" w:ascii="Times New Roman" w:hAnsi="Times New Roman"/>
          <w:color w:val="auto"/>
          <w:highlight w:val="none"/>
        </w:rPr>
        <w:t>承包人应按第</w:t>
      </w:r>
      <w:r>
        <w:rPr>
          <w:rFonts w:hint="eastAsia" w:ascii="Times New Roman" w:hAnsi="Times New Roman"/>
          <w:color w:val="auto"/>
          <w:highlight w:val="none"/>
          <w:lang w:val="en-US" w:bidi="en-US"/>
        </w:rPr>
        <w:t xml:space="preserve">9. </w:t>
      </w:r>
      <w:r>
        <w:rPr>
          <w:rFonts w:hint="eastAsia" w:ascii="Times New Roman" w:hAnsi="Times New Roman"/>
          <w:color w:val="auto"/>
          <w:highlight w:val="none"/>
        </w:rPr>
        <w:t>2款约定采取施工安全措施，确保工程及其人员、材料、设备和设施的安全，防止因工程施工造成的人身伤害和财产损失。</w:t>
      </w:r>
    </w:p>
    <w:p w14:paraId="02CE7362">
      <w:pPr>
        <w:pStyle w:val="523"/>
        <w:ind w:firstLine="420"/>
        <w:rPr>
          <w:rFonts w:ascii="Times New Roman" w:hAnsi="Times New Roman"/>
          <w:color w:val="auto"/>
          <w:highlight w:val="none"/>
        </w:rPr>
      </w:pPr>
      <w:bookmarkStart w:id="304" w:name="bookmark1003"/>
      <w:bookmarkEnd w:id="304"/>
      <w:r>
        <w:rPr>
          <w:rFonts w:hint="eastAsia" w:ascii="Times New Roman" w:hAnsi="Times New Roman"/>
          <w:color w:val="auto"/>
          <w:highlight w:val="none"/>
          <w:lang w:val="en-US"/>
        </w:rPr>
        <w:t>4.1.6</w:t>
      </w:r>
      <w:r>
        <w:rPr>
          <w:rFonts w:hint="eastAsia" w:ascii="Times New Roman" w:hAnsi="Times New Roman"/>
          <w:color w:val="auto"/>
          <w:highlight w:val="none"/>
        </w:rPr>
        <w:t>负责施工场地及其周边环境与生态的保护工作</w:t>
      </w:r>
    </w:p>
    <w:p w14:paraId="452D38B0">
      <w:pPr>
        <w:pStyle w:val="523"/>
        <w:ind w:firstLine="420"/>
        <w:rPr>
          <w:rFonts w:ascii="Times New Roman" w:hAnsi="Times New Roman"/>
          <w:color w:val="auto"/>
          <w:highlight w:val="none"/>
        </w:rPr>
      </w:pPr>
      <w:r>
        <w:rPr>
          <w:rFonts w:hint="eastAsia" w:ascii="Times New Roman" w:hAnsi="Times New Roman"/>
          <w:color w:val="auto"/>
          <w:highlight w:val="none"/>
        </w:rPr>
        <w:t>承包人应按照第</w:t>
      </w:r>
      <w:r>
        <w:rPr>
          <w:rFonts w:hint="eastAsia" w:ascii="Times New Roman" w:hAnsi="Times New Roman"/>
          <w:color w:val="auto"/>
          <w:highlight w:val="none"/>
          <w:lang w:val="en-US" w:bidi="en-US"/>
        </w:rPr>
        <w:t>9.4</w:t>
      </w:r>
      <w:r>
        <w:rPr>
          <w:rFonts w:hint="eastAsia" w:ascii="Times New Roman" w:hAnsi="Times New Roman"/>
          <w:color w:val="auto"/>
          <w:highlight w:val="none"/>
        </w:rPr>
        <w:t>款约定负责施工场地及其周边环境与生态的保护工作。</w:t>
      </w:r>
    </w:p>
    <w:p w14:paraId="72E499B8">
      <w:pPr>
        <w:pStyle w:val="523"/>
        <w:ind w:firstLine="420"/>
        <w:rPr>
          <w:rFonts w:ascii="Times New Roman" w:hAnsi="Times New Roman"/>
          <w:color w:val="auto"/>
          <w:highlight w:val="none"/>
        </w:rPr>
      </w:pPr>
      <w:r>
        <w:rPr>
          <w:rFonts w:hint="eastAsia" w:ascii="Times New Roman" w:hAnsi="Times New Roman"/>
          <w:color w:val="auto"/>
          <w:highlight w:val="none"/>
          <w:lang w:val="en-US"/>
        </w:rPr>
        <w:t xml:space="preserve">4. 1. </w:t>
      </w:r>
      <w:r>
        <w:rPr>
          <w:rFonts w:hint="eastAsia" w:ascii="Times New Roman" w:hAnsi="Times New Roman"/>
          <w:color w:val="auto"/>
          <w:highlight w:val="none"/>
        </w:rPr>
        <w:t>7避免施工对公众与他人的利益造成损害</w:t>
      </w:r>
    </w:p>
    <w:p w14:paraId="46EA1A42">
      <w:pPr>
        <w:pStyle w:val="523"/>
        <w:ind w:firstLine="420"/>
        <w:rPr>
          <w:rFonts w:ascii="Times New Roman" w:hAnsi="Times New Roman"/>
          <w:color w:val="auto"/>
          <w:highlight w:val="none"/>
        </w:rPr>
      </w:pPr>
      <w:r>
        <w:rPr>
          <w:rFonts w:hint="eastAsia" w:ascii="Times New Roman" w:hAnsi="Times New Roman"/>
          <w:color w:val="auto"/>
          <w:highlight w:val="none"/>
        </w:rPr>
        <w:t>承包人在进行合同约定的各项工作时，不得侵害发包人与他人使用公用道路、水源、 市政管网等公共设施的权利，避免对邻近的公共设施产生干扰。承包人占用或使用他人的施工场地，影响他人作业或生活的，应承担相应责任。</w:t>
      </w:r>
    </w:p>
    <w:p w14:paraId="1DFE3DE8">
      <w:pPr>
        <w:pStyle w:val="523"/>
        <w:ind w:firstLine="420"/>
        <w:rPr>
          <w:rFonts w:ascii="Times New Roman" w:hAnsi="Times New Roman"/>
          <w:color w:val="auto"/>
          <w:highlight w:val="none"/>
        </w:rPr>
      </w:pPr>
      <w:r>
        <w:rPr>
          <w:rFonts w:hint="eastAsia" w:ascii="Times New Roman" w:hAnsi="Times New Roman"/>
          <w:color w:val="auto"/>
          <w:highlight w:val="none"/>
          <w:lang w:val="en-US"/>
        </w:rPr>
        <w:t>4. 1.8</w:t>
      </w:r>
      <w:r>
        <w:rPr>
          <w:rFonts w:hint="eastAsia" w:ascii="Times New Roman" w:hAnsi="Times New Roman"/>
          <w:color w:val="auto"/>
          <w:highlight w:val="none"/>
        </w:rPr>
        <w:t>为他人提供方便</w:t>
      </w:r>
    </w:p>
    <w:p w14:paraId="3D999E49">
      <w:pPr>
        <w:pStyle w:val="523"/>
        <w:ind w:firstLine="420"/>
        <w:rPr>
          <w:rFonts w:ascii="Times New Roman" w:hAnsi="Times New Roman"/>
          <w:color w:val="auto"/>
          <w:highlight w:val="none"/>
        </w:rPr>
      </w:pPr>
      <w:r>
        <w:rPr>
          <w:rFonts w:hint="eastAsia" w:ascii="Times New Roman" w:hAnsi="Times New Roman"/>
          <w:color w:val="auto"/>
          <w:highlight w:val="none"/>
        </w:rPr>
        <w:t>承包人应按监理人的指示为他人在施工场地或附近实施与工程有关的其他各项工作提供可能的条件。除合同另有约定外，提供有关条件的内容和可能发生的费用，由监理人按 第</w:t>
      </w:r>
      <w:r>
        <w:rPr>
          <w:rFonts w:hint="eastAsia" w:ascii="Times New Roman" w:hAnsi="Times New Roman"/>
          <w:color w:val="auto"/>
          <w:highlight w:val="none"/>
          <w:lang w:val="en-US" w:bidi="en-US"/>
        </w:rPr>
        <w:t xml:space="preserve">3. </w:t>
      </w:r>
      <w:r>
        <w:rPr>
          <w:rFonts w:hint="eastAsia" w:ascii="Times New Roman" w:hAnsi="Times New Roman"/>
          <w:color w:val="auto"/>
          <w:highlight w:val="none"/>
        </w:rPr>
        <w:t>5款商定或确定。</w:t>
      </w:r>
    </w:p>
    <w:p w14:paraId="495A286A">
      <w:pPr>
        <w:pStyle w:val="523"/>
        <w:ind w:firstLine="420"/>
        <w:rPr>
          <w:rFonts w:ascii="Times New Roman" w:hAnsi="Times New Roman"/>
          <w:color w:val="auto"/>
          <w:highlight w:val="none"/>
        </w:rPr>
      </w:pPr>
      <w:r>
        <w:rPr>
          <w:rFonts w:hint="eastAsia" w:ascii="Times New Roman" w:hAnsi="Times New Roman"/>
          <w:color w:val="auto"/>
          <w:highlight w:val="none"/>
          <w:lang w:val="en-US"/>
        </w:rPr>
        <w:t>4.1.9</w:t>
      </w:r>
      <w:r>
        <w:rPr>
          <w:rFonts w:hint="eastAsia" w:ascii="Times New Roman" w:hAnsi="Times New Roman"/>
          <w:color w:val="auto"/>
          <w:highlight w:val="none"/>
        </w:rPr>
        <w:t>工程的维护和照管</w:t>
      </w:r>
    </w:p>
    <w:p w14:paraId="22CD58CE">
      <w:pPr>
        <w:pStyle w:val="523"/>
        <w:ind w:firstLine="420"/>
        <w:rPr>
          <w:rFonts w:ascii="Times New Roman" w:hAnsi="Times New Roman"/>
          <w:color w:val="auto"/>
          <w:highlight w:val="none"/>
        </w:rPr>
      </w:pPr>
      <w:r>
        <w:rPr>
          <w:rFonts w:hint="eastAsia" w:ascii="Times New Roman" w:hAnsi="Times New Roman"/>
          <w:color w:val="auto"/>
          <w:highlight w:val="none"/>
        </w:rPr>
        <w:t>除合同另有约定外，合同工程完工证书颁发前，承包人应负责照管和维护工程。合同工程完工证书颁发时尚有部分未完工程的，承包人还应负责该未完工程的照管和维护工作，直至完工后移交给发包人为止。</w:t>
      </w:r>
    </w:p>
    <w:p w14:paraId="3AD498B3">
      <w:pPr>
        <w:pStyle w:val="523"/>
        <w:ind w:firstLine="420"/>
        <w:rPr>
          <w:rFonts w:ascii="Times New Roman" w:hAnsi="Times New Roman"/>
          <w:color w:val="auto"/>
          <w:highlight w:val="none"/>
        </w:rPr>
      </w:pPr>
      <w:r>
        <w:rPr>
          <w:rFonts w:hint="eastAsia" w:ascii="Times New Roman" w:hAnsi="Times New Roman"/>
          <w:color w:val="auto"/>
          <w:highlight w:val="none"/>
        </w:rPr>
        <w:t>4.1.10其它义务</w:t>
      </w:r>
    </w:p>
    <w:p w14:paraId="08F2D7E8">
      <w:pPr>
        <w:pStyle w:val="523"/>
        <w:ind w:firstLine="420"/>
        <w:rPr>
          <w:rFonts w:ascii="Times New Roman" w:hAnsi="Times New Roman"/>
          <w:color w:val="auto"/>
          <w:highlight w:val="none"/>
        </w:rPr>
      </w:pPr>
      <w:r>
        <w:rPr>
          <w:rFonts w:hint="eastAsia" w:ascii="Times New Roman" w:hAnsi="Times New Roman"/>
          <w:color w:val="auto"/>
          <w:highlight w:val="none"/>
        </w:rPr>
        <w:t>其它义务在专用合同条款中补充约定。</w:t>
      </w:r>
    </w:p>
    <w:p w14:paraId="6751A0B1">
      <w:pPr>
        <w:spacing w:line="360" w:lineRule="auto"/>
        <w:rPr>
          <w:color w:val="auto"/>
          <w:highlight w:val="none"/>
        </w:rPr>
      </w:pPr>
      <w:bookmarkStart w:id="305" w:name="bookmark1006"/>
      <w:bookmarkStart w:id="306" w:name="_Toc11535"/>
      <w:bookmarkStart w:id="307" w:name="bookmark1004"/>
      <w:bookmarkStart w:id="308" w:name="bookmark1005"/>
      <w:r>
        <w:rPr>
          <w:color w:val="auto"/>
          <w:highlight w:val="none"/>
        </w:rPr>
        <w:t>4.2履约担保</w:t>
      </w:r>
      <w:bookmarkEnd w:id="305"/>
      <w:bookmarkEnd w:id="306"/>
      <w:bookmarkEnd w:id="307"/>
      <w:bookmarkEnd w:id="308"/>
    </w:p>
    <w:p w14:paraId="418E9618">
      <w:pPr>
        <w:pStyle w:val="523"/>
        <w:ind w:firstLine="420"/>
        <w:rPr>
          <w:rFonts w:ascii="Times New Roman" w:hAnsi="Times New Roman"/>
          <w:color w:val="auto"/>
          <w:highlight w:val="none"/>
        </w:rPr>
      </w:pPr>
      <w:r>
        <w:rPr>
          <w:rFonts w:hint="eastAsia" w:ascii="Times New Roman" w:hAnsi="Times New Roman"/>
          <w:color w:val="auto"/>
          <w:highlight w:val="none"/>
        </w:rPr>
        <w:t>承包人应保证其履约担保在发包人颁发合同工程完工证书前一直有效。发包人应在合同工程完工证书颁发后28天内将履约担保退还给承包人。</w:t>
      </w:r>
    </w:p>
    <w:p w14:paraId="1620F0DC">
      <w:pPr>
        <w:spacing w:line="360" w:lineRule="auto"/>
        <w:rPr>
          <w:color w:val="auto"/>
          <w:highlight w:val="none"/>
        </w:rPr>
      </w:pPr>
      <w:bookmarkStart w:id="309" w:name="bookmark1007"/>
      <w:bookmarkStart w:id="310" w:name="_Toc31393"/>
      <w:bookmarkStart w:id="311" w:name="bookmark1008"/>
      <w:bookmarkStart w:id="312" w:name="bookmark1009"/>
      <w:r>
        <w:rPr>
          <w:color w:val="auto"/>
          <w:highlight w:val="none"/>
        </w:rPr>
        <w:t>4.3分包</w:t>
      </w:r>
      <w:bookmarkEnd w:id="309"/>
      <w:bookmarkEnd w:id="310"/>
      <w:bookmarkEnd w:id="311"/>
      <w:bookmarkEnd w:id="312"/>
    </w:p>
    <w:p w14:paraId="08C4EF1C">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4.3.1</w:t>
      </w:r>
      <w:r>
        <w:rPr>
          <w:rFonts w:hint="eastAsia" w:ascii="Times New Roman" w:hAnsi="Times New Roman"/>
          <w:color w:val="auto"/>
          <w:highlight w:val="none"/>
        </w:rPr>
        <w:t>承包人不得将其承包的全部工程转包给第三人，或将其承包的全部工程肢解后以分包的名义转包给第三人。</w:t>
      </w:r>
    </w:p>
    <w:p w14:paraId="0615A7B8">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4.3.2</w:t>
      </w:r>
      <w:r>
        <w:rPr>
          <w:rFonts w:hint="eastAsia" w:ascii="Times New Roman" w:hAnsi="Times New Roman"/>
          <w:color w:val="auto"/>
          <w:highlight w:val="none"/>
        </w:rPr>
        <w:t>承包人不得将工程主体、关键性工作分包给第三人。除专用合同条款另有约定外，未经发包人同意，承包人不得将工程的其他部分或工作分包给第三人。</w:t>
      </w:r>
    </w:p>
    <w:p w14:paraId="07CFE735">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4.3.</w:t>
      </w:r>
      <w:r>
        <w:rPr>
          <w:rFonts w:hint="eastAsia" w:ascii="Times New Roman" w:hAnsi="Times New Roman"/>
          <w:color w:val="auto"/>
          <w:highlight w:val="none"/>
        </w:rPr>
        <w:t>3分包人的资格能力应与其分包工程的标准和规模相适应。</w:t>
      </w:r>
    </w:p>
    <w:p w14:paraId="4DE599EB">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4.3.4</w:t>
      </w:r>
      <w:r>
        <w:rPr>
          <w:rFonts w:hint="eastAsia" w:ascii="Times New Roman" w:hAnsi="Times New Roman"/>
          <w:color w:val="auto"/>
          <w:highlight w:val="none"/>
        </w:rPr>
        <w:t>按投标函附录约定分包工程的，承包人应向发包人和监理人提交分包合同 副本。</w:t>
      </w:r>
    </w:p>
    <w:p w14:paraId="7C4EB904">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4.3.5</w:t>
      </w:r>
      <w:r>
        <w:rPr>
          <w:rFonts w:hint="eastAsia" w:ascii="Times New Roman" w:hAnsi="Times New Roman"/>
          <w:color w:val="auto"/>
          <w:highlight w:val="none"/>
        </w:rPr>
        <w:t>承包人应与分包人就分包工程向发包人承担连带责任。</w:t>
      </w:r>
    </w:p>
    <w:p w14:paraId="731CB6D3">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4.3.6</w:t>
      </w:r>
      <w:r>
        <w:rPr>
          <w:rFonts w:hint="eastAsia" w:ascii="Times New Roman" w:hAnsi="Times New Roman"/>
          <w:color w:val="auto"/>
          <w:highlight w:val="none"/>
        </w:rPr>
        <w:t>分包分为工程分包和劳务作业分包。工程分包应遵循合同约定或者经发包人书面认可。禁止承包人将本合同工程进行违法分包。分包人应具备与分包工程规模和标准相适应的资质和业绩，在人力、设备、资金等方面具有承担分包工程施工的能力。分包人应自行完成所承包的任务。</w:t>
      </w:r>
    </w:p>
    <w:p w14:paraId="2F9EBDE8">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4.3.7</w:t>
      </w:r>
      <w:r>
        <w:rPr>
          <w:rFonts w:hint="eastAsia" w:ascii="Times New Roman" w:hAnsi="Times New Roman"/>
          <w:color w:val="auto"/>
          <w:highlight w:val="none"/>
        </w:rPr>
        <w:t>在合同实施过程中，如承包人无力在合同规定的期限内完成合同中的应急防 汛、抢险等危及公共安全和工程安全的项目，发包人可对该应急防汛、抢险等项目的部分工程指定分包人。因非承包人原因形成指定分包条件的，发包人的指定分包不得增加承包人的额外费用；因承包人原因形成指定分包条件的，承包人应承担指定分包所增加的费用。由指定分包人造成的与其分包工作有关的一切索赔、诉讼和损失赔偿由指定分包人直接对发包人负责，承包人不对此承担责任。</w:t>
      </w:r>
    </w:p>
    <w:p w14:paraId="77E82D7E">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4.3.8</w:t>
      </w:r>
      <w:r>
        <w:rPr>
          <w:rFonts w:hint="eastAsia" w:ascii="Times New Roman" w:hAnsi="Times New Roman"/>
          <w:color w:val="auto"/>
          <w:highlight w:val="none"/>
        </w:rPr>
        <w:t>承包人和发包人应当签订分包合同，并履行合同约定的义务。分包合同必须遵循承包合同的各项原则，满足相应条款的要求。发包人可以对分包合同实施情况进行监督检查。承包人应将分包合同副本提交发包人和监理人。</w:t>
      </w:r>
    </w:p>
    <w:p w14:paraId="21262E2A">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4.3.9</w:t>
      </w:r>
      <w:r>
        <w:rPr>
          <w:rFonts w:hint="eastAsia" w:ascii="Times New Roman" w:hAnsi="Times New Roman"/>
          <w:color w:val="auto"/>
          <w:highlight w:val="none"/>
        </w:rPr>
        <w:t>除第</w:t>
      </w:r>
      <w:r>
        <w:rPr>
          <w:rFonts w:hint="eastAsia" w:ascii="Times New Roman" w:hAnsi="Times New Roman"/>
          <w:color w:val="auto"/>
          <w:highlight w:val="none"/>
          <w:lang w:val="en-US" w:bidi="en-US"/>
        </w:rPr>
        <w:t xml:space="preserve">4. 3. </w:t>
      </w:r>
      <w:r>
        <w:rPr>
          <w:rFonts w:hint="eastAsia" w:ascii="Times New Roman" w:hAnsi="Times New Roman"/>
          <w:color w:val="auto"/>
          <w:highlight w:val="none"/>
        </w:rPr>
        <w:t>7项规定的指定分包外，承包人对其分包项目的实施以及分包人的行为向发包人负全部责任。承包人应对分包项目的工程进度、质量、安全、计量和验收等实施监督和管理。</w:t>
      </w:r>
    </w:p>
    <w:p w14:paraId="50C5D09B">
      <w:pPr>
        <w:pStyle w:val="523"/>
        <w:tabs>
          <w:tab w:val="left" w:pos="736"/>
        </w:tabs>
        <w:rPr>
          <w:rFonts w:ascii="Times New Roman" w:hAnsi="Times New Roman"/>
          <w:color w:val="auto"/>
          <w:highlight w:val="none"/>
        </w:rPr>
      </w:pPr>
      <w:bookmarkStart w:id="313" w:name="bookmark1010"/>
      <w:bookmarkEnd w:id="313"/>
      <w:r>
        <w:rPr>
          <w:rFonts w:hint="eastAsia" w:ascii="Times New Roman" w:hAnsi="Times New Roman"/>
          <w:color w:val="auto"/>
          <w:highlight w:val="none"/>
        </w:rPr>
        <w:t>4.3.10分包人应按专用合同条款的约定设立项目管理机构组织管理分包工程的施工活动。</w:t>
      </w:r>
    </w:p>
    <w:p w14:paraId="4FE0B1DC">
      <w:pPr>
        <w:spacing w:line="360" w:lineRule="auto"/>
        <w:rPr>
          <w:color w:val="auto"/>
          <w:highlight w:val="none"/>
        </w:rPr>
      </w:pPr>
      <w:bookmarkStart w:id="314" w:name="bookmark1013"/>
      <w:bookmarkStart w:id="315" w:name="bookmark1011"/>
      <w:bookmarkStart w:id="316" w:name="bookmark1012"/>
      <w:bookmarkStart w:id="317" w:name="_Toc27582"/>
      <w:r>
        <w:rPr>
          <w:color w:val="auto"/>
          <w:highlight w:val="none"/>
        </w:rPr>
        <w:t>4.4联合体</w:t>
      </w:r>
      <w:bookmarkEnd w:id="314"/>
      <w:bookmarkEnd w:id="315"/>
      <w:bookmarkEnd w:id="316"/>
      <w:bookmarkEnd w:id="317"/>
    </w:p>
    <w:p w14:paraId="7A141FCF">
      <w:pPr>
        <w:pStyle w:val="523"/>
        <w:tabs>
          <w:tab w:val="left" w:pos="738"/>
        </w:tabs>
        <w:ind w:firstLine="420" w:firstLineChars="200"/>
        <w:rPr>
          <w:rFonts w:ascii="Times New Roman" w:hAnsi="Times New Roman"/>
          <w:color w:val="auto"/>
          <w:highlight w:val="none"/>
        </w:rPr>
      </w:pPr>
      <w:bookmarkStart w:id="318" w:name="bookmark1014"/>
      <w:bookmarkEnd w:id="318"/>
      <w:r>
        <w:rPr>
          <w:rFonts w:hint="eastAsia" w:ascii="Times New Roman" w:hAnsi="Times New Roman"/>
          <w:color w:val="auto"/>
          <w:highlight w:val="none"/>
          <w:lang w:val="en-US" w:bidi="en-US"/>
        </w:rPr>
        <w:t>4.4.1</w:t>
      </w:r>
      <w:r>
        <w:rPr>
          <w:rFonts w:hint="eastAsia" w:ascii="Times New Roman" w:hAnsi="Times New Roman"/>
          <w:color w:val="auto"/>
          <w:highlight w:val="none"/>
        </w:rPr>
        <w:t>联合体各方应共同与发包人签订合同协议书。联合体各方应为履行合同承担连带责任。</w:t>
      </w:r>
    </w:p>
    <w:p w14:paraId="71152EB3">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4.4.2</w:t>
      </w:r>
      <w:r>
        <w:rPr>
          <w:rFonts w:hint="eastAsia" w:ascii="Times New Roman" w:hAnsi="Times New Roman"/>
          <w:color w:val="auto"/>
          <w:highlight w:val="none"/>
        </w:rPr>
        <w:t>联合体协议经发包人确认后作为合同附件。在履行合同过程中，未经发包人同意，不得修改联合体协议。</w:t>
      </w:r>
    </w:p>
    <w:p w14:paraId="54AD7573">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4.4.3</w:t>
      </w:r>
      <w:r>
        <w:rPr>
          <w:rFonts w:hint="eastAsia" w:ascii="Times New Roman" w:hAnsi="Times New Roman"/>
          <w:color w:val="auto"/>
          <w:highlight w:val="none"/>
        </w:rPr>
        <w:t>联合体牵头人负责与发包人和监理人联系，并接受指示，负责组织联合体各成员全面履行合同。</w:t>
      </w:r>
    </w:p>
    <w:p w14:paraId="1D7F9053">
      <w:pPr>
        <w:spacing w:line="360" w:lineRule="auto"/>
        <w:rPr>
          <w:color w:val="auto"/>
          <w:highlight w:val="none"/>
        </w:rPr>
      </w:pPr>
      <w:bookmarkStart w:id="319" w:name="_Toc27934"/>
      <w:bookmarkStart w:id="320" w:name="bookmark1015"/>
      <w:bookmarkStart w:id="321" w:name="bookmark1017"/>
      <w:bookmarkStart w:id="322" w:name="bookmark1016"/>
      <w:r>
        <w:rPr>
          <w:color w:val="auto"/>
          <w:highlight w:val="none"/>
        </w:rPr>
        <w:t>4.5承包人项目经理</w:t>
      </w:r>
      <w:bookmarkEnd w:id="319"/>
      <w:bookmarkEnd w:id="320"/>
      <w:bookmarkEnd w:id="321"/>
      <w:bookmarkEnd w:id="322"/>
    </w:p>
    <w:p w14:paraId="41D087EF">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4.5.1</w:t>
      </w:r>
      <w:r>
        <w:rPr>
          <w:rFonts w:hint="eastAsia" w:ascii="Times New Roman" w:hAnsi="Times New Roman"/>
          <w:color w:val="auto"/>
          <w:highlight w:val="none"/>
        </w:rPr>
        <w:t>承包人应按合同约定指派项目经理，并在约定的期限内到职。承包人更换项目经理应事先征得发包人同意，并应在更换14天前通知发包人和监理人。承包人项目经理短 期离开施工场地，应事先征得监理人同意，并委派代表代行其职责。</w:t>
      </w:r>
    </w:p>
    <w:p w14:paraId="77FBB61C">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4.5.2</w:t>
      </w:r>
      <w:r>
        <w:rPr>
          <w:rFonts w:hint="eastAsia" w:ascii="Times New Roman" w:hAnsi="Times New Roman"/>
          <w:color w:val="auto"/>
          <w:highlight w:val="none"/>
        </w:rPr>
        <w:t>承包人项目经理应按合同约定以及监理人按第</w:t>
      </w:r>
      <w:r>
        <w:rPr>
          <w:rFonts w:hint="eastAsia" w:ascii="Times New Roman" w:hAnsi="Times New Roman"/>
          <w:color w:val="auto"/>
          <w:highlight w:val="none"/>
          <w:lang w:val="en-US" w:bidi="en-US"/>
        </w:rPr>
        <w:t xml:space="preserve">3. </w:t>
      </w:r>
      <w:r>
        <w:rPr>
          <w:rFonts w:hint="eastAsia" w:ascii="Times New Roman" w:hAnsi="Times New Roman"/>
          <w:color w:val="auto"/>
          <w:highlight w:val="none"/>
        </w:rPr>
        <w:t>4款作出的指示，负责组织合同工程的实施。在情况紧急且无法与监理人取得联系时，可采取保证工程和人员生命财产安全的紧急措施，并在采取措施后24小时内向监理人提交书面报告。</w:t>
      </w:r>
    </w:p>
    <w:p w14:paraId="0E864BA8">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4.5.</w:t>
      </w:r>
      <w:r>
        <w:rPr>
          <w:rFonts w:hint="eastAsia" w:ascii="Times New Roman" w:hAnsi="Times New Roman"/>
          <w:color w:val="auto"/>
          <w:highlight w:val="none"/>
        </w:rPr>
        <w:t>3承包人为履行合同发出的一切函件均应盖有承包人授权的施工场地管理机构章，并由承包人项目经理或其授权代表签字。</w:t>
      </w:r>
    </w:p>
    <w:p w14:paraId="51112CB2">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4.5.4</w:t>
      </w:r>
      <w:r>
        <w:rPr>
          <w:rFonts w:hint="eastAsia" w:ascii="Times New Roman" w:hAnsi="Times New Roman"/>
          <w:color w:val="auto"/>
          <w:highlight w:val="none"/>
        </w:rPr>
        <w:t>承包人项目经理可以授权其下属人员履行其某项职责，但事先应将这些人员的姓名和授权范围通知监理人。</w:t>
      </w:r>
    </w:p>
    <w:p w14:paraId="1AEC7924">
      <w:pPr>
        <w:spacing w:line="360" w:lineRule="auto"/>
        <w:rPr>
          <w:color w:val="auto"/>
          <w:highlight w:val="none"/>
        </w:rPr>
      </w:pPr>
      <w:bookmarkStart w:id="323" w:name="_Toc1095"/>
      <w:bookmarkStart w:id="324" w:name="bookmark1020"/>
      <w:bookmarkStart w:id="325" w:name="bookmark1019"/>
      <w:bookmarkStart w:id="326" w:name="bookmark1018"/>
      <w:r>
        <w:rPr>
          <w:color w:val="auto"/>
          <w:highlight w:val="none"/>
        </w:rPr>
        <w:t>4.6承包人人员的管理</w:t>
      </w:r>
      <w:bookmarkEnd w:id="323"/>
      <w:bookmarkEnd w:id="324"/>
      <w:bookmarkEnd w:id="325"/>
      <w:bookmarkEnd w:id="326"/>
    </w:p>
    <w:p w14:paraId="7CF010B3">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4.6.1</w:t>
      </w:r>
      <w:r>
        <w:rPr>
          <w:rFonts w:hint="eastAsia" w:ascii="Times New Roman" w:hAnsi="Times New Roman"/>
          <w:color w:val="auto"/>
          <w:highlight w:val="none"/>
        </w:rPr>
        <w:t>承包人应在接到开工通知后28天内，向监理人提交承包人在施工场地的管理机构以及人员安排的报告，其内容应包括管理机构的设置、各主要岗位的技术和管理人员名单及其资格，以及各工种技术工人的安排状况。承包人应向监理人提交施工场地人员变动情况的报告。</w:t>
      </w:r>
    </w:p>
    <w:p w14:paraId="20BD8CD4">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4.6.2</w:t>
      </w:r>
      <w:r>
        <w:rPr>
          <w:rFonts w:hint="eastAsia" w:ascii="Times New Roman" w:hAnsi="Times New Roman"/>
          <w:color w:val="auto"/>
          <w:highlight w:val="none"/>
        </w:rPr>
        <w:t>为完成合同约定的各项工作，承包人应向施工场地派遣或雇佣足够数量的下列人员：</w:t>
      </w:r>
    </w:p>
    <w:p w14:paraId="22D066C7">
      <w:pPr>
        <w:pStyle w:val="523"/>
        <w:numPr>
          <w:ilvl w:val="0"/>
          <w:numId w:val="17"/>
        </w:numPr>
        <w:tabs>
          <w:tab w:val="left" w:pos="899"/>
        </w:tabs>
        <w:ind w:firstLine="420"/>
        <w:rPr>
          <w:rFonts w:ascii="Times New Roman" w:hAnsi="Times New Roman"/>
          <w:color w:val="auto"/>
          <w:highlight w:val="none"/>
        </w:rPr>
      </w:pPr>
      <w:bookmarkStart w:id="327" w:name="bookmark1021"/>
      <w:bookmarkEnd w:id="327"/>
      <w:r>
        <w:rPr>
          <w:rFonts w:hint="eastAsia" w:ascii="Times New Roman" w:hAnsi="Times New Roman"/>
          <w:color w:val="auto"/>
          <w:highlight w:val="none"/>
        </w:rPr>
        <w:t>具有相应资格的专业技工和合格的普工；</w:t>
      </w:r>
    </w:p>
    <w:p w14:paraId="300397E4">
      <w:pPr>
        <w:pStyle w:val="523"/>
        <w:numPr>
          <w:ilvl w:val="0"/>
          <w:numId w:val="17"/>
        </w:numPr>
        <w:tabs>
          <w:tab w:val="left" w:pos="899"/>
        </w:tabs>
        <w:ind w:firstLine="420"/>
        <w:rPr>
          <w:rFonts w:ascii="Times New Roman" w:hAnsi="Times New Roman"/>
          <w:color w:val="auto"/>
          <w:highlight w:val="none"/>
        </w:rPr>
      </w:pPr>
      <w:bookmarkStart w:id="328" w:name="bookmark1022"/>
      <w:bookmarkEnd w:id="328"/>
      <w:r>
        <w:rPr>
          <w:rFonts w:hint="eastAsia" w:ascii="Times New Roman" w:hAnsi="Times New Roman"/>
          <w:color w:val="auto"/>
          <w:highlight w:val="none"/>
        </w:rPr>
        <w:t>具有相应施工经验的技术人员；</w:t>
      </w:r>
    </w:p>
    <w:p w14:paraId="14E6D721">
      <w:pPr>
        <w:pStyle w:val="523"/>
        <w:numPr>
          <w:ilvl w:val="0"/>
          <w:numId w:val="17"/>
        </w:numPr>
        <w:tabs>
          <w:tab w:val="left" w:pos="899"/>
        </w:tabs>
        <w:ind w:firstLine="420"/>
        <w:rPr>
          <w:rFonts w:ascii="Times New Roman" w:hAnsi="Times New Roman"/>
          <w:color w:val="auto"/>
          <w:highlight w:val="none"/>
        </w:rPr>
      </w:pPr>
      <w:bookmarkStart w:id="329" w:name="bookmark1023"/>
      <w:bookmarkEnd w:id="329"/>
      <w:r>
        <w:rPr>
          <w:rFonts w:hint="eastAsia" w:ascii="Times New Roman" w:hAnsi="Times New Roman"/>
          <w:color w:val="auto"/>
          <w:highlight w:val="none"/>
        </w:rPr>
        <w:t>具有相应岗位资格的各级管理人员。</w:t>
      </w:r>
    </w:p>
    <w:p w14:paraId="76D7C388">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4.6.3</w:t>
      </w:r>
      <w:r>
        <w:rPr>
          <w:rFonts w:hint="eastAsia" w:ascii="Times New Roman" w:hAnsi="Times New Roman"/>
          <w:color w:val="auto"/>
          <w:highlight w:val="none"/>
        </w:rPr>
        <w:t>承包人安排在施工场地的主要管理人员和技术骨干应相对稳定。承包人更换主要管理人员和技术骨干时，应取得监理人的同意。</w:t>
      </w:r>
    </w:p>
    <w:p w14:paraId="4E754199">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4. 6.4</w:t>
      </w:r>
      <w:r>
        <w:rPr>
          <w:rFonts w:hint="eastAsia" w:ascii="Times New Roman" w:hAnsi="Times New Roman"/>
          <w:color w:val="auto"/>
          <w:highlight w:val="none"/>
        </w:rPr>
        <w:t>特殊岗位的工作人员均应持有相应的资格证明，监理人有权随时检查。监理人认为有必要时，可进行现场考核。</w:t>
      </w:r>
    </w:p>
    <w:p w14:paraId="03627AE7">
      <w:pPr>
        <w:spacing w:line="360" w:lineRule="auto"/>
        <w:rPr>
          <w:color w:val="auto"/>
          <w:highlight w:val="none"/>
        </w:rPr>
      </w:pPr>
      <w:bookmarkStart w:id="330" w:name="bookmark1024"/>
      <w:bookmarkStart w:id="331" w:name="bookmark1026"/>
      <w:bookmarkStart w:id="332" w:name="_Toc24736"/>
      <w:bookmarkStart w:id="333" w:name="bookmark1025"/>
      <w:r>
        <w:rPr>
          <w:color w:val="auto"/>
          <w:highlight w:val="none"/>
        </w:rPr>
        <w:t>4.7撤换承包人项目经理和其他人员</w:t>
      </w:r>
      <w:bookmarkEnd w:id="330"/>
      <w:bookmarkEnd w:id="331"/>
      <w:bookmarkEnd w:id="332"/>
      <w:bookmarkEnd w:id="333"/>
    </w:p>
    <w:p w14:paraId="7411AE1B">
      <w:pPr>
        <w:pStyle w:val="523"/>
        <w:ind w:firstLine="420"/>
        <w:rPr>
          <w:rFonts w:ascii="Times New Roman" w:hAnsi="Times New Roman"/>
          <w:color w:val="auto"/>
          <w:highlight w:val="none"/>
        </w:rPr>
      </w:pPr>
      <w:r>
        <w:rPr>
          <w:rFonts w:hint="eastAsia" w:ascii="Times New Roman" w:hAnsi="Times New Roman"/>
          <w:color w:val="auto"/>
          <w:highlight w:val="none"/>
        </w:rPr>
        <w:t>承包人应对其项目经理和其他人员进行有效管理。监理人要求撤换不能胜任本职工作、 行为不端或玩忽职守的承包人项目经理和其他人员的，承包人应予以撤换。</w:t>
      </w:r>
    </w:p>
    <w:p w14:paraId="655138DE">
      <w:pPr>
        <w:spacing w:line="360" w:lineRule="auto"/>
        <w:rPr>
          <w:color w:val="auto"/>
          <w:highlight w:val="none"/>
        </w:rPr>
      </w:pPr>
      <w:bookmarkStart w:id="334" w:name="bookmark1028"/>
      <w:bookmarkStart w:id="335" w:name="_Toc19207"/>
      <w:bookmarkStart w:id="336" w:name="bookmark1027"/>
      <w:bookmarkStart w:id="337" w:name="bookmark1029"/>
      <w:r>
        <w:rPr>
          <w:color w:val="auto"/>
          <w:highlight w:val="none"/>
        </w:rPr>
        <w:t>4.8保障承包人人员的合法权益</w:t>
      </w:r>
      <w:bookmarkEnd w:id="334"/>
      <w:bookmarkEnd w:id="335"/>
      <w:bookmarkEnd w:id="336"/>
      <w:bookmarkEnd w:id="337"/>
    </w:p>
    <w:p w14:paraId="77FF8E9C">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4.8.</w:t>
      </w:r>
      <w:r>
        <w:rPr>
          <w:rFonts w:hint="eastAsia" w:ascii="Times New Roman" w:hAnsi="Times New Roman"/>
          <w:color w:val="auto"/>
          <w:highlight w:val="none"/>
        </w:rPr>
        <w:t>1承包人应与其雇佣的人员签订劳动合同，并按时发放工资。</w:t>
      </w:r>
    </w:p>
    <w:p w14:paraId="220F0171">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4.8.</w:t>
      </w:r>
      <w:r>
        <w:rPr>
          <w:rFonts w:hint="eastAsia" w:ascii="Times New Roman" w:hAnsi="Times New Roman"/>
          <w:color w:val="auto"/>
          <w:highlight w:val="none"/>
        </w:rPr>
        <w:t>2承包人应按劳动法的规定安排工作时间，保证其雇佣人员享有休息和休假的权利。因工程施工的特殊需要占用休假日或延长工作时间的，应不超过法律规定的限度，并按法律规定给予补休或付酬。</w:t>
      </w:r>
    </w:p>
    <w:p w14:paraId="34B70ED0">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4.8.3</w:t>
      </w:r>
      <w:r>
        <w:rPr>
          <w:rFonts w:hint="eastAsia" w:ascii="Times New Roman" w:hAnsi="Times New Roman"/>
          <w:color w:val="auto"/>
          <w:highlight w:val="none"/>
        </w:rPr>
        <w:t>承包人应为其雇佣人员提供必要的食宿条件，以及符合环境保护和卫生要求的生活环境，在远离城镇的施工场地，还应配备必要的伤病防治和急救的医务人员与医疗设施。</w:t>
      </w:r>
    </w:p>
    <w:p w14:paraId="6DC01554">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4. 8.4</w:t>
      </w:r>
      <w:r>
        <w:rPr>
          <w:rFonts w:hint="eastAsia" w:ascii="Times New Roman" w:hAnsi="Times New Roman"/>
          <w:color w:val="auto"/>
          <w:highlight w:val="none"/>
        </w:rPr>
        <w:t>承包人应按国家有关劳动保护的规定，采取有效的防止粉尘、降低噪声、控制有害气体和保障高温、高寒、高空作业安全等劳动保护措施。其雇佣人员在施工中受到伤害的，承包人应立即采取有效措施进行抢救和治疗。</w:t>
      </w:r>
    </w:p>
    <w:p w14:paraId="7CFF3A90">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4.8.5</w:t>
      </w:r>
      <w:r>
        <w:rPr>
          <w:rFonts w:hint="eastAsia" w:ascii="Times New Roman" w:hAnsi="Times New Roman"/>
          <w:color w:val="auto"/>
          <w:highlight w:val="none"/>
        </w:rPr>
        <w:t>承包人应按有关法律规定和合同约定，为其雇佣人员办理保险。</w:t>
      </w:r>
    </w:p>
    <w:p w14:paraId="66769AAD">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4.8.6</w:t>
      </w:r>
      <w:r>
        <w:rPr>
          <w:rFonts w:hint="eastAsia" w:ascii="Times New Roman" w:hAnsi="Times New Roman"/>
          <w:color w:val="auto"/>
          <w:highlight w:val="none"/>
        </w:rPr>
        <w:t>承包人应负责处理其雇佣人员因工伤亡事故的善后事宜。</w:t>
      </w:r>
    </w:p>
    <w:p w14:paraId="6F18BC21">
      <w:pPr>
        <w:spacing w:line="360" w:lineRule="auto"/>
        <w:rPr>
          <w:color w:val="auto"/>
          <w:highlight w:val="none"/>
        </w:rPr>
      </w:pPr>
      <w:bookmarkStart w:id="338" w:name="bookmark1031"/>
      <w:bookmarkStart w:id="339" w:name="_Toc7851"/>
      <w:bookmarkStart w:id="340" w:name="bookmark1032"/>
      <w:bookmarkStart w:id="341" w:name="bookmark1030"/>
      <w:r>
        <w:rPr>
          <w:color w:val="auto"/>
          <w:highlight w:val="none"/>
        </w:rPr>
        <w:t>4.9工程价款应专款专用</w:t>
      </w:r>
      <w:bookmarkEnd w:id="338"/>
      <w:bookmarkEnd w:id="339"/>
      <w:bookmarkEnd w:id="340"/>
      <w:bookmarkEnd w:id="341"/>
    </w:p>
    <w:p w14:paraId="22F643AA">
      <w:pPr>
        <w:pStyle w:val="523"/>
        <w:ind w:firstLine="420"/>
        <w:rPr>
          <w:rFonts w:ascii="Times New Roman" w:hAnsi="Times New Roman"/>
          <w:color w:val="auto"/>
          <w:highlight w:val="none"/>
        </w:rPr>
      </w:pPr>
      <w:r>
        <w:rPr>
          <w:rFonts w:hint="eastAsia" w:ascii="Times New Roman" w:hAnsi="Times New Roman"/>
          <w:color w:val="auto"/>
          <w:highlight w:val="none"/>
        </w:rPr>
        <w:t>发包人按合同约定支付给承包人的各项价款应专用于合同工程。</w:t>
      </w:r>
    </w:p>
    <w:p w14:paraId="5C8E8608">
      <w:pPr>
        <w:spacing w:line="360" w:lineRule="auto"/>
        <w:rPr>
          <w:color w:val="auto"/>
          <w:highlight w:val="none"/>
        </w:rPr>
      </w:pPr>
      <w:bookmarkStart w:id="342" w:name="bookmark1034"/>
      <w:bookmarkStart w:id="343" w:name="bookmark1035"/>
      <w:bookmarkStart w:id="344" w:name="_Toc30630"/>
      <w:bookmarkStart w:id="345" w:name="bookmark1033"/>
      <w:r>
        <w:rPr>
          <w:color w:val="auto"/>
          <w:highlight w:val="none"/>
        </w:rPr>
        <w:t>4.10承包人现场查勘</w:t>
      </w:r>
      <w:bookmarkEnd w:id="342"/>
      <w:bookmarkEnd w:id="343"/>
      <w:bookmarkEnd w:id="344"/>
      <w:bookmarkEnd w:id="345"/>
    </w:p>
    <w:p w14:paraId="62B8C05D">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4.10.</w:t>
      </w:r>
      <w:r>
        <w:rPr>
          <w:rFonts w:hint="eastAsia" w:ascii="Times New Roman" w:hAnsi="Times New Roman"/>
          <w:color w:val="auto"/>
          <w:highlight w:val="none"/>
        </w:rPr>
        <w:t>1发包人应将其持有的现场地质勘探资料、水文气象资料提供给承包人，并对其准确性负责。但承包人应对其阅读上述有关资料后所作出的解释和推断负责。</w:t>
      </w:r>
    </w:p>
    <w:p w14:paraId="64B8995B">
      <w:pPr>
        <w:pStyle w:val="523"/>
        <w:ind w:firstLine="420"/>
        <w:rPr>
          <w:rFonts w:ascii="Times New Roman" w:hAnsi="Times New Roman"/>
          <w:color w:val="auto"/>
          <w:highlight w:val="none"/>
        </w:rPr>
      </w:pPr>
      <w:bookmarkStart w:id="346" w:name="bookmark1036"/>
      <w:bookmarkEnd w:id="346"/>
      <w:r>
        <w:rPr>
          <w:rFonts w:hint="eastAsia" w:ascii="Times New Roman" w:hAnsi="Times New Roman"/>
          <w:color w:val="auto"/>
          <w:highlight w:val="none"/>
        </w:rPr>
        <w:t>4.10.2承包人应对施工场地和周围环境进行查勘，并收集有关地质、水文、气象条件、交通条件、风俗习惯以及其他为完成合同工作有关的当地资料。在全部合同工作中，应视为承包人已充分估计了应承担的责任和风险。</w:t>
      </w:r>
    </w:p>
    <w:p w14:paraId="18E035A4">
      <w:pPr>
        <w:spacing w:line="360" w:lineRule="auto"/>
        <w:rPr>
          <w:color w:val="auto"/>
          <w:highlight w:val="none"/>
        </w:rPr>
      </w:pPr>
      <w:bookmarkStart w:id="347" w:name="_Toc2993"/>
      <w:bookmarkStart w:id="348" w:name="bookmark1038"/>
      <w:bookmarkStart w:id="349" w:name="bookmark1039"/>
      <w:bookmarkStart w:id="350" w:name="bookmark1037"/>
      <w:r>
        <w:rPr>
          <w:color w:val="auto"/>
          <w:highlight w:val="none"/>
        </w:rPr>
        <w:t>4.11不利物质条件</w:t>
      </w:r>
      <w:bookmarkEnd w:id="347"/>
      <w:bookmarkEnd w:id="348"/>
      <w:bookmarkEnd w:id="349"/>
      <w:bookmarkEnd w:id="350"/>
    </w:p>
    <w:p w14:paraId="6C769889">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4.11.1</w:t>
      </w:r>
      <w:r>
        <w:rPr>
          <w:rFonts w:hint="eastAsia" w:ascii="Times New Roman" w:hAnsi="Times New Roman"/>
          <w:color w:val="auto"/>
          <w:highlight w:val="none"/>
        </w:rPr>
        <w:t>除专用合同条款另有约定外，不利的物质条件是指在施工中遭遇不可预见的外界障碍或自然条件造成施工受阻。</w:t>
      </w:r>
    </w:p>
    <w:p w14:paraId="1CC6B64F">
      <w:pPr>
        <w:pStyle w:val="523"/>
        <w:rPr>
          <w:rFonts w:ascii="Times New Roman" w:hAnsi="Times New Roman"/>
          <w:color w:val="auto"/>
          <w:highlight w:val="none"/>
        </w:rPr>
      </w:pPr>
      <w:r>
        <w:rPr>
          <w:rFonts w:hint="eastAsia" w:ascii="Times New Roman" w:hAnsi="Times New Roman"/>
          <w:color w:val="auto"/>
          <w:highlight w:val="none"/>
          <w:lang w:val="en-US" w:bidi="en-US"/>
        </w:rPr>
        <w:t>4.11.2</w:t>
      </w:r>
      <w:r>
        <w:rPr>
          <w:rFonts w:hint="eastAsia" w:ascii="Times New Roman" w:hAnsi="Times New Roman"/>
          <w:color w:val="auto"/>
          <w:highlight w:val="none"/>
        </w:rPr>
        <w:t>承包人遇到不利物质条件时，应采取适应不利物质条件的合理措施继续施工, 并及时通知监理人。承包人应有权根据第</w:t>
      </w:r>
      <w:r>
        <w:rPr>
          <w:rFonts w:hint="eastAsia" w:ascii="Times New Roman" w:hAnsi="Times New Roman"/>
          <w:color w:val="auto"/>
          <w:highlight w:val="none"/>
          <w:lang w:val="en-US" w:bidi="en-US"/>
        </w:rPr>
        <w:t>23.1</w:t>
      </w:r>
      <w:r>
        <w:rPr>
          <w:rFonts w:hint="eastAsia" w:ascii="Times New Roman" w:hAnsi="Times New Roman"/>
          <w:color w:val="auto"/>
          <w:highlight w:val="none"/>
        </w:rPr>
        <w:t>款的约定，要求延长工期及增加费用。监理人收到此类要求后，应在分析上述外界障碍或自然条件是否不可预见及不可预见程度的基础上，按照通用合同条款第15条的约定办理。</w:t>
      </w:r>
    </w:p>
    <w:p w14:paraId="0E4CB5F7">
      <w:pPr>
        <w:pStyle w:val="5"/>
        <w:spacing w:line="360" w:lineRule="auto"/>
        <w:rPr>
          <w:color w:val="auto"/>
          <w:highlight w:val="none"/>
        </w:rPr>
      </w:pPr>
      <w:bookmarkStart w:id="351" w:name="bookmark1042"/>
      <w:bookmarkEnd w:id="351"/>
      <w:bookmarkStart w:id="352" w:name="_Toc461351055"/>
      <w:bookmarkStart w:id="353" w:name="bookmark1040"/>
      <w:bookmarkStart w:id="354" w:name="bookmark1043"/>
      <w:bookmarkStart w:id="355" w:name="_Toc2848"/>
      <w:bookmarkStart w:id="356" w:name="bookmark1041"/>
      <w:bookmarkStart w:id="357" w:name="_Toc25230"/>
      <w:bookmarkStart w:id="358" w:name="_Toc147350609"/>
      <w:r>
        <w:rPr>
          <w:rFonts w:hint="eastAsia"/>
          <w:color w:val="auto"/>
          <w:highlight w:val="none"/>
        </w:rPr>
        <w:t>5.材料和工程设备</w:t>
      </w:r>
      <w:bookmarkEnd w:id="352"/>
      <w:bookmarkEnd w:id="353"/>
      <w:bookmarkEnd w:id="354"/>
      <w:bookmarkEnd w:id="355"/>
      <w:bookmarkEnd w:id="356"/>
      <w:bookmarkEnd w:id="357"/>
      <w:bookmarkEnd w:id="358"/>
    </w:p>
    <w:p w14:paraId="2FED803A">
      <w:pPr>
        <w:spacing w:line="360" w:lineRule="auto"/>
        <w:rPr>
          <w:color w:val="auto"/>
          <w:highlight w:val="none"/>
        </w:rPr>
      </w:pPr>
      <w:bookmarkStart w:id="359" w:name="bookmark1045"/>
      <w:bookmarkStart w:id="360" w:name="bookmark1046"/>
      <w:bookmarkStart w:id="361" w:name="_Toc5421"/>
      <w:bookmarkStart w:id="362" w:name="bookmark1044"/>
      <w:r>
        <w:rPr>
          <w:color w:val="auto"/>
          <w:highlight w:val="none"/>
        </w:rPr>
        <w:t>5.1承包人提供的材料和工程设备</w:t>
      </w:r>
      <w:bookmarkEnd w:id="359"/>
      <w:bookmarkEnd w:id="360"/>
      <w:bookmarkEnd w:id="361"/>
      <w:bookmarkEnd w:id="362"/>
    </w:p>
    <w:p w14:paraId="455CED16">
      <w:pPr>
        <w:pStyle w:val="523"/>
        <w:ind w:firstLine="420"/>
        <w:rPr>
          <w:rFonts w:ascii="Times New Roman" w:hAnsi="Times New Roman"/>
          <w:color w:val="auto"/>
          <w:highlight w:val="none"/>
          <w:lang w:val="en-US" w:bidi="en-US"/>
        </w:rPr>
      </w:pPr>
      <w:bookmarkStart w:id="363" w:name="bookmark1047"/>
      <w:bookmarkEnd w:id="363"/>
      <w:r>
        <w:rPr>
          <w:rFonts w:hint="eastAsia" w:ascii="Times New Roman" w:hAnsi="Times New Roman"/>
          <w:color w:val="auto"/>
          <w:highlight w:val="none"/>
          <w:lang w:val="en-US" w:bidi="en-US"/>
        </w:rPr>
        <w:t>5.1.1除第5.2款约定由发包人提供的材料和工程设备外，承包人负责采购、运输和保管完成本合同工作所需的材料和工程设备。承包人应对其采购的材料和工程设备负责。</w:t>
      </w:r>
    </w:p>
    <w:p w14:paraId="190051CA">
      <w:pPr>
        <w:pStyle w:val="523"/>
        <w:ind w:firstLine="420"/>
        <w:rPr>
          <w:rFonts w:ascii="Times New Roman" w:hAnsi="Times New Roman"/>
          <w:color w:val="auto"/>
          <w:highlight w:val="none"/>
          <w:lang w:val="en-US" w:bidi="en-US"/>
        </w:rPr>
      </w:pPr>
      <w:r>
        <w:rPr>
          <w:rFonts w:hint="eastAsia" w:ascii="Times New Roman" w:hAnsi="Times New Roman"/>
          <w:color w:val="auto"/>
          <w:highlight w:val="none"/>
          <w:lang w:val="en-US" w:bidi="en-US"/>
        </w:rPr>
        <w:t>5.1.2承包人应按专用合同条款的约定，将各项材料和工程设备的供货人及品种、规格、数量和供货时间等报送监理人审批。承包人应向监理人提交其负责提供的材料和工程 设备的质量证明文件，并满足合同约定的质量标准。</w:t>
      </w:r>
    </w:p>
    <w:p w14:paraId="3C4E8255">
      <w:pPr>
        <w:pStyle w:val="523"/>
        <w:ind w:firstLine="420"/>
        <w:rPr>
          <w:rFonts w:ascii="Times New Roman" w:hAnsi="Times New Roman"/>
          <w:color w:val="auto"/>
          <w:highlight w:val="none"/>
          <w:lang w:val="en-US" w:bidi="en-US"/>
        </w:rPr>
      </w:pPr>
      <w:r>
        <w:rPr>
          <w:rFonts w:hint="eastAsia" w:ascii="Times New Roman" w:hAnsi="Times New Roman"/>
          <w:color w:val="auto"/>
          <w:highlight w:val="none"/>
          <w:lang w:val="en-US" w:bidi="en-US"/>
        </w:rPr>
        <w:t>5.1.3对承包人提供的材料和工程设备，承包人应会同监理人进行检验和交货验收,查验材料合格证明和产品合格证书，并按合同约定和监理人指示，进行材料的抽样检验和工程设备的检验测试，检验和测试结果应提交监理人，所需费用由承包人承担。</w:t>
      </w:r>
    </w:p>
    <w:p w14:paraId="2AEAC974">
      <w:pPr>
        <w:spacing w:line="360" w:lineRule="auto"/>
        <w:rPr>
          <w:color w:val="auto"/>
          <w:highlight w:val="none"/>
        </w:rPr>
      </w:pPr>
      <w:bookmarkStart w:id="364" w:name="_Toc18208"/>
      <w:bookmarkStart w:id="365" w:name="bookmark1049"/>
      <w:bookmarkStart w:id="366" w:name="bookmark1050"/>
      <w:bookmarkStart w:id="367" w:name="bookmark1048"/>
      <w:r>
        <w:rPr>
          <w:color w:val="auto"/>
          <w:highlight w:val="none"/>
        </w:rPr>
        <w:t>5.2发包人提供的材料和工程设备</w:t>
      </w:r>
      <w:bookmarkEnd w:id="364"/>
      <w:bookmarkEnd w:id="365"/>
      <w:bookmarkEnd w:id="366"/>
      <w:bookmarkEnd w:id="367"/>
    </w:p>
    <w:p w14:paraId="0C3F2110">
      <w:pPr>
        <w:pStyle w:val="523"/>
        <w:ind w:firstLine="420"/>
        <w:rPr>
          <w:rFonts w:ascii="Times New Roman" w:hAnsi="Times New Roman"/>
          <w:color w:val="auto"/>
          <w:highlight w:val="none"/>
        </w:rPr>
      </w:pPr>
      <w:bookmarkStart w:id="368" w:name="bookmark1051"/>
      <w:bookmarkEnd w:id="368"/>
      <w:r>
        <w:rPr>
          <w:rFonts w:hint="eastAsia" w:ascii="Times New Roman" w:hAnsi="Times New Roman"/>
          <w:color w:val="auto"/>
          <w:highlight w:val="none"/>
        </w:rPr>
        <w:t>5.2.1发包人提供的材料和工程设备，应在专用合同条款中写明材料和工程设备的名称、规格、数量、价格、交货方式、交货地点和计划交货日期等。</w:t>
      </w:r>
    </w:p>
    <w:p w14:paraId="6CE425F2">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5.2.2</w:t>
      </w:r>
      <w:r>
        <w:rPr>
          <w:rFonts w:hint="eastAsia" w:ascii="Times New Roman" w:hAnsi="Times New Roman"/>
          <w:color w:val="auto"/>
          <w:highlight w:val="none"/>
        </w:rPr>
        <w:t>承包人应根据合同进度计划的安排，向监理人报送要求发包人交货的日期计划。发包人应按照监理人与合同双方当事人商定的交货日期，向承包人提交材料和工程设备。</w:t>
      </w:r>
    </w:p>
    <w:p w14:paraId="0790AB88">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5.2.3</w:t>
      </w:r>
      <w:r>
        <w:rPr>
          <w:rFonts w:hint="eastAsia" w:ascii="Times New Roman" w:hAnsi="Times New Roman"/>
          <w:color w:val="auto"/>
          <w:highlight w:val="none"/>
        </w:rPr>
        <w:t>发包人应在材料和工程设备到货7天前通知承包人，承包人应会同监理人在约定的时间内，赴交货地点共同进行验收。发包人提供的材料和工程设备运至交货地点验收后，由承包人负责接收、卸货、运输和保管。</w:t>
      </w:r>
    </w:p>
    <w:p w14:paraId="54112233">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5. 2.4</w:t>
      </w:r>
      <w:r>
        <w:rPr>
          <w:rFonts w:hint="eastAsia" w:ascii="Times New Roman" w:hAnsi="Times New Roman"/>
          <w:color w:val="auto"/>
          <w:highlight w:val="none"/>
        </w:rPr>
        <w:t>发包人要求向承包人提前交货的，承包人不得拒绝，但发包人应承担承包人由此增加的费用。</w:t>
      </w:r>
    </w:p>
    <w:p w14:paraId="3059D54C">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5.2.5</w:t>
      </w:r>
      <w:r>
        <w:rPr>
          <w:rFonts w:hint="eastAsia" w:ascii="Times New Roman" w:hAnsi="Times New Roman"/>
          <w:color w:val="auto"/>
          <w:highlight w:val="none"/>
        </w:rPr>
        <w:t>承包人要求更改交货日期或地点的，应事先报请监理人批准。由于承包人要求更改交货时间或地点所增加的费用和（或）工期延误由承包人承担。</w:t>
      </w:r>
    </w:p>
    <w:p w14:paraId="01588520">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5.2.6</w:t>
      </w:r>
      <w:r>
        <w:rPr>
          <w:rFonts w:hint="eastAsia" w:ascii="Times New Roman" w:hAnsi="Times New Roman"/>
          <w:color w:val="auto"/>
          <w:highlight w:val="none"/>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3BF7DF29">
      <w:pPr>
        <w:spacing w:line="360" w:lineRule="auto"/>
        <w:rPr>
          <w:color w:val="auto"/>
          <w:highlight w:val="none"/>
        </w:rPr>
      </w:pPr>
      <w:bookmarkStart w:id="369" w:name="bookmark1052"/>
      <w:bookmarkStart w:id="370" w:name="_Toc17795"/>
      <w:bookmarkStart w:id="371" w:name="bookmark1054"/>
      <w:bookmarkStart w:id="372" w:name="bookmark1053"/>
      <w:r>
        <w:rPr>
          <w:color w:val="auto"/>
          <w:highlight w:val="none"/>
        </w:rPr>
        <w:t>5.3材料和工程设备专用于合同工程</w:t>
      </w:r>
      <w:bookmarkEnd w:id="369"/>
      <w:bookmarkEnd w:id="370"/>
      <w:bookmarkEnd w:id="371"/>
      <w:bookmarkEnd w:id="372"/>
    </w:p>
    <w:p w14:paraId="2F390D20">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5.3.1</w:t>
      </w:r>
      <w:r>
        <w:rPr>
          <w:rFonts w:hint="eastAsia" w:ascii="Times New Roman" w:hAnsi="Times New Roman"/>
          <w:color w:val="auto"/>
          <w:highlight w:val="none"/>
        </w:rPr>
        <w:t>运入施工场地的材料、工程设备，包括备品备件、安装专用工器具与随机资料，必须专用于合同工程，未经监理人同意，承包人不得运出施工场地或挪作他用。</w:t>
      </w:r>
    </w:p>
    <w:p w14:paraId="3AB952C7">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5.3.2</w:t>
      </w:r>
      <w:r>
        <w:rPr>
          <w:rFonts w:hint="eastAsia" w:ascii="Times New Roman" w:hAnsi="Times New Roman"/>
          <w:color w:val="auto"/>
          <w:highlight w:val="none"/>
        </w:rPr>
        <w:t>随同工程设备运入施工场地的备品备件、专用工器具与随机资料，应由承包人会同监理人按供货人的装箱单清点后共同封存，未经监理人同意不得启用。承包人因合同工作需要使用上述物品时，应向监理人提出申请。</w:t>
      </w:r>
    </w:p>
    <w:p w14:paraId="72A96113">
      <w:pPr>
        <w:spacing w:line="360" w:lineRule="auto"/>
        <w:rPr>
          <w:color w:val="auto"/>
          <w:highlight w:val="none"/>
        </w:rPr>
      </w:pPr>
      <w:bookmarkStart w:id="373" w:name="bookmark1057"/>
      <w:bookmarkStart w:id="374" w:name="_Toc30864"/>
      <w:bookmarkStart w:id="375" w:name="bookmark1055"/>
      <w:bookmarkStart w:id="376" w:name="bookmark1056"/>
      <w:r>
        <w:rPr>
          <w:color w:val="auto"/>
          <w:highlight w:val="none"/>
        </w:rPr>
        <w:t>5.4禁止使用不合格的材料和工程设备</w:t>
      </w:r>
      <w:bookmarkEnd w:id="373"/>
      <w:bookmarkEnd w:id="374"/>
      <w:bookmarkEnd w:id="375"/>
      <w:bookmarkEnd w:id="376"/>
    </w:p>
    <w:p w14:paraId="66FE0C5D">
      <w:pPr>
        <w:pStyle w:val="523"/>
        <w:ind w:firstLine="420"/>
        <w:rPr>
          <w:rFonts w:ascii="Times New Roman" w:hAnsi="Times New Roman"/>
          <w:color w:val="auto"/>
          <w:highlight w:val="none"/>
        </w:rPr>
      </w:pPr>
      <w:bookmarkStart w:id="377" w:name="bookmark1058"/>
      <w:bookmarkEnd w:id="377"/>
      <w:r>
        <w:rPr>
          <w:rFonts w:hint="eastAsia" w:ascii="Times New Roman" w:hAnsi="Times New Roman"/>
          <w:color w:val="auto"/>
          <w:highlight w:val="none"/>
        </w:rPr>
        <w:t>5.4.1监理人有权拒绝承包人提供的不合格材料或工程设备，并要求承包人立即进行更换。监理人应在更换后再次进行检查和检验，由此增加的费用和（或）工期延误由承包 人承担。</w:t>
      </w:r>
    </w:p>
    <w:p w14:paraId="3B2D2C5E">
      <w:pPr>
        <w:pStyle w:val="523"/>
        <w:ind w:firstLine="420"/>
        <w:rPr>
          <w:rFonts w:ascii="Times New Roman" w:hAnsi="Times New Roman"/>
          <w:color w:val="auto"/>
          <w:highlight w:val="none"/>
        </w:rPr>
      </w:pPr>
      <w:bookmarkStart w:id="378" w:name="bookmark1059"/>
      <w:bookmarkEnd w:id="378"/>
      <w:r>
        <w:rPr>
          <w:rFonts w:hint="eastAsia" w:ascii="Times New Roman" w:hAnsi="Times New Roman"/>
          <w:color w:val="auto"/>
          <w:highlight w:val="none"/>
        </w:rPr>
        <w:t>5.4.2监理人发现承包人使用了不合格的材料和工程设备，应即时发出指示要求承包人立即改正，并禁止在工程中继续使用不合格的材料和工程设备。</w:t>
      </w:r>
    </w:p>
    <w:p w14:paraId="4F0BF128">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5.4.3</w:t>
      </w:r>
      <w:r>
        <w:rPr>
          <w:rFonts w:hint="eastAsia" w:ascii="Times New Roman" w:hAnsi="Times New Roman"/>
          <w:color w:val="auto"/>
          <w:highlight w:val="none"/>
        </w:rPr>
        <w:t>发包人提供的材料或工程设备不符合合同要求的，承包人有权拒绝，并可要求发包人更换，由此增加的费用和（或）工期延误由发包人承担。</w:t>
      </w:r>
    </w:p>
    <w:p w14:paraId="182F71A9">
      <w:pPr>
        <w:pStyle w:val="5"/>
        <w:spacing w:line="360" w:lineRule="auto"/>
        <w:rPr>
          <w:color w:val="auto"/>
          <w:sz w:val="21"/>
          <w:szCs w:val="21"/>
          <w:highlight w:val="none"/>
        </w:rPr>
      </w:pPr>
      <w:bookmarkStart w:id="379" w:name="bookmark1062"/>
      <w:bookmarkEnd w:id="379"/>
      <w:bookmarkStart w:id="380" w:name="bookmark1063"/>
      <w:bookmarkStart w:id="381" w:name="_Toc21496"/>
      <w:bookmarkStart w:id="382" w:name="bookmark1060"/>
      <w:bookmarkStart w:id="383" w:name="_Toc16575"/>
      <w:bookmarkStart w:id="384" w:name="bookmark1061"/>
      <w:bookmarkStart w:id="385" w:name="_Toc419089557"/>
      <w:bookmarkStart w:id="386" w:name="_Toc147350610"/>
      <w:r>
        <w:rPr>
          <w:rFonts w:hint="eastAsia"/>
          <w:color w:val="auto"/>
          <w:sz w:val="21"/>
          <w:szCs w:val="21"/>
          <w:highlight w:val="none"/>
        </w:rPr>
        <w:t>6.施工设备和临时设施</w:t>
      </w:r>
      <w:bookmarkEnd w:id="380"/>
      <w:bookmarkEnd w:id="381"/>
      <w:bookmarkEnd w:id="382"/>
      <w:bookmarkEnd w:id="383"/>
      <w:bookmarkEnd w:id="384"/>
      <w:bookmarkEnd w:id="385"/>
      <w:bookmarkEnd w:id="386"/>
    </w:p>
    <w:p w14:paraId="6F2829F9">
      <w:pPr>
        <w:spacing w:line="360" w:lineRule="auto"/>
        <w:rPr>
          <w:color w:val="auto"/>
          <w:highlight w:val="none"/>
        </w:rPr>
      </w:pPr>
      <w:bookmarkStart w:id="387" w:name="_Toc9863"/>
      <w:bookmarkStart w:id="388" w:name="bookmark1064"/>
      <w:bookmarkStart w:id="389" w:name="bookmark1066"/>
      <w:bookmarkStart w:id="390" w:name="bookmark1065"/>
      <w:r>
        <w:rPr>
          <w:color w:val="auto"/>
          <w:sz w:val="21"/>
          <w:szCs w:val="21"/>
          <w:highlight w:val="none"/>
        </w:rPr>
        <w:t>6.1承包人提供的施工设备和临时设</w:t>
      </w:r>
      <w:r>
        <w:rPr>
          <w:color w:val="auto"/>
          <w:highlight w:val="none"/>
        </w:rPr>
        <w:t>施</w:t>
      </w:r>
      <w:bookmarkEnd w:id="387"/>
      <w:bookmarkEnd w:id="388"/>
      <w:bookmarkEnd w:id="389"/>
      <w:bookmarkEnd w:id="390"/>
    </w:p>
    <w:p w14:paraId="72DF1D88">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6.1.1</w:t>
      </w:r>
      <w:r>
        <w:rPr>
          <w:rFonts w:hint="eastAsia" w:ascii="Times New Roman" w:hAnsi="Times New Roman"/>
          <w:color w:val="auto"/>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747CCFC8">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6.1.2</w:t>
      </w:r>
      <w:r>
        <w:rPr>
          <w:rFonts w:hint="eastAsia" w:ascii="Times New Roman" w:hAnsi="Times New Roman"/>
          <w:color w:val="auto"/>
          <w:highlight w:val="none"/>
        </w:rPr>
        <w:t>除专用合同条款另有约定外，承包人应自行承担修建临时设施的费用，需要临时占地的，应由发包人办理申请手续并承担相应费用。</w:t>
      </w:r>
    </w:p>
    <w:p w14:paraId="733C22B7">
      <w:pPr>
        <w:spacing w:line="360" w:lineRule="auto"/>
        <w:rPr>
          <w:color w:val="auto"/>
          <w:highlight w:val="none"/>
        </w:rPr>
      </w:pPr>
      <w:bookmarkStart w:id="391" w:name="bookmark1067"/>
      <w:bookmarkStart w:id="392" w:name="_Toc31030"/>
      <w:bookmarkStart w:id="393" w:name="bookmark1068"/>
      <w:bookmarkStart w:id="394" w:name="bookmark1069"/>
      <w:r>
        <w:rPr>
          <w:color w:val="auto"/>
          <w:highlight w:val="none"/>
        </w:rPr>
        <w:t>6.2发包人提供的施工设备和临时设施</w:t>
      </w:r>
      <w:bookmarkEnd w:id="391"/>
      <w:bookmarkEnd w:id="392"/>
      <w:bookmarkEnd w:id="393"/>
      <w:bookmarkEnd w:id="394"/>
    </w:p>
    <w:p w14:paraId="650CB872">
      <w:pPr>
        <w:pStyle w:val="523"/>
        <w:ind w:firstLine="420"/>
        <w:rPr>
          <w:rFonts w:ascii="Times New Roman" w:hAnsi="Times New Roman"/>
          <w:color w:val="auto"/>
          <w:highlight w:val="none"/>
        </w:rPr>
      </w:pPr>
      <w:r>
        <w:rPr>
          <w:rFonts w:hint="eastAsia" w:ascii="Times New Roman" w:hAnsi="Times New Roman"/>
          <w:color w:val="auto"/>
          <w:highlight w:val="none"/>
        </w:rPr>
        <w:t>发包人提供的施工设备或临时设施在专用合同条款中约定。</w:t>
      </w:r>
    </w:p>
    <w:p w14:paraId="340CD1E5">
      <w:pPr>
        <w:spacing w:line="360" w:lineRule="auto"/>
        <w:rPr>
          <w:color w:val="auto"/>
          <w:highlight w:val="none"/>
        </w:rPr>
      </w:pPr>
      <w:bookmarkStart w:id="395" w:name="bookmark1070"/>
      <w:bookmarkStart w:id="396" w:name="bookmark1072"/>
      <w:bookmarkStart w:id="397" w:name="_Toc30722"/>
      <w:bookmarkStart w:id="398" w:name="bookmark1071"/>
      <w:r>
        <w:rPr>
          <w:color w:val="auto"/>
          <w:highlight w:val="none"/>
        </w:rPr>
        <w:t>6.3要求承包人增加或更换施工设备</w:t>
      </w:r>
      <w:bookmarkEnd w:id="395"/>
      <w:bookmarkEnd w:id="396"/>
      <w:bookmarkEnd w:id="397"/>
      <w:bookmarkEnd w:id="398"/>
    </w:p>
    <w:p w14:paraId="6ADD07EB">
      <w:pPr>
        <w:pStyle w:val="523"/>
        <w:ind w:firstLine="420"/>
        <w:rPr>
          <w:rFonts w:ascii="Times New Roman" w:hAnsi="Times New Roman"/>
          <w:color w:val="auto"/>
          <w:highlight w:val="none"/>
        </w:rPr>
      </w:pPr>
      <w:r>
        <w:rPr>
          <w:rFonts w:hint="eastAsia" w:ascii="Times New Roman" w:hAnsi="Times New Roman"/>
          <w:color w:val="auto"/>
          <w:highlight w:val="none"/>
        </w:rPr>
        <w:t>承包人使用的施工设备不能满足合同进度计划和（或）质量要求时，监理人有权要求承包人增加或更换施工设备，承包人应及时增加或更换，由此增加的费用和（或）工期延误由承包人承担。</w:t>
      </w:r>
    </w:p>
    <w:p w14:paraId="3C85B862">
      <w:pPr>
        <w:spacing w:line="360" w:lineRule="auto"/>
        <w:rPr>
          <w:color w:val="auto"/>
          <w:highlight w:val="none"/>
        </w:rPr>
      </w:pPr>
      <w:bookmarkStart w:id="399" w:name="bookmark1075"/>
      <w:bookmarkStart w:id="400" w:name="bookmark1074"/>
      <w:bookmarkStart w:id="401" w:name="_Toc21826"/>
      <w:bookmarkStart w:id="402" w:name="bookmark1073"/>
      <w:r>
        <w:rPr>
          <w:color w:val="auto"/>
          <w:highlight w:val="none"/>
        </w:rPr>
        <w:t>6.4施工设备和临时设施专用于合同工程</w:t>
      </w:r>
      <w:bookmarkEnd w:id="399"/>
      <w:bookmarkEnd w:id="400"/>
      <w:bookmarkEnd w:id="401"/>
      <w:bookmarkEnd w:id="402"/>
    </w:p>
    <w:p w14:paraId="70FF64BC">
      <w:pPr>
        <w:pStyle w:val="523"/>
        <w:ind w:firstLine="420"/>
        <w:rPr>
          <w:rFonts w:ascii="Times New Roman" w:hAnsi="Times New Roman"/>
          <w:color w:val="auto"/>
          <w:highlight w:val="none"/>
        </w:rPr>
      </w:pPr>
      <w:bookmarkStart w:id="403" w:name="bookmark1076"/>
      <w:bookmarkEnd w:id="403"/>
      <w:r>
        <w:rPr>
          <w:rFonts w:hint="eastAsia" w:ascii="Times New Roman" w:hAnsi="Times New Roman"/>
          <w:color w:val="auto"/>
          <w:highlight w:val="none"/>
        </w:rPr>
        <w:t>6.4.1除合同另有约定外，运入施工场地的所有施工设备以及在施工场地建设的临时设施应专用于合同工程。未经监理人同意，不得将上述施工设备和临时设施中的任何部分运出施工场地或挪作他用。</w:t>
      </w:r>
    </w:p>
    <w:p w14:paraId="10C87809">
      <w:pPr>
        <w:pStyle w:val="523"/>
        <w:tabs>
          <w:tab w:val="left" w:pos="754"/>
        </w:tabs>
        <w:ind w:left="420" w:firstLine="0"/>
        <w:rPr>
          <w:rFonts w:ascii="Times New Roman" w:hAnsi="Times New Roman"/>
          <w:color w:val="auto"/>
          <w:sz w:val="21"/>
          <w:szCs w:val="21"/>
          <w:highlight w:val="none"/>
        </w:rPr>
      </w:pPr>
      <w:bookmarkStart w:id="404" w:name="bookmark1077"/>
      <w:bookmarkEnd w:id="404"/>
      <w:r>
        <w:rPr>
          <w:rFonts w:hint="eastAsia" w:ascii="Times New Roman" w:hAnsi="Times New Roman"/>
          <w:color w:val="auto"/>
          <w:highlight w:val="none"/>
          <w:lang w:val="en-US" w:bidi="en-US"/>
        </w:rPr>
        <w:t>6</w:t>
      </w:r>
      <w:r>
        <w:rPr>
          <w:rFonts w:hint="eastAsia" w:ascii="Times New Roman" w:hAnsi="Times New Roman"/>
          <w:color w:val="auto"/>
          <w:sz w:val="21"/>
          <w:szCs w:val="21"/>
          <w:highlight w:val="none"/>
          <w:lang w:val="en-US" w:bidi="en-US"/>
        </w:rPr>
        <w:t>.4.2</w:t>
      </w:r>
      <w:r>
        <w:rPr>
          <w:rFonts w:hint="eastAsia" w:ascii="Times New Roman" w:hAnsi="Times New Roman"/>
          <w:color w:val="auto"/>
          <w:sz w:val="21"/>
          <w:szCs w:val="21"/>
          <w:highlight w:val="none"/>
        </w:rPr>
        <w:t>经监理人同意，承包人可根据合同进度计划撤走闲置的施工设备。</w:t>
      </w:r>
    </w:p>
    <w:p w14:paraId="75B1AEEF">
      <w:pPr>
        <w:pStyle w:val="5"/>
        <w:spacing w:line="360" w:lineRule="auto"/>
        <w:rPr>
          <w:color w:val="auto"/>
          <w:sz w:val="21"/>
          <w:szCs w:val="21"/>
          <w:highlight w:val="none"/>
        </w:rPr>
      </w:pPr>
      <w:bookmarkStart w:id="405" w:name="bookmark1080"/>
      <w:bookmarkEnd w:id="405"/>
      <w:bookmarkStart w:id="406" w:name="_Toc13833"/>
      <w:bookmarkStart w:id="407" w:name="bookmark1081"/>
      <w:bookmarkStart w:id="408" w:name="_Toc147350611"/>
      <w:bookmarkStart w:id="409" w:name="bookmark1078"/>
      <w:bookmarkStart w:id="410" w:name="bookmark1079"/>
      <w:bookmarkStart w:id="411" w:name="_Toc3776"/>
      <w:bookmarkStart w:id="412" w:name="_Toc1367431728"/>
      <w:r>
        <w:rPr>
          <w:rFonts w:hint="eastAsia"/>
          <w:color w:val="auto"/>
          <w:sz w:val="21"/>
          <w:szCs w:val="21"/>
          <w:highlight w:val="none"/>
        </w:rPr>
        <w:t>7.交通运输</w:t>
      </w:r>
      <w:bookmarkEnd w:id="406"/>
      <w:bookmarkEnd w:id="407"/>
      <w:bookmarkEnd w:id="408"/>
      <w:bookmarkEnd w:id="409"/>
      <w:bookmarkEnd w:id="410"/>
      <w:bookmarkEnd w:id="411"/>
      <w:bookmarkEnd w:id="412"/>
    </w:p>
    <w:p w14:paraId="3C90F379">
      <w:pPr>
        <w:spacing w:line="360" w:lineRule="auto"/>
        <w:rPr>
          <w:color w:val="auto"/>
          <w:highlight w:val="none"/>
        </w:rPr>
      </w:pPr>
      <w:bookmarkStart w:id="413" w:name="bookmark1083"/>
      <w:bookmarkStart w:id="414" w:name="bookmark1082"/>
      <w:bookmarkStart w:id="415" w:name="bookmark1084"/>
      <w:bookmarkStart w:id="416" w:name="_Toc22987"/>
      <w:bookmarkStart w:id="417" w:name="bookmark1086"/>
      <w:bookmarkStart w:id="418" w:name="bookmark1087"/>
      <w:bookmarkStart w:id="419" w:name="_Toc19760"/>
      <w:bookmarkStart w:id="420" w:name="bookmark1085"/>
      <w:r>
        <w:rPr>
          <w:color w:val="auto"/>
          <w:sz w:val="21"/>
          <w:szCs w:val="21"/>
          <w:highlight w:val="none"/>
        </w:rPr>
        <w:t>7.1道路通</w:t>
      </w:r>
      <w:r>
        <w:rPr>
          <w:color w:val="auto"/>
          <w:highlight w:val="none"/>
        </w:rPr>
        <w:t>行权和场外设施</w:t>
      </w:r>
      <w:bookmarkEnd w:id="413"/>
      <w:bookmarkEnd w:id="414"/>
      <w:bookmarkEnd w:id="415"/>
      <w:bookmarkEnd w:id="416"/>
    </w:p>
    <w:p w14:paraId="1FD92B1F">
      <w:pPr>
        <w:pStyle w:val="523"/>
        <w:ind w:firstLine="420"/>
        <w:rPr>
          <w:rFonts w:ascii="Times New Roman" w:hAnsi="Times New Roman"/>
          <w:color w:val="auto"/>
          <w:highlight w:val="none"/>
        </w:rPr>
      </w:pPr>
      <w:r>
        <w:rPr>
          <w:rFonts w:hint="eastAsia" w:ascii="Times New Roman" w:hAnsi="Times New Roman"/>
          <w:color w:val="auto"/>
          <w:highlight w:val="none"/>
        </w:rPr>
        <w:t>除专用合同条款另有约定外，承包人应根据合同工程的施工需要，负责办理取得出入施工场地的专用和临时道路的通行权，以及取得为工程建设所需修建场外设施的权利，并承担相关费用。发包人应协助承包人办理上述手续。</w:t>
      </w:r>
    </w:p>
    <w:p w14:paraId="695806A5">
      <w:pPr>
        <w:spacing w:line="360" w:lineRule="auto"/>
        <w:rPr>
          <w:color w:val="auto"/>
          <w:highlight w:val="none"/>
        </w:rPr>
      </w:pPr>
      <w:r>
        <w:rPr>
          <w:color w:val="auto"/>
          <w:highlight w:val="none"/>
        </w:rPr>
        <w:t>7.2场内施工道路</w:t>
      </w:r>
      <w:bookmarkEnd w:id="417"/>
      <w:bookmarkEnd w:id="418"/>
      <w:bookmarkEnd w:id="419"/>
      <w:bookmarkEnd w:id="420"/>
    </w:p>
    <w:p w14:paraId="7103E598">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7.2.1</w:t>
      </w:r>
      <w:r>
        <w:rPr>
          <w:rFonts w:hint="eastAsia" w:ascii="Times New Roman" w:hAnsi="Times New Roman"/>
          <w:color w:val="auto"/>
          <w:highlight w:val="none"/>
        </w:rPr>
        <w:t>除本合同约定由发包人提供的部分道路和交通设施外，承包人应负责修建、维 修、养护和管理其施工所需的全部临时道路和交通设施（包括合同约定由发包人提供的部 分道路和交通设施维修、养护和管理），并承担相应费用。</w:t>
      </w:r>
    </w:p>
    <w:p w14:paraId="3D8BE983">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7.2.2</w:t>
      </w:r>
      <w:r>
        <w:rPr>
          <w:rFonts w:hint="eastAsia" w:ascii="Times New Roman" w:hAnsi="Times New Roman"/>
          <w:color w:val="auto"/>
          <w:highlight w:val="none"/>
        </w:rPr>
        <w:t>承包人修建的临时道路和交通设施，应免费提供发包人、监理人，以及与本合 同有关的其他承包人使用。</w:t>
      </w:r>
    </w:p>
    <w:p w14:paraId="3B8A12A5">
      <w:pPr>
        <w:spacing w:line="360" w:lineRule="auto"/>
        <w:rPr>
          <w:color w:val="auto"/>
          <w:highlight w:val="none"/>
        </w:rPr>
      </w:pPr>
      <w:bookmarkStart w:id="421" w:name="bookmark1088"/>
      <w:bookmarkStart w:id="422" w:name="bookmark1089"/>
      <w:bookmarkStart w:id="423" w:name="_Toc1077"/>
      <w:bookmarkStart w:id="424" w:name="bookmark1090"/>
      <w:r>
        <w:rPr>
          <w:color w:val="auto"/>
          <w:highlight w:val="none"/>
        </w:rPr>
        <w:t>7.3场外交通</w:t>
      </w:r>
      <w:bookmarkEnd w:id="421"/>
      <w:bookmarkEnd w:id="422"/>
      <w:bookmarkEnd w:id="423"/>
      <w:bookmarkEnd w:id="424"/>
    </w:p>
    <w:p w14:paraId="3AFA056E">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7.3.1</w:t>
      </w:r>
      <w:r>
        <w:rPr>
          <w:rFonts w:hint="eastAsia" w:ascii="Times New Roman" w:hAnsi="Times New Roman"/>
          <w:color w:val="auto"/>
          <w:highlight w:val="none"/>
        </w:rPr>
        <w:t>承包人车辆外出行驶所需的场外公共道路的通行费、养路费和税款等由承包人承担。</w:t>
      </w:r>
    </w:p>
    <w:p w14:paraId="24AF1D5C">
      <w:pPr>
        <w:pStyle w:val="523"/>
        <w:ind w:firstLine="420"/>
        <w:rPr>
          <w:rFonts w:ascii="Times New Roman" w:hAnsi="Times New Roman"/>
          <w:color w:val="auto"/>
          <w:highlight w:val="none"/>
        </w:rPr>
      </w:pPr>
      <w:r>
        <w:rPr>
          <w:rFonts w:hint="eastAsia" w:ascii="Times New Roman" w:hAnsi="Times New Roman"/>
          <w:color w:val="auto"/>
          <w:highlight w:val="none"/>
          <w:lang w:val="en-US"/>
        </w:rPr>
        <w:t>7.3.2</w:t>
      </w:r>
      <w:r>
        <w:rPr>
          <w:rFonts w:hint="eastAsia" w:ascii="Times New Roman" w:hAnsi="Times New Roman"/>
          <w:color w:val="auto"/>
          <w:highlight w:val="none"/>
        </w:rPr>
        <w:t>承包人应遵守有关交通法规，严格按照道路和桥梁的限制荷重安全行驶，并服从交通管理部门的检查和监督</w:t>
      </w:r>
      <w:r>
        <w:rPr>
          <w:rFonts w:hint="eastAsia" w:ascii="Times New Roman" w:hAnsi="Times New Roman"/>
          <w:color w:val="auto"/>
          <w:highlight w:val="none"/>
          <w:lang w:val="en-US"/>
        </w:rPr>
        <w:t>。</w:t>
      </w:r>
    </w:p>
    <w:p w14:paraId="6D062870">
      <w:pPr>
        <w:spacing w:line="360" w:lineRule="auto"/>
        <w:rPr>
          <w:color w:val="auto"/>
          <w:highlight w:val="none"/>
        </w:rPr>
      </w:pPr>
      <w:bookmarkStart w:id="425" w:name="bookmark1093"/>
      <w:bookmarkStart w:id="426" w:name="bookmark1091"/>
      <w:bookmarkStart w:id="427" w:name="bookmark1092"/>
      <w:bookmarkStart w:id="428" w:name="_Toc25595"/>
      <w:r>
        <w:rPr>
          <w:color w:val="auto"/>
          <w:highlight w:val="none"/>
        </w:rPr>
        <w:t>7.4超大件和超重件的运输</w:t>
      </w:r>
      <w:bookmarkEnd w:id="425"/>
      <w:bookmarkEnd w:id="426"/>
      <w:bookmarkEnd w:id="427"/>
      <w:bookmarkEnd w:id="428"/>
    </w:p>
    <w:p w14:paraId="204A3E9C">
      <w:pPr>
        <w:pStyle w:val="523"/>
        <w:ind w:firstLine="440"/>
        <w:rPr>
          <w:rFonts w:ascii="Times New Roman" w:hAnsi="Times New Roman"/>
          <w:color w:val="auto"/>
          <w:highlight w:val="none"/>
        </w:rPr>
      </w:pPr>
      <w:r>
        <w:rPr>
          <w:rFonts w:hint="eastAsia" w:ascii="Times New Roman" w:hAnsi="Times New Roman"/>
          <w:color w:val="auto"/>
          <w:highlight w:val="none"/>
        </w:rPr>
        <w:t>由承包人负责运输的超大件或超重件，应由承包人负责向交通管理部门办理申请手续, 发包人给予协助。运输超大件或超重件所需的道路和桥梁临时加固改造费用和其他有关费用，由承包人承担，但专用合同条款另有约定除外。</w:t>
      </w:r>
    </w:p>
    <w:p w14:paraId="5B50AC21">
      <w:pPr>
        <w:spacing w:line="360" w:lineRule="auto"/>
        <w:rPr>
          <w:color w:val="auto"/>
          <w:highlight w:val="none"/>
        </w:rPr>
      </w:pPr>
      <w:bookmarkStart w:id="429" w:name="bookmark1094"/>
      <w:bookmarkStart w:id="430" w:name="bookmark1095"/>
      <w:bookmarkStart w:id="431" w:name="bookmark1096"/>
      <w:bookmarkStart w:id="432" w:name="_Toc19673"/>
      <w:r>
        <w:rPr>
          <w:color w:val="auto"/>
          <w:highlight w:val="none"/>
        </w:rPr>
        <w:t>7.5道路和桥梁的损坏责任</w:t>
      </w:r>
      <w:bookmarkEnd w:id="429"/>
      <w:bookmarkEnd w:id="430"/>
      <w:bookmarkEnd w:id="431"/>
      <w:bookmarkEnd w:id="432"/>
    </w:p>
    <w:p w14:paraId="40E85670">
      <w:pPr>
        <w:pStyle w:val="523"/>
        <w:ind w:firstLine="440"/>
        <w:rPr>
          <w:rFonts w:ascii="Times New Roman" w:hAnsi="Times New Roman"/>
          <w:color w:val="auto"/>
          <w:highlight w:val="none"/>
        </w:rPr>
      </w:pPr>
      <w:r>
        <w:rPr>
          <w:rFonts w:hint="eastAsia" w:ascii="Times New Roman" w:hAnsi="Times New Roman"/>
          <w:color w:val="auto"/>
          <w:highlight w:val="none"/>
        </w:rPr>
        <w:t>因承包人运输造成施工场地内外公共道路和桥梁损坏的，由承包人承担修复损坏的全部费用和可能引起的赔偿。</w:t>
      </w:r>
    </w:p>
    <w:p w14:paraId="2C48E878">
      <w:pPr>
        <w:spacing w:line="360" w:lineRule="auto"/>
        <w:rPr>
          <w:color w:val="auto"/>
          <w:highlight w:val="none"/>
        </w:rPr>
      </w:pPr>
      <w:bookmarkStart w:id="433" w:name="bookmark1099"/>
      <w:bookmarkStart w:id="434" w:name="bookmark1097"/>
      <w:bookmarkStart w:id="435" w:name="_Toc30116"/>
      <w:bookmarkStart w:id="436" w:name="bookmark1098"/>
      <w:r>
        <w:rPr>
          <w:color w:val="auto"/>
          <w:highlight w:val="none"/>
        </w:rPr>
        <w:t>7.6水路和航空运输</w:t>
      </w:r>
      <w:bookmarkEnd w:id="433"/>
      <w:bookmarkEnd w:id="434"/>
      <w:bookmarkEnd w:id="435"/>
      <w:bookmarkEnd w:id="436"/>
    </w:p>
    <w:p w14:paraId="040B1F03">
      <w:pPr>
        <w:pStyle w:val="523"/>
        <w:ind w:firstLine="440"/>
        <w:rPr>
          <w:rFonts w:ascii="Times New Roman" w:hAnsi="Times New Roman"/>
          <w:color w:val="auto"/>
          <w:sz w:val="21"/>
          <w:szCs w:val="21"/>
          <w:highlight w:val="none"/>
        </w:rPr>
      </w:pPr>
      <w:r>
        <w:rPr>
          <w:rFonts w:hint="eastAsia" w:ascii="Times New Roman" w:hAnsi="Times New Roman"/>
          <w:color w:val="auto"/>
          <w:highlight w:val="none"/>
        </w:rPr>
        <w:t>本条上述各款的内容适用于水路运输和航空运输，其中“道路” 一词的涵义包括河道、 航线、船闸、机场、码头、堤防以及水路或航空运输中其他相似结构物；“车辆” 一词的涵义包括船</w:t>
      </w:r>
      <w:r>
        <w:rPr>
          <w:rFonts w:hint="eastAsia" w:ascii="Times New Roman" w:hAnsi="Times New Roman"/>
          <w:color w:val="auto"/>
          <w:sz w:val="21"/>
          <w:szCs w:val="21"/>
          <w:highlight w:val="none"/>
        </w:rPr>
        <w:t>舶和飞机等。</w:t>
      </w:r>
    </w:p>
    <w:p w14:paraId="39B15A48">
      <w:pPr>
        <w:pStyle w:val="5"/>
        <w:spacing w:line="360" w:lineRule="auto"/>
        <w:rPr>
          <w:color w:val="auto"/>
          <w:sz w:val="21"/>
          <w:szCs w:val="21"/>
          <w:highlight w:val="none"/>
        </w:rPr>
      </w:pPr>
      <w:bookmarkStart w:id="437" w:name="bookmark1102"/>
      <w:bookmarkEnd w:id="437"/>
      <w:bookmarkStart w:id="438" w:name="bookmark1103"/>
      <w:bookmarkStart w:id="439" w:name="_Toc147350612"/>
      <w:bookmarkStart w:id="440" w:name="bookmark1100"/>
      <w:bookmarkStart w:id="441" w:name="bookmark1101"/>
      <w:bookmarkStart w:id="442" w:name="_Toc7491"/>
      <w:bookmarkStart w:id="443" w:name="_Toc8468"/>
      <w:bookmarkStart w:id="444" w:name="_Toc1685606573"/>
      <w:r>
        <w:rPr>
          <w:rFonts w:hint="eastAsia"/>
          <w:color w:val="auto"/>
          <w:sz w:val="21"/>
          <w:szCs w:val="21"/>
          <w:highlight w:val="none"/>
        </w:rPr>
        <w:t>8.测量放线</w:t>
      </w:r>
      <w:bookmarkEnd w:id="438"/>
      <w:bookmarkEnd w:id="439"/>
      <w:bookmarkEnd w:id="440"/>
      <w:bookmarkEnd w:id="441"/>
      <w:bookmarkEnd w:id="442"/>
      <w:bookmarkEnd w:id="443"/>
      <w:bookmarkEnd w:id="444"/>
    </w:p>
    <w:p w14:paraId="63E14BBA">
      <w:pPr>
        <w:spacing w:line="360" w:lineRule="auto"/>
        <w:rPr>
          <w:color w:val="auto"/>
          <w:sz w:val="21"/>
          <w:szCs w:val="21"/>
          <w:highlight w:val="none"/>
        </w:rPr>
      </w:pPr>
      <w:bookmarkStart w:id="445" w:name="bookmark1106"/>
      <w:bookmarkStart w:id="446" w:name="bookmark1105"/>
      <w:bookmarkStart w:id="447" w:name="bookmark1104"/>
      <w:bookmarkStart w:id="448" w:name="_Toc7125"/>
      <w:r>
        <w:rPr>
          <w:color w:val="auto"/>
          <w:sz w:val="21"/>
          <w:szCs w:val="21"/>
          <w:highlight w:val="none"/>
        </w:rPr>
        <w:t>8.1施工控制网</w:t>
      </w:r>
      <w:bookmarkEnd w:id="445"/>
      <w:bookmarkEnd w:id="446"/>
      <w:bookmarkEnd w:id="447"/>
      <w:bookmarkEnd w:id="448"/>
    </w:p>
    <w:p w14:paraId="55231B06">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8.1.1</w:t>
      </w:r>
      <w:r>
        <w:rPr>
          <w:rFonts w:hint="eastAsia" w:ascii="Times New Roman" w:hAnsi="Times New Roman"/>
          <w:color w:val="auto"/>
          <w:highlight w:val="none"/>
        </w:rPr>
        <w:t>除专用条款另有约定外，施工控制网由承包人负责测设，发包人应在本合同协议书签订后的14天内，向承包人提供测量基准点、基准线和水准点及其相关资料。承包人应在收到上述资料后的28天内，将施测的施工控制网资料提交监理人审批。监理人应在收到报批件后的14天内批复承包人。</w:t>
      </w:r>
    </w:p>
    <w:p w14:paraId="3ED0AA11">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8.1.2</w:t>
      </w:r>
      <w:r>
        <w:rPr>
          <w:rFonts w:hint="eastAsia" w:ascii="Times New Roman" w:hAnsi="Times New Roman"/>
          <w:color w:val="auto"/>
          <w:highlight w:val="none"/>
        </w:rPr>
        <w:t>承包人应负责管理施工控制网点。施工控制网点丢失或损坏的，承包人应及时修复。承包人应承担施工控制网点的管理与修复费用，并在工程竣工后将施工控制网点移交发包人。</w:t>
      </w:r>
    </w:p>
    <w:p w14:paraId="661935CD">
      <w:pPr>
        <w:spacing w:line="360" w:lineRule="auto"/>
        <w:rPr>
          <w:color w:val="auto"/>
          <w:highlight w:val="none"/>
        </w:rPr>
      </w:pPr>
      <w:bookmarkStart w:id="449" w:name="bookmark1107"/>
      <w:bookmarkStart w:id="450" w:name="_Toc28033"/>
      <w:bookmarkStart w:id="451" w:name="bookmark1109"/>
      <w:bookmarkStart w:id="452" w:name="bookmark1108"/>
      <w:r>
        <w:rPr>
          <w:color w:val="auto"/>
          <w:highlight w:val="none"/>
        </w:rPr>
        <w:t>8.2施工测量</w:t>
      </w:r>
      <w:bookmarkEnd w:id="449"/>
      <w:bookmarkEnd w:id="450"/>
      <w:bookmarkEnd w:id="451"/>
      <w:bookmarkEnd w:id="452"/>
    </w:p>
    <w:p w14:paraId="7031DB54">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8.2.1</w:t>
      </w:r>
      <w:r>
        <w:rPr>
          <w:rFonts w:hint="eastAsia" w:ascii="Times New Roman" w:hAnsi="Times New Roman"/>
          <w:color w:val="auto"/>
          <w:highlight w:val="none"/>
        </w:rPr>
        <w:t>承包人应负责施工过程中的全部施工测量放线工作，并配置合格的人员、仪 器、设备和其他物品。</w:t>
      </w:r>
    </w:p>
    <w:p w14:paraId="43B807E6">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8.2.2</w:t>
      </w:r>
      <w:r>
        <w:rPr>
          <w:rFonts w:hint="eastAsia" w:ascii="Times New Roman" w:hAnsi="Times New Roman"/>
          <w:color w:val="auto"/>
          <w:highlight w:val="none"/>
        </w:rPr>
        <w:t>监理人可以指示承包人进行抽样复测，当复测中发现错误或出现超过合同约定的误差时，承包人应按监理人指示进行修正或补测，并承担相应的复测费用。</w:t>
      </w:r>
    </w:p>
    <w:p w14:paraId="0613C911">
      <w:pPr>
        <w:spacing w:line="360" w:lineRule="auto"/>
        <w:rPr>
          <w:color w:val="auto"/>
          <w:highlight w:val="none"/>
        </w:rPr>
      </w:pPr>
      <w:bookmarkStart w:id="453" w:name="_Toc18249"/>
      <w:bookmarkStart w:id="454" w:name="bookmark1111"/>
      <w:bookmarkStart w:id="455" w:name="bookmark1110"/>
      <w:bookmarkStart w:id="456" w:name="bookmark1112"/>
      <w:r>
        <w:rPr>
          <w:color w:val="auto"/>
          <w:highlight w:val="none"/>
        </w:rPr>
        <w:t>8.3基准资料错误的责任</w:t>
      </w:r>
      <w:bookmarkEnd w:id="453"/>
      <w:bookmarkEnd w:id="454"/>
      <w:bookmarkEnd w:id="455"/>
      <w:bookmarkEnd w:id="456"/>
    </w:p>
    <w:p w14:paraId="401541BB">
      <w:pPr>
        <w:pStyle w:val="523"/>
        <w:ind w:firstLine="440"/>
        <w:rPr>
          <w:rFonts w:ascii="Times New Roman" w:hAnsi="Times New Roman"/>
          <w:color w:val="auto"/>
          <w:highlight w:val="none"/>
        </w:rPr>
      </w:pPr>
      <w:r>
        <w:rPr>
          <w:rFonts w:hint="eastAsia" w:ascii="Times New Roman" w:hAnsi="Times New Roman"/>
          <w:color w:val="auto"/>
          <w:highlight w:val="none"/>
        </w:rPr>
        <w:t>发包人应对其提供的测量基准点、基准线和水准点及其书面资料的真实性、准确性和完整性负责。发包人提供上述基准资料错误导致承包人测量放线工作的返工或造成工程损失的，发包人应当承担由此增加的费用和（或）工期延误，并向承包人支付合理利润。承包人发现发包人提供的上述基准资料存在明显错误或疏忽的，应及时通知监理人。</w:t>
      </w:r>
    </w:p>
    <w:p w14:paraId="0A877163">
      <w:pPr>
        <w:spacing w:line="360" w:lineRule="auto"/>
        <w:rPr>
          <w:color w:val="auto"/>
          <w:highlight w:val="none"/>
        </w:rPr>
      </w:pPr>
      <w:bookmarkStart w:id="457" w:name="_Toc26810"/>
      <w:bookmarkStart w:id="458" w:name="bookmark1115"/>
      <w:bookmarkStart w:id="459" w:name="bookmark1114"/>
      <w:bookmarkStart w:id="460" w:name="bookmark1113"/>
      <w:r>
        <w:rPr>
          <w:color w:val="auto"/>
          <w:highlight w:val="none"/>
        </w:rPr>
        <w:t>8.4监理人使用施工控制网</w:t>
      </w:r>
      <w:bookmarkEnd w:id="457"/>
      <w:bookmarkEnd w:id="458"/>
      <w:bookmarkEnd w:id="459"/>
      <w:bookmarkEnd w:id="460"/>
    </w:p>
    <w:p w14:paraId="09159D43">
      <w:pPr>
        <w:pStyle w:val="523"/>
        <w:ind w:firstLine="440"/>
        <w:rPr>
          <w:rFonts w:ascii="Times New Roman" w:hAnsi="Times New Roman"/>
          <w:color w:val="auto"/>
          <w:highlight w:val="none"/>
        </w:rPr>
      </w:pPr>
      <w:r>
        <w:rPr>
          <w:rFonts w:hint="eastAsia" w:ascii="Times New Roman" w:hAnsi="Times New Roman"/>
          <w:color w:val="auto"/>
          <w:highlight w:val="none"/>
        </w:rPr>
        <w:t>监理人需要使用施工控制网的，承包人应提供必要的协助，发包人不再为此支付费用。</w:t>
      </w:r>
    </w:p>
    <w:p w14:paraId="1D3ED2F5">
      <w:pPr>
        <w:spacing w:line="360" w:lineRule="auto"/>
        <w:rPr>
          <w:color w:val="auto"/>
          <w:highlight w:val="none"/>
        </w:rPr>
      </w:pPr>
      <w:bookmarkStart w:id="461" w:name="bookmark1117"/>
      <w:bookmarkStart w:id="462" w:name="bookmark1116"/>
      <w:bookmarkStart w:id="463" w:name="_Toc26237"/>
      <w:bookmarkStart w:id="464" w:name="bookmark1118"/>
      <w:r>
        <w:rPr>
          <w:color w:val="auto"/>
          <w:highlight w:val="none"/>
        </w:rPr>
        <w:t>8.5补充地质勘探</w:t>
      </w:r>
      <w:bookmarkEnd w:id="461"/>
      <w:bookmarkEnd w:id="462"/>
      <w:bookmarkEnd w:id="463"/>
      <w:bookmarkEnd w:id="464"/>
    </w:p>
    <w:p w14:paraId="0E2FBCA6">
      <w:pPr>
        <w:pStyle w:val="523"/>
        <w:ind w:firstLine="440"/>
        <w:rPr>
          <w:rFonts w:ascii="Times New Roman" w:hAnsi="Times New Roman"/>
          <w:color w:val="auto"/>
          <w:highlight w:val="none"/>
        </w:rPr>
      </w:pPr>
      <w:r>
        <w:rPr>
          <w:rFonts w:hint="eastAsia" w:ascii="Times New Roman" w:hAnsi="Times New Roman"/>
          <w:color w:val="auto"/>
          <w:highlight w:val="none"/>
        </w:rPr>
        <w:t>在合同实施期间，监理人可以指示承包人进行必要的补充地质勘探和提供有关资料; 承包人为本合同永久工程施工的需要进行补充地质勘探时，须经监理人批准，并应向监理人提交有关资料，上述补充勘探的费用由发包人承担。承包人为其临时工程所需进行的补 充地质勘探，其费用由承包人承担。</w:t>
      </w:r>
    </w:p>
    <w:p w14:paraId="5864F642">
      <w:pPr>
        <w:pStyle w:val="5"/>
        <w:spacing w:line="360" w:lineRule="auto"/>
        <w:rPr>
          <w:color w:val="auto"/>
          <w:highlight w:val="none"/>
        </w:rPr>
      </w:pPr>
      <w:bookmarkStart w:id="465" w:name="bookmark1121"/>
      <w:bookmarkEnd w:id="465"/>
      <w:bookmarkStart w:id="466" w:name="_Toc147350613"/>
      <w:bookmarkStart w:id="467" w:name="_Toc1436993919"/>
      <w:bookmarkStart w:id="468" w:name="_Toc23105"/>
      <w:bookmarkStart w:id="469" w:name="bookmark1122"/>
      <w:bookmarkStart w:id="470" w:name="_Toc15267"/>
      <w:bookmarkStart w:id="471" w:name="bookmark1120"/>
      <w:bookmarkStart w:id="472" w:name="bookmark1119"/>
      <w:r>
        <w:rPr>
          <w:rFonts w:hint="eastAsia"/>
          <w:color w:val="auto"/>
          <w:highlight w:val="none"/>
        </w:rPr>
        <w:t>9.施工安全、治安保卫和环境保护</w:t>
      </w:r>
      <w:bookmarkEnd w:id="466"/>
      <w:bookmarkEnd w:id="467"/>
      <w:bookmarkEnd w:id="468"/>
      <w:bookmarkEnd w:id="469"/>
      <w:bookmarkEnd w:id="470"/>
      <w:bookmarkEnd w:id="471"/>
      <w:bookmarkEnd w:id="472"/>
    </w:p>
    <w:p w14:paraId="34482688">
      <w:pPr>
        <w:spacing w:line="360" w:lineRule="auto"/>
        <w:rPr>
          <w:color w:val="auto"/>
          <w:highlight w:val="none"/>
        </w:rPr>
      </w:pPr>
      <w:bookmarkStart w:id="473" w:name="bookmark1124"/>
      <w:bookmarkStart w:id="474" w:name="bookmark1125"/>
      <w:bookmarkStart w:id="475" w:name="bookmark1123"/>
      <w:bookmarkStart w:id="476" w:name="_Toc13008"/>
      <w:r>
        <w:rPr>
          <w:color w:val="auto"/>
          <w:highlight w:val="none"/>
        </w:rPr>
        <w:t>9.1发包人的施工安全责任</w:t>
      </w:r>
      <w:bookmarkEnd w:id="473"/>
      <w:bookmarkEnd w:id="474"/>
      <w:bookmarkEnd w:id="475"/>
      <w:bookmarkEnd w:id="476"/>
    </w:p>
    <w:p w14:paraId="4EFB001A">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9.1.1</w:t>
      </w:r>
      <w:r>
        <w:rPr>
          <w:rFonts w:hint="eastAsia" w:ascii="Times New Roman" w:hAnsi="Times New Roman"/>
          <w:color w:val="auto"/>
          <w:highlight w:val="none"/>
        </w:rPr>
        <w:t>发包人应按合同约定履行安全职责，发包人委托监理人根据国家有关安全的法律、法规、强制性标准以及部门规章，对承包人的安全责任履行情况进行监督和检查。监理人的监督检查不减轻承包人应负的安全责任。</w:t>
      </w:r>
    </w:p>
    <w:p w14:paraId="0E3FD757">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9.1.2</w:t>
      </w:r>
      <w:r>
        <w:rPr>
          <w:rFonts w:hint="eastAsia" w:ascii="Times New Roman" w:hAnsi="Times New Roman"/>
          <w:color w:val="auto"/>
          <w:highlight w:val="none"/>
        </w:rPr>
        <w:t>发包人应对其现场机构雇佣的全部人员的工伤事故承担责任，但由于承包人原因造成发包人人员工伤的，应由承包人承担责任。</w:t>
      </w:r>
    </w:p>
    <w:p w14:paraId="4234DBAE">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 xml:space="preserve">9. 1. </w:t>
      </w:r>
      <w:r>
        <w:rPr>
          <w:rFonts w:hint="eastAsia" w:ascii="Times New Roman" w:hAnsi="Times New Roman"/>
          <w:color w:val="auto"/>
          <w:highlight w:val="none"/>
        </w:rPr>
        <w:t>3发包人应负责赔偿以下各种情况造成的第三者人身伤亡和财产损失：</w:t>
      </w:r>
    </w:p>
    <w:p w14:paraId="00DC6919">
      <w:pPr>
        <w:pStyle w:val="523"/>
        <w:numPr>
          <w:ilvl w:val="0"/>
          <w:numId w:val="18"/>
        </w:numPr>
        <w:tabs>
          <w:tab w:val="left" w:pos="898"/>
        </w:tabs>
        <w:ind w:firstLine="420"/>
        <w:rPr>
          <w:rFonts w:ascii="Times New Roman" w:hAnsi="Times New Roman"/>
          <w:color w:val="auto"/>
          <w:highlight w:val="none"/>
        </w:rPr>
      </w:pPr>
      <w:bookmarkStart w:id="477" w:name="bookmark1126"/>
      <w:bookmarkEnd w:id="477"/>
      <w:r>
        <w:rPr>
          <w:rFonts w:hint="eastAsia" w:ascii="Times New Roman" w:hAnsi="Times New Roman"/>
          <w:color w:val="auto"/>
          <w:highlight w:val="none"/>
        </w:rPr>
        <w:t>工程或工程的任何部分对土地的占用所造成的第三者财产损失；</w:t>
      </w:r>
    </w:p>
    <w:p w14:paraId="22B8911E">
      <w:pPr>
        <w:pStyle w:val="523"/>
        <w:numPr>
          <w:ilvl w:val="0"/>
          <w:numId w:val="18"/>
        </w:numPr>
        <w:tabs>
          <w:tab w:val="left" w:pos="898"/>
        </w:tabs>
        <w:ind w:firstLine="420"/>
        <w:rPr>
          <w:rFonts w:ascii="Times New Roman" w:hAnsi="Times New Roman"/>
          <w:color w:val="auto"/>
          <w:highlight w:val="none"/>
        </w:rPr>
      </w:pPr>
      <w:bookmarkStart w:id="478" w:name="bookmark1127"/>
      <w:bookmarkEnd w:id="478"/>
      <w:r>
        <w:rPr>
          <w:rFonts w:hint="eastAsia" w:ascii="Times New Roman" w:hAnsi="Times New Roman"/>
          <w:color w:val="auto"/>
          <w:highlight w:val="none"/>
        </w:rPr>
        <w:t>由于发包人原因在施工场地及其毗邻地带造成的第三者人身伤亡和财产损失。</w:t>
      </w:r>
    </w:p>
    <w:p w14:paraId="1DA3E5BF">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9.1.4</w:t>
      </w:r>
      <w:r>
        <w:rPr>
          <w:rFonts w:hint="eastAsia" w:ascii="Times New Roman" w:hAnsi="Times New Roman"/>
          <w:color w:val="auto"/>
          <w:highlight w:val="none"/>
        </w:rPr>
        <w:t>除专用合同条款另有约定外，发包人负责向承包人提供施工现场及施工可能影响的毗邻区域内供水、排水、供电、供气、供热、通信、广播电视等地下管线资料，气象 和水文观测资料，拟建工程可能影响的相邻建筑物地下工程的有关资料，并保证有关资料的真实、准确、完整，满足有关技术规程的要求。</w:t>
      </w:r>
    </w:p>
    <w:p w14:paraId="33B1980F">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9.1.5</w:t>
      </w:r>
      <w:r>
        <w:rPr>
          <w:rFonts w:hint="eastAsia" w:ascii="Times New Roman" w:hAnsi="Times New Roman"/>
          <w:color w:val="auto"/>
          <w:highlight w:val="none"/>
        </w:rPr>
        <w:t>发包人按照已标价工程量清单所列金额和合同约定的计量支付规定，支付安全作业环境及安全施工措施所需费用。</w:t>
      </w:r>
    </w:p>
    <w:p w14:paraId="3F23341B">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9.1.6</w:t>
      </w:r>
      <w:r>
        <w:rPr>
          <w:rFonts w:hint="eastAsia" w:ascii="Times New Roman" w:hAnsi="Times New Roman"/>
          <w:color w:val="auto"/>
          <w:highlight w:val="none"/>
        </w:rPr>
        <w:t>发包人负责组织工程参建单位编制保证安全生产的措施方案。工程开工前，就落实安全生产的措施进行全面系统的布置，进一步明确承包人的安全生产责任。</w:t>
      </w:r>
    </w:p>
    <w:p w14:paraId="4492B7ED">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9.1.7</w:t>
      </w:r>
      <w:r>
        <w:rPr>
          <w:rFonts w:hint="eastAsia" w:ascii="Times New Roman" w:hAnsi="Times New Roman"/>
          <w:color w:val="auto"/>
          <w:highlight w:val="none"/>
        </w:rPr>
        <w:t>发包人负责在拆除工程和爆破工程施工14天前向有关部门或机构报送相关备案资料。</w:t>
      </w:r>
    </w:p>
    <w:p w14:paraId="4BA6E599">
      <w:pPr>
        <w:spacing w:line="360" w:lineRule="auto"/>
        <w:rPr>
          <w:color w:val="auto"/>
          <w:highlight w:val="none"/>
        </w:rPr>
      </w:pPr>
      <w:bookmarkStart w:id="479" w:name="bookmark1128"/>
      <w:bookmarkStart w:id="480" w:name="bookmark1130"/>
      <w:bookmarkStart w:id="481" w:name="bookmark1129"/>
      <w:bookmarkStart w:id="482" w:name="_Toc920"/>
      <w:r>
        <w:rPr>
          <w:color w:val="auto"/>
          <w:highlight w:val="none"/>
        </w:rPr>
        <w:t>9.2承包人的施工安全责任</w:t>
      </w:r>
      <w:bookmarkEnd w:id="479"/>
      <w:bookmarkEnd w:id="480"/>
      <w:bookmarkEnd w:id="481"/>
      <w:bookmarkEnd w:id="482"/>
    </w:p>
    <w:p w14:paraId="5CC30B00">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9.2.1</w:t>
      </w:r>
      <w:r>
        <w:rPr>
          <w:rFonts w:hint="eastAsia" w:ascii="Times New Roman" w:hAnsi="Times New Roman"/>
          <w:color w:val="auto"/>
          <w:highlight w:val="none"/>
        </w:rPr>
        <w:t>承包人应按合同约定履行安全职责，执行监理人有关安全工作的指示。承包人应按技术标准和要求(合同技术条款)约定的内容和期限，以及监理人的指示，编制施工安全技术措施提交监理人审批。监理人应技术标准和要求(合同技术条款)约定的期限内 批复承包人。</w:t>
      </w:r>
    </w:p>
    <w:p w14:paraId="4189F8D5">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9.2.2</w:t>
      </w:r>
      <w:r>
        <w:rPr>
          <w:rFonts w:hint="eastAsia" w:ascii="Times New Roman" w:hAnsi="Times New Roman"/>
          <w:color w:val="auto"/>
          <w:highlight w:val="none"/>
        </w:rPr>
        <w:t>承包人应加强施工作业安全管理，特别应加强易燃、易爆材料、火工器材、有毒与腐蚀性材料和其他危险品的管理，以及对爆破作业和地下工程施工等危险作业的管理。</w:t>
      </w:r>
    </w:p>
    <w:p w14:paraId="651BEA8E">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9.2.3</w:t>
      </w:r>
      <w:r>
        <w:rPr>
          <w:rFonts w:hint="eastAsia" w:ascii="Times New Roman" w:hAnsi="Times New Roman"/>
          <w:color w:val="auto"/>
          <w:highlight w:val="none"/>
        </w:rPr>
        <w:t>承包人应严格按照国家安全标准制定施工安全操作规程，配备必要的安全生产 和劳动保护设施，加强对承包人人员的安全教育，并发放安全工作手册和劳动保护用具。</w:t>
      </w:r>
    </w:p>
    <w:p w14:paraId="7B0227FE">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9. 2.4</w:t>
      </w:r>
      <w:r>
        <w:rPr>
          <w:rFonts w:hint="eastAsia" w:ascii="Times New Roman" w:hAnsi="Times New Roman"/>
          <w:color w:val="auto"/>
          <w:highlight w:val="none"/>
        </w:rPr>
        <w:t>承包人应按监理人的指示制定应对灾害的紧急预案，报送监理人审批。承包人还应按预案做好安全检查，配置必要的救助物资和器材，切实保护好有关人员的人身和财产安全。</w:t>
      </w:r>
    </w:p>
    <w:p w14:paraId="1CC53662">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9.2.5</w:t>
      </w:r>
      <w:r>
        <w:rPr>
          <w:rFonts w:hint="eastAsia" w:ascii="Times New Roman" w:hAnsi="Times New Roman"/>
          <w:color w:val="auto"/>
          <w:highlight w:val="none"/>
        </w:rPr>
        <w:t>合同约定的安全作业环境及安全施工措施所需费用应遵守有关规定，并包括在相关工作的合同价格中。因采取合同未约定的安全作业环境及安全施工措施增加的费用，由监理人按第</w:t>
      </w:r>
      <w:r>
        <w:rPr>
          <w:rFonts w:hint="eastAsia" w:ascii="Times New Roman" w:hAnsi="Times New Roman"/>
          <w:color w:val="auto"/>
          <w:highlight w:val="none"/>
          <w:lang w:val="en-US" w:bidi="en-US"/>
        </w:rPr>
        <w:t xml:space="preserve">3. </w:t>
      </w:r>
      <w:r>
        <w:rPr>
          <w:rFonts w:hint="eastAsia" w:ascii="Times New Roman" w:hAnsi="Times New Roman"/>
          <w:color w:val="auto"/>
          <w:highlight w:val="none"/>
        </w:rPr>
        <w:t>5款商定或确定。</w:t>
      </w:r>
    </w:p>
    <w:p w14:paraId="54C411DC">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9.2.6</w:t>
      </w:r>
      <w:r>
        <w:rPr>
          <w:rFonts w:hint="eastAsia" w:ascii="Times New Roman" w:hAnsi="Times New Roman"/>
          <w:color w:val="auto"/>
          <w:highlight w:val="none"/>
        </w:rPr>
        <w:t>承包人应对其履行合同所雇佣的全部人员，包括分包人人员的工伤事故承担责任，但由于发包人原因造成承包人人员工伤事故的，应由发包人承担责任。</w:t>
      </w:r>
    </w:p>
    <w:p w14:paraId="00EE10F9">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9.2.</w:t>
      </w:r>
      <w:r>
        <w:rPr>
          <w:rFonts w:hint="eastAsia" w:ascii="Times New Roman" w:hAnsi="Times New Roman"/>
          <w:color w:val="auto"/>
          <w:highlight w:val="none"/>
        </w:rPr>
        <w:t>7由于承包人原因在施工场地内及其毗邻地带造成的第三者人员伤亡和财产损失，由承包人负责赔偿。</w:t>
      </w:r>
    </w:p>
    <w:p w14:paraId="480DD116">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9.2.</w:t>
      </w:r>
      <w:r>
        <w:rPr>
          <w:rFonts w:hint="eastAsia" w:ascii="Times New Roman" w:hAnsi="Times New Roman"/>
          <w:color w:val="auto"/>
          <w:highlight w:val="none"/>
        </w:rPr>
        <w:t>8承包人已标价工程量清单应包含工程安全作业环境及安全施工措施所需费用。</w:t>
      </w:r>
    </w:p>
    <w:p w14:paraId="551B0E69">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9.2.9</w:t>
      </w:r>
      <w:r>
        <w:rPr>
          <w:rFonts w:hint="eastAsia" w:ascii="Times New Roman" w:hAnsi="Times New Roman"/>
          <w:color w:val="auto"/>
          <w:highlight w:val="none"/>
        </w:rPr>
        <w:t>承包人应建立健全安全生产责任制度和安全生产教育培训制度，制定安全生产规章制度和操作规程，保证本单位建立和完善安全生产条件所需资金的投入，对本工程进行定期和专项安全检查，并做好安全检查记录。</w:t>
      </w:r>
    </w:p>
    <w:p w14:paraId="0A04BA26">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 xml:space="preserve">9. 2. </w:t>
      </w:r>
      <w:r>
        <w:rPr>
          <w:rFonts w:hint="eastAsia" w:ascii="Times New Roman" w:hAnsi="Times New Roman"/>
          <w:color w:val="auto"/>
          <w:highlight w:val="none"/>
        </w:rPr>
        <w:t>10承包人应设立安全生产管理机构，施工现场应有专职安全生产管理人员。</w:t>
      </w:r>
    </w:p>
    <w:p w14:paraId="7265FBC6">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9. 2.11</w:t>
      </w:r>
      <w:r>
        <w:rPr>
          <w:rFonts w:hint="eastAsia" w:ascii="Times New Roman" w:hAnsi="Times New Roman"/>
          <w:color w:val="auto"/>
          <w:highlight w:val="none"/>
        </w:rPr>
        <w:t>承包人应负责对特种作业人员进行专门的安全作业培训，并保证特种作业人员持证上岗。</w:t>
      </w:r>
    </w:p>
    <w:p w14:paraId="4D78CF11">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 xml:space="preserve">9. 2. </w:t>
      </w:r>
      <w:r>
        <w:rPr>
          <w:rFonts w:hint="eastAsia" w:ascii="Times New Roman" w:hAnsi="Times New Roman"/>
          <w:color w:val="auto"/>
          <w:highlight w:val="none"/>
        </w:rPr>
        <w:t>12承包人应在施工组织设计中编制安全技术措施和施工现场临时用电方案。对专用合同条款约定的工程，应编制专项施工方案报监理人批准。对专用合同条款约定的专项施工方案，还应组织专家进行论证、审查，其中专家1/2人员应经发包人同意。</w:t>
      </w:r>
    </w:p>
    <w:p w14:paraId="2EACADFF">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 xml:space="preserve">9. 2. </w:t>
      </w:r>
      <w:r>
        <w:rPr>
          <w:rFonts w:hint="eastAsia" w:ascii="Times New Roman" w:hAnsi="Times New Roman"/>
          <w:color w:val="auto"/>
          <w:highlight w:val="none"/>
        </w:rPr>
        <w:t>13承包人在使用施工起重机构和整体提升脚手架、模板等自升式架设设施前, 应组织有关单位进行验收。</w:t>
      </w:r>
    </w:p>
    <w:p w14:paraId="319BDBEA">
      <w:pPr>
        <w:spacing w:line="360" w:lineRule="auto"/>
        <w:rPr>
          <w:color w:val="auto"/>
          <w:highlight w:val="none"/>
        </w:rPr>
      </w:pPr>
      <w:bookmarkStart w:id="483" w:name="_Toc24520"/>
      <w:bookmarkStart w:id="484" w:name="bookmark1133"/>
      <w:bookmarkStart w:id="485" w:name="bookmark1131"/>
      <w:bookmarkStart w:id="486" w:name="bookmark1132"/>
      <w:r>
        <w:rPr>
          <w:color w:val="auto"/>
          <w:highlight w:val="none"/>
        </w:rPr>
        <w:t>9.3治安保卫</w:t>
      </w:r>
      <w:bookmarkEnd w:id="483"/>
      <w:bookmarkEnd w:id="484"/>
      <w:bookmarkEnd w:id="485"/>
      <w:bookmarkEnd w:id="486"/>
    </w:p>
    <w:p w14:paraId="43507666">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9.3.1</w:t>
      </w:r>
      <w:r>
        <w:rPr>
          <w:rFonts w:hint="eastAsia" w:ascii="Times New Roman" w:hAnsi="Times New Roman"/>
          <w:color w:val="auto"/>
          <w:highlight w:val="none"/>
        </w:rPr>
        <w:t>除合同另有约定外，发包人应与当地公安部门协商，在现场建立治安管理机构或联防组织，统一管理施工场地的治安保卫事项，履行合同工程的治安保卫职责。</w:t>
      </w:r>
    </w:p>
    <w:p w14:paraId="00DB1175">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9.3.</w:t>
      </w:r>
      <w:r>
        <w:rPr>
          <w:rFonts w:hint="eastAsia" w:ascii="Times New Roman" w:hAnsi="Times New Roman"/>
          <w:color w:val="auto"/>
          <w:highlight w:val="none"/>
        </w:rPr>
        <w:t>2发包人和承包人除应协助现场治安管理机构或联防组织维护施工场地的社会治安外，还应做好包括生活区在内的各自管辖区的治安保卫工作。</w:t>
      </w:r>
    </w:p>
    <w:p w14:paraId="6F396648">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9.3.3</w:t>
      </w:r>
      <w:r>
        <w:rPr>
          <w:rFonts w:hint="eastAsia" w:ascii="Times New Roman" w:hAnsi="Times New Roman"/>
          <w:color w:val="auto"/>
          <w:highlight w:val="none"/>
        </w:rPr>
        <w:t>除合同另有约定外，发包人和承包人应在工程开工后，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减少财产损失和避免人员伤亡。</w:t>
      </w:r>
    </w:p>
    <w:p w14:paraId="0815BB84">
      <w:pPr>
        <w:spacing w:line="360" w:lineRule="auto"/>
        <w:rPr>
          <w:color w:val="auto"/>
          <w:highlight w:val="none"/>
        </w:rPr>
      </w:pPr>
      <w:bookmarkStart w:id="487" w:name="bookmark1134"/>
      <w:bookmarkStart w:id="488" w:name="bookmark1135"/>
      <w:bookmarkStart w:id="489" w:name="_Toc19282"/>
      <w:bookmarkStart w:id="490" w:name="bookmark1136"/>
      <w:r>
        <w:rPr>
          <w:color w:val="auto"/>
          <w:highlight w:val="none"/>
        </w:rPr>
        <w:t>9.4环境保护</w:t>
      </w:r>
      <w:bookmarkEnd w:id="487"/>
      <w:bookmarkEnd w:id="488"/>
      <w:bookmarkEnd w:id="489"/>
      <w:bookmarkEnd w:id="490"/>
    </w:p>
    <w:p w14:paraId="44C7706C">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9.4.1</w:t>
      </w:r>
      <w:r>
        <w:rPr>
          <w:rFonts w:hint="eastAsia" w:ascii="Times New Roman" w:hAnsi="Times New Roman"/>
          <w:color w:val="auto"/>
          <w:highlight w:val="none"/>
        </w:rPr>
        <w:t>承包人在施工过程中，应遵守有关环境保护的法律，履行合同约定的环境保护义务，并对违反法律和合同约定义务所造成的环境破坏、人身伤害和财产损失负责。</w:t>
      </w:r>
    </w:p>
    <w:p w14:paraId="3230C54A">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9.4.2</w:t>
      </w:r>
      <w:r>
        <w:rPr>
          <w:rFonts w:hint="eastAsia" w:ascii="Times New Roman" w:hAnsi="Times New Roman"/>
          <w:color w:val="auto"/>
          <w:highlight w:val="none"/>
        </w:rPr>
        <w:t>承包人应按合同约定的环保工作内容，编制施工环保措施计划，报送监理人审批。</w:t>
      </w:r>
    </w:p>
    <w:p w14:paraId="140D6A7F">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9.4.3</w:t>
      </w:r>
      <w:r>
        <w:rPr>
          <w:rFonts w:hint="eastAsia" w:ascii="Times New Roman" w:hAnsi="Times New Roman"/>
          <w:color w:val="auto"/>
          <w:highlight w:val="none"/>
        </w:rPr>
        <w:t>承包人应按照批准的施工环保措施计划有序地堆放和处理施工废弃物，避免对环境造成破坏。因承包人任意堆放或弃置施工废弃物造成妨碍公共交通、影响城镇居民生活、降低河流行洪能力、危及居民安全、破坏周边环境，或者影响其他承包人施工等后果的，承包人应承担责任。</w:t>
      </w:r>
    </w:p>
    <w:p w14:paraId="61BB4FF8">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9.4.4</w:t>
      </w:r>
      <w:r>
        <w:rPr>
          <w:rFonts w:hint="eastAsia" w:ascii="Times New Roman" w:hAnsi="Times New Roman"/>
          <w:color w:val="auto"/>
          <w:highlight w:val="none"/>
        </w:rPr>
        <w:t>承包人应按合同约定采取有效措施，对施工开挖的边坡及时进行支护，维护排水设施，并进行水土保护，避免因施工造成的地质灾害。</w:t>
      </w:r>
    </w:p>
    <w:p w14:paraId="69F7C205">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9.4.5</w:t>
      </w:r>
      <w:r>
        <w:rPr>
          <w:rFonts w:hint="eastAsia" w:ascii="Times New Roman" w:hAnsi="Times New Roman"/>
          <w:color w:val="auto"/>
          <w:highlight w:val="none"/>
        </w:rPr>
        <w:t>承包人应按国家饮用水管理标准定期对饮用水源进行监测，防止施工活动污染饮用水源。</w:t>
      </w:r>
    </w:p>
    <w:p w14:paraId="60DB2D5B">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9.4.6</w:t>
      </w:r>
      <w:r>
        <w:rPr>
          <w:rFonts w:hint="eastAsia" w:ascii="Times New Roman" w:hAnsi="Times New Roman"/>
          <w:color w:val="auto"/>
          <w:highlight w:val="none"/>
        </w:rPr>
        <w:t>承包人应按合同约定，加强对噪声、粉尘、废气、废水和废油的控制，努力降低噪声，控制粉尘和废气浓度，做好废水和废油的治理和排放。</w:t>
      </w:r>
    </w:p>
    <w:p w14:paraId="5367D958">
      <w:pPr>
        <w:spacing w:line="360" w:lineRule="auto"/>
        <w:rPr>
          <w:color w:val="auto"/>
          <w:highlight w:val="none"/>
        </w:rPr>
      </w:pPr>
      <w:bookmarkStart w:id="491" w:name="bookmark1139"/>
      <w:bookmarkStart w:id="492" w:name="bookmark1138"/>
      <w:bookmarkStart w:id="493" w:name="bookmark1137"/>
      <w:bookmarkStart w:id="494" w:name="_Toc1363"/>
      <w:r>
        <w:rPr>
          <w:color w:val="auto"/>
          <w:highlight w:val="none"/>
        </w:rPr>
        <w:t>9.5事故处理</w:t>
      </w:r>
      <w:bookmarkEnd w:id="491"/>
      <w:bookmarkEnd w:id="492"/>
      <w:bookmarkEnd w:id="493"/>
      <w:bookmarkEnd w:id="494"/>
    </w:p>
    <w:p w14:paraId="5209E447">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9.5.1</w:t>
      </w:r>
      <w:r>
        <w:rPr>
          <w:rFonts w:hint="eastAsia" w:ascii="Times New Roman" w:hAnsi="Times New Roman"/>
          <w:color w:val="auto"/>
          <w:highlight w:val="none"/>
        </w:rPr>
        <w:t>发包人负责组织参建单位制定本工程的质量与安全事故应急预案，建立质量与安全事故应急处置指挥部。</w:t>
      </w:r>
    </w:p>
    <w:p w14:paraId="6087536E">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9.5.2</w:t>
      </w:r>
      <w:r>
        <w:rPr>
          <w:rFonts w:hint="eastAsia" w:ascii="Times New Roman" w:hAnsi="Times New Roman"/>
          <w:color w:val="auto"/>
          <w:highlight w:val="none"/>
        </w:rPr>
        <w:t>承包人应对施工现场易发生重大事故的部位、环节的进行监控，配备救援器材、设备，并定期组织演练。</w:t>
      </w:r>
    </w:p>
    <w:p w14:paraId="4298826B">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9.5.3</w:t>
      </w:r>
      <w:r>
        <w:rPr>
          <w:rFonts w:hint="eastAsia" w:ascii="Times New Roman" w:hAnsi="Times New Roman"/>
          <w:color w:val="auto"/>
          <w:highlight w:val="none"/>
        </w:rPr>
        <w:t>工程开工前，承包人应根据本工程特点制定施工现场施工质量与安全事故应急预案，并报发包人备案。</w:t>
      </w:r>
    </w:p>
    <w:p w14:paraId="6FD02C71">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9.5.4</w:t>
      </w:r>
      <w:r>
        <w:rPr>
          <w:rFonts w:hint="eastAsia" w:ascii="Times New Roman" w:hAnsi="Times New Roman"/>
          <w:color w:val="auto"/>
          <w:highlight w:val="none"/>
        </w:rPr>
        <w:t>施工过程中发生事故时，发包人、承包人应立即启动应急预案。</w:t>
      </w:r>
    </w:p>
    <w:p w14:paraId="2045E8A2">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9.5.5</w:t>
      </w:r>
      <w:r>
        <w:rPr>
          <w:rFonts w:hint="eastAsia" w:ascii="Times New Roman" w:hAnsi="Times New Roman"/>
          <w:color w:val="auto"/>
          <w:highlight w:val="none"/>
        </w:rPr>
        <w:t>事故调查处理由发包人按相关规定履行手续，承包人应配合。</w:t>
      </w:r>
    </w:p>
    <w:p w14:paraId="34FA52D0">
      <w:pPr>
        <w:spacing w:line="360" w:lineRule="auto"/>
        <w:rPr>
          <w:color w:val="auto"/>
          <w:highlight w:val="none"/>
        </w:rPr>
      </w:pPr>
      <w:bookmarkStart w:id="495" w:name="bookmark1140"/>
      <w:bookmarkStart w:id="496" w:name="bookmark1141"/>
      <w:bookmarkStart w:id="497" w:name="_Toc10912"/>
      <w:bookmarkStart w:id="498" w:name="bookmark1142"/>
      <w:r>
        <w:rPr>
          <w:color w:val="auto"/>
          <w:highlight w:val="none"/>
        </w:rPr>
        <w:t>9.6水土保持</w:t>
      </w:r>
      <w:bookmarkEnd w:id="495"/>
      <w:bookmarkEnd w:id="496"/>
      <w:bookmarkEnd w:id="497"/>
      <w:bookmarkEnd w:id="498"/>
    </w:p>
    <w:p w14:paraId="0247C5BD">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9.6.</w:t>
      </w:r>
      <w:r>
        <w:rPr>
          <w:rFonts w:hint="eastAsia" w:ascii="Times New Roman" w:hAnsi="Times New Roman"/>
          <w:color w:val="auto"/>
          <w:highlight w:val="none"/>
        </w:rPr>
        <w:t>1发包人应及时向承包人提供水土保持方案。</w:t>
      </w:r>
    </w:p>
    <w:p w14:paraId="1679A4C7">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9.6.2</w:t>
      </w:r>
      <w:r>
        <w:rPr>
          <w:rFonts w:hint="eastAsia" w:ascii="Times New Roman" w:hAnsi="Times New Roman"/>
          <w:color w:val="auto"/>
          <w:highlight w:val="none"/>
        </w:rPr>
        <w:t>承包人在施工过程中，应遵守有关水土保持的法律法规和规章，履行合同约定的水土保持义务，并对其违反法律和合同约定义务所造成的水土流失灾害、人身伤害和财 产损失负责。</w:t>
      </w:r>
    </w:p>
    <w:p w14:paraId="53B313DA">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9.6.3</w:t>
      </w:r>
      <w:r>
        <w:rPr>
          <w:rFonts w:hint="eastAsia" w:ascii="Times New Roman" w:hAnsi="Times New Roman"/>
          <w:color w:val="auto"/>
          <w:highlight w:val="none"/>
        </w:rPr>
        <w:t>承包人的水土保持措施计划，应满足技术标准和要求（合同技术条款）约定的要求。</w:t>
      </w:r>
    </w:p>
    <w:p w14:paraId="180D6D76">
      <w:pPr>
        <w:spacing w:line="360" w:lineRule="auto"/>
        <w:rPr>
          <w:color w:val="auto"/>
          <w:highlight w:val="none"/>
        </w:rPr>
      </w:pPr>
      <w:bookmarkStart w:id="499" w:name="bookmark1144"/>
      <w:bookmarkStart w:id="500" w:name="bookmark1143"/>
      <w:bookmarkStart w:id="501" w:name="_Toc9534"/>
      <w:bookmarkStart w:id="502" w:name="bookmark1145"/>
      <w:r>
        <w:rPr>
          <w:color w:val="auto"/>
          <w:highlight w:val="none"/>
        </w:rPr>
        <w:t>9.7文明工地</w:t>
      </w:r>
      <w:bookmarkEnd w:id="499"/>
      <w:bookmarkEnd w:id="500"/>
      <w:bookmarkEnd w:id="501"/>
      <w:bookmarkEnd w:id="502"/>
    </w:p>
    <w:p w14:paraId="562D047C">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9.7.1</w:t>
      </w:r>
      <w:r>
        <w:rPr>
          <w:rFonts w:hint="eastAsia" w:ascii="Times New Roman" w:hAnsi="Times New Roman"/>
          <w:color w:val="auto"/>
          <w:highlight w:val="none"/>
        </w:rPr>
        <w:t>发包人应按专用合同条款的约定，负责建立创建文明建设工地的组织机构，制定创建文明建设工地的规划和办法。</w:t>
      </w:r>
    </w:p>
    <w:p w14:paraId="1811E0DE">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9.7.2</w:t>
      </w:r>
      <w:r>
        <w:rPr>
          <w:rFonts w:hint="eastAsia" w:ascii="Times New Roman" w:hAnsi="Times New Roman"/>
          <w:color w:val="auto"/>
          <w:highlight w:val="none"/>
        </w:rPr>
        <w:t>承包人应按创建文明建设工地的规划和办法，履行职责，承担相应责任。所需费用应含在已标价工程量清单中。</w:t>
      </w:r>
    </w:p>
    <w:p w14:paraId="00EC53A2">
      <w:pPr>
        <w:spacing w:line="360" w:lineRule="auto"/>
        <w:rPr>
          <w:color w:val="auto"/>
          <w:highlight w:val="none"/>
        </w:rPr>
      </w:pPr>
      <w:bookmarkStart w:id="503" w:name="bookmark1146"/>
      <w:bookmarkStart w:id="504" w:name="_Toc2182"/>
      <w:bookmarkStart w:id="505" w:name="bookmark1147"/>
      <w:bookmarkStart w:id="506" w:name="bookmark1148"/>
      <w:r>
        <w:rPr>
          <w:color w:val="auto"/>
          <w:highlight w:val="none"/>
        </w:rPr>
        <w:t>9.8防汛度汛</w:t>
      </w:r>
      <w:bookmarkEnd w:id="503"/>
      <w:bookmarkEnd w:id="504"/>
      <w:bookmarkEnd w:id="505"/>
      <w:bookmarkEnd w:id="506"/>
    </w:p>
    <w:p w14:paraId="05511D0F">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9.8.</w:t>
      </w:r>
      <w:r>
        <w:rPr>
          <w:rFonts w:hint="eastAsia" w:ascii="Times New Roman" w:hAnsi="Times New Roman"/>
          <w:color w:val="auto"/>
          <w:highlight w:val="none"/>
        </w:rPr>
        <w:t>1发包人负责组织工程参建单位编制本工程的度汛方案和措施。</w:t>
      </w:r>
    </w:p>
    <w:p w14:paraId="13D48C90">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9.8.2</w:t>
      </w:r>
      <w:r>
        <w:rPr>
          <w:rFonts w:hint="eastAsia" w:ascii="Times New Roman" w:hAnsi="Times New Roman"/>
          <w:color w:val="auto"/>
          <w:highlight w:val="none"/>
        </w:rPr>
        <w:t>承包人应根据发包人编制的本工程度汛方案和措施，制定相应的度汛方案，报发包人批准后实施。</w:t>
      </w:r>
    </w:p>
    <w:p w14:paraId="5C21338E">
      <w:pPr>
        <w:pStyle w:val="5"/>
        <w:spacing w:line="360" w:lineRule="auto"/>
        <w:rPr>
          <w:color w:val="auto"/>
          <w:highlight w:val="none"/>
        </w:rPr>
      </w:pPr>
      <w:bookmarkStart w:id="507" w:name="_Toc28332"/>
      <w:bookmarkStart w:id="508" w:name="bookmark1151"/>
      <w:bookmarkStart w:id="509" w:name="_Toc27960"/>
      <w:bookmarkStart w:id="510" w:name="bookmark1150"/>
      <w:bookmarkStart w:id="511" w:name="_Toc1405482679"/>
      <w:bookmarkStart w:id="512" w:name="_Toc147350614"/>
      <w:bookmarkStart w:id="513" w:name="bookmark1149"/>
      <w:r>
        <w:rPr>
          <w:rFonts w:hint="eastAsia"/>
          <w:color w:val="auto"/>
          <w:highlight w:val="none"/>
        </w:rPr>
        <w:t>10.进度计划</w:t>
      </w:r>
      <w:bookmarkEnd w:id="507"/>
      <w:bookmarkEnd w:id="508"/>
      <w:bookmarkEnd w:id="509"/>
      <w:bookmarkEnd w:id="510"/>
      <w:bookmarkEnd w:id="511"/>
      <w:bookmarkEnd w:id="512"/>
      <w:bookmarkEnd w:id="513"/>
    </w:p>
    <w:p w14:paraId="00C3B4D9">
      <w:pPr>
        <w:spacing w:line="360" w:lineRule="auto"/>
        <w:rPr>
          <w:color w:val="auto"/>
          <w:highlight w:val="none"/>
        </w:rPr>
      </w:pPr>
      <w:bookmarkStart w:id="514" w:name="bookmark1153"/>
      <w:bookmarkStart w:id="515" w:name="bookmark1154"/>
      <w:bookmarkStart w:id="516" w:name="bookmark1152"/>
      <w:bookmarkStart w:id="517" w:name="_Toc15277"/>
      <w:r>
        <w:rPr>
          <w:color w:val="auto"/>
          <w:highlight w:val="none"/>
        </w:rPr>
        <w:t>10.1合同进度计划</w:t>
      </w:r>
      <w:bookmarkEnd w:id="514"/>
      <w:bookmarkEnd w:id="515"/>
      <w:bookmarkEnd w:id="516"/>
      <w:bookmarkEnd w:id="517"/>
    </w:p>
    <w:p w14:paraId="6EFDA1DA">
      <w:pPr>
        <w:pStyle w:val="523"/>
        <w:ind w:firstLine="420"/>
        <w:rPr>
          <w:rFonts w:ascii="Times New Roman" w:hAnsi="Times New Roman"/>
          <w:color w:val="auto"/>
          <w:highlight w:val="none"/>
        </w:rPr>
      </w:pPr>
      <w:r>
        <w:rPr>
          <w:rFonts w:hint="eastAsia" w:ascii="Times New Roman" w:hAnsi="Times New Roman"/>
          <w:color w:val="auto"/>
          <w:highlight w:val="none"/>
        </w:rPr>
        <w:t>承包人应按技术标准和要求（合同技术条款）约定的内容和期限以及监理人的指示, 编制详细的施工总进度计划及其说明提交监理人审批。监理人应在技术标准和要求（合同 技术条款）约定的期限内批复承包人，否则该进度计划视为已得到批准。经监理人批准的 施工进度计划称为合同进度计划，是控制合同工程进度的依据。承包人还应根据合同进度 计划，编制更为详细的分阶段或单位工程或分部工程进度计划，报监理人审批。</w:t>
      </w:r>
    </w:p>
    <w:p w14:paraId="13370ACE">
      <w:pPr>
        <w:spacing w:line="360" w:lineRule="auto"/>
        <w:rPr>
          <w:color w:val="auto"/>
          <w:highlight w:val="none"/>
        </w:rPr>
      </w:pPr>
      <w:bookmarkStart w:id="518" w:name="_Toc8733"/>
      <w:bookmarkStart w:id="519" w:name="bookmark1157"/>
      <w:bookmarkStart w:id="520" w:name="bookmark1156"/>
      <w:bookmarkStart w:id="521" w:name="bookmark1155"/>
      <w:r>
        <w:rPr>
          <w:color w:val="auto"/>
          <w:highlight w:val="none"/>
        </w:rPr>
        <w:t>10.2合同进度计划的修订</w:t>
      </w:r>
      <w:bookmarkEnd w:id="518"/>
      <w:bookmarkEnd w:id="519"/>
      <w:bookmarkEnd w:id="520"/>
      <w:bookmarkEnd w:id="521"/>
    </w:p>
    <w:p w14:paraId="41A64159">
      <w:pPr>
        <w:pStyle w:val="523"/>
        <w:ind w:firstLine="420"/>
        <w:rPr>
          <w:rFonts w:ascii="Times New Roman" w:hAnsi="Times New Roman"/>
          <w:color w:val="auto"/>
          <w:highlight w:val="none"/>
        </w:rPr>
      </w:pPr>
      <w:r>
        <w:rPr>
          <w:rFonts w:hint="eastAsia" w:ascii="Times New Roman" w:hAnsi="Times New Roman"/>
          <w:color w:val="auto"/>
          <w:highlight w:val="none"/>
        </w:rPr>
        <w:t>不论何种原因造成工程的实际进度与第</w:t>
      </w:r>
      <w:r>
        <w:rPr>
          <w:rFonts w:hint="eastAsia" w:ascii="Times New Roman" w:hAnsi="Times New Roman"/>
          <w:color w:val="auto"/>
          <w:highlight w:val="none"/>
          <w:lang w:val="en-US" w:bidi="en-US"/>
        </w:rPr>
        <w:t xml:space="preserve">10. </w:t>
      </w:r>
      <w:r>
        <w:rPr>
          <w:rFonts w:hint="eastAsia" w:ascii="Times New Roman" w:hAnsi="Times New Roman"/>
          <w:color w:val="auto"/>
          <w:highlight w:val="none"/>
        </w:rPr>
        <w:t>1款的合同进度计划不符时，承包人均应在 14天内向监理人提交修订合同进度计划的申请报告，并附有关措施和相关资料，报监理人审批；监理人应在收到申请报告后的14天内批复。当监理人认为需要修订合同进度计划 时，承包人应按监理人的指示，在14天内向监理人提交修订的合同进度计划，并附调整计 划的相关资料，提交监理人审批。监理人应在收到进度计划后的14天内批复。</w:t>
      </w:r>
    </w:p>
    <w:p w14:paraId="2225DC3C">
      <w:pPr>
        <w:pStyle w:val="523"/>
        <w:ind w:firstLine="420"/>
        <w:rPr>
          <w:rFonts w:ascii="Times New Roman" w:hAnsi="Times New Roman"/>
          <w:color w:val="auto"/>
          <w:highlight w:val="none"/>
        </w:rPr>
      </w:pPr>
      <w:r>
        <w:rPr>
          <w:rFonts w:hint="eastAsia" w:ascii="Times New Roman" w:hAnsi="Times New Roman"/>
          <w:color w:val="auto"/>
          <w:highlight w:val="none"/>
        </w:rPr>
        <w:t>不论何种原因造成施工进度延迟，承包人均应按监理人的指示，采取有效措施赶上进度。承包人应在向监理人提交修订合同进度计划的同时，编制一份赶工措施报告提交监理人审批。由于发包人原因造成施工进度延迟，应按第</w:t>
      </w:r>
      <w:r>
        <w:rPr>
          <w:rFonts w:hint="eastAsia" w:ascii="Times New Roman" w:hAnsi="Times New Roman"/>
          <w:color w:val="auto"/>
          <w:highlight w:val="none"/>
          <w:lang w:val="en-US" w:bidi="en-US"/>
        </w:rPr>
        <w:t xml:space="preserve">11. </w:t>
      </w:r>
      <w:r>
        <w:rPr>
          <w:rFonts w:hint="eastAsia" w:ascii="Times New Roman" w:hAnsi="Times New Roman"/>
          <w:color w:val="auto"/>
          <w:highlight w:val="none"/>
        </w:rPr>
        <w:t>3款的约定办理；由于承包人原因造成施工进度延迟，应按第</w:t>
      </w:r>
      <w:r>
        <w:rPr>
          <w:rFonts w:hint="eastAsia" w:ascii="Times New Roman" w:hAnsi="Times New Roman"/>
          <w:color w:val="auto"/>
          <w:highlight w:val="none"/>
          <w:lang w:val="en-US" w:bidi="en-US"/>
        </w:rPr>
        <w:t xml:space="preserve">11. </w:t>
      </w:r>
      <w:r>
        <w:rPr>
          <w:rFonts w:hint="eastAsia" w:ascii="Times New Roman" w:hAnsi="Times New Roman"/>
          <w:color w:val="auto"/>
          <w:highlight w:val="none"/>
        </w:rPr>
        <w:t>5款的约定办理。</w:t>
      </w:r>
    </w:p>
    <w:p w14:paraId="217EA8AA">
      <w:pPr>
        <w:spacing w:line="360" w:lineRule="auto"/>
        <w:rPr>
          <w:color w:val="auto"/>
          <w:highlight w:val="none"/>
        </w:rPr>
      </w:pPr>
      <w:bookmarkStart w:id="522" w:name="bookmark1160"/>
      <w:bookmarkStart w:id="523" w:name="bookmark1158"/>
      <w:bookmarkStart w:id="524" w:name="bookmark1159"/>
      <w:bookmarkStart w:id="525" w:name="_Toc25361"/>
      <w:r>
        <w:rPr>
          <w:color w:val="auto"/>
          <w:highlight w:val="none"/>
        </w:rPr>
        <w:t>10.3单位工程进度计划</w:t>
      </w:r>
      <w:bookmarkEnd w:id="522"/>
      <w:bookmarkEnd w:id="523"/>
      <w:bookmarkEnd w:id="524"/>
      <w:bookmarkEnd w:id="525"/>
    </w:p>
    <w:p w14:paraId="13194472">
      <w:pPr>
        <w:pStyle w:val="523"/>
        <w:ind w:firstLine="420"/>
        <w:rPr>
          <w:rFonts w:ascii="Times New Roman" w:hAnsi="Times New Roman"/>
          <w:color w:val="auto"/>
          <w:highlight w:val="none"/>
        </w:rPr>
      </w:pPr>
      <w:r>
        <w:rPr>
          <w:rFonts w:hint="eastAsia" w:ascii="Times New Roman" w:hAnsi="Times New Roman"/>
          <w:color w:val="auto"/>
          <w:highlight w:val="none"/>
        </w:rPr>
        <w:t>监理人认为有必要时，承包人应按监理人指示的内容和期限，并根据合同进度计划的进度控制要求，编制单位工程进度计划，提交监理人审批。</w:t>
      </w:r>
    </w:p>
    <w:p w14:paraId="4B639637">
      <w:pPr>
        <w:spacing w:line="360" w:lineRule="auto"/>
        <w:rPr>
          <w:color w:val="auto"/>
          <w:highlight w:val="none"/>
        </w:rPr>
      </w:pPr>
      <w:bookmarkStart w:id="526" w:name="_Toc18009"/>
      <w:bookmarkStart w:id="527" w:name="bookmark1162"/>
      <w:bookmarkStart w:id="528" w:name="bookmark1161"/>
      <w:bookmarkStart w:id="529" w:name="bookmark1163"/>
      <w:r>
        <w:rPr>
          <w:color w:val="auto"/>
          <w:highlight w:val="none"/>
        </w:rPr>
        <w:t>10.4提交资金流估算表</w:t>
      </w:r>
      <w:bookmarkEnd w:id="526"/>
      <w:bookmarkEnd w:id="527"/>
      <w:bookmarkEnd w:id="528"/>
      <w:bookmarkEnd w:id="529"/>
    </w:p>
    <w:p w14:paraId="46869CCA">
      <w:pPr>
        <w:pStyle w:val="523"/>
        <w:ind w:firstLine="420"/>
        <w:rPr>
          <w:rFonts w:ascii="Times New Roman" w:hAnsi="Times New Roman"/>
          <w:color w:val="auto"/>
          <w:highlight w:val="none"/>
        </w:rPr>
      </w:pPr>
      <w:r>
        <w:rPr>
          <w:rFonts w:hint="eastAsia" w:ascii="Times New Roman" w:hAnsi="Times New Roman"/>
          <w:color w:val="auto"/>
          <w:highlight w:val="none"/>
        </w:rPr>
        <w:t>承包人应在按第</w:t>
      </w:r>
      <w:r>
        <w:rPr>
          <w:rFonts w:hint="eastAsia" w:ascii="Times New Roman" w:hAnsi="Times New Roman"/>
          <w:color w:val="auto"/>
          <w:highlight w:val="none"/>
          <w:lang w:val="en-US" w:bidi="en-US"/>
        </w:rPr>
        <w:t xml:space="preserve">10. </w:t>
      </w:r>
      <w:r>
        <w:rPr>
          <w:rFonts w:hint="eastAsia" w:ascii="Times New Roman" w:hAnsi="Times New Roman"/>
          <w:color w:val="auto"/>
          <w:highlight w:val="none"/>
        </w:rPr>
        <w:t>1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14:paraId="3539BEEF">
      <w:pPr>
        <w:pStyle w:val="523"/>
        <w:tabs>
          <w:tab w:val="left" w:pos="3329"/>
        </w:tabs>
        <w:spacing w:after="100"/>
        <w:ind w:firstLine="0"/>
        <w:jc w:val="center"/>
        <w:rPr>
          <w:rFonts w:ascii="Times New Roman" w:hAnsi="Times New Roman"/>
          <w:color w:val="auto"/>
          <w:highlight w:val="none"/>
        </w:rPr>
      </w:pPr>
      <w:r>
        <w:rPr>
          <w:rFonts w:hint="eastAsia" w:ascii="Times New Roman" w:hAnsi="Times New Roman"/>
          <w:color w:val="auto"/>
          <w:highlight w:val="none"/>
          <w:lang w:val="en-US"/>
        </w:rPr>
        <w:t xml:space="preserve">                          </w:t>
      </w:r>
      <w:r>
        <w:rPr>
          <w:rFonts w:ascii="Times New Roman" w:hAnsi="Times New Roman"/>
          <w:color w:val="auto"/>
          <w:highlight w:val="none"/>
        </w:rPr>
        <w:t>资金流估算表（参考格式）</w:t>
      </w:r>
      <w:r>
        <w:rPr>
          <w:rFonts w:hint="eastAsia" w:ascii="Times New Roman" w:hAnsi="Times New Roman"/>
          <w:color w:val="auto"/>
          <w:highlight w:val="none"/>
          <w:lang w:val="en-US"/>
        </w:rPr>
        <w:t xml:space="preserve">                   </w:t>
      </w:r>
      <w:r>
        <w:rPr>
          <w:rFonts w:ascii="Times New Roman" w:hAnsi="Times New Roman"/>
          <w:color w:val="auto"/>
          <w:highlight w:val="none"/>
        </w:rPr>
        <w:t>金额单位</w:t>
      </w:r>
      <w:r>
        <w:rPr>
          <w:rFonts w:hint="eastAsia" w:ascii="Times New Roman" w:hAnsi="Times New Roman"/>
          <w:color w:val="auto"/>
          <w:highlight w:val="none"/>
        </w:rPr>
        <w:t>：</w:t>
      </w:r>
    </w:p>
    <w:tbl>
      <w:tblPr>
        <w:tblStyle w:val="55"/>
        <w:tblW w:w="0" w:type="auto"/>
        <w:jc w:val="center"/>
        <w:tblLayout w:type="fixed"/>
        <w:tblCellMar>
          <w:top w:w="0" w:type="dxa"/>
          <w:left w:w="10" w:type="dxa"/>
          <w:bottom w:w="0" w:type="dxa"/>
          <w:right w:w="10" w:type="dxa"/>
        </w:tblCellMar>
      </w:tblPr>
      <w:tblGrid>
        <w:gridCol w:w="428"/>
        <w:gridCol w:w="432"/>
        <w:gridCol w:w="1022"/>
        <w:gridCol w:w="1416"/>
        <w:gridCol w:w="1022"/>
        <w:gridCol w:w="1018"/>
        <w:gridCol w:w="1022"/>
        <w:gridCol w:w="451"/>
        <w:gridCol w:w="682"/>
        <w:gridCol w:w="1142"/>
      </w:tblGrid>
      <w:tr w14:paraId="7B52AB83">
        <w:tblPrEx>
          <w:tblCellMar>
            <w:top w:w="0" w:type="dxa"/>
            <w:left w:w="10" w:type="dxa"/>
            <w:bottom w:w="0" w:type="dxa"/>
            <w:right w:w="10" w:type="dxa"/>
          </w:tblCellMar>
        </w:tblPrEx>
        <w:trPr>
          <w:trHeight w:val="456" w:hRule="exact"/>
          <w:jc w:val="center"/>
        </w:trPr>
        <w:tc>
          <w:tcPr>
            <w:tcW w:w="428" w:type="dxa"/>
            <w:tcBorders>
              <w:top w:val="single" w:color="auto" w:sz="4" w:space="0"/>
              <w:left w:val="single" w:color="auto" w:sz="4" w:space="0"/>
            </w:tcBorders>
            <w:shd w:val="clear" w:color="auto" w:fill="FFFFFF"/>
            <w:vAlign w:val="center"/>
          </w:tcPr>
          <w:p w14:paraId="035EB098">
            <w:pPr>
              <w:pStyle w:val="525"/>
              <w:ind w:firstLine="0"/>
              <w:jc w:val="center"/>
              <w:rPr>
                <w:rFonts w:ascii="Times New Roman" w:hAnsi="Times New Roman"/>
                <w:color w:val="auto"/>
                <w:sz w:val="18"/>
                <w:szCs w:val="18"/>
                <w:highlight w:val="none"/>
              </w:rPr>
            </w:pPr>
            <w:r>
              <w:rPr>
                <w:rFonts w:ascii="Times New Roman" w:hAnsi="Times New Roman"/>
                <w:color w:val="auto"/>
                <w:sz w:val="18"/>
                <w:szCs w:val="18"/>
                <w:highlight w:val="none"/>
              </w:rPr>
              <w:t>年</w:t>
            </w:r>
          </w:p>
        </w:tc>
        <w:tc>
          <w:tcPr>
            <w:tcW w:w="432" w:type="dxa"/>
            <w:tcBorders>
              <w:top w:val="single" w:color="auto" w:sz="4" w:space="0"/>
              <w:left w:val="single" w:color="auto" w:sz="4" w:space="0"/>
            </w:tcBorders>
            <w:shd w:val="clear" w:color="auto" w:fill="FFFFFF"/>
            <w:vAlign w:val="center"/>
          </w:tcPr>
          <w:p w14:paraId="62A95B8F">
            <w:pPr>
              <w:pStyle w:val="525"/>
              <w:ind w:firstLine="0"/>
              <w:jc w:val="center"/>
              <w:rPr>
                <w:rFonts w:ascii="Times New Roman" w:hAnsi="Times New Roman"/>
                <w:color w:val="auto"/>
                <w:sz w:val="18"/>
                <w:szCs w:val="18"/>
                <w:highlight w:val="none"/>
              </w:rPr>
            </w:pPr>
            <w:r>
              <w:rPr>
                <w:rFonts w:ascii="Times New Roman" w:hAnsi="Times New Roman"/>
                <w:color w:val="auto"/>
                <w:sz w:val="18"/>
                <w:szCs w:val="18"/>
                <w:highlight w:val="none"/>
              </w:rPr>
              <w:t>月</w:t>
            </w:r>
          </w:p>
        </w:tc>
        <w:tc>
          <w:tcPr>
            <w:tcW w:w="1022" w:type="dxa"/>
            <w:tcBorders>
              <w:top w:val="single" w:color="auto" w:sz="4" w:space="0"/>
              <w:left w:val="single" w:color="auto" w:sz="4" w:space="0"/>
            </w:tcBorders>
            <w:shd w:val="clear" w:color="auto" w:fill="FFFFFF"/>
            <w:vAlign w:val="center"/>
          </w:tcPr>
          <w:p w14:paraId="162A5A76">
            <w:pPr>
              <w:pStyle w:val="525"/>
              <w:ind w:firstLine="0"/>
              <w:jc w:val="center"/>
              <w:rPr>
                <w:rFonts w:ascii="Times New Roman" w:hAnsi="Times New Roman"/>
                <w:color w:val="auto"/>
                <w:sz w:val="18"/>
                <w:szCs w:val="18"/>
                <w:highlight w:val="none"/>
              </w:rPr>
            </w:pPr>
            <w:r>
              <w:rPr>
                <w:rFonts w:ascii="Times New Roman" w:hAnsi="Times New Roman"/>
                <w:color w:val="auto"/>
                <w:sz w:val="18"/>
                <w:szCs w:val="18"/>
                <w:highlight w:val="none"/>
              </w:rPr>
              <w:t>工程预付款</w:t>
            </w:r>
          </w:p>
        </w:tc>
        <w:tc>
          <w:tcPr>
            <w:tcW w:w="1416" w:type="dxa"/>
            <w:tcBorders>
              <w:top w:val="single" w:color="auto" w:sz="4" w:space="0"/>
              <w:left w:val="single" w:color="auto" w:sz="4" w:space="0"/>
            </w:tcBorders>
            <w:shd w:val="clear" w:color="auto" w:fill="FFFFFF"/>
            <w:vAlign w:val="center"/>
          </w:tcPr>
          <w:p w14:paraId="71DD2EB7">
            <w:pPr>
              <w:pStyle w:val="525"/>
              <w:ind w:firstLine="0"/>
              <w:jc w:val="center"/>
              <w:rPr>
                <w:rFonts w:ascii="Times New Roman" w:hAnsi="Times New Roman"/>
                <w:color w:val="auto"/>
                <w:sz w:val="18"/>
                <w:szCs w:val="18"/>
                <w:highlight w:val="none"/>
              </w:rPr>
            </w:pPr>
            <w:r>
              <w:rPr>
                <w:rFonts w:ascii="Times New Roman" w:hAnsi="Times New Roman"/>
                <w:color w:val="auto"/>
                <w:sz w:val="18"/>
                <w:szCs w:val="18"/>
                <w:highlight w:val="none"/>
              </w:rPr>
              <w:t>完成工作量付款</w:t>
            </w:r>
          </w:p>
        </w:tc>
        <w:tc>
          <w:tcPr>
            <w:tcW w:w="1022" w:type="dxa"/>
            <w:tcBorders>
              <w:top w:val="single" w:color="auto" w:sz="4" w:space="0"/>
              <w:left w:val="single" w:color="auto" w:sz="4" w:space="0"/>
            </w:tcBorders>
            <w:shd w:val="clear" w:color="auto" w:fill="FFFFFF"/>
            <w:vAlign w:val="center"/>
          </w:tcPr>
          <w:p w14:paraId="4D56181E">
            <w:pPr>
              <w:pStyle w:val="525"/>
              <w:ind w:firstLine="0"/>
              <w:jc w:val="center"/>
              <w:rPr>
                <w:rFonts w:ascii="Times New Roman" w:hAnsi="Times New Roman"/>
                <w:color w:val="auto"/>
                <w:sz w:val="18"/>
                <w:szCs w:val="18"/>
                <w:highlight w:val="none"/>
              </w:rPr>
            </w:pPr>
            <w:r>
              <w:rPr>
                <w:rFonts w:ascii="Times New Roman" w:hAnsi="Times New Roman"/>
                <w:color w:val="auto"/>
                <w:sz w:val="18"/>
                <w:szCs w:val="18"/>
                <w:highlight w:val="none"/>
              </w:rPr>
              <w:t>保留金扣留</w:t>
            </w:r>
          </w:p>
        </w:tc>
        <w:tc>
          <w:tcPr>
            <w:tcW w:w="1018" w:type="dxa"/>
            <w:tcBorders>
              <w:top w:val="single" w:color="auto" w:sz="4" w:space="0"/>
              <w:left w:val="single" w:color="auto" w:sz="4" w:space="0"/>
            </w:tcBorders>
            <w:shd w:val="clear" w:color="auto" w:fill="FFFFFF"/>
            <w:vAlign w:val="center"/>
          </w:tcPr>
          <w:p w14:paraId="7AE817A1">
            <w:pPr>
              <w:pStyle w:val="525"/>
              <w:ind w:firstLine="0"/>
              <w:jc w:val="center"/>
              <w:rPr>
                <w:rFonts w:ascii="Times New Roman" w:hAnsi="Times New Roman"/>
                <w:color w:val="auto"/>
                <w:sz w:val="18"/>
                <w:szCs w:val="18"/>
                <w:highlight w:val="none"/>
              </w:rPr>
            </w:pPr>
            <w:r>
              <w:rPr>
                <w:rFonts w:ascii="Times New Roman" w:hAnsi="Times New Roman"/>
                <w:color w:val="auto"/>
                <w:sz w:val="18"/>
                <w:szCs w:val="18"/>
                <w:highlight w:val="none"/>
              </w:rPr>
              <w:t>材料款扣除</w:t>
            </w:r>
          </w:p>
        </w:tc>
        <w:tc>
          <w:tcPr>
            <w:tcW w:w="1022" w:type="dxa"/>
            <w:tcBorders>
              <w:top w:val="single" w:color="auto" w:sz="4" w:space="0"/>
              <w:left w:val="single" w:color="auto" w:sz="4" w:space="0"/>
            </w:tcBorders>
            <w:shd w:val="clear" w:color="auto" w:fill="FFFFFF"/>
            <w:vAlign w:val="center"/>
          </w:tcPr>
          <w:p w14:paraId="34DF686F">
            <w:pPr>
              <w:pStyle w:val="525"/>
              <w:ind w:firstLine="0"/>
              <w:jc w:val="center"/>
              <w:rPr>
                <w:rFonts w:ascii="Times New Roman" w:hAnsi="Times New Roman"/>
                <w:color w:val="auto"/>
                <w:sz w:val="18"/>
                <w:szCs w:val="18"/>
                <w:highlight w:val="none"/>
              </w:rPr>
            </w:pPr>
            <w:r>
              <w:rPr>
                <w:rFonts w:ascii="Times New Roman" w:hAnsi="Times New Roman"/>
                <w:color w:val="auto"/>
                <w:sz w:val="18"/>
                <w:szCs w:val="18"/>
                <w:highlight w:val="none"/>
              </w:rPr>
              <w:t>预付款扣还</w:t>
            </w:r>
          </w:p>
        </w:tc>
        <w:tc>
          <w:tcPr>
            <w:tcW w:w="451" w:type="dxa"/>
            <w:tcBorders>
              <w:top w:val="single" w:color="auto" w:sz="4" w:space="0"/>
              <w:left w:val="single" w:color="auto" w:sz="4" w:space="0"/>
            </w:tcBorders>
            <w:shd w:val="clear" w:color="auto" w:fill="FFFFFF"/>
            <w:vAlign w:val="center"/>
          </w:tcPr>
          <w:p w14:paraId="79B6485B">
            <w:pPr>
              <w:pStyle w:val="525"/>
              <w:ind w:firstLine="0"/>
              <w:jc w:val="center"/>
              <w:rPr>
                <w:rFonts w:ascii="Times New Roman" w:hAnsi="Times New Roman"/>
                <w:color w:val="auto"/>
                <w:sz w:val="18"/>
                <w:szCs w:val="18"/>
                <w:highlight w:val="none"/>
              </w:rPr>
            </w:pPr>
            <w:r>
              <w:rPr>
                <w:rFonts w:ascii="Times New Roman" w:hAnsi="Times New Roman"/>
                <w:color w:val="auto"/>
                <w:sz w:val="18"/>
                <w:szCs w:val="18"/>
                <w:highlight w:val="none"/>
              </w:rPr>
              <w:t>其他</w:t>
            </w:r>
          </w:p>
        </w:tc>
        <w:tc>
          <w:tcPr>
            <w:tcW w:w="682" w:type="dxa"/>
            <w:tcBorders>
              <w:top w:val="single" w:color="auto" w:sz="4" w:space="0"/>
              <w:left w:val="single" w:color="auto" w:sz="4" w:space="0"/>
            </w:tcBorders>
            <w:shd w:val="clear" w:color="auto" w:fill="FFFFFF"/>
            <w:vAlign w:val="center"/>
          </w:tcPr>
          <w:p w14:paraId="6102C9B0">
            <w:pPr>
              <w:pStyle w:val="525"/>
              <w:ind w:firstLine="0"/>
              <w:jc w:val="center"/>
              <w:rPr>
                <w:rFonts w:ascii="Times New Roman" w:hAnsi="Times New Roman"/>
                <w:color w:val="auto"/>
                <w:sz w:val="18"/>
                <w:szCs w:val="18"/>
                <w:highlight w:val="none"/>
              </w:rPr>
            </w:pPr>
            <w:r>
              <w:rPr>
                <w:rFonts w:ascii="Times New Roman" w:hAnsi="Times New Roman"/>
                <w:color w:val="auto"/>
                <w:sz w:val="18"/>
                <w:szCs w:val="18"/>
                <w:highlight w:val="none"/>
              </w:rPr>
              <w:t>应收款</w:t>
            </w:r>
          </w:p>
        </w:tc>
        <w:tc>
          <w:tcPr>
            <w:tcW w:w="1142" w:type="dxa"/>
            <w:tcBorders>
              <w:top w:val="single" w:color="auto" w:sz="4" w:space="0"/>
              <w:left w:val="single" w:color="auto" w:sz="4" w:space="0"/>
              <w:right w:val="single" w:color="auto" w:sz="4" w:space="0"/>
            </w:tcBorders>
            <w:shd w:val="clear" w:color="auto" w:fill="FFFFFF"/>
            <w:vAlign w:val="center"/>
          </w:tcPr>
          <w:p w14:paraId="43003DE1">
            <w:pPr>
              <w:pStyle w:val="525"/>
              <w:ind w:firstLine="0"/>
              <w:jc w:val="center"/>
              <w:rPr>
                <w:rFonts w:ascii="Times New Roman" w:hAnsi="Times New Roman"/>
                <w:color w:val="auto"/>
                <w:sz w:val="18"/>
                <w:szCs w:val="18"/>
                <w:highlight w:val="none"/>
              </w:rPr>
            </w:pPr>
            <w:r>
              <w:rPr>
                <w:rFonts w:ascii="Times New Roman" w:hAnsi="Times New Roman"/>
                <w:color w:val="auto"/>
                <w:sz w:val="18"/>
                <w:szCs w:val="18"/>
                <w:highlight w:val="none"/>
              </w:rPr>
              <w:t>累计应收款</w:t>
            </w:r>
          </w:p>
        </w:tc>
      </w:tr>
      <w:tr w14:paraId="7C8A3721">
        <w:tblPrEx>
          <w:tblCellMar>
            <w:top w:w="0" w:type="dxa"/>
            <w:left w:w="10" w:type="dxa"/>
            <w:bottom w:w="0" w:type="dxa"/>
            <w:right w:w="10" w:type="dxa"/>
          </w:tblCellMar>
        </w:tblPrEx>
        <w:trPr>
          <w:trHeight w:val="456" w:hRule="exact"/>
          <w:jc w:val="center"/>
        </w:trPr>
        <w:tc>
          <w:tcPr>
            <w:tcW w:w="428" w:type="dxa"/>
            <w:tcBorders>
              <w:top w:val="single" w:color="auto" w:sz="4" w:space="0"/>
              <w:left w:val="single" w:color="auto" w:sz="4" w:space="0"/>
            </w:tcBorders>
            <w:shd w:val="clear" w:color="auto" w:fill="FFFFFF"/>
          </w:tcPr>
          <w:p w14:paraId="2D8ACB6F">
            <w:pPr>
              <w:spacing w:line="360" w:lineRule="auto"/>
              <w:rPr>
                <w:color w:val="auto"/>
                <w:sz w:val="18"/>
                <w:szCs w:val="18"/>
                <w:highlight w:val="none"/>
              </w:rPr>
            </w:pPr>
          </w:p>
        </w:tc>
        <w:tc>
          <w:tcPr>
            <w:tcW w:w="432" w:type="dxa"/>
            <w:tcBorders>
              <w:top w:val="single" w:color="auto" w:sz="4" w:space="0"/>
              <w:left w:val="single" w:color="auto" w:sz="4" w:space="0"/>
            </w:tcBorders>
            <w:shd w:val="clear" w:color="auto" w:fill="FFFFFF"/>
          </w:tcPr>
          <w:p w14:paraId="40AB2B21">
            <w:pPr>
              <w:spacing w:line="360" w:lineRule="auto"/>
              <w:rPr>
                <w:color w:val="auto"/>
                <w:sz w:val="18"/>
                <w:szCs w:val="18"/>
                <w:highlight w:val="none"/>
              </w:rPr>
            </w:pPr>
          </w:p>
        </w:tc>
        <w:tc>
          <w:tcPr>
            <w:tcW w:w="1022" w:type="dxa"/>
            <w:tcBorders>
              <w:top w:val="single" w:color="auto" w:sz="4" w:space="0"/>
              <w:left w:val="single" w:color="auto" w:sz="4" w:space="0"/>
            </w:tcBorders>
            <w:shd w:val="clear" w:color="auto" w:fill="FFFFFF"/>
          </w:tcPr>
          <w:p w14:paraId="01A2679C">
            <w:pPr>
              <w:spacing w:line="360" w:lineRule="auto"/>
              <w:rPr>
                <w:color w:val="auto"/>
                <w:sz w:val="18"/>
                <w:szCs w:val="18"/>
                <w:highlight w:val="none"/>
              </w:rPr>
            </w:pPr>
          </w:p>
        </w:tc>
        <w:tc>
          <w:tcPr>
            <w:tcW w:w="1416" w:type="dxa"/>
            <w:tcBorders>
              <w:top w:val="single" w:color="auto" w:sz="4" w:space="0"/>
              <w:left w:val="single" w:color="auto" w:sz="4" w:space="0"/>
            </w:tcBorders>
            <w:shd w:val="clear" w:color="auto" w:fill="FFFFFF"/>
          </w:tcPr>
          <w:p w14:paraId="4E6D7E3F">
            <w:pPr>
              <w:spacing w:line="360" w:lineRule="auto"/>
              <w:rPr>
                <w:color w:val="auto"/>
                <w:sz w:val="18"/>
                <w:szCs w:val="18"/>
                <w:highlight w:val="none"/>
              </w:rPr>
            </w:pPr>
          </w:p>
        </w:tc>
        <w:tc>
          <w:tcPr>
            <w:tcW w:w="1022" w:type="dxa"/>
            <w:tcBorders>
              <w:top w:val="single" w:color="auto" w:sz="4" w:space="0"/>
              <w:left w:val="single" w:color="auto" w:sz="4" w:space="0"/>
            </w:tcBorders>
            <w:shd w:val="clear" w:color="auto" w:fill="FFFFFF"/>
          </w:tcPr>
          <w:p w14:paraId="59912807">
            <w:pPr>
              <w:spacing w:line="360" w:lineRule="auto"/>
              <w:rPr>
                <w:color w:val="auto"/>
                <w:sz w:val="18"/>
                <w:szCs w:val="18"/>
                <w:highlight w:val="none"/>
              </w:rPr>
            </w:pPr>
          </w:p>
        </w:tc>
        <w:tc>
          <w:tcPr>
            <w:tcW w:w="1018" w:type="dxa"/>
            <w:tcBorders>
              <w:top w:val="single" w:color="auto" w:sz="4" w:space="0"/>
              <w:left w:val="single" w:color="auto" w:sz="4" w:space="0"/>
            </w:tcBorders>
            <w:shd w:val="clear" w:color="auto" w:fill="FFFFFF"/>
          </w:tcPr>
          <w:p w14:paraId="30B9847D">
            <w:pPr>
              <w:spacing w:line="360" w:lineRule="auto"/>
              <w:rPr>
                <w:color w:val="auto"/>
                <w:sz w:val="18"/>
                <w:szCs w:val="18"/>
                <w:highlight w:val="none"/>
              </w:rPr>
            </w:pPr>
          </w:p>
        </w:tc>
        <w:tc>
          <w:tcPr>
            <w:tcW w:w="1022" w:type="dxa"/>
            <w:tcBorders>
              <w:top w:val="single" w:color="auto" w:sz="4" w:space="0"/>
              <w:left w:val="single" w:color="auto" w:sz="4" w:space="0"/>
            </w:tcBorders>
            <w:shd w:val="clear" w:color="auto" w:fill="FFFFFF"/>
          </w:tcPr>
          <w:p w14:paraId="581C711F">
            <w:pPr>
              <w:spacing w:line="360" w:lineRule="auto"/>
              <w:rPr>
                <w:color w:val="auto"/>
                <w:sz w:val="18"/>
                <w:szCs w:val="18"/>
                <w:highlight w:val="none"/>
              </w:rPr>
            </w:pPr>
          </w:p>
        </w:tc>
        <w:tc>
          <w:tcPr>
            <w:tcW w:w="451" w:type="dxa"/>
            <w:tcBorders>
              <w:top w:val="single" w:color="auto" w:sz="4" w:space="0"/>
              <w:left w:val="single" w:color="auto" w:sz="4" w:space="0"/>
            </w:tcBorders>
            <w:shd w:val="clear" w:color="auto" w:fill="FFFFFF"/>
          </w:tcPr>
          <w:p w14:paraId="562C9790">
            <w:pPr>
              <w:spacing w:line="360" w:lineRule="auto"/>
              <w:rPr>
                <w:color w:val="auto"/>
                <w:sz w:val="18"/>
                <w:szCs w:val="18"/>
                <w:highlight w:val="none"/>
              </w:rPr>
            </w:pPr>
          </w:p>
        </w:tc>
        <w:tc>
          <w:tcPr>
            <w:tcW w:w="682" w:type="dxa"/>
            <w:tcBorders>
              <w:top w:val="single" w:color="auto" w:sz="4" w:space="0"/>
              <w:left w:val="single" w:color="auto" w:sz="4" w:space="0"/>
            </w:tcBorders>
            <w:shd w:val="clear" w:color="auto" w:fill="FFFFFF"/>
          </w:tcPr>
          <w:p w14:paraId="07BF5F56">
            <w:pPr>
              <w:spacing w:line="360" w:lineRule="auto"/>
              <w:rPr>
                <w:color w:val="auto"/>
                <w:sz w:val="18"/>
                <w:szCs w:val="18"/>
                <w:highlight w:val="none"/>
              </w:rPr>
            </w:pPr>
          </w:p>
        </w:tc>
        <w:tc>
          <w:tcPr>
            <w:tcW w:w="1142" w:type="dxa"/>
            <w:tcBorders>
              <w:top w:val="single" w:color="auto" w:sz="4" w:space="0"/>
              <w:left w:val="single" w:color="auto" w:sz="4" w:space="0"/>
              <w:right w:val="single" w:color="auto" w:sz="4" w:space="0"/>
            </w:tcBorders>
            <w:shd w:val="clear" w:color="auto" w:fill="FFFFFF"/>
          </w:tcPr>
          <w:p w14:paraId="53B9088F">
            <w:pPr>
              <w:spacing w:line="360" w:lineRule="auto"/>
              <w:rPr>
                <w:color w:val="auto"/>
                <w:sz w:val="18"/>
                <w:szCs w:val="18"/>
                <w:highlight w:val="none"/>
              </w:rPr>
            </w:pPr>
          </w:p>
        </w:tc>
      </w:tr>
      <w:tr w14:paraId="7768147B">
        <w:tblPrEx>
          <w:tblCellMar>
            <w:top w:w="0" w:type="dxa"/>
            <w:left w:w="10" w:type="dxa"/>
            <w:bottom w:w="0" w:type="dxa"/>
            <w:right w:w="10" w:type="dxa"/>
          </w:tblCellMar>
        </w:tblPrEx>
        <w:trPr>
          <w:trHeight w:val="456" w:hRule="exact"/>
          <w:jc w:val="center"/>
        </w:trPr>
        <w:tc>
          <w:tcPr>
            <w:tcW w:w="428" w:type="dxa"/>
            <w:tcBorders>
              <w:top w:val="single" w:color="auto" w:sz="4" w:space="0"/>
              <w:left w:val="single" w:color="auto" w:sz="4" w:space="0"/>
            </w:tcBorders>
            <w:shd w:val="clear" w:color="auto" w:fill="FFFFFF"/>
          </w:tcPr>
          <w:p w14:paraId="5D71DD61">
            <w:pPr>
              <w:spacing w:line="360" w:lineRule="auto"/>
              <w:rPr>
                <w:color w:val="auto"/>
                <w:sz w:val="18"/>
                <w:szCs w:val="18"/>
                <w:highlight w:val="none"/>
              </w:rPr>
            </w:pPr>
          </w:p>
        </w:tc>
        <w:tc>
          <w:tcPr>
            <w:tcW w:w="432" w:type="dxa"/>
            <w:tcBorders>
              <w:top w:val="single" w:color="auto" w:sz="4" w:space="0"/>
              <w:left w:val="single" w:color="auto" w:sz="4" w:space="0"/>
            </w:tcBorders>
            <w:shd w:val="clear" w:color="auto" w:fill="FFFFFF"/>
          </w:tcPr>
          <w:p w14:paraId="7446BDC2">
            <w:pPr>
              <w:spacing w:line="360" w:lineRule="auto"/>
              <w:rPr>
                <w:color w:val="auto"/>
                <w:sz w:val="18"/>
                <w:szCs w:val="18"/>
                <w:highlight w:val="none"/>
              </w:rPr>
            </w:pPr>
          </w:p>
        </w:tc>
        <w:tc>
          <w:tcPr>
            <w:tcW w:w="1022" w:type="dxa"/>
            <w:tcBorders>
              <w:top w:val="single" w:color="auto" w:sz="4" w:space="0"/>
              <w:left w:val="single" w:color="auto" w:sz="4" w:space="0"/>
            </w:tcBorders>
            <w:shd w:val="clear" w:color="auto" w:fill="FFFFFF"/>
          </w:tcPr>
          <w:p w14:paraId="58EAAE6A">
            <w:pPr>
              <w:spacing w:line="360" w:lineRule="auto"/>
              <w:rPr>
                <w:color w:val="auto"/>
                <w:sz w:val="18"/>
                <w:szCs w:val="18"/>
                <w:highlight w:val="none"/>
              </w:rPr>
            </w:pPr>
          </w:p>
        </w:tc>
        <w:tc>
          <w:tcPr>
            <w:tcW w:w="1416" w:type="dxa"/>
            <w:tcBorders>
              <w:top w:val="single" w:color="auto" w:sz="4" w:space="0"/>
              <w:left w:val="single" w:color="auto" w:sz="4" w:space="0"/>
            </w:tcBorders>
            <w:shd w:val="clear" w:color="auto" w:fill="FFFFFF"/>
          </w:tcPr>
          <w:p w14:paraId="3E320AEC">
            <w:pPr>
              <w:spacing w:line="360" w:lineRule="auto"/>
              <w:rPr>
                <w:color w:val="auto"/>
                <w:sz w:val="18"/>
                <w:szCs w:val="18"/>
                <w:highlight w:val="none"/>
              </w:rPr>
            </w:pPr>
          </w:p>
        </w:tc>
        <w:tc>
          <w:tcPr>
            <w:tcW w:w="1022" w:type="dxa"/>
            <w:tcBorders>
              <w:top w:val="single" w:color="auto" w:sz="4" w:space="0"/>
              <w:left w:val="single" w:color="auto" w:sz="4" w:space="0"/>
            </w:tcBorders>
            <w:shd w:val="clear" w:color="auto" w:fill="FFFFFF"/>
          </w:tcPr>
          <w:p w14:paraId="20D9E796">
            <w:pPr>
              <w:spacing w:line="360" w:lineRule="auto"/>
              <w:rPr>
                <w:color w:val="auto"/>
                <w:sz w:val="18"/>
                <w:szCs w:val="18"/>
                <w:highlight w:val="none"/>
              </w:rPr>
            </w:pPr>
          </w:p>
        </w:tc>
        <w:tc>
          <w:tcPr>
            <w:tcW w:w="1018" w:type="dxa"/>
            <w:tcBorders>
              <w:top w:val="single" w:color="auto" w:sz="4" w:space="0"/>
              <w:left w:val="single" w:color="auto" w:sz="4" w:space="0"/>
            </w:tcBorders>
            <w:shd w:val="clear" w:color="auto" w:fill="FFFFFF"/>
          </w:tcPr>
          <w:p w14:paraId="629635E3">
            <w:pPr>
              <w:spacing w:line="360" w:lineRule="auto"/>
              <w:rPr>
                <w:color w:val="auto"/>
                <w:sz w:val="18"/>
                <w:szCs w:val="18"/>
                <w:highlight w:val="none"/>
              </w:rPr>
            </w:pPr>
          </w:p>
        </w:tc>
        <w:tc>
          <w:tcPr>
            <w:tcW w:w="1022" w:type="dxa"/>
            <w:tcBorders>
              <w:top w:val="single" w:color="auto" w:sz="4" w:space="0"/>
              <w:left w:val="single" w:color="auto" w:sz="4" w:space="0"/>
            </w:tcBorders>
            <w:shd w:val="clear" w:color="auto" w:fill="FFFFFF"/>
          </w:tcPr>
          <w:p w14:paraId="379E41D9">
            <w:pPr>
              <w:spacing w:line="360" w:lineRule="auto"/>
              <w:rPr>
                <w:color w:val="auto"/>
                <w:sz w:val="18"/>
                <w:szCs w:val="18"/>
                <w:highlight w:val="none"/>
              </w:rPr>
            </w:pPr>
          </w:p>
        </w:tc>
        <w:tc>
          <w:tcPr>
            <w:tcW w:w="451" w:type="dxa"/>
            <w:tcBorders>
              <w:top w:val="single" w:color="auto" w:sz="4" w:space="0"/>
              <w:left w:val="single" w:color="auto" w:sz="4" w:space="0"/>
            </w:tcBorders>
            <w:shd w:val="clear" w:color="auto" w:fill="FFFFFF"/>
          </w:tcPr>
          <w:p w14:paraId="4D50E963">
            <w:pPr>
              <w:spacing w:line="360" w:lineRule="auto"/>
              <w:rPr>
                <w:color w:val="auto"/>
                <w:sz w:val="18"/>
                <w:szCs w:val="18"/>
                <w:highlight w:val="none"/>
              </w:rPr>
            </w:pPr>
          </w:p>
        </w:tc>
        <w:tc>
          <w:tcPr>
            <w:tcW w:w="682" w:type="dxa"/>
            <w:tcBorders>
              <w:top w:val="single" w:color="auto" w:sz="4" w:space="0"/>
              <w:left w:val="single" w:color="auto" w:sz="4" w:space="0"/>
            </w:tcBorders>
            <w:shd w:val="clear" w:color="auto" w:fill="FFFFFF"/>
          </w:tcPr>
          <w:p w14:paraId="341666B6">
            <w:pPr>
              <w:spacing w:line="360" w:lineRule="auto"/>
              <w:rPr>
                <w:color w:val="auto"/>
                <w:sz w:val="18"/>
                <w:szCs w:val="18"/>
                <w:highlight w:val="none"/>
              </w:rPr>
            </w:pPr>
          </w:p>
        </w:tc>
        <w:tc>
          <w:tcPr>
            <w:tcW w:w="1142" w:type="dxa"/>
            <w:tcBorders>
              <w:top w:val="single" w:color="auto" w:sz="4" w:space="0"/>
              <w:left w:val="single" w:color="auto" w:sz="4" w:space="0"/>
              <w:right w:val="single" w:color="auto" w:sz="4" w:space="0"/>
            </w:tcBorders>
            <w:shd w:val="clear" w:color="auto" w:fill="FFFFFF"/>
          </w:tcPr>
          <w:p w14:paraId="5A6F3599">
            <w:pPr>
              <w:spacing w:line="360" w:lineRule="auto"/>
              <w:rPr>
                <w:color w:val="auto"/>
                <w:sz w:val="18"/>
                <w:szCs w:val="18"/>
                <w:highlight w:val="none"/>
              </w:rPr>
            </w:pPr>
          </w:p>
        </w:tc>
      </w:tr>
      <w:tr w14:paraId="4F4D7F97">
        <w:tblPrEx>
          <w:tblCellMar>
            <w:top w:w="0" w:type="dxa"/>
            <w:left w:w="10" w:type="dxa"/>
            <w:bottom w:w="0" w:type="dxa"/>
            <w:right w:w="10" w:type="dxa"/>
          </w:tblCellMar>
        </w:tblPrEx>
        <w:trPr>
          <w:trHeight w:val="461" w:hRule="exact"/>
          <w:jc w:val="center"/>
        </w:trPr>
        <w:tc>
          <w:tcPr>
            <w:tcW w:w="428" w:type="dxa"/>
            <w:tcBorders>
              <w:top w:val="single" w:color="auto" w:sz="4" w:space="0"/>
              <w:left w:val="single" w:color="auto" w:sz="4" w:space="0"/>
              <w:bottom w:val="single" w:color="auto" w:sz="4" w:space="0"/>
            </w:tcBorders>
            <w:shd w:val="clear" w:color="auto" w:fill="FFFFFF"/>
          </w:tcPr>
          <w:p w14:paraId="6EE6B415">
            <w:pPr>
              <w:spacing w:line="360" w:lineRule="auto"/>
              <w:rPr>
                <w:color w:val="auto"/>
                <w:sz w:val="18"/>
                <w:szCs w:val="18"/>
                <w:highlight w:val="none"/>
              </w:rPr>
            </w:pPr>
          </w:p>
        </w:tc>
        <w:tc>
          <w:tcPr>
            <w:tcW w:w="432" w:type="dxa"/>
            <w:tcBorders>
              <w:top w:val="single" w:color="auto" w:sz="4" w:space="0"/>
              <w:left w:val="single" w:color="auto" w:sz="4" w:space="0"/>
              <w:bottom w:val="single" w:color="auto" w:sz="4" w:space="0"/>
            </w:tcBorders>
            <w:shd w:val="clear" w:color="auto" w:fill="FFFFFF"/>
          </w:tcPr>
          <w:p w14:paraId="23977E25">
            <w:pPr>
              <w:spacing w:line="360" w:lineRule="auto"/>
              <w:rPr>
                <w:color w:val="auto"/>
                <w:sz w:val="18"/>
                <w:szCs w:val="18"/>
                <w:highlight w:val="none"/>
              </w:rPr>
            </w:pPr>
          </w:p>
        </w:tc>
        <w:tc>
          <w:tcPr>
            <w:tcW w:w="1022" w:type="dxa"/>
            <w:tcBorders>
              <w:top w:val="single" w:color="auto" w:sz="4" w:space="0"/>
              <w:left w:val="single" w:color="auto" w:sz="4" w:space="0"/>
              <w:bottom w:val="single" w:color="auto" w:sz="4" w:space="0"/>
            </w:tcBorders>
            <w:shd w:val="clear" w:color="auto" w:fill="FFFFFF"/>
          </w:tcPr>
          <w:p w14:paraId="05CF164E">
            <w:pPr>
              <w:spacing w:line="360" w:lineRule="auto"/>
              <w:rPr>
                <w:color w:val="auto"/>
                <w:sz w:val="18"/>
                <w:szCs w:val="18"/>
                <w:highlight w:val="none"/>
              </w:rPr>
            </w:pPr>
          </w:p>
        </w:tc>
        <w:tc>
          <w:tcPr>
            <w:tcW w:w="1416" w:type="dxa"/>
            <w:tcBorders>
              <w:top w:val="single" w:color="auto" w:sz="4" w:space="0"/>
              <w:left w:val="single" w:color="auto" w:sz="4" w:space="0"/>
              <w:bottom w:val="single" w:color="auto" w:sz="4" w:space="0"/>
            </w:tcBorders>
            <w:shd w:val="clear" w:color="auto" w:fill="FFFFFF"/>
          </w:tcPr>
          <w:p w14:paraId="74975F09">
            <w:pPr>
              <w:spacing w:line="360" w:lineRule="auto"/>
              <w:rPr>
                <w:color w:val="auto"/>
                <w:sz w:val="18"/>
                <w:szCs w:val="18"/>
                <w:highlight w:val="none"/>
              </w:rPr>
            </w:pPr>
          </w:p>
        </w:tc>
        <w:tc>
          <w:tcPr>
            <w:tcW w:w="1022" w:type="dxa"/>
            <w:tcBorders>
              <w:top w:val="single" w:color="auto" w:sz="4" w:space="0"/>
              <w:left w:val="single" w:color="auto" w:sz="4" w:space="0"/>
              <w:bottom w:val="single" w:color="auto" w:sz="4" w:space="0"/>
            </w:tcBorders>
            <w:shd w:val="clear" w:color="auto" w:fill="FFFFFF"/>
          </w:tcPr>
          <w:p w14:paraId="6E25DF04">
            <w:pPr>
              <w:spacing w:line="360" w:lineRule="auto"/>
              <w:rPr>
                <w:color w:val="auto"/>
                <w:sz w:val="18"/>
                <w:szCs w:val="18"/>
                <w:highlight w:val="none"/>
              </w:rPr>
            </w:pPr>
          </w:p>
        </w:tc>
        <w:tc>
          <w:tcPr>
            <w:tcW w:w="1018" w:type="dxa"/>
            <w:tcBorders>
              <w:top w:val="single" w:color="auto" w:sz="4" w:space="0"/>
              <w:left w:val="single" w:color="auto" w:sz="4" w:space="0"/>
              <w:bottom w:val="single" w:color="auto" w:sz="4" w:space="0"/>
            </w:tcBorders>
            <w:shd w:val="clear" w:color="auto" w:fill="FFFFFF"/>
          </w:tcPr>
          <w:p w14:paraId="3DE99B4F">
            <w:pPr>
              <w:spacing w:line="360" w:lineRule="auto"/>
              <w:rPr>
                <w:color w:val="auto"/>
                <w:sz w:val="18"/>
                <w:szCs w:val="18"/>
                <w:highlight w:val="none"/>
              </w:rPr>
            </w:pPr>
          </w:p>
        </w:tc>
        <w:tc>
          <w:tcPr>
            <w:tcW w:w="1022" w:type="dxa"/>
            <w:tcBorders>
              <w:top w:val="single" w:color="auto" w:sz="4" w:space="0"/>
              <w:left w:val="single" w:color="auto" w:sz="4" w:space="0"/>
              <w:bottom w:val="single" w:color="auto" w:sz="4" w:space="0"/>
            </w:tcBorders>
            <w:shd w:val="clear" w:color="auto" w:fill="FFFFFF"/>
          </w:tcPr>
          <w:p w14:paraId="45F7ED1B">
            <w:pPr>
              <w:spacing w:line="360" w:lineRule="auto"/>
              <w:rPr>
                <w:color w:val="auto"/>
                <w:sz w:val="18"/>
                <w:szCs w:val="18"/>
                <w:highlight w:val="none"/>
              </w:rPr>
            </w:pPr>
          </w:p>
        </w:tc>
        <w:tc>
          <w:tcPr>
            <w:tcW w:w="451" w:type="dxa"/>
            <w:tcBorders>
              <w:top w:val="single" w:color="auto" w:sz="4" w:space="0"/>
              <w:left w:val="single" w:color="auto" w:sz="4" w:space="0"/>
              <w:bottom w:val="single" w:color="auto" w:sz="4" w:space="0"/>
            </w:tcBorders>
            <w:shd w:val="clear" w:color="auto" w:fill="FFFFFF"/>
          </w:tcPr>
          <w:p w14:paraId="5350029E">
            <w:pPr>
              <w:spacing w:line="360" w:lineRule="auto"/>
              <w:rPr>
                <w:color w:val="auto"/>
                <w:sz w:val="18"/>
                <w:szCs w:val="18"/>
                <w:highlight w:val="none"/>
              </w:rPr>
            </w:pPr>
          </w:p>
        </w:tc>
        <w:tc>
          <w:tcPr>
            <w:tcW w:w="682" w:type="dxa"/>
            <w:tcBorders>
              <w:top w:val="single" w:color="auto" w:sz="4" w:space="0"/>
              <w:left w:val="single" w:color="auto" w:sz="4" w:space="0"/>
              <w:bottom w:val="single" w:color="auto" w:sz="4" w:space="0"/>
            </w:tcBorders>
            <w:shd w:val="clear" w:color="auto" w:fill="FFFFFF"/>
          </w:tcPr>
          <w:p w14:paraId="3F81511F">
            <w:pPr>
              <w:spacing w:line="360" w:lineRule="auto"/>
              <w:rPr>
                <w:color w:val="auto"/>
                <w:sz w:val="18"/>
                <w:szCs w:val="18"/>
                <w:highlight w:val="none"/>
              </w:rPr>
            </w:pPr>
          </w:p>
        </w:tc>
        <w:tc>
          <w:tcPr>
            <w:tcW w:w="1142" w:type="dxa"/>
            <w:tcBorders>
              <w:top w:val="single" w:color="auto" w:sz="4" w:space="0"/>
              <w:left w:val="single" w:color="auto" w:sz="4" w:space="0"/>
              <w:bottom w:val="single" w:color="auto" w:sz="4" w:space="0"/>
              <w:right w:val="single" w:color="auto" w:sz="4" w:space="0"/>
            </w:tcBorders>
            <w:shd w:val="clear" w:color="auto" w:fill="FFFFFF"/>
          </w:tcPr>
          <w:p w14:paraId="5F11F76A">
            <w:pPr>
              <w:spacing w:line="360" w:lineRule="auto"/>
              <w:rPr>
                <w:color w:val="auto"/>
                <w:sz w:val="18"/>
                <w:szCs w:val="18"/>
                <w:highlight w:val="none"/>
              </w:rPr>
            </w:pPr>
          </w:p>
        </w:tc>
      </w:tr>
    </w:tbl>
    <w:p w14:paraId="6B2494C7">
      <w:pPr>
        <w:spacing w:after="579" w:line="360" w:lineRule="auto"/>
        <w:rPr>
          <w:color w:val="auto"/>
          <w:highlight w:val="none"/>
        </w:rPr>
      </w:pPr>
    </w:p>
    <w:p w14:paraId="756C76B9">
      <w:pPr>
        <w:pStyle w:val="5"/>
        <w:spacing w:line="360" w:lineRule="auto"/>
        <w:rPr>
          <w:color w:val="auto"/>
          <w:highlight w:val="none"/>
        </w:rPr>
      </w:pPr>
      <w:bookmarkStart w:id="530" w:name="bookmark1166"/>
      <w:bookmarkEnd w:id="530"/>
      <w:bookmarkStart w:id="531" w:name="_Toc1210479618"/>
      <w:bookmarkStart w:id="532" w:name="bookmark1164"/>
      <w:bookmarkStart w:id="533" w:name="_Toc64"/>
      <w:bookmarkStart w:id="534" w:name="bookmark1165"/>
      <w:bookmarkStart w:id="535" w:name="_Toc24903"/>
      <w:bookmarkStart w:id="536" w:name="_Toc147350615"/>
      <w:bookmarkStart w:id="537" w:name="bookmark1167"/>
      <w:r>
        <w:rPr>
          <w:rFonts w:hint="eastAsia"/>
          <w:color w:val="auto"/>
          <w:highlight w:val="none"/>
        </w:rPr>
        <w:t>11. 开工和竣工（完工）</w:t>
      </w:r>
      <w:bookmarkEnd w:id="531"/>
      <w:bookmarkEnd w:id="532"/>
      <w:bookmarkEnd w:id="533"/>
      <w:bookmarkEnd w:id="534"/>
      <w:bookmarkEnd w:id="535"/>
      <w:bookmarkEnd w:id="536"/>
      <w:bookmarkEnd w:id="537"/>
    </w:p>
    <w:p w14:paraId="5D138EB7">
      <w:pPr>
        <w:spacing w:line="360" w:lineRule="auto"/>
        <w:rPr>
          <w:color w:val="auto"/>
          <w:highlight w:val="none"/>
        </w:rPr>
      </w:pPr>
      <w:bookmarkStart w:id="538" w:name="bookmark1169"/>
      <w:bookmarkStart w:id="539" w:name="_Toc23713"/>
      <w:bookmarkStart w:id="540" w:name="bookmark1168"/>
      <w:bookmarkStart w:id="541" w:name="bookmark1170"/>
      <w:r>
        <w:rPr>
          <w:color w:val="auto"/>
          <w:highlight w:val="none"/>
        </w:rPr>
        <w:t>11.1 开工</w:t>
      </w:r>
      <w:bookmarkEnd w:id="538"/>
      <w:bookmarkEnd w:id="539"/>
      <w:bookmarkEnd w:id="540"/>
      <w:bookmarkEnd w:id="541"/>
    </w:p>
    <w:p w14:paraId="5256F7E4">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11.1.1</w:t>
      </w:r>
      <w:r>
        <w:rPr>
          <w:rFonts w:hint="eastAsia" w:ascii="Times New Roman" w:hAnsi="Times New Roman"/>
          <w:color w:val="auto"/>
          <w:highlight w:val="none"/>
        </w:rPr>
        <w:t>监理人应在开工日期7天前向承包人发出开工通知。监理人在发出开工通知前应获得发包人同意。工期自监理人发出的开工通知中载明的开工日期起计算。承包人应 在开工日期后尽快施工。</w:t>
      </w:r>
    </w:p>
    <w:p w14:paraId="6D70D7DE">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11.1.</w:t>
      </w:r>
      <w:r>
        <w:rPr>
          <w:rFonts w:hint="eastAsia" w:ascii="Times New Roman" w:hAnsi="Times New Roman"/>
          <w:color w:val="auto"/>
          <w:highlight w:val="none"/>
        </w:rPr>
        <w:t>2承包人应按第</w:t>
      </w:r>
      <w:r>
        <w:rPr>
          <w:rFonts w:hint="eastAsia" w:ascii="Times New Roman" w:hAnsi="Times New Roman"/>
          <w:color w:val="auto"/>
          <w:highlight w:val="none"/>
          <w:lang w:val="en-US" w:bidi="en-US"/>
        </w:rPr>
        <w:t xml:space="preserve">10. </w:t>
      </w:r>
      <w:r>
        <w:rPr>
          <w:rFonts w:hint="eastAsia" w:ascii="Times New Roman" w:hAnsi="Times New Roman"/>
          <w:color w:val="auto"/>
          <w:highlight w:val="none"/>
        </w:rPr>
        <w:t>1款约定的合同进度计划，向监理人提交工程开工报审表, 经监理人审批后执行。开工报审表应详细说明按合同进度计划正常施工所需的施工道路、临时设施、材料设备、施工人员等施工组织措施的落实情况以及工程的进度安排。</w:t>
      </w:r>
    </w:p>
    <w:p w14:paraId="1D164B06">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11.1.3</w:t>
      </w:r>
      <w:r>
        <w:rPr>
          <w:rFonts w:hint="eastAsia" w:ascii="Times New Roman" w:hAnsi="Times New Roman"/>
          <w:color w:val="auto"/>
          <w:highlight w:val="none"/>
        </w:rPr>
        <w:t>若发包人未能按合同约定向承包人提供开工的必要条件，承包人有权要求延 长工期。监理人应在收到承包人的书面要求后，按第</w:t>
      </w:r>
      <w:r>
        <w:rPr>
          <w:rFonts w:hint="eastAsia" w:ascii="Times New Roman" w:hAnsi="Times New Roman"/>
          <w:color w:val="auto"/>
          <w:highlight w:val="none"/>
          <w:lang w:val="en-US" w:bidi="en-US"/>
        </w:rPr>
        <w:t xml:space="preserve">3. </w:t>
      </w:r>
      <w:r>
        <w:rPr>
          <w:rFonts w:hint="eastAsia" w:ascii="Times New Roman" w:hAnsi="Times New Roman"/>
          <w:color w:val="auto"/>
          <w:highlight w:val="none"/>
        </w:rPr>
        <w:t>5款的约定，与合同双方商定或确定增加的费用和延长的工期。</w:t>
      </w:r>
    </w:p>
    <w:p w14:paraId="7B48E3E4">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11.1.4</w:t>
      </w:r>
      <w:r>
        <w:rPr>
          <w:rFonts w:hint="eastAsia" w:ascii="Times New Roman" w:hAnsi="Times New Roman"/>
          <w:color w:val="auto"/>
          <w:highlight w:val="none"/>
        </w:rPr>
        <w:t>承包人在接到开工通知后14天内未按进度计划要求及时进场组织施工，监理人可通知承包人在接到通知后7天内提交一份说明其进场延误的书面报告，报送监理人。书面报告应说明不能及时进场的原因和补救措施，由此增加的费用和工期延误责任由承包人承担。</w:t>
      </w:r>
    </w:p>
    <w:p w14:paraId="365BA34E">
      <w:pPr>
        <w:spacing w:line="360" w:lineRule="auto"/>
        <w:rPr>
          <w:color w:val="auto"/>
          <w:highlight w:val="none"/>
        </w:rPr>
      </w:pPr>
      <w:bookmarkStart w:id="542" w:name="_Toc29025"/>
      <w:bookmarkStart w:id="543" w:name="bookmark1173"/>
      <w:bookmarkStart w:id="544" w:name="bookmark1172"/>
      <w:bookmarkStart w:id="545" w:name="bookmark1171"/>
      <w:r>
        <w:rPr>
          <w:color w:val="auto"/>
          <w:highlight w:val="none"/>
        </w:rPr>
        <w:t>11.2竣工(完工)</w:t>
      </w:r>
      <w:bookmarkEnd w:id="542"/>
      <w:bookmarkEnd w:id="543"/>
      <w:bookmarkEnd w:id="544"/>
      <w:bookmarkEnd w:id="545"/>
    </w:p>
    <w:p w14:paraId="7494BC60">
      <w:pPr>
        <w:pStyle w:val="523"/>
        <w:ind w:firstLine="440"/>
        <w:rPr>
          <w:rFonts w:ascii="Times New Roman" w:hAnsi="Times New Roman"/>
          <w:color w:val="auto"/>
          <w:highlight w:val="none"/>
        </w:rPr>
      </w:pPr>
      <w:r>
        <w:rPr>
          <w:rFonts w:hint="eastAsia" w:ascii="Times New Roman" w:hAnsi="Times New Roman"/>
          <w:color w:val="auto"/>
          <w:highlight w:val="none"/>
        </w:rPr>
        <w:t>承包人应在第</w:t>
      </w:r>
      <w:r>
        <w:rPr>
          <w:rFonts w:hint="eastAsia" w:ascii="Times New Roman" w:hAnsi="Times New Roman"/>
          <w:color w:val="auto"/>
          <w:highlight w:val="none"/>
          <w:lang w:val="en-US" w:bidi="en-US"/>
        </w:rPr>
        <w:t xml:space="preserve">1.1. 4. </w:t>
      </w:r>
      <w:r>
        <w:rPr>
          <w:rFonts w:hint="eastAsia" w:ascii="Times New Roman" w:hAnsi="Times New Roman"/>
          <w:color w:val="auto"/>
          <w:highlight w:val="none"/>
        </w:rPr>
        <w:t>3目约定的期限内完成合同工程。合同工程实际完工时间在合同工程完工证书中明确（以完工验收鉴定书或竣工验收鉴定书标明的验收日期为准，没有标明验收日期的则以印发鉴定书的日期为准）</w:t>
      </w:r>
      <w:r>
        <w:rPr>
          <w:rFonts w:hint="eastAsia" w:ascii="Times New Roman" w:hAnsi="Times New Roman"/>
          <w:color w:val="auto"/>
          <w:highlight w:val="none"/>
          <w:lang w:val="en-US" w:bidi="en-US"/>
        </w:rPr>
        <w:t>。</w:t>
      </w:r>
    </w:p>
    <w:p w14:paraId="090BB54D">
      <w:pPr>
        <w:spacing w:line="360" w:lineRule="auto"/>
        <w:rPr>
          <w:color w:val="auto"/>
          <w:highlight w:val="none"/>
        </w:rPr>
      </w:pPr>
      <w:bookmarkStart w:id="546" w:name="bookmark1176"/>
      <w:bookmarkStart w:id="547" w:name="bookmark1174"/>
      <w:bookmarkStart w:id="548" w:name="_Toc7284"/>
      <w:bookmarkStart w:id="549" w:name="bookmark1175"/>
      <w:r>
        <w:rPr>
          <w:color w:val="auto"/>
          <w:highlight w:val="none"/>
        </w:rPr>
        <w:t>11.3发包人的工期延误</w:t>
      </w:r>
      <w:bookmarkEnd w:id="546"/>
      <w:bookmarkEnd w:id="547"/>
      <w:bookmarkEnd w:id="548"/>
      <w:bookmarkEnd w:id="549"/>
    </w:p>
    <w:p w14:paraId="2136F95B">
      <w:pPr>
        <w:pStyle w:val="523"/>
        <w:ind w:firstLine="440"/>
        <w:rPr>
          <w:rFonts w:ascii="Times New Roman" w:hAnsi="Times New Roman"/>
          <w:color w:val="auto"/>
          <w:highlight w:val="none"/>
        </w:rPr>
      </w:pPr>
      <w:r>
        <w:rPr>
          <w:rFonts w:hint="eastAsia" w:ascii="Times New Roman" w:hAnsi="Times New Roman"/>
          <w:color w:val="auto"/>
          <w:highlight w:val="none"/>
        </w:rPr>
        <w:t>在履行合同过程中，由于发包人的下列原因造成工期延误的，承包人有权要求发包人延长工期和(或)增加费用，并支付合理利润。需要修订合同进度计划的，按照第</w:t>
      </w:r>
      <w:r>
        <w:rPr>
          <w:rFonts w:hint="eastAsia" w:ascii="Times New Roman" w:hAnsi="Times New Roman"/>
          <w:color w:val="auto"/>
          <w:highlight w:val="none"/>
          <w:lang w:val="en-US" w:bidi="en-US"/>
        </w:rPr>
        <w:t xml:space="preserve">10. </w:t>
      </w:r>
      <w:r>
        <w:rPr>
          <w:rFonts w:hint="eastAsia" w:ascii="Times New Roman" w:hAnsi="Times New Roman"/>
          <w:color w:val="auto"/>
          <w:highlight w:val="none"/>
        </w:rPr>
        <w:t>2款的约定办理。</w:t>
      </w:r>
    </w:p>
    <w:p w14:paraId="5508DC3E">
      <w:pPr>
        <w:pStyle w:val="523"/>
        <w:numPr>
          <w:ilvl w:val="0"/>
          <w:numId w:val="19"/>
        </w:numPr>
        <w:tabs>
          <w:tab w:val="left" w:pos="923"/>
        </w:tabs>
        <w:ind w:firstLine="440"/>
        <w:rPr>
          <w:rFonts w:ascii="Times New Roman" w:hAnsi="Times New Roman"/>
          <w:color w:val="auto"/>
          <w:highlight w:val="none"/>
        </w:rPr>
      </w:pPr>
      <w:bookmarkStart w:id="550" w:name="bookmark1177"/>
      <w:bookmarkEnd w:id="550"/>
      <w:r>
        <w:rPr>
          <w:rFonts w:hint="eastAsia" w:ascii="Times New Roman" w:hAnsi="Times New Roman"/>
          <w:color w:val="auto"/>
          <w:highlight w:val="none"/>
        </w:rPr>
        <w:t>增加合同工作内容；</w:t>
      </w:r>
    </w:p>
    <w:p w14:paraId="4FF61B9A">
      <w:pPr>
        <w:pStyle w:val="523"/>
        <w:numPr>
          <w:ilvl w:val="0"/>
          <w:numId w:val="19"/>
        </w:numPr>
        <w:tabs>
          <w:tab w:val="left" w:pos="903"/>
        </w:tabs>
        <w:ind w:firstLine="420"/>
        <w:rPr>
          <w:rFonts w:ascii="Times New Roman" w:hAnsi="Times New Roman"/>
          <w:color w:val="auto"/>
          <w:highlight w:val="none"/>
        </w:rPr>
      </w:pPr>
      <w:bookmarkStart w:id="551" w:name="bookmark1178"/>
      <w:bookmarkEnd w:id="551"/>
      <w:r>
        <w:rPr>
          <w:rFonts w:hint="eastAsia" w:ascii="Times New Roman" w:hAnsi="Times New Roman"/>
          <w:color w:val="auto"/>
          <w:highlight w:val="none"/>
        </w:rPr>
        <w:t>改变合同中任何一项工作的质量要求或其他特性；</w:t>
      </w:r>
    </w:p>
    <w:p w14:paraId="2F8DBE0F">
      <w:pPr>
        <w:pStyle w:val="523"/>
        <w:numPr>
          <w:ilvl w:val="0"/>
          <w:numId w:val="19"/>
        </w:numPr>
        <w:tabs>
          <w:tab w:val="left" w:pos="903"/>
        </w:tabs>
        <w:ind w:firstLine="420"/>
        <w:rPr>
          <w:rFonts w:ascii="Times New Roman" w:hAnsi="Times New Roman"/>
          <w:color w:val="auto"/>
          <w:highlight w:val="none"/>
        </w:rPr>
      </w:pPr>
      <w:bookmarkStart w:id="552" w:name="bookmark1179"/>
      <w:bookmarkEnd w:id="552"/>
      <w:r>
        <w:rPr>
          <w:rFonts w:hint="eastAsia" w:ascii="Times New Roman" w:hAnsi="Times New Roman"/>
          <w:color w:val="auto"/>
          <w:highlight w:val="none"/>
        </w:rPr>
        <w:t>发包人迟延提供材料、工程设备或变更交货地点的；</w:t>
      </w:r>
    </w:p>
    <w:p w14:paraId="6BC11A7E">
      <w:pPr>
        <w:pStyle w:val="523"/>
        <w:numPr>
          <w:ilvl w:val="0"/>
          <w:numId w:val="19"/>
        </w:numPr>
        <w:tabs>
          <w:tab w:val="left" w:pos="903"/>
        </w:tabs>
        <w:ind w:firstLine="420"/>
        <w:rPr>
          <w:rFonts w:ascii="Times New Roman" w:hAnsi="Times New Roman"/>
          <w:color w:val="auto"/>
          <w:highlight w:val="none"/>
        </w:rPr>
      </w:pPr>
      <w:bookmarkStart w:id="553" w:name="bookmark1180"/>
      <w:bookmarkEnd w:id="553"/>
      <w:r>
        <w:rPr>
          <w:rFonts w:hint="eastAsia" w:ascii="Times New Roman" w:hAnsi="Times New Roman"/>
          <w:color w:val="auto"/>
          <w:highlight w:val="none"/>
        </w:rPr>
        <w:t>因发包人原因导致的暂停施工；</w:t>
      </w:r>
    </w:p>
    <w:p w14:paraId="6A2233D4">
      <w:pPr>
        <w:pStyle w:val="523"/>
        <w:numPr>
          <w:ilvl w:val="0"/>
          <w:numId w:val="19"/>
        </w:numPr>
        <w:tabs>
          <w:tab w:val="left" w:pos="903"/>
        </w:tabs>
        <w:ind w:firstLine="420"/>
        <w:rPr>
          <w:rFonts w:ascii="Times New Roman" w:hAnsi="Times New Roman"/>
          <w:color w:val="auto"/>
          <w:highlight w:val="none"/>
        </w:rPr>
      </w:pPr>
      <w:bookmarkStart w:id="554" w:name="bookmark1181"/>
      <w:bookmarkEnd w:id="554"/>
      <w:r>
        <w:rPr>
          <w:rFonts w:hint="eastAsia" w:ascii="Times New Roman" w:hAnsi="Times New Roman"/>
          <w:color w:val="auto"/>
          <w:highlight w:val="none"/>
        </w:rPr>
        <w:t>提供图纸延误；</w:t>
      </w:r>
    </w:p>
    <w:p w14:paraId="3D2B4720">
      <w:pPr>
        <w:pStyle w:val="523"/>
        <w:numPr>
          <w:ilvl w:val="0"/>
          <w:numId w:val="19"/>
        </w:numPr>
        <w:tabs>
          <w:tab w:val="left" w:pos="903"/>
        </w:tabs>
        <w:ind w:firstLine="420"/>
        <w:rPr>
          <w:rFonts w:ascii="Times New Roman" w:hAnsi="Times New Roman"/>
          <w:color w:val="auto"/>
          <w:highlight w:val="none"/>
        </w:rPr>
      </w:pPr>
      <w:bookmarkStart w:id="555" w:name="bookmark1182"/>
      <w:bookmarkEnd w:id="555"/>
      <w:r>
        <w:rPr>
          <w:rFonts w:hint="eastAsia" w:ascii="Times New Roman" w:hAnsi="Times New Roman"/>
          <w:color w:val="auto"/>
          <w:highlight w:val="none"/>
        </w:rPr>
        <w:t>未按合同约定及时支付预付款、进度款；</w:t>
      </w:r>
    </w:p>
    <w:p w14:paraId="40545ACF">
      <w:pPr>
        <w:pStyle w:val="523"/>
        <w:numPr>
          <w:ilvl w:val="0"/>
          <w:numId w:val="19"/>
        </w:numPr>
        <w:tabs>
          <w:tab w:val="left" w:pos="903"/>
        </w:tabs>
        <w:ind w:firstLine="420"/>
        <w:rPr>
          <w:rFonts w:ascii="Times New Roman" w:hAnsi="Times New Roman"/>
          <w:color w:val="auto"/>
          <w:highlight w:val="none"/>
        </w:rPr>
      </w:pPr>
      <w:bookmarkStart w:id="556" w:name="bookmark1183"/>
      <w:bookmarkEnd w:id="556"/>
      <w:r>
        <w:rPr>
          <w:rFonts w:hint="eastAsia" w:ascii="Times New Roman" w:hAnsi="Times New Roman"/>
          <w:color w:val="auto"/>
          <w:highlight w:val="none"/>
        </w:rPr>
        <w:t>发包人造成工期延误的其他原因。</w:t>
      </w:r>
    </w:p>
    <w:p w14:paraId="7F2C9C46">
      <w:pPr>
        <w:spacing w:line="360" w:lineRule="auto"/>
        <w:rPr>
          <w:color w:val="auto"/>
          <w:highlight w:val="none"/>
        </w:rPr>
      </w:pPr>
      <w:bookmarkStart w:id="557" w:name="bookmark1186"/>
      <w:bookmarkStart w:id="558" w:name="bookmark1185"/>
      <w:bookmarkStart w:id="559" w:name="_Toc10371"/>
      <w:bookmarkStart w:id="560" w:name="bookmark1184"/>
      <w:r>
        <w:rPr>
          <w:color w:val="auto"/>
          <w:highlight w:val="none"/>
        </w:rPr>
        <w:t>11.4异常恶劣的气候条件</w:t>
      </w:r>
      <w:bookmarkEnd w:id="557"/>
      <w:bookmarkEnd w:id="558"/>
      <w:bookmarkEnd w:id="559"/>
      <w:bookmarkEnd w:id="560"/>
    </w:p>
    <w:p w14:paraId="6D742AE7">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11.4.1</w:t>
      </w:r>
      <w:r>
        <w:rPr>
          <w:rFonts w:hint="eastAsia" w:ascii="Times New Roman" w:hAnsi="Times New Roman"/>
          <w:color w:val="auto"/>
          <w:highlight w:val="none"/>
        </w:rPr>
        <w:t>当工程所在地发生危及施工安全的异常恶劣气候时，发包人和承包人应按本合同通用合同条款第12条的约定，及时采取暂停施工或部分暂停施工措施。异常恶劣气候条件解除后，承包人应及时安排复工。</w:t>
      </w:r>
    </w:p>
    <w:p w14:paraId="1C9EDB54">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11.4.2</w:t>
      </w:r>
      <w:r>
        <w:rPr>
          <w:rFonts w:hint="eastAsia" w:ascii="Times New Roman" w:hAnsi="Times New Roman"/>
          <w:color w:val="auto"/>
          <w:highlight w:val="none"/>
        </w:rPr>
        <w:t>异常恶劣气候条件造成的工期延误和工程损坏，应由发包人与承包人参照本合同通用合同条款第</w:t>
      </w:r>
      <w:r>
        <w:rPr>
          <w:rFonts w:hint="eastAsia" w:ascii="Times New Roman" w:hAnsi="Times New Roman"/>
          <w:color w:val="auto"/>
          <w:highlight w:val="none"/>
          <w:lang w:val="en-US" w:bidi="en-US"/>
        </w:rPr>
        <w:t xml:space="preserve">21. </w:t>
      </w:r>
      <w:r>
        <w:rPr>
          <w:rFonts w:hint="eastAsia" w:ascii="Times New Roman" w:hAnsi="Times New Roman"/>
          <w:color w:val="auto"/>
          <w:highlight w:val="none"/>
        </w:rPr>
        <w:t>3款的约定共同协商处理。</w:t>
      </w:r>
    </w:p>
    <w:p w14:paraId="1550DF4A">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11.4.</w:t>
      </w:r>
      <w:r>
        <w:rPr>
          <w:rFonts w:hint="eastAsia" w:ascii="Times New Roman" w:hAnsi="Times New Roman"/>
          <w:color w:val="auto"/>
          <w:highlight w:val="none"/>
        </w:rPr>
        <w:t>3本合同工程界定异常恶劣气候条件的范围在专用合同条款中约定。</w:t>
      </w:r>
    </w:p>
    <w:p w14:paraId="5A92CF15">
      <w:pPr>
        <w:spacing w:line="360" w:lineRule="auto"/>
        <w:rPr>
          <w:color w:val="auto"/>
          <w:highlight w:val="none"/>
        </w:rPr>
      </w:pPr>
      <w:bookmarkStart w:id="561" w:name="bookmark1188"/>
      <w:bookmarkStart w:id="562" w:name="bookmark1187"/>
      <w:bookmarkStart w:id="563" w:name="bookmark1189"/>
      <w:bookmarkStart w:id="564" w:name="_Toc1075"/>
      <w:r>
        <w:rPr>
          <w:color w:val="auto"/>
          <w:highlight w:val="none"/>
        </w:rPr>
        <w:t>11.5承包人工期延误</w:t>
      </w:r>
      <w:bookmarkEnd w:id="561"/>
      <w:bookmarkEnd w:id="562"/>
      <w:bookmarkEnd w:id="563"/>
      <w:bookmarkEnd w:id="564"/>
    </w:p>
    <w:p w14:paraId="4D1F311E">
      <w:pPr>
        <w:pStyle w:val="523"/>
        <w:ind w:firstLine="440"/>
        <w:rPr>
          <w:rFonts w:ascii="Times New Roman" w:hAnsi="Times New Roman"/>
          <w:color w:val="auto"/>
          <w:highlight w:val="none"/>
        </w:rPr>
      </w:pPr>
      <w:r>
        <w:rPr>
          <w:rFonts w:hint="eastAsia" w:ascii="Times New Roman" w:hAnsi="Times New Roman"/>
          <w:color w:val="auto"/>
          <w:highlight w:val="none"/>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14:paraId="40AC3998">
      <w:pPr>
        <w:spacing w:line="360" w:lineRule="auto"/>
        <w:rPr>
          <w:color w:val="auto"/>
          <w:highlight w:val="none"/>
        </w:rPr>
      </w:pPr>
      <w:bookmarkStart w:id="565" w:name="bookmark1190"/>
      <w:bookmarkStart w:id="566" w:name="bookmark1192"/>
      <w:bookmarkStart w:id="567" w:name="_Toc14969"/>
      <w:bookmarkStart w:id="568" w:name="bookmark1191"/>
      <w:r>
        <w:rPr>
          <w:color w:val="auto"/>
          <w:highlight w:val="none"/>
        </w:rPr>
        <w:t>11.6工期提前</w:t>
      </w:r>
      <w:bookmarkEnd w:id="565"/>
      <w:bookmarkEnd w:id="566"/>
      <w:bookmarkEnd w:id="567"/>
      <w:bookmarkEnd w:id="568"/>
    </w:p>
    <w:p w14:paraId="2A2A5310">
      <w:pPr>
        <w:pStyle w:val="523"/>
        <w:ind w:firstLine="440"/>
        <w:rPr>
          <w:rFonts w:ascii="Times New Roman" w:hAnsi="Times New Roman"/>
          <w:color w:val="auto"/>
          <w:highlight w:val="none"/>
        </w:rPr>
      </w:pPr>
      <w:r>
        <w:rPr>
          <w:rFonts w:hint="eastAsia" w:ascii="Times New Roman" w:hAnsi="Times New Roman"/>
          <w:color w:val="auto"/>
          <w:highlight w:val="none"/>
        </w:rPr>
        <w:t>发包人要求承包人提前完工，或承包人提出提前完工的建议能够给发包人带来效益的， 应由监理人与承包人共同协商采取加快工程进度的措施和修订合同进度计划。发包人应承担承包人由此增加的费用，并向承包人支付专用合同条款约定的相应奖金。</w:t>
      </w:r>
    </w:p>
    <w:p w14:paraId="34C1544C">
      <w:pPr>
        <w:pStyle w:val="523"/>
        <w:ind w:firstLine="420"/>
        <w:rPr>
          <w:rFonts w:ascii="Times New Roman" w:hAnsi="Times New Roman"/>
          <w:color w:val="auto"/>
          <w:highlight w:val="none"/>
        </w:rPr>
      </w:pPr>
      <w:r>
        <w:rPr>
          <w:rFonts w:hint="eastAsia" w:ascii="Times New Roman" w:hAnsi="Times New Roman"/>
          <w:color w:val="auto"/>
          <w:highlight w:val="none"/>
        </w:rPr>
        <w:t>发包人要求提前完工的，双方协商一致后应签订提前完工协议，协议内容包括：</w:t>
      </w:r>
    </w:p>
    <w:p w14:paraId="77CBA606">
      <w:pPr>
        <w:pStyle w:val="523"/>
        <w:numPr>
          <w:ilvl w:val="0"/>
          <w:numId w:val="20"/>
        </w:numPr>
        <w:tabs>
          <w:tab w:val="left" w:pos="903"/>
        </w:tabs>
        <w:ind w:firstLine="420"/>
        <w:rPr>
          <w:rFonts w:ascii="Times New Roman" w:hAnsi="Times New Roman"/>
          <w:color w:val="auto"/>
          <w:highlight w:val="none"/>
        </w:rPr>
      </w:pPr>
      <w:bookmarkStart w:id="569" w:name="bookmark1193"/>
      <w:bookmarkEnd w:id="569"/>
      <w:r>
        <w:rPr>
          <w:rFonts w:hint="eastAsia" w:ascii="Times New Roman" w:hAnsi="Times New Roman"/>
          <w:color w:val="auto"/>
          <w:highlight w:val="none"/>
        </w:rPr>
        <w:t>提前的时间和修订后的进度计划。</w:t>
      </w:r>
    </w:p>
    <w:p w14:paraId="5AAD19C8">
      <w:pPr>
        <w:pStyle w:val="523"/>
        <w:numPr>
          <w:ilvl w:val="0"/>
          <w:numId w:val="20"/>
        </w:numPr>
        <w:tabs>
          <w:tab w:val="left" w:pos="903"/>
        </w:tabs>
        <w:ind w:firstLine="420"/>
        <w:rPr>
          <w:rFonts w:ascii="Times New Roman" w:hAnsi="Times New Roman"/>
          <w:color w:val="auto"/>
          <w:highlight w:val="none"/>
        </w:rPr>
      </w:pPr>
      <w:bookmarkStart w:id="570" w:name="bookmark1194"/>
      <w:bookmarkEnd w:id="570"/>
      <w:r>
        <w:rPr>
          <w:rFonts w:hint="eastAsia" w:ascii="Times New Roman" w:hAnsi="Times New Roman"/>
          <w:color w:val="auto"/>
          <w:highlight w:val="none"/>
        </w:rPr>
        <w:t>承包人的赶工措施。</w:t>
      </w:r>
    </w:p>
    <w:p w14:paraId="3DC2F32F">
      <w:pPr>
        <w:pStyle w:val="523"/>
        <w:numPr>
          <w:ilvl w:val="0"/>
          <w:numId w:val="20"/>
        </w:numPr>
        <w:tabs>
          <w:tab w:val="left" w:pos="923"/>
        </w:tabs>
        <w:ind w:firstLine="440"/>
        <w:rPr>
          <w:rFonts w:ascii="Times New Roman" w:hAnsi="Times New Roman"/>
          <w:color w:val="auto"/>
          <w:highlight w:val="none"/>
        </w:rPr>
      </w:pPr>
      <w:r>
        <w:rPr>
          <w:rFonts w:hint="eastAsia" w:ascii="Times New Roman" w:hAnsi="Times New Roman"/>
          <w:color w:val="auto"/>
          <w:highlight w:val="none"/>
        </w:rPr>
        <w:t>发包人为赶工提供的条件。</w:t>
      </w:r>
    </w:p>
    <w:p w14:paraId="7AF830A1">
      <w:pPr>
        <w:pStyle w:val="523"/>
        <w:numPr>
          <w:ilvl w:val="0"/>
          <w:numId w:val="20"/>
        </w:numPr>
        <w:tabs>
          <w:tab w:val="left" w:pos="923"/>
        </w:tabs>
        <w:ind w:firstLine="440"/>
        <w:rPr>
          <w:rFonts w:ascii="Times New Roman" w:hAnsi="Times New Roman"/>
          <w:color w:val="auto"/>
          <w:highlight w:val="none"/>
        </w:rPr>
      </w:pPr>
      <w:bookmarkStart w:id="571" w:name="bookmark1196"/>
      <w:bookmarkEnd w:id="571"/>
      <w:r>
        <w:rPr>
          <w:rFonts w:hint="eastAsia" w:ascii="Times New Roman" w:hAnsi="Times New Roman"/>
          <w:color w:val="auto"/>
          <w:highlight w:val="none"/>
        </w:rPr>
        <w:t>赶工费用(包括利润和奖金)</w:t>
      </w:r>
    </w:p>
    <w:p w14:paraId="1E6E9989">
      <w:pPr>
        <w:pStyle w:val="5"/>
        <w:spacing w:line="360" w:lineRule="auto"/>
        <w:rPr>
          <w:color w:val="auto"/>
          <w:highlight w:val="none"/>
        </w:rPr>
      </w:pPr>
      <w:bookmarkStart w:id="572" w:name="_Toc8400"/>
      <w:bookmarkStart w:id="573" w:name="bookmark1197"/>
      <w:bookmarkStart w:id="574" w:name="bookmark1199"/>
      <w:bookmarkStart w:id="575" w:name="_Toc1664070518"/>
      <w:bookmarkStart w:id="576" w:name="bookmark1198"/>
      <w:bookmarkStart w:id="577" w:name="_Toc29432"/>
      <w:bookmarkStart w:id="578" w:name="_Toc147350616"/>
      <w:r>
        <w:rPr>
          <w:rFonts w:hint="eastAsia"/>
          <w:color w:val="auto"/>
          <w:highlight w:val="none"/>
        </w:rPr>
        <w:t>12.暂停施工</w:t>
      </w:r>
      <w:bookmarkEnd w:id="572"/>
      <w:bookmarkEnd w:id="573"/>
      <w:bookmarkEnd w:id="574"/>
      <w:bookmarkEnd w:id="575"/>
      <w:bookmarkEnd w:id="576"/>
      <w:bookmarkEnd w:id="577"/>
      <w:bookmarkEnd w:id="578"/>
    </w:p>
    <w:p w14:paraId="1404D8CA">
      <w:pPr>
        <w:spacing w:line="360" w:lineRule="auto"/>
        <w:rPr>
          <w:color w:val="auto"/>
          <w:highlight w:val="none"/>
        </w:rPr>
      </w:pPr>
      <w:bookmarkStart w:id="579" w:name="bookmark1200"/>
      <w:bookmarkStart w:id="580" w:name="bookmark1202"/>
      <w:bookmarkStart w:id="581" w:name="_Toc25279"/>
      <w:bookmarkStart w:id="582" w:name="bookmark1201"/>
      <w:r>
        <w:rPr>
          <w:color w:val="auto"/>
          <w:highlight w:val="none"/>
        </w:rPr>
        <w:t>12.1承包人暂停施工的责任</w:t>
      </w:r>
      <w:bookmarkEnd w:id="579"/>
      <w:bookmarkEnd w:id="580"/>
      <w:bookmarkEnd w:id="581"/>
      <w:bookmarkEnd w:id="582"/>
    </w:p>
    <w:p w14:paraId="18FD83D1">
      <w:pPr>
        <w:pStyle w:val="523"/>
        <w:ind w:firstLine="442"/>
        <w:rPr>
          <w:rFonts w:ascii="Times New Roman" w:hAnsi="Times New Roman"/>
          <w:color w:val="auto"/>
          <w:highlight w:val="none"/>
        </w:rPr>
      </w:pPr>
      <w:r>
        <w:rPr>
          <w:rFonts w:hint="eastAsia" w:ascii="Times New Roman" w:hAnsi="Times New Roman"/>
          <w:color w:val="auto"/>
          <w:highlight w:val="none"/>
        </w:rPr>
        <w:t>因下列暂停施工增加的费用和(或)工期延误由承包人承担：</w:t>
      </w:r>
    </w:p>
    <w:p w14:paraId="50B6B8E0">
      <w:pPr>
        <w:pStyle w:val="523"/>
        <w:numPr>
          <w:ilvl w:val="0"/>
          <w:numId w:val="21"/>
        </w:numPr>
        <w:tabs>
          <w:tab w:val="left" w:pos="923"/>
        </w:tabs>
        <w:ind w:firstLine="442"/>
        <w:rPr>
          <w:rFonts w:ascii="Times New Roman" w:hAnsi="Times New Roman"/>
          <w:color w:val="auto"/>
          <w:highlight w:val="none"/>
        </w:rPr>
      </w:pPr>
      <w:bookmarkStart w:id="583" w:name="bookmark1203"/>
      <w:bookmarkEnd w:id="583"/>
      <w:r>
        <w:rPr>
          <w:rFonts w:hint="eastAsia" w:ascii="Times New Roman" w:hAnsi="Times New Roman"/>
          <w:color w:val="auto"/>
          <w:highlight w:val="none"/>
        </w:rPr>
        <w:t>承包人违约引起的暂停施工；</w:t>
      </w:r>
    </w:p>
    <w:p w14:paraId="0CDF3BF3">
      <w:pPr>
        <w:pStyle w:val="523"/>
        <w:numPr>
          <w:ilvl w:val="0"/>
          <w:numId w:val="21"/>
        </w:numPr>
        <w:tabs>
          <w:tab w:val="left" w:pos="923"/>
        </w:tabs>
        <w:ind w:firstLine="442"/>
        <w:rPr>
          <w:rFonts w:ascii="Times New Roman" w:hAnsi="Times New Roman"/>
          <w:color w:val="auto"/>
          <w:highlight w:val="none"/>
        </w:rPr>
      </w:pPr>
      <w:bookmarkStart w:id="584" w:name="bookmark1204"/>
      <w:bookmarkEnd w:id="584"/>
      <w:r>
        <w:rPr>
          <w:rFonts w:hint="eastAsia" w:ascii="Times New Roman" w:hAnsi="Times New Roman"/>
          <w:color w:val="auto"/>
          <w:highlight w:val="none"/>
        </w:rPr>
        <w:t>由于承包人原因为工程合理施工和安全保障所必需的暂停施工；</w:t>
      </w:r>
    </w:p>
    <w:p w14:paraId="6B0B9332">
      <w:pPr>
        <w:pStyle w:val="523"/>
        <w:numPr>
          <w:ilvl w:val="0"/>
          <w:numId w:val="21"/>
        </w:numPr>
        <w:tabs>
          <w:tab w:val="left" w:pos="923"/>
        </w:tabs>
        <w:ind w:firstLine="442"/>
        <w:rPr>
          <w:rFonts w:ascii="Times New Roman" w:hAnsi="Times New Roman"/>
          <w:color w:val="auto"/>
          <w:highlight w:val="none"/>
        </w:rPr>
      </w:pPr>
      <w:bookmarkStart w:id="585" w:name="bookmark1205"/>
      <w:bookmarkEnd w:id="585"/>
      <w:r>
        <w:rPr>
          <w:rFonts w:hint="eastAsia" w:ascii="Times New Roman" w:hAnsi="Times New Roman"/>
          <w:color w:val="auto"/>
          <w:highlight w:val="none"/>
        </w:rPr>
        <w:t>承包人擅自暂停施工；</w:t>
      </w:r>
    </w:p>
    <w:p w14:paraId="361ACEAA">
      <w:pPr>
        <w:pStyle w:val="523"/>
        <w:numPr>
          <w:ilvl w:val="0"/>
          <w:numId w:val="21"/>
        </w:numPr>
        <w:tabs>
          <w:tab w:val="left" w:pos="923"/>
        </w:tabs>
        <w:ind w:firstLine="442"/>
        <w:rPr>
          <w:rFonts w:ascii="Times New Roman" w:hAnsi="Times New Roman"/>
          <w:color w:val="auto"/>
          <w:highlight w:val="none"/>
        </w:rPr>
      </w:pPr>
      <w:bookmarkStart w:id="586" w:name="bookmark1206"/>
      <w:bookmarkEnd w:id="586"/>
      <w:r>
        <w:rPr>
          <w:rFonts w:hint="eastAsia" w:ascii="Times New Roman" w:hAnsi="Times New Roman"/>
          <w:color w:val="auto"/>
          <w:highlight w:val="none"/>
        </w:rPr>
        <w:t>承包人其他原因引起的暂停施工；</w:t>
      </w:r>
    </w:p>
    <w:p w14:paraId="3D772002">
      <w:pPr>
        <w:pStyle w:val="523"/>
        <w:numPr>
          <w:ilvl w:val="0"/>
          <w:numId w:val="21"/>
        </w:numPr>
        <w:tabs>
          <w:tab w:val="left" w:pos="923"/>
        </w:tabs>
        <w:ind w:firstLine="442"/>
        <w:rPr>
          <w:rFonts w:ascii="Times New Roman" w:hAnsi="Times New Roman"/>
          <w:color w:val="auto"/>
          <w:highlight w:val="none"/>
        </w:rPr>
      </w:pPr>
      <w:bookmarkStart w:id="587" w:name="bookmark1207"/>
      <w:bookmarkEnd w:id="587"/>
      <w:r>
        <w:rPr>
          <w:rFonts w:hint="eastAsia" w:ascii="Times New Roman" w:hAnsi="Times New Roman"/>
          <w:color w:val="auto"/>
          <w:highlight w:val="none"/>
        </w:rPr>
        <w:t>专用合同条款约定由承包人承担的其他暂停施工。</w:t>
      </w:r>
    </w:p>
    <w:p w14:paraId="1E13B4CF">
      <w:pPr>
        <w:spacing w:line="360" w:lineRule="auto"/>
        <w:rPr>
          <w:color w:val="auto"/>
          <w:highlight w:val="none"/>
        </w:rPr>
      </w:pPr>
      <w:bookmarkStart w:id="588" w:name="bookmark1208"/>
      <w:bookmarkStart w:id="589" w:name="bookmark1209"/>
      <w:bookmarkStart w:id="590" w:name="bookmark1210"/>
      <w:bookmarkStart w:id="591" w:name="_Toc19655"/>
      <w:r>
        <w:rPr>
          <w:color w:val="auto"/>
          <w:highlight w:val="none"/>
        </w:rPr>
        <w:t>12.2发包人暂停施工的责任</w:t>
      </w:r>
      <w:bookmarkEnd w:id="588"/>
      <w:bookmarkEnd w:id="589"/>
      <w:bookmarkEnd w:id="590"/>
      <w:bookmarkEnd w:id="591"/>
    </w:p>
    <w:p w14:paraId="750C38FF">
      <w:pPr>
        <w:pStyle w:val="523"/>
        <w:ind w:firstLine="442"/>
        <w:rPr>
          <w:rFonts w:ascii="Times New Roman" w:hAnsi="Times New Roman"/>
          <w:color w:val="auto"/>
          <w:highlight w:val="none"/>
        </w:rPr>
      </w:pPr>
      <w:r>
        <w:rPr>
          <w:rFonts w:hint="eastAsia" w:ascii="Times New Roman" w:hAnsi="Times New Roman"/>
          <w:color w:val="auto"/>
          <w:highlight w:val="none"/>
        </w:rPr>
        <w:t>由于发包人原因引起的暂停施工造成工期延误的，承包人有权要求发包人延长工期和 (或)增加费用，并支付合理利润。属于下列任何一种情况引起的暂停施工，均为发包人的责任：</w:t>
      </w:r>
    </w:p>
    <w:p w14:paraId="70F379A2">
      <w:pPr>
        <w:pStyle w:val="523"/>
        <w:numPr>
          <w:ilvl w:val="0"/>
          <w:numId w:val="22"/>
        </w:numPr>
        <w:tabs>
          <w:tab w:val="left" w:pos="923"/>
        </w:tabs>
        <w:ind w:firstLine="442"/>
        <w:rPr>
          <w:rFonts w:ascii="Times New Roman" w:hAnsi="Times New Roman"/>
          <w:color w:val="auto"/>
          <w:highlight w:val="none"/>
        </w:rPr>
      </w:pPr>
      <w:bookmarkStart w:id="592" w:name="bookmark1211"/>
      <w:bookmarkEnd w:id="592"/>
      <w:r>
        <w:rPr>
          <w:rFonts w:hint="eastAsia" w:ascii="Times New Roman" w:hAnsi="Times New Roman"/>
          <w:color w:val="auto"/>
          <w:highlight w:val="none"/>
        </w:rPr>
        <w:t>由于发包人违约引起的暂停施工。</w:t>
      </w:r>
    </w:p>
    <w:p w14:paraId="478E2460">
      <w:pPr>
        <w:pStyle w:val="523"/>
        <w:numPr>
          <w:ilvl w:val="0"/>
          <w:numId w:val="22"/>
        </w:numPr>
        <w:tabs>
          <w:tab w:val="left" w:pos="923"/>
        </w:tabs>
        <w:ind w:firstLine="442"/>
        <w:rPr>
          <w:rFonts w:ascii="Times New Roman" w:hAnsi="Times New Roman"/>
          <w:color w:val="auto"/>
          <w:highlight w:val="none"/>
        </w:rPr>
      </w:pPr>
      <w:bookmarkStart w:id="593" w:name="bookmark1212"/>
      <w:bookmarkEnd w:id="593"/>
      <w:r>
        <w:rPr>
          <w:rFonts w:hint="eastAsia" w:ascii="Times New Roman" w:hAnsi="Times New Roman"/>
          <w:color w:val="auto"/>
          <w:highlight w:val="none"/>
        </w:rPr>
        <w:t>由于不可抗力的自然或社会因素引起的暂停施工。</w:t>
      </w:r>
    </w:p>
    <w:p w14:paraId="33165FB3">
      <w:pPr>
        <w:pStyle w:val="523"/>
        <w:numPr>
          <w:ilvl w:val="0"/>
          <w:numId w:val="22"/>
        </w:numPr>
        <w:tabs>
          <w:tab w:val="left" w:pos="923"/>
        </w:tabs>
        <w:ind w:firstLine="442"/>
        <w:rPr>
          <w:rFonts w:ascii="Times New Roman" w:hAnsi="Times New Roman"/>
          <w:color w:val="auto"/>
          <w:highlight w:val="none"/>
        </w:rPr>
      </w:pPr>
      <w:bookmarkStart w:id="594" w:name="bookmark1213"/>
      <w:bookmarkEnd w:id="594"/>
      <w:r>
        <w:rPr>
          <w:rFonts w:hint="eastAsia" w:ascii="Times New Roman" w:hAnsi="Times New Roman"/>
          <w:color w:val="auto"/>
          <w:highlight w:val="none"/>
        </w:rPr>
        <w:t>专用合同条款中约定的其它由于发包人原因引起的暂停施工。</w:t>
      </w:r>
    </w:p>
    <w:p w14:paraId="7C623449">
      <w:pPr>
        <w:spacing w:line="360" w:lineRule="auto"/>
        <w:rPr>
          <w:color w:val="auto"/>
          <w:highlight w:val="none"/>
        </w:rPr>
      </w:pPr>
      <w:bookmarkStart w:id="595" w:name="_Toc4901"/>
      <w:bookmarkStart w:id="596" w:name="bookmark1216"/>
      <w:bookmarkStart w:id="597" w:name="bookmark1215"/>
      <w:bookmarkStart w:id="598" w:name="bookmark1214"/>
      <w:r>
        <w:rPr>
          <w:color w:val="auto"/>
          <w:highlight w:val="none"/>
        </w:rPr>
        <w:t>12.3监理人暂停施工指示</w:t>
      </w:r>
      <w:bookmarkEnd w:id="595"/>
      <w:bookmarkEnd w:id="596"/>
      <w:bookmarkEnd w:id="597"/>
      <w:bookmarkEnd w:id="598"/>
    </w:p>
    <w:p w14:paraId="5E7CC1B0">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12.3.1</w:t>
      </w:r>
      <w:r>
        <w:rPr>
          <w:rFonts w:hint="eastAsia" w:ascii="Times New Roman" w:hAnsi="Times New Roman"/>
          <w:color w:val="auto"/>
          <w:highlight w:val="none"/>
        </w:rPr>
        <w:t>监理人认为有必要时，可向承包人作出暂停施工的指示，承包人应按监理人指示暂停施工。不论由于何种原因引起的暂停施工，暂停施工期间承包人应负责妥善保护工程并提供安全保障。</w:t>
      </w:r>
    </w:p>
    <w:p w14:paraId="731F6FCD">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12.3.2</w:t>
      </w:r>
      <w:r>
        <w:rPr>
          <w:rFonts w:hint="eastAsia" w:ascii="Times New Roman" w:hAnsi="Times New Roman"/>
          <w:color w:val="auto"/>
          <w:highlight w:val="none"/>
        </w:rPr>
        <w:t>由于发包人的原因发生暂停施工的紧急情况，且监理人未及时下达暂停施工指示的，承包人可先暂停施工，并及时向监理人提出暂停施工的书面请求。监理人应在接到书面请求后的24小时内予以答复，逾期未答复的，视为同意承包人的暂停施工请求。</w:t>
      </w:r>
    </w:p>
    <w:p w14:paraId="1810F6C6">
      <w:pPr>
        <w:spacing w:line="360" w:lineRule="auto"/>
        <w:rPr>
          <w:color w:val="auto"/>
          <w:highlight w:val="none"/>
        </w:rPr>
      </w:pPr>
      <w:bookmarkStart w:id="599" w:name="bookmark1219"/>
      <w:bookmarkStart w:id="600" w:name="bookmark1217"/>
      <w:bookmarkStart w:id="601" w:name="_Toc14048"/>
      <w:bookmarkStart w:id="602" w:name="bookmark1218"/>
      <w:r>
        <w:rPr>
          <w:color w:val="auto"/>
          <w:highlight w:val="none"/>
        </w:rPr>
        <w:t>12.4暂停施工后的复工</w:t>
      </w:r>
      <w:bookmarkEnd w:id="599"/>
      <w:bookmarkEnd w:id="600"/>
      <w:bookmarkEnd w:id="601"/>
      <w:bookmarkEnd w:id="602"/>
    </w:p>
    <w:p w14:paraId="5DD7C19A">
      <w:pPr>
        <w:pStyle w:val="523"/>
        <w:ind w:firstLine="440"/>
        <w:rPr>
          <w:rFonts w:ascii="Times New Roman" w:hAnsi="Times New Roman"/>
          <w:color w:val="auto"/>
          <w:highlight w:val="none"/>
        </w:rPr>
      </w:pPr>
      <w:bookmarkStart w:id="603" w:name="bookmark1220"/>
      <w:bookmarkEnd w:id="603"/>
      <w:r>
        <w:rPr>
          <w:rFonts w:hint="eastAsia" w:ascii="Times New Roman" w:hAnsi="Times New Roman"/>
          <w:color w:val="auto"/>
          <w:highlight w:val="none"/>
        </w:rPr>
        <w:t>12.4.1暂停施工后，监理人应与发包人和承包人协商，采取有效措施积极消除暂停施工的影响。当工程具备复工条件时，监理人应立即向承包人发出复工通知。承包人收到复工通知后，应在监理人指定的期限内复工。</w:t>
      </w:r>
    </w:p>
    <w:p w14:paraId="392B0936">
      <w:pPr>
        <w:pStyle w:val="523"/>
        <w:ind w:firstLine="440"/>
        <w:rPr>
          <w:rFonts w:ascii="Times New Roman" w:hAnsi="Times New Roman"/>
          <w:color w:val="auto"/>
          <w:highlight w:val="none"/>
        </w:rPr>
      </w:pPr>
      <w:bookmarkStart w:id="604" w:name="bookmark1221"/>
      <w:bookmarkEnd w:id="604"/>
      <w:r>
        <w:rPr>
          <w:rFonts w:hint="eastAsia" w:ascii="Times New Roman" w:hAnsi="Times New Roman"/>
          <w:color w:val="auto"/>
          <w:highlight w:val="none"/>
        </w:rPr>
        <w:t>12</w:t>
      </w:r>
      <w:r>
        <w:rPr>
          <w:rFonts w:hint="eastAsia" w:ascii="Times New Roman" w:hAnsi="Times New Roman"/>
          <w:color w:val="auto"/>
          <w:highlight w:val="none"/>
          <w:lang w:val="en-US"/>
        </w:rPr>
        <w:t>.4.</w:t>
      </w:r>
      <w:r>
        <w:rPr>
          <w:rFonts w:hint="eastAsia" w:ascii="Times New Roman" w:hAnsi="Times New Roman"/>
          <w:color w:val="auto"/>
          <w:highlight w:val="none"/>
        </w:rPr>
        <w:t>2承包人无故拖延和拒绝复工的，由此增加的费用和工期延误由承包人承担；因发包人原因无法按时复工的，承包人有权要求发包人延长工期和(或)增加费用，并支付合理利润。</w:t>
      </w:r>
    </w:p>
    <w:p w14:paraId="430D3568">
      <w:pPr>
        <w:spacing w:line="360" w:lineRule="auto"/>
        <w:rPr>
          <w:color w:val="auto"/>
          <w:highlight w:val="none"/>
        </w:rPr>
      </w:pPr>
      <w:bookmarkStart w:id="605" w:name="bookmark1195"/>
      <w:bookmarkEnd w:id="605"/>
      <w:bookmarkStart w:id="606" w:name="_Toc6811"/>
      <w:bookmarkStart w:id="607" w:name="bookmark1224"/>
      <w:bookmarkStart w:id="608" w:name="bookmark1222"/>
      <w:bookmarkStart w:id="609" w:name="bookmark1223"/>
      <w:r>
        <w:rPr>
          <w:color w:val="auto"/>
          <w:highlight w:val="none"/>
        </w:rPr>
        <w:t>12.5暂停施工持续56天以上</w:t>
      </w:r>
      <w:bookmarkEnd w:id="606"/>
      <w:bookmarkEnd w:id="607"/>
      <w:bookmarkEnd w:id="608"/>
      <w:bookmarkEnd w:id="609"/>
    </w:p>
    <w:p w14:paraId="6CC6B9FC">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12.5.1</w:t>
      </w:r>
      <w:r>
        <w:rPr>
          <w:rFonts w:hint="eastAsia" w:ascii="Times New Roman" w:hAnsi="Times New Roman"/>
          <w:color w:val="auto"/>
          <w:highlight w:val="none"/>
        </w:rPr>
        <w:t>监理人发出暂停施工指示后56天内未向承包人发出复工通知，除了该项停工属于第</w:t>
      </w:r>
      <w:r>
        <w:rPr>
          <w:rFonts w:hint="eastAsia" w:ascii="Times New Roman" w:hAnsi="Times New Roman"/>
          <w:color w:val="auto"/>
          <w:highlight w:val="none"/>
          <w:lang w:val="en-US" w:bidi="en-US"/>
        </w:rPr>
        <w:t>12.1</w:t>
      </w:r>
      <w:r>
        <w:rPr>
          <w:rFonts w:hint="eastAsia" w:ascii="Times New Roman" w:hAnsi="Times New Roman"/>
          <w:color w:val="auto"/>
          <w:highlight w:val="none"/>
        </w:rPr>
        <w:t>款的情况外，承包人可向监理人提交书面通知，要求监理人在收到书面通知后 28天内准许已暂停施工的工程或其中一部分工程继续施工。如监理人逾期不予批准，则承包人可以通知监理人，将工程受影响的部分视为按第</w:t>
      </w:r>
      <w:r>
        <w:rPr>
          <w:rFonts w:hint="eastAsia" w:ascii="Times New Roman" w:hAnsi="Times New Roman"/>
          <w:color w:val="auto"/>
          <w:highlight w:val="none"/>
          <w:lang w:val="en-US" w:bidi="en-US"/>
        </w:rPr>
        <w:t xml:space="preserve">15.1 </w:t>
      </w:r>
      <w:r>
        <w:rPr>
          <w:rFonts w:hint="eastAsia" w:ascii="Times New Roman" w:hAnsi="Times New Roman"/>
          <w:color w:val="auto"/>
          <w:highlight w:val="none"/>
        </w:rPr>
        <w:t>(1)项的可取消工作。如暂停施工影响到整个工程，可视为发包人违约，应按第</w:t>
      </w:r>
      <w:r>
        <w:rPr>
          <w:rFonts w:hint="eastAsia" w:ascii="Times New Roman" w:hAnsi="Times New Roman"/>
          <w:color w:val="auto"/>
          <w:highlight w:val="none"/>
          <w:lang w:val="en-US" w:bidi="en-US"/>
        </w:rPr>
        <w:t xml:space="preserve">22. </w:t>
      </w:r>
      <w:r>
        <w:rPr>
          <w:rFonts w:hint="eastAsia" w:ascii="Times New Roman" w:hAnsi="Times New Roman"/>
          <w:color w:val="auto"/>
          <w:highlight w:val="none"/>
        </w:rPr>
        <w:t>2款的约定办理。</w:t>
      </w:r>
    </w:p>
    <w:p w14:paraId="1ED9E545">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12.5.2</w:t>
      </w:r>
      <w:r>
        <w:rPr>
          <w:rFonts w:hint="eastAsia" w:ascii="Times New Roman" w:hAnsi="Times New Roman"/>
          <w:color w:val="auto"/>
          <w:highlight w:val="none"/>
        </w:rPr>
        <w:t>由于承包人责任引起的暂停施工，如承包人在收到监理人暂停施工指示后56 天内不认真采取有效的复工措施，造成工期延误，可视为承包人违约，应按第</w:t>
      </w:r>
      <w:r>
        <w:rPr>
          <w:rFonts w:hint="eastAsia" w:ascii="Times New Roman" w:hAnsi="Times New Roman"/>
          <w:color w:val="auto"/>
          <w:highlight w:val="none"/>
          <w:lang w:val="en-US" w:bidi="en-US"/>
        </w:rPr>
        <w:t>22.1</w:t>
      </w:r>
      <w:r>
        <w:rPr>
          <w:rFonts w:hint="eastAsia" w:ascii="Times New Roman" w:hAnsi="Times New Roman"/>
          <w:color w:val="auto"/>
          <w:highlight w:val="none"/>
        </w:rPr>
        <w:t>款的约定办理。</w:t>
      </w:r>
    </w:p>
    <w:p w14:paraId="283D5120">
      <w:pPr>
        <w:pStyle w:val="5"/>
        <w:spacing w:line="360" w:lineRule="auto"/>
        <w:rPr>
          <w:color w:val="auto"/>
          <w:highlight w:val="none"/>
        </w:rPr>
      </w:pPr>
      <w:bookmarkStart w:id="610" w:name="bookmark1227"/>
      <w:bookmarkStart w:id="611" w:name="_Toc1332438160"/>
      <w:bookmarkStart w:id="612" w:name="_Toc147350617"/>
      <w:bookmarkStart w:id="613" w:name="_Toc10322"/>
      <w:bookmarkStart w:id="614" w:name="_Toc10406"/>
      <w:bookmarkStart w:id="615" w:name="bookmark1226"/>
      <w:bookmarkStart w:id="616" w:name="bookmark1225"/>
      <w:r>
        <w:rPr>
          <w:rFonts w:hint="eastAsia"/>
          <w:color w:val="auto"/>
          <w:highlight w:val="none"/>
        </w:rPr>
        <w:t>13.工程质量</w:t>
      </w:r>
      <w:bookmarkEnd w:id="610"/>
      <w:bookmarkEnd w:id="611"/>
      <w:bookmarkEnd w:id="612"/>
      <w:bookmarkEnd w:id="613"/>
      <w:bookmarkEnd w:id="614"/>
      <w:bookmarkEnd w:id="615"/>
      <w:bookmarkEnd w:id="616"/>
    </w:p>
    <w:p w14:paraId="535DEFEC">
      <w:pPr>
        <w:spacing w:line="360" w:lineRule="auto"/>
        <w:rPr>
          <w:color w:val="auto"/>
          <w:highlight w:val="none"/>
        </w:rPr>
      </w:pPr>
      <w:bookmarkStart w:id="617" w:name="bookmark1229"/>
      <w:bookmarkStart w:id="618" w:name="_Toc9064"/>
      <w:bookmarkStart w:id="619" w:name="bookmark1228"/>
      <w:bookmarkStart w:id="620" w:name="bookmark1230"/>
      <w:r>
        <w:rPr>
          <w:color w:val="auto"/>
          <w:highlight w:val="none"/>
        </w:rPr>
        <w:t>13.1工程质量要求</w:t>
      </w:r>
      <w:bookmarkEnd w:id="617"/>
      <w:bookmarkEnd w:id="618"/>
      <w:bookmarkEnd w:id="619"/>
      <w:bookmarkEnd w:id="620"/>
    </w:p>
    <w:p w14:paraId="55CA0C85">
      <w:pPr>
        <w:pStyle w:val="523"/>
        <w:tabs>
          <w:tab w:val="left" w:pos="820"/>
        </w:tabs>
        <w:ind w:left="420" w:firstLine="0"/>
        <w:rPr>
          <w:rFonts w:ascii="Times New Roman" w:hAnsi="Times New Roman"/>
          <w:color w:val="auto"/>
          <w:highlight w:val="none"/>
        </w:rPr>
      </w:pPr>
      <w:bookmarkStart w:id="621" w:name="bookmark1231"/>
      <w:bookmarkEnd w:id="621"/>
      <w:r>
        <w:rPr>
          <w:rFonts w:hint="eastAsia" w:ascii="Times New Roman" w:hAnsi="Times New Roman"/>
          <w:color w:val="auto"/>
          <w:highlight w:val="none"/>
          <w:lang w:val="en-US" w:bidi="en-US"/>
        </w:rPr>
        <w:t xml:space="preserve">13.1. </w:t>
      </w:r>
      <w:r>
        <w:rPr>
          <w:rFonts w:hint="eastAsia" w:ascii="Times New Roman" w:hAnsi="Times New Roman"/>
          <w:color w:val="auto"/>
          <w:highlight w:val="none"/>
        </w:rPr>
        <w:t>1工程质量验收按合同约定验收标准执行。</w:t>
      </w:r>
    </w:p>
    <w:p w14:paraId="434F37B6">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13.1.2</w:t>
      </w:r>
      <w:r>
        <w:rPr>
          <w:rFonts w:hint="eastAsia" w:ascii="Times New Roman" w:hAnsi="Times New Roman"/>
          <w:color w:val="auto"/>
          <w:highlight w:val="none"/>
        </w:rPr>
        <w:t>因承包人原因造成工程质量达不到合同约定验收标准的，监理人有权要求承包人返工直至符合合同要求为止，由此造成的费用增加和（或）工期延误由承包人承担。</w:t>
      </w:r>
    </w:p>
    <w:p w14:paraId="51192273">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13.1.3</w:t>
      </w:r>
      <w:r>
        <w:rPr>
          <w:rFonts w:hint="eastAsia" w:ascii="Times New Roman" w:hAnsi="Times New Roman"/>
          <w:color w:val="auto"/>
          <w:highlight w:val="none"/>
        </w:rPr>
        <w:t>因发包人原因造成工程质量达不到合同约定验收标准的，发包人应承担由于承包人返工造成的费用增加和（或）工期延误，并支付承包人合理利润。</w:t>
      </w:r>
    </w:p>
    <w:p w14:paraId="4C4B6DBE">
      <w:pPr>
        <w:spacing w:line="360" w:lineRule="auto"/>
        <w:rPr>
          <w:color w:val="auto"/>
          <w:highlight w:val="none"/>
        </w:rPr>
      </w:pPr>
      <w:bookmarkStart w:id="622" w:name="_Toc6308"/>
      <w:bookmarkStart w:id="623" w:name="bookmark1232"/>
      <w:bookmarkStart w:id="624" w:name="bookmark1234"/>
      <w:bookmarkStart w:id="625" w:name="bookmark1233"/>
      <w:r>
        <w:rPr>
          <w:color w:val="auto"/>
          <w:highlight w:val="none"/>
        </w:rPr>
        <w:t>13.2承包人的质量管理</w:t>
      </w:r>
      <w:bookmarkEnd w:id="622"/>
      <w:bookmarkEnd w:id="623"/>
      <w:bookmarkEnd w:id="624"/>
      <w:bookmarkEnd w:id="625"/>
    </w:p>
    <w:p w14:paraId="04BDF54F">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13.2.1</w:t>
      </w:r>
      <w:r>
        <w:rPr>
          <w:rFonts w:hint="eastAsia" w:ascii="Times New Roman" w:hAnsi="Times New Roman"/>
          <w:color w:val="auto"/>
          <w:highlight w:val="none"/>
        </w:rPr>
        <w:t>承包人应在施工场地设置专门的质量检查机构，配备专职质量检查人员，建立完善的质量检查制度。承包人应按技术标准和要求（合同技术条款）约定的内容和期限, 编制工程质量保证措施文件，包括质量检查机构的组织和岗位责任、质量检查人员的组成、质量检查程序和实施细则等，提交监理人监批。监理人应在技术标准和要求（合同技术条款）约定期限内批复承包人。</w:t>
      </w:r>
    </w:p>
    <w:p w14:paraId="06787EAA">
      <w:pPr>
        <w:pStyle w:val="523"/>
        <w:ind w:firstLine="440"/>
        <w:rPr>
          <w:rFonts w:ascii="Times New Roman" w:hAnsi="Times New Roman"/>
          <w:color w:val="auto"/>
          <w:highlight w:val="none"/>
        </w:rPr>
      </w:pPr>
      <w:bookmarkStart w:id="626" w:name="bookmark1235"/>
      <w:bookmarkEnd w:id="626"/>
      <w:r>
        <w:rPr>
          <w:rFonts w:hint="eastAsia" w:ascii="Times New Roman" w:hAnsi="Times New Roman"/>
          <w:color w:val="auto"/>
          <w:highlight w:val="none"/>
        </w:rPr>
        <w:t>13.2. 2承包人应加强对施工人员的质量教育和技术培训，定期考核施工人员的劳动 技能，严格执行规范和操作规程。</w:t>
      </w:r>
    </w:p>
    <w:p w14:paraId="57A0049E">
      <w:pPr>
        <w:spacing w:line="360" w:lineRule="auto"/>
        <w:rPr>
          <w:color w:val="auto"/>
          <w:highlight w:val="none"/>
        </w:rPr>
      </w:pPr>
      <w:bookmarkStart w:id="627" w:name="_Toc19429"/>
      <w:bookmarkStart w:id="628" w:name="bookmark1238"/>
      <w:bookmarkStart w:id="629" w:name="bookmark1236"/>
      <w:bookmarkStart w:id="630" w:name="bookmark1237"/>
      <w:r>
        <w:rPr>
          <w:color w:val="auto"/>
          <w:highlight w:val="none"/>
        </w:rPr>
        <w:t>13.3承包人的质量检查</w:t>
      </w:r>
      <w:bookmarkEnd w:id="627"/>
      <w:bookmarkEnd w:id="628"/>
      <w:bookmarkEnd w:id="629"/>
      <w:bookmarkEnd w:id="630"/>
    </w:p>
    <w:p w14:paraId="30DDF877">
      <w:pPr>
        <w:pStyle w:val="523"/>
        <w:ind w:firstLine="440"/>
        <w:rPr>
          <w:rFonts w:ascii="Times New Roman" w:hAnsi="Times New Roman"/>
          <w:color w:val="auto"/>
          <w:highlight w:val="none"/>
        </w:rPr>
      </w:pPr>
      <w:r>
        <w:rPr>
          <w:rFonts w:hint="eastAsia" w:ascii="Times New Roman" w:hAnsi="Times New Roman"/>
          <w:color w:val="auto"/>
          <w:highlight w:val="none"/>
        </w:rPr>
        <w:t>承包人应按合同约定对材料、工程设备以及工程的所有部位及其施工工艺进行全过程的质量检查和检验，并作详细记录，编制工程质量报表，报送监理人审查。</w:t>
      </w:r>
    </w:p>
    <w:p w14:paraId="4E91C99E">
      <w:pPr>
        <w:spacing w:line="360" w:lineRule="auto"/>
        <w:rPr>
          <w:color w:val="auto"/>
          <w:highlight w:val="none"/>
        </w:rPr>
      </w:pPr>
      <w:bookmarkStart w:id="631" w:name="bookmark1240"/>
      <w:bookmarkStart w:id="632" w:name="_Toc26103"/>
      <w:bookmarkStart w:id="633" w:name="bookmark1239"/>
      <w:bookmarkStart w:id="634" w:name="bookmark1241"/>
      <w:r>
        <w:rPr>
          <w:color w:val="auto"/>
          <w:highlight w:val="none"/>
        </w:rPr>
        <w:t>13.4监理人的质量检查</w:t>
      </w:r>
      <w:bookmarkEnd w:id="631"/>
      <w:bookmarkEnd w:id="632"/>
      <w:bookmarkEnd w:id="633"/>
      <w:bookmarkEnd w:id="634"/>
    </w:p>
    <w:p w14:paraId="49F08AD0">
      <w:pPr>
        <w:pStyle w:val="523"/>
        <w:ind w:firstLine="440"/>
        <w:rPr>
          <w:rFonts w:ascii="Times New Roman" w:hAnsi="Times New Roman"/>
          <w:color w:val="auto"/>
          <w:highlight w:val="none"/>
        </w:rPr>
      </w:pPr>
      <w:r>
        <w:rPr>
          <w:rFonts w:hint="eastAsia" w:ascii="Times New Roman" w:hAnsi="Times New Roman"/>
          <w:color w:val="auto"/>
          <w:highlight w:val="none"/>
        </w:rPr>
        <w:t>监理人有权对工程的所有部位及其施工工艺、材料和工程设备进行检查和检验。承包人应为监理人的检查和检验提供方便，包括监理人到施工场地，或制造、加工地点，或合同约定的其他地方进行察看和查阅施工原始记录。承包人还应按监理人指示，进行施工场地取样试验、工程复核测量和设备性能检测，提供试验样品、提交试验报告和测量成果以及监理人要求进行的其他工作。监理人的检查和检验，不免除承包人按合同约定应负的责任。</w:t>
      </w:r>
    </w:p>
    <w:p w14:paraId="2C0A344A">
      <w:pPr>
        <w:spacing w:line="360" w:lineRule="auto"/>
        <w:rPr>
          <w:color w:val="auto"/>
          <w:highlight w:val="none"/>
        </w:rPr>
      </w:pPr>
      <w:bookmarkStart w:id="635" w:name="_Toc30255"/>
      <w:bookmarkStart w:id="636" w:name="bookmark1242"/>
      <w:bookmarkStart w:id="637" w:name="bookmark1243"/>
      <w:bookmarkStart w:id="638" w:name="bookmark1244"/>
      <w:r>
        <w:rPr>
          <w:color w:val="auto"/>
          <w:highlight w:val="none"/>
        </w:rPr>
        <w:t>13.5工程隐蔽部位覆盖前的检查</w:t>
      </w:r>
      <w:bookmarkEnd w:id="635"/>
      <w:bookmarkEnd w:id="636"/>
      <w:bookmarkEnd w:id="637"/>
      <w:bookmarkEnd w:id="638"/>
    </w:p>
    <w:p w14:paraId="1E84D5D9">
      <w:pPr>
        <w:pStyle w:val="523"/>
        <w:tabs>
          <w:tab w:val="left" w:pos="840"/>
        </w:tabs>
        <w:ind w:firstLine="420" w:firstLineChars="200"/>
        <w:rPr>
          <w:rFonts w:ascii="Times New Roman" w:hAnsi="Times New Roman"/>
          <w:color w:val="auto"/>
          <w:highlight w:val="none"/>
        </w:rPr>
      </w:pPr>
      <w:bookmarkStart w:id="639" w:name="bookmark1245"/>
      <w:bookmarkEnd w:id="639"/>
      <w:r>
        <w:rPr>
          <w:rFonts w:hint="eastAsia" w:ascii="Times New Roman" w:hAnsi="Times New Roman"/>
          <w:color w:val="auto"/>
          <w:highlight w:val="none"/>
          <w:lang w:val="en-US" w:bidi="en-US"/>
        </w:rPr>
        <w:t xml:space="preserve">13.5. </w:t>
      </w:r>
      <w:r>
        <w:rPr>
          <w:rFonts w:hint="eastAsia" w:ascii="Times New Roman" w:hAnsi="Times New Roman"/>
          <w:color w:val="auto"/>
          <w:highlight w:val="none"/>
        </w:rPr>
        <w:t>1通知监理人检查</w:t>
      </w:r>
    </w:p>
    <w:p w14:paraId="690CACF0">
      <w:pPr>
        <w:pStyle w:val="523"/>
        <w:ind w:firstLine="440"/>
        <w:rPr>
          <w:rFonts w:ascii="Times New Roman" w:hAnsi="Times New Roman"/>
          <w:color w:val="auto"/>
          <w:highlight w:val="none"/>
        </w:rPr>
      </w:pPr>
      <w:r>
        <w:rPr>
          <w:rFonts w:hint="eastAsia" w:ascii="Times New Roman" w:hAnsi="Times New Roman"/>
          <w:color w:val="auto"/>
          <w:highlight w:val="none"/>
        </w:rPr>
        <w:t>经承包人自检确认的工程隐蔽部位具备覆盖条件后，承包人应通知监理人在约定的期限内检查。承包人的通知应附有自检记录和必要的检查资料。监理人应按时到场检查。经监理人检查确认质量符合隐蔽要求，并在检查记录上签字后，承包人才能进行覆盖。监理人检查确认质量不合格的，承包人应在监理人指示的时间内修整返工后，由监理人重新检查。</w:t>
      </w:r>
    </w:p>
    <w:p w14:paraId="26535B7D">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13.5.2</w:t>
      </w:r>
      <w:r>
        <w:rPr>
          <w:rFonts w:hint="eastAsia" w:ascii="Times New Roman" w:hAnsi="Times New Roman"/>
          <w:color w:val="auto"/>
          <w:highlight w:val="none"/>
        </w:rPr>
        <w:t>监理人未到场检查</w:t>
      </w:r>
    </w:p>
    <w:p w14:paraId="66E99E41">
      <w:pPr>
        <w:pStyle w:val="523"/>
        <w:ind w:firstLine="440"/>
        <w:rPr>
          <w:rFonts w:ascii="Times New Roman" w:hAnsi="Times New Roman"/>
          <w:color w:val="auto"/>
          <w:highlight w:val="none"/>
        </w:rPr>
      </w:pPr>
      <w:r>
        <w:rPr>
          <w:rFonts w:hint="eastAsia" w:ascii="Times New Roman" w:hAnsi="Times New Roman"/>
          <w:color w:val="auto"/>
          <w:highlight w:val="none"/>
        </w:rPr>
        <w:t>监理人未按第</w:t>
      </w:r>
      <w:r>
        <w:rPr>
          <w:rFonts w:hint="eastAsia" w:ascii="Times New Roman" w:hAnsi="Times New Roman"/>
          <w:color w:val="auto"/>
          <w:highlight w:val="none"/>
          <w:lang w:val="en-US" w:bidi="en-US"/>
        </w:rPr>
        <w:t>13.5.1</w:t>
      </w:r>
      <w:r>
        <w:rPr>
          <w:rFonts w:hint="eastAsia" w:ascii="Times New Roman" w:hAnsi="Times New Roman"/>
          <w:color w:val="auto"/>
          <w:highlight w:val="none"/>
        </w:rPr>
        <w:t>项约定的时间进行检查的，除监理人另有指示外，承包人可自行完成覆盖工作，并作相应记录报送监理人，监理人应签字确认。监理人事后对检查记录有疑问的，可按第</w:t>
      </w:r>
      <w:r>
        <w:rPr>
          <w:rFonts w:hint="eastAsia" w:ascii="Times New Roman" w:hAnsi="Times New Roman"/>
          <w:color w:val="auto"/>
          <w:highlight w:val="none"/>
          <w:lang w:val="en-US" w:bidi="en-US"/>
        </w:rPr>
        <w:t>13.5.3</w:t>
      </w:r>
      <w:r>
        <w:rPr>
          <w:rFonts w:hint="eastAsia" w:ascii="Times New Roman" w:hAnsi="Times New Roman"/>
          <w:color w:val="auto"/>
          <w:highlight w:val="none"/>
        </w:rPr>
        <w:t>项的约定重新检查。</w:t>
      </w:r>
    </w:p>
    <w:p w14:paraId="2B690745">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13.5.3</w:t>
      </w:r>
      <w:r>
        <w:rPr>
          <w:rFonts w:hint="eastAsia" w:ascii="Times New Roman" w:hAnsi="Times New Roman"/>
          <w:color w:val="auto"/>
          <w:highlight w:val="none"/>
        </w:rPr>
        <w:t>监理人重新检查</w:t>
      </w:r>
    </w:p>
    <w:p w14:paraId="7748ABDE">
      <w:pPr>
        <w:pStyle w:val="523"/>
        <w:ind w:firstLine="440"/>
        <w:rPr>
          <w:rFonts w:ascii="Times New Roman" w:hAnsi="Times New Roman"/>
          <w:color w:val="auto"/>
          <w:highlight w:val="none"/>
        </w:rPr>
      </w:pPr>
      <w:r>
        <w:rPr>
          <w:rFonts w:hint="eastAsia" w:ascii="Times New Roman" w:hAnsi="Times New Roman"/>
          <w:color w:val="auto"/>
          <w:highlight w:val="none"/>
        </w:rPr>
        <w:t>承包人按第</w:t>
      </w:r>
      <w:r>
        <w:rPr>
          <w:rFonts w:hint="eastAsia" w:ascii="Times New Roman" w:hAnsi="Times New Roman"/>
          <w:color w:val="auto"/>
          <w:highlight w:val="none"/>
          <w:lang w:val="en-US" w:bidi="en-US"/>
        </w:rPr>
        <w:t xml:space="preserve">13. 5. </w:t>
      </w:r>
      <w:r>
        <w:rPr>
          <w:rFonts w:hint="eastAsia" w:ascii="Times New Roman" w:hAnsi="Times New Roman"/>
          <w:color w:val="auto"/>
          <w:highlight w:val="none"/>
        </w:rPr>
        <w:t>1项或第</w:t>
      </w:r>
      <w:r>
        <w:rPr>
          <w:rFonts w:hint="eastAsia" w:ascii="Times New Roman" w:hAnsi="Times New Roman"/>
          <w:color w:val="auto"/>
          <w:highlight w:val="none"/>
          <w:lang w:val="en-US" w:bidi="en-US"/>
        </w:rPr>
        <w:t xml:space="preserve">13. 5. </w:t>
      </w:r>
      <w:r>
        <w:rPr>
          <w:rFonts w:hint="eastAsia" w:ascii="Times New Roman" w:hAnsi="Times New Roman"/>
          <w:color w:val="auto"/>
          <w:highlight w:val="none"/>
        </w:rPr>
        <w:t>2项覆盖工程隐蔽部位后，监理人对质量有疑问的，可要求承包人对已覆盖的部位进行钻孔探测或揭开重新检验，承包人应遵照执行，并在检 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14:paraId="39F660A1">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13.5.4</w:t>
      </w:r>
      <w:r>
        <w:rPr>
          <w:rFonts w:hint="eastAsia" w:ascii="Times New Roman" w:hAnsi="Times New Roman"/>
          <w:color w:val="auto"/>
          <w:highlight w:val="none"/>
        </w:rPr>
        <w:t>承包人私自覆盖</w:t>
      </w:r>
    </w:p>
    <w:p w14:paraId="3BE5D96E">
      <w:pPr>
        <w:pStyle w:val="523"/>
        <w:ind w:firstLine="440"/>
        <w:rPr>
          <w:rFonts w:ascii="Times New Roman" w:hAnsi="Times New Roman"/>
          <w:color w:val="auto"/>
          <w:highlight w:val="none"/>
        </w:rPr>
      </w:pPr>
      <w:r>
        <w:rPr>
          <w:rFonts w:hint="eastAsia" w:ascii="Times New Roman" w:hAnsi="Times New Roman"/>
          <w:color w:val="auto"/>
          <w:highlight w:val="none"/>
        </w:rPr>
        <w:t>承包人未通知监理人到场检查，私自将工程隐蔽部位覆盖的，监理人有权指示承包人钻孔探测或揭开检查，由此增加的费用和（或）工期延误由承包人承担。</w:t>
      </w:r>
    </w:p>
    <w:p w14:paraId="7BD31BBC">
      <w:pPr>
        <w:spacing w:line="360" w:lineRule="auto"/>
        <w:rPr>
          <w:color w:val="auto"/>
          <w:highlight w:val="none"/>
        </w:rPr>
      </w:pPr>
      <w:bookmarkStart w:id="640" w:name="bookmark1246"/>
      <w:bookmarkStart w:id="641" w:name="bookmark1247"/>
      <w:bookmarkStart w:id="642" w:name="_Toc31851"/>
      <w:bookmarkStart w:id="643" w:name="bookmark1248"/>
      <w:r>
        <w:rPr>
          <w:color w:val="auto"/>
          <w:highlight w:val="none"/>
        </w:rPr>
        <w:t>13.6清除不合格工程</w:t>
      </w:r>
      <w:bookmarkEnd w:id="640"/>
      <w:bookmarkEnd w:id="641"/>
      <w:bookmarkEnd w:id="642"/>
      <w:bookmarkEnd w:id="643"/>
    </w:p>
    <w:p w14:paraId="6CDC0623">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13.6.1</w:t>
      </w:r>
      <w:r>
        <w:rPr>
          <w:rFonts w:hint="eastAsia" w:ascii="Times New Roman" w:hAnsi="Times New Roman"/>
          <w:color w:val="auto"/>
          <w:szCs w:val="21"/>
          <w:highlight w:val="none"/>
        </w:rPr>
        <w:t>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14:paraId="4FE45CE2">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13.6.2</w:t>
      </w:r>
      <w:r>
        <w:rPr>
          <w:rFonts w:hint="eastAsia" w:ascii="Times New Roman" w:hAnsi="Times New Roman"/>
          <w:color w:val="auto"/>
          <w:szCs w:val="21"/>
          <w:highlight w:val="none"/>
        </w:rPr>
        <w:t>由于发包人提供的材料或工程设备不合格造成的工程不合格，需要承包人采取措施补救的，发包人应承担由此增加的费用和（或）工期延误，并支付承包人合理利润。</w:t>
      </w:r>
    </w:p>
    <w:p w14:paraId="06CC20CC">
      <w:pPr>
        <w:spacing w:line="360" w:lineRule="auto"/>
        <w:rPr>
          <w:color w:val="auto"/>
          <w:highlight w:val="none"/>
        </w:rPr>
      </w:pPr>
      <w:bookmarkStart w:id="644" w:name="_Toc3708"/>
      <w:r>
        <w:rPr>
          <w:color w:val="auto"/>
          <w:highlight w:val="none"/>
        </w:rPr>
        <w:t>13.7质量评定</w:t>
      </w:r>
      <w:bookmarkEnd w:id="644"/>
    </w:p>
    <w:p w14:paraId="6012EBA7">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13.7.1</w:t>
      </w:r>
      <w:r>
        <w:rPr>
          <w:rFonts w:hint="eastAsia" w:ascii="Times New Roman" w:hAnsi="Times New Roman"/>
          <w:color w:val="auto"/>
          <w:szCs w:val="21"/>
          <w:highlight w:val="none"/>
        </w:rPr>
        <w:t>发包人应组织承包人进行工程项目划分，并确定单位工程、主要分部工程、重要隐蔽单元工程和关键部位单元工程。</w:t>
      </w:r>
    </w:p>
    <w:p w14:paraId="50E752B0">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13.7.2</w:t>
      </w:r>
      <w:r>
        <w:rPr>
          <w:rFonts w:hint="eastAsia" w:ascii="Times New Roman" w:hAnsi="Times New Roman"/>
          <w:color w:val="auto"/>
          <w:szCs w:val="21"/>
          <w:highlight w:val="none"/>
        </w:rPr>
        <w:t>工程实施过程中，单位工程、主要分部工程、重要隐蔽单元工程和关键部位单元工程的项目划分需要调整时，承包人应报发包人确认。</w:t>
      </w:r>
    </w:p>
    <w:p w14:paraId="555C0ECA">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13.7.3</w:t>
      </w:r>
      <w:r>
        <w:rPr>
          <w:rFonts w:hint="eastAsia" w:ascii="Times New Roman" w:hAnsi="Times New Roman"/>
          <w:color w:val="auto"/>
          <w:szCs w:val="21"/>
          <w:highlight w:val="none"/>
        </w:rPr>
        <w:t>承包人应在单元（工序）工程质量自评合格后，报监理人核定质量等级并签证认可。</w:t>
      </w:r>
    </w:p>
    <w:p w14:paraId="47B047F4">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13.7.4</w:t>
      </w:r>
      <w:r>
        <w:rPr>
          <w:rFonts w:hint="eastAsia" w:ascii="Times New Roman" w:hAnsi="Times New Roman"/>
          <w:color w:val="auto"/>
          <w:szCs w:val="21"/>
          <w:highlight w:val="none"/>
        </w:rPr>
        <w:t>除专用合同条款另有约定外，承包人应在重要隐蔽单元工程和关键部位单元工程质量自评合格后以及监理人抽检后，由监理人组织承包人等单位组成的联合小组，共同检查核定其质量等级并填写签证表。发包人按有关规定完成质量结论报工程质量监督机构核备手续。</w:t>
      </w:r>
    </w:p>
    <w:p w14:paraId="50C53D0C">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13.7.5</w:t>
      </w:r>
      <w:r>
        <w:rPr>
          <w:rFonts w:hint="eastAsia" w:ascii="Times New Roman" w:hAnsi="Times New Roman"/>
          <w:color w:val="auto"/>
          <w:szCs w:val="21"/>
          <w:highlight w:val="none"/>
        </w:rPr>
        <w:t>承包人应在分部工程质量自评合格后，报监理人复核和发包人认定。发包人负责按有关规定完成分部工程质量结论报工程质量监督机构核备（核定）手续。</w:t>
      </w:r>
    </w:p>
    <w:p w14:paraId="39C3D44B">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13.7.6</w:t>
      </w:r>
      <w:r>
        <w:rPr>
          <w:rFonts w:hint="eastAsia" w:ascii="Times New Roman" w:hAnsi="Times New Roman"/>
          <w:color w:val="auto"/>
          <w:szCs w:val="21"/>
          <w:highlight w:val="none"/>
        </w:rPr>
        <w:t>承包人应在单位工程质量自评合格后，报监理人复核和发包人认定。发包人负责按有关规定完成单位工程质量结论报工程质量监督机构核定手续。</w:t>
      </w:r>
    </w:p>
    <w:p w14:paraId="28B42068">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13.7.7</w:t>
      </w:r>
      <w:r>
        <w:rPr>
          <w:rFonts w:hint="eastAsia" w:ascii="Times New Roman" w:hAnsi="Times New Roman"/>
          <w:color w:val="auto"/>
          <w:szCs w:val="21"/>
          <w:highlight w:val="none"/>
        </w:rPr>
        <w:t>除专用合同条款另有约定外，工程质量等级分为合格和优良，应分别达到约定的标准。</w:t>
      </w:r>
    </w:p>
    <w:p w14:paraId="214C037C">
      <w:pPr>
        <w:spacing w:line="360" w:lineRule="auto"/>
        <w:rPr>
          <w:color w:val="auto"/>
          <w:highlight w:val="none"/>
        </w:rPr>
      </w:pPr>
      <w:bookmarkStart w:id="645" w:name="_Toc19883"/>
      <w:bookmarkStart w:id="646" w:name="bookmark1249"/>
      <w:bookmarkStart w:id="647" w:name="bookmark1250"/>
      <w:bookmarkStart w:id="648" w:name="bookmark1251"/>
      <w:r>
        <w:rPr>
          <w:color w:val="auto"/>
          <w:highlight w:val="none"/>
        </w:rPr>
        <w:t>13.8质量事故处理</w:t>
      </w:r>
      <w:bookmarkEnd w:id="645"/>
      <w:bookmarkEnd w:id="646"/>
      <w:bookmarkEnd w:id="647"/>
      <w:bookmarkEnd w:id="648"/>
    </w:p>
    <w:p w14:paraId="7C2E6D62">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lang w:val="en-US" w:bidi="en-US"/>
        </w:rPr>
        <w:t>13.8.1</w:t>
      </w:r>
      <w:r>
        <w:rPr>
          <w:rFonts w:hint="eastAsia" w:ascii="Times New Roman" w:hAnsi="Times New Roman"/>
          <w:color w:val="auto"/>
          <w:szCs w:val="21"/>
          <w:highlight w:val="none"/>
        </w:rPr>
        <w:t>发生质量事故时，承包人应及时向发包人和监理人报告。</w:t>
      </w:r>
    </w:p>
    <w:p w14:paraId="1C27316E">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lang w:val="en-US" w:bidi="en-US"/>
        </w:rPr>
        <w:t>13.8.2</w:t>
      </w:r>
      <w:r>
        <w:rPr>
          <w:rFonts w:hint="eastAsia" w:ascii="Times New Roman" w:hAnsi="Times New Roman"/>
          <w:color w:val="auto"/>
          <w:szCs w:val="21"/>
          <w:highlight w:val="none"/>
        </w:rPr>
        <w:t>质量事故调查处理由发包人按相关规定履行手续，承包人应配合。</w:t>
      </w:r>
    </w:p>
    <w:p w14:paraId="26A000EF">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13.8.3</w:t>
      </w:r>
      <w:r>
        <w:rPr>
          <w:rFonts w:hint="eastAsia" w:ascii="Times New Roman" w:hAnsi="Times New Roman"/>
          <w:color w:val="auto"/>
          <w:szCs w:val="21"/>
          <w:highlight w:val="none"/>
        </w:rPr>
        <w:t>承包人应对质量缺陷进行备案。发包人委托监理人对质量缺陷备案情况进行监督检查并履行相关手续。</w:t>
      </w:r>
    </w:p>
    <w:p w14:paraId="63509E99">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13.8.4</w:t>
      </w:r>
      <w:r>
        <w:rPr>
          <w:rFonts w:hint="eastAsia" w:ascii="Times New Roman" w:hAnsi="Times New Roman"/>
          <w:color w:val="auto"/>
          <w:szCs w:val="21"/>
          <w:highlight w:val="none"/>
        </w:rPr>
        <w:t>除专用合同条款另有约定外，工程竣工验收时，发包人负责向竣工验收委员会汇报并提交历次质量缺陷处理的备案资料。</w:t>
      </w:r>
    </w:p>
    <w:p w14:paraId="26E14241">
      <w:pPr>
        <w:pStyle w:val="5"/>
        <w:spacing w:line="360" w:lineRule="auto"/>
        <w:rPr>
          <w:color w:val="auto"/>
          <w:highlight w:val="none"/>
        </w:rPr>
      </w:pPr>
      <w:bookmarkStart w:id="649" w:name="_Toc147350618"/>
      <w:bookmarkStart w:id="650" w:name="_Toc4489"/>
      <w:bookmarkStart w:id="651" w:name="_Toc203672915"/>
      <w:bookmarkStart w:id="652" w:name="bookmark1253"/>
      <w:bookmarkStart w:id="653" w:name="bookmark1254"/>
      <w:bookmarkStart w:id="654" w:name="bookmark1252"/>
      <w:bookmarkStart w:id="655" w:name="_Toc17645"/>
      <w:r>
        <w:rPr>
          <w:rFonts w:hint="eastAsia"/>
          <w:color w:val="auto"/>
          <w:highlight w:val="none"/>
        </w:rPr>
        <w:t>14 .试验和检验</w:t>
      </w:r>
      <w:bookmarkEnd w:id="649"/>
      <w:bookmarkEnd w:id="650"/>
      <w:bookmarkEnd w:id="651"/>
      <w:bookmarkEnd w:id="652"/>
      <w:bookmarkEnd w:id="653"/>
      <w:bookmarkEnd w:id="654"/>
      <w:bookmarkEnd w:id="655"/>
    </w:p>
    <w:p w14:paraId="2AB775F5">
      <w:pPr>
        <w:spacing w:line="360" w:lineRule="auto"/>
        <w:rPr>
          <w:color w:val="auto"/>
          <w:highlight w:val="none"/>
        </w:rPr>
      </w:pPr>
      <w:bookmarkStart w:id="656" w:name="bookmark1255"/>
      <w:bookmarkStart w:id="657" w:name="_Toc16875"/>
      <w:bookmarkStart w:id="658" w:name="bookmark1256"/>
      <w:bookmarkStart w:id="659" w:name="bookmark1257"/>
      <w:r>
        <w:rPr>
          <w:color w:val="auto"/>
          <w:highlight w:val="none"/>
        </w:rPr>
        <w:t>14.1材料、工程设备和工程的试验和检验</w:t>
      </w:r>
      <w:bookmarkEnd w:id="656"/>
      <w:bookmarkEnd w:id="657"/>
      <w:bookmarkEnd w:id="658"/>
      <w:bookmarkEnd w:id="659"/>
    </w:p>
    <w:p w14:paraId="5B34F046">
      <w:pPr>
        <w:pStyle w:val="523"/>
        <w:ind w:firstLine="440"/>
        <w:rPr>
          <w:rFonts w:ascii="Times New Roman" w:hAnsi="Times New Roman"/>
          <w:color w:val="auto"/>
          <w:szCs w:val="21"/>
          <w:highlight w:val="none"/>
        </w:rPr>
      </w:pPr>
      <w:bookmarkStart w:id="660" w:name="bookmark1258"/>
      <w:bookmarkEnd w:id="660"/>
      <w:r>
        <w:rPr>
          <w:rFonts w:hint="eastAsia" w:ascii="Times New Roman" w:hAnsi="Times New Roman"/>
          <w:color w:val="auto"/>
          <w:szCs w:val="21"/>
          <w:highlight w:val="none"/>
        </w:rPr>
        <w:t>14.1.1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18F29715">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14.1.2</w:t>
      </w:r>
      <w:r>
        <w:rPr>
          <w:rFonts w:hint="eastAsia" w:ascii="Times New Roman" w:hAnsi="Times New Roman"/>
          <w:color w:val="auto"/>
          <w:szCs w:val="21"/>
          <w:highlight w:val="none"/>
        </w:rPr>
        <w:t>监理人未按合同约定派员参加试验和检验的，除监理人另有指示外，承包人可自行试验和检验，并应立即将试验和检验结果报送监理人，监理人应签字确认。</w:t>
      </w:r>
    </w:p>
    <w:p w14:paraId="2D9AB874">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14.1.3</w:t>
      </w:r>
      <w:r>
        <w:rPr>
          <w:rFonts w:hint="eastAsia" w:ascii="Times New Roman" w:hAnsi="Times New Roman"/>
          <w:color w:val="auto"/>
          <w:szCs w:val="21"/>
          <w:highlight w:val="none"/>
        </w:rPr>
        <w:t>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理利润。</w:t>
      </w:r>
    </w:p>
    <w:p w14:paraId="23A2F9FB">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14.1.4</w:t>
      </w:r>
      <w:r>
        <w:rPr>
          <w:rFonts w:hint="eastAsia" w:ascii="Times New Roman" w:hAnsi="Times New Roman"/>
          <w:color w:val="auto"/>
          <w:szCs w:val="21"/>
          <w:highlight w:val="none"/>
        </w:rPr>
        <w:t>承包人应按相关规定和标准对水泥、钢材等原材料与中间产品质量进行检验, 并报监理人复核。</w:t>
      </w:r>
    </w:p>
    <w:p w14:paraId="3E5CE2BB">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14.1.5</w:t>
      </w:r>
      <w:r>
        <w:rPr>
          <w:rFonts w:hint="eastAsia" w:ascii="Times New Roman" w:hAnsi="Times New Roman"/>
          <w:color w:val="auto"/>
          <w:szCs w:val="21"/>
          <w:highlight w:val="none"/>
        </w:rPr>
        <w:t>除专用合同条款另有约定外，水工金属结构、启闭机及机电产品进场后，监理人组织发包人按合同进行交货检查和验收。安装前，承包人应检查产品是否有出厂合格证、设备安装说明书及有关技术文件，对在运输和存放过程中发生的变形、受潮、损坏等问题应作好记录，并进行妥善处理。</w:t>
      </w:r>
    </w:p>
    <w:p w14:paraId="0C7303E4">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14.1.6</w:t>
      </w:r>
      <w:r>
        <w:rPr>
          <w:rFonts w:hint="eastAsia" w:ascii="Times New Roman" w:hAnsi="Times New Roman"/>
          <w:color w:val="auto"/>
          <w:szCs w:val="21"/>
          <w:highlight w:val="none"/>
        </w:rPr>
        <w:t>对专用合同条款约定的试块、试件及有关材料，监理人实行见证取样。见证取样资料由承包人制备，记录应真实齐全，监理人、承包人等参与见证取样人员均应在相关文件上签字。</w:t>
      </w:r>
    </w:p>
    <w:p w14:paraId="33690125">
      <w:pPr>
        <w:spacing w:line="360" w:lineRule="auto"/>
        <w:rPr>
          <w:color w:val="auto"/>
          <w:highlight w:val="none"/>
        </w:rPr>
      </w:pPr>
      <w:bookmarkStart w:id="661" w:name="bookmark1259"/>
      <w:bookmarkStart w:id="662" w:name="bookmark1261"/>
      <w:bookmarkStart w:id="663" w:name="_Toc24338"/>
      <w:bookmarkStart w:id="664" w:name="bookmark1260"/>
      <w:r>
        <w:rPr>
          <w:color w:val="auto"/>
          <w:highlight w:val="none"/>
        </w:rPr>
        <w:t>14.2现场材料试验</w:t>
      </w:r>
      <w:bookmarkEnd w:id="661"/>
      <w:bookmarkEnd w:id="662"/>
      <w:bookmarkEnd w:id="663"/>
      <w:bookmarkEnd w:id="664"/>
    </w:p>
    <w:p w14:paraId="5E5DAE93">
      <w:pPr>
        <w:pStyle w:val="523"/>
        <w:ind w:firstLine="440"/>
        <w:rPr>
          <w:rFonts w:ascii="Times New Roman" w:hAnsi="Times New Roman"/>
          <w:color w:val="auto"/>
          <w:szCs w:val="21"/>
          <w:highlight w:val="none"/>
        </w:rPr>
      </w:pPr>
      <w:bookmarkStart w:id="665" w:name="bookmark1262"/>
      <w:bookmarkEnd w:id="665"/>
      <w:r>
        <w:rPr>
          <w:rFonts w:hint="eastAsia" w:ascii="Times New Roman" w:hAnsi="Times New Roman"/>
          <w:color w:val="auto"/>
          <w:szCs w:val="21"/>
          <w:highlight w:val="none"/>
          <w:lang w:val="en-US" w:bidi="en-US"/>
        </w:rPr>
        <w:t>14.2.</w:t>
      </w:r>
      <w:r>
        <w:rPr>
          <w:rFonts w:hint="eastAsia" w:ascii="Times New Roman" w:hAnsi="Times New Roman"/>
          <w:color w:val="auto"/>
          <w:szCs w:val="21"/>
          <w:highlight w:val="none"/>
        </w:rPr>
        <w:t>1承包人根据合同约定或监理人指示进行的现场材料试验，应由承包人提供试验场所、试验人员、试验设备器材以及其他必要的试验条件。</w:t>
      </w:r>
    </w:p>
    <w:p w14:paraId="4AFF17D7">
      <w:pPr>
        <w:pStyle w:val="523"/>
        <w:ind w:firstLine="440"/>
        <w:rPr>
          <w:rFonts w:ascii="Times New Roman" w:hAnsi="Times New Roman"/>
          <w:color w:val="auto"/>
          <w:szCs w:val="21"/>
          <w:highlight w:val="none"/>
        </w:rPr>
      </w:pPr>
      <w:bookmarkStart w:id="666" w:name="bookmark1263"/>
      <w:bookmarkEnd w:id="666"/>
      <w:r>
        <w:rPr>
          <w:rFonts w:hint="eastAsia" w:ascii="Times New Roman" w:hAnsi="Times New Roman"/>
          <w:color w:val="auto"/>
          <w:szCs w:val="21"/>
          <w:highlight w:val="none"/>
          <w:lang w:val="en-US" w:bidi="en-US"/>
        </w:rPr>
        <w:t>14.2.</w:t>
      </w:r>
      <w:r>
        <w:rPr>
          <w:rFonts w:hint="eastAsia" w:ascii="Times New Roman" w:hAnsi="Times New Roman"/>
          <w:color w:val="auto"/>
          <w:szCs w:val="21"/>
          <w:highlight w:val="none"/>
        </w:rPr>
        <w:t>2监理人在必要时可以使用承包人的试验场所、试验设备器材以及其他试验条件，进行以工程质量检查为目的的复核性材料试验，承包人应予以协助。</w:t>
      </w:r>
    </w:p>
    <w:p w14:paraId="37427629">
      <w:pPr>
        <w:spacing w:line="360" w:lineRule="auto"/>
        <w:rPr>
          <w:color w:val="auto"/>
          <w:highlight w:val="none"/>
        </w:rPr>
      </w:pPr>
      <w:bookmarkStart w:id="667" w:name="bookmark1266"/>
      <w:bookmarkStart w:id="668" w:name="bookmark1264"/>
      <w:bookmarkStart w:id="669" w:name="_Toc21991"/>
      <w:bookmarkStart w:id="670" w:name="bookmark1265"/>
      <w:r>
        <w:rPr>
          <w:color w:val="auto"/>
          <w:highlight w:val="none"/>
        </w:rPr>
        <w:t>14.3现场工艺试验</w:t>
      </w:r>
      <w:bookmarkEnd w:id="667"/>
      <w:bookmarkEnd w:id="668"/>
      <w:bookmarkEnd w:id="669"/>
      <w:bookmarkEnd w:id="670"/>
    </w:p>
    <w:p w14:paraId="0BBBE1AF">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承包人应按合同约定或监理人指示进行现场工艺试验。对大型的现场工艺试验，监理人认为必要时，应由承包人根据监理人提出的工艺试验要求，编制工艺试验措施计划，报送监理人审批。</w:t>
      </w:r>
    </w:p>
    <w:p w14:paraId="41CDA16F">
      <w:pPr>
        <w:pStyle w:val="5"/>
        <w:spacing w:line="360" w:lineRule="auto"/>
        <w:rPr>
          <w:color w:val="auto"/>
          <w:highlight w:val="none"/>
        </w:rPr>
      </w:pPr>
      <w:bookmarkStart w:id="671" w:name="_Toc255930512"/>
      <w:bookmarkStart w:id="672" w:name="_Toc9858"/>
      <w:bookmarkStart w:id="673" w:name="_Toc24264"/>
      <w:bookmarkStart w:id="674" w:name="bookmark1269"/>
      <w:bookmarkStart w:id="675" w:name="_Toc147350619"/>
      <w:bookmarkStart w:id="676" w:name="bookmark1268"/>
      <w:bookmarkStart w:id="677" w:name="bookmark1267"/>
      <w:r>
        <w:rPr>
          <w:rFonts w:hint="eastAsia"/>
          <w:color w:val="auto"/>
          <w:highlight w:val="none"/>
        </w:rPr>
        <w:t>15.变更</w:t>
      </w:r>
      <w:bookmarkEnd w:id="671"/>
      <w:bookmarkEnd w:id="672"/>
      <w:bookmarkEnd w:id="673"/>
      <w:bookmarkEnd w:id="674"/>
      <w:bookmarkEnd w:id="675"/>
    </w:p>
    <w:p w14:paraId="08B6F545">
      <w:pPr>
        <w:spacing w:line="360" w:lineRule="auto"/>
        <w:rPr>
          <w:color w:val="auto"/>
          <w:highlight w:val="none"/>
        </w:rPr>
      </w:pPr>
      <w:bookmarkStart w:id="678" w:name="bookmark1270"/>
      <w:bookmarkStart w:id="679" w:name="_Toc30097"/>
      <w:r>
        <w:rPr>
          <w:color w:val="auto"/>
          <w:highlight w:val="none"/>
        </w:rPr>
        <w:t>15.1变更的范围和内容</w:t>
      </w:r>
      <w:bookmarkEnd w:id="676"/>
      <w:bookmarkEnd w:id="677"/>
      <w:bookmarkEnd w:id="678"/>
      <w:bookmarkEnd w:id="679"/>
    </w:p>
    <w:p w14:paraId="6DEC18A7">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在履行合同中发生以下情形之一，应按照本条规定进行变更。</w:t>
      </w:r>
    </w:p>
    <w:p w14:paraId="157AAE8A">
      <w:pPr>
        <w:pStyle w:val="523"/>
        <w:numPr>
          <w:ilvl w:val="0"/>
          <w:numId w:val="23"/>
        </w:numPr>
        <w:tabs>
          <w:tab w:val="left" w:pos="923"/>
        </w:tabs>
        <w:ind w:firstLine="440"/>
        <w:rPr>
          <w:rFonts w:ascii="Times New Roman" w:hAnsi="Times New Roman"/>
          <w:color w:val="auto"/>
          <w:szCs w:val="21"/>
          <w:highlight w:val="none"/>
        </w:rPr>
      </w:pPr>
      <w:bookmarkStart w:id="680" w:name="bookmark1271"/>
      <w:bookmarkEnd w:id="680"/>
      <w:r>
        <w:rPr>
          <w:rFonts w:hint="eastAsia" w:ascii="Times New Roman" w:hAnsi="Times New Roman"/>
          <w:color w:val="auto"/>
          <w:szCs w:val="21"/>
          <w:highlight w:val="none"/>
        </w:rPr>
        <w:t>取消合同中任何一项工作，但被取消的工作不能转由发包人或其它人实施；</w:t>
      </w:r>
    </w:p>
    <w:p w14:paraId="1E869EF4">
      <w:pPr>
        <w:pStyle w:val="523"/>
        <w:numPr>
          <w:ilvl w:val="0"/>
          <w:numId w:val="23"/>
        </w:numPr>
        <w:tabs>
          <w:tab w:val="left" w:pos="923"/>
        </w:tabs>
        <w:ind w:firstLine="440"/>
        <w:rPr>
          <w:rFonts w:ascii="Times New Roman" w:hAnsi="Times New Roman"/>
          <w:color w:val="auto"/>
          <w:szCs w:val="21"/>
          <w:highlight w:val="none"/>
        </w:rPr>
      </w:pPr>
      <w:bookmarkStart w:id="681" w:name="bookmark1272"/>
      <w:bookmarkEnd w:id="681"/>
      <w:r>
        <w:rPr>
          <w:rFonts w:hint="eastAsia" w:ascii="Times New Roman" w:hAnsi="Times New Roman"/>
          <w:color w:val="auto"/>
          <w:szCs w:val="21"/>
          <w:highlight w:val="none"/>
        </w:rPr>
        <w:t>改变合同中任何一项工作的质量或其它特性；</w:t>
      </w:r>
    </w:p>
    <w:p w14:paraId="2D8CC0AC">
      <w:pPr>
        <w:pStyle w:val="523"/>
        <w:numPr>
          <w:ilvl w:val="0"/>
          <w:numId w:val="23"/>
        </w:numPr>
        <w:tabs>
          <w:tab w:val="left" w:pos="923"/>
        </w:tabs>
        <w:ind w:firstLine="440"/>
        <w:rPr>
          <w:rFonts w:ascii="Times New Roman" w:hAnsi="Times New Roman"/>
          <w:color w:val="auto"/>
          <w:szCs w:val="21"/>
          <w:highlight w:val="none"/>
        </w:rPr>
      </w:pPr>
      <w:bookmarkStart w:id="682" w:name="bookmark1273"/>
      <w:bookmarkEnd w:id="682"/>
      <w:r>
        <w:rPr>
          <w:rFonts w:hint="eastAsia" w:ascii="Times New Roman" w:hAnsi="Times New Roman"/>
          <w:color w:val="auto"/>
          <w:szCs w:val="21"/>
          <w:highlight w:val="none"/>
        </w:rPr>
        <w:t>改变合同工程的基线、标高、位置或尺寸；</w:t>
      </w:r>
    </w:p>
    <w:p w14:paraId="0BC84BA6">
      <w:pPr>
        <w:pStyle w:val="523"/>
        <w:numPr>
          <w:ilvl w:val="0"/>
          <w:numId w:val="23"/>
        </w:numPr>
        <w:tabs>
          <w:tab w:val="left" w:pos="923"/>
        </w:tabs>
        <w:ind w:firstLine="440"/>
        <w:rPr>
          <w:rFonts w:ascii="Times New Roman" w:hAnsi="Times New Roman"/>
          <w:color w:val="auto"/>
          <w:szCs w:val="21"/>
          <w:highlight w:val="none"/>
        </w:rPr>
      </w:pPr>
      <w:bookmarkStart w:id="683" w:name="bookmark1274"/>
      <w:bookmarkEnd w:id="683"/>
      <w:r>
        <w:rPr>
          <w:rFonts w:hint="eastAsia" w:ascii="Times New Roman" w:hAnsi="Times New Roman"/>
          <w:color w:val="auto"/>
          <w:szCs w:val="21"/>
          <w:highlight w:val="none"/>
        </w:rPr>
        <w:t>改变合同中任何一项工作的施工时间或改变已批准的施工工艺或顺序；</w:t>
      </w:r>
    </w:p>
    <w:p w14:paraId="1E0AC585">
      <w:pPr>
        <w:pStyle w:val="523"/>
        <w:numPr>
          <w:ilvl w:val="0"/>
          <w:numId w:val="23"/>
        </w:numPr>
        <w:tabs>
          <w:tab w:val="left" w:pos="923"/>
        </w:tabs>
        <w:ind w:firstLine="440"/>
        <w:rPr>
          <w:rFonts w:ascii="Times New Roman" w:hAnsi="Times New Roman"/>
          <w:color w:val="auto"/>
          <w:szCs w:val="21"/>
          <w:highlight w:val="none"/>
        </w:rPr>
      </w:pPr>
      <w:bookmarkStart w:id="684" w:name="bookmark1275"/>
      <w:bookmarkEnd w:id="684"/>
      <w:r>
        <w:rPr>
          <w:rFonts w:hint="eastAsia" w:ascii="Times New Roman" w:hAnsi="Times New Roman"/>
          <w:color w:val="auto"/>
          <w:szCs w:val="21"/>
          <w:highlight w:val="none"/>
        </w:rPr>
        <w:t>为完成工程需要追加的额外工作；</w:t>
      </w:r>
    </w:p>
    <w:p w14:paraId="1E484B39">
      <w:pPr>
        <w:pStyle w:val="523"/>
        <w:numPr>
          <w:ilvl w:val="0"/>
          <w:numId w:val="23"/>
        </w:numPr>
        <w:tabs>
          <w:tab w:val="left" w:pos="920"/>
        </w:tabs>
        <w:ind w:firstLine="440"/>
        <w:rPr>
          <w:rFonts w:ascii="Times New Roman" w:hAnsi="Times New Roman"/>
          <w:color w:val="auto"/>
          <w:szCs w:val="21"/>
          <w:highlight w:val="none"/>
        </w:rPr>
      </w:pPr>
      <w:bookmarkStart w:id="685" w:name="bookmark1276"/>
      <w:bookmarkEnd w:id="685"/>
      <w:r>
        <w:rPr>
          <w:rFonts w:hint="eastAsia" w:ascii="Times New Roman" w:hAnsi="Times New Roman"/>
          <w:color w:val="auto"/>
          <w:szCs w:val="21"/>
          <w:highlight w:val="none"/>
        </w:rPr>
        <w:t>增加或减少专用合同条款中约定的关键项目工程量超过其工程总量的一定数量的百分比。</w:t>
      </w:r>
    </w:p>
    <w:p w14:paraId="567A7D42">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上述第(1)~ (6)目的变更内容引起工程施工组织和进度计划发生实质性变动和影响其原定的价格时，才予调整该项目的单价。第(6)目情形下单价调整方式在专用合同条款中约定。</w:t>
      </w:r>
    </w:p>
    <w:p w14:paraId="3424259E">
      <w:pPr>
        <w:spacing w:line="360" w:lineRule="auto"/>
        <w:rPr>
          <w:color w:val="auto"/>
          <w:highlight w:val="none"/>
        </w:rPr>
      </w:pPr>
      <w:bookmarkStart w:id="686" w:name="bookmark1278"/>
      <w:bookmarkStart w:id="687" w:name="_Toc25903"/>
      <w:bookmarkStart w:id="688" w:name="bookmark1279"/>
      <w:bookmarkStart w:id="689" w:name="bookmark1277"/>
      <w:r>
        <w:rPr>
          <w:color w:val="auto"/>
          <w:highlight w:val="none"/>
        </w:rPr>
        <w:t>15.2变更权</w:t>
      </w:r>
      <w:bookmarkEnd w:id="686"/>
      <w:bookmarkEnd w:id="687"/>
      <w:bookmarkEnd w:id="688"/>
      <w:bookmarkEnd w:id="689"/>
    </w:p>
    <w:p w14:paraId="69C3F3AA">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在履行合同过程中，经发包人同意，监理人可按第</w:t>
      </w:r>
      <w:r>
        <w:rPr>
          <w:rFonts w:hint="eastAsia" w:ascii="Times New Roman" w:hAnsi="Times New Roman"/>
          <w:color w:val="auto"/>
          <w:szCs w:val="21"/>
          <w:highlight w:val="none"/>
          <w:lang w:val="en-US" w:bidi="en-US"/>
        </w:rPr>
        <w:t xml:space="preserve">15. </w:t>
      </w:r>
      <w:r>
        <w:rPr>
          <w:rFonts w:hint="eastAsia" w:ascii="Times New Roman" w:hAnsi="Times New Roman"/>
          <w:color w:val="auto"/>
          <w:szCs w:val="21"/>
          <w:highlight w:val="none"/>
        </w:rPr>
        <w:t>3款约定的变更程序向承包人作出变更指示，承包人应遵照执行。没有监理人的变更指示，承包人不得擅自变更。</w:t>
      </w:r>
    </w:p>
    <w:p w14:paraId="1D67B5B9">
      <w:pPr>
        <w:spacing w:line="360" w:lineRule="auto"/>
        <w:rPr>
          <w:color w:val="auto"/>
          <w:highlight w:val="none"/>
        </w:rPr>
      </w:pPr>
      <w:bookmarkStart w:id="690" w:name="bookmark1281"/>
      <w:bookmarkStart w:id="691" w:name="bookmark1280"/>
      <w:bookmarkStart w:id="692" w:name="_Toc24991"/>
      <w:bookmarkStart w:id="693" w:name="bookmark1282"/>
      <w:r>
        <w:rPr>
          <w:color w:val="auto"/>
          <w:highlight w:val="none"/>
        </w:rPr>
        <w:t>15.3变更程序</w:t>
      </w:r>
      <w:bookmarkEnd w:id="690"/>
      <w:bookmarkEnd w:id="691"/>
      <w:bookmarkEnd w:id="692"/>
      <w:bookmarkEnd w:id="693"/>
    </w:p>
    <w:p w14:paraId="2EB34270">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lang w:val="en-US" w:eastAsia="en-US" w:bidi="en-US"/>
        </w:rPr>
        <w:t>15.3.1</w:t>
      </w:r>
      <w:r>
        <w:rPr>
          <w:rFonts w:hint="eastAsia" w:ascii="Times New Roman" w:hAnsi="Times New Roman"/>
          <w:color w:val="auto"/>
          <w:szCs w:val="21"/>
          <w:highlight w:val="none"/>
        </w:rPr>
        <w:t>变更的提出</w:t>
      </w:r>
    </w:p>
    <w:p w14:paraId="2E08A06D">
      <w:pPr>
        <w:pStyle w:val="523"/>
        <w:numPr>
          <w:ilvl w:val="0"/>
          <w:numId w:val="24"/>
        </w:numPr>
        <w:tabs>
          <w:tab w:val="left" w:pos="918"/>
        </w:tabs>
        <w:ind w:firstLine="440"/>
        <w:rPr>
          <w:rFonts w:ascii="Times New Roman" w:hAnsi="Times New Roman"/>
          <w:color w:val="auto"/>
          <w:szCs w:val="21"/>
          <w:highlight w:val="none"/>
        </w:rPr>
      </w:pPr>
      <w:bookmarkStart w:id="694" w:name="bookmark1283"/>
      <w:bookmarkEnd w:id="694"/>
      <w:r>
        <w:rPr>
          <w:rFonts w:hint="eastAsia" w:ascii="Times New Roman" w:hAnsi="Times New Roman"/>
          <w:color w:val="auto"/>
          <w:szCs w:val="21"/>
          <w:highlight w:val="none"/>
        </w:rPr>
        <w:t>在合同履行过程中，可能发生第</w:t>
      </w:r>
      <w:r>
        <w:rPr>
          <w:rFonts w:hint="eastAsia" w:ascii="Times New Roman" w:hAnsi="Times New Roman"/>
          <w:color w:val="auto"/>
          <w:szCs w:val="21"/>
          <w:highlight w:val="none"/>
          <w:lang w:val="en-US" w:bidi="en-US"/>
        </w:rPr>
        <w:t>15.1</w:t>
      </w:r>
      <w:r>
        <w:rPr>
          <w:rFonts w:hint="eastAsia" w:ascii="Times New Roman" w:hAnsi="Times New Roman"/>
          <w:color w:val="auto"/>
          <w:szCs w:val="21"/>
          <w:highlight w:val="none"/>
        </w:rPr>
        <w:t>款约定情形的，监理人可向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根据变更意向书要求提交的变更实施方案的，由监理人按第</w:t>
      </w:r>
      <w:r>
        <w:rPr>
          <w:rFonts w:hint="eastAsia" w:ascii="Times New Roman" w:hAnsi="Times New Roman"/>
          <w:color w:val="auto"/>
          <w:szCs w:val="21"/>
          <w:highlight w:val="none"/>
          <w:lang w:val="en-US" w:bidi="en-US"/>
        </w:rPr>
        <w:t xml:space="preserve">15. </w:t>
      </w:r>
      <w:r>
        <w:rPr>
          <w:rFonts w:hint="eastAsia" w:ascii="Times New Roman" w:hAnsi="Times New Roman"/>
          <w:color w:val="auto"/>
          <w:szCs w:val="21"/>
          <w:highlight w:val="none"/>
          <w:lang w:val="en-US" w:eastAsia="en-US" w:bidi="en-US"/>
        </w:rPr>
        <w:t xml:space="preserve">3. </w:t>
      </w:r>
      <w:r>
        <w:rPr>
          <w:rFonts w:hint="eastAsia" w:ascii="Times New Roman" w:hAnsi="Times New Roman"/>
          <w:color w:val="auto"/>
          <w:szCs w:val="21"/>
          <w:highlight w:val="none"/>
        </w:rPr>
        <w:t>3项约定发出变更指示。</w:t>
      </w:r>
    </w:p>
    <w:p w14:paraId="1BFF31FE">
      <w:pPr>
        <w:pStyle w:val="523"/>
        <w:numPr>
          <w:ilvl w:val="0"/>
          <w:numId w:val="24"/>
        </w:numPr>
        <w:tabs>
          <w:tab w:val="left" w:pos="901"/>
        </w:tabs>
        <w:ind w:firstLine="440"/>
        <w:rPr>
          <w:rFonts w:ascii="Times New Roman" w:hAnsi="Times New Roman"/>
          <w:color w:val="auto"/>
          <w:szCs w:val="21"/>
          <w:highlight w:val="none"/>
        </w:rPr>
      </w:pPr>
      <w:bookmarkStart w:id="695" w:name="bookmark1284"/>
      <w:bookmarkEnd w:id="695"/>
      <w:r>
        <w:rPr>
          <w:rFonts w:hint="eastAsia" w:ascii="Times New Roman" w:hAnsi="Times New Roman"/>
          <w:color w:val="auto"/>
          <w:szCs w:val="21"/>
          <w:highlight w:val="none"/>
        </w:rPr>
        <w:t>在合同履行过程中，发生第</w:t>
      </w:r>
      <w:r>
        <w:rPr>
          <w:rFonts w:hint="eastAsia" w:ascii="Times New Roman" w:hAnsi="Times New Roman"/>
          <w:color w:val="auto"/>
          <w:szCs w:val="21"/>
          <w:highlight w:val="none"/>
          <w:lang w:val="en-US" w:bidi="en-US"/>
        </w:rPr>
        <w:t xml:space="preserve">15. </w:t>
      </w:r>
      <w:r>
        <w:rPr>
          <w:rFonts w:hint="eastAsia" w:ascii="Times New Roman" w:hAnsi="Times New Roman"/>
          <w:color w:val="auto"/>
          <w:szCs w:val="21"/>
          <w:highlight w:val="none"/>
        </w:rPr>
        <w:t>1款约定情形的，监理人应按照第</w:t>
      </w:r>
      <w:r>
        <w:rPr>
          <w:rFonts w:hint="eastAsia" w:ascii="Times New Roman" w:hAnsi="Times New Roman"/>
          <w:color w:val="auto"/>
          <w:szCs w:val="21"/>
          <w:highlight w:val="none"/>
          <w:lang w:val="en-US" w:bidi="en-US"/>
        </w:rPr>
        <w:t xml:space="preserve">15. 3. </w:t>
      </w:r>
      <w:r>
        <w:rPr>
          <w:rFonts w:hint="eastAsia" w:ascii="Times New Roman" w:hAnsi="Times New Roman"/>
          <w:color w:val="auto"/>
          <w:szCs w:val="21"/>
          <w:highlight w:val="none"/>
        </w:rPr>
        <w:t>3项约定向承包人发出变更指示。</w:t>
      </w:r>
    </w:p>
    <w:p w14:paraId="282DA030">
      <w:pPr>
        <w:pStyle w:val="523"/>
        <w:numPr>
          <w:ilvl w:val="0"/>
          <w:numId w:val="24"/>
        </w:numPr>
        <w:tabs>
          <w:tab w:val="left" w:pos="922"/>
        </w:tabs>
        <w:ind w:firstLine="440"/>
        <w:rPr>
          <w:rFonts w:ascii="Times New Roman" w:hAnsi="Times New Roman"/>
          <w:color w:val="auto"/>
          <w:szCs w:val="21"/>
          <w:highlight w:val="none"/>
        </w:rPr>
      </w:pPr>
      <w:bookmarkStart w:id="696" w:name="bookmark1285"/>
      <w:bookmarkEnd w:id="696"/>
      <w:r>
        <w:rPr>
          <w:rFonts w:hint="eastAsia" w:ascii="Times New Roman" w:hAnsi="Times New Roman"/>
          <w:color w:val="auto"/>
          <w:szCs w:val="21"/>
          <w:highlight w:val="none"/>
        </w:rPr>
        <w:t>承包人收到监理人按合同约定发出的图纸和文件，经检查认为其中存在第</w:t>
      </w:r>
      <w:r>
        <w:rPr>
          <w:rFonts w:hint="eastAsia" w:ascii="Times New Roman" w:hAnsi="Times New Roman"/>
          <w:color w:val="auto"/>
          <w:szCs w:val="21"/>
          <w:highlight w:val="none"/>
          <w:lang w:val="en-US" w:bidi="en-US"/>
        </w:rPr>
        <w:t xml:space="preserve">15. </w:t>
      </w:r>
      <w:r>
        <w:rPr>
          <w:rFonts w:hint="eastAsia" w:ascii="Times New Roman" w:hAnsi="Times New Roman"/>
          <w:color w:val="auto"/>
          <w:szCs w:val="21"/>
          <w:highlight w:val="none"/>
        </w:rPr>
        <w:t>1款 约定情形的，可向监理人提出书面变更建议。变更建议应阐明要求变更的依据，并附必要的图纸和说明。监理人收到承包人书面建议后，应与发包人共同研究，确认存在变更的，应在收到承包人书面建议后的14天内作出变更指示。经研究后不同意作为变更的，应由监理人书面答复承包人。</w:t>
      </w:r>
    </w:p>
    <w:p w14:paraId="79670CC7">
      <w:pPr>
        <w:pStyle w:val="523"/>
        <w:numPr>
          <w:ilvl w:val="0"/>
          <w:numId w:val="24"/>
        </w:numPr>
        <w:tabs>
          <w:tab w:val="left" w:pos="922"/>
        </w:tabs>
        <w:ind w:firstLine="440"/>
        <w:rPr>
          <w:rFonts w:ascii="Times New Roman" w:hAnsi="Times New Roman"/>
          <w:color w:val="auto"/>
          <w:szCs w:val="21"/>
          <w:highlight w:val="none"/>
        </w:rPr>
      </w:pPr>
      <w:bookmarkStart w:id="697" w:name="bookmark1286"/>
      <w:bookmarkEnd w:id="697"/>
      <w:r>
        <w:rPr>
          <w:rFonts w:hint="eastAsia" w:ascii="Times New Roman" w:hAnsi="Times New Roman"/>
          <w:color w:val="auto"/>
          <w:szCs w:val="21"/>
          <w:highlight w:val="none"/>
        </w:rPr>
        <w:t>若承包人收到监理人的变更意向书后认为难以实施此项变更，应立即通知监理人, 说明原因并附详细依据。监理人与承包人和发包人协商后确定撤销、改变或不改变原变更 意向书。</w:t>
      </w:r>
    </w:p>
    <w:p w14:paraId="0162291B">
      <w:pPr>
        <w:pStyle w:val="524"/>
        <w:spacing w:after="0" w:line="360" w:lineRule="auto"/>
        <w:ind w:firstLine="440"/>
        <w:rPr>
          <w:rFonts w:cs="宋体"/>
          <w:color w:val="auto"/>
          <w:szCs w:val="21"/>
          <w:highlight w:val="none"/>
        </w:rPr>
      </w:pPr>
      <w:r>
        <w:rPr>
          <w:rFonts w:hint="eastAsia" w:cs="宋体"/>
          <w:color w:val="auto"/>
          <w:szCs w:val="21"/>
          <w:highlight w:val="none"/>
        </w:rPr>
        <w:t>15.3.2</w:t>
      </w:r>
      <w:r>
        <w:rPr>
          <w:rFonts w:hint="eastAsia" w:cs="宋体"/>
          <w:color w:val="auto"/>
          <w:szCs w:val="21"/>
          <w:highlight w:val="none"/>
          <w:lang w:val="zh-CN" w:bidi="zh-CN"/>
        </w:rPr>
        <w:t>变更估价</w:t>
      </w:r>
    </w:p>
    <w:p w14:paraId="2DCF9932">
      <w:pPr>
        <w:pStyle w:val="523"/>
        <w:numPr>
          <w:ilvl w:val="0"/>
          <w:numId w:val="25"/>
        </w:numPr>
        <w:ind w:firstLine="440"/>
        <w:rPr>
          <w:rFonts w:ascii="Times New Roman" w:hAnsi="Times New Roman"/>
          <w:color w:val="auto"/>
          <w:szCs w:val="21"/>
          <w:highlight w:val="none"/>
        </w:rPr>
      </w:pPr>
      <w:bookmarkStart w:id="698" w:name="bookmark1287"/>
      <w:bookmarkEnd w:id="698"/>
      <w:r>
        <w:rPr>
          <w:rFonts w:hint="eastAsia" w:ascii="Times New Roman" w:hAnsi="Times New Roman"/>
          <w:color w:val="auto"/>
          <w:szCs w:val="21"/>
          <w:highlight w:val="none"/>
        </w:rPr>
        <w:t>除专用合同条款对期限另有约定外，承包人应在收到变更指示或变更意向书后的14天内，向监理人提交变更报价书，报价内容应根据第</w:t>
      </w:r>
      <w:r>
        <w:rPr>
          <w:rFonts w:hint="eastAsia" w:ascii="Times New Roman" w:hAnsi="Times New Roman"/>
          <w:color w:val="auto"/>
          <w:szCs w:val="21"/>
          <w:highlight w:val="none"/>
          <w:lang w:val="en-US" w:bidi="en-US"/>
        </w:rPr>
        <w:t xml:space="preserve">15. </w:t>
      </w:r>
      <w:r>
        <w:rPr>
          <w:rFonts w:hint="eastAsia" w:ascii="Times New Roman" w:hAnsi="Times New Roman"/>
          <w:color w:val="auto"/>
          <w:szCs w:val="21"/>
          <w:highlight w:val="none"/>
        </w:rPr>
        <w:t>4款约定的估价原则，详细开列变更工作的价格组成及其依据，并附必要的施工方法说明和有关图纸。</w:t>
      </w:r>
    </w:p>
    <w:p w14:paraId="1034E956">
      <w:pPr>
        <w:pStyle w:val="523"/>
        <w:numPr>
          <w:ilvl w:val="0"/>
          <w:numId w:val="25"/>
        </w:numPr>
        <w:tabs>
          <w:tab w:val="left" w:pos="915"/>
        </w:tabs>
        <w:ind w:firstLine="440"/>
        <w:rPr>
          <w:rFonts w:ascii="Times New Roman" w:hAnsi="Times New Roman"/>
          <w:color w:val="auto"/>
          <w:szCs w:val="21"/>
          <w:highlight w:val="none"/>
        </w:rPr>
      </w:pPr>
      <w:bookmarkStart w:id="699" w:name="bookmark1288"/>
      <w:bookmarkEnd w:id="699"/>
      <w:r>
        <w:rPr>
          <w:rFonts w:hint="eastAsia" w:ascii="Times New Roman" w:hAnsi="Times New Roman"/>
          <w:color w:val="auto"/>
          <w:szCs w:val="21"/>
          <w:highlight w:val="none"/>
        </w:rPr>
        <w:t>变更工作影响工期的，承包人应提出调整工期的具体细节。监理人认为有必要时, 可要求承包人提交要求提前或延长工期的施工进度计划及相应施工措施等详细资料。</w:t>
      </w:r>
    </w:p>
    <w:p w14:paraId="58E842DF">
      <w:pPr>
        <w:pStyle w:val="523"/>
        <w:numPr>
          <w:ilvl w:val="0"/>
          <w:numId w:val="25"/>
        </w:numPr>
        <w:tabs>
          <w:tab w:val="left" w:pos="920"/>
        </w:tabs>
        <w:ind w:firstLine="440"/>
        <w:rPr>
          <w:rFonts w:ascii="Times New Roman" w:hAnsi="Times New Roman"/>
          <w:color w:val="auto"/>
          <w:szCs w:val="21"/>
          <w:highlight w:val="none"/>
        </w:rPr>
      </w:pPr>
      <w:bookmarkStart w:id="700" w:name="bookmark1289"/>
      <w:bookmarkEnd w:id="700"/>
      <w:r>
        <w:rPr>
          <w:rFonts w:hint="eastAsia" w:ascii="Times New Roman" w:hAnsi="Times New Roman"/>
          <w:color w:val="auto"/>
          <w:szCs w:val="21"/>
          <w:highlight w:val="none"/>
        </w:rPr>
        <w:t>除专用合同条款对期限另有约定外，监理人收到承包人变更报价书后的14天内，根据第</w:t>
      </w:r>
      <w:r>
        <w:rPr>
          <w:rFonts w:hint="eastAsia" w:ascii="Times New Roman" w:hAnsi="Times New Roman"/>
          <w:color w:val="auto"/>
          <w:szCs w:val="21"/>
          <w:highlight w:val="none"/>
          <w:lang w:val="en-US" w:bidi="en-US"/>
        </w:rPr>
        <w:t xml:space="preserve">15. </w:t>
      </w:r>
      <w:r>
        <w:rPr>
          <w:rFonts w:hint="eastAsia" w:ascii="Times New Roman" w:hAnsi="Times New Roman"/>
          <w:color w:val="auto"/>
          <w:szCs w:val="21"/>
          <w:highlight w:val="none"/>
        </w:rPr>
        <w:t>4款约定的估价原则，按照第</w:t>
      </w:r>
      <w:r>
        <w:rPr>
          <w:rFonts w:hint="eastAsia" w:ascii="Times New Roman" w:hAnsi="Times New Roman"/>
          <w:color w:val="auto"/>
          <w:szCs w:val="21"/>
          <w:highlight w:val="none"/>
          <w:lang w:val="en-US" w:bidi="en-US"/>
        </w:rPr>
        <w:t xml:space="preserve">3. </w:t>
      </w:r>
      <w:r>
        <w:rPr>
          <w:rFonts w:hint="eastAsia" w:ascii="Times New Roman" w:hAnsi="Times New Roman"/>
          <w:color w:val="auto"/>
          <w:szCs w:val="21"/>
          <w:highlight w:val="none"/>
        </w:rPr>
        <w:t>5款商定或确定变更价格。</w:t>
      </w:r>
    </w:p>
    <w:p w14:paraId="615A572A">
      <w:pPr>
        <w:pStyle w:val="524"/>
        <w:spacing w:after="0" w:line="360" w:lineRule="auto"/>
        <w:ind w:firstLine="440"/>
        <w:rPr>
          <w:rFonts w:cs="宋体"/>
          <w:color w:val="auto"/>
          <w:szCs w:val="21"/>
          <w:highlight w:val="none"/>
        </w:rPr>
      </w:pPr>
      <w:r>
        <w:rPr>
          <w:rFonts w:hint="eastAsia" w:cs="宋体"/>
          <w:color w:val="auto"/>
          <w:szCs w:val="21"/>
          <w:highlight w:val="none"/>
        </w:rPr>
        <w:t>15.3.3</w:t>
      </w:r>
      <w:r>
        <w:rPr>
          <w:rFonts w:hint="eastAsia" w:cs="宋体"/>
          <w:color w:val="auto"/>
          <w:szCs w:val="21"/>
          <w:highlight w:val="none"/>
          <w:lang w:val="zh-CN" w:bidi="zh-CN"/>
        </w:rPr>
        <w:t>变更指示</w:t>
      </w:r>
    </w:p>
    <w:p w14:paraId="61CEC8DD">
      <w:pPr>
        <w:pStyle w:val="523"/>
        <w:numPr>
          <w:ilvl w:val="0"/>
          <w:numId w:val="26"/>
        </w:numPr>
        <w:tabs>
          <w:tab w:val="left" w:pos="923"/>
        </w:tabs>
        <w:ind w:firstLine="440"/>
        <w:rPr>
          <w:rFonts w:ascii="Times New Roman" w:hAnsi="Times New Roman"/>
          <w:color w:val="auto"/>
          <w:szCs w:val="21"/>
          <w:highlight w:val="none"/>
        </w:rPr>
      </w:pPr>
      <w:bookmarkStart w:id="701" w:name="bookmark1290"/>
      <w:bookmarkEnd w:id="701"/>
      <w:r>
        <w:rPr>
          <w:rFonts w:hint="eastAsia" w:ascii="Times New Roman" w:hAnsi="Times New Roman"/>
          <w:color w:val="auto"/>
          <w:szCs w:val="21"/>
          <w:highlight w:val="none"/>
        </w:rPr>
        <w:t>变更指示只能由监理人发出。</w:t>
      </w:r>
    </w:p>
    <w:p w14:paraId="54FCA19F">
      <w:pPr>
        <w:pStyle w:val="523"/>
        <w:numPr>
          <w:ilvl w:val="0"/>
          <w:numId w:val="26"/>
        </w:numPr>
        <w:tabs>
          <w:tab w:val="left" w:pos="922"/>
        </w:tabs>
        <w:ind w:firstLine="440"/>
        <w:rPr>
          <w:rFonts w:ascii="Times New Roman" w:hAnsi="Times New Roman"/>
          <w:color w:val="auto"/>
          <w:szCs w:val="21"/>
          <w:highlight w:val="none"/>
        </w:rPr>
      </w:pPr>
      <w:bookmarkStart w:id="702" w:name="bookmark1291"/>
      <w:bookmarkEnd w:id="702"/>
      <w:r>
        <w:rPr>
          <w:rFonts w:hint="eastAsia" w:ascii="Times New Roman" w:hAnsi="Times New Roman"/>
          <w:color w:val="auto"/>
          <w:szCs w:val="21"/>
          <w:highlight w:val="none"/>
        </w:rPr>
        <w:t>变更指示应说明变更的目的、范围、变更内容以及变更的工程量及其进度和技术要求，并附有关图纸和文件。承包人收到变更指示后，应按变更指示进行变更工作。</w:t>
      </w:r>
    </w:p>
    <w:p w14:paraId="7AD13AB5">
      <w:pPr>
        <w:spacing w:line="360" w:lineRule="auto"/>
        <w:rPr>
          <w:color w:val="auto"/>
          <w:highlight w:val="none"/>
        </w:rPr>
      </w:pPr>
      <w:bookmarkStart w:id="703" w:name="bookmark1292"/>
      <w:bookmarkStart w:id="704" w:name="bookmark1294"/>
      <w:bookmarkStart w:id="705" w:name="_Toc9569"/>
      <w:bookmarkStart w:id="706" w:name="bookmark1293"/>
      <w:r>
        <w:rPr>
          <w:rFonts w:hint="eastAsia"/>
          <w:color w:val="auto"/>
          <w:highlight w:val="none"/>
        </w:rPr>
        <w:t>15.4变更的估价原则</w:t>
      </w:r>
      <w:bookmarkEnd w:id="703"/>
      <w:bookmarkEnd w:id="704"/>
      <w:bookmarkEnd w:id="705"/>
      <w:bookmarkEnd w:id="706"/>
    </w:p>
    <w:p w14:paraId="47C62BD0">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rPr>
        <w:t>除专用合同条款另有约定外，因变更引起的价格调整按照本款约定处理。</w:t>
      </w:r>
    </w:p>
    <w:p w14:paraId="188BA05C">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lang w:val="en-US" w:bidi="en-US"/>
        </w:rPr>
        <w:t>15.4.1</w:t>
      </w:r>
      <w:r>
        <w:rPr>
          <w:rFonts w:hint="eastAsia" w:ascii="Times New Roman" w:hAnsi="Times New Roman"/>
          <w:color w:val="auto"/>
          <w:szCs w:val="21"/>
          <w:highlight w:val="none"/>
        </w:rPr>
        <w:t>已标价工程量清单中有适用于变更工作的子目的，采用该子目的单价。</w:t>
      </w:r>
    </w:p>
    <w:p w14:paraId="3F939C13">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15.4.2</w:t>
      </w:r>
      <w:r>
        <w:rPr>
          <w:rFonts w:hint="eastAsia" w:ascii="Times New Roman" w:hAnsi="Times New Roman"/>
          <w:color w:val="auto"/>
          <w:szCs w:val="21"/>
          <w:highlight w:val="none"/>
        </w:rPr>
        <w:t>已标价工程量清单中无适用于变更工作的子目，但有类似子目的，可在合理范围内参照类似子目的单价，由监理人按第</w:t>
      </w:r>
      <w:r>
        <w:rPr>
          <w:rFonts w:hint="eastAsia" w:ascii="Times New Roman" w:hAnsi="Times New Roman"/>
          <w:color w:val="auto"/>
          <w:szCs w:val="21"/>
          <w:highlight w:val="none"/>
          <w:lang w:val="en-US" w:bidi="en-US"/>
        </w:rPr>
        <w:t xml:space="preserve">3. </w:t>
      </w:r>
      <w:r>
        <w:rPr>
          <w:rFonts w:hint="eastAsia" w:ascii="Times New Roman" w:hAnsi="Times New Roman"/>
          <w:color w:val="auto"/>
          <w:szCs w:val="21"/>
          <w:highlight w:val="none"/>
        </w:rPr>
        <w:t>5款商定或确定变更工作的单价。</w:t>
      </w:r>
    </w:p>
    <w:p w14:paraId="1CD756A7">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15.4.3</w:t>
      </w:r>
      <w:r>
        <w:rPr>
          <w:rFonts w:hint="eastAsia" w:ascii="Times New Roman" w:hAnsi="Times New Roman"/>
          <w:color w:val="auto"/>
          <w:szCs w:val="21"/>
          <w:highlight w:val="none"/>
        </w:rPr>
        <w:t>已标价工程量清单中无适用或类似子目的单价，可按照成本加利润的原则，由监理人按第</w:t>
      </w:r>
      <w:r>
        <w:rPr>
          <w:rFonts w:hint="eastAsia" w:ascii="Times New Roman" w:hAnsi="Times New Roman"/>
          <w:color w:val="auto"/>
          <w:szCs w:val="21"/>
          <w:highlight w:val="none"/>
          <w:lang w:val="en-US" w:bidi="en-US"/>
        </w:rPr>
        <w:t>3.</w:t>
      </w:r>
      <w:r>
        <w:rPr>
          <w:rFonts w:hint="eastAsia" w:ascii="Times New Roman" w:hAnsi="Times New Roman"/>
          <w:color w:val="auto"/>
          <w:szCs w:val="21"/>
          <w:highlight w:val="none"/>
        </w:rPr>
        <w:t>5款商定或确定变更工作的单价。</w:t>
      </w:r>
    </w:p>
    <w:p w14:paraId="0C23FEAA">
      <w:pPr>
        <w:spacing w:line="360" w:lineRule="auto"/>
        <w:rPr>
          <w:color w:val="auto"/>
          <w:highlight w:val="none"/>
        </w:rPr>
      </w:pPr>
      <w:bookmarkStart w:id="707" w:name="bookmark1295"/>
      <w:bookmarkStart w:id="708" w:name="bookmark1297"/>
      <w:bookmarkStart w:id="709" w:name="bookmark1296"/>
      <w:r>
        <w:rPr>
          <w:color w:val="auto"/>
          <w:highlight w:val="none"/>
        </w:rPr>
        <w:t>15.5承包人的合理化建议</w:t>
      </w:r>
      <w:bookmarkEnd w:id="707"/>
      <w:bookmarkEnd w:id="708"/>
      <w:bookmarkEnd w:id="709"/>
    </w:p>
    <w:p w14:paraId="5BED89DC">
      <w:pPr>
        <w:pStyle w:val="523"/>
        <w:tabs>
          <w:tab w:val="left" w:pos="854"/>
        </w:tabs>
        <w:ind w:left="440" w:firstLine="0"/>
        <w:rPr>
          <w:rFonts w:ascii="Times New Roman" w:hAnsi="Times New Roman"/>
          <w:color w:val="auto"/>
          <w:szCs w:val="21"/>
          <w:highlight w:val="none"/>
        </w:rPr>
      </w:pPr>
      <w:bookmarkStart w:id="710" w:name="bookmark1298"/>
      <w:bookmarkEnd w:id="710"/>
      <w:r>
        <w:rPr>
          <w:rFonts w:hint="eastAsia" w:ascii="Times New Roman" w:hAnsi="Times New Roman"/>
          <w:color w:val="auto"/>
          <w:szCs w:val="21"/>
          <w:highlight w:val="none"/>
          <w:lang w:val="en-US" w:bidi="en-US"/>
        </w:rPr>
        <w:t xml:space="preserve">15.5. </w:t>
      </w:r>
      <w:r>
        <w:rPr>
          <w:rFonts w:hint="eastAsia" w:ascii="Times New Roman" w:hAnsi="Times New Roman"/>
          <w:color w:val="auto"/>
          <w:szCs w:val="21"/>
          <w:highlight w:val="none"/>
        </w:rPr>
        <w:t>1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与发包人协商是否采纳建议。建议被采纳并构成变更的，应按第</w:t>
      </w:r>
      <w:r>
        <w:rPr>
          <w:rFonts w:hint="eastAsia" w:ascii="Times New Roman" w:hAnsi="Times New Roman"/>
          <w:color w:val="auto"/>
          <w:szCs w:val="21"/>
          <w:highlight w:val="none"/>
          <w:lang w:val="en-US" w:bidi="en-US"/>
        </w:rPr>
        <w:t xml:space="preserve">15. 3. </w:t>
      </w:r>
      <w:r>
        <w:rPr>
          <w:rFonts w:hint="eastAsia" w:ascii="Times New Roman" w:hAnsi="Times New Roman"/>
          <w:color w:val="auto"/>
          <w:szCs w:val="21"/>
          <w:highlight w:val="none"/>
        </w:rPr>
        <w:t>3项约定向承包人发出变更指示。</w:t>
      </w:r>
    </w:p>
    <w:p w14:paraId="42CEAF6A">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15.5.2</w:t>
      </w:r>
      <w:r>
        <w:rPr>
          <w:rFonts w:hint="eastAsia" w:ascii="Times New Roman" w:hAnsi="Times New Roman"/>
          <w:color w:val="auto"/>
          <w:szCs w:val="21"/>
          <w:highlight w:val="none"/>
        </w:rPr>
        <w:t>承包人提出的合理化建议降低了合同价格、缩短了工期或者提高了工程经济效益的，发包人可按国家有关规定在专用合同条款中约定给予奖励。</w:t>
      </w:r>
    </w:p>
    <w:p w14:paraId="0E2C3DF8">
      <w:pPr>
        <w:spacing w:line="360" w:lineRule="auto"/>
        <w:rPr>
          <w:color w:val="auto"/>
          <w:highlight w:val="none"/>
        </w:rPr>
      </w:pPr>
      <w:bookmarkStart w:id="711" w:name="bookmark1301"/>
      <w:bookmarkStart w:id="712" w:name="_Toc7702"/>
      <w:bookmarkStart w:id="713" w:name="bookmark1300"/>
      <w:bookmarkStart w:id="714" w:name="bookmark1299"/>
      <w:r>
        <w:rPr>
          <w:color w:val="auto"/>
          <w:highlight w:val="none"/>
        </w:rPr>
        <w:t>15.6暂列金额</w:t>
      </w:r>
      <w:bookmarkEnd w:id="711"/>
      <w:bookmarkEnd w:id="712"/>
      <w:bookmarkEnd w:id="713"/>
      <w:bookmarkEnd w:id="714"/>
    </w:p>
    <w:p w14:paraId="5251F902">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rPr>
        <w:t>暂列金额只能按照监理人的指示使用，并对合同价格进行相应调整。</w:t>
      </w:r>
    </w:p>
    <w:p w14:paraId="2DCA981F">
      <w:pPr>
        <w:pStyle w:val="5"/>
        <w:spacing w:line="360" w:lineRule="auto"/>
        <w:rPr>
          <w:color w:val="auto"/>
          <w:sz w:val="24"/>
          <w:szCs w:val="24"/>
          <w:highlight w:val="none"/>
        </w:rPr>
      </w:pPr>
      <w:bookmarkStart w:id="715" w:name="_Toc147350620"/>
      <w:bookmarkStart w:id="716" w:name="bookmark1304"/>
      <w:bookmarkStart w:id="717" w:name="_Toc1449902166"/>
      <w:bookmarkStart w:id="718" w:name="_Toc23161"/>
      <w:bookmarkStart w:id="719" w:name="bookmark1303"/>
      <w:bookmarkStart w:id="720" w:name="bookmark1302"/>
      <w:bookmarkStart w:id="721" w:name="_Toc1976762667"/>
      <w:bookmarkStart w:id="722" w:name="_Toc11845"/>
      <w:r>
        <w:rPr>
          <w:color w:val="auto"/>
          <w:sz w:val="24"/>
          <w:szCs w:val="24"/>
          <w:highlight w:val="none"/>
        </w:rPr>
        <w:t>15.7计日工</w:t>
      </w:r>
      <w:bookmarkEnd w:id="715"/>
      <w:bookmarkEnd w:id="716"/>
      <w:bookmarkEnd w:id="717"/>
      <w:bookmarkEnd w:id="718"/>
      <w:bookmarkEnd w:id="719"/>
      <w:bookmarkEnd w:id="720"/>
      <w:bookmarkEnd w:id="721"/>
      <w:bookmarkEnd w:id="722"/>
    </w:p>
    <w:p w14:paraId="503AA14C">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rPr>
        <w:t>15.7.1</w:t>
      </w:r>
      <w:r>
        <w:rPr>
          <w:rFonts w:hint="eastAsia" w:ascii="Times New Roman" w:hAnsi="Times New Roman"/>
          <w:color w:val="auto"/>
          <w:szCs w:val="21"/>
          <w:highlight w:val="none"/>
        </w:rPr>
        <w:t>发包人认为有必要时，由监理人通知承包人以计日工方式实施变更的零星工作。其价款按列入已标价工程量清单中的计日工计价子目及其单价进行计算。</w:t>
      </w:r>
    </w:p>
    <w:p w14:paraId="744AB7C0">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15.7.2</w:t>
      </w:r>
      <w:r>
        <w:rPr>
          <w:rFonts w:hint="eastAsia" w:ascii="Times New Roman" w:hAnsi="Times New Roman"/>
          <w:color w:val="auto"/>
          <w:szCs w:val="21"/>
          <w:highlight w:val="none"/>
        </w:rPr>
        <w:t>采用计日工计价的任何一项变更工作，应从暂列金额中支付，承包人应在该项变更的实施过程中，每天提交以下报表和有关凭证报送监理人审批：</w:t>
      </w:r>
    </w:p>
    <w:p w14:paraId="7178241A">
      <w:pPr>
        <w:pStyle w:val="523"/>
        <w:numPr>
          <w:ilvl w:val="0"/>
          <w:numId w:val="27"/>
        </w:numPr>
        <w:tabs>
          <w:tab w:val="left" w:pos="903"/>
        </w:tabs>
        <w:ind w:firstLine="420"/>
        <w:rPr>
          <w:rFonts w:ascii="Times New Roman" w:hAnsi="Times New Roman"/>
          <w:color w:val="auto"/>
          <w:szCs w:val="21"/>
          <w:highlight w:val="none"/>
        </w:rPr>
      </w:pPr>
      <w:bookmarkStart w:id="723" w:name="bookmark1305"/>
      <w:bookmarkEnd w:id="723"/>
      <w:r>
        <w:rPr>
          <w:rFonts w:hint="eastAsia" w:ascii="Times New Roman" w:hAnsi="Times New Roman"/>
          <w:color w:val="auto"/>
          <w:szCs w:val="21"/>
          <w:highlight w:val="none"/>
        </w:rPr>
        <w:t>工作名称、内容和数量；</w:t>
      </w:r>
    </w:p>
    <w:p w14:paraId="290DF441">
      <w:pPr>
        <w:pStyle w:val="523"/>
        <w:numPr>
          <w:ilvl w:val="0"/>
          <w:numId w:val="27"/>
        </w:numPr>
        <w:tabs>
          <w:tab w:val="left" w:pos="903"/>
        </w:tabs>
        <w:ind w:firstLine="420"/>
        <w:rPr>
          <w:rFonts w:ascii="Times New Roman" w:hAnsi="Times New Roman"/>
          <w:color w:val="auto"/>
          <w:szCs w:val="21"/>
          <w:highlight w:val="none"/>
        </w:rPr>
      </w:pPr>
      <w:bookmarkStart w:id="724" w:name="bookmark1306"/>
      <w:bookmarkEnd w:id="724"/>
      <w:r>
        <w:rPr>
          <w:rFonts w:hint="eastAsia" w:ascii="Times New Roman" w:hAnsi="Times New Roman"/>
          <w:color w:val="auto"/>
          <w:szCs w:val="21"/>
          <w:highlight w:val="none"/>
        </w:rPr>
        <w:t>投入该工作所有人员的姓名、工种、级别和耗用工时；</w:t>
      </w:r>
    </w:p>
    <w:p w14:paraId="1760305E">
      <w:pPr>
        <w:pStyle w:val="523"/>
        <w:numPr>
          <w:ilvl w:val="0"/>
          <w:numId w:val="27"/>
        </w:numPr>
        <w:tabs>
          <w:tab w:val="left" w:pos="903"/>
        </w:tabs>
        <w:ind w:firstLine="420"/>
        <w:rPr>
          <w:rFonts w:ascii="Times New Roman" w:hAnsi="Times New Roman"/>
          <w:color w:val="auto"/>
          <w:szCs w:val="21"/>
          <w:highlight w:val="none"/>
        </w:rPr>
      </w:pPr>
      <w:bookmarkStart w:id="725" w:name="bookmark1307"/>
      <w:bookmarkEnd w:id="725"/>
      <w:r>
        <w:rPr>
          <w:rFonts w:hint="eastAsia" w:ascii="Times New Roman" w:hAnsi="Times New Roman"/>
          <w:color w:val="auto"/>
          <w:szCs w:val="21"/>
          <w:highlight w:val="none"/>
        </w:rPr>
        <w:t>投入该工作的材料类别和数量；</w:t>
      </w:r>
    </w:p>
    <w:p w14:paraId="602C35F3">
      <w:pPr>
        <w:pStyle w:val="523"/>
        <w:numPr>
          <w:ilvl w:val="0"/>
          <w:numId w:val="27"/>
        </w:numPr>
        <w:tabs>
          <w:tab w:val="left" w:pos="903"/>
        </w:tabs>
        <w:ind w:firstLine="420"/>
        <w:rPr>
          <w:rFonts w:ascii="Times New Roman" w:hAnsi="Times New Roman"/>
          <w:color w:val="auto"/>
          <w:szCs w:val="21"/>
          <w:highlight w:val="none"/>
        </w:rPr>
      </w:pPr>
      <w:bookmarkStart w:id="726" w:name="bookmark1308"/>
      <w:bookmarkEnd w:id="726"/>
      <w:r>
        <w:rPr>
          <w:rFonts w:hint="eastAsia" w:ascii="Times New Roman" w:hAnsi="Times New Roman"/>
          <w:color w:val="auto"/>
          <w:szCs w:val="21"/>
          <w:highlight w:val="none"/>
        </w:rPr>
        <w:t>投入该工作的施工设备型号、台数和耗用台时；</w:t>
      </w:r>
    </w:p>
    <w:p w14:paraId="1B1EA723">
      <w:pPr>
        <w:pStyle w:val="523"/>
        <w:numPr>
          <w:ilvl w:val="0"/>
          <w:numId w:val="27"/>
        </w:numPr>
        <w:tabs>
          <w:tab w:val="left" w:pos="903"/>
        </w:tabs>
        <w:ind w:firstLine="420"/>
        <w:rPr>
          <w:rFonts w:ascii="Times New Roman" w:hAnsi="Times New Roman"/>
          <w:color w:val="auto"/>
          <w:szCs w:val="21"/>
          <w:highlight w:val="none"/>
        </w:rPr>
      </w:pPr>
      <w:bookmarkStart w:id="727" w:name="bookmark1309"/>
      <w:bookmarkEnd w:id="727"/>
      <w:r>
        <w:rPr>
          <w:rFonts w:hint="eastAsia" w:ascii="Times New Roman" w:hAnsi="Times New Roman"/>
          <w:color w:val="auto"/>
          <w:szCs w:val="21"/>
          <w:highlight w:val="none"/>
        </w:rPr>
        <w:t>监理人要求提交的其他资料和凭证。</w:t>
      </w:r>
    </w:p>
    <w:p w14:paraId="01FEA6DC">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15.7.3</w:t>
      </w:r>
      <w:r>
        <w:rPr>
          <w:rFonts w:hint="eastAsia" w:ascii="Times New Roman" w:hAnsi="Times New Roman"/>
          <w:color w:val="auto"/>
          <w:szCs w:val="21"/>
          <w:highlight w:val="none"/>
        </w:rPr>
        <w:t>计日工由承包人汇总后，按第</w:t>
      </w:r>
      <w:r>
        <w:rPr>
          <w:rFonts w:hint="eastAsia" w:ascii="Times New Roman" w:hAnsi="Times New Roman"/>
          <w:color w:val="auto"/>
          <w:szCs w:val="21"/>
          <w:highlight w:val="none"/>
          <w:lang w:val="en-US" w:bidi="en-US"/>
        </w:rPr>
        <w:t>17.3.2</w:t>
      </w:r>
      <w:r>
        <w:rPr>
          <w:rFonts w:hint="eastAsia" w:ascii="Times New Roman" w:hAnsi="Times New Roman"/>
          <w:color w:val="auto"/>
          <w:szCs w:val="21"/>
          <w:highlight w:val="none"/>
        </w:rPr>
        <w:t>项的约定列入进度付款申请单，由监理人复核并经发包人同意后列入进度付款。</w:t>
      </w:r>
    </w:p>
    <w:p w14:paraId="215401CB">
      <w:pPr>
        <w:spacing w:line="360" w:lineRule="auto"/>
        <w:rPr>
          <w:color w:val="auto"/>
          <w:highlight w:val="none"/>
        </w:rPr>
      </w:pPr>
      <w:bookmarkStart w:id="728" w:name="bookmark1311"/>
      <w:bookmarkStart w:id="729" w:name="bookmark1310"/>
      <w:bookmarkStart w:id="730" w:name="_Toc6776"/>
      <w:bookmarkStart w:id="731" w:name="bookmark1312"/>
      <w:r>
        <w:rPr>
          <w:color w:val="auto"/>
          <w:highlight w:val="none"/>
        </w:rPr>
        <w:t>15.8暂估价</w:t>
      </w:r>
      <w:bookmarkEnd w:id="728"/>
      <w:bookmarkEnd w:id="729"/>
      <w:bookmarkEnd w:id="730"/>
      <w:bookmarkEnd w:id="731"/>
    </w:p>
    <w:p w14:paraId="2ED5813F">
      <w:pPr>
        <w:pStyle w:val="523"/>
        <w:ind w:firstLine="440"/>
        <w:rPr>
          <w:rFonts w:ascii="Times New Roman" w:hAnsi="Times New Roman"/>
          <w:color w:val="auto"/>
          <w:szCs w:val="21"/>
          <w:highlight w:val="none"/>
        </w:rPr>
      </w:pPr>
      <w:bookmarkStart w:id="732" w:name="bookmark1313"/>
      <w:bookmarkEnd w:id="732"/>
      <w:r>
        <w:rPr>
          <w:rFonts w:hint="eastAsia" w:ascii="Times New Roman" w:hAnsi="Times New Roman"/>
          <w:color w:val="auto"/>
          <w:szCs w:val="21"/>
          <w:highlight w:val="none"/>
        </w:rPr>
        <w:t>15.8.1发包人在工程量清单中给定暂估价的材料、工程设备和专业工程属于依法必须招标的范围并达到规定的规模标准的，若承包人不具备承担暂估价项目的能力或具备承担暂估价项目的能力但明确不参与投标的，由发包人和承包人组织招标；若承包人具备承担暂估价项目的能力且明确参与投标的，由发包人组织招标。暂估价项目中标金额与工程 量清单中所列金额差以及相应的税金等其他费用列入合同价格。必须招标的暂估价项目招标组织形式、发包人和承包人组织招标时双方的权利义务关系在专用合同条款中约定。</w:t>
      </w:r>
    </w:p>
    <w:p w14:paraId="4FCC16B7">
      <w:pPr>
        <w:pStyle w:val="523"/>
        <w:ind w:firstLine="440"/>
        <w:rPr>
          <w:rFonts w:ascii="Times New Roman" w:hAnsi="Times New Roman"/>
          <w:color w:val="auto"/>
          <w:szCs w:val="21"/>
          <w:highlight w:val="none"/>
        </w:rPr>
      </w:pPr>
      <w:bookmarkStart w:id="733" w:name="bookmark1314"/>
      <w:bookmarkEnd w:id="733"/>
      <w:r>
        <w:rPr>
          <w:rFonts w:hint="eastAsia" w:ascii="Times New Roman" w:hAnsi="Times New Roman"/>
          <w:color w:val="auto"/>
          <w:szCs w:val="21"/>
          <w:highlight w:val="none"/>
        </w:rPr>
        <w:t>15.8.2发包人在工程量清单中给定暂估价的材料和工程设备不属于依法必须招标的范围或未达到规定的规模标准的，应由承包人按第5.1款的约定提供。经监理人确认的材料、工程设备的价格与工程量清单中所列的暂估价的金额差以及相应的税金等其他费用列入合同价格。</w:t>
      </w:r>
    </w:p>
    <w:p w14:paraId="63905999">
      <w:pPr>
        <w:pStyle w:val="523"/>
        <w:ind w:firstLine="440"/>
        <w:rPr>
          <w:rFonts w:ascii="Times New Roman" w:hAnsi="Times New Roman"/>
          <w:color w:val="auto"/>
          <w:szCs w:val="21"/>
          <w:highlight w:val="none"/>
        </w:rPr>
      </w:pPr>
      <w:bookmarkStart w:id="734" w:name="bookmark1315"/>
      <w:bookmarkEnd w:id="734"/>
      <w:r>
        <w:rPr>
          <w:rFonts w:hint="eastAsia" w:ascii="Times New Roman" w:hAnsi="Times New Roman"/>
          <w:color w:val="auto"/>
          <w:szCs w:val="21"/>
          <w:highlight w:val="none"/>
        </w:rPr>
        <w:t>15.8.3发包人在工程量清单中给定暂估价的专业工程不属于依法必须招标的范围或未达到规定的规模标准的，由监理人按照第15.4款进行估价，但专用合同条款另有约定的除外。经估价的专业工程与工程量清单中所列的暂估价的金额差以及相应的税金等其他费用列入合同价格。</w:t>
      </w:r>
    </w:p>
    <w:p w14:paraId="33CA2ABC">
      <w:pPr>
        <w:pStyle w:val="5"/>
        <w:spacing w:line="360" w:lineRule="auto"/>
        <w:rPr>
          <w:color w:val="auto"/>
          <w:highlight w:val="none"/>
        </w:rPr>
      </w:pPr>
      <w:bookmarkStart w:id="735" w:name="_Toc27983"/>
      <w:bookmarkStart w:id="736" w:name="_Toc242"/>
      <w:bookmarkStart w:id="737" w:name="_Toc147350621"/>
      <w:bookmarkStart w:id="738" w:name="bookmark1317"/>
      <w:bookmarkStart w:id="739" w:name="bookmark1316"/>
      <w:bookmarkStart w:id="740" w:name="_Toc190018465"/>
      <w:bookmarkStart w:id="741" w:name="bookmark1318"/>
      <w:r>
        <w:rPr>
          <w:rFonts w:hint="eastAsia"/>
          <w:color w:val="auto"/>
          <w:highlight w:val="none"/>
        </w:rPr>
        <w:t>16 .价格调整</w:t>
      </w:r>
      <w:bookmarkEnd w:id="735"/>
      <w:bookmarkEnd w:id="736"/>
      <w:bookmarkEnd w:id="737"/>
      <w:bookmarkEnd w:id="738"/>
      <w:bookmarkEnd w:id="739"/>
      <w:bookmarkEnd w:id="740"/>
      <w:bookmarkEnd w:id="741"/>
    </w:p>
    <w:p w14:paraId="6DD63434">
      <w:pPr>
        <w:spacing w:line="360" w:lineRule="auto"/>
        <w:rPr>
          <w:color w:val="auto"/>
          <w:highlight w:val="none"/>
        </w:rPr>
      </w:pPr>
      <w:bookmarkStart w:id="742" w:name="bookmark1321"/>
      <w:bookmarkStart w:id="743" w:name="bookmark1319"/>
      <w:bookmarkStart w:id="744" w:name="bookmark1320"/>
      <w:bookmarkStart w:id="745" w:name="_Toc2131"/>
      <w:r>
        <w:rPr>
          <w:color w:val="auto"/>
          <w:highlight w:val="none"/>
        </w:rPr>
        <w:t>16.1物价波动引起的价格调整</w:t>
      </w:r>
      <w:bookmarkEnd w:id="742"/>
      <w:bookmarkEnd w:id="743"/>
      <w:bookmarkEnd w:id="744"/>
      <w:bookmarkEnd w:id="745"/>
    </w:p>
    <w:p w14:paraId="4D9D9AC9">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rPr>
        <w:t>由于物价波动原因引起合同价格需要调整的，其价格调整方式在专用合同条款中约定；除专用合同条款另有约定外，因物价波动引起的价格调整按照本款约定处理。</w:t>
      </w:r>
    </w:p>
    <w:p w14:paraId="32480070">
      <w:pPr>
        <w:pStyle w:val="523"/>
        <w:tabs>
          <w:tab w:val="left" w:pos="839"/>
        </w:tabs>
        <w:ind w:left="420" w:firstLine="0"/>
        <w:rPr>
          <w:rFonts w:ascii="Times New Roman" w:hAnsi="Times New Roman"/>
          <w:color w:val="auto"/>
          <w:szCs w:val="21"/>
          <w:highlight w:val="none"/>
        </w:rPr>
      </w:pPr>
      <w:bookmarkStart w:id="746" w:name="bookmark1322"/>
      <w:bookmarkEnd w:id="746"/>
      <w:r>
        <w:rPr>
          <w:rFonts w:hint="eastAsia" w:ascii="Times New Roman" w:hAnsi="Times New Roman"/>
          <w:color w:val="auto"/>
          <w:szCs w:val="21"/>
          <w:highlight w:val="none"/>
          <w:lang w:val="en-US" w:bidi="en-US"/>
        </w:rPr>
        <w:t xml:space="preserve">16.1. </w:t>
      </w:r>
      <w:r>
        <w:rPr>
          <w:rFonts w:hint="eastAsia" w:ascii="Times New Roman" w:hAnsi="Times New Roman"/>
          <w:color w:val="auto"/>
          <w:szCs w:val="21"/>
          <w:highlight w:val="none"/>
        </w:rPr>
        <w:t>1采用价格指数调整价格差额</w:t>
      </w:r>
    </w:p>
    <w:p w14:paraId="0F45A65A">
      <w:pPr>
        <w:pStyle w:val="524"/>
        <w:tabs>
          <w:tab w:val="left" w:pos="839"/>
        </w:tabs>
        <w:spacing w:after="0" w:line="360" w:lineRule="auto"/>
        <w:ind w:left="420" w:firstLine="0"/>
        <w:rPr>
          <w:rFonts w:cs="宋体"/>
          <w:color w:val="auto"/>
          <w:szCs w:val="21"/>
          <w:highlight w:val="none"/>
        </w:rPr>
      </w:pPr>
      <w:bookmarkStart w:id="747" w:name="bookmark1323"/>
      <w:bookmarkEnd w:id="747"/>
      <w:r>
        <w:rPr>
          <w:rFonts w:hint="eastAsia" w:cs="宋体"/>
          <w:color w:val="auto"/>
          <w:szCs w:val="21"/>
          <w:highlight w:val="none"/>
        </w:rPr>
        <w:t xml:space="preserve">16. 1. 1. </w:t>
      </w:r>
      <w:r>
        <w:rPr>
          <w:rFonts w:hint="eastAsia" w:cs="宋体"/>
          <w:color w:val="auto"/>
          <w:szCs w:val="21"/>
          <w:highlight w:val="none"/>
          <w:lang w:val="zh-CN" w:bidi="zh-CN"/>
        </w:rPr>
        <w:t>1价格调整公式</w:t>
      </w:r>
    </w:p>
    <w:p w14:paraId="7E0B801E">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rPr>
        <w:t>因人工、材料和设备等价格波动影响合同价格时，根据投标函附录中的价格指数和权重表约定的数据，按以下公式计算差额并调整合同价格。</w:t>
      </w:r>
    </w:p>
    <w:p w14:paraId="1A3EEC4C">
      <w:pPr>
        <w:pStyle w:val="523"/>
        <w:ind w:firstLine="420"/>
        <w:rPr>
          <w:rFonts w:ascii="Times New Roman" w:hAnsi="Times New Roman"/>
          <w:color w:val="auto"/>
          <w:highlight w:val="none"/>
          <w:lang w:val="en-US"/>
        </w:rPr>
      </w:pPr>
      <w:r>
        <w:rPr>
          <w:rFonts w:hint="eastAsia" w:ascii="Times New Roman" w:hAnsi="Times New Roman"/>
          <w:color w:val="auto"/>
          <w:sz w:val="24"/>
          <w:highlight w:val="none"/>
        </w:rPr>
        <w:object>
          <v:shape id="_x0000_i1025" o:spt="75" type="#_x0000_t75" style="height:49.45pt;width:324.3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p>
    <w:p w14:paraId="479E595A">
      <w:pPr>
        <w:pStyle w:val="523"/>
        <w:ind w:firstLine="420"/>
        <w:rPr>
          <w:rFonts w:ascii="Times New Roman" w:hAnsi="Times New Roman"/>
          <w:color w:val="auto"/>
          <w:highlight w:val="none"/>
          <w:lang w:val="en-US"/>
        </w:rPr>
      </w:pPr>
    </w:p>
    <w:p w14:paraId="20D6AFCF">
      <w:pPr>
        <w:pStyle w:val="523"/>
        <w:ind w:firstLine="420"/>
        <w:rPr>
          <w:rFonts w:ascii="Times New Roman" w:hAnsi="Times New Roman"/>
          <w:color w:val="auto"/>
          <w:szCs w:val="21"/>
          <w:highlight w:val="none"/>
          <w:lang w:val="en-US"/>
        </w:rPr>
      </w:pPr>
      <w:r>
        <w:rPr>
          <w:rFonts w:hint="eastAsia" w:ascii="Times New Roman" w:hAnsi="Times New Roman"/>
          <w:color w:val="auto"/>
          <w:szCs w:val="21"/>
          <w:highlight w:val="none"/>
          <w:lang w:val="en-US"/>
        </w:rPr>
        <w:t>式中： △P -- 需调整的价格差额；</w:t>
      </w:r>
    </w:p>
    <w:p w14:paraId="67235111">
      <w:pPr>
        <w:pStyle w:val="523"/>
        <w:ind w:firstLine="420"/>
        <w:rPr>
          <w:rFonts w:ascii="Times New Roman" w:hAnsi="Times New Roman"/>
          <w:color w:val="auto"/>
          <w:szCs w:val="21"/>
          <w:highlight w:val="none"/>
          <w:lang w:val="en-US"/>
        </w:rPr>
      </w:pPr>
      <w:r>
        <w:rPr>
          <w:rFonts w:hint="eastAsia" w:ascii="Times New Roman" w:hAnsi="Times New Roman"/>
          <w:color w:val="auto"/>
          <w:szCs w:val="21"/>
          <w:highlight w:val="none"/>
          <w:lang w:val="en-US"/>
        </w:rPr>
        <w:t>P0 -- 第17.3.3项、第17.5.2项和第17.6.2项约定的付款证书中承包人应得到的已完成工程量的金额。此项金额应不包括价格调整、不计质量保证金的扣留和支付、预付款的支付和扣回。第15条约定的变更及其他金额已按现行价格计价的，也不计在内；</w:t>
      </w:r>
    </w:p>
    <w:p w14:paraId="50E9F435">
      <w:pPr>
        <w:pStyle w:val="523"/>
        <w:ind w:firstLine="420"/>
        <w:rPr>
          <w:rFonts w:ascii="Times New Roman" w:hAnsi="Times New Roman"/>
          <w:color w:val="auto"/>
          <w:szCs w:val="21"/>
          <w:highlight w:val="none"/>
          <w:lang w:val="en-US"/>
        </w:rPr>
      </w:pPr>
      <w:bookmarkStart w:id="748" w:name="_Toc144974686"/>
      <w:bookmarkStart w:id="749" w:name="_Toc152042495"/>
      <w:r>
        <w:rPr>
          <w:rFonts w:hint="eastAsia" w:ascii="Times New Roman" w:hAnsi="Times New Roman"/>
          <w:color w:val="auto"/>
          <w:szCs w:val="21"/>
          <w:highlight w:val="none"/>
          <w:lang w:val="en-US"/>
        </w:rPr>
        <w:t>A -- 定值权重(即不调部分的权重)；</w:t>
      </w:r>
      <w:bookmarkEnd w:id="748"/>
      <w:bookmarkEnd w:id="749"/>
    </w:p>
    <w:p w14:paraId="3A4A78D6">
      <w:pPr>
        <w:pStyle w:val="523"/>
        <w:ind w:firstLine="420"/>
        <w:rPr>
          <w:rFonts w:ascii="Times New Roman" w:hAnsi="Times New Roman"/>
          <w:color w:val="auto"/>
          <w:szCs w:val="21"/>
          <w:highlight w:val="none"/>
          <w:lang w:val="en-US"/>
        </w:rPr>
      </w:pPr>
      <w:r>
        <w:rPr>
          <w:rFonts w:hint="eastAsia" w:ascii="Times New Roman" w:hAnsi="Times New Roman"/>
          <w:color w:val="auto"/>
          <w:szCs w:val="21"/>
          <w:highlight w:val="none"/>
          <w:lang w:val="en-US"/>
        </w:rPr>
        <w:t>B1；B2；B3·····Bn -- 各可调因子的变值权重(即可调部分的权重)为各可调因子在投标函投标总报价中所占的比例；</w:t>
      </w:r>
    </w:p>
    <w:p w14:paraId="560A6C94">
      <w:pPr>
        <w:pStyle w:val="523"/>
        <w:ind w:firstLine="420"/>
        <w:rPr>
          <w:rFonts w:ascii="Times New Roman" w:hAnsi="Times New Roman"/>
          <w:color w:val="auto"/>
          <w:szCs w:val="21"/>
          <w:highlight w:val="none"/>
          <w:lang w:val="en-US"/>
        </w:rPr>
      </w:pPr>
      <w:r>
        <w:rPr>
          <w:rFonts w:hint="eastAsia" w:ascii="Times New Roman" w:hAnsi="Times New Roman"/>
          <w:color w:val="auto"/>
          <w:szCs w:val="21"/>
          <w:highlight w:val="none"/>
          <w:lang w:val="en-US"/>
        </w:rPr>
        <w:t>Ft1；Ft2；Ft3·····Ftn -- 各可调因子的现行价格指数，指第17.3.3项、第17.5.2项和第17.6.2项约定的付款证书相关周期最后一天的前42天的各可调因子的价格指数；</w:t>
      </w:r>
    </w:p>
    <w:p w14:paraId="68F44480">
      <w:pPr>
        <w:pStyle w:val="523"/>
        <w:ind w:firstLine="420"/>
        <w:rPr>
          <w:rFonts w:ascii="Times New Roman" w:hAnsi="Times New Roman"/>
          <w:color w:val="auto"/>
          <w:szCs w:val="21"/>
          <w:highlight w:val="none"/>
          <w:lang w:val="en-US"/>
        </w:rPr>
      </w:pPr>
      <w:r>
        <w:rPr>
          <w:rFonts w:hint="eastAsia" w:ascii="Times New Roman" w:hAnsi="Times New Roman"/>
          <w:color w:val="auto"/>
          <w:szCs w:val="21"/>
          <w:highlight w:val="none"/>
          <w:lang w:val="en-US"/>
        </w:rPr>
        <w:t>Fo1；Fo2; Fo3·····Fon -- 各可调因子的基本价格指数，指基准日期的各可调因子的价格指数。</w:t>
      </w:r>
    </w:p>
    <w:p w14:paraId="7DF4E16D">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14:paraId="36790743">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lang w:val="en-US" w:bidi="en-US"/>
        </w:rPr>
        <w:t>16.1.1.2</w:t>
      </w:r>
      <w:r>
        <w:rPr>
          <w:rFonts w:hint="eastAsia" w:ascii="Times New Roman" w:hAnsi="Times New Roman"/>
          <w:color w:val="auto"/>
          <w:szCs w:val="21"/>
          <w:highlight w:val="none"/>
        </w:rPr>
        <w:t>暂时确定调整差额</w:t>
      </w:r>
    </w:p>
    <w:p w14:paraId="5C186822">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在计算调整差额时得不到现行价格指数的，可暂用上一次价格指数计算，并在以后的付款中再按实际价格指数进行调整。</w:t>
      </w:r>
    </w:p>
    <w:p w14:paraId="2F5FD58A">
      <w:pPr>
        <w:pStyle w:val="524"/>
        <w:spacing w:after="0" w:line="360" w:lineRule="auto"/>
        <w:ind w:firstLine="440"/>
        <w:rPr>
          <w:rFonts w:cs="宋体"/>
          <w:color w:val="auto"/>
          <w:szCs w:val="21"/>
          <w:highlight w:val="none"/>
        </w:rPr>
      </w:pPr>
      <w:r>
        <w:rPr>
          <w:rFonts w:hint="eastAsia" w:cs="宋体"/>
          <w:color w:val="auto"/>
          <w:szCs w:val="21"/>
          <w:highlight w:val="none"/>
        </w:rPr>
        <w:t>16.1.1.3</w:t>
      </w:r>
      <w:r>
        <w:rPr>
          <w:rFonts w:hint="eastAsia" w:cs="宋体"/>
          <w:color w:val="auto"/>
          <w:szCs w:val="21"/>
          <w:highlight w:val="none"/>
          <w:lang w:val="zh-CN" w:bidi="zh-CN"/>
        </w:rPr>
        <w:t>权重的调整</w:t>
      </w:r>
    </w:p>
    <w:p w14:paraId="0A8FEC46">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按第</w:t>
      </w:r>
      <w:r>
        <w:rPr>
          <w:rFonts w:hint="eastAsia" w:ascii="Times New Roman" w:hAnsi="Times New Roman"/>
          <w:color w:val="auto"/>
          <w:szCs w:val="21"/>
          <w:highlight w:val="none"/>
          <w:lang w:val="en-US" w:bidi="en-US"/>
        </w:rPr>
        <w:t xml:space="preserve">15. </w:t>
      </w:r>
      <w:r>
        <w:rPr>
          <w:rFonts w:hint="eastAsia" w:ascii="Times New Roman" w:hAnsi="Times New Roman"/>
          <w:color w:val="auto"/>
          <w:szCs w:val="21"/>
          <w:highlight w:val="none"/>
        </w:rPr>
        <w:t>1款约定的变更导致原定合同中的权重不合理时，由监理人与承包人和发包人协商后进行调整。</w:t>
      </w:r>
    </w:p>
    <w:p w14:paraId="4E67E470">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lang w:val="en-US" w:bidi="en-US"/>
        </w:rPr>
        <w:t>16.1.1.4</w:t>
      </w:r>
      <w:r>
        <w:rPr>
          <w:rFonts w:hint="eastAsia" w:ascii="Times New Roman" w:hAnsi="Times New Roman"/>
          <w:color w:val="auto"/>
          <w:szCs w:val="21"/>
          <w:highlight w:val="none"/>
        </w:rPr>
        <w:t>承包人工期延误后的价格调整</w:t>
      </w:r>
    </w:p>
    <w:p w14:paraId="02B38092">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由于承包人原因未在约定的工期内竣工的，则对原约定竣工日期后继续施工的工程, 在使用第</w:t>
      </w:r>
      <w:r>
        <w:rPr>
          <w:rFonts w:hint="eastAsia" w:ascii="Times New Roman" w:hAnsi="Times New Roman"/>
          <w:color w:val="auto"/>
          <w:szCs w:val="21"/>
          <w:highlight w:val="none"/>
          <w:lang w:val="en-US" w:bidi="en-US"/>
        </w:rPr>
        <w:t xml:space="preserve">16. 1. 1. </w:t>
      </w:r>
      <w:r>
        <w:rPr>
          <w:rFonts w:hint="eastAsia" w:ascii="Times New Roman" w:hAnsi="Times New Roman"/>
          <w:color w:val="auto"/>
          <w:szCs w:val="21"/>
          <w:highlight w:val="none"/>
        </w:rPr>
        <w:t>1目价格调整公式时，应采用原约定竣工日期与实际竣工日期的两个价格指数中较低的一个作为现行价格指数。</w:t>
      </w:r>
    </w:p>
    <w:p w14:paraId="3B581963">
      <w:pPr>
        <w:pStyle w:val="523"/>
        <w:tabs>
          <w:tab w:val="left" w:pos="861"/>
        </w:tabs>
        <w:ind w:firstLine="0"/>
        <w:rPr>
          <w:rFonts w:ascii="Times New Roman" w:hAnsi="Times New Roman"/>
          <w:color w:val="auto"/>
          <w:szCs w:val="21"/>
          <w:highlight w:val="none"/>
        </w:rPr>
      </w:pPr>
      <w:bookmarkStart w:id="750" w:name="bookmark1325"/>
      <w:bookmarkEnd w:id="750"/>
      <w:r>
        <w:rPr>
          <w:rFonts w:hint="eastAsia" w:ascii="Times New Roman" w:hAnsi="Times New Roman"/>
          <w:color w:val="auto"/>
          <w:szCs w:val="21"/>
          <w:highlight w:val="none"/>
          <w:lang w:val="en-US" w:bidi="en-US"/>
        </w:rPr>
        <w:t xml:space="preserve">16.1. </w:t>
      </w:r>
      <w:r>
        <w:rPr>
          <w:rFonts w:hint="eastAsia" w:ascii="Times New Roman" w:hAnsi="Times New Roman"/>
          <w:color w:val="auto"/>
          <w:szCs w:val="21"/>
          <w:highlight w:val="none"/>
        </w:rPr>
        <w:t>2采用造价信息调整价格差额</w:t>
      </w:r>
    </w:p>
    <w:p w14:paraId="3DD2B539">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w:t>
      </w:r>
    </w:p>
    <w:p w14:paraId="577F1669">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rPr>
        <w:t>工程造价信息的来源以及价格调整的项目和系数在专用合同条款中约定。</w:t>
      </w:r>
    </w:p>
    <w:p w14:paraId="418B97A8">
      <w:pPr>
        <w:spacing w:line="360" w:lineRule="auto"/>
        <w:rPr>
          <w:color w:val="auto"/>
          <w:highlight w:val="none"/>
        </w:rPr>
      </w:pPr>
      <w:bookmarkStart w:id="751" w:name="bookmark1328"/>
      <w:bookmarkStart w:id="752" w:name="_Toc30516"/>
      <w:bookmarkStart w:id="753" w:name="bookmark1326"/>
      <w:bookmarkStart w:id="754" w:name="bookmark1327"/>
      <w:r>
        <w:rPr>
          <w:color w:val="auto"/>
          <w:highlight w:val="none"/>
        </w:rPr>
        <w:t>16.2法律变化引起的价格调整</w:t>
      </w:r>
      <w:bookmarkEnd w:id="751"/>
      <w:bookmarkEnd w:id="752"/>
      <w:bookmarkEnd w:id="753"/>
      <w:bookmarkEnd w:id="754"/>
    </w:p>
    <w:p w14:paraId="2345D5E2">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在基准日后，因法律变化导致承包人在合同履行中所需要的工程费用发生除第</w:t>
      </w:r>
      <w:r>
        <w:rPr>
          <w:rFonts w:hint="eastAsia" w:ascii="Times New Roman" w:hAnsi="Times New Roman"/>
          <w:color w:val="auto"/>
          <w:szCs w:val="21"/>
          <w:highlight w:val="none"/>
          <w:lang w:val="en-US" w:bidi="en-US"/>
        </w:rPr>
        <w:t xml:space="preserve">16. </w:t>
      </w:r>
      <w:r>
        <w:rPr>
          <w:rFonts w:hint="eastAsia" w:ascii="Times New Roman" w:hAnsi="Times New Roman"/>
          <w:color w:val="auto"/>
          <w:szCs w:val="21"/>
          <w:highlight w:val="none"/>
        </w:rPr>
        <w:t>1款约定以外的增减时，监理人应根据法律、国家或省、自治区、直辖市有关部门的规定，按第</w:t>
      </w:r>
      <w:r>
        <w:rPr>
          <w:rFonts w:hint="eastAsia" w:ascii="Times New Roman" w:hAnsi="Times New Roman"/>
          <w:color w:val="auto"/>
          <w:szCs w:val="21"/>
          <w:highlight w:val="none"/>
          <w:lang w:val="en-US" w:bidi="en-US"/>
        </w:rPr>
        <w:t xml:space="preserve">3. </w:t>
      </w:r>
      <w:r>
        <w:rPr>
          <w:rFonts w:hint="eastAsia" w:ascii="Times New Roman" w:hAnsi="Times New Roman"/>
          <w:color w:val="auto"/>
          <w:szCs w:val="21"/>
          <w:highlight w:val="none"/>
        </w:rPr>
        <w:t>5款商定或确定需调整的合同价款。</w:t>
      </w:r>
    </w:p>
    <w:p w14:paraId="492B0E60">
      <w:pPr>
        <w:pStyle w:val="5"/>
        <w:spacing w:line="360" w:lineRule="auto"/>
        <w:rPr>
          <w:color w:val="auto"/>
          <w:highlight w:val="none"/>
        </w:rPr>
      </w:pPr>
      <w:bookmarkStart w:id="755" w:name="_Toc147350622"/>
      <w:bookmarkStart w:id="756" w:name="bookmark1330"/>
      <w:bookmarkStart w:id="757" w:name="_Toc15158"/>
      <w:bookmarkStart w:id="758" w:name="bookmark1331"/>
      <w:bookmarkStart w:id="759" w:name="_Toc28196"/>
      <w:bookmarkStart w:id="760" w:name="_Toc1918800147"/>
      <w:bookmarkStart w:id="761" w:name="bookmark1329"/>
      <w:r>
        <w:rPr>
          <w:rFonts w:hint="eastAsia"/>
          <w:color w:val="auto"/>
          <w:highlight w:val="none"/>
        </w:rPr>
        <w:t>17.计量与支付</w:t>
      </w:r>
      <w:bookmarkEnd w:id="755"/>
      <w:bookmarkEnd w:id="756"/>
      <w:bookmarkEnd w:id="757"/>
      <w:bookmarkEnd w:id="758"/>
      <w:bookmarkEnd w:id="759"/>
      <w:bookmarkEnd w:id="760"/>
      <w:bookmarkEnd w:id="761"/>
    </w:p>
    <w:p w14:paraId="13D35976">
      <w:pPr>
        <w:spacing w:line="360" w:lineRule="auto"/>
        <w:rPr>
          <w:color w:val="auto"/>
          <w:highlight w:val="none"/>
        </w:rPr>
      </w:pPr>
      <w:bookmarkStart w:id="762" w:name="bookmark1334"/>
      <w:bookmarkStart w:id="763" w:name="_Toc7733"/>
      <w:bookmarkStart w:id="764" w:name="bookmark1332"/>
      <w:bookmarkStart w:id="765" w:name="bookmark1333"/>
      <w:r>
        <w:rPr>
          <w:color w:val="auto"/>
          <w:highlight w:val="none"/>
        </w:rPr>
        <w:t>17.1计量</w:t>
      </w:r>
      <w:bookmarkEnd w:id="762"/>
      <w:bookmarkEnd w:id="763"/>
      <w:bookmarkEnd w:id="764"/>
      <w:bookmarkEnd w:id="765"/>
    </w:p>
    <w:p w14:paraId="2E1BBC84">
      <w:pPr>
        <w:pStyle w:val="524"/>
        <w:tabs>
          <w:tab w:val="left" w:pos="841"/>
        </w:tabs>
        <w:spacing w:after="0" w:line="360" w:lineRule="auto"/>
        <w:ind w:firstLine="0"/>
        <w:rPr>
          <w:rFonts w:cs="宋体"/>
          <w:color w:val="auto"/>
          <w:szCs w:val="21"/>
          <w:highlight w:val="none"/>
        </w:rPr>
      </w:pPr>
      <w:bookmarkStart w:id="766" w:name="bookmark1335"/>
      <w:bookmarkEnd w:id="766"/>
      <w:r>
        <w:rPr>
          <w:color w:val="auto"/>
          <w:highlight w:val="none"/>
        </w:rPr>
        <w:t xml:space="preserve">    </w:t>
      </w:r>
      <w:r>
        <w:rPr>
          <w:rFonts w:hint="eastAsia" w:cs="宋体"/>
          <w:color w:val="auto"/>
          <w:szCs w:val="21"/>
          <w:highlight w:val="none"/>
        </w:rPr>
        <w:t xml:space="preserve">17.1. </w:t>
      </w:r>
      <w:r>
        <w:rPr>
          <w:rFonts w:hint="eastAsia" w:cs="宋体"/>
          <w:color w:val="auto"/>
          <w:szCs w:val="21"/>
          <w:highlight w:val="none"/>
          <w:lang w:val="zh-CN" w:bidi="zh-CN"/>
        </w:rPr>
        <w:t>1计量单位</w:t>
      </w:r>
    </w:p>
    <w:p w14:paraId="791BD3B7">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rPr>
        <w:t>计量采用国家法定的计量单位。</w:t>
      </w:r>
    </w:p>
    <w:p w14:paraId="3B96036D">
      <w:pPr>
        <w:pStyle w:val="523"/>
        <w:tabs>
          <w:tab w:val="left" w:pos="841"/>
        </w:tabs>
        <w:ind w:left="420" w:firstLine="0"/>
        <w:rPr>
          <w:rFonts w:ascii="Times New Roman" w:hAnsi="Times New Roman"/>
          <w:color w:val="auto"/>
          <w:szCs w:val="21"/>
          <w:highlight w:val="none"/>
        </w:rPr>
      </w:pPr>
      <w:bookmarkStart w:id="767" w:name="bookmark1336"/>
      <w:bookmarkEnd w:id="767"/>
      <w:r>
        <w:rPr>
          <w:rFonts w:hint="eastAsia" w:ascii="Times New Roman" w:hAnsi="Times New Roman"/>
          <w:color w:val="auto"/>
          <w:szCs w:val="21"/>
          <w:highlight w:val="none"/>
          <w:lang w:val="en-US" w:bidi="en-US"/>
        </w:rPr>
        <w:t xml:space="preserve">17.1. </w:t>
      </w:r>
      <w:r>
        <w:rPr>
          <w:rFonts w:hint="eastAsia" w:ascii="Times New Roman" w:hAnsi="Times New Roman"/>
          <w:color w:val="auto"/>
          <w:szCs w:val="21"/>
          <w:highlight w:val="none"/>
        </w:rPr>
        <w:t>2计量方法</w:t>
      </w:r>
    </w:p>
    <w:p w14:paraId="050E2E77">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rPr>
        <w:t>结算工程量应按工程量清单中约定的方法计算。</w:t>
      </w:r>
    </w:p>
    <w:p w14:paraId="0C1931BF">
      <w:pPr>
        <w:pStyle w:val="524"/>
        <w:spacing w:after="0" w:line="360" w:lineRule="auto"/>
        <w:rPr>
          <w:rFonts w:cs="宋体"/>
          <w:color w:val="auto"/>
          <w:szCs w:val="21"/>
          <w:highlight w:val="none"/>
        </w:rPr>
      </w:pPr>
      <w:r>
        <w:rPr>
          <w:rFonts w:hint="eastAsia" w:cs="宋体"/>
          <w:color w:val="auto"/>
          <w:szCs w:val="21"/>
          <w:highlight w:val="none"/>
        </w:rPr>
        <w:t>17.1.</w:t>
      </w:r>
      <w:r>
        <w:rPr>
          <w:rFonts w:hint="eastAsia" w:cs="宋体"/>
          <w:color w:val="auto"/>
          <w:szCs w:val="21"/>
          <w:highlight w:val="none"/>
          <w:lang w:val="zh-CN" w:bidi="zh-CN"/>
        </w:rPr>
        <w:t>3计量周期</w:t>
      </w:r>
    </w:p>
    <w:p w14:paraId="3D962DCD">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除专用合同条款另有约定外，单价子目已完成工程量按月计量，总价子目的计量周期按批准的支付分解报告确定。</w:t>
      </w:r>
    </w:p>
    <w:p w14:paraId="4567DAE7">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eastAsia="en-US" w:bidi="en-US"/>
        </w:rPr>
        <w:t>17.1.4</w:t>
      </w:r>
      <w:r>
        <w:rPr>
          <w:rFonts w:hint="eastAsia" w:ascii="Times New Roman" w:hAnsi="Times New Roman"/>
          <w:color w:val="auto"/>
          <w:szCs w:val="21"/>
          <w:highlight w:val="none"/>
        </w:rPr>
        <w:t>单价子目的计量</w:t>
      </w:r>
    </w:p>
    <w:p w14:paraId="3C45AA0F">
      <w:pPr>
        <w:pStyle w:val="523"/>
        <w:numPr>
          <w:ilvl w:val="0"/>
          <w:numId w:val="28"/>
        </w:numPr>
        <w:tabs>
          <w:tab w:val="left" w:pos="920"/>
        </w:tabs>
        <w:ind w:firstLine="440"/>
        <w:rPr>
          <w:rFonts w:ascii="Times New Roman" w:hAnsi="Times New Roman"/>
          <w:color w:val="auto"/>
          <w:szCs w:val="21"/>
          <w:highlight w:val="none"/>
        </w:rPr>
      </w:pPr>
      <w:bookmarkStart w:id="768" w:name="bookmark1337"/>
      <w:bookmarkEnd w:id="768"/>
      <w:r>
        <w:rPr>
          <w:rFonts w:hint="eastAsia" w:ascii="Times New Roman" w:hAnsi="Times New Roman"/>
          <w:color w:val="auto"/>
          <w:szCs w:val="21"/>
          <w:highlight w:val="none"/>
        </w:rPr>
        <w:t>已标价工程量清单中的单价子目工程量为估算工程量。结算工程量是承包人实际完成的，并按合同约定的计量方法进行计量的工程量。</w:t>
      </w:r>
    </w:p>
    <w:p w14:paraId="5799C8A1">
      <w:pPr>
        <w:pStyle w:val="523"/>
        <w:numPr>
          <w:ilvl w:val="0"/>
          <w:numId w:val="28"/>
        </w:numPr>
        <w:tabs>
          <w:tab w:val="left" w:pos="920"/>
        </w:tabs>
        <w:ind w:firstLine="440"/>
        <w:rPr>
          <w:rFonts w:ascii="Times New Roman" w:hAnsi="Times New Roman"/>
          <w:color w:val="auto"/>
          <w:szCs w:val="21"/>
          <w:highlight w:val="none"/>
        </w:rPr>
      </w:pPr>
      <w:bookmarkStart w:id="769" w:name="bookmark1338"/>
      <w:bookmarkEnd w:id="769"/>
      <w:r>
        <w:rPr>
          <w:rFonts w:hint="eastAsia" w:ascii="Times New Roman" w:hAnsi="Times New Roman"/>
          <w:color w:val="auto"/>
          <w:szCs w:val="21"/>
          <w:highlight w:val="none"/>
        </w:rPr>
        <w:t>承包人对已完成的工程进行计量，向监理人提交进度付款申请单、已完成工程量报表和有关计量资料。</w:t>
      </w:r>
    </w:p>
    <w:p w14:paraId="41B2B7C2">
      <w:pPr>
        <w:pStyle w:val="523"/>
        <w:numPr>
          <w:ilvl w:val="0"/>
          <w:numId w:val="28"/>
        </w:numPr>
        <w:tabs>
          <w:tab w:val="left" w:pos="483"/>
        </w:tabs>
        <w:ind w:firstLine="440"/>
        <w:rPr>
          <w:rFonts w:ascii="Times New Roman" w:hAnsi="Times New Roman"/>
          <w:color w:val="auto"/>
          <w:szCs w:val="21"/>
          <w:highlight w:val="none"/>
        </w:rPr>
      </w:pPr>
      <w:r>
        <w:rPr>
          <w:rFonts w:hint="eastAsia" w:ascii="Times New Roman" w:hAnsi="Times New Roman"/>
          <w:color w:val="auto"/>
          <w:szCs w:val="21"/>
          <w:highlight w:val="none"/>
        </w:rPr>
        <w:t>监理人对承包人提交的工程量报表进行复核，以确定实际完成的工程量。对数量</w:t>
      </w:r>
      <w:bookmarkStart w:id="770" w:name="bookmark1339"/>
      <w:bookmarkEnd w:id="770"/>
      <w:r>
        <w:rPr>
          <w:rFonts w:hint="eastAsia" w:ascii="Times New Roman" w:hAnsi="Times New Roman"/>
          <w:color w:val="auto"/>
          <w:szCs w:val="21"/>
          <w:highlight w:val="none"/>
        </w:rPr>
        <w:t>有异议的，可要求承包人按第</w:t>
      </w:r>
      <w:r>
        <w:rPr>
          <w:rFonts w:hint="eastAsia" w:ascii="Times New Roman" w:hAnsi="Times New Roman"/>
          <w:color w:val="auto"/>
          <w:szCs w:val="21"/>
          <w:highlight w:val="none"/>
          <w:lang w:val="en-US" w:bidi="en-US"/>
        </w:rPr>
        <w:t xml:space="preserve">8. </w:t>
      </w:r>
      <w:r>
        <w:rPr>
          <w:rFonts w:hint="eastAsia" w:ascii="Times New Roman" w:hAnsi="Times New Roman"/>
          <w:color w:val="auto"/>
          <w:szCs w:val="21"/>
          <w:highlight w:val="none"/>
        </w:rPr>
        <w:t>2款约定进行共同复核和抽样复测。承包人应协助监理人进行复核并按监理人要求提供补充计量资料。承包人未按监理人要求参加复核，监理人复核或修正的工程量视为承包人实际完成的工程量。</w:t>
      </w:r>
    </w:p>
    <w:p w14:paraId="00405D34">
      <w:pPr>
        <w:pStyle w:val="523"/>
        <w:numPr>
          <w:ilvl w:val="0"/>
          <w:numId w:val="28"/>
        </w:numPr>
        <w:tabs>
          <w:tab w:val="left" w:pos="899"/>
        </w:tabs>
        <w:ind w:firstLine="440"/>
        <w:rPr>
          <w:rFonts w:ascii="Times New Roman" w:hAnsi="Times New Roman"/>
          <w:color w:val="auto"/>
          <w:szCs w:val="21"/>
          <w:highlight w:val="none"/>
        </w:rPr>
      </w:pPr>
      <w:bookmarkStart w:id="771" w:name="bookmark1340"/>
      <w:bookmarkEnd w:id="771"/>
      <w:r>
        <w:rPr>
          <w:rFonts w:hint="eastAsia" w:ascii="Times New Roman" w:hAnsi="Times New Roman"/>
          <w:color w:val="auto"/>
          <w:szCs w:val="21"/>
          <w:highlight w:val="none"/>
        </w:rPr>
        <w:t>监理人认为有必要时，可通知承包人共同进行联合测量、计量，承包人应遵照执行。</w:t>
      </w:r>
    </w:p>
    <w:p w14:paraId="4044518F">
      <w:pPr>
        <w:pStyle w:val="523"/>
        <w:numPr>
          <w:ilvl w:val="0"/>
          <w:numId w:val="28"/>
        </w:numPr>
        <w:tabs>
          <w:tab w:val="left" w:pos="902"/>
        </w:tabs>
        <w:ind w:firstLine="440"/>
        <w:rPr>
          <w:rFonts w:ascii="Times New Roman" w:hAnsi="Times New Roman"/>
          <w:color w:val="auto"/>
          <w:szCs w:val="21"/>
          <w:highlight w:val="none"/>
        </w:rPr>
      </w:pPr>
      <w:bookmarkStart w:id="772" w:name="bookmark1341"/>
      <w:bookmarkEnd w:id="772"/>
      <w:r>
        <w:rPr>
          <w:rFonts w:hint="eastAsia" w:ascii="Times New Roman" w:hAnsi="Times New Roman"/>
          <w:color w:val="auto"/>
          <w:szCs w:val="21"/>
          <w:highlight w:val="none"/>
        </w:rPr>
        <w:t>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17F9A13C">
      <w:pPr>
        <w:pStyle w:val="523"/>
        <w:numPr>
          <w:ilvl w:val="0"/>
          <w:numId w:val="28"/>
        </w:numPr>
        <w:tabs>
          <w:tab w:val="left" w:pos="902"/>
        </w:tabs>
        <w:ind w:firstLine="440"/>
        <w:rPr>
          <w:rFonts w:ascii="Times New Roman" w:hAnsi="Times New Roman"/>
          <w:color w:val="auto"/>
          <w:szCs w:val="21"/>
          <w:highlight w:val="none"/>
        </w:rPr>
      </w:pPr>
      <w:bookmarkStart w:id="773" w:name="bookmark1342"/>
      <w:bookmarkEnd w:id="773"/>
      <w:r>
        <w:rPr>
          <w:rFonts w:hint="eastAsia" w:ascii="Times New Roman" w:hAnsi="Times New Roman"/>
          <w:color w:val="auto"/>
          <w:szCs w:val="21"/>
          <w:highlight w:val="none"/>
        </w:rPr>
        <w:t>监理人应在收到承包人提交的工程量报表后的7天内进行复核，监理人未在约定时间内复核的，承包人提交的工程量报表中的工程量视为承包人实际完成的工程量，据此计算工程价款。</w:t>
      </w:r>
    </w:p>
    <w:p w14:paraId="5EAB4B32">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17.1.5</w:t>
      </w:r>
      <w:r>
        <w:rPr>
          <w:rFonts w:hint="eastAsia" w:ascii="Times New Roman" w:hAnsi="Times New Roman"/>
          <w:color w:val="auto"/>
          <w:szCs w:val="21"/>
          <w:highlight w:val="none"/>
        </w:rPr>
        <w:t>总价子目的计量</w:t>
      </w:r>
    </w:p>
    <w:p w14:paraId="6C70932E">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rPr>
        <w:t>总价子目的分解和计量按照下述约定进行。</w:t>
      </w:r>
    </w:p>
    <w:p w14:paraId="35CB39A2">
      <w:pPr>
        <w:pStyle w:val="523"/>
        <w:numPr>
          <w:ilvl w:val="0"/>
          <w:numId w:val="29"/>
        </w:numPr>
        <w:tabs>
          <w:tab w:val="left" w:pos="899"/>
        </w:tabs>
        <w:ind w:firstLine="440"/>
        <w:rPr>
          <w:rFonts w:ascii="Times New Roman" w:hAnsi="Times New Roman"/>
          <w:color w:val="auto"/>
          <w:szCs w:val="21"/>
          <w:highlight w:val="none"/>
        </w:rPr>
      </w:pPr>
      <w:bookmarkStart w:id="774" w:name="bookmark1343"/>
      <w:bookmarkEnd w:id="774"/>
      <w:r>
        <w:rPr>
          <w:rFonts w:hint="eastAsia" w:ascii="Times New Roman" w:hAnsi="Times New Roman"/>
          <w:color w:val="auto"/>
          <w:szCs w:val="21"/>
          <w:highlight w:val="none"/>
        </w:rPr>
        <w:t>总价子目的计量和支付应以总价为基础，不因第</w:t>
      </w:r>
      <w:r>
        <w:rPr>
          <w:rFonts w:hint="eastAsia" w:ascii="Times New Roman" w:hAnsi="Times New Roman"/>
          <w:color w:val="auto"/>
          <w:szCs w:val="21"/>
          <w:highlight w:val="none"/>
          <w:lang w:val="en-US" w:bidi="en-US"/>
        </w:rPr>
        <w:t>16.1</w:t>
      </w:r>
      <w:r>
        <w:rPr>
          <w:rFonts w:hint="eastAsia" w:ascii="Times New Roman" w:hAnsi="Times New Roman"/>
          <w:color w:val="auto"/>
          <w:szCs w:val="21"/>
          <w:highlight w:val="none"/>
        </w:rPr>
        <w:t>款中的因素而进行调整。承包人实际完成的工程量，是进行工程目标管理和控制进度支付的依据。</w:t>
      </w:r>
    </w:p>
    <w:p w14:paraId="506EC14F">
      <w:pPr>
        <w:pStyle w:val="523"/>
        <w:numPr>
          <w:ilvl w:val="0"/>
          <w:numId w:val="29"/>
        </w:numPr>
        <w:tabs>
          <w:tab w:val="left" w:pos="899"/>
        </w:tabs>
        <w:ind w:firstLine="440"/>
        <w:rPr>
          <w:rFonts w:ascii="Times New Roman" w:hAnsi="Times New Roman"/>
          <w:color w:val="auto"/>
          <w:szCs w:val="21"/>
          <w:highlight w:val="none"/>
        </w:rPr>
      </w:pPr>
      <w:bookmarkStart w:id="775" w:name="bookmark1344"/>
      <w:bookmarkEnd w:id="775"/>
      <w:r>
        <w:rPr>
          <w:rFonts w:hint="eastAsia" w:ascii="Times New Roman" w:hAnsi="Times New Roman"/>
          <w:color w:val="auto"/>
          <w:szCs w:val="21"/>
          <w:highlight w:val="none"/>
        </w:rPr>
        <w:t>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w:t>
      </w:r>
    </w:p>
    <w:p w14:paraId="43FADC26">
      <w:pPr>
        <w:pStyle w:val="523"/>
        <w:numPr>
          <w:ilvl w:val="0"/>
          <w:numId w:val="29"/>
        </w:numPr>
        <w:tabs>
          <w:tab w:val="left" w:pos="899"/>
        </w:tabs>
        <w:ind w:firstLine="440"/>
        <w:rPr>
          <w:rFonts w:ascii="Times New Roman" w:hAnsi="Times New Roman"/>
          <w:color w:val="auto"/>
          <w:szCs w:val="21"/>
          <w:highlight w:val="none"/>
        </w:rPr>
      </w:pPr>
      <w:bookmarkStart w:id="776" w:name="bookmark1345"/>
      <w:bookmarkEnd w:id="776"/>
      <w:r>
        <w:rPr>
          <w:rFonts w:hint="eastAsia" w:ascii="Times New Roman" w:hAnsi="Times New Roman"/>
          <w:color w:val="auto"/>
          <w:szCs w:val="21"/>
          <w:highlight w:val="none"/>
        </w:rPr>
        <w:t>监理人对承包人提交的上述资料进行复核，以确定分阶段实际完成的工程量和工程形象目标。对其有异议的，可要求承包人按第</w:t>
      </w:r>
      <w:r>
        <w:rPr>
          <w:rFonts w:hint="eastAsia" w:ascii="Times New Roman" w:hAnsi="Times New Roman"/>
          <w:color w:val="auto"/>
          <w:szCs w:val="21"/>
          <w:highlight w:val="none"/>
          <w:lang w:val="en-US" w:bidi="en-US"/>
        </w:rPr>
        <w:t xml:space="preserve">8. </w:t>
      </w:r>
      <w:r>
        <w:rPr>
          <w:rFonts w:hint="eastAsia" w:ascii="Times New Roman" w:hAnsi="Times New Roman"/>
          <w:color w:val="auto"/>
          <w:szCs w:val="21"/>
          <w:highlight w:val="none"/>
        </w:rPr>
        <w:t>2款约定进行共同复核和抽样复测。</w:t>
      </w:r>
    </w:p>
    <w:p w14:paraId="09DC7F97">
      <w:pPr>
        <w:pStyle w:val="523"/>
        <w:numPr>
          <w:ilvl w:val="0"/>
          <w:numId w:val="29"/>
        </w:numPr>
        <w:tabs>
          <w:tab w:val="left" w:pos="899"/>
        </w:tabs>
        <w:ind w:firstLine="440"/>
        <w:rPr>
          <w:rFonts w:ascii="Times New Roman" w:hAnsi="Times New Roman"/>
          <w:color w:val="auto"/>
          <w:szCs w:val="21"/>
          <w:highlight w:val="none"/>
        </w:rPr>
      </w:pPr>
      <w:bookmarkStart w:id="777" w:name="bookmark1346"/>
      <w:bookmarkEnd w:id="777"/>
      <w:r>
        <w:rPr>
          <w:rFonts w:hint="eastAsia" w:ascii="Times New Roman" w:hAnsi="Times New Roman"/>
          <w:color w:val="auto"/>
          <w:szCs w:val="21"/>
          <w:highlight w:val="none"/>
        </w:rPr>
        <w:t>除按照第15条约定的变更外，总价子目的工程量是承包人用于结算的最终工程量。</w:t>
      </w:r>
    </w:p>
    <w:p w14:paraId="6B1778E7">
      <w:pPr>
        <w:spacing w:line="360" w:lineRule="auto"/>
        <w:rPr>
          <w:color w:val="auto"/>
          <w:highlight w:val="none"/>
        </w:rPr>
      </w:pPr>
      <w:bookmarkStart w:id="778" w:name="_Toc1366"/>
      <w:bookmarkStart w:id="779" w:name="bookmark1348"/>
      <w:bookmarkStart w:id="780" w:name="bookmark1349"/>
      <w:bookmarkStart w:id="781" w:name="bookmark1347"/>
      <w:r>
        <w:rPr>
          <w:color w:val="auto"/>
          <w:highlight w:val="none"/>
        </w:rPr>
        <w:t>17.2预付款</w:t>
      </w:r>
      <w:bookmarkEnd w:id="778"/>
      <w:bookmarkEnd w:id="779"/>
      <w:bookmarkEnd w:id="780"/>
      <w:bookmarkEnd w:id="781"/>
    </w:p>
    <w:p w14:paraId="7E8626D5">
      <w:pPr>
        <w:pStyle w:val="524"/>
        <w:spacing w:after="0" w:line="360" w:lineRule="auto"/>
        <w:ind w:firstLine="440"/>
        <w:rPr>
          <w:rFonts w:cs="宋体"/>
          <w:color w:val="auto"/>
          <w:szCs w:val="21"/>
          <w:highlight w:val="none"/>
        </w:rPr>
      </w:pPr>
      <w:r>
        <w:rPr>
          <w:rFonts w:hint="eastAsia" w:cs="宋体"/>
          <w:color w:val="auto"/>
          <w:szCs w:val="21"/>
          <w:highlight w:val="none"/>
        </w:rPr>
        <w:t>17.2.1</w:t>
      </w:r>
      <w:r>
        <w:rPr>
          <w:rFonts w:hint="eastAsia" w:cs="宋体"/>
          <w:color w:val="auto"/>
          <w:szCs w:val="21"/>
          <w:highlight w:val="none"/>
          <w:lang w:val="zh-CN" w:bidi="zh-CN"/>
        </w:rPr>
        <w:t>预付款</w:t>
      </w:r>
    </w:p>
    <w:p w14:paraId="7B8CAF63">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14:paraId="5F316C76">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eastAsia="en-US" w:bidi="en-US"/>
        </w:rPr>
        <w:t>17.2.2</w:t>
      </w:r>
      <w:r>
        <w:rPr>
          <w:rFonts w:hint="eastAsia" w:ascii="Times New Roman" w:hAnsi="Times New Roman"/>
          <w:color w:val="auto"/>
          <w:szCs w:val="21"/>
          <w:highlight w:val="none"/>
        </w:rPr>
        <w:t>预付款保函(担保)</w:t>
      </w:r>
    </w:p>
    <w:p w14:paraId="061AE2AE">
      <w:pPr>
        <w:pStyle w:val="523"/>
        <w:numPr>
          <w:ilvl w:val="0"/>
          <w:numId w:val="30"/>
        </w:numPr>
        <w:tabs>
          <w:tab w:val="left" w:pos="899"/>
        </w:tabs>
        <w:ind w:firstLine="440"/>
        <w:rPr>
          <w:rFonts w:ascii="Times New Roman" w:hAnsi="Times New Roman"/>
          <w:color w:val="auto"/>
          <w:szCs w:val="21"/>
          <w:highlight w:val="none"/>
        </w:rPr>
      </w:pPr>
      <w:bookmarkStart w:id="782" w:name="bookmark1350"/>
      <w:bookmarkEnd w:id="782"/>
      <w:r>
        <w:rPr>
          <w:rFonts w:hint="eastAsia" w:ascii="Times New Roman" w:hAnsi="Times New Roman"/>
          <w:color w:val="auto"/>
          <w:szCs w:val="21"/>
          <w:highlight w:val="none"/>
        </w:rPr>
        <w:t>承包人应在收到第一次工程预付款的同时向发包人提交工程预付款担保，担保金额应与第一次工程预付款金额相同，工程预付款担保在第一次工程预付款被发包人扣回前一直有效。</w:t>
      </w:r>
    </w:p>
    <w:p w14:paraId="5076F1B2">
      <w:pPr>
        <w:pStyle w:val="523"/>
        <w:numPr>
          <w:ilvl w:val="0"/>
          <w:numId w:val="30"/>
        </w:numPr>
        <w:tabs>
          <w:tab w:val="left" w:pos="903"/>
        </w:tabs>
        <w:ind w:firstLine="440"/>
        <w:rPr>
          <w:rFonts w:ascii="Times New Roman" w:hAnsi="Times New Roman"/>
          <w:color w:val="auto"/>
          <w:szCs w:val="21"/>
          <w:highlight w:val="none"/>
        </w:rPr>
      </w:pPr>
      <w:bookmarkStart w:id="783" w:name="bookmark1351"/>
      <w:bookmarkEnd w:id="783"/>
      <w:r>
        <w:rPr>
          <w:rFonts w:hint="eastAsia" w:ascii="Times New Roman" w:hAnsi="Times New Roman"/>
          <w:color w:val="auto"/>
          <w:szCs w:val="21"/>
          <w:highlight w:val="none"/>
        </w:rPr>
        <w:t>工程材料预付款的担保在专用合同条款中约定。</w:t>
      </w:r>
    </w:p>
    <w:p w14:paraId="7E231440">
      <w:pPr>
        <w:pStyle w:val="523"/>
        <w:numPr>
          <w:ilvl w:val="0"/>
          <w:numId w:val="30"/>
        </w:numPr>
        <w:tabs>
          <w:tab w:val="left" w:pos="883"/>
        </w:tabs>
        <w:ind w:firstLine="420"/>
        <w:rPr>
          <w:rFonts w:ascii="Times New Roman" w:hAnsi="Times New Roman"/>
          <w:color w:val="auto"/>
          <w:szCs w:val="21"/>
          <w:highlight w:val="none"/>
        </w:rPr>
      </w:pPr>
      <w:bookmarkStart w:id="784" w:name="bookmark1352"/>
      <w:bookmarkEnd w:id="784"/>
      <w:r>
        <w:rPr>
          <w:rFonts w:hint="eastAsia" w:ascii="Times New Roman" w:hAnsi="Times New Roman"/>
          <w:color w:val="auto"/>
          <w:szCs w:val="21"/>
          <w:highlight w:val="none"/>
        </w:rPr>
        <w:t>预付款担保的担保金额可根据预付款扣回的金额相应递减。</w:t>
      </w:r>
    </w:p>
    <w:p w14:paraId="22CCCC3E">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17.2.3</w:t>
      </w:r>
      <w:r>
        <w:rPr>
          <w:rFonts w:hint="eastAsia" w:ascii="Times New Roman" w:hAnsi="Times New Roman"/>
          <w:color w:val="auto"/>
          <w:szCs w:val="21"/>
          <w:highlight w:val="none"/>
        </w:rPr>
        <w:t>预付款的扣回与还清</w:t>
      </w:r>
    </w:p>
    <w:p w14:paraId="25C43D11">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预付款在进度付款中扣回，扣回与还清办法在专用合同条款中约定。在颁发合同工程完工证书前，由于不可抗力或其它原因解除合同时，预付款尚未扣清的，尚未扣清的预付款余额应作为承包人的到期应付款。</w:t>
      </w:r>
    </w:p>
    <w:p w14:paraId="74678725">
      <w:pPr>
        <w:spacing w:line="360" w:lineRule="auto"/>
        <w:rPr>
          <w:color w:val="auto"/>
          <w:highlight w:val="none"/>
        </w:rPr>
      </w:pPr>
      <w:bookmarkStart w:id="785" w:name="bookmark1355"/>
      <w:bookmarkStart w:id="786" w:name="bookmark1353"/>
      <w:bookmarkStart w:id="787" w:name="bookmark1354"/>
      <w:bookmarkStart w:id="788" w:name="_Toc2053"/>
      <w:r>
        <w:rPr>
          <w:color w:val="auto"/>
          <w:highlight w:val="none"/>
        </w:rPr>
        <w:t>17.3工程进度付款</w:t>
      </w:r>
      <w:bookmarkEnd w:id="785"/>
      <w:bookmarkEnd w:id="786"/>
      <w:bookmarkEnd w:id="787"/>
      <w:bookmarkEnd w:id="788"/>
    </w:p>
    <w:p w14:paraId="42B88BB4">
      <w:pPr>
        <w:pStyle w:val="524"/>
        <w:spacing w:after="0" w:line="360" w:lineRule="auto"/>
        <w:rPr>
          <w:rFonts w:cs="宋体"/>
          <w:color w:val="auto"/>
          <w:szCs w:val="21"/>
          <w:highlight w:val="none"/>
        </w:rPr>
      </w:pPr>
      <w:r>
        <w:rPr>
          <w:rFonts w:hint="eastAsia" w:cs="宋体"/>
          <w:color w:val="auto"/>
          <w:szCs w:val="21"/>
          <w:highlight w:val="none"/>
        </w:rPr>
        <w:t>17.3.1</w:t>
      </w:r>
      <w:r>
        <w:rPr>
          <w:rFonts w:hint="eastAsia" w:cs="宋体"/>
          <w:color w:val="auto"/>
          <w:szCs w:val="21"/>
          <w:highlight w:val="none"/>
          <w:lang w:val="zh-CN" w:bidi="zh-CN"/>
        </w:rPr>
        <w:t>付款周期</w:t>
      </w:r>
    </w:p>
    <w:p w14:paraId="3CD45C92">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rPr>
        <w:t>付款周期同计量周期。</w:t>
      </w:r>
    </w:p>
    <w:p w14:paraId="39F02142">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lang w:val="en-US" w:bidi="en-US"/>
        </w:rPr>
        <w:t>17.3.2</w:t>
      </w:r>
      <w:r>
        <w:rPr>
          <w:rFonts w:hint="eastAsia" w:ascii="Times New Roman" w:hAnsi="Times New Roman"/>
          <w:color w:val="auto"/>
          <w:szCs w:val="21"/>
          <w:highlight w:val="none"/>
        </w:rPr>
        <w:t>进度付款申请单</w:t>
      </w:r>
    </w:p>
    <w:p w14:paraId="4C38C11C">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承包人应在每个付款周期末，按监理人批准的格式和专用合同条款约定的份数，向监理人提交进度付款申请单，并附相应的支持性证明文件。除专用合同条款另有约定外，进度付款申请单应包括下列内容：</w:t>
      </w:r>
    </w:p>
    <w:p w14:paraId="38552ABC">
      <w:pPr>
        <w:pStyle w:val="523"/>
        <w:numPr>
          <w:ilvl w:val="0"/>
          <w:numId w:val="31"/>
        </w:numPr>
        <w:tabs>
          <w:tab w:val="left" w:pos="903"/>
        </w:tabs>
        <w:ind w:firstLine="420"/>
        <w:rPr>
          <w:rFonts w:ascii="Times New Roman" w:hAnsi="Times New Roman"/>
          <w:color w:val="auto"/>
          <w:szCs w:val="21"/>
          <w:highlight w:val="none"/>
        </w:rPr>
      </w:pPr>
      <w:bookmarkStart w:id="789" w:name="bookmark1356"/>
      <w:bookmarkEnd w:id="789"/>
      <w:r>
        <w:rPr>
          <w:rFonts w:hint="eastAsia" w:ascii="Times New Roman" w:hAnsi="Times New Roman"/>
          <w:color w:val="auto"/>
          <w:szCs w:val="21"/>
          <w:highlight w:val="none"/>
        </w:rPr>
        <w:t>截至本次付款周期末已实施工程的价款；</w:t>
      </w:r>
    </w:p>
    <w:p w14:paraId="365546CA">
      <w:pPr>
        <w:pStyle w:val="523"/>
        <w:numPr>
          <w:ilvl w:val="0"/>
          <w:numId w:val="31"/>
        </w:numPr>
        <w:tabs>
          <w:tab w:val="left" w:pos="903"/>
        </w:tabs>
        <w:ind w:firstLine="420"/>
        <w:rPr>
          <w:rFonts w:ascii="Times New Roman" w:hAnsi="Times New Roman"/>
          <w:color w:val="auto"/>
          <w:szCs w:val="21"/>
          <w:highlight w:val="none"/>
        </w:rPr>
      </w:pPr>
      <w:bookmarkStart w:id="790" w:name="bookmark1357"/>
      <w:bookmarkEnd w:id="790"/>
      <w:r>
        <w:rPr>
          <w:rFonts w:hint="eastAsia" w:ascii="Times New Roman" w:hAnsi="Times New Roman"/>
          <w:color w:val="auto"/>
          <w:szCs w:val="21"/>
          <w:highlight w:val="none"/>
        </w:rPr>
        <w:t>根据第15条应增加和扣减的变更金额；</w:t>
      </w:r>
    </w:p>
    <w:p w14:paraId="00897AB8">
      <w:pPr>
        <w:pStyle w:val="523"/>
        <w:numPr>
          <w:ilvl w:val="0"/>
          <w:numId w:val="31"/>
        </w:numPr>
        <w:tabs>
          <w:tab w:val="left" w:pos="903"/>
        </w:tabs>
        <w:ind w:firstLine="420"/>
        <w:rPr>
          <w:rFonts w:ascii="Times New Roman" w:hAnsi="Times New Roman"/>
          <w:color w:val="auto"/>
          <w:szCs w:val="21"/>
          <w:highlight w:val="none"/>
        </w:rPr>
      </w:pPr>
      <w:bookmarkStart w:id="791" w:name="bookmark1358"/>
      <w:bookmarkEnd w:id="791"/>
      <w:r>
        <w:rPr>
          <w:rFonts w:hint="eastAsia" w:ascii="Times New Roman" w:hAnsi="Times New Roman"/>
          <w:color w:val="auto"/>
          <w:szCs w:val="21"/>
          <w:highlight w:val="none"/>
        </w:rPr>
        <w:t>根据第23条应增加和扣减的索赔金额；</w:t>
      </w:r>
    </w:p>
    <w:p w14:paraId="35359553">
      <w:pPr>
        <w:pStyle w:val="523"/>
        <w:numPr>
          <w:ilvl w:val="0"/>
          <w:numId w:val="31"/>
        </w:numPr>
        <w:tabs>
          <w:tab w:val="left" w:pos="903"/>
        </w:tabs>
        <w:ind w:firstLine="420"/>
        <w:rPr>
          <w:rFonts w:ascii="Times New Roman" w:hAnsi="Times New Roman"/>
          <w:color w:val="auto"/>
          <w:szCs w:val="21"/>
          <w:highlight w:val="none"/>
        </w:rPr>
      </w:pPr>
      <w:bookmarkStart w:id="792" w:name="bookmark1359"/>
      <w:bookmarkEnd w:id="792"/>
      <w:r>
        <w:rPr>
          <w:rFonts w:hint="eastAsia" w:ascii="Times New Roman" w:hAnsi="Times New Roman"/>
          <w:color w:val="auto"/>
          <w:szCs w:val="21"/>
          <w:highlight w:val="none"/>
        </w:rPr>
        <w:t>根据第</w:t>
      </w:r>
      <w:r>
        <w:rPr>
          <w:rFonts w:hint="eastAsia" w:ascii="Times New Roman" w:hAnsi="Times New Roman"/>
          <w:color w:val="auto"/>
          <w:szCs w:val="21"/>
          <w:highlight w:val="none"/>
          <w:lang w:val="en-US" w:bidi="en-US"/>
        </w:rPr>
        <w:t xml:space="preserve">17. </w:t>
      </w:r>
      <w:r>
        <w:rPr>
          <w:rFonts w:hint="eastAsia" w:ascii="Times New Roman" w:hAnsi="Times New Roman"/>
          <w:color w:val="auto"/>
          <w:szCs w:val="21"/>
          <w:highlight w:val="none"/>
        </w:rPr>
        <w:t>2款约定应支付的预付款和扣减的返还预付款；</w:t>
      </w:r>
    </w:p>
    <w:p w14:paraId="63AE58A2">
      <w:pPr>
        <w:pStyle w:val="523"/>
        <w:numPr>
          <w:ilvl w:val="0"/>
          <w:numId w:val="31"/>
        </w:numPr>
        <w:tabs>
          <w:tab w:val="left" w:pos="903"/>
        </w:tabs>
        <w:ind w:firstLine="420"/>
        <w:rPr>
          <w:rFonts w:ascii="Times New Roman" w:hAnsi="Times New Roman"/>
          <w:color w:val="auto"/>
          <w:szCs w:val="21"/>
          <w:highlight w:val="none"/>
        </w:rPr>
      </w:pPr>
      <w:bookmarkStart w:id="793" w:name="bookmark1360"/>
      <w:bookmarkEnd w:id="793"/>
      <w:r>
        <w:rPr>
          <w:rFonts w:hint="eastAsia" w:ascii="Times New Roman" w:hAnsi="Times New Roman"/>
          <w:color w:val="auto"/>
          <w:szCs w:val="21"/>
          <w:highlight w:val="none"/>
        </w:rPr>
        <w:t>根据第</w:t>
      </w:r>
      <w:r>
        <w:rPr>
          <w:rFonts w:hint="eastAsia" w:ascii="Times New Roman" w:hAnsi="Times New Roman"/>
          <w:color w:val="auto"/>
          <w:szCs w:val="21"/>
          <w:highlight w:val="none"/>
          <w:lang w:val="en-US" w:bidi="en-US"/>
        </w:rPr>
        <w:t xml:space="preserve">17.4. </w:t>
      </w:r>
      <w:r>
        <w:rPr>
          <w:rFonts w:hint="eastAsia" w:ascii="Times New Roman" w:hAnsi="Times New Roman"/>
          <w:color w:val="auto"/>
          <w:szCs w:val="21"/>
          <w:highlight w:val="none"/>
        </w:rPr>
        <w:t>1项约定应扣减的质量保证金；</w:t>
      </w:r>
    </w:p>
    <w:p w14:paraId="328B2F22">
      <w:pPr>
        <w:pStyle w:val="523"/>
        <w:numPr>
          <w:ilvl w:val="0"/>
          <w:numId w:val="31"/>
        </w:numPr>
        <w:tabs>
          <w:tab w:val="left" w:pos="903"/>
        </w:tabs>
        <w:ind w:firstLine="420"/>
        <w:rPr>
          <w:rFonts w:ascii="Times New Roman" w:hAnsi="Times New Roman"/>
          <w:color w:val="auto"/>
          <w:szCs w:val="21"/>
          <w:highlight w:val="none"/>
        </w:rPr>
      </w:pPr>
      <w:bookmarkStart w:id="794" w:name="bookmark1361"/>
      <w:bookmarkEnd w:id="794"/>
      <w:r>
        <w:rPr>
          <w:rFonts w:hint="eastAsia" w:ascii="Times New Roman" w:hAnsi="Times New Roman"/>
          <w:color w:val="auto"/>
          <w:szCs w:val="21"/>
          <w:highlight w:val="none"/>
        </w:rPr>
        <w:t>根据合同应增加和扣减的其他金额。</w:t>
      </w:r>
    </w:p>
    <w:p w14:paraId="209BF947">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lang w:val="en-US" w:bidi="en-US"/>
        </w:rPr>
        <w:t>17.3.3</w:t>
      </w:r>
      <w:r>
        <w:rPr>
          <w:rFonts w:hint="eastAsia" w:ascii="Times New Roman" w:hAnsi="Times New Roman"/>
          <w:color w:val="auto"/>
          <w:szCs w:val="21"/>
          <w:highlight w:val="none"/>
        </w:rPr>
        <w:t>进度付款证书和支付时间</w:t>
      </w:r>
    </w:p>
    <w:p w14:paraId="1AB6EF0A">
      <w:pPr>
        <w:pStyle w:val="523"/>
        <w:numPr>
          <w:ilvl w:val="0"/>
          <w:numId w:val="32"/>
        </w:numPr>
        <w:tabs>
          <w:tab w:val="left" w:pos="920"/>
        </w:tabs>
        <w:ind w:firstLine="440"/>
        <w:rPr>
          <w:rFonts w:ascii="Times New Roman" w:hAnsi="Times New Roman"/>
          <w:color w:val="auto"/>
          <w:szCs w:val="21"/>
          <w:highlight w:val="none"/>
        </w:rPr>
      </w:pPr>
      <w:bookmarkStart w:id="795" w:name="bookmark1362"/>
      <w:bookmarkEnd w:id="795"/>
      <w:r>
        <w:rPr>
          <w:rFonts w:hint="eastAsia" w:ascii="Times New Roman" w:hAnsi="Times New Roman"/>
          <w:color w:val="auto"/>
          <w:szCs w:val="21"/>
          <w:highlight w:val="none"/>
        </w:rPr>
        <w:t>监理人在收到承包人进度付款申请单以及相应的支持性证明文件后的14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14:paraId="76FD08BA">
      <w:pPr>
        <w:pStyle w:val="523"/>
        <w:numPr>
          <w:ilvl w:val="0"/>
          <w:numId w:val="32"/>
        </w:numPr>
        <w:tabs>
          <w:tab w:val="left" w:pos="922"/>
        </w:tabs>
        <w:ind w:firstLine="440"/>
        <w:rPr>
          <w:rFonts w:ascii="Times New Roman" w:hAnsi="Times New Roman"/>
          <w:color w:val="auto"/>
          <w:szCs w:val="21"/>
          <w:highlight w:val="none"/>
        </w:rPr>
      </w:pPr>
      <w:bookmarkStart w:id="796" w:name="bookmark1363"/>
      <w:bookmarkEnd w:id="796"/>
      <w:r>
        <w:rPr>
          <w:rFonts w:hint="eastAsia" w:ascii="Times New Roman" w:hAnsi="Times New Roman"/>
          <w:color w:val="auto"/>
          <w:szCs w:val="21"/>
          <w:highlight w:val="none"/>
        </w:rPr>
        <w:t>发包人应在监理人收到进度付款申请单后的28天内，将进度应付款支付给承包人。发包人不按期支付的，按专用合同条款的约定支付逾期付款违约金。</w:t>
      </w:r>
    </w:p>
    <w:p w14:paraId="6444CD51">
      <w:pPr>
        <w:pStyle w:val="523"/>
        <w:numPr>
          <w:ilvl w:val="0"/>
          <w:numId w:val="32"/>
        </w:numPr>
        <w:tabs>
          <w:tab w:val="left" w:pos="922"/>
        </w:tabs>
        <w:ind w:firstLine="440"/>
        <w:rPr>
          <w:rFonts w:ascii="Times New Roman" w:hAnsi="Times New Roman"/>
          <w:color w:val="auto"/>
          <w:szCs w:val="21"/>
          <w:highlight w:val="none"/>
        </w:rPr>
      </w:pPr>
      <w:bookmarkStart w:id="797" w:name="bookmark1364"/>
      <w:bookmarkEnd w:id="797"/>
      <w:r>
        <w:rPr>
          <w:rFonts w:hint="eastAsia" w:ascii="Times New Roman" w:hAnsi="Times New Roman"/>
          <w:color w:val="auto"/>
          <w:szCs w:val="21"/>
          <w:highlight w:val="none"/>
        </w:rPr>
        <w:t>监理人出具进度付款证书，不应视为监理人已同意、批准或接受了承包人完成的该部分工作。</w:t>
      </w:r>
    </w:p>
    <w:p w14:paraId="3E857F1B">
      <w:pPr>
        <w:pStyle w:val="523"/>
        <w:numPr>
          <w:ilvl w:val="0"/>
          <w:numId w:val="32"/>
        </w:numPr>
        <w:tabs>
          <w:tab w:val="left" w:pos="918"/>
        </w:tabs>
        <w:ind w:firstLine="440"/>
        <w:rPr>
          <w:rFonts w:ascii="Times New Roman" w:hAnsi="Times New Roman"/>
          <w:color w:val="auto"/>
          <w:szCs w:val="21"/>
          <w:highlight w:val="none"/>
        </w:rPr>
      </w:pPr>
      <w:bookmarkStart w:id="798" w:name="bookmark1365"/>
      <w:bookmarkEnd w:id="798"/>
      <w:r>
        <w:rPr>
          <w:rFonts w:hint="eastAsia" w:ascii="Times New Roman" w:hAnsi="Times New Roman"/>
          <w:color w:val="auto"/>
          <w:szCs w:val="21"/>
          <w:highlight w:val="none"/>
        </w:rPr>
        <w:t>进度付款涉及政府投资资金的，按照国库集中支付等国家相关规定和专用合同条款的约定办理。</w:t>
      </w:r>
    </w:p>
    <w:p w14:paraId="226A111E">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17.3.4</w:t>
      </w:r>
      <w:r>
        <w:rPr>
          <w:rFonts w:hint="eastAsia" w:ascii="Times New Roman" w:hAnsi="Times New Roman"/>
          <w:color w:val="auto"/>
          <w:szCs w:val="21"/>
          <w:highlight w:val="none"/>
        </w:rPr>
        <w:t>工程进度付款的修正</w:t>
      </w:r>
    </w:p>
    <w:p w14:paraId="5A1F6B5D">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在对以往历次已签发的进度付款证书进行汇总和复核中发现错、漏或重复的，监理人有权予以修正，承包人也有权提出修正申请。经双方复核同意的修正，应在本次进度付款中支付或扣除。</w:t>
      </w:r>
    </w:p>
    <w:p w14:paraId="0266A2DC">
      <w:pPr>
        <w:spacing w:line="360" w:lineRule="auto"/>
        <w:rPr>
          <w:color w:val="auto"/>
          <w:highlight w:val="none"/>
        </w:rPr>
      </w:pPr>
      <w:bookmarkStart w:id="799" w:name="_Toc24179"/>
      <w:bookmarkStart w:id="800" w:name="bookmark1366"/>
      <w:bookmarkStart w:id="801" w:name="bookmark1367"/>
      <w:bookmarkStart w:id="802" w:name="bookmark1368"/>
      <w:r>
        <w:rPr>
          <w:color w:val="auto"/>
          <w:highlight w:val="none"/>
        </w:rPr>
        <w:t>17.4质量保证金</w:t>
      </w:r>
      <w:bookmarkEnd w:id="799"/>
      <w:bookmarkEnd w:id="800"/>
      <w:bookmarkEnd w:id="801"/>
      <w:bookmarkEnd w:id="802"/>
    </w:p>
    <w:p w14:paraId="36827DC1">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17.4.1</w:t>
      </w:r>
      <w:r>
        <w:rPr>
          <w:rFonts w:hint="eastAsia" w:ascii="Times New Roman" w:hAnsi="Times New Roman"/>
          <w:color w:val="auto"/>
          <w:szCs w:val="21"/>
          <w:highlight w:val="none"/>
        </w:rPr>
        <w:t>监理人应从第一个工程进度付款周期开始，在发包人的进度付款中，按专用合同条款约定扣留质量保证金，直至扣留的工程质量保证金总额达到专用合同条款约定的金额或比例为止。质量保证金的计算额度不包括预付款的支付与扣回金额。</w:t>
      </w:r>
    </w:p>
    <w:p w14:paraId="471F38EC">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17.4.2</w:t>
      </w:r>
      <w:r>
        <w:rPr>
          <w:rFonts w:hint="eastAsia" w:ascii="Times New Roman" w:hAnsi="Times New Roman"/>
          <w:color w:val="auto"/>
          <w:szCs w:val="21"/>
          <w:highlight w:val="none"/>
        </w:rPr>
        <w:t>竣工验收鉴定书签署后14天内，发包人将质量保证金总额的一半支付给承包人。在第</w:t>
      </w:r>
      <w:r>
        <w:rPr>
          <w:rFonts w:hint="eastAsia" w:ascii="Times New Roman" w:hAnsi="Times New Roman"/>
          <w:color w:val="auto"/>
          <w:szCs w:val="21"/>
          <w:highlight w:val="none"/>
          <w:lang w:val="en-US" w:bidi="en-US"/>
        </w:rPr>
        <w:t xml:space="preserve">1.1. 4. </w:t>
      </w:r>
      <w:r>
        <w:rPr>
          <w:rFonts w:hint="eastAsia" w:ascii="Times New Roman" w:hAnsi="Times New Roman"/>
          <w:color w:val="auto"/>
          <w:szCs w:val="21"/>
          <w:highlight w:val="none"/>
        </w:rPr>
        <w:t>5目约定的缺陷责任期(工程质量保修期)满时，发包人将在30个工作日内会同承包人按照合同约定的内容核实承包人是否完成保修责任。如无异议，发包人应当在核实后将剩余的质量保证金支付给承包人。</w:t>
      </w:r>
    </w:p>
    <w:p w14:paraId="13D77E1E">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17.4.3</w:t>
      </w:r>
      <w:r>
        <w:rPr>
          <w:rFonts w:hint="eastAsia" w:ascii="Times New Roman" w:hAnsi="Times New Roman"/>
          <w:color w:val="auto"/>
          <w:szCs w:val="21"/>
          <w:highlight w:val="none"/>
        </w:rPr>
        <w:t>在第</w:t>
      </w:r>
      <w:r>
        <w:rPr>
          <w:rFonts w:hint="eastAsia" w:ascii="Times New Roman" w:hAnsi="Times New Roman"/>
          <w:color w:val="auto"/>
          <w:szCs w:val="21"/>
          <w:highlight w:val="none"/>
          <w:lang w:val="en-US" w:bidi="en-US"/>
        </w:rPr>
        <w:t>1.1.4.</w:t>
      </w:r>
      <w:r>
        <w:rPr>
          <w:rFonts w:hint="eastAsia" w:ascii="Times New Roman" w:hAnsi="Times New Roman"/>
          <w:color w:val="auto"/>
          <w:szCs w:val="21"/>
          <w:highlight w:val="none"/>
        </w:rPr>
        <w:t>5目约定的缺陷责任期满时，承包人没有完成缺陷责任的，发包人有权扣留与未履行责任剩余工作所需金额相应的质量保证金余额，并有权根据第</w:t>
      </w:r>
      <w:r>
        <w:rPr>
          <w:rFonts w:hint="eastAsia" w:ascii="Times New Roman" w:hAnsi="Times New Roman"/>
          <w:color w:val="auto"/>
          <w:szCs w:val="21"/>
          <w:highlight w:val="none"/>
          <w:lang w:val="en-US" w:bidi="en-US"/>
        </w:rPr>
        <w:t xml:space="preserve">19. </w:t>
      </w:r>
      <w:r>
        <w:rPr>
          <w:rFonts w:hint="eastAsia" w:ascii="Times New Roman" w:hAnsi="Times New Roman"/>
          <w:color w:val="auto"/>
          <w:szCs w:val="21"/>
          <w:highlight w:val="none"/>
        </w:rPr>
        <w:t>3款约定要求延长缺陷责任期，直至完成剩余工作为止。</w:t>
      </w:r>
    </w:p>
    <w:p w14:paraId="4D0E0A35">
      <w:pPr>
        <w:spacing w:line="360" w:lineRule="auto"/>
        <w:rPr>
          <w:color w:val="auto"/>
          <w:highlight w:val="none"/>
        </w:rPr>
      </w:pPr>
      <w:bookmarkStart w:id="803" w:name="bookmark1370"/>
      <w:bookmarkStart w:id="804" w:name="_Toc27561"/>
      <w:bookmarkStart w:id="805" w:name="bookmark1369"/>
      <w:bookmarkStart w:id="806" w:name="bookmark1371"/>
      <w:r>
        <w:rPr>
          <w:color w:val="auto"/>
          <w:highlight w:val="none"/>
        </w:rPr>
        <w:t>17.5竣工结算(完工结算)</w:t>
      </w:r>
      <w:bookmarkEnd w:id="803"/>
      <w:bookmarkEnd w:id="804"/>
      <w:bookmarkEnd w:id="805"/>
      <w:bookmarkEnd w:id="806"/>
    </w:p>
    <w:p w14:paraId="2EAA6DC5">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17.5.1</w:t>
      </w:r>
      <w:r>
        <w:rPr>
          <w:rFonts w:hint="eastAsia" w:ascii="Times New Roman" w:hAnsi="Times New Roman"/>
          <w:color w:val="auto"/>
          <w:szCs w:val="21"/>
          <w:highlight w:val="none"/>
        </w:rPr>
        <w:t>竣工(完工)付款申请单</w:t>
      </w:r>
    </w:p>
    <w:p w14:paraId="5B41E23A">
      <w:pPr>
        <w:pStyle w:val="523"/>
        <w:numPr>
          <w:ilvl w:val="0"/>
          <w:numId w:val="33"/>
        </w:numPr>
        <w:tabs>
          <w:tab w:val="left" w:pos="918"/>
        </w:tabs>
        <w:ind w:firstLine="440"/>
        <w:rPr>
          <w:rFonts w:ascii="Times New Roman" w:hAnsi="Times New Roman"/>
          <w:color w:val="auto"/>
          <w:szCs w:val="21"/>
          <w:highlight w:val="none"/>
        </w:rPr>
      </w:pPr>
      <w:bookmarkStart w:id="807" w:name="bookmark1372"/>
      <w:bookmarkEnd w:id="807"/>
      <w:r>
        <w:rPr>
          <w:rFonts w:hint="eastAsia" w:ascii="Times New Roman" w:hAnsi="Times New Roman"/>
          <w:color w:val="auto"/>
          <w:szCs w:val="21"/>
          <w:highlight w:val="none"/>
        </w:rPr>
        <w:t>承包人应在合同工程完工证书颁发后28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14:paraId="0990A5BD">
      <w:pPr>
        <w:pStyle w:val="523"/>
        <w:numPr>
          <w:ilvl w:val="0"/>
          <w:numId w:val="33"/>
        </w:numPr>
        <w:tabs>
          <w:tab w:val="left" w:pos="916"/>
        </w:tabs>
        <w:ind w:firstLine="440"/>
        <w:rPr>
          <w:rFonts w:ascii="Times New Roman" w:hAnsi="Times New Roman"/>
          <w:color w:val="auto"/>
          <w:szCs w:val="21"/>
          <w:highlight w:val="none"/>
        </w:rPr>
      </w:pPr>
      <w:bookmarkStart w:id="808" w:name="bookmark1373"/>
      <w:bookmarkEnd w:id="808"/>
      <w:r>
        <w:rPr>
          <w:rFonts w:hint="eastAsia" w:ascii="Times New Roman" w:hAnsi="Times New Roman"/>
          <w:color w:val="auto"/>
          <w:szCs w:val="21"/>
          <w:highlight w:val="none"/>
        </w:rPr>
        <w:t>监理人对完工付款申请单有异议的，有权要求承包人进行修正和提供补充资料。经监理人和承包人协商后，由承包人向监理人提交修正后的完工付款申请单。</w:t>
      </w:r>
    </w:p>
    <w:p w14:paraId="0D32EEE6">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17.5.2</w:t>
      </w:r>
      <w:r>
        <w:rPr>
          <w:rFonts w:hint="eastAsia" w:ascii="Times New Roman" w:hAnsi="Times New Roman"/>
          <w:color w:val="auto"/>
          <w:szCs w:val="21"/>
          <w:highlight w:val="none"/>
        </w:rPr>
        <w:t>竣工(完工)付款证书及支付时间</w:t>
      </w:r>
    </w:p>
    <w:p w14:paraId="7603999C">
      <w:pPr>
        <w:pStyle w:val="523"/>
        <w:numPr>
          <w:ilvl w:val="0"/>
          <w:numId w:val="34"/>
        </w:numPr>
        <w:tabs>
          <w:tab w:val="left" w:pos="918"/>
        </w:tabs>
        <w:ind w:firstLine="440"/>
        <w:rPr>
          <w:rFonts w:ascii="Times New Roman" w:hAnsi="Times New Roman"/>
          <w:color w:val="auto"/>
          <w:szCs w:val="21"/>
          <w:highlight w:val="none"/>
        </w:rPr>
      </w:pPr>
      <w:bookmarkStart w:id="809" w:name="bookmark1374"/>
      <w:bookmarkEnd w:id="809"/>
      <w:r>
        <w:rPr>
          <w:rFonts w:hint="eastAsia" w:ascii="Times New Roman" w:hAnsi="Times New Roman"/>
          <w:color w:val="auto"/>
          <w:szCs w:val="21"/>
          <w:highlight w:val="none"/>
        </w:rPr>
        <w:t>监理人在收到承包人提交的完工付款申请单后的14天内完成核查，提出发包人到期应支付给承包人的价款送发包人审核并抄送承包人。发包人应在收到后14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14:paraId="0328EE63">
      <w:pPr>
        <w:pStyle w:val="523"/>
        <w:numPr>
          <w:ilvl w:val="0"/>
          <w:numId w:val="34"/>
        </w:numPr>
        <w:tabs>
          <w:tab w:val="left" w:pos="918"/>
        </w:tabs>
        <w:ind w:firstLine="440"/>
        <w:rPr>
          <w:rFonts w:ascii="Times New Roman" w:hAnsi="Times New Roman"/>
          <w:color w:val="auto"/>
          <w:szCs w:val="21"/>
          <w:highlight w:val="none"/>
        </w:rPr>
      </w:pPr>
      <w:bookmarkStart w:id="810" w:name="bookmark1375"/>
      <w:bookmarkEnd w:id="810"/>
      <w:r>
        <w:rPr>
          <w:rFonts w:hint="eastAsia" w:ascii="Times New Roman" w:hAnsi="Times New Roman"/>
          <w:color w:val="auto"/>
          <w:szCs w:val="21"/>
          <w:highlight w:val="none"/>
        </w:rPr>
        <w:t>发包人应在监理人出具完工付款证书后的14天内，将应支付款支付给承包人。发包人不按期支付的，按第</w:t>
      </w:r>
      <w:r>
        <w:rPr>
          <w:rFonts w:hint="eastAsia" w:ascii="Times New Roman" w:hAnsi="Times New Roman"/>
          <w:color w:val="auto"/>
          <w:szCs w:val="21"/>
          <w:highlight w:val="none"/>
          <w:lang w:val="en-US" w:bidi="en-US"/>
        </w:rPr>
        <w:t xml:space="preserve">17.3.3 </w:t>
      </w:r>
      <w:r>
        <w:rPr>
          <w:rFonts w:hint="eastAsia" w:ascii="Times New Roman" w:hAnsi="Times New Roman"/>
          <w:color w:val="auto"/>
          <w:szCs w:val="21"/>
          <w:highlight w:val="none"/>
        </w:rPr>
        <w:t>(2)目的约定，将逾期付款违约金支付给承包人。</w:t>
      </w:r>
    </w:p>
    <w:p w14:paraId="544DF10E">
      <w:pPr>
        <w:pStyle w:val="523"/>
        <w:numPr>
          <w:ilvl w:val="0"/>
          <w:numId w:val="34"/>
        </w:numPr>
        <w:tabs>
          <w:tab w:val="left" w:pos="914"/>
        </w:tabs>
        <w:ind w:firstLine="440"/>
        <w:rPr>
          <w:rFonts w:ascii="Times New Roman" w:hAnsi="Times New Roman"/>
          <w:color w:val="auto"/>
          <w:szCs w:val="21"/>
          <w:highlight w:val="none"/>
        </w:rPr>
      </w:pPr>
      <w:bookmarkStart w:id="811" w:name="bookmark1376"/>
      <w:bookmarkEnd w:id="811"/>
      <w:r>
        <w:rPr>
          <w:rFonts w:hint="eastAsia" w:ascii="Times New Roman" w:hAnsi="Times New Roman"/>
          <w:color w:val="auto"/>
          <w:szCs w:val="21"/>
          <w:highlight w:val="none"/>
        </w:rPr>
        <w:t>承包人对发包人签认的完工付款证书有异议的，发包人可出具完工付款申请单中承包人已同意部分的临时付款证书。存在争议的部分，按第24条的约定办理。</w:t>
      </w:r>
    </w:p>
    <w:p w14:paraId="4D257C8E">
      <w:pPr>
        <w:pStyle w:val="523"/>
        <w:numPr>
          <w:ilvl w:val="0"/>
          <w:numId w:val="34"/>
        </w:numPr>
        <w:tabs>
          <w:tab w:val="left" w:pos="922"/>
        </w:tabs>
        <w:ind w:firstLine="440"/>
        <w:rPr>
          <w:rFonts w:ascii="Times New Roman" w:hAnsi="Times New Roman"/>
          <w:color w:val="auto"/>
          <w:szCs w:val="21"/>
          <w:highlight w:val="none"/>
        </w:rPr>
      </w:pPr>
      <w:bookmarkStart w:id="812" w:name="bookmark1377"/>
      <w:bookmarkEnd w:id="812"/>
      <w:r>
        <w:rPr>
          <w:rFonts w:hint="eastAsia" w:ascii="Times New Roman" w:hAnsi="Times New Roman"/>
          <w:color w:val="auto"/>
          <w:szCs w:val="21"/>
          <w:highlight w:val="none"/>
        </w:rPr>
        <w:t>完工付款涉及政府投资资金的，按第</w:t>
      </w:r>
      <w:r>
        <w:rPr>
          <w:rFonts w:hint="eastAsia" w:ascii="Times New Roman" w:hAnsi="Times New Roman"/>
          <w:color w:val="auto"/>
          <w:szCs w:val="21"/>
          <w:highlight w:val="none"/>
          <w:lang w:val="en-US" w:bidi="en-US"/>
        </w:rPr>
        <w:t xml:space="preserve">17.3.3 </w:t>
      </w:r>
      <w:r>
        <w:rPr>
          <w:rFonts w:hint="eastAsia" w:ascii="Times New Roman" w:hAnsi="Times New Roman"/>
          <w:color w:val="auto"/>
          <w:szCs w:val="21"/>
          <w:highlight w:val="none"/>
        </w:rPr>
        <w:t>(4)目的约定办理。</w:t>
      </w:r>
    </w:p>
    <w:p w14:paraId="32283598">
      <w:pPr>
        <w:spacing w:line="360" w:lineRule="auto"/>
        <w:rPr>
          <w:color w:val="auto"/>
          <w:highlight w:val="none"/>
        </w:rPr>
      </w:pPr>
      <w:bookmarkStart w:id="813" w:name="bookmark1379"/>
      <w:bookmarkStart w:id="814" w:name="bookmark1378"/>
      <w:bookmarkStart w:id="815" w:name="bookmark1380"/>
      <w:bookmarkStart w:id="816" w:name="_Toc20149"/>
      <w:r>
        <w:rPr>
          <w:color w:val="auto"/>
          <w:highlight w:val="none"/>
        </w:rPr>
        <w:t>17.6最终结清</w:t>
      </w:r>
      <w:bookmarkEnd w:id="813"/>
      <w:bookmarkEnd w:id="814"/>
      <w:bookmarkEnd w:id="815"/>
      <w:bookmarkEnd w:id="816"/>
    </w:p>
    <w:p w14:paraId="4B9CD22C">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17.6.1</w:t>
      </w:r>
      <w:r>
        <w:rPr>
          <w:rFonts w:hint="eastAsia" w:ascii="Times New Roman" w:hAnsi="Times New Roman"/>
          <w:color w:val="auto"/>
          <w:szCs w:val="21"/>
          <w:highlight w:val="none"/>
        </w:rPr>
        <w:t>最终结清申请单</w:t>
      </w:r>
    </w:p>
    <w:p w14:paraId="5A37C689">
      <w:pPr>
        <w:pStyle w:val="523"/>
        <w:numPr>
          <w:ilvl w:val="0"/>
          <w:numId w:val="35"/>
        </w:numPr>
        <w:tabs>
          <w:tab w:val="left" w:pos="894"/>
        </w:tabs>
        <w:ind w:firstLine="440"/>
        <w:rPr>
          <w:rFonts w:ascii="Times New Roman" w:hAnsi="Times New Roman"/>
          <w:color w:val="auto"/>
          <w:szCs w:val="21"/>
          <w:highlight w:val="none"/>
        </w:rPr>
      </w:pPr>
      <w:bookmarkStart w:id="817" w:name="bookmark1381"/>
      <w:bookmarkEnd w:id="817"/>
      <w:r>
        <w:rPr>
          <w:rFonts w:hint="eastAsia" w:ascii="Times New Roman" w:hAnsi="Times New Roman"/>
          <w:color w:val="auto"/>
          <w:szCs w:val="21"/>
          <w:highlight w:val="none"/>
        </w:rPr>
        <w:t>工程质量保修责任终止证书签发后，承包人应按监理人批准的格式提交最终结清申请单。提交最终结清申请单的份数在专用合同条款中约定。</w:t>
      </w:r>
    </w:p>
    <w:p w14:paraId="28C86CD5">
      <w:pPr>
        <w:pStyle w:val="523"/>
        <w:numPr>
          <w:ilvl w:val="0"/>
          <w:numId w:val="35"/>
        </w:numPr>
        <w:tabs>
          <w:tab w:val="left" w:pos="918"/>
        </w:tabs>
        <w:ind w:firstLine="440"/>
        <w:rPr>
          <w:rFonts w:ascii="Times New Roman" w:hAnsi="Times New Roman"/>
          <w:color w:val="auto"/>
          <w:szCs w:val="21"/>
          <w:highlight w:val="none"/>
        </w:rPr>
      </w:pPr>
      <w:bookmarkStart w:id="818" w:name="bookmark1382"/>
      <w:bookmarkEnd w:id="818"/>
      <w:r>
        <w:rPr>
          <w:rFonts w:hint="eastAsia" w:ascii="Times New Roman" w:hAnsi="Times New Roman"/>
          <w:color w:val="auto"/>
          <w:szCs w:val="21"/>
          <w:highlight w:val="none"/>
        </w:rPr>
        <w:t>发包人对最终结清申请单内容有异议的，有权要求承包人进行修正和提供补充资料，由承包人向监理人提交修正后的最终结清申请单。</w:t>
      </w:r>
    </w:p>
    <w:p w14:paraId="2C03F2E8">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17.6.2</w:t>
      </w:r>
      <w:r>
        <w:rPr>
          <w:rFonts w:hint="eastAsia" w:ascii="Times New Roman" w:hAnsi="Times New Roman"/>
          <w:color w:val="auto"/>
          <w:szCs w:val="21"/>
          <w:highlight w:val="none"/>
        </w:rPr>
        <w:t>最终结清证书和支付时间</w:t>
      </w:r>
    </w:p>
    <w:p w14:paraId="2E8A8BB8">
      <w:pPr>
        <w:pStyle w:val="523"/>
        <w:numPr>
          <w:ilvl w:val="0"/>
          <w:numId w:val="36"/>
        </w:numPr>
        <w:tabs>
          <w:tab w:val="left" w:pos="918"/>
        </w:tabs>
        <w:ind w:firstLine="440"/>
        <w:rPr>
          <w:rFonts w:ascii="Times New Roman" w:hAnsi="Times New Roman"/>
          <w:color w:val="auto"/>
          <w:szCs w:val="21"/>
          <w:highlight w:val="none"/>
        </w:rPr>
      </w:pPr>
      <w:bookmarkStart w:id="819" w:name="bookmark1383"/>
      <w:bookmarkEnd w:id="819"/>
      <w:r>
        <w:rPr>
          <w:rFonts w:hint="eastAsia" w:ascii="Times New Roman" w:hAnsi="Times New Roman"/>
          <w:color w:val="auto"/>
          <w:szCs w:val="21"/>
          <w:highlight w:val="none"/>
        </w:rPr>
        <w:t>监理人收到承包人提交的最终结清申请单后的14天内，提出发包人应支付给承包人的价款送发包人审核并抄送承包人。发包人应在收到后14天内审核完毕，由监理人向承包人出具经发包人签认的最终结清证书。监理人未在约定时间内核查，又未提出具体意见的，视为承包人提交的最终结清申请已经监理人核查同意；发包人未在约定时间内审核又未提出具体意见的，监理人提出应支付给承包人的价款视为已经发包人同意。</w:t>
      </w:r>
    </w:p>
    <w:p w14:paraId="141ED8BB">
      <w:pPr>
        <w:pStyle w:val="523"/>
        <w:numPr>
          <w:ilvl w:val="0"/>
          <w:numId w:val="36"/>
        </w:numPr>
        <w:tabs>
          <w:tab w:val="left" w:pos="918"/>
        </w:tabs>
        <w:ind w:firstLine="440"/>
        <w:rPr>
          <w:rFonts w:ascii="Times New Roman" w:hAnsi="Times New Roman"/>
          <w:color w:val="auto"/>
          <w:szCs w:val="21"/>
          <w:highlight w:val="none"/>
        </w:rPr>
      </w:pPr>
      <w:bookmarkStart w:id="820" w:name="bookmark1384"/>
      <w:bookmarkEnd w:id="820"/>
      <w:r>
        <w:rPr>
          <w:rFonts w:hint="eastAsia" w:ascii="Times New Roman" w:hAnsi="Times New Roman"/>
          <w:color w:val="auto"/>
          <w:szCs w:val="21"/>
          <w:highlight w:val="none"/>
        </w:rPr>
        <w:t>发包人应在监理人出具最终结清证书后的14天内，将应支付款支付给承包人。发包人不按期支付的，按第</w:t>
      </w:r>
      <w:r>
        <w:rPr>
          <w:rFonts w:hint="eastAsia" w:ascii="Times New Roman" w:hAnsi="Times New Roman"/>
          <w:color w:val="auto"/>
          <w:szCs w:val="21"/>
          <w:highlight w:val="none"/>
          <w:lang w:val="en-US" w:bidi="en-US"/>
        </w:rPr>
        <w:t xml:space="preserve">17.3.3 </w:t>
      </w:r>
      <w:r>
        <w:rPr>
          <w:rFonts w:hint="eastAsia" w:ascii="Times New Roman" w:hAnsi="Times New Roman"/>
          <w:color w:val="auto"/>
          <w:szCs w:val="21"/>
          <w:highlight w:val="none"/>
        </w:rPr>
        <w:t>(2)目的约定，将逾期付款违约金支付给承包人。</w:t>
      </w:r>
    </w:p>
    <w:p w14:paraId="7E6D2AF6">
      <w:pPr>
        <w:pStyle w:val="523"/>
        <w:numPr>
          <w:ilvl w:val="0"/>
          <w:numId w:val="36"/>
        </w:numPr>
        <w:tabs>
          <w:tab w:val="left" w:pos="922"/>
        </w:tabs>
        <w:ind w:firstLine="440"/>
        <w:rPr>
          <w:rFonts w:ascii="Times New Roman" w:hAnsi="Times New Roman"/>
          <w:color w:val="auto"/>
          <w:szCs w:val="21"/>
          <w:highlight w:val="none"/>
        </w:rPr>
      </w:pPr>
      <w:bookmarkStart w:id="821" w:name="bookmark1385"/>
      <w:bookmarkEnd w:id="821"/>
      <w:r>
        <w:rPr>
          <w:rFonts w:hint="eastAsia" w:ascii="Times New Roman" w:hAnsi="Times New Roman"/>
          <w:color w:val="auto"/>
          <w:szCs w:val="21"/>
          <w:highlight w:val="none"/>
        </w:rPr>
        <w:t>承包人对发包人签认的最终结清证书有异议的，按第24条的约定办理。</w:t>
      </w:r>
    </w:p>
    <w:p w14:paraId="3D1625F0">
      <w:pPr>
        <w:pStyle w:val="523"/>
        <w:numPr>
          <w:ilvl w:val="0"/>
          <w:numId w:val="36"/>
        </w:numPr>
        <w:tabs>
          <w:tab w:val="left" w:pos="922"/>
        </w:tabs>
        <w:ind w:firstLine="440"/>
        <w:rPr>
          <w:rFonts w:ascii="Times New Roman" w:hAnsi="Times New Roman"/>
          <w:color w:val="auto"/>
          <w:szCs w:val="21"/>
          <w:highlight w:val="none"/>
        </w:rPr>
      </w:pPr>
      <w:bookmarkStart w:id="822" w:name="bookmark1386"/>
      <w:bookmarkEnd w:id="822"/>
      <w:r>
        <w:rPr>
          <w:rFonts w:hint="eastAsia" w:ascii="Times New Roman" w:hAnsi="Times New Roman"/>
          <w:color w:val="auto"/>
          <w:szCs w:val="21"/>
          <w:highlight w:val="none"/>
        </w:rPr>
        <w:t>最终结清付款涉及政府投资资金的，按第</w:t>
      </w:r>
      <w:r>
        <w:rPr>
          <w:rFonts w:hint="eastAsia" w:ascii="Times New Roman" w:hAnsi="Times New Roman"/>
          <w:color w:val="auto"/>
          <w:szCs w:val="21"/>
          <w:highlight w:val="none"/>
          <w:lang w:val="en-US" w:bidi="en-US"/>
        </w:rPr>
        <w:t xml:space="preserve">17.3.3 </w:t>
      </w:r>
      <w:r>
        <w:rPr>
          <w:rFonts w:hint="eastAsia" w:ascii="Times New Roman" w:hAnsi="Times New Roman"/>
          <w:color w:val="auto"/>
          <w:szCs w:val="21"/>
          <w:highlight w:val="none"/>
        </w:rPr>
        <w:t>(4)目的约定办理。</w:t>
      </w:r>
    </w:p>
    <w:p w14:paraId="15BA4AB9">
      <w:pPr>
        <w:spacing w:line="360" w:lineRule="auto"/>
        <w:rPr>
          <w:color w:val="auto"/>
          <w:highlight w:val="none"/>
        </w:rPr>
      </w:pPr>
      <w:bookmarkStart w:id="823" w:name="_Toc4347"/>
      <w:bookmarkStart w:id="824" w:name="bookmark1388"/>
      <w:bookmarkStart w:id="825" w:name="bookmark1389"/>
      <w:bookmarkStart w:id="826" w:name="bookmark1387"/>
      <w:r>
        <w:rPr>
          <w:color w:val="auto"/>
          <w:highlight w:val="none"/>
        </w:rPr>
        <w:t>17.7竣工财务决算</w:t>
      </w:r>
      <w:bookmarkEnd w:id="823"/>
      <w:bookmarkEnd w:id="824"/>
      <w:bookmarkEnd w:id="825"/>
      <w:bookmarkEnd w:id="826"/>
    </w:p>
    <w:p w14:paraId="26D14937">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rPr>
        <w:t>发包人负责编制本工程项目竣工财务决算，承包人应按专用合同条款的约定提供竣工财务决算编制所需的相关材料。</w:t>
      </w:r>
    </w:p>
    <w:p w14:paraId="45F28AB0">
      <w:pPr>
        <w:spacing w:line="360" w:lineRule="auto"/>
        <w:rPr>
          <w:color w:val="auto"/>
          <w:highlight w:val="none"/>
        </w:rPr>
      </w:pPr>
      <w:bookmarkStart w:id="827" w:name="bookmark1390"/>
      <w:bookmarkStart w:id="828" w:name="bookmark1391"/>
      <w:bookmarkStart w:id="829" w:name="_Toc9623"/>
      <w:bookmarkStart w:id="830" w:name="bookmark1392"/>
      <w:r>
        <w:rPr>
          <w:color w:val="auto"/>
          <w:highlight w:val="none"/>
        </w:rPr>
        <w:t>17.8竣工审计</w:t>
      </w:r>
      <w:bookmarkEnd w:id="827"/>
      <w:bookmarkEnd w:id="828"/>
      <w:bookmarkEnd w:id="829"/>
      <w:bookmarkEnd w:id="830"/>
    </w:p>
    <w:p w14:paraId="04BF5543">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rPr>
        <w:t>发包人负责完成本工程竣工审计手续，承包人应完成相关配合工作。</w:t>
      </w:r>
    </w:p>
    <w:p w14:paraId="3B369E37">
      <w:pPr>
        <w:pStyle w:val="5"/>
        <w:spacing w:line="360" w:lineRule="auto"/>
        <w:rPr>
          <w:color w:val="auto"/>
          <w:highlight w:val="none"/>
        </w:rPr>
      </w:pPr>
      <w:bookmarkStart w:id="831" w:name="_Toc7803"/>
      <w:bookmarkStart w:id="832" w:name="_Toc15468"/>
      <w:bookmarkStart w:id="833" w:name="_Toc147350623"/>
      <w:bookmarkStart w:id="834" w:name="bookmark1395"/>
      <w:bookmarkStart w:id="835" w:name="bookmark1394"/>
      <w:bookmarkStart w:id="836" w:name="bookmark1393"/>
      <w:bookmarkStart w:id="837" w:name="_Toc245565770"/>
      <w:r>
        <w:rPr>
          <w:rFonts w:hint="eastAsia"/>
          <w:color w:val="auto"/>
          <w:highlight w:val="none"/>
        </w:rPr>
        <w:t>18.竣工验收（验收）</w:t>
      </w:r>
      <w:bookmarkEnd w:id="831"/>
      <w:bookmarkEnd w:id="832"/>
      <w:bookmarkEnd w:id="833"/>
      <w:bookmarkEnd w:id="834"/>
      <w:bookmarkEnd w:id="835"/>
      <w:bookmarkEnd w:id="836"/>
      <w:bookmarkEnd w:id="837"/>
    </w:p>
    <w:p w14:paraId="39608AA2">
      <w:pPr>
        <w:spacing w:line="360" w:lineRule="auto"/>
        <w:rPr>
          <w:color w:val="auto"/>
          <w:highlight w:val="none"/>
        </w:rPr>
      </w:pPr>
      <w:bookmarkStart w:id="838" w:name="bookmark1398"/>
      <w:bookmarkStart w:id="839" w:name="bookmark1396"/>
      <w:bookmarkStart w:id="840" w:name="bookmark1397"/>
      <w:bookmarkStart w:id="841" w:name="_Toc1314"/>
      <w:r>
        <w:rPr>
          <w:color w:val="auto"/>
          <w:highlight w:val="none"/>
        </w:rPr>
        <w:t>18.1验收工作分类</w:t>
      </w:r>
      <w:bookmarkEnd w:id="838"/>
      <w:bookmarkEnd w:id="839"/>
      <w:bookmarkEnd w:id="840"/>
      <w:bookmarkEnd w:id="841"/>
    </w:p>
    <w:p w14:paraId="47B33CD9">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本工程验收工作按主持单位分为法人验收和政府验收。法人验收和政府验收的类别在专用合同条款中约定。除专用合同条款另有约定外，法人验收由发包人主持。承包人应完成法人验收和政府验收的配合工作，所需费用应含在已标价工程量清单中。</w:t>
      </w:r>
    </w:p>
    <w:p w14:paraId="42321C0F">
      <w:pPr>
        <w:spacing w:line="360" w:lineRule="auto"/>
        <w:rPr>
          <w:color w:val="auto"/>
          <w:highlight w:val="none"/>
        </w:rPr>
      </w:pPr>
      <w:bookmarkStart w:id="842" w:name="bookmark1400"/>
      <w:bookmarkStart w:id="843" w:name="_Toc8655"/>
      <w:bookmarkStart w:id="844" w:name="bookmark1401"/>
      <w:bookmarkStart w:id="845" w:name="bookmark1399"/>
      <w:r>
        <w:rPr>
          <w:color w:val="auto"/>
          <w:highlight w:val="none"/>
        </w:rPr>
        <w:t>18.2分部工程验收</w:t>
      </w:r>
      <w:bookmarkEnd w:id="842"/>
      <w:bookmarkEnd w:id="843"/>
      <w:bookmarkEnd w:id="844"/>
      <w:bookmarkEnd w:id="845"/>
    </w:p>
    <w:p w14:paraId="176B5361">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18.2.1</w:t>
      </w:r>
      <w:r>
        <w:rPr>
          <w:rFonts w:hint="eastAsia" w:ascii="Times New Roman" w:hAnsi="Times New Roman"/>
          <w:color w:val="auto"/>
          <w:szCs w:val="21"/>
          <w:highlight w:val="none"/>
        </w:rPr>
        <w:t>分部工程具备验收条件时，承包人应向发包人提交验收申请报告，发包人应在收到验收申请报告之日起10个工作日内决定是否同意进行验收。</w:t>
      </w:r>
    </w:p>
    <w:p w14:paraId="0B6A613F">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18.2.2</w:t>
      </w:r>
      <w:r>
        <w:rPr>
          <w:rFonts w:hint="eastAsia" w:ascii="Times New Roman" w:hAnsi="Times New Roman"/>
          <w:color w:val="auto"/>
          <w:szCs w:val="21"/>
          <w:highlight w:val="none"/>
        </w:rPr>
        <w:t>除专用合同条款另有约定外，监理人主持分部工程验收，承包人应派符合条件的代表参加验收工作组。</w:t>
      </w:r>
    </w:p>
    <w:p w14:paraId="0B21596C">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18.2.3</w:t>
      </w:r>
      <w:r>
        <w:rPr>
          <w:rFonts w:hint="eastAsia" w:ascii="Times New Roman" w:hAnsi="Times New Roman"/>
          <w:color w:val="auto"/>
          <w:szCs w:val="21"/>
          <w:highlight w:val="none"/>
        </w:rPr>
        <w:t>分部工程验收通过后，发包人向承包人发送分部工程验收鉴定书。承包人应及时完成分部工程验收鉴定书载明应由承包人处理的遗留问题。</w:t>
      </w:r>
    </w:p>
    <w:p w14:paraId="19704C2B">
      <w:pPr>
        <w:spacing w:line="360" w:lineRule="auto"/>
        <w:rPr>
          <w:color w:val="auto"/>
          <w:highlight w:val="none"/>
        </w:rPr>
      </w:pPr>
      <w:bookmarkStart w:id="846" w:name="bookmark1403"/>
      <w:bookmarkStart w:id="847" w:name="bookmark1402"/>
      <w:bookmarkStart w:id="848" w:name="bookmark1404"/>
      <w:bookmarkStart w:id="849" w:name="_Toc19460"/>
      <w:r>
        <w:rPr>
          <w:color w:val="auto"/>
          <w:highlight w:val="none"/>
        </w:rPr>
        <w:t>18.3单位工程验收</w:t>
      </w:r>
      <w:bookmarkEnd w:id="846"/>
      <w:bookmarkEnd w:id="847"/>
      <w:bookmarkEnd w:id="848"/>
      <w:bookmarkEnd w:id="849"/>
    </w:p>
    <w:p w14:paraId="0426CF7D">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18.3.1</w:t>
      </w:r>
      <w:r>
        <w:rPr>
          <w:rFonts w:hint="eastAsia" w:ascii="Times New Roman" w:hAnsi="Times New Roman"/>
          <w:color w:val="auto"/>
          <w:szCs w:val="21"/>
          <w:highlight w:val="none"/>
        </w:rPr>
        <w:t>单位工程具备验收条件时，承包人应向发包人提交验收申请报告，发包人应在收到验收申请报告之日起10个工作日内决定是否同意进行验收。</w:t>
      </w:r>
    </w:p>
    <w:p w14:paraId="5FF294EC">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18.3.2</w:t>
      </w:r>
      <w:r>
        <w:rPr>
          <w:rFonts w:hint="eastAsia" w:ascii="Times New Roman" w:hAnsi="Times New Roman"/>
          <w:color w:val="auto"/>
          <w:szCs w:val="21"/>
          <w:highlight w:val="none"/>
        </w:rPr>
        <w:t>发包人主持单位工程验收，承包人应派符合条件的代表参加验收工作组。</w:t>
      </w:r>
    </w:p>
    <w:p w14:paraId="78480982">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18.3.3</w:t>
      </w:r>
      <w:r>
        <w:rPr>
          <w:rFonts w:hint="eastAsia" w:ascii="Times New Roman" w:hAnsi="Times New Roman"/>
          <w:color w:val="auto"/>
          <w:szCs w:val="21"/>
          <w:highlight w:val="none"/>
        </w:rPr>
        <w:t>单位工程验收通过后，发包人向承包人发送单位工程验收鉴定书。承包人应及时完成单位工程验收鉴定书载明应由承包人处理的遗留问题。</w:t>
      </w:r>
    </w:p>
    <w:p w14:paraId="7EA1B004">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lang w:val="en-US" w:bidi="en-US"/>
        </w:rPr>
        <w:t>18.3.4</w:t>
      </w:r>
      <w:r>
        <w:rPr>
          <w:rFonts w:hint="eastAsia" w:ascii="Times New Roman" w:hAnsi="Times New Roman"/>
          <w:color w:val="auto"/>
          <w:szCs w:val="21"/>
          <w:highlight w:val="none"/>
        </w:rPr>
        <w:t>需提前投入使用的单位工程在专用合同条款中明确。</w:t>
      </w:r>
    </w:p>
    <w:p w14:paraId="1BEA89F5">
      <w:pPr>
        <w:spacing w:line="360" w:lineRule="auto"/>
        <w:rPr>
          <w:color w:val="auto"/>
          <w:highlight w:val="none"/>
        </w:rPr>
      </w:pPr>
      <w:bookmarkStart w:id="850" w:name="bookmark1405"/>
      <w:bookmarkStart w:id="851" w:name="bookmark1407"/>
      <w:bookmarkStart w:id="852" w:name="_Toc24227"/>
      <w:bookmarkStart w:id="853" w:name="bookmark1406"/>
      <w:r>
        <w:rPr>
          <w:color w:val="auto"/>
          <w:highlight w:val="none"/>
        </w:rPr>
        <w:t>18.4合同工程完工验收</w:t>
      </w:r>
      <w:bookmarkEnd w:id="850"/>
      <w:bookmarkEnd w:id="851"/>
      <w:bookmarkEnd w:id="852"/>
      <w:bookmarkEnd w:id="853"/>
    </w:p>
    <w:p w14:paraId="0FBB4344">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18.4.1</w:t>
      </w:r>
      <w:r>
        <w:rPr>
          <w:rFonts w:hint="eastAsia" w:ascii="Times New Roman" w:hAnsi="Times New Roman"/>
          <w:color w:val="auto"/>
          <w:szCs w:val="21"/>
          <w:highlight w:val="none"/>
        </w:rPr>
        <w:t>合同工程具备验收条件时，承包人应向发包人提交验收申请报告，发包人应在收到验收申请报告之日起20个工作日内决定是否同意进行验收。</w:t>
      </w:r>
    </w:p>
    <w:p w14:paraId="1E103137">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lang w:val="en-US" w:bidi="en-US"/>
        </w:rPr>
        <w:t>18.4.2</w:t>
      </w:r>
      <w:r>
        <w:rPr>
          <w:rFonts w:hint="eastAsia" w:ascii="Times New Roman" w:hAnsi="Times New Roman"/>
          <w:color w:val="auto"/>
          <w:szCs w:val="21"/>
          <w:highlight w:val="none"/>
        </w:rPr>
        <w:t>发包人主持合同工程完工验收，承包人应派项目经理参加验收工作组。</w:t>
      </w:r>
    </w:p>
    <w:p w14:paraId="6E3CD695">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18.4.3</w:t>
      </w:r>
      <w:r>
        <w:rPr>
          <w:rFonts w:hint="eastAsia" w:ascii="Times New Roman" w:hAnsi="Times New Roman"/>
          <w:color w:val="auto"/>
          <w:szCs w:val="21"/>
          <w:highlight w:val="none"/>
        </w:rPr>
        <w:t>合同工程完工验收通过后，发包人向承包人发送合同工程完工验收鉴定书。承包人应及时完成合同工程完工验收鉴定书载明应由承包人处理的遗留问题。</w:t>
      </w:r>
    </w:p>
    <w:p w14:paraId="2F00F689">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18.4.4</w:t>
      </w:r>
      <w:r>
        <w:rPr>
          <w:rFonts w:hint="eastAsia" w:ascii="Times New Roman" w:hAnsi="Times New Roman"/>
          <w:color w:val="auto"/>
          <w:szCs w:val="21"/>
          <w:highlight w:val="none"/>
        </w:rPr>
        <w:t>合同工程完工验收通过后，发包人与承包人应在30个工作日内组织专人负责工程交接，双方交接负责人应在交接记录上签字。承包人应按验收鉴定书约定的时间及时移交工程及其档案资料。工程移交时，承包人应向发包人递交工程质量保修书。在承包人递交了工程质量保修书、完成施工场地清理以及提交有关资料后，发包人应30个工作日内 向承包人颁发合同工程完工证书。</w:t>
      </w:r>
    </w:p>
    <w:p w14:paraId="52FEA888">
      <w:pPr>
        <w:spacing w:line="360" w:lineRule="auto"/>
        <w:rPr>
          <w:color w:val="auto"/>
          <w:highlight w:val="none"/>
        </w:rPr>
      </w:pPr>
      <w:bookmarkStart w:id="854" w:name="bookmark1408"/>
      <w:bookmarkStart w:id="855" w:name="_Toc32064"/>
      <w:bookmarkStart w:id="856" w:name="bookmark1409"/>
      <w:bookmarkStart w:id="857" w:name="bookmark1410"/>
      <w:r>
        <w:rPr>
          <w:color w:val="auto"/>
          <w:highlight w:val="none"/>
        </w:rPr>
        <w:t>18.5阶段验收</w:t>
      </w:r>
      <w:bookmarkEnd w:id="854"/>
      <w:bookmarkEnd w:id="855"/>
      <w:bookmarkEnd w:id="856"/>
      <w:bookmarkEnd w:id="857"/>
    </w:p>
    <w:p w14:paraId="0E943D2E">
      <w:pPr>
        <w:pStyle w:val="523"/>
        <w:ind w:firstLine="447" w:firstLineChars="213"/>
        <w:rPr>
          <w:rFonts w:ascii="Times New Roman" w:hAnsi="Times New Roman"/>
          <w:color w:val="auto"/>
          <w:szCs w:val="21"/>
          <w:highlight w:val="none"/>
        </w:rPr>
      </w:pPr>
      <w:r>
        <w:rPr>
          <w:rFonts w:hint="eastAsia" w:ascii="Times New Roman" w:hAnsi="Times New Roman"/>
          <w:color w:val="auto"/>
          <w:szCs w:val="21"/>
          <w:highlight w:val="none"/>
          <w:lang w:val="en-US" w:bidi="en-US"/>
        </w:rPr>
        <w:t>18.5.1</w:t>
      </w:r>
      <w:r>
        <w:rPr>
          <w:rFonts w:hint="eastAsia" w:ascii="Times New Roman" w:hAnsi="Times New Roman"/>
          <w:color w:val="auto"/>
          <w:szCs w:val="21"/>
          <w:highlight w:val="none"/>
        </w:rPr>
        <w:t>工程建设具备阶段验收条件时，发包人负责提出阶段验收申请报告。承包人应派代表参加阶段验收，并作为被验收单位在验收鉴定书上签字。阶段验收的具体类别在专用合同条款中约定。</w:t>
      </w:r>
    </w:p>
    <w:p w14:paraId="67FBC408">
      <w:pPr>
        <w:pStyle w:val="523"/>
        <w:tabs>
          <w:tab w:val="left" w:pos="841"/>
        </w:tabs>
        <w:ind w:left="420" w:firstLine="0"/>
        <w:rPr>
          <w:rFonts w:ascii="Times New Roman" w:hAnsi="Times New Roman"/>
          <w:color w:val="auto"/>
          <w:szCs w:val="21"/>
          <w:highlight w:val="none"/>
        </w:rPr>
      </w:pPr>
      <w:r>
        <w:rPr>
          <w:rFonts w:hint="eastAsia" w:ascii="Times New Roman" w:hAnsi="Times New Roman"/>
          <w:color w:val="auto"/>
          <w:szCs w:val="21"/>
          <w:highlight w:val="none"/>
          <w:lang w:val="en-US" w:bidi="en-US"/>
        </w:rPr>
        <w:t>18.5.</w:t>
      </w:r>
      <w:r>
        <w:rPr>
          <w:rFonts w:hint="eastAsia" w:ascii="Times New Roman" w:hAnsi="Times New Roman"/>
          <w:color w:val="auto"/>
          <w:szCs w:val="21"/>
          <w:highlight w:val="none"/>
        </w:rPr>
        <w:t>2承包人应及时完成阶段验收鉴定书载明应由承包人处理的遗留问题。</w:t>
      </w:r>
    </w:p>
    <w:p w14:paraId="409C5B32">
      <w:pPr>
        <w:spacing w:line="360" w:lineRule="auto"/>
        <w:rPr>
          <w:color w:val="auto"/>
          <w:highlight w:val="none"/>
        </w:rPr>
      </w:pPr>
      <w:bookmarkStart w:id="858" w:name="bookmark1412"/>
      <w:bookmarkStart w:id="859" w:name="_Toc16235"/>
      <w:bookmarkStart w:id="860" w:name="bookmark1414"/>
      <w:bookmarkStart w:id="861" w:name="bookmark1413"/>
      <w:r>
        <w:rPr>
          <w:color w:val="auto"/>
          <w:highlight w:val="none"/>
        </w:rPr>
        <w:t>18.6专项验收</w:t>
      </w:r>
      <w:bookmarkEnd w:id="858"/>
      <w:bookmarkEnd w:id="859"/>
      <w:bookmarkEnd w:id="860"/>
      <w:bookmarkEnd w:id="861"/>
    </w:p>
    <w:p w14:paraId="49636368">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18.6.1</w:t>
      </w:r>
      <w:r>
        <w:rPr>
          <w:rFonts w:hint="eastAsia" w:ascii="Times New Roman" w:hAnsi="Times New Roman"/>
          <w:color w:val="auto"/>
          <w:szCs w:val="21"/>
          <w:highlight w:val="none"/>
        </w:rPr>
        <w:t>发包人负责提出专项验收申请报告。承包人应按专项验收的相关规定参加专项验收。专项验收的具体类别在专用合同条款中约定。</w:t>
      </w:r>
    </w:p>
    <w:p w14:paraId="04E9693F">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lang w:val="en-US" w:bidi="en-US"/>
        </w:rPr>
        <w:t>18.6.</w:t>
      </w:r>
      <w:r>
        <w:rPr>
          <w:rFonts w:hint="eastAsia" w:ascii="Times New Roman" w:hAnsi="Times New Roman"/>
          <w:color w:val="auto"/>
          <w:szCs w:val="21"/>
          <w:highlight w:val="none"/>
        </w:rPr>
        <w:t>2承包应及时完成专项验收成果性文件载明应由承包人处理的遗留问题。</w:t>
      </w:r>
    </w:p>
    <w:p w14:paraId="09774EE9">
      <w:pPr>
        <w:spacing w:line="360" w:lineRule="auto"/>
        <w:rPr>
          <w:color w:val="auto"/>
          <w:highlight w:val="none"/>
        </w:rPr>
      </w:pPr>
      <w:bookmarkStart w:id="862" w:name="bookmark1416"/>
      <w:bookmarkStart w:id="863" w:name="bookmark1415"/>
      <w:bookmarkStart w:id="864" w:name="_Toc31377"/>
      <w:bookmarkStart w:id="865" w:name="bookmark1417"/>
      <w:r>
        <w:rPr>
          <w:color w:val="auto"/>
          <w:highlight w:val="none"/>
        </w:rPr>
        <w:t>18.7竣工验收</w:t>
      </w:r>
      <w:bookmarkEnd w:id="862"/>
      <w:bookmarkEnd w:id="863"/>
      <w:bookmarkEnd w:id="864"/>
      <w:bookmarkEnd w:id="865"/>
    </w:p>
    <w:p w14:paraId="411AFCE3">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18.7.1</w:t>
      </w:r>
      <w:r>
        <w:rPr>
          <w:rFonts w:hint="eastAsia" w:ascii="Times New Roman" w:hAnsi="Times New Roman"/>
          <w:color w:val="auto"/>
          <w:szCs w:val="21"/>
          <w:highlight w:val="none"/>
        </w:rPr>
        <w:t>申请竣工验收前，发包人组织竣工验收自查，承包人应派项目经理或技术负责人参加。</w:t>
      </w:r>
    </w:p>
    <w:p w14:paraId="43646BCD">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18.7.2</w:t>
      </w:r>
      <w:r>
        <w:rPr>
          <w:rFonts w:hint="eastAsia" w:ascii="Times New Roman" w:hAnsi="Times New Roman"/>
          <w:color w:val="auto"/>
          <w:szCs w:val="21"/>
          <w:highlight w:val="none"/>
        </w:rPr>
        <w:t>竣工验收分为竣工技术预验收和竣工验收两个阶段，发包人应通知承包人派法定代表人或项目经理参加技术预验收和竣工验收。</w:t>
      </w:r>
    </w:p>
    <w:p w14:paraId="7E88816B">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18.7.3</w:t>
      </w:r>
      <w:r>
        <w:rPr>
          <w:rFonts w:hint="eastAsia" w:ascii="Times New Roman" w:hAnsi="Times New Roman"/>
          <w:color w:val="auto"/>
          <w:szCs w:val="21"/>
          <w:highlight w:val="none"/>
        </w:rPr>
        <w:t>专用合同条款约定工程需要进行技术鉴定的，承包人应提交有关资料并完成配合工作。</w:t>
      </w:r>
    </w:p>
    <w:p w14:paraId="55D9DFEE">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18.7.4</w:t>
      </w:r>
      <w:r>
        <w:rPr>
          <w:rFonts w:hint="eastAsia" w:ascii="Times New Roman" w:hAnsi="Times New Roman"/>
          <w:color w:val="auto"/>
          <w:szCs w:val="21"/>
          <w:highlight w:val="none"/>
        </w:rPr>
        <w:t>竣工验收需要进行质量检测的，所需费用由发包人承担，但因承包人原因造成质量不合格的除外。</w:t>
      </w:r>
    </w:p>
    <w:p w14:paraId="22708342">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18.7.5</w:t>
      </w:r>
      <w:r>
        <w:rPr>
          <w:rFonts w:hint="eastAsia" w:ascii="Times New Roman" w:hAnsi="Times New Roman"/>
          <w:color w:val="auto"/>
          <w:szCs w:val="21"/>
          <w:highlight w:val="none"/>
        </w:rPr>
        <w:t>工程质量保修期满以及竣工验收遗留问题和尾工处理完成并通过验收后，发包人负责将处理情况和验收成果报送竣工验收主持单位，申请领取工程竣工证书，并发送承包人。</w:t>
      </w:r>
    </w:p>
    <w:p w14:paraId="51682DA1">
      <w:pPr>
        <w:spacing w:line="360" w:lineRule="auto"/>
        <w:rPr>
          <w:color w:val="auto"/>
          <w:highlight w:val="none"/>
        </w:rPr>
      </w:pPr>
      <w:bookmarkStart w:id="866" w:name="_Toc28956"/>
      <w:bookmarkStart w:id="867" w:name="bookmark1419"/>
      <w:bookmarkStart w:id="868" w:name="bookmark1420"/>
      <w:bookmarkStart w:id="869" w:name="bookmark1418"/>
      <w:r>
        <w:rPr>
          <w:color w:val="auto"/>
          <w:highlight w:val="none"/>
        </w:rPr>
        <w:t>18.8施工期运行</w:t>
      </w:r>
      <w:bookmarkEnd w:id="866"/>
      <w:bookmarkEnd w:id="867"/>
      <w:bookmarkEnd w:id="868"/>
      <w:bookmarkEnd w:id="869"/>
    </w:p>
    <w:p w14:paraId="24AB4B3D">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18.8.1</w:t>
      </w:r>
      <w:r>
        <w:rPr>
          <w:rFonts w:hint="eastAsia" w:ascii="Times New Roman" w:hAnsi="Times New Roman"/>
          <w:color w:val="auto"/>
          <w:szCs w:val="21"/>
          <w:highlight w:val="none"/>
        </w:rPr>
        <w:t>施工期运行是指合同工程尚未全部完工，其中某单位工程或部分工程已完工, 需要投入施工期运行的，经发包人按第</w:t>
      </w:r>
      <w:r>
        <w:rPr>
          <w:rFonts w:hint="eastAsia" w:ascii="Times New Roman" w:hAnsi="Times New Roman"/>
          <w:color w:val="auto"/>
          <w:szCs w:val="21"/>
          <w:highlight w:val="none"/>
          <w:lang w:val="en-US" w:bidi="en-US"/>
        </w:rPr>
        <w:t xml:space="preserve">18. </w:t>
      </w:r>
      <w:r>
        <w:rPr>
          <w:rFonts w:hint="eastAsia" w:ascii="Times New Roman" w:hAnsi="Times New Roman"/>
          <w:color w:val="auto"/>
          <w:szCs w:val="21"/>
          <w:highlight w:val="none"/>
        </w:rPr>
        <w:t>2款或第</w:t>
      </w:r>
      <w:r>
        <w:rPr>
          <w:rFonts w:hint="eastAsia" w:ascii="Times New Roman" w:hAnsi="Times New Roman"/>
          <w:color w:val="auto"/>
          <w:szCs w:val="21"/>
          <w:highlight w:val="none"/>
          <w:lang w:val="en-US" w:bidi="en-US"/>
        </w:rPr>
        <w:t xml:space="preserve">18. </w:t>
      </w:r>
      <w:r>
        <w:rPr>
          <w:rFonts w:hint="eastAsia" w:ascii="Times New Roman" w:hAnsi="Times New Roman"/>
          <w:color w:val="auto"/>
          <w:szCs w:val="21"/>
          <w:highlight w:val="none"/>
        </w:rPr>
        <w:t>3款的约定验收合格，证明能确保安全后，才能在施工期投入运行。需要在施工期运行的单位工程或部分工程在专用合同条款中约定。</w:t>
      </w:r>
    </w:p>
    <w:p w14:paraId="5A721D27">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18.8.2</w:t>
      </w:r>
      <w:r>
        <w:rPr>
          <w:rFonts w:hint="eastAsia" w:ascii="Times New Roman" w:hAnsi="Times New Roman"/>
          <w:color w:val="auto"/>
          <w:szCs w:val="21"/>
          <w:highlight w:val="none"/>
        </w:rPr>
        <w:t>在施工期运行中发现工程或工程设备损坏或存在缺陷的，由承包人按第</w:t>
      </w:r>
      <w:r>
        <w:rPr>
          <w:rFonts w:hint="eastAsia" w:ascii="Times New Roman" w:hAnsi="Times New Roman"/>
          <w:color w:val="auto"/>
          <w:szCs w:val="21"/>
          <w:highlight w:val="none"/>
          <w:lang w:val="en-US" w:bidi="en-US"/>
        </w:rPr>
        <w:t xml:space="preserve">19. </w:t>
      </w:r>
      <w:r>
        <w:rPr>
          <w:rFonts w:hint="eastAsia" w:ascii="Times New Roman" w:hAnsi="Times New Roman"/>
          <w:color w:val="auto"/>
          <w:szCs w:val="21"/>
          <w:highlight w:val="none"/>
        </w:rPr>
        <w:t>2 款约定进行修复。</w:t>
      </w:r>
    </w:p>
    <w:p w14:paraId="66D551A2">
      <w:pPr>
        <w:spacing w:line="360" w:lineRule="auto"/>
        <w:rPr>
          <w:color w:val="auto"/>
          <w:highlight w:val="none"/>
        </w:rPr>
      </w:pPr>
      <w:bookmarkStart w:id="870" w:name="bookmark1423"/>
      <w:bookmarkStart w:id="871" w:name="bookmark1421"/>
      <w:bookmarkStart w:id="872" w:name="_Toc20150"/>
      <w:bookmarkStart w:id="873" w:name="bookmark1422"/>
      <w:r>
        <w:rPr>
          <w:color w:val="auto"/>
          <w:highlight w:val="none"/>
        </w:rPr>
        <w:t>18.9试运行</w:t>
      </w:r>
      <w:bookmarkEnd w:id="870"/>
      <w:bookmarkEnd w:id="871"/>
      <w:bookmarkEnd w:id="872"/>
      <w:bookmarkEnd w:id="873"/>
    </w:p>
    <w:p w14:paraId="20A9A658">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18.9.1</w:t>
      </w:r>
      <w:r>
        <w:rPr>
          <w:rFonts w:hint="eastAsia" w:ascii="Times New Roman" w:hAnsi="Times New Roman"/>
          <w:color w:val="auto"/>
          <w:szCs w:val="21"/>
          <w:highlight w:val="none"/>
        </w:rPr>
        <w:t>除专用合同条款另有约定外，承包人应按规定进行工程及工程设备试运行, 负责提供试运行所需的人员、器材和必要的条件，并承担全部试运行费用。</w:t>
      </w:r>
    </w:p>
    <w:p w14:paraId="275F466D">
      <w:pPr>
        <w:pStyle w:val="523"/>
        <w:ind w:firstLine="447" w:firstLineChars="213"/>
        <w:rPr>
          <w:rFonts w:ascii="Times New Roman" w:hAnsi="Times New Roman"/>
          <w:color w:val="auto"/>
          <w:szCs w:val="21"/>
          <w:highlight w:val="none"/>
        </w:rPr>
      </w:pPr>
      <w:r>
        <w:rPr>
          <w:rFonts w:hint="eastAsia" w:ascii="Times New Roman" w:hAnsi="Times New Roman"/>
          <w:color w:val="auto"/>
          <w:szCs w:val="21"/>
          <w:highlight w:val="none"/>
          <w:lang w:val="en-US" w:bidi="en-US"/>
        </w:rPr>
        <w:t>18.9.2</w:t>
      </w:r>
      <w:r>
        <w:rPr>
          <w:rFonts w:hint="eastAsia" w:ascii="Times New Roman" w:hAnsi="Times New Roman"/>
          <w:color w:val="auto"/>
          <w:szCs w:val="21"/>
          <w:highlight w:val="none"/>
        </w:rPr>
        <w:t>由于承包人的原因导致试运行失败的，承包人应采取措施保证试运行合格, 并承担相应费用。由于发包人的原因导致试运行失败的，承包人应当采取措施保证试运行合格，发包人应承担由此产生的费用，并支付承包人合理利润。</w:t>
      </w:r>
      <w:bookmarkStart w:id="874" w:name="bookmark1411"/>
      <w:bookmarkEnd w:id="874"/>
    </w:p>
    <w:p w14:paraId="0D1D8FE1">
      <w:pPr>
        <w:spacing w:line="360" w:lineRule="auto"/>
        <w:rPr>
          <w:color w:val="auto"/>
          <w:highlight w:val="none"/>
        </w:rPr>
      </w:pPr>
      <w:bookmarkStart w:id="875" w:name="_Toc1706"/>
      <w:bookmarkStart w:id="876" w:name="bookmark1424"/>
      <w:bookmarkStart w:id="877" w:name="bookmark1425"/>
      <w:bookmarkStart w:id="878" w:name="bookmark1426"/>
      <w:r>
        <w:rPr>
          <w:color w:val="auto"/>
          <w:highlight w:val="none"/>
        </w:rPr>
        <w:t>18.10竣工（完工）清场</w:t>
      </w:r>
      <w:bookmarkEnd w:id="875"/>
      <w:bookmarkEnd w:id="876"/>
      <w:bookmarkEnd w:id="877"/>
      <w:bookmarkEnd w:id="878"/>
    </w:p>
    <w:p w14:paraId="42255AC4">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18.10.1</w:t>
      </w:r>
      <w:r>
        <w:rPr>
          <w:rFonts w:hint="eastAsia" w:ascii="Times New Roman" w:hAnsi="Times New Roman"/>
          <w:color w:val="auto"/>
          <w:szCs w:val="21"/>
          <w:highlight w:val="none"/>
        </w:rPr>
        <w:t>工程项目竣工（完工）清场的工作范围和内容在技术标准和要求（合同技术条款）中约定。</w:t>
      </w:r>
    </w:p>
    <w:p w14:paraId="2E17FB9A">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18.10.2</w:t>
      </w:r>
      <w:r>
        <w:rPr>
          <w:rFonts w:hint="eastAsia" w:ascii="Times New Roman" w:hAnsi="Times New Roman"/>
          <w:color w:val="auto"/>
          <w:szCs w:val="21"/>
          <w:highlight w:val="none"/>
        </w:rPr>
        <w:t>承包未按监理人的要求恢复临时占地，或者场地清理未达到合同约定的，发包人有权委托其它人恢复或清理，所发生的金额从拟支付给承包人的款项中扣除。</w:t>
      </w:r>
    </w:p>
    <w:p w14:paraId="691C1A16">
      <w:pPr>
        <w:spacing w:line="360" w:lineRule="auto"/>
        <w:rPr>
          <w:color w:val="auto"/>
          <w:highlight w:val="none"/>
        </w:rPr>
      </w:pPr>
      <w:bookmarkStart w:id="879" w:name="_Toc28474"/>
      <w:bookmarkStart w:id="880" w:name="bookmark1428"/>
      <w:bookmarkStart w:id="881" w:name="bookmark1427"/>
      <w:bookmarkStart w:id="882" w:name="bookmark1429"/>
      <w:r>
        <w:rPr>
          <w:color w:val="auto"/>
          <w:highlight w:val="none"/>
        </w:rPr>
        <w:t>18.11施工队伍的撤离</w:t>
      </w:r>
      <w:bookmarkEnd w:id="879"/>
      <w:bookmarkEnd w:id="880"/>
      <w:bookmarkEnd w:id="881"/>
      <w:bookmarkEnd w:id="882"/>
    </w:p>
    <w:p w14:paraId="7621A158">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rPr>
        <w:t>合同工程完工证书颁发后的56天内，除了经监理人同意需在缺陷责任期（工程质量保修期）内继续工作和使用的人员、施工设备和临时工程外，其余的人员、施工设备和临时工程均应撤离施工场地或拆除。除合同另有约定外，缺陷责任期（工程质量保修期）满时, 承包人的人员和施工设备应全部撤离施工场地。</w:t>
      </w:r>
    </w:p>
    <w:p w14:paraId="0337A7A1">
      <w:pPr>
        <w:pStyle w:val="5"/>
        <w:spacing w:line="360" w:lineRule="auto"/>
        <w:rPr>
          <w:color w:val="auto"/>
          <w:highlight w:val="none"/>
        </w:rPr>
      </w:pPr>
      <w:bookmarkStart w:id="883" w:name="_Toc147350624"/>
      <w:bookmarkStart w:id="884" w:name="bookmark1430"/>
      <w:bookmarkStart w:id="885" w:name="_Toc695152116"/>
      <w:bookmarkStart w:id="886" w:name="_Toc15410"/>
      <w:bookmarkStart w:id="887" w:name="_Toc28388"/>
      <w:bookmarkStart w:id="888" w:name="bookmark1432"/>
      <w:bookmarkStart w:id="889" w:name="bookmark1431"/>
      <w:r>
        <w:rPr>
          <w:rFonts w:hint="eastAsia"/>
          <w:color w:val="auto"/>
          <w:highlight w:val="none"/>
        </w:rPr>
        <w:t>19.缺陷责任与保修责任</w:t>
      </w:r>
      <w:bookmarkEnd w:id="883"/>
      <w:bookmarkEnd w:id="884"/>
      <w:bookmarkEnd w:id="885"/>
      <w:bookmarkEnd w:id="886"/>
      <w:bookmarkEnd w:id="887"/>
      <w:bookmarkEnd w:id="888"/>
      <w:bookmarkEnd w:id="889"/>
    </w:p>
    <w:p w14:paraId="09268C4E">
      <w:pPr>
        <w:spacing w:line="360" w:lineRule="auto"/>
        <w:rPr>
          <w:color w:val="auto"/>
          <w:highlight w:val="none"/>
        </w:rPr>
      </w:pPr>
      <w:bookmarkStart w:id="890" w:name="bookmark1434"/>
      <w:bookmarkStart w:id="891" w:name="bookmark1435"/>
      <w:bookmarkStart w:id="892" w:name="bookmark1433"/>
      <w:bookmarkStart w:id="893" w:name="_Toc22913"/>
      <w:r>
        <w:rPr>
          <w:color w:val="auto"/>
          <w:highlight w:val="none"/>
        </w:rPr>
        <w:t>19.1缺陷责任期（工程质量保修期）的起算时间</w:t>
      </w:r>
      <w:bookmarkEnd w:id="890"/>
      <w:bookmarkEnd w:id="891"/>
      <w:bookmarkEnd w:id="892"/>
      <w:bookmarkEnd w:id="893"/>
    </w:p>
    <w:p w14:paraId="26E14463">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除专用合同条款另有约定外，缺陷责任期（工程质量保修期）从工程通过合同工程完 工验收后开始计算。在合同工程完工验收前，已经发包人提前验收的单位工程或部分工程, 若未投入使用，其缺陷责任期（工程质量保修期）亦从工程通过合同工程完工验收后开始计算；若已投入使用，其缺陷责任期（工程质量保修期）从通过单位工程或部分工程投入使用验收后开始计算。缺陷责任期（工程质量保修期）的期限在专用合同条款中约定。</w:t>
      </w:r>
    </w:p>
    <w:p w14:paraId="2B094F57">
      <w:pPr>
        <w:spacing w:line="360" w:lineRule="auto"/>
        <w:rPr>
          <w:color w:val="auto"/>
          <w:highlight w:val="none"/>
        </w:rPr>
      </w:pPr>
      <w:bookmarkStart w:id="894" w:name="_Toc27743"/>
      <w:bookmarkStart w:id="895" w:name="bookmark1438"/>
      <w:bookmarkStart w:id="896" w:name="bookmark1436"/>
      <w:bookmarkStart w:id="897" w:name="bookmark1437"/>
      <w:r>
        <w:rPr>
          <w:color w:val="auto"/>
          <w:highlight w:val="none"/>
        </w:rPr>
        <w:t>19.2缺陷责任</w:t>
      </w:r>
      <w:bookmarkEnd w:id="894"/>
      <w:bookmarkEnd w:id="895"/>
      <w:bookmarkEnd w:id="896"/>
      <w:bookmarkEnd w:id="897"/>
    </w:p>
    <w:p w14:paraId="1F358ED7">
      <w:pPr>
        <w:pStyle w:val="523"/>
        <w:tabs>
          <w:tab w:val="left" w:pos="853"/>
        </w:tabs>
        <w:ind w:left="440" w:firstLine="0"/>
        <w:rPr>
          <w:rFonts w:ascii="Times New Roman" w:hAnsi="Times New Roman"/>
          <w:color w:val="auto"/>
          <w:szCs w:val="21"/>
          <w:highlight w:val="none"/>
        </w:rPr>
      </w:pPr>
      <w:bookmarkStart w:id="898" w:name="bookmark1439"/>
      <w:bookmarkEnd w:id="898"/>
      <w:r>
        <w:rPr>
          <w:rFonts w:hint="eastAsia" w:ascii="Times New Roman" w:hAnsi="Times New Roman"/>
          <w:color w:val="auto"/>
          <w:szCs w:val="21"/>
          <w:highlight w:val="none"/>
          <w:lang w:val="en-US" w:bidi="en-US"/>
        </w:rPr>
        <w:t xml:space="preserve">19.2. </w:t>
      </w:r>
      <w:r>
        <w:rPr>
          <w:rFonts w:hint="eastAsia" w:ascii="Times New Roman" w:hAnsi="Times New Roman"/>
          <w:color w:val="auto"/>
          <w:szCs w:val="21"/>
          <w:highlight w:val="none"/>
        </w:rPr>
        <w:t>1承包人应在缺陷责任期内对已交付使用的工程承担缺陷责任。</w:t>
      </w:r>
    </w:p>
    <w:p w14:paraId="64B5A236">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19.2.2</w:t>
      </w:r>
      <w:r>
        <w:rPr>
          <w:rFonts w:hint="eastAsia" w:ascii="Times New Roman" w:hAnsi="Times New Roman"/>
          <w:color w:val="auto"/>
          <w:szCs w:val="21"/>
          <w:highlight w:val="none"/>
        </w:rPr>
        <w:t>缺陷责任期内，发包人对已接收使用的工程负责日常维护工作。发包人在使用过程中，发现已接收的工程存在新的缺陷或已修复的缺陷部位或部件又遭损坏的，承包人应负责修复，直至检验合格为止。</w:t>
      </w:r>
    </w:p>
    <w:p w14:paraId="271CDA7B">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19.2.3</w:t>
      </w:r>
      <w:r>
        <w:rPr>
          <w:rFonts w:hint="eastAsia" w:ascii="Times New Roman" w:hAnsi="Times New Roman"/>
          <w:color w:val="auto"/>
          <w:szCs w:val="21"/>
          <w:highlight w:val="none"/>
        </w:rPr>
        <w:t>监理人和承包人应共同查清缺陷和（或）损坏的原因。经查明属承包人原因造成的，应由承包人承担修复和查验的费用。经查验属发包人原因造成的，发包人应承担修复和查验的费用，并支付承包人合理利润。</w:t>
      </w:r>
    </w:p>
    <w:p w14:paraId="18F66F36">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19.2.4</w:t>
      </w:r>
      <w:r>
        <w:rPr>
          <w:rFonts w:hint="eastAsia" w:ascii="Times New Roman" w:hAnsi="Times New Roman"/>
          <w:color w:val="auto"/>
          <w:szCs w:val="21"/>
          <w:highlight w:val="none"/>
        </w:rPr>
        <w:t>承包人不能在合理时间内修复缺陷的，发包人可自行修复或委托其他人修复, 所需费用和利润的承担，按第</w:t>
      </w:r>
      <w:r>
        <w:rPr>
          <w:rFonts w:hint="eastAsia" w:ascii="Times New Roman" w:hAnsi="Times New Roman"/>
          <w:color w:val="auto"/>
          <w:szCs w:val="21"/>
          <w:highlight w:val="none"/>
          <w:lang w:val="en-US" w:bidi="en-US"/>
        </w:rPr>
        <w:t xml:space="preserve">19. 2. </w:t>
      </w:r>
      <w:r>
        <w:rPr>
          <w:rFonts w:hint="eastAsia" w:ascii="Times New Roman" w:hAnsi="Times New Roman"/>
          <w:color w:val="auto"/>
          <w:szCs w:val="21"/>
          <w:highlight w:val="none"/>
        </w:rPr>
        <w:t>3项约定办理。</w:t>
      </w:r>
    </w:p>
    <w:p w14:paraId="41152BE1">
      <w:pPr>
        <w:spacing w:line="360" w:lineRule="auto"/>
        <w:rPr>
          <w:color w:val="auto"/>
          <w:highlight w:val="none"/>
        </w:rPr>
      </w:pPr>
      <w:bookmarkStart w:id="899" w:name="_Toc4593"/>
      <w:bookmarkStart w:id="900" w:name="bookmark1443"/>
      <w:bookmarkStart w:id="901" w:name="bookmark1445"/>
      <w:bookmarkStart w:id="902" w:name="bookmark1444"/>
      <w:r>
        <w:rPr>
          <w:color w:val="auto"/>
          <w:highlight w:val="none"/>
        </w:rPr>
        <w:t>19.4进一步试验和试运行</w:t>
      </w:r>
      <w:bookmarkEnd w:id="899"/>
      <w:bookmarkEnd w:id="900"/>
      <w:bookmarkEnd w:id="901"/>
      <w:bookmarkEnd w:id="902"/>
    </w:p>
    <w:p w14:paraId="64413898">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任何一项缺陷或损坏修复后，经检查证明其影响了工程或工程设备的使用性能，承包人应重新进行合同约定的试验和试运行，试验和试运行的全部费用应由责任方承担。</w:t>
      </w:r>
    </w:p>
    <w:p w14:paraId="3525019A">
      <w:pPr>
        <w:spacing w:line="360" w:lineRule="auto"/>
        <w:rPr>
          <w:color w:val="auto"/>
          <w:highlight w:val="none"/>
        </w:rPr>
      </w:pPr>
      <w:bookmarkStart w:id="903" w:name="bookmark1441"/>
      <w:bookmarkStart w:id="904" w:name="_Toc19734"/>
      <w:bookmarkStart w:id="905" w:name="bookmark1440"/>
      <w:bookmarkStart w:id="906" w:name="bookmark1442"/>
      <w:bookmarkStart w:id="907" w:name="bookmark1446"/>
      <w:bookmarkStart w:id="908" w:name="bookmark1448"/>
      <w:bookmarkStart w:id="909" w:name="_Toc13710"/>
      <w:bookmarkStart w:id="910" w:name="bookmark1447"/>
      <w:r>
        <w:rPr>
          <w:color w:val="auto"/>
          <w:highlight w:val="none"/>
        </w:rPr>
        <w:t>19.3缺陷责任期的延长</w:t>
      </w:r>
      <w:bookmarkEnd w:id="903"/>
      <w:bookmarkEnd w:id="904"/>
      <w:bookmarkEnd w:id="905"/>
      <w:bookmarkEnd w:id="906"/>
    </w:p>
    <w:p w14:paraId="67BB3760">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由于承包人原因造成某项缺陷或损坏使某项工程或工程设备不能按原定目标使用而需要再次检查、检验和修复的，发包人有权要求承包人相应延长缺陷责任期，但缺陷责任期最长不超过2年。</w:t>
      </w:r>
    </w:p>
    <w:p w14:paraId="14485431">
      <w:pPr>
        <w:spacing w:line="360" w:lineRule="auto"/>
        <w:rPr>
          <w:color w:val="auto"/>
          <w:highlight w:val="none"/>
        </w:rPr>
      </w:pPr>
      <w:r>
        <w:rPr>
          <w:color w:val="auto"/>
          <w:highlight w:val="none"/>
        </w:rPr>
        <w:t>19.5承包人的进入权</w:t>
      </w:r>
      <w:bookmarkEnd w:id="907"/>
      <w:bookmarkEnd w:id="908"/>
      <w:bookmarkEnd w:id="909"/>
      <w:bookmarkEnd w:id="910"/>
    </w:p>
    <w:p w14:paraId="35D28802">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缺陷责任期内承包人为缺陷修复工作需要，有权进入工程现场，但应遵守发包人的保安和保密规定。</w:t>
      </w:r>
    </w:p>
    <w:p w14:paraId="68B89502">
      <w:pPr>
        <w:spacing w:line="360" w:lineRule="auto"/>
        <w:rPr>
          <w:color w:val="auto"/>
          <w:highlight w:val="none"/>
        </w:rPr>
      </w:pPr>
      <w:bookmarkStart w:id="911" w:name="bookmark1451"/>
      <w:bookmarkStart w:id="912" w:name="_Toc16024"/>
      <w:bookmarkStart w:id="913" w:name="bookmark1449"/>
      <w:bookmarkStart w:id="914" w:name="bookmark1450"/>
      <w:r>
        <w:rPr>
          <w:color w:val="auto"/>
          <w:highlight w:val="none"/>
        </w:rPr>
        <w:t>19.6缺陷责任期终止证书（工程质量保修责任终止证书）</w:t>
      </w:r>
      <w:bookmarkEnd w:id="911"/>
      <w:bookmarkEnd w:id="912"/>
      <w:bookmarkEnd w:id="913"/>
      <w:bookmarkEnd w:id="914"/>
    </w:p>
    <w:p w14:paraId="0C39573B">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合同工程完工验收后，发包人与承包人应办理工程交接手续，承包人应向发包人递交工程质量保修书。</w:t>
      </w:r>
    </w:p>
    <w:p w14:paraId="0ED41C52">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缺陷责任期（工程质量保修期）满后30个工作日内，发包人应向承包人颁发工程质量保修责任终止证书，并退还剩余的质量保证金，但保修责任范围内的质量缺陷未处理完成的应除外。</w:t>
      </w:r>
    </w:p>
    <w:p w14:paraId="7A4F3DDE">
      <w:pPr>
        <w:spacing w:line="360" w:lineRule="auto"/>
        <w:rPr>
          <w:color w:val="auto"/>
          <w:highlight w:val="none"/>
        </w:rPr>
      </w:pPr>
      <w:bookmarkStart w:id="915" w:name="bookmark1453"/>
      <w:bookmarkStart w:id="916" w:name="bookmark1452"/>
      <w:bookmarkStart w:id="917" w:name="_Toc10377"/>
      <w:bookmarkStart w:id="918" w:name="bookmark1454"/>
      <w:r>
        <w:rPr>
          <w:color w:val="auto"/>
          <w:highlight w:val="none"/>
        </w:rPr>
        <w:t>19</w:t>
      </w:r>
      <w:r>
        <w:rPr>
          <w:rFonts w:hint="eastAsia"/>
          <w:color w:val="auto"/>
          <w:highlight w:val="none"/>
        </w:rPr>
        <w:t>.7保修责任</w:t>
      </w:r>
      <w:bookmarkEnd w:id="915"/>
      <w:bookmarkEnd w:id="916"/>
      <w:bookmarkEnd w:id="917"/>
      <w:bookmarkEnd w:id="918"/>
    </w:p>
    <w:p w14:paraId="4D0563CF">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合同当事人根据有关法律规定，在专用合同条款中约定工程质量保修范围、期限和责任。保修期自实际完工验收日期起计算。在全部工程竣工验收前，已经发包人提前验收的单位工程，其保修期的起算日期相应提前。</w:t>
      </w:r>
    </w:p>
    <w:p w14:paraId="62D2E745">
      <w:pPr>
        <w:pStyle w:val="5"/>
        <w:spacing w:line="360" w:lineRule="auto"/>
        <w:rPr>
          <w:color w:val="auto"/>
          <w:highlight w:val="none"/>
        </w:rPr>
      </w:pPr>
      <w:bookmarkStart w:id="919" w:name="_Toc31099"/>
      <w:bookmarkStart w:id="920" w:name="_Toc147350625"/>
      <w:bookmarkStart w:id="921" w:name="_Toc11147"/>
      <w:bookmarkStart w:id="922" w:name="bookmark1457"/>
      <w:bookmarkStart w:id="923" w:name="_Toc1962875816"/>
      <w:bookmarkStart w:id="924" w:name="bookmark1456"/>
      <w:bookmarkStart w:id="925" w:name="bookmark1455"/>
      <w:r>
        <w:rPr>
          <w:rFonts w:hint="eastAsia"/>
          <w:color w:val="auto"/>
          <w:highlight w:val="none"/>
        </w:rPr>
        <w:t>20.保险</w:t>
      </w:r>
      <w:bookmarkEnd w:id="919"/>
      <w:bookmarkEnd w:id="920"/>
      <w:bookmarkEnd w:id="921"/>
      <w:bookmarkEnd w:id="922"/>
      <w:bookmarkEnd w:id="923"/>
    </w:p>
    <w:p w14:paraId="4FFF318F">
      <w:pPr>
        <w:spacing w:line="360" w:lineRule="auto"/>
        <w:rPr>
          <w:color w:val="auto"/>
          <w:highlight w:val="none"/>
        </w:rPr>
      </w:pPr>
      <w:bookmarkStart w:id="926" w:name="_Toc16520"/>
      <w:bookmarkStart w:id="927" w:name="bookmark1458"/>
      <w:r>
        <w:rPr>
          <w:color w:val="auto"/>
          <w:highlight w:val="none"/>
        </w:rPr>
        <w:t>20.1工程保险</w:t>
      </w:r>
      <w:bookmarkEnd w:id="924"/>
      <w:bookmarkEnd w:id="925"/>
      <w:bookmarkEnd w:id="926"/>
      <w:bookmarkEnd w:id="927"/>
    </w:p>
    <w:p w14:paraId="0C1D1F95">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除专用合同条款另有约定外，承包人应以发包人和承包人的共同名义向双方同意的保险人投保建筑工程一切险、安装工程一切险。其具体的投保内容、保险金额、保险费率、 保险期限等有关内容在专用合同条款中约定。</w:t>
      </w:r>
    </w:p>
    <w:p w14:paraId="5451486E">
      <w:pPr>
        <w:spacing w:line="360" w:lineRule="auto"/>
        <w:rPr>
          <w:color w:val="auto"/>
          <w:highlight w:val="none"/>
        </w:rPr>
      </w:pPr>
      <w:bookmarkStart w:id="928" w:name="_Toc19236"/>
      <w:bookmarkStart w:id="929" w:name="bookmark1460"/>
      <w:bookmarkStart w:id="930" w:name="bookmark1459"/>
      <w:bookmarkStart w:id="931" w:name="bookmark1461"/>
      <w:r>
        <w:rPr>
          <w:color w:val="auto"/>
          <w:highlight w:val="none"/>
        </w:rPr>
        <w:t>20.2人员工伤事故的保险</w:t>
      </w:r>
      <w:bookmarkEnd w:id="928"/>
      <w:bookmarkEnd w:id="929"/>
      <w:bookmarkEnd w:id="930"/>
      <w:bookmarkEnd w:id="931"/>
    </w:p>
    <w:p w14:paraId="4D5491BB">
      <w:pPr>
        <w:pStyle w:val="523"/>
        <w:tabs>
          <w:tab w:val="left" w:pos="878"/>
        </w:tabs>
        <w:ind w:left="440" w:firstLine="0"/>
        <w:rPr>
          <w:rFonts w:ascii="Times New Roman" w:hAnsi="Times New Roman"/>
          <w:color w:val="auto"/>
          <w:szCs w:val="21"/>
          <w:highlight w:val="none"/>
        </w:rPr>
      </w:pPr>
      <w:bookmarkStart w:id="932" w:name="bookmark1462"/>
      <w:bookmarkEnd w:id="932"/>
      <w:r>
        <w:rPr>
          <w:rFonts w:hint="eastAsia" w:ascii="Times New Roman" w:hAnsi="Times New Roman"/>
          <w:color w:val="auto"/>
          <w:szCs w:val="21"/>
          <w:highlight w:val="none"/>
          <w:lang w:val="en-US" w:bidi="en-US"/>
        </w:rPr>
        <w:t>20.2.</w:t>
      </w:r>
      <w:r>
        <w:rPr>
          <w:rFonts w:hint="eastAsia" w:ascii="Times New Roman" w:hAnsi="Times New Roman"/>
          <w:color w:val="auto"/>
          <w:szCs w:val="21"/>
          <w:highlight w:val="none"/>
        </w:rPr>
        <w:t>1承包人员工伤事故的保险</w:t>
      </w:r>
    </w:p>
    <w:p w14:paraId="406790BE">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承包人应依照有关法律规定参加工伤保险，为其履行合同所雇佣的全部人员，缴纳工 伤保险费，并要求其分包人也进行此项保险。</w:t>
      </w:r>
    </w:p>
    <w:p w14:paraId="6028B2BF">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20.2.</w:t>
      </w:r>
      <w:r>
        <w:rPr>
          <w:rFonts w:hint="eastAsia" w:ascii="Times New Roman" w:hAnsi="Times New Roman"/>
          <w:color w:val="auto"/>
          <w:szCs w:val="21"/>
          <w:highlight w:val="none"/>
        </w:rPr>
        <w:t>2发包人员工伤事故的保险</w:t>
      </w:r>
    </w:p>
    <w:p w14:paraId="145E2E8B">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发包人应依照有关法律规定参加工伤保险，为其现场机构雇佣的全部人员，缴纳工伤保险费，并要求其监理人也进行此项保险。</w:t>
      </w:r>
    </w:p>
    <w:p w14:paraId="7C2C4636">
      <w:pPr>
        <w:spacing w:line="360" w:lineRule="auto"/>
        <w:rPr>
          <w:color w:val="auto"/>
          <w:highlight w:val="none"/>
        </w:rPr>
      </w:pPr>
      <w:bookmarkStart w:id="933" w:name="bookmark1465"/>
      <w:bookmarkStart w:id="934" w:name="_Toc9146"/>
      <w:bookmarkStart w:id="935" w:name="bookmark1464"/>
      <w:bookmarkStart w:id="936" w:name="bookmark1463"/>
      <w:r>
        <w:rPr>
          <w:color w:val="auto"/>
          <w:highlight w:val="none"/>
        </w:rPr>
        <w:t>20.3人身意外伤害险</w:t>
      </w:r>
      <w:bookmarkEnd w:id="933"/>
      <w:bookmarkEnd w:id="934"/>
      <w:bookmarkEnd w:id="935"/>
      <w:bookmarkEnd w:id="936"/>
    </w:p>
    <w:p w14:paraId="498E7CE7">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20.3.1</w:t>
      </w:r>
      <w:r>
        <w:rPr>
          <w:rFonts w:hint="eastAsia" w:ascii="Times New Roman" w:hAnsi="Times New Roman"/>
          <w:color w:val="auto"/>
          <w:szCs w:val="21"/>
          <w:highlight w:val="none"/>
        </w:rPr>
        <w:t>发包人应在整个施工期间为其现场机构雇用的全部人员，投保人身意外伤害险，缴纳保险费，并要求其监理人也进行此项保险。</w:t>
      </w:r>
    </w:p>
    <w:p w14:paraId="7A5A8A59">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20.3.2</w:t>
      </w:r>
      <w:r>
        <w:rPr>
          <w:rFonts w:hint="eastAsia" w:ascii="Times New Roman" w:hAnsi="Times New Roman"/>
          <w:color w:val="auto"/>
          <w:szCs w:val="21"/>
          <w:highlight w:val="none"/>
        </w:rPr>
        <w:t>承包人应在整个施工期间为其现场机构雇用的全部人员，投保人身意外伤害险，缴纳保险费，并要求其分包人也进行此项保险。</w:t>
      </w:r>
    </w:p>
    <w:p w14:paraId="7E7A6FC4">
      <w:pPr>
        <w:spacing w:line="360" w:lineRule="auto"/>
        <w:rPr>
          <w:color w:val="auto"/>
          <w:highlight w:val="none"/>
        </w:rPr>
      </w:pPr>
      <w:bookmarkStart w:id="937" w:name="bookmark1466"/>
      <w:bookmarkStart w:id="938" w:name="_Toc10666"/>
      <w:bookmarkStart w:id="939" w:name="bookmark1467"/>
      <w:bookmarkStart w:id="940" w:name="bookmark1468"/>
      <w:r>
        <w:rPr>
          <w:color w:val="auto"/>
          <w:highlight w:val="none"/>
        </w:rPr>
        <w:t>20.4第三者责任险</w:t>
      </w:r>
      <w:bookmarkEnd w:id="937"/>
      <w:bookmarkEnd w:id="938"/>
      <w:bookmarkEnd w:id="939"/>
      <w:bookmarkEnd w:id="940"/>
    </w:p>
    <w:p w14:paraId="3A1EA0B9">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20.4.1</w:t>
      </w:r>
      <w:r>
        <w:rPr>
          <w:rFonts w:hint="eastAsia" w:ascii="Times New Roman" w:hAnsi="Times New Roman"/>
          <w:color w:val="auto"/>
          <w:szCs w:val="21"/>
          <w:highlight w:val="none"/>
        </w:rPr>
        <w:t>第三者责任系指在保险期内，对因工程意外事故造成的、依法应由被保险人负责的工地上及毗邻地区的第三者人身伤亡、疾病或财产损失（本工程除外），以及被保险人因此而支付的诉讼费用和事先经保险人书面同意支付的其他费用等赔偿责任。</w:t>
      </w:r>
    </w:p>
    <w:p w14:paraId="4408B00D">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20.4.2</w:t>
      </w:r>
      <w:r>
        <w:rPr>
          <w:rFonts w:hint="eastAsia" w:ascii="Times New Roman" w:hAnsi="Times New Roman"/>
          <w:color w:val="auto"/>
          <w:szCs w:val="21"/>
          <w:highlight w:val="none"/>
        </w:rPr>
        <w:t>在缺陷责任期终止证书颁发前，承包人应以承包人和发包人的共同名义，投保第</w:t>
      </w:r>
      <w:r>
        <w:rPr>
          <w:rFonts w:hint="eastAsia" w:ascii="Times New Roman" w:hAnsi="Times New Roman"/>
          <w:color w:val="auto"/>
          <w:szCs w:val="21"/>
          <w:highlight w:val="none"/>
          <w:lang w:val="en-US" w:bidi="en-US"/>
        </w:rPr>
        <w:t>20. 4.1</w:t>
      </w:r>
      <w:r>
        <w:rPr>
          <w:rFonts w:hint="eastAsia" w:ascii="Times New Roman" w:hAnsi="Times New Roman"/>
          <w:color w:val="auto"/>
          <w:szCs w:val="21"/>
          <w:highlight w:val="none"/>
        </w:rPr>
        <w:t>项约定的第三者责任险，其保险费率、保险金额等有关内容在专用合同条款中约定。</w:t>
      </w:r>
    </w:p>
    <w:p w14:paraId="1C56AA35">
      <w:pPr>
        <w:spacing w:line="360" w:lineRule="auto"/>
        <w:rPr>
          <w:color w:val="auto"/>
          <w:highlight w:val="none"/>
        </w:rPr>
      </w:pPr>
      <w:bookmarkStart w:id="941" w:name="bookmark1469"/>
      <w:bookmarkStart w:id="942" w:name="_Toc15855"/>
      <w:bookmarkStart w:id="943" w:name="bookmark1471"/>
      <w:bookmarkStart w:id="944" w:name="bookmark1470"/>
      <w:r>
        <w:rPr>
          <w:color w:val="auto"/>
          <w:highlight w:val="none"/>
        </w:rPr>
        <w:t>20.5其他保险</w:t>
      </w:r>
      <w:bookmarkEnd w:id="941"/>
      <w:bookmarkEnd w:id="942"/>
      <w:bookmarkEnd w:id="943"/>
      <w:bookmarkEnd w:id="944"/>
    </w:p>
    <w:p w14:paraId="43CC71AB">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除专用合同条款另有约定外，承包人应为其施工设备、进场的材料和工程设备等办理保险。</w:t>
      </w:r>
    </w:p>
    <w:p w14:paraId="153192BA">
      <w:pPr>
        <w:spacing w:line="360" w:lineRule="auto"/>
        <w:rPr>
          <w:color w:val="auto"/>
          <w:highlight w:val="none"/>
        </w:rPr>
      </w:pPr>
      <w:bookmarkStart w:id="945" w:name="_Toc20306"/>
      <w:bookmarkStart w:id="946" w:name="bookmark1473"/>
      <w:bookmarkStart w:id="947" w:name="bookmark1472"/>
      <w:bookmarkStart w:id="948" w:name="bookmark1474"/>
      <w:r>
        <w:rPr>
          <w:color w:val="auto"/>
          <w:highlight w:val="none"/>
        </w:rPr>
        <w:t>20.6对各项保险的一般要求</w:t>
      </w:r>
      <w:bookmarkEnd w:id="945"/>
      <w:bookmarkEnd w:id="946"/>
      <w:bookmarkEnd w:id="947"/>
      <w:bookmarkEnd w:id="948"/>
    </w:p>
    <w:p w14:paraId="29D6A8BD">
      <w:pPr>
        <w:pStyle w:val="524"/>
        <w:spacing w:after="0" w:line="360" w:lineRule="auto"/>
        <w:ind w:firstLine="442"/>
        <w:rPr>
          <w:rFonts w:cs="宋体"/>
          <w:color w:val="auto"/>
          <w:szCs w:val="21"/>
          <w:highlight w:val="none"/>
        </w:rPr>
      </w:pPr>
      <w:r>
        <w:rPr>
          <w:rFonts w:hint="eastAsia" w:cs="宋体"/>
          <w:color w:val="auto"/>
          <w:szCs w:val="21"/>
          <w:highlight w:val="none"/>
        </w:rPr>
        <w:t>20. 6.</w:t>
      </w:r>
      <w:r>
        <w:rPr>
          <w:rFonts w:hint="eastAsia" w:cs="宋体"/>
          <w:color w:val="auto"/>
          <w:szCs w:val="21"/>
          <w:highlight w:val="none"/>
          <w:lang w:val="zh-CN" w:bidi="zh-CN"/>
        </w:rPr>
        <w:t>1保险凭证</w:t>
      </w:r>
    </w:p>
    <w:p w14:paraId="2B1412DC">
      <w:pPr>
        <w:pStyle w:val="523"/>
        <w:ind w:firstLine="442"/>
        <w:rPr>
          <w:rFonts w:ascii="Times New Roman" w:hAnsi="Times New Roman"/>
          <w:color w:val="auto"/>
          <w:szCs w:val="21"/>
          <w:highlight w:val="none"/>
        </w:rPr>
      </w:pPr>
      <w:r>
        <w:rPr>
          <w:rFonts w:hint="eastAsia" w:ascii="Times New Roman" w:hAnsi="Times New Roman"/>
          <w:color w:val="auto"/>
          <w:szCs w:val="21"/>
          <w:highlight w:val="none"/>
        </w:rPr>
        <w:t>承包人应在专用合同条款约定的期限内向发包人提交各项保险生效的证据和保险单副本，保险单必须与专用合同条款约定的条件保持一致。</w:t>
      </w:r>
    </w:p>
    <w:p w14:paraId="3C243E3D">
      <w:pPr>
        <w:pStyle w:val="523"/>
        <w:ind w:firstLine="442"/>
        <w:rPr>
          <w:rFonts w:ascii="Times New Roman" w:hAnsi="Times New Roman"/>
          <w:color w:val="auto"/>
          <w:szCs w:val="21"/>
          <w:highlight w:val="none"/>
        </w:rPr>
      </w:pPr>
      <w:r>
        <w:rPr>
          <w:rFonts w:hint="eastAsia" w:ascii="Times New Roman" w:hAnsi="Times New Roman"/>
          <w:color w:val="auto"/>
          <w:szCs w:val="21"/>
          <w:highlight w:val="none"/>
          <w:lang w:val="en-US" w:bidi="en-US"/>
        </w:rPr>
        <w:t>20.6.2</w:t>
      </w:r>
      <w:r>
        <w:rPr>
          <w:rFonts w:hint="eastAsia" w:ascii="Times New Roman" w:hAnsi="Times New Roman"/>
          <w:color w:val="auto"/>
          <w:szCs w:val="21"/>
          <w:highlight w:val="none"/>
        </w:rPr>
        <w:t>保险合同条款的变动</w:t>
      </w:r>
    </w:p>
    <w:p w14:paraId="55748C77">
      <w:pPr>
        <w:pStyle w:val="523"/>
        <w:ind w:firstLine="442"/>
        <w:rPr>
          <w:rFonts w:ascii="Times New Roman" w:hAnsi="Times New Roman"/>
          <w:color w:val="auto"/>
          <w:szCs w:val="21"/>
          <w:highlight w:val="none"/>
        </w:rPr>
      </w:pPr>
      <w:r>
        <w:rPr>
          <w:rFonts w:hint="eastAsia" w:ascii="Times New Roman" w:hAnsi="Times New Roman"/>
          <w:color w:val="auto"/>
          <w:szCs w:val="21"/>
          <w:highlight w:val="none"/>
        </w:rPr>
        <w:t>承包人需要变动保险合同条款时，应事先征得发包人同意，并通知监理人。保险人作出变动的，承包人应在收到保险人通知后立即通知发包人和监理人。</w:t>
      </w:r>
    </w:p>
    <w:p w14:paraId="733D970E">
      <w:pPr>
        <w:pStyle w:val="524"/>
        <w:spacing w:after="0" w:line="360" w:lineRule="auto"/>
        <w:ind w:firstLine="442"/>
        <w:rPr>
          <w:rFonts w:cs="宋体"/>
          <w:color w:val="auto"/>
          <w:szCs w:val="21"/>
          <w:highlight w:val="none"/>
        </w:rPr>
      </w:pPr>
      <w:r>
        <w:rPr>
          <w:rFonts w:hint="eastAsia" w:cs="宋体"/>
          <w:color w:val="auto"/>
          <w:szCs w:val="21"/>
          <w:highlight w:val="none"/>
        </w:rPr>
        <w:t>20.6.</w:t>
      </w:r>
      <w:r>
        <w:rPr>
          <w:rFonts w:hint="eastAsia" w:cs="宋体"/>
          <w:color w:val="auto"/>
          <w:szCs w:val="21"/>
          <w:highlight w:val="none"/>
          <w:lang w:val="zh-CN" w:bidi="zh-CN"/>
        </w:rPr>
        <w:t>3持续保险</w:t>
      </w:r>
    </w:p>
    <w:p w14:paraId="1CD8EE85">
      <w:pPr>
        <w:pStyle w:val="523"/>
        <w:ind w:firstLine="442"/>
        <w:rPr>
          <w:rFonts w:ascii="Times New Roman" w:hAnsi="Times New Roman"/>
          <w:color w:val="auto"/>
          <w:szCs w:val="21"/>
          <w:highlight w:val="none"/>
        </w:rPr>
      </w:pPr>
      <w:r>
        <w:rPr>
          <w:rFonts w:hint="eastAsia" w:ascii="Times New Roman" w:hAnsi="Times New Roman"/>
          <w:color w:val="auto"/>
          <w:szCs w:val="21"/>
          <w:highlight w:val="none"/>
        </w:rPr>
        <w:t>承包人应与保险人保持联系，使保险人能够随时了解工程实施中的变动，并确保按保险合同条款要求持续保险。</w:t>
      </w:r>
    </w:p>
    <w:p w14:paraId="494336AA">
      <w:pPr>
        <w:pStyle w:val="523"/>
        <w:ind w:firstLine="442"/>
        <w:rPr>
          <w:rFonts w:ascii="Times New Roman" w:hAnsi="Times New Roman"/>
          <w:color w:val="auto"/>
          <w:szCs w:val="21"/>
          <w:highlight w:val="none"/>
        </w:rPr>
      </w:pPr>
      <w:r>
        <w:rPr>
          <w:rFonts w:hint="eastAsia" w:ascii="Times New Roman" w:hAnsi="Times New Roman"/>
          <w:color w:val="auto"/>
          <w:szCs w:val="21"/>
          <w:highlight w:val="none"/>
          <w:lang w:val="en-US" w:bidi="en-US"/>
        </w:rPr>
        <w:t>20.6.4</w:t>
      </w:r>
      <w:r>
        <w:rPr>
          <w:rFonts w:hint="eastAsia" w:ascii="Times New Roman" w:hAnsi="Times New Roman"/>
          <w:color w:val="auto"/>
          <w:szCs w:val="21"/>
          <w:highlight w:val="none"/>
        </w:rPr>
        <w:t>保险金不足的补偿</w:t>
      </w:r>
    </w:p>
    <w:p w14:paraId="3294E323">
      <w:pPr>
        <w:pStyle w:val="523"/>
        <w:ind w:firstLine="442"/>
        <w:rPr>
          <w:rFonts w:ascii="Times New Roman" w:hAnsi="Times New Roman"/>
          <w:color w:val="auto"/>
          <w:szCs w:val="21"/>
          <w:highlight w:val="none"/>
        </w:rPr>
      </w:pPr>
      <w:r>
        <w:rPr>
          <w:rFonts w:hint="eastAsia" w:ascii="Times New Roman" w:hAnsi="Times New Roman"/>
          <w:color w:val="auto"/>
          <w:szCs w:val="21"/>
          <w:highlight w:val="none"/>
        </w:rPr>
        <w:t>保险金不足以补偿损失时，应由承包人和发包人各自负责补偿的范围和金额在专用合 同条款中约定。</w:t>
      </w:r>
    </w:p>
    <w:p w14:paraId="14DA8537">
      <w:pPr>
        <w:pStyle w:val="523"/>
        <w:ind w:firstLine="442"/>
        <w:rPr>
          <w:rFonts w:ascii="Times New Roman" w:hAnsi="Times New Roman"/>
          <w:color w:val="auto"/>
          <w:szCs w:val="21"/>
          <w:highlight w:val="none"/>
        </w:rPr>
      </w:pPr>
      <w:r>
        <w:rPr>
          <w:rFonts w:hint="eastAsia" w:ascii="Times New Roman" w:hAnsi="Times New Roman"/>
          <w:color w:val="auto"/>
          <w:szCs w:val="21"/>
          <w:highlight w:val="none"/>
          <w:lang w:val="en-US" w:eastAsia="en-US" w:bidi="en-US"/>
        </w:rPr>
        <w:t>20. 6.</w:t>
      </w:r>
      <w:r>
        <w:rPr>
          <w:rFonts w:hint="eastAsia" w:ascii="Times New Roman" w:hAnsi="Times New Roman"/>
          <w:color w:val="auto"/>
          <w:szCs w:val="21"/>
          <w:highlight w:val="none"/>
        </w:rPr>
        <w:t>5未按约定投保的补救</w:t>
      </w:r>
    </w:p>
    <w:p w14:paraId="1E355E1B">
      <w:pPr>
        <w:pStyle w:val="523"/>
        <w:numPr>
          <w:ilvl w:val="0"/>
          <w:numId w:val="37"/>
        </w:numPr>
        <w:tabs>
          <w:tab w:val="left" w:pos="903"/>
        </w:tabs>
        <w:ind w:firstLine="440"/>
        <w:rPr>
          <w:rFonts w:ascii="Times New Roman" w:hAnsi="Times New Roman"/>
          <w:color w:val="auto"/>
          <w:szCs w:val="21"/>
          <w:highlight w:val="none"/>
        </w:rPr>
      </w:pPr>
      <w:bookmarkStart w:id="949" w:name="bookmark1475"/>
      <w:bookmarkEnd w:id="949"/>
      <w:r>
        <w:rPr>
          <w:rFonts w:hint="eastAsia" w:ascii="Times New Roman" w:hAnsi="Times New Roman"/>
          <w:color w:val="auto"/>
          <w:szCs w:val="21"/>
          <w:highlight w:val="none"/>
        </w:rPr>
        <w:t>由于负有投保义务的一方当事人未按合同约定办理保险，或未能使保险持续有效的，另一方当事人可代为办理，所需费用由对方当事人承担。</w:t>
      </w:r>
    </w:p>
    <w:p w14:paraId="00680475">
      <w:pPr>
        <w:pStyle w:val="523"/>
        <w:numPr>
          <w:ilvl w:val="0"/>
          <w:numId w:val="37"/>
        </w:numPr>
        <w:tabs>
          <w:tab w:val="left" w:pos="915"/>
        </w:tabs>
        <w:ind w:firstLine="440"/>
        <w:rPr>
          <w:rFonts w:ascii="Times New Roman" w:hAnsi="Times New Roman"/>
          <w:color w:val="auto"/>
          <w:szCs w:val="21"/>
          <w:highlight w:val="none"/>
        </w:rPr>
      </w:pPr>
      <w:bookmarkStart w:id="950" w:name="bookmark1476"/>
      <w:bookmarkEnd w:id="950"/>
      <w:r>
        <w:rPr>
          <w:rFonts w:hint="eastAsia" w:ascii="Times New Roman" w:hAnsi="Times New Roman"/>
          <w:color w:val="auto"/>
          <w:szCs w:val="21"/>
          <w:highlight w:val="none"/>
        </w:rPr>
        <w:t>由于负有投保义务的一方当事人未按合同约定办理某项保险，导致受益人未能得到保险人的赔偿，原应从该项保险得到的保险金应由负有投保义务的一方当事人支付。</w:t>
      </w:r>
    </w:p>
    <w:p w14:paraId="317FBD65">
      <w:pPr>
        <w:pStyle w:val="524"/>
        <w:spacing w:after="0" w:line="360" w:lineRule="auto"/>
        <w:rPr>
          <w:rFonts w:cs="宋体"/>
          <w:color w:val="auto"/>
          <w:szCs w:val="21"/>
          <w:highlight w:val="none"/>
        </w:rPr>
      </w:pPr>
      <w:r>
        <w:rPr>
          <w:rFonts w:hint="eastAsia" w:cs="宋体"/>
          <w:color w:val="auto"/>
          <w:szCs w:val="21"/>
          <w:highlight w:val="none"/>
        </w:rPr>
        <w:t>20.6.6</w:t>
      </w:r>
      <w:r>
        <w:rPr>
          <w:rFonts w:hint="eastAsia" w:cs="宋体"/>
          <w:color w:val="auto"/>
          <w:szCs w:val="21"/>
          <w:highlight w:val="none"/>
          <w:lang w:val="zh-CN" w:bidi="zh-CN"/>
        </w:rPr>
        <w:t>报告义务</w:t>
      </w:r>
    </w:p>
    <w:p w14:paraId="0C918AB6">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rPr>
        <w:t>当保险事故发生时，投保人应按照保险单规定的条件和期限及时向保险人报告。</w:t>
      </w:r>
    </w:p>
    <w:p w14:paraId="468320C3">
      <w:pPr>
        <w:spacing w:line="360" w:lineRule="auto"/>
        <w:rPr>
          <w:color w:val="auto"/>
          <w:highlight w:val="none"/>
        </w:rPr>
      </w:pPr>
      <w:bookmarkStart w:id="951" w:name="bookmark1477"/>
      <w:bookmarkStart w:id="952" w:name="_Toc12103"/>
      <w:bookmarkStart w:id="953" w:name="bookmark1479"/>
      <w:bookmarkStart w:id="954" w:name="bookmark1478"/>
      <w:r>
        <w:rPr>
          <w:color w:val="auto"/>
          <w:highlight w:val="none"/>
        </w:rPr>
        <w:t>20.7风险责任的转移</w:t>
      </w:r>
      <w:bookmarkEnd w:id="951"/>
      <w:bookmarkEnd w:id="952"/>
      <w:bookmarkEnd w:id="953"/>
      <w:bookmarkEnd w:id="954"/>
    </w:p>
    <w:p w14:paraId="2F8CBEF8">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工程通过合同工程完工验收并移交给发包人后，原由承包人应承担的风险责任，以及保险的责任、权利和义务同时转移给发包人，但承包人在缺陷责任期(工程质量保修期) 前造成损失和损坏情形除外</w:t>
      </w:r>
      <w:r>
        <w:rPr>
          <w:rFonts w:hint="eastAsia" w:ascii="Times New Roman" w:hAnsi="Times New Roman"/>
          <w:color w:val="auto"/>
          <w:szCs w:val="21"/>
          <w:highlight w:val="none"/>
          <w:lang w:val="en-US" w:bidi="en-US"/>
        </w:rPr>
        <w:t>。</w:t>
      </w:r>
    </w:p>
    <w:p w14:paraId="4586F9AC">
      <w:pPr>
        <w:pStyle w:val="5"/>
        <w:spacing w:line="360" w:lineRule="auto"/>
        <w:rPr>
          <w:color w:val="auto"/>
          <w:highlight w:val="none"/>
        </w:rPr>
      </w:pPr>
      <w:bookmarkStart w:id="955" w:name="bookmark1480"/>
      <w:bookmarkStart w:id="956" w:name="bookmark1481"/>
      <w:bookmarkStart w:id="957" w:name="_Toc5879"/>
      <w:bookmarkStart w:id="958" w:name="bookmark1482"/>
      <w:bookmarkStart w:id="959" w:name="_Toc13660"/>
      <w:bookmarkStart w:id="960" w:name="_Toc147350626"/>
      <w:bookmarkStart w:id="961" w:name="_Toc1105309634"/>
      <w:r>
        <w:rPr>
          <w:rFonts w:hint="eastAsia"/>
          <w:color w:val="auto"/>
          <w:highlight w:val="none"/>
        </w:rPr>
        <w:t>21.不可抗力</w:t>
      </w:r>
      <w:bookmarkEnd w:id="955"/>
      <w:bookmarkEnd w:id="956"/>
      <w:bookmarkEnd w:id="957"/>
      <w:bookmarkEnd w:id="958"/>
      <w:bookmarkEnd w:id="959"/>
      <w:bookmarkEnd w:id="960"/>
      <w:bookmarkEnd w:id="961"/>
    </w:p>
    <w:p w14:paraId="6625238F">
      <w:pPr>
        <w:spacing w:line="360" w:lineRule="auto"/>
        <w:rPr>
          <w:color w:val="auto"/>
          <w:highlight w:val="none"/>
        </w:rPr>
      </w:pPr>
      <w:bookmarkStart w:id="962" w:name="bookmark1484"/>
      <w:bookmarkStart w:id="963" w:name="bookmark1485"/>
      <w:bookmarkStart w:id="964" w:name="bookmark1483"/>
      <w:bookmarkStart w:id="965" w:name="_Toc15722"/>
      <w:r>
        <w:rPr>
          <w:color w:val="auto"/>
          <w:highlight w:val="none"/>
        </w:rPr>
        <w:t>21.1不可抗力的确认</w:t>
      </w:r>
      <w:bookmarkEnd w:id="962"/>
      <w:bookmarkEnd w:id="963"/>
      <w:bookmarkEnd w:id="964"/>
      <w:bookmarkEnd w:id="965"/>
    </w:p>
    <w:p w14:paraId="39D20A41">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21.1.1</w:t>
      </w:r>
      <w:r>
        <w:rPr>
          <w:rFonts w:hint="eastAsia" w:ascii="Times New Roman" w:hAnsi="Times New Roman"/>
          <w:color w:val="auto"/>
          <w:szCs w:val="21"/>
          <w:highlight w:val="none"/>
        </w:rPr>
        <w:t>不可抗力是指承包人和发包人在订立合同时不可预见，在工程施工过程中不可避免发生并不能克服的自然灾害和社会性突发事件，如地震、海啸、瘟疫、水灾、骚乱、 暴动、战争和专用合同条款约定的其他情形。</w:t>
      </w:r>
    </w:p>
    <w:p w14:paraId="49E02944">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21.1.2</w:t>
      </w:r>
      <w:r>
        <w:rPr>
          <w:rFonts w:hint="eastAsia" w:ascii="Times New Roman" w:hAnsi="Times New Roman"/>
          <w:color w:val="auto"/>
          <w:szCs w:val="21"/>
          <w:highlight w:val="none"/>
        </w:rPr>
        <w:t>不可抗力发生后，发包人和承包人应及时认真统计所造成的损失，收集不可抗力造成损失的证据。合同双方对是否属于不可抗力或其损失的意见不一致的，由监理人按第</w:t>
      </w:r>
      <w:r>
        <w:rPr>
          <w:rFonts w:hint="eastAsia" w:ascii="Times New Roman" w:hAnsi="Times New Roman"/>
          <w:color w:val="auto"/>
          <w:szCs w:val="21"/>
          <w:highlight w:val="none"/>
          <w:lang w:val="en-US" w:bidi="en-US"/>
        </w:rPr>
        <w:t xml:space="preserve">3. </w:t>
      </w:r>
      <w:r>
        <w:rPr>
          <w:rFonts w:hint="eastAsia" w:ascii="Times New Roman" w:hAnsi="Times New Roman"/>
          <w:color w:val="auto"/>
          <w:szCs w:val="21"/>
          <w:highlight w:val="none"/>
        </w:rPr>
        <w:t>5款商定或确定。发生争议时，按第24条的约定办理。</w:t>
      </w:r>
    </w:p>
    <w:p w14:paraId="379C04BF">
      <w:pPr>
        <w:spacing w:line="360" w:lineRule="auto"/>
        <w:rPr>
          <w:color w:val="auto"/>
          <w:highlight w:val="none"/>
        </w:rPr>
      </w:pPr>
      <w:bookmarkStart w:id="966" w:name="_Toc5372"/>
      <w:bookmarkStart w:id="967" w:name="bookmark1487"/>
      <w:bookmarkStart w:id="968" w:name="bookmark1486"/>
      <w:bookmarkStart w:id="969" w:name="bookmark1488"/>
      <w:r>
        <w:rPr>
          <w:color w:val="auto"/>
          <w:highlight w:val="none"/>
        </w:rPr>
        <w:t>21.2不可抗力的通知</w:t>
      </w:r>
      <w:bookmarkEnd w:id="966"/>
      <w:bookmarkEnd w:id="967"/>
      <w:bookmarkEnd w:id="968"/>
      <w:bookmarkEnd w:id="969"/>
    </w:p>
    <w:p w14:paraId="776EF491">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21.2.1</w:t>
      </w:r>
      <w:r>
        <w:rPr>
          <w:rFonts w:hint="eastAsia" w:ascii="Times New Roman" w:hAnsi="Times New Roman"/>
          <w:color w:val="auto"/>
          <w:szCs w:val="21"/>
          <w:highlight w:val="none"/>
        </w:rPr>
        <w:t>合同一方当事人遇到不可抗力事件，使其履行合同义务受到阻碍时，应立即通知合同另一方当事人和监理人，书面说明不可抗力和受阻碍的详细情况，并提供必要的证明。</w:t>
      </w:r>
    </w:p>
    <w:p w14:paraId="76A94F11">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21.2.2</w:t>
      </w:r>
      <w:r>
        <w:rPr>
          <w:rFonts w:hint="eastAsia" w:ascii="Times New Roman" w:hAnsi="Times New Roman"/>
          <w:color w:val="auto"/>
          <w:szCs w:val="21"/>
          <w:highlight w:val="none"/>
        </w:rPr>
        <w:t>如不可抗力持续发生，合同一方当事人应及时向合同另一方当事人和监理人提交中间报告，说明不可抗力和履行合同受阻的情况，并于不可抗力事件结束后28天内提交最终报告及有关资料。</w:t>
      </w:r>
    </w:p>
    <w:p w14:paraId="584B2AB2">
      <w:pPr>
        <w:spacing w:line="360" w:lineRule="auto"/>
        <w:rPr>
          <w:color w:val="auto"/>
          <w:highlight w:val="none"/>
        </w:rPr>
      </w:pPr>
      <w:bookmarkStart w:id="970" w:name="bookmark1491"/>
      <w:bookmarkStart w:id="971" w:name="bookmark1489"/>
      <w:bookmarkStart w:id="972" w:name="_Toc17208"/>
      <w:bookmarkStart w:id="973" w:name="bookmark1490"/>
      <w:r>
        <w:rPr>
          <w:color w:val="auto"/>
          <w:highlight w:val="none"/>
        </w:rPr>
        <w:t>21.3不可抗力后果及其处理</w:t>
      </w:r>
      <w:bookmarkEnd w:id="970"/>
      <w:bookmarkEnd w:id="971"/>
      <w:bookmarkEnd w:id="972"/>
      <w:bookmarkEnd w:id="973"/>
    </w:p>
    <w:p w14:paraId="56B1E1AE">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21.3.1</w:t>
      </w:r>
      <w:r>
        <w:rPr>
          <w:rFonts w:hint="eastAsia" w:ascii="Times New Roman" w:hAnsi="Times New Roman"/>
          <w:color w:val="auto"/>
          <w:szCs w:val="21"/>
          <w:highlight w:val="none"/>
        </w:rPr>
        <w:t>不可抗力造成损害的责任</w:t>
      </w:r>
    </w:p>
    <w:p w14:paraId="012BA316">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除专用合同条款另有约定外，不可抗力导致的人员伤亡、财产损失、费用增加和(或) 工期延误等后果，由合同双方按以下原则承担：</w:t>
      </w:r>
    </w:p>
    <w:p w14:paraId="021C326D">
      <w:pPr>
        <w:pStyle w:val="523"/>
        <w:numPr>
          <w:ilvl w:val="0"/>
          <w:numId w:val="38"/>
        </w:numPr>
        <w:tabs>
          <w:tab w:val="left" w:pos="903"/>
        </w:tabs>
        <w:ind w:firstLine="440"/>
        <w:rPr>
          <w:rFonts w:ascii="Times New Roman" w:hAnsi="Times New Roman"/>
          <w:color w:val="auto"/>
          <w:szCs w:val="21"/>
          <w:highlight w:val="none"/>
        </w:rPr>
      </w:pPr>
      <w:bookmarkStart w:id="974" w:name="bookmark1492"/>
      <w:bookmarkEnd w:id="974"/>
      <w:r>
        <w:rPr>
          <w:rFonts w:hint="eastAsia" w:ascii="Times New Roman" w:hAnsi="Times New Roman"/>
          <w:color w:val="auto"/>
          <w:szCs w:val="21"/>
          <w:highlight w:val="none"/>
        </w:rPr>
        <w:t>永久工程，包括已运至施工场地的材料和工程设备的损害，以及因工程损害造成的第三者人员伤亡和财产损失由发包人承担；</w:t>
      </w:r>
    </w:p>
    <w:p w14:paraId="0EC73241">
      <w:pPr>
        <w:pStyle w:val="523"/>
        <w:numPr>
          <w:ilvl w:val="0"/>
          <w:numId w:val="38"/>
        </w:numPr>
        <w:tabs>
          <w:tab w:val="left" w:pos="923"/>
        </w:tabs>
        <w:ind w:firstLine="440"/>
        <w:rPr>
          <w:rFonts w:ascii="Times New Roman" w:hAnsi="Times New Roman"/>
          <w:color w:val="auto"/>
          <w:szCs w:val="21"/>
          <w:highlight w:val="none"/>
        </w:rPr>
      </w:pPr>
      <w:bookmarkStart w:id="975" w:name="bookmark1493"/>
      <w:bookmarkEnd w:id="975"/>
      <w:r>
        <w:rPr>
          <w:rFonts w:hint="eastAsia" w:ascii="Times New Roman" w:hAnsi="Times New Roman"/>
          <w:color w:val="auto"/>
          <w:szCs w:val="21"/>
          <w:highlight w:val="none"/>
        </w:rPr>
        <w:t>承包人设备的损坏由承包人承担；</w:t>
      </w:r>
    </w:p>
    <w:p w14:paraId="0ADF9E80">
      <w:pPr>
        <w:pStyle w:val="523"/>
        <w:numPr>
          <w:ilvl w:val="0"/>
          <w:numId w:val="38"/>
        </w:numPr>
        <w:tabs>
          <w:tab w:val="left" w:pos="923"/>
        </w:tabs>
        <w:ind w:firstLine="440"/>
        <w:rPr>
          <w:rFonts w:ascii="Times New Roman" w:hAnsi="Times New Roman"/>
          <w:color w:val="auto"/>
          <w:szCs w:val="21"/>
          <w:highlight w:val="none"/>
        </w:rPr>
      </w:pPr>
      <w:bookmarkStart w:id="976" w:name="bookmark1494"/>
      <w:bookmarkEnd w:id="976"/>
      <w:r>
        <w:rPr>
          <w:rFonts w:hint="eastAsia" w:ascii="Times New Roman" w:hAnsi="Times New Roman"/>
          <w:color w:val="auto"/>
          <w:szCs w:val="21"/>
          <w:highlight w:val="none"/>
        </w:rPr>
        <w:t>发包人和承包人各自承担其人员伤亡和其他财产损失及其相关费用；</w:t>
      </w:r>
    </w:p>
    <w:p w14:paraId="3FD04624">
      <w:pPr>
        <w:pStyle w:val="523"/>
        <w:numPr>
          <w:ilvl w:val="0"/>
          <w:numId w:val="38"/>
        </w:numPr>
        <w:tabs>
          <w:tab w:val="left" w:pos="915"/>
        </w:tabs>
        <w:ind w:firstLine="440"/>
        <w:rPr>
          <w:rFonts w:ascii="Times New Roman" w:hAnsi="Times New Roman"/>
          <w:color w:val="auto"/>
          <w:szCs w:val="21"/>
          <w:highlight w:val="none"/>
        </w:rPr>
      </w:pPr>
      <w:bookmarkStart w:id="977" w:name="bookmark1495"/>
      <w:bookmarkEnd w:id="977"/>
      <w:r>
        <w:rPr>
          <w:rFonts w:hint="eastAsia" w:ascii="Times New Roman" w:hAnsi="Times New Roman"/>
          <w:color w:val="auto"/>
          <w:szCs w:val="21"/>
          <w:highlight w:val="none"/>
        </w:rPr>
        <w:t>承包人的停工损失由承包人承担，但停工期间应监理人要求照管工程和清理、修复工程的金额由发包人承担；</w:t>
      </w:r>
    </w:p>
    <w:p w14:paraId="341FA6A9">
      <w:pPr>
        <w:pStyle w:val="523"/>
        <w:numPr>
          <w:ilvl w:val="0"/>
          <w:numId w:val="38"/>
        </w:numPr>
        <w:tabs>
          <w:tab w:val="left" w:pos="920"/>
        </w:tabs>
        <w:ind w:firstLine="440"/>
        <w:rPr>
          <w:rFonts w:ascii="Times New Roman" w:hAnsi="Times New Roman"/>
          <w:color w:val="auto"/>
          <w:szCs w:val="21"/>
          <w:highlight w:val="none"/>
        </w:rPr>
      </w:pPr>
      <w:bookmarkStart w:id="978" w:name="bookmark1496"/>
      <w:bookmarkEnd w:id="978"/>
      <w:r>
        <w:rPr>
          <w:rFonts w:hint="eastAsia" w:ascii="Times New Roman" w:hAnsi="Times New Roman"/>
          <w:color w:val="auto"/>
          <w:szCs w:val="21"/>
          <w:highlight w:val="none"/>
        </w:rPr>
        <w:t>不能按期竣工的，应合理延长工期，承包人不需支付逾期竣工违约金。发包人要求赶工的，承包人应采取赶工措施，赶工费用由发包人承担。</w:t>
      </w:r>
    </w:p>
    <w:p w14:paraId="3D497FCE">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21.3.2</w:t>
      </w:r>
      <w:r>
        <w:rPr>
          <w:rFonts w:hint="eastAsia" w:ascii="Times New Roman" w:hAnsi="Times New Roman"/>
          <w:color w:val="auto"/>
          <w:szCs w:val="21"/>
          <w:highlight w:val="none"/>
        </w:rPr>
        <w:t>延迟履行期间发生的不可抗力</w:t>
      </w:r>
    </w:p>
    <w:p w14:paraId="47B8D694">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合同一方当事人延迟履行，在延迟履行期间发生不可抗力的，不免除其责任。</w:t>
      </w:r>
    </w:p>
    <w:p w14:paraId="190CD651">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rPr>
        <w:t>21.3.3</w:t>
      </w:r>
      <w:r>
        <w:rPr>
          <w:rFonts w:hint="eastAsia" w:ascii="Times New Roman" w:hAnsi="Times New Roman"/>
          <w:color w:val="auto"/>
          <w:szCs w:val="21"/>
          <w:highlight w:val="none"/>
        </w:rPr>
        <w:t>避免和减少不可抗力损失</w:t>
      </w:r>
    </w:p>
    <w:p w14:paraId="1C86A025">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不可抗力发生后，发包人和承包人均应采取措施尽量避免和减少损失的扩大，任何一 方没有采取有效措施导致损失扩大的，应对扩大的损失承担责任。</w:t>
      </w:r>
    </w:p>
    <w:p w14:paraId="73BA6030">
      <w:pPr>
        <w:pStyle w:val="523"/>
        <w:ind w:firstLine="440"/>
        <w:rPr>
          <w:rFonts w:ascii="Times New Roman" w:hAnsi="Times New Roman"/>
          <w:color w:val="auto"/>
          <w:szCs w:val="21"/>
          <w:highlight w:val="none"/>
          <w:lang w:val="en-US"/>
        </w:rPr>
      </w:pPr>
      <w:r>
        <w:rPr>
          <w:rFonts w:hint="eastAsia" w:ascii="Times New Roman" w:hAnsi="Times New Roman"/>
          <w:color w:val="auto"/>
          <w:szCs w:val="21"/>
          <w:highlight w:val="none"/>
          <w:lang w:val="en-US"/>
        </w:rPr>
        <w:t>21.3.4因不可抗力解除合同</w:t>
      </w:r>
    </w:p>
    <w:p w14:paraId="50090CD8">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合同一方当事人因不可抗力不能履行合同的，应当及时通知对方解除合同。合同解除后，承包人应按照第</w:t>
      </w:r>
      <w:r>
        <w:rPr>
          <w:rFonts w:hint="eastAsia" w:ascii="Times New Roman" w:hAnsi="Times New Roman"/>
          <w:color w:val="auto"/>
          <w:szCs w:val="21"/>
          <w:highlight w:val="none"/>
          <w:lang w:val="en-US" w:bidi="en-US"/>
        </w:rPr>
        <w:t>22.2.5</w:t>
      </w:r>
      <w:r>
        <w:rPr>
          <w:rFonts w:hint="eastAsia" w:ascii="Times New Roman" w:hAnsi="Times New Roman"/>
          <w:color w:val="auto"/>
          <w:szCs w:val="21"/>
          <w:highlight w:val="none"/>
        </w:rPr>
        <w:t>项约定撤离施工场地。已经订货的材料、设备由订货方负责退货或解除订货合同，不能退还的货款和因退货、解除订货合同发生的费用，由发包人承担, 因未及时退货造成的损失由责任方承担。合同解除后的付款，参照第</w:t>
      </w:r>
      <w:r>
        <w:rPr>
          <w:rFonts w:hint="eastAsia" w:ascii="Times New Roman" w:hAnsi="Times New Roman"/>
          <w:color w:val="auto"/>
          <w:szCs w:val="21"/>
          <w:highlight w:val="none"/>
          <w:lang w:val="en-US" w:bidi="en-US"/>
        </w:rPr>
        <w:t>22. 2.4</w:t>
      </w:r>
      <w:r>
        <w:rPr>
          <w:rFonts w:hint="eastAsia" w:ascii="Times New Roman" w:hAnsi="Times New Roman"/>
          <w:color w:val="auto"/>
          <w:szCs w:val="21"/>
          <w:highlight w:val="none"/>
        </w:rPr>
        <w:t>项约定，由监理人按第</w:t>
      </w:r>
      <w:r>
        <w:rPr>
          <w:rFonts w:hint="eastAsia" w:ascii="Times New Roman" w:hAnsi="Times New Roman"/>
          <w:color w:val="auto"/>
          <w:szCs w:val="21"/>
          <w:highlight w:val="none"/>
          <w:lang w:val="en-US" w:bidi="en-US"/>
        </w:rPr>
        <w:t xml:space="preserve">3. </w:t>
      </w:r>
      <w:r>
        <w:rPr>
          <w:rFonts w:hint="eastAsia" w:ascii="Times New Roman" w:hAnsi="Times New Roman"/>
          <w:color w:val="auto"/>
          <w:szCs w:val="21"/>
          <w:highlight w:val="none"/>
        </w:rPr>
        <w:t>5款商定或确定。</w:t>
      </w:r>
    </w:p>
    <w:p w14:paraId="063E9A9B">
      <w:pPr>
        <w:pStyle w:val="5"/>
        <w:spacing w:line="360" w:lineRule="auto"/>
        <w:rPr>
          <w:color w:val="auto"/>
          <w:highlight w:val="none"/>
        </w:rPr>
      </w:pPr>
      <w:bookmarkStart w:id="979" w:name="_Toc147350627"/>
      <w:bookmarkStart w:id="980" w:name="_Toc15435"/>
      <w:bookmarkStart w:id="981" w:name="_Toc1370608202"/>
      <w:bookmarkStart w:id="982" w:name="_Toc6299"/>
      <w:bookmarkStart w:id="983" w:name="bookmark1499"/>
      <w:bookmarkStart w:id="984" w:name="bookmark1498"/>
      <w:bookmarkStart w:id="985" w:name="bookmark1497"/>
      <w:r>
        <w:rPr>
          <w:rFonts w:hint="eastAsia"/>
          <w:color w:val="auto"/>
          <w:highlight w:val="none"/>
        </w:rPr>
        <w:t>22.违约</w:t>
      </w:r>
      <w:bookmarkEnd w:id="979"/>
      <w:bookmarkEnd w:id="980"/>
      <w:bookmarkEnd w:id="981"/>
      <w:bookmarkEnd w:id="982"/>
      <w:bookmarkEnd w:id="983"/>
    </w:p>
    <w:p w14:paraId="2ABDE182">
      <w:pPr>
        <w:spacing w:line="360" w:lineRule="auto"/>
        <w:rPr>
          <w:color w:val="auto"/>
          <w:highlight w:val="none"/>
        </w:rPr>
      </w:pPr>
      <w:bookmarkStart w:id="986" w:name="bookmark1500"/>
      <w:bookmarkStart w:id="987" w:name="_Toc15198"/>
      <w:r>
        <w:rPr>
          <w:color w:val="auto"/>
          <w:highlight w:val="none"/>
        </w:rPr>
        <w:t>22.1承包人违约</w:t>
      </w:r>
      <w:bookmarkEnd w:id="984"/>
      <w:bookmarkEnd w:id="985"/>
      <w:bookmarkEnd w:id="986"/>
      <w:bookmarkEnd w:id="987"/>
    </w:p>
    <w:p w14:paraId="518110B7">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lang w:val="en-US" w:bidi="en-US"/>
        </w:rPr>
        <w:t>22.1.1</w:t>
      </w:r>
      <w:r>
        <w:rPr>
          <w:rFonts w:hint="eastAsia" w:ascii="Times New Roman" w:hAnsi="Times New Roman"/>
          <w:color w:val="auto"/>
          <w:szCs w:val="21"/>
          <w:highlight w:val="none"/>
        </w:rPr>
        <w:t>承包人违约的情形</w:t>
      </w:r>
    </w:p>
    <w:p w14:paraId="5F6B2A2D">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rPr>
        <w:t>在履行合同过程中发生的下列情况属承包人违约：</w:t>
      </w:r>
    </w:p>
    <w:p w14:paraId="2D3DD731">
      <w:pPr>
        <w:pStyle w:val="523"/>
        <w:numPr>
          <w:ilvl w:val="0"/>
          <w:numId w:val="39"/>
        </w:numPr>
        <w:tabs>
          <w:tab w:val="left" w:pos="920"/>
        </w:tabs>
        <w:ind w:firstLine="440"/>
        <w:rPr>
          <w:rFonts w:ascii="Times New Roman" w:hAnsi="Times New Roman"/>
          <w:color w:val="auto"/>
          <w:szCs w:val="21"/>
          <w:highlight w:val="none"/>
        </w:rPr>
      </w:pPr>
      <w:bookmarkStart w:id="988" w:name="bookmark1501"/>
      <w:bookmarkEnd w:id="988"/>
      <w:r>
        <w:rPr>
          <w:rFonts w:hint="eastAsia" w:ascii="Times New Roman" w:hAnsi="Times New Roman"/>
          <w:color w:val="auto"/>
          <w:szCs w:val="21"/>
          <w:highlight w:val="none"/>
        </w:rPr>
        <w:t>承包人违反第</w:t>
      </w:r>
      <w:r>
        <w:rPr>
          <w:rFonts w:hint="eastAsia" w:ascii="Times New Roman" w:hAnsi="Times New Roman"/>
          <w:color w:val="auto"/>
          <w:szCs w:val="21"/>
          <w:highlight w:val="none"/>
          <w:lang w:val="en-US" w:bidi="en-US"/>
        </w:rPr>
        <w:t>1.8</w:t>
      </w:r>
      <w:r>
        <w:rPr>
          <w:rFonts w:hint="eastAsia" w:ascii="Times New Roman" w:hAnsi="Times New Roman"/>
          <w:color w:val="auto"/>
          <w:szCs w:val="21"/>
          <w:highlight w:val="none"/>
        </w:rPr>
        <w:t>款或第</w:t>
      </w:r>
      <w:r>
        <w:rPr>
          <w:rFonts w:hint="eastAsia" w:ascii="Times New Roman" w:hAnsi="Times New Roman"/>
          <w:color w:val="auto"/>
          <w:szCs w:val="21"/>
          <w:highlight w:val="none"/>
          <w:lang w:val="en-US" w:bidi="en-US"/>
        </w:rPr>
        <w:t xml:space="preserve">4. </w:t>
      </w:r>
      <w:r>
        <w:rPr>
          <w:rFonts w:hint="eastAsia" w:ascii="Times New Roman" w:hAnsi="Times New Roman"/>
          <w:color w:val="auto"/>
          <w:szCs w:val="21"/>
          <w:highlight w:val="none"/>
        </w:rPr>
        <w:t>3款的约定，私自将合同的全部或部分权利转让给其他人，或私自将合同的全部或部分义务转移给其他人；</w:t>
      </w:r>
    </w:p>
    <w:p w14:paraId="38753A48">
      <w:pPr>
        <w:pStyle w:val="523"/>
        <w:numPr>
          <w:ilvl w:val="0"/>
          <w:numId w:val="39"/>
        </w:numPr>
        <w:tabs>
          <w:tab w:val="left" w:pos="920"/>
        </w:tabs>
        <w:ind w:firstLine="440"/>
        <w:rPr>
          <w:rFonts w:ascii="Times New Roman" w:hAnsi="Times New Roman"/>
          <w:color w:val="auto"/>
          <w:szCs w:val="21"/>
          <w:highlight w:val="none"/>
        </w:rPr>
      </w:pPr>
      <w:bookmarkStart w:id="989" w:name="bookmark1502"/>
      <w:bookmarkEnd w:id="989"/>
      <w:r>
        <w:rPr>
          <w:rFonts w:hint="eastAsia" w:ascii="Times New Roman" w:hAnsi="Times New Roman"/>
          <w:color w:val="auto"/>
          <w:szCs w:val="21"/>
          <w:highlight w:val="none"/>
        </w:rPr>
        <w:t>承包人违反第</w:t>
      </w:r>
      <w:r>
        <w:rPr>
          <w:rFonts w:hint="eastAsia" w:ascii="Times New Roman" w:hAnsi="Times New Roman"/>
          <w:color w:val="auto"/>
          <w:szCs w:val="21"/>
          <w:highlight w:val="none"/>
          <w:lang w:val="en-US" w:bidi="en-US"/>
        </w:rPr>
        <w:t xml:space="preserve">5. </w:t>
      </w:r>
      <w:r>
        <w:rPr>
          <w:rFonts w:hint="eastAsia" w:ascii="Times New Roman" w:hAnsi="Times New Roman"/>
          <w:color w:val="auto"/>
          <w:szCs w:val="21"/>
          <w:highlight w:val="none"/>
        </w:rPr>
        <w:t>3款或第</w:t>
      </w:r>
      <w:r>
        <w:rPr>
          <w:rFonts w:hint="eastAsia" w:ascii="Times New Roman" w:hAnsi="Times New Roman"/>
          <w:color w:val="auto"/>
          <w:szCs w:val="21"/>
          <w:highlight w:val="none"/>
          <w:lang w:val="en-US" w:bidi="en-US"/>
        </w:rPr>
        <w:t xml:space="preserve">6. </w:t>
      </w:r>
      <w:r>
        <w:rPr>
          <w:rFonts w:hint="eastAsia" w:ascii="Times New Roman" w:hAnsi="Times New Roman"/>
          <w:color w:val="auto"/>
          <w:szCs w:val="21"/>
          <w:highlight w:val="none"/>
        </w:rPr>
        <w:t>4款的约定，未经监理人批准，私自将已按合同约定进入施工场地的施工设备、临时设施或材料撤离施工场地；</w:t>
      </w:r>
    </w:p>
    <w:p w14:paraId="0449C0F0">
      <w:pPr>
        <w:pStyle w:val="523"/>
        <w:numPr>
          <w:ilvl w:val="0"/>
          <w:numId w:val="39"/>
        </w:numPr>
        <w:tabs>
          <w:tab w:val="left" w:pos="922"/>
        </w:tabs>
        <w:ind w:firstLine="440"/>
        <w:rPr>
          <w:rFonts w:ascii="Times New Roman" w:hAnsi="Times New Roman"/>
          <w:color w:val="auto"/>
          <w:szCs w:val="21"/>
          <w:highlight w:val="none"/>
        </w:rPr>
      </w:pPr>
      <w:bookmarkStart w:id="990" w:name="bookmark1503"/>
      <w:bookmarkEnd w:id="990"/>
      <w:r>
        <w:rPr>
          <w:rFonts w:hint="eastAsia" w:ascii="Times New Roman" w:hAnsi="Times New Roman"/>
          <w:color w:val="auto"/>
          <w:szCs w:val="21"/>
          <w:highlight w:val="none"/>
        </w:rPr>
        <w:t>承包人违反第</w:t>
      </w:r>
      <w:r>
        <w:rPr>
          <w:rFonts w:hint="eastAsia" w:ascii="Times New Roman" w:hAnsi="Times New Roman"/>
          <w:color w:val="auto"/>
          <w:szCs w:val="21"/>
          <w:highlight w:val="none"/>
          <w:lang w:val="en-US" w:bidi="en-US"/>
        </w:rPr>
        <w:t xml:space="preserve">5. </w:t>
      </w:r>
      <w:r>
        <w:rPr>
          <w:rFonts w:hint="eastAsia" w:ascii="Times New Roman" w:hAnsi="Times New Roman"/>
          <w:color w:val="auto"/>
          <w:szCs w:val="21"/>
          <w:highlight w:val="none"/>
        </w:rPr>
        <w:t>4款的约定使用了不合格材料或工程设备，工程质量达不到标准要求，又拒绝清除不合格工程；</w:t>
      </w:r>
    </w:p>
    <w:p w14:paraId="1C7B766E">
      <w:pPr>
        <w:pStyle w:val="523"/>
        <w:numPr>
          <w:ilvl w:val="0"/>
          <w:numId w:val="39"/>
        </w:numPr>
        <w:tabs>
          <w:tab w:val="left" w:pos="922"/>
        </w:tabs>
        <w:ind w:firstLine="440"/>
        <w:rPr>
          <w:rFonts w:ascii="Times New Roman" w:hAnsi="Times New Roman"/>
          <w:color w:val="auto"/>
          <w:szCs w:val="21"/>
          <w:highlight w:val="none"/>
        </w:rPr>
      </w:pPr>
      <w:bookmarkStart w:id="991" w:name="bookmark1504"/>
      <w:bookmarkEnd w:id="991"/>
      <w:r>
        <w:rPr>
          <w:rFonts w:hint="eastAsia" w:ascii="Times New Roman" w:hAnsi="Times New Roman"/>
          <w:color w:val="auto"/>
          <w:szCs w:val="21"/>
          <w:highlight w:val="none"/>
        </w:rPr>
        <w:t>承包人未能按合同进度计划及时完成合同约定的工作，已造成或预期造成工期延误；</w:t>
      </w:r>
    </w:p>
    <w:p w14:paraId="477B1920">
      <w:pPr>
        <w:pStyle w:val="523"/>
        <w:numPr>
          <w:ilvl w:val="0"/>
          <w:numId w:val="39"/>
        </w:numPr>
        <w:tabs>
          <w:tab w:val="left" w:pos="922"/>
        </w:tabs>
        <w:ind w:firstLine="440"/>
        <w:rPr>
          <w:rFonts w:ascii="Times New Roman" w:hAnsi="Times New Roman"/>
          <w:color w:val="auto"/>
          <w:szCs w:val="21"/>
          <w:highlight w:val="none"/>
        </w:rPr>
      </w:pPr>
      <w:bookmarkStart w:id="992" w:name="bookmark1505"/>
      <w:bookmarkEnd w:id="992"/>
      <w:r>
        <w:rPr>
          <w:rFonts w:hint="eastAsia" w:ascii="Times New Roman" w:hAnsi="Times New Roman"/>
          <w:color w:val="auto"/>
          <w:szCs w:val="21"/>
          <w:highlight w:val="none"/>
        </w:rPr>
        <w:t>承包人在缺陷责任期(工程质量保修期)内，未能对合同工程完工验收鉴定书中所列的缺陷清单的内容或缺陷责任期(工程质量保修期)内发生的缺陷进行修复，而又拒绝按监理人指示再进行修补；</w:t>
      </w:r>
    </w:p>
    <w:p w14:paraId="587FBF2F">
      <w:pPr>
        <w:pStyle w:val="523"/>
        <w:numPr>
          <w:ilvl w:val="0"/>
          <w:numId w:val="39"/>
        </w:numPr>
        <w:tabs>
          <w:tab w:val="left" w:pos="903"/>
        </w:tabs>
        <w:ind w:firstLine="420"/>
        <w:rPr>
          <w:rFonts w:ascii="Times New Roman" w:hAnsi="Times New Roman"/>
          <w:color w:val="auto"/>
          <w:szCs w:val="21"/>
          <w:highlight w:val="none"/>
        </w:rPr>
      </w:pPr>
      <w:bookmarkStart w:id="993" w:name="bookmark1506"/>
      <w:bookmarkEnd w:id="993"/>
      <w:r>
        <w:rPr>
          <w:rFonts w:hint="eastAsia" w:ascii="Times New Roman" w:hAnsi="Times New Roman"/>
          <w:color w:val="auto"/>
          <w:szCs w:val="21"/>
          <w:highlight w:val="none"/>
        </w:rPr>
        <w:t>承包人无法继续履行或明确表示不履行或实质上已停止履行合同；</w:t>
      </w:r>
    </w:p>
    <w:p w14:paraId="37D650C1">
      <w:pPr>
        <w:pStyle w:val="523"/>
        <w:numPr>
          <w:ilvl w:val="0"/>
          <w:numId w:val="39"/>
        </w:numPr>
        <w:tabs>
          <w:tab w:val="left" w:pos="903"/>
        </w:tabs>
        <w:ind w:firstLine="420"/>
        <w:rPr>
          <w:rFonts w:ascii="Times New Roman" w:hAnsi="Times New Roman"/>
          <w:color w:val="auto"/>
          <w:szCs w:val="21"/>
          <w:highlight w:val="none"/>
        </w:rPr>
      </w:pPr>
      <w:bookmarkStart w:id="994" w:name="bookmark1507"/>
      <w:bookmarkEnd w:id="994"/>
      <w:r>
        <w:rPr>
          <w:rFonts w:hint="eastAsia" w:ascii="Times New Roman" w:hAnsi="Times New Roman"/>
          <w:color w:val="auto"/>
          <w:szCs w:val="21"/>
          <w:highlight w:val="none"/>
        </w:rPr>
        <w:t>承包人不按合同约定履行义务的其他情况。</w:t>
      </w:r>
    </w:p>
    <w:p w14:paraId="33E4DE6C">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lang w:val="en-US" w:eastAsia="en-US" w:bidi="en-US"/>
        </w:rPr>
        <w:t>22.1.2</w:t>
      </w:r>
      <w:r>
        <w:rPr>
          <w:rFonts w:hint="eastAsia" w:ascii="Times New Roman" w:hAnsi="Times New Roman"/>
          <w:color w:val="auto"/>
          <w:szCs w:val="21"/>
          <w:highlight w:val="none"/>
        </w:rPr>
        <w:t>对承包人违约的处理</w:t>
      </w:r>
    </w:p>
    <w:p w14:paraId="6E3594B2">
      <w:pPr>
        <w:pStyle w:val="523"/>
        <w:numPr>
          <w:ilvl w:val="0"/>
          <w:numId w:val="40"/>
        </w:numPr>
        <w:tabs>
          <w:tab w:val="left" w:pos="922"/>
        </w:tabs>
        <w:ind w:firstLine="440"/>
        <w:rPr>
          <w:rFonts w:ascii="Times New Roman" w:hAnsi="Times New Roman"/>
          <w:color w:val="auto"/>
          <w:szCs w:val="21"/>
          <w:highlight w:val="none"/>
        </w:rPr>
      </w:pPr>
      <w:bookmarkStart w:id="995" w:name="bookmark1508"/>
      <w:bookmarkEnd w:id="995"/>
      <w:r>
        <w:rPr>
          <w:rFonts w:hint="eastAsia" w:ascii="Times New Roman" w:hAnsi="Times New Roman"/>
          <w:color w:val="auto"/>
          <w:szCs w:val="21"/>
          <w:highlight w:val="none"/>
        </w:rPr>
        <w:t>承包人发生第</w:t>
      </w:r>
      <w:r>
        <w:rPr>
          <w:rFonts w:hint="eastAsia" w:ascii="Times New Roman" w:hAnsi="Times New Roman"/>
          <w:color w:val="auto"/>
          <w:szCs w:val="21"/>
          <w:highlight w:val="none"/>
          <w:lang w:val="en-US" w:bidi="en-US"/>
        </w:rPr>
        <w:t xml:space="preserve">22.1.1 </w:t>
      </w:r>
      <w:r>
        <w:rPr>
          <w:rFonts w:hint="eastAsia" w:ascii="Times New Roman" w:hAnsi="Times New Roman"/>
          <w:color w:val="auto"/>
          <w:szCs w:val="21"/>
          <w:highlight w:val="none"/>
        </w:rPr>
        <w:t>(6)目约定的违约情况时，发包人可通知承包人立即解除合同，并按有关法律处理。</w:t>
      </w:r>
    </w:p>
    <w:p w14:paraId="18966B1A">
      <w:pPr>
        <w:pStyle w:val="523"/>
        <w:numPr>
          <w:ilvl w:val="0"/>
          <w:numId w:val="40"/>
        </w:numPr>
        <w:tabs>
          <w:tab w:val="left" w:pos="920"/>
        </w:tabs>
        <w:ind w:firstLine="440"/>
        <w:rPr>
          <w:rFonts w:ascii="Times New Roman" w:hAnsi="Times New Roman"/>
          <w:color w:val="auto"/>
          <w:szCs w:val="21"/>
          <w:highlight w:val="none"/>
        </w:rPr>
      </w:pPr>
      <w:bookmarkStart w:id="996" w:name="bookmark1509"/>
      <w:bookmarkEnd w:id="996"/>
      <w:r>
        <w:rPr>
          <w:rFonts w:hint="eastAsia" w:ascii="Times New Roman" w:hAnsi="Times New Roman"/>
          <w:color w:val="auto"/>
          <w:szCs w:val="21"/>
          <w:highlight w:val="none"/>
        </w:rPr>
        <w:t>承包人发生除第</w:t>
      </w:r>
      <w:r>
        <w:rPr>
          <w:rFonts w:hint="eastAsia" w:ascii="Times New Roman" w:hAnsi="Times New Roman"/>
          <w:color w:val="auto"/>
          <w:szCs w:val="21"/>
          <w:highlight w:val="none"/>
          <w:lang w:val="en-US" w:bidi="en-US"/>
        </w:rPr>
        <w:t xml:space="preserve">22. 1. </w:t>
      </w:r>
      <w:r>
        <w:rPr>
          <w:rFonts w:hint="eastAsia" w:ascii="Times New Roman" w:hAnsi="Times New Roman"/>
          <w:color w:val="auto"/>
          <w:szCs w:val="21"/>
          <w:highlight w:val="none"/>
        </w:rPr>
        <w:t>1 (6)目约定以外的其他违约情况时，监理人可向承包人发出整改通知，要求其在指定的期限内改正。承包人应承担其违约所引起的费用增加和 (或)工期延误。</w:t>
      </w:r>
    </w:p>
    <w:p w14:paraId="5D97706D">
      <w:pPr>
        <w:pStyle w:val="523"/>
        <w:numPr>
          <w:ilvl w:val="0"/>
          <w:numId w:val="40"/>
        </w:numPr>
        <w:tabs>
          <w:tab w:val="left" w:pos="922"/>
        </w:tabs>
        <w:ind w:firstLine="440"/>
        <w:rPr>
          <w:rFonts w:ascii="Times New Roman" w:hAnsi="Times New Roman"/>
          <w:color w:val="auto"/>
          <w:szCs w:val="21"/>
          <w:highlight w:val="none"/>
        </w:rPr>
      </w:pPr>
      <w:bookmarkStart w:id="997" w:name="bookmark1510"/>
      <w:bookmarkEnd w:id="997"/>
      <w:r>
        <w:rPr>
          <w:rFonts w:hint="eastAsia" w:ascii="Times New Roman" w:hAnsi="Times New Roman"/>
          <w:color w:val="auto"/>
          <w:szCs w:val="21"/>
          <w:highlight w:val="none"/>
        </w:rPr>
        <w:t>经检查证明承包人已采取了有效措施纠正违约行为，具备复工条件的，可由监理人签发复工通知复工。</w:t>
      </w:r>
    </w:p>
    <w:p w14:paraId="15C0F757">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22.1.3</w:t>
      </w:r>
      <w:r>
        <w:rPr>
          <w:rFonts w:hint="eastAsia" w:ascii="Times New Roman" w:hAnsi="Times New Roman"/>
          <w:color w:val="auto"/>
          <w:szCs w:val="21"/>
          <w:highlight w:val="none"/>
        </w:rPr>
        <w:t>承包人违约解除合同</w:t>
      </w:r>
    </w:p>
    <w:p w14:paraId="26DD941B">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监理人发出整改通知28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 定享有的索赔权利。</w:t>
      </w:r>
    </w:p>
    <w:p w14:paraId="1D879EEF">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rPr>
        <w:t>22.1.4</w:t>
      </w:r>
      <w:r>
        <w:rPr>
          <w:rFonts w:hint="eastAsia" w:ascii="Times New Roman" w:hAnsi="Times New Roman"/>
          <w:color w:val="auto"/>
          <w:szCs w:val="21"/>
          <w:highlight w:val="none"/>
        </w:rPr>
        <w:t>合同解除后的估价、付款和结清</w:t>
      </w:r>
    </w:p>
    <w:p w14:paraId="76E90978">
      <w:pPr>
        <w:pStyle w:val="523"/>
        <w:numPr>
          <w:ilvl w:val="0"/>
          <w:numId w:val="41"/>
        </w:numPr>
        <w:tabs>
          <w:tab w:val="left" w:pos="920"/>
        </w:tabs>
        <w:ind w:firstLine="440"/>
        <w:rPr>
          <w:rFonts w:ascii="Times New Roman" w:hAnsi="Times New Roman"/>
          <w:color w:val="auto"/>
          <w:szCs w:val="21"/>
          <w:highlight w:val="none"/>
        </w:rPr>
      </w:pPr>
      <w:bookmarkStart w:id="998" w:name="bookmark1511"/>
      <w:bookmarkEnd w:id="998"/>
      <w:r>
        <w:rPr>
          <w:rFonts w:hint="eastAsia" w:ascii="Times New Roman" w:hAnsi="Times New Roman"/>
          <w:color w:val="auto"/>
          <w:szCs w:val="21"/>
          <w:highlight w:val="none"/>
        </w:rPr>
        <w:t>合同解除后，监理人按第</w:t>
      </w:r>
      <w:r>
        <w:rPr>
          <w:rFonts w:hint="eastAsia" w:ascii="Times New Roman" w:hAnsi="Times New Roman"/>
          <w:color w:val="auto"/>
          <w:szCs w:val="21"/>
          <w:highlight w:val="none"/>
          <w:lang w:val="en-US" w:bidi="en-US"/>
        </w:rPr>
        <w:t xml:space="preserve">3. </w:t>
      </w:r>
      <w:r>
        <w:rPr>
          <w:rFonts w:hint="eastAsia" w:ascii="Times New Roman" w:hAnsi="Times New Roman"/>
          <w:color w:val="auto"/>
          <w:szCs w:val="21"/>
          <w:highlight w:val="none"/>
        </w:rPr>
        <w:t>5款商定或确定承包人实际完成工作的价值，以及承包人已提供的材料、施工设备、工程设备和临时工程等的价值。</w:t>
      </w:r>
    </w:p>
    <w:p w14:paraId="651D27D8">
      <w:pPr>
        <w:pStyle w:val="523"/>
        <w:numPr>
          <w:ilvl w:val="0"/>
          <w:numId w:val="41"/>
        </w:numPr>
        <w:tabs>
          <w:tab w:val="left" w:pos="922"/>
        </w:tabs>
        <w:ind w:firstLine="440"/>
        <w:rPr>
          <w:rFonts w:ascii="Times New Roman" w:hAnsi="Times New Roman"/>
          <w:color w:val="auto"/>
          <w:szCs w:val="21"/>
          <w:highlight w:val="none"/>
        </w:rPr>
      </w:pPr>
      <w:bookmarkStart w:id="999" w:name="bookmark1512"/>
      <w:bookmarkEnd w:id="999"/>
      <w:r>
        <w:rPr>
          <w:rFonts w:hint="eastAsia" w:ascii="Times New Roman" w:hAnsi="Times New Roman"/>
          <w:color w:val="auto"/>
          <w:szCs w:val="21"/>
          <w:highlight w:val="none"/>
        </w:rPr>
        <w:t>合同解除后，发包人应暂停对承包人的一切付款，查清各项付款和已扣款金额, 包括承包人应支付的违约金。</w:t>
      </w:r>
    </w:p>
    <w:p w14:paraId="2A8E6F00">
      <w:pPr>
        <w:pStyle w:val="523"/>
        <w:numPr>
          <w:ilvl w:val="0"/>
          <w:numId w:val="41"/>
        </w:numPr>
        <w:tabs>
          <w:tab w:val="left" w:pos="920"/>
        </w:tabs>
        <w:ind w:firstLine="440"/>
        <w:rPr>
          <w:rFonts w:ascii="Times New Roman" w:hAnsi="Times New Roman"/>
          <w:color w:val="auto"/>
          <w:szCs w:val="21"/>
          <w:highlight w:val="none"/>
        </w:rPr>
      </w:pPr>
      <w:bookmarkStart w:id="1000" w:name="bookmark1513"/>
      <w:bookmarkEnd w:id="1000"/>
      <w:r>
        <w:rPr>
          <w:rFonts w:hint="eastAsia" w:ascii="Times New Roman" w:hAnsi="Times New Roman"/>
          <w:color w:val="auto"/>
          <w:szCs w:val="21"/>
          <w:highlight w:val="none"/>
        </w:rPr>
        <w:t>合同解除后，发包人应按第</w:t>
      </w:r>
      <w:r>
        <w:rPr>
          <w:rFonts w:hint="eastAsia" w:ascii="Times New Roman" w:hAnsi="Times New Roman"/>
          <w:color w:val="auto"/>
          <w:szCs w:val="21"/>
          <w:highlight w:val="none"/>
          <w:lang w:val="en-US" w:bidi="en-US"/>
        </w:rPr>
        <w:t xml:space="preserve">23. </w:t>
      </w:r>
      <w:r>
        <w:rPr>
          <w:rFonts w:hint="eastAsia" w:ascii="Times New Roman" w:hAnsi="Times New Roman"/>
          <w:color w:val="auto"/>
          <w:szCs w:val="21"/>
          <w:highlight w:val="none"/>
        </w:rPr>
        <w:t>4款的约定向承包人索赔由于解除合同给发包人造成的损失。</w:t>
      </w:r>
    </w:p>
    <w:p w14:paraId="35450B32">
      <w:pPr>
        <w:pStyle w:val="523"/>
        <w:numPr>
          <w:ilvl w:val="0"/>
          <w:numId w:val="41"/>
        </w:numPr>
        <w:tabs>
          <w:tab w:val="left" w:pos="903"/>
        </w:tabs>
        <w:ind w:firstLine="420"/>
        <w:rPr>
          <w:rFonts w:ascii="Times New Roman" w:hAnsi="Times New Roman"/>
          <w:color w:val="auto"/>
          <w:szCs w:val="21"/>
          <w:highlight w:val="none"/>
        </w:rPr>
      </w:pPr>
      <w:bookmarkStart w:id="1001" w:name="bookmark1514"/>
      <w:bookmarkEnd w:id="1001"/>
      <w:r>
        <w:rPr>
          <w:rFonts w:hint="eastAsia" w:ascii="Times New Roman" w:hAnsi="Times New Roman"/>
          <w:color w:val="auto"/>
          <w:szCs w:val="21"/>
          <w:highlight w:val="none"/>
        </w:rPr>
        <w:t>合同双方确认上述往来款项后，出具最终结清付款证书，结清全部合同款项。</w:t>
      </w:r>
    </w:p>
    <w:p w14:paraId="34CB5FD8">
      <w:pPr>
        <w:pStyle w:val="523"/>
        <w:numPr>
          <w:ilvl w:val="0"/>
          <w:numId w:val="41"/>
        </w:numPr>
        <w:tabs>
          <w:tab w:val="left" w:pos="922"/>
        </w:tabs>
        <w:ind w:firstLine="440"/>
        <w:rPr>
          <w:rFonts w:ascii="Times New Roman" w:hAnsi="Times New Roman"/>
          <w:color w:val="auto"/>
          <w:szCs w:val="21"/>
          <w:highlight w:val="none"/>
        </w:rPr>
      </w:pPr>
      <w:bookmarkStart w:id="1002" w:name="bookmark1515"/>
      <w:bookmarkEnd w:id="1002"/>
      <w:r>
        <w:rPr>
          <w:rFonts w:hint="eastAsia" w:ascii="Times New Roman" w:hAnsi="Times New Roman"/>
          <w:color w:val="auto"/>
          <w:szCs w:val="21"/>
          <w:highlight w:val="none"/>
        </w:rPr>
        <w:t>发包人和承包人未能就解除合同后的结清达成一致而形成争议的，按第24条的约定办理。</w:t>
      </w:r>
    </w:p>
    <w:p w14:paraId="7928C3C6">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22.1.5</w:t>
      </w:r>
      <w:r>
        <w:rPr>
          <w:rFonts w:hint="eastAsia" w:ascii="Times New Roman" w:hAnsi="Times New Roman"/>
          <w:color w:val="auto"/>
          <w:szCs w:val="21"/>
          <w:highlight w:val="none"/>
        </w:rPr>
        <w:t>协议利益的转让</w:t>
      </w:r>
    </w:p>
    <w:p w14:paraId="2BEB68C2">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因承包人违约解除合同的，发包人有权要求承包人将其为实施合同而签订的材料和设备的订货协议或任何服务协议利益转让给发包人，并在解除合同后的14天内，依法办理转让手续。</w:t>
      </w:r>
    </w:p>
    <w:p w14:paraId="011EAEA0">
      <w:pPr>
        <w:pStyle w:val="523"/>
        <w:ind w:firstLine="440"/>
        <w:rPr>
          <w:rFonts w:ascii="Times New Roman" w:hAnsi="Times New Roman"/>
          <w:color w:val="auto"/>
          <w:szCs w:val="21"/>
          <w:highlight w:val="none"/>
          <w:lang w:val="en-US"/>
        </w:rPr>
      </w:pPr>
      <w:bookmarkStart w:id="1003" w:name="bookmark1516"/>
      <w:bookmarkEnd w:id="1003"/>
      <w:r>
        <w:rPr>
          <w:rFonts w:hint="eastAsia" w:ascii="Times New Roman" w:hAnsi="Times New Roman"/>
          <w:color w:val="auto"/>
          <w:szCs w:val="21"/>
          <w:highlight w:val="none"/>
          <w:lang w:val="en-US"/>
        </w:rPr>
        <w:t>22.1.6紧急情况下无能力或不愿进行抢救</w:t>
      </w:r>
    </w:p>
    <w:p w14:paraId="111DE2EE">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或)工期延误由承包人承担。</w:t>
      </w:r>
    </w:p>
    <w:p w14:paraId="42977DC8">
      <w:pPr>
        <w:spacing w:line="360" w:lineRule="auto"/>
        <w:rPr>
          <w:color w:val="auto"/>
          <w:highlight w:val="none"/>
        </w:rPr>
      </w:pPr>
      <w:bookmarkStart w:id="1004" w:name="_Toc24772"/>
      <w:bookmarkStart w:id="1005" w:name="bookmark1517"/>
      <w:bookmarkStart w:id="1006" w:name="bookmark1518"/>
      <w:bookmarkStart w:id="1007" w:name="bookmark1519"/>
      <w:r>
        <w:rPr>
          <w:color w:val="auto"/>
          <w:highlight w:val="none"/>
        </w:rPr>
        <w:t>22.2发包人违约</w:t>
      </w:r>
      <w:bookmarkEnd w:id="1004"/>
      <w:bookmarkEnd w:id="1005"/>
      <w:bookmarkEnd w:id="1006"/>
      <w:bookmarkEnd w:id="1007"/>
    </w:p>
    <w:p w14:paraId="48C14546">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lang w:val="en-US" w:bidi="en-US"/>
        </w:rPr>
        <w:t>22.2.1</w:t>
      </w:r>
      <w:r>
        <w:rPr>
          <w:rFonts w:hint="eastAsia" w:ascii="Times New Roman" w:hAnsi="Times New Roman"/>
          <w:color w:val="auto"/>
          <w:szCs w:val="21"/>
          <w:highlight w:val="none"/>
        </w:rPr>
        <w:t>发包人违约的情形</w:t>
      </w:r>
    </w:p>
    <w:p w14:paraId="398B67E5">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rPr>
        <w:t>在履行合同过程中发生的下列情形，属发包人违约：</w:t>
      </w:r>
    </w:p>
    <w:p w14:paraId="341D9163">
      <w:pPr>
        <w:pStyle w:val="523"/>
        <w:numPr>
          <w:ilvl w:val="0"/>
          <w:numId w:val="42"/>
        </w:numPr>
        <w:ind w:firstLine="420"/>
        <w:rPr>
          <w:rFonts w:ascii="Times New Roman" w:hAnsi="Times New Roman"/>
          <w:color w:val="auto"/>
          <w:szCs w:val="21"/>
          <w:highlight w:val="none"/>
        </w:rPr>
      </w:pPr>
      <w:bookmarkStart w:id="1008" w:name="bookmark1520"/>
      <w:bookmarkEnd w:id="1008"/>
      <w:r>
        <w:rPr>
          <w:rFonts w:hint="eastAsia" w:ascii="Times New Roman" w:hAnsi="Times New Roman"/>
          <w:color w:val="auto"/>
          <w:szCs w:val="21"/>
          <w:highlight w:val="none"/>
        </w:rPr>
        <w:t>发包人未能按合同约定支付预付款或合同价款，或拖延、拒绝批准付款申请和支付凭证，导致付款延误的；</w:t>
      </w:r>
    </w:p>
    <w:p w14:paraId="6D5F4A98">
      <w:pPr>
        <w:pStyle w:val="523"/>
        <w:numPr>
          <w:ilvl w:val="0"/>
          <w:numId w:val="42"/>
        </w:numPr>
        <w:tabs>
          <w:tab w:val="left" w:pos="903"/>
        </w:tabs>
        <w:ind w:firstLine="420"/>
        <w:rPr>
          <w:rFonts w:ascii="Times New Roman" w:hAnsi="Times New Roman"/>
          <w:color w:val="auto"/>
          <w:szCs w:val="21"/>
          <w:highlight w:val="none"/>
        </w:rPr>
      </w:pPr>
      <w:bookmarkStart w:id="1009" w:name="bookmark1521"/>
      <w:bookmarkEnd w:id="1009"/>
      <w:r>
        <w:rPr>
          <w:rFonts w:hint="eastAsia" w:ascii="Times New Roman" w:hAnsi="Times New Roman"/>
          <w:color w:val="auto"/>
          <w:szCs w:val="21"/>
          <w:highlight w:val="none"/>
        </w:rPr>
        <w:t>发包人原因造成停工的；</w:t>
      </w:r>
    </w:p>
    <w:p w14:paraId="7BBD9BEE">
      <w:pPr>
        <w:pStyle w:val="523"/>
        <w:numPr>
          <w:ilvl w:val="0"/>
          <w:numId w:val="42"/>
        </w:numPr>
        <w:tabs>
          <w:tab w:val="left" w:pos="903"/>
        </w:tabs>
        <w:ind w:firstLine="420"/>
        <w:rPr>
          <w:rFonts w:ascii="Times New Roman" w:hAnsi="Times New Roman"/>
          <w:color w:val="auto"/>
          <w:szCs w:val="21"/>
          <w:highlight w:val="none"/>
        </w:rPr>
      </w:pPr>
      <w:bookmarkStart w:id="1010" w:name="bookmark1522"/>
      <w:bookmarkEnd w:id="1010"/>
      <w:r>
        <w:rPr>
          <w:rFonts w:hint="eastAsia" w:ascii="Times New Roman" w:hAnsi="Times New Roman"/>
          <w:color w:val="auto"/>
          <w:szCs w:val="21"/>
          <w:highlight w:val="none"/>
        </w:rPr>
        <w:t>监理人无正当理由没有在约定期限内发出复工指示，导致承包人无法复工的；</w:t>
      </w:r>
    </w:p>
    <w:p w14:paraId="3413FD43">
      <w:pPr>
        <w:pStyle w:val="523"/>
        <w:numPr>
          <w:ilvl w:val="0"/>
          <w:numId w:val="42"/>
        </w:numPr>
        <w:tabs>
          <w:tab w:val="left" w:pos="903"/>
        </w:tabs>
        <w:ind w:firstLine="420"/>
        <w:rPr>
          <w:rFonts w:ascii="Times New Roman" w:hAnsi="Times New Roman"/>
          <w:color w:val="auto"/>
          <w:szCs w:val="21"/>
          <w:highlight w:val="none"/>
        </w:rPr>
      </w:pPr>
      <w:bookmarkStart w:id="1011" w:name="bookmark1523"/>
      <w:bookmarkEnd w:id="1011"/>
      <w:r>
        <w:rPr>
          <w:rFonts w:hint="eastAsia" w:ascii="Times New Roman" w:hAnsi="Times New Roman"/>
          <w:color w:val="auto"/>
          <w:szCs w:val="21"/>
          <w:highlight w:val="none"/>
        </w:rPr>
        <w:t>发包人无法继续履行或明确表示不履行或实质上已停止履行合同的；</w:t>
      </w:r>
    </w:p>
    <w:p w14:paraId="7DE7BA4B">
      <w:pPr>
        <w:pStyle w:val="523"/>
        <w:numPr>
          <w:ilvl w:val="0"/>
          <w:numId w:val="42"/>
        </w:numPr>
        <w:tabs>
          <w:tab w:val="left" w:pos="903"/>
        </w:tabs>
        <w:ind w:firstLine="420"/>
        <w:rPr>
          <w:rFonts w:ascii="Times New Roman" w:hAnsi="Times New Roman"/>
          <w:color w:val="auto"/>
          <w:szCs w:val="21"/>
          <w:highlight w:val="none"/>
        </w:rPr>
      </w:pPr>
      <w:bookmarkStart w:id="1012" w:name="bookmark1524"/>
      <w:bookmarkEnd w:id="1012"/>
      <w:r>
        <w:rPr>
          <w:rFonts w:hint="eastAsia" w:ascii="Times New Roman" w:hAnsi="Times New Roman"/>
          <w:color w:val="auto"/>
          <w:szCs w:val="21"/>
          <w:highlight w:val="none"/>
        </w:rPr>
        <w:t>发包人不履行合同约定其他义务的。</w:t>
      </w:r>
    </w:p>
    <w:p w14:paraId="3DE2CFF9">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lang w:val="en-US" w:bidi="en-US"/>
        </w:rPr>
        <w:t>22.2.2</w:t>
      </w:r>
      <w:r>
        <w:rPr>
          <w:rFonts w:hint="eastAsia" w:ascii="Times New Roman" w:hAnsi="Times New Roman"/>
          <w:color w:val="auto"/>
          <w:szCs w:val="21"/>
          <w:highlight w:val="none"/>
        </w:rPr>
        <w:t>承包人有权暂停施工</w:t>
      </w:r>
    </w:p>
    <w:p w14:paraId="41515FB2">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发包人发生除第</w:t>
      </w:r>
      <w:r>
        <w:rPr>
          <w:rFonts w:hint="eastAsia" w:ascii="Times New Roman" w:hAnsi="Times New Roman"/>
          <w:color w:val="auto"/>
          <w:szCs w:val="21"/>
          <w:highlight w:val="none"/>
          <w:lang w:val="en-US" w:bidi="en-US"/>
        </w:rPr>
        <w:t xml:space="preserve">22.2.1 </w:t>
      </w:r>
      <w:r>
        <w:rPr>
          <w:rFonts w:hint="eastAsia" w:ascii="Times New Roman" w:hAnsi="Times New Roman"/>
          <w:color w:val="auto"/>
          <w:szCs w:val="21"/>
          <w:highlight w:val="none"/>
        </w:rPr>
        <w:t>(4)目以外的违约情况时，承包人可向发包人发出通知，要求发包人采取有效措施纠正违约行为。发包人收到承包人通知后的28天内仍不履行合同义 务，承包人有权暂停施工，并通知监理人，发包人应承担由此增加的费用和(或)工期延误，并支付承包人合理利润。</w:t>
      </w:r>
    </w:p>
    <w:p w14:paraId="69D0FA24">
      <w:pPr>
        <w:pStyle w:val="523"/>
        <w:ind w:firstLine="420"/>
        <w:rPr>
          <w:rFonts w:ascii="Times New Roman" w:hAnsi="Times New Roman"/>
          <w:color w:val="auto"/>
          <w:szCs w:val="21"/>
          <w:highlight w:val="none"/>
        </w:rPr>
      </w:pPr>
      <w:r>
        <w:rPr>
          <w:rFonts w:hint="eastAsia" w:ascii="Times New Roman" w:hAnsi="Times New Roman"/>
          <w:color w:val="auto"/>
          <w:szCs w:val="21"/>
          <w:highlight w:val="none"/>
          <w:lang w:val="en-US" w:eastAsia="en-US"/>
        </w:rPr>
        <w:t>22.2.3</w:t>
      </w:r>
      <w:r>
        <w:rPr>
          <w:rFonts w:hint="eastAsia" w:ascii="Times New Roman" w:hAnsi="Times New Roman"/>
          <w:color w:val="auto"/>
          <w:szCs w:val="21"/>
          <w:highlight w:val="none"/>
        </w:rPr>
        <w:t>发包人违约解除合同</w:t>
      </w:r>
    </w:p>
    <w:p w14:paraId="1119260D">
      <w:pPr>
        <w:pStyle w:val="523"/>
        <w:numPr>
          <w:ilvl w:val="0"/>
          <w:numId w:val="43"/>
        </w:numPr>
        <w:tabs>
          <w:tab w:val="left" w:pos="923"/>
        </w:tabs>
        <w:ind w:firstLine="440"/>
        <w:rPr>
          <w:rFonts w:ascii="Times New Roman" w:hAnsi="Times New Roman"/>
          <w:color w:val="auto"/>
          <w:szCs w:val="21"/>
          <w:highlight w:val="none"/>
        </w:rPr>
      </w:pPr>
      <w:bookmarkStart w:id="1013" w:name="bookmark1525"/>
      <w:bookmarkEnd w:id="1013"/>
      <w:r>
        <w:rPr>
          <w:rFonts w:hint="eastAsia" w:ascii="Times New Roman" w:hAnsi="Times New Roman"/>
          <w:color w:val="auto"/>
          <w:szCs w:val="21"/>
          <w:highlight w:val="none"/>
        </w:rPr>
        <w:t>发生第</w:t>
      </w:r>
      <w:r>
        <w:rPr>
          <w:rFonts w:hint="eastAsia" w:ascii="Times New Roman" w:hAnsi="Times New Roman"/>
          <w:color w:val="auto"/>
          <w:szCs w:val="21"/>
          <w:highlight w:val="none"/>
          <w:lang w:val="en-US" w:bidi="en-US"/>
        </w:rPr>
        <w:t xml:space="preserve">22.2.1 </w:t>
      </w:r>
      <w:r>
        <w:rPr>
          <w:rFonts w:hint="eastAsia" w:ascii="Times New Roman" w:hAnsi="Times New Roman"/>
          <w:color w:val="auto"/>
          <w:szCs w:val="21"/>
          <w:highlight w:val="none"/>
        </w:rPr>
        <w:t>(4)目的违约情况时，承包人可书面通知发包人解除合同。</w:t>
      </w:r>
    </w:p>
    <w:p w14:paraId="0CD57494">
      <w:pPr>
        <w:pStyle w:val="523"/>
        <w:numPr>
          <w:ilvl w:val="0"/>
          <w:numId w:val="43"/>
        </w:numPr>
        <w:tabs>
          <w:tab w:val="left" w:pos="920"/>
        </w:tabs>
        <w:ind w:firstLine="440"/>
        <w:rPr>
          <w:rFonts w:ascii="Times New Roman" w:hAnsi="Times New Roman"/>
          <w:color w:val="auto"/>
          <w:szCs w:val="21"/>
          <w:highlight w:val="none"/>
        </w:rPr>
      </w:pPr>
      <w:bookmarkStart w:id="1014" w:name="bookmark1526"/>
      <w:bookmarkEnd w:id="1014"/>
      <w:r>
        <w:rPr>
          <w:rFonts w:hint="eastAsia" w:ascii="Times New Roman" w:hAnsi="Times New Roman"/>
          <w:color w:val="auto"/>
          <w:szCs w:val="21"/>
          <w:highlight w:val="none"/>
        </w:rPr>
        <w:t>承包人按</w:t>
      </w:r>
      <w:r>
        <w:rPr>
          <w:rFonts w:hint="eastAsia" w:ascii="Times New Roman" w:hAnsi="Times New Roman"/>
          <w:color w:val="auto"/>
          <w:szCs w:val="21"/>
          <w:highlight w:val="none"/>
          <w:lang w:val="en-US" w:bidi="en-US"/>
        </w:rPr>
        <w:t xml:space="preserve">22. 2. </w:t>
      </w:r>
      <w:r>
        <w:rPr>
          <w:rFonts w:hint="eastAsia" w:ascii="Times New Roman" w:hAnsi="Times New Roman"/>
          <w:color w:val="auto"/>
          <w:szCs w:val="21"/>
          <w:highlight w:val="none"/>
        </w:rPr>
        <w:t>2项暂停施工28天后，发包人仍不纠正违约行为的，承包人可向发包人发出解除合同通知。但承包人的这一行动不免除发包人承担的违约责任，也不影响承包人根据合同约定享有的索赔权利。</w:t>
      </w:r>
    </w:p>
    <w:p w14:paraId="73E5F98D">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22.2.4</w:t>
      </w:r>
      <w:r>
        <w:rPr>
          <w:rFonts w:hint="eastAsia" w:ascii="Times New Roman" w:hAnsi="Times New Roman"/>
          <w:color w:val="auto"/>
          <w:szCs w:val="21"/>
          <w:highlight w:val="none"/>
        </w:rPr>
        <w:t>解除合同后的付款</w:t>
      </w:r>
    </w:p>
    <w:p w14:paraId="58A3815E">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因发包人违约解除合同的，发包人应在解除合同后28天内向承包人支付下列金额，承包人应在此期限内及时向发包人提交要求支付下列金额的有关资料和凭证：</w:t>
      </w:r>
    </w:p>
    <w:p w14:paraId="13A6E9C3">
      <w:pPr>
        <w:pStyle w:val="523"/>
        <w:numPr>
          <w:ilvl w:val="0"/>
          <w:numId w:val="44"/>
        </w:numPr>
        <w:tabs>
          <w:tab w:val="left" w:pos="903"/>
        </w:tabs>
        <w:ind w:firstLine="420"/>
        <w:rPr>
          <w:rFonts w:ascii="Times New Roman" w:hAnsi="Times New Roman"/>
          <w:color w:val="auto"/>
          <w:szCs w:val="21"/>
          <w:highlight w:val="none"/>
        </w:rPr>
      </w:pPr>
      <w:bookmarkStart w:id="1015" w:name="bookmark1527"/>
      <w:bookmarkEnd w:id="1015"/>
      <w:r>
        <w:rPr>
          <w:rFonts w:hint="eastAsia" w:ascii="Times New Roman" w:hAnsi="Times New Roman"/>
          <w:color w:val="auto"/>
          <w:szCs w:val="21"/>
          <w:highlight w:val="none"/>
        </w:rPr>
        <w:t>合同解除日以前所完成工作的价款；</w:t>
      </w:r>
    </w:p>
    <w:p w14:paraId="0562A5ED">
      <w:pPr>
        <w:pStyle w:val="523"/>
        <w:numPr>
          <w:ilvl w:val="0"/>
          <w:numId w:val="44"/>
        </w:numPr>
        <w:tabs>
          <w:tab w:val="left" w:pos="920"/>
        </w:tabs>
        <w:ind w:firstLine="440"/>
        <w:rPr>
          <w:rFonts w:ascii="Times New Roman" w:hAnsi="Times New Roman"/>
          <w:color w:val="auto"/>
          <w:szCs w:val="21"/>
          <w:highlight w:val="none"/>
        </w:rPr>
      </w:pPr>
      <w:bookmarkStart w:id="1016" w:name="bookmark1528"/>
      <w:bookmarkEnd w:id="1016"/>
      <w:r>
        <w:rPr>
          <w:rFonts w:hint="eastAsia" w:ascii="Times New Roman" w:hAnsi="Times New Roman"/>
          <w:color w:val="auto"/>
          <w:szCs w:val="21"/>
          <w:highlight w:val="none"/>
        </w:rPr>
        <w:t>承包人为该工程施工订购并已付款的材料、工程设备和其他物品的金额。发包人付还后，该材料、工程设备和其他物品归发包人所有；</w:t>
      </w:r>
    </w:p>
    <w:p w14:paraId="34841E89">
      <w:pPr>
        <w:pStyle w:val="523"/>
        <w:numPr>
          <w:ilvl w:val="0"/>
          <w:numId w:val="44"/>
        </w:numPr>
        <w:tabs>
          <w:tab w:val="left" w:pos="903"/>
        </w:tabs>
        <w:ind w:firstLine="420"/>
        <w:rPr>
          <w:rFonts w:ascii="Times New Roman" w:hAnsi="Times New Roman"/>
          <w:color w:val="auto"/>
          <w:szCs w:val="21"/>
          <w:highlight w:val="none"/>
        </w:rPr>
      </w:pPr>
      <w:bookmarkStart w:id="1017" w:name="bookmark1529"/>
      <w:bookmarkEnd w:id="1017"/>
      <w:r>
        <w:rPr>
          <w:rFonts w:hint="eastAsia" w:ascii="Times New Roman" w:hAnsi="Times New Roman"/>
          <w:color w:val="auto"/>
          <w:szCs w:val="21"/>
          <w:highlight w:val="none"/>
        </w:rPr>
        <w:t>承包人为完成工程所发生的，而发包人未支付的金额；</w:t>
      </w:r>
    </w:p>
    <w:p w14:paraId="4B943267">
      <w:pPr>
        <w:pStyle w:val="523"/>
        <w:numPr>
          <w:ilvl w:val="0"/>
          <w:numId w:val="44"/>
        </w:numPr>
        <w:tabs>
          <w:tab w:val="left" w:pos="903"/>
        </w:tabs>
        <w:ind w:firstLine="420"/>
        <w:rPr>
          <w:rFonts w:ascii="Times New Roman" w:hAnsi="Times New Roman"/>
          <w:color w:val="auto"/>
          <w:szCs w:val="21"/>
          <w:highlight w:val="none"/>
        </w:rPr>
      </w:pPr>
      <w:bookmarkStart w:id="1018" w:name="bookmark1530"/>
      <w:bookmarkEnd w:id="1018"/>
      <w:r>
        <w:rPr>
          <w:rFonts w:hint="eastAsia" w:ascii="Times New Roman" w:hAnsi="Times New Roman"/>
          <w:color w:val="auto"/>
          <w:szCs w:val="21"/>
          <w:highlight w:val="none"/>
        </w:rPr>
        <w:t>承包人撤离施工场地以及遣散承包人人员的金额；</w:t>
      </w:r>
    </w:p>
    <w:p w14:paraId="0F5E81F2">
      <w:pPr>
        <w:pStyle w:val="523"/>
        <w:numPr>
          <w:ilvl w:val="0"/>
          <w:numId w:val="44"/>
        </w:numPr>
        <w:tabs>
          <w:tab w:val="left" w:pos="903"/>
        </w:tabs>
        <w:ind w:firstLine="420"/>
        <w:rPr>
          <w:rFonts w:ascii="Times New Roman" w:hAnsi="Times New Roman"/>
          <w:color w:val="auto"/>
          <w:szCs w:val="21"/>
          <w:highlight w:val="none"/>
        </w:rPr>
      </w:pPr>
      <w:bookmarkStart w:id="1019" w:name="bookmark1531"/>
      <w:bookmarkEnd w:id="1019"/>
      <w:r>
        <w:rPr>
          <w:rFonts w:hint="eastAsia" w:ascii="Times New Roman" w:hAnsi="Times New Roman"/>
          <w:color w:val="auto"/>
          <w:szCs w:val="21"/>
          <w:highlight w:val="none"/>
        </w:rPr>
        <w:t>由于解除合同应赔偿的承包人损失；</w:t>
      </w:r>
    </w:p>
    <w:p w14:paraId="37ABE34D">
      <w:pPr>
        <w:pStyle w:val="523"/>
        <w:numPr>
          <w:ilvl w:val="0"/>
          <w:numId w:val="44"/>
        </w:numPr>
        <w:tabs>
          <w:tab w:val="left" w:pos="903"/>
        </w:tabs>
        <w:ind w:firstLine="420"/>
        <w:rPr>
          <w:rFonts w:ascii="Times New Roman" w:hAnsi="Times New Roman"/>
          <w:color w:val="auto"/>
          <w:szCs w:val="21"/>
          <w:highlight w:val="none"/>
        </w:rPr>
      </w:pPr>
      <w:bookmarkStart w:id="1020" w:name="bookmark1532"/>
      <w:bookmarkEnd w:id="1020"/>
      <w:r>
        <w:rPr>
          <w:rFonts w:hint="eastAsia" w:ascii="Times New Roman" w:hAnsi="Times New Roman"/>
          <w:color w:val="auto"/>
          <w:szCs w:val="21"/>
          <w:highlight w:val="none"/>
        </w:rPr>
        <w:t>按合同约定在合同解除日前应支付给承包人的其他金额。</w:t>
      </w:r>
    </w:p>
    <w:p w14:paraId="583BD843">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发包人应按本项约定支付上述金额并退还质量保证金和履约担保，但有权要求承包人支付应偿还给发包人的各项金额。</w:t>
      </w:r>
    </w:p>
    <w:p w14:paraId="0AE473A3">
      <w:pPr>
        <w:pStyle w:val="523"/>
        <w:ind w:firstLine="420"/>
        <w:rPr>
          <w:rFonts w:ascii="Times New Roman" w:hAnsi="Times New Roman"/>
          <w:color w:val="auto"/>
          <w:szCs w:val="21"/>
          <w:highlight w:val="none"/>
          <w:lang w:val="en-US"/>
        </w:rPr>
      </w:pPr>
      <w:r>
        <w:rPr>
          <w:rFonts w:hint="eastAsia" w:ascii="Times New Roman" w:hAnsi="Times New Roman"/>
          <w:color w:val="auto"/>
          <w:szCs w:val="21"/>
          <w:highlight w:val="none"/>
          <w:lang w:val="en-US"/>
        </w:rPr>
        <w:t>22.2.5解除合同后的承包人撤离</w:t>
      </w:r>
    </w:p>
    <w:p w14:paraId="7934D9E7">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因发包人违约而解除合同后，承包人应妥善做好已竣工工程和已购材料、设备的保护和移交工作，按发包人要求将承包人设备和人员撤出施工场地。承包人撤出施工场地应遵 守第</w:t>
      </w:r>
      <w:r>
        <w:rPr>
          <w:rFonts w:hint="eastAsia" w:ascii="Times New Roman" w:hAnsi="Times New Roman"/>
          <w:color w:val="auto"/>
          <w:szCs w:val="21"/>
          <w:highlight w:val="none"/>
          <w:lang w:val="en-US" w:bidi="en-US"/>
        </w:rPr>
        <w:t xml:space="preserve">18. 7. </w:t>
      </w:r>
      <w:r>
        <w:rPr>
          <w:rFonts w:hint="eastAsia" w:ascii="Times New Roman" w:hAnsi="Times New Roman"/>
          <w:color w:val="auto"/>
          <w:szCs w:val="21"/>
          <w:highlight w:val="none"/>
        </w:rPr>
        <w:t>1项的约定，发包人应为承包人撤出提供必要条件。</w:t>
      </w:r>
    </w:p>
    <w:p w14:paraId="7B985AC4">
      <w:pPr>
        <w:spacing w:line="360" w:lineRule="auto"/>
        <w:rPr>
          <w:color w:val="auto"/>
          <w:highlight w:val="none"/>
        </w:rPr>
      </w:pPr>
      <w:bookmarkStart w:id="1021" w:name="bookmark1535"/>
      <w:bookmarkStart w:id="1022" w:name="_Toc9266"/>
      <w:bookmarkStart w:id="1023" w:name="bookmark1533"/>
      <w:bookmarkStart w:id="1024" w:name="bookmark1534"/>
      <w:r>
        <w:rPr>
          <w:color w:val="auto"/>
          <w:highlight w:val="none"/>
        </w:rPr>
        <w:t>22.3第三人造成的违约</w:t>
      </w:r>
      <w:bookmarkEnd w:id="1021"/>
      <w:bookmarkEnd w:id="1022"/>
      <w:bookmarkEnd w:id="1023"/>
      <w:bookmarkEnd w:id="1024"/>
    </w:p>
    <w:p w14:paraId="1EDF081E">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rPr>
        <w:t>在履行合同过程中，一方当事人因第三人的原因造成违约的，应当向对方当事人承担违约责任。一方当事人和第三人之间的纠纷，依照法律规定或者按照约定解决。</w:t>
      </w:r>
    </w:p>
    <w:p w14:paraId="6D472490">
      <w:pPr>
        <w:pStyle w:val="5"/>
        <w:spacing w:line="360" w:lineRule="auto"/>
        <w:rPr>
          <w:color w:val="auto"/>
          <w:highlight w:val="none"/>
        </w:rPr>
      </w:pPr>
      <w:bookmarkStart w:id="1025" w:name="_Toc147350628"/>
      <w:bookmarkStart w:id="1026" w:name="_Toc20299"/>
      <w:bookmarkStart w:id="1027" w:name="_Toc1103187323"/>
      <w:bookmarkStart w:id="1028" w:name="_Toc26868"/>
      <w:r>
        <w:rPr>
          <w:rFonts w:hint="eastAsia"/>
          <w:color w:val="auto"/>
          <w:highlight w:val="none"/>
        </w:rPr>
        <w:t>23.索赔</w:t>
      </w:r>
      <w:bookmarkEnd w:id="1025"/>
      <w:bookmarkEnd w:id="1026"/>
      <w:bookmarkEnd w:id="1027"/>
      <w:bookmarkEnd w:id="1028"/>
    </w:p>
    <w:p w14:paraId="5D5294F5">
      <w:pPr>
        <w:spacing w:line="360" w:lineRule="auto"/>
        <w:rPr>
          <w:color w:val="auto"/>
          <w:highlight w:val="none"/>
        </w:rPr>
      </w:pPr>
      <w:bookmarkStart w:id="1029" w:name="_Toc12223"/>
      <w:bookmarkStart w:id="1030" w:name="bookmark1537"/>
      <w:bookmarkStart w:id="1031" w:name="bookmark1536"/>
      <w:bookmarkStart w:id="1032" w:name="bookmark1538"/>
      <w:r>
        <w:rPr>
          <w:color w:val="auto"/>
          <w:highlight w:val="none"/>
        </w:rPr>
        <w:t>23.1承包人索赔的提出</w:t>
      </w:r>
      <w:bookmarkEnd w:id="1029"/>
      <w:bookmarkEnd w:id="1030"/>
      <w:bookmarkEnd w:id="1031"/>
      <w:bookmarkEnd w:id="1032"/>
    </w:p>
    <w:p w14:paraId="44296387">
      <w:pPr>
        <w:spacing w:line="360" w:lineRule="auto"/>
        <w:ind w:firstLine="420" w:firstLineChars="200"/>
        <w:rPr>
          <w:rFonts w:cs="宋体"/>
          <w:color w:val="auto"/>
          <w:szCs w:val="21"/>
          <w:highlight w:val="none"/>
        </w:rPr>
      </w:pPr>
      <w:r>
        <w:rPr>
          <w:rFonts w:hint="eastAsia" w:cs="宋体"/>
          <w:color w:val="auto"/>
          <w:szCs w:val="21"/>
          <w:highlight w:val="none"/>
        </w:rPr>
        <w:t>根据合同约定，承包人认为有权得到追加付款和(或)延长工期的，应按以下程序向发包人提出索赔：</w:t>
      </w:r>
    </w:p>
    <w:p w14:paraId="02DC1ACC">
      <w:pPr>
        <w:pStyle w:val="523"/>
        <w:numPr>
          <w:ilvl w:val="0"/>
          <w:numId w:val="45"/>
        </w:numPr>
        <w:tabs>
          <w:tab w:val="left" w:pos="918"/>
        </w:tabs>
        <w:ind w:firstLine="440"/>
        <w:rPr>
          <w:rFonts w:ascii="Times New Roman" w:hAnsi="Times New Roman"/>
          <w:color w:val="auto"/>
          <w:szCs w:val="21"/>
          <w:highlight w:val="none"/>
        </w:rPr>
      </w:pPr>
      <w:bookmarkStart w:id="1033" w:name="bookmark1539"/>
      <w:bookmarkEnd w:id="1033"/>
      <w:r>
        <w:rPr>
          <w:rFonts w:hint="eastAsia" w:ascii="Times New Roman" w:hAnsi="Times New Roman"/>
          <w:color w:val="auto"/>
          <w:szCs w:val="21"/>
          <w:highlight w:val="none"/>
        </w:rPr>
        <w:t>承包人应在知道或应当知道索赔事件发生后28天内，向监理人递交索赔意向通知书，并说明发生索赔事件的事由。承包人未在前述28天内发出索赔意向通知书的，丧失要求追加付款和(或)延长工期的权利；</w:t>
      </w:r>
    </w:p>
    <w:p w14:paraId="50FCB509">
      <w:pPr>
        <w:pStyle w:val="523"/>
        <w:numPr>
          <w:ilvl w:val="0"/>
          <w:numId w:val="45"/>
        </w:numPr>
        <w:tabs>
          <w:tab w:val="left" w:pos="918"/>
        </w:tabs>
        <w:ind w:firstLine="440"/>
        <w:rPr>
          <w:rFonts w:ascii="Times New Roman" w:hAnsi="Times New Roman"/>
          <w:color w:val="auto"/>
          <w:szCs w:val="21"/>
          <w:highlight w:val="none"/>
        </w:rPr>
      </w:pPr>
      <w:bookmarkStart w:id="1034" w:name="bookmark1540"/>
      <w:bookmarkEnd w:id="1034"/>
      <w:r>
        <w:rPr>
          <w:rFonts w:hint="eastAsia" w:ascii="Times New Roman" w:hAnsi="Times New Roman"/>
          <w:color w:val="auto"/>
          <w:szCs w:val="21"/>
          <w:highlight w:val="none"/>
        </w:rPr>
        <w:t>承包人应在发出索赔意向通知书后28天内，向监理人正式递交索赔通知书。索赔通知书应详细说明索赔理由以及要求追加的付款金额和(或)延长的工期，并附必要的记 录和证明材料；</w:t>
      </w:r>
    </w:p>
    <w:p w14:paraId="09BA0B91">
      <w:pPr>
        <w:pStyle w:val="523"/>
        <w:numPr>
          <w:ilvl w:val="0"/>
          <w:numId w:val="45"/>
        </w:numPr>
        <w:tabs>
          <w:tab w:val="left" w:pos="903"/>
        </w:tabs>
        <w:ind w:firstLine="440"/>
        <w:rPr>
          <w:rFonts w:ascii="Times New Roman" w:hAnsi="Times New Roman"/>
          <w:color w:val="auto"/>
          <w:szCs w:val="21"/>
          <w:highlight w:val="none"/>
        </w:rPr>
      </w:pPr>
      <w:bookmarkStart w:id="1035" w:name="bookmark1541"/>
      <w:bookmarkEnd w:id="1035"/>
      <w:r>
        <w:rPr>
          <w:rFonts w:hint="eastAsia" w:ascii="Times New Roman" w:hAnsi="Times New Roman"/>
          <w:color w:val="auto"/>
          <w:szCs w:val="21"/>
          <w:highlight w:val="none"/>
        </w:rPr>
        <w:t>索赔事件具有连续影响的，承包人应按合理时间间隔继续递交延续索赔通知，说明连续影响的实际情况和记录，列出累计的追加付款金额和(或)工期延长天数；</w:t>
      </w:r>
    </w:p>
    <w:p w14:paraId="415A765E">
      <w:pPr>
        <w:pStyle w:val="523"/>
        <w:numPr>
          <w:ilvl w:val="0"/>
          <w:numId w:val="45"/>
        </w:numPr>
        <w:tabs>
          <w:tab w:val="left" w:pos="920"/>
        </w:tabs>
        <w:ind w:firstLine="440"/>
        <w:rPr>
          <w:rFonts w:ascii="Times New Roman" w:hAnsi="Times New Roman"/>
          <w:color w:val="auto"/>
          <w:szCs w:val="21"/>
          <w:highlight w:val="none"/>
        </w:rPr>
      </w:pPr>
      <w:bookmarkStart w:id="1036" w:name="bookmark1542"/>
      <w:bookmarkEnd w:id="1036"/>
      <w:r>
        <w:rPr>
          <w:rFonts w:hint="eastAsia" w:ascii="Times New Roman" w:hAnsi="Times New Roman"/>
          <w:color w:val="auto"/>
          <w:szCs w:val="21"/>
          <w:highlight w:val="none"/>
        </w:rPr>
        <w:t>在索赔事件影响结束后的28天内，承包人应向监理人递交最终索赔通知书，说明最终要求索赔的追加付款金额和延长的工期，并附必要的记录和证明材料。</w:t>
      </w:r>
    </w:p>
    <w:p w14:paraId="467BD2EF">
      <w:pPr>
        <w:spacing w:line="360" w:lineRule="auto"/>
        <w:rPr>
          <w:color w:val="auto"/>
          <w:highlight w:val="none"/>
        </w:rPr>
      </w:pPr>
      <w:bookmarkStart w:id="1037" w:name="bookmark1545"/>
      <w:bookmarkStart w:id="1038" w:name="bookmark1544"/>
      <w:bookmarkStart w:id="1039" w:name="_Toc5534"/>
      <w:bookmarkStart w:id="1040" w:name="bookmark1543"/>
      <w:r>
        <w:rPr>
          <w:color w:val="auto"/>
          <w:highlight w:val="none"/>
        </w:rPr>
        <w:t>23.2承包人索赔处理程序</w:t>
      </w:r>
      <w:bookmarkEnd w:id="1037"/>
      <w:bookmarkEnd w:id="1038"/>
      <w:bookmarkEnd w:id="1039"/>
      <w:bookmarkEnd w:id="1040"/>
    </w:p>
    <w:p w14:paraId="1757EC0D">
      <w:pPr>
        <w:pStyle w:val="523"/>
        <w:numPr>
          <w:ilvl w:val="0"/>
          <w:numId w:val="46"/>
        </w:numPr>
        <w:tabs>
          <w:tab w:val="left" w:pos="922"/>
        </w:tabs>
        <w:ind w:firstLine="440"/>
        <w:rPr>
          <w:rFonts w:ascii="Times New Roman" w:hAnsi="Times New Roman"/>
          <w:color w:val="auto"/>
          <w:szCs w:val="21"/>
          <w:highlight w:val="none"/>
        </w:rPr>
      </w:pPr>
      <w:bookmarkStart w:id="1041" w:name="bookmark1546"/>
      <w:bookmarkEnd w:id="1041"/>
      <w:r>
        <w:rPr>
          <w:rFonts w:hint="eastAsia" w:ascii="Times New Roman" w:hAnsi="Times New Roman"/>
          <w:color w:val="auto"/>
          <w:szCs w:val="21"/>
          <w:highlight w:val="none"/>
        </w:rPr>
        <w:t>监理人收到承包人提交的索赔通知书后，应及时审查索赔通知书的内容、查验承包人的记录和证明材料，必要时监理人可要求承包人提交全部原始记录副本。</w:t>
      </w:r>
    </w:p>
    <w:p w14:paraId="23075E4E">
      <w:pPr>
        <w:pStyle w:val="523"/>
        <w:numPr>
          <w:ilvl w:val="0"/>
          <w:numId w:val="46"/>
        </w:numPr>
        <w:tabs>
          <w:tab w:val="left" w:pos="918"/>
        </w:tabs>
        <w:ind w:firstLine="440"/>
        <w:rPr>
          <w:rFonts w:ascii="Times New Roman" w:hAnsi="Times New Roman"/>
          <w:color w:val="auto"/>
          <w:szCs w:val="21"/>
          <w:highlight w:val="none"/>
        </w:rPr>
      </w:pPr>
      <w:bookmarkStart w:id="1042" w:name="bookmark1547"/>
      <w:bookmarkEnd w:id="1042"/>
      <w:r>
        <w:rPr>
          <w:rFonts w:hint="eastAsia" w:ascii="Times New Roman" w:hAnsi="Times New Roman"/>
          <w:color w:val="auto"/>
          <w:szCs w:val="21"/>
          <w:highlight w:val="none"/>
        </w:rPr>
        <w:t>监理人应按第</w:t>
      </w:r>
      <w:r>
        <w:rPr>
          <w:rFonts w:hint="eastAsia" w:ascii="Times New Roman" w:hAnsi="Times New Roman"/>
          <w:color w:val="auto"/>
          <w:szCs w:val="21"/>
          <w:highlight w:val="none"/>
          <w:lang w:val="en-US" w:bidi="en-US"/>
        </w:rPr>
        <w:t xml:space="preserve">3. </w:t>
      </w:r>
      <w:r>
        <w:rPr>
          <w:rFonts w:hint="eastAsia" w:ascii="Times New Roman" w:hAnsi="Times New Roman"/>
          <w:color w:val="auto"/>
          <w:szCs w:val="21"/>
          <w:highlight w:val="none"/>
        </w:rPr>
        <w:t>5款商定或确定追加的付款和(或)延长的工期，并在收到上述索赔通知书或有关索赔的进一步证明材料后的42天内，将索赔处理结果答复承包人。</w:t>
      </w:r>
    </w:p>
    <w:p w14:paraId="6CB996EC">
      <w:pPr>
        <w:pStyle w:val="523"/>
        <w:numPr>
          <w:ilvl w:val="0"/>
          <w:numId w:val="46"/>
        </w:numPr>
        <w:tabs>
          <w:tab w:val="left" w:pos="920"/>
        </w:tabs>
        <w:ind w:firstLine="440"/>
        <w:rPr>
          <w:rFonts w:ascii="Times New Roman" w:hAnsi="Times New Roman"/>
          <w:color w:val="auto"/>
          <w:szCs w:val="21"/>
          <w:highlight w:val="none"/>
        </w:rPr>
      </w:pPr>
      <w:bookmarkStart w:id="1043" w:name="bookmark1548"/>
      <w:bookmarkEnd w:id="1043"/>
      <w:r>
        <w:rPr>
          <w:rFonts w:hint="eastAsia" w:ascii="Times New Roman" w:hAnsi="Times New Roman"/>
          <w:color w:val="auto"/>
          <w:szCs w:val="21"/>
          <w:highlight w:val="none"/>
        </w:rPr>
        <w:t>承包人接受索赔处理结果的，发包人应在作出索赔处理结果答复后28天内完成赔付。承包人不接受索赔处理结果的，按第24条的约定办理。</w:t>
      </w:r>
    </w:p>
    <w:p w14:paraId="26DFCB9B">
      <w:pPr>
        <w:spacing w:line="360" w:lineRule="auto"/>
        <w:rPr>
          <w:color w:val="auto"/>
          <w:highlight w:val="none"/>
        </w:rPr>
      </w:pPr>
      <w:bookmarkStart w:id="1044" w:name="bookmark1550"/>
      <w:bookmarkStart w:id="1045" w:name="bookmark1549"/>
      <w:bookmarkStart w:id="1046" w:name="bookmark1551"/>
      <w:bookmarkStart w:id="1047" w:name="_Toc2285"/>
      <w:r>
        <w:rPr>
          <w:color w:val="auto"/>
          <w:highlight w:val="none"/>
        </w:rPr>
        <w:t>23.3承包人提出索赔的期限</w:t>
      </w:r>
      <w:bookmarkEnd w:id="1044"/>
      <w:bookmarkEnd w:id="1045"/>
      <w:bookmarkEnd w:id="1046"/>
      <w:bookmarkEnd w:id="1047"/>
    </w:p>
    <w:p w14:paraId="7292B420">
      <w:pPr>
        <w:pStyle w:val="523"/>
        <w:tabs>
          <w:tab w:val="left" w:pos="855"/>
        </w:tabs>
        <w:ind w:firstLine="420" w:firstLineChars="200"/>
        <w:rPr>
          <w:rFonts w:ascii="Times New Roman" w:hAnsi="Times New Roman"/>
          <w:color w:val="auto"/>
          <w:szCs w:val="21"/>
          <w:highlight w:val="none"/>
        </w:rPr>
      </w:pPr>
      <w:bookmarkStart w:id="1048" w:name="bookmark1552"/>
      <w:bookmarkEnd w:id="1048"/>
      <w:r>
        <w:rPr>
          <w:rFonts w:hint="eastAsia" w:ascii="Times New Roman" w:hAnsi="Times New Roman"/>
          <w:color w:val="auto"/>
          <w:szCs w:val="21"/>
          <w:highlight w:val="none"/>
          <w:lang w:val="en-US" w:bidi="en-US"/>
        </w:rPr>
        <w:t>23.3.</w:t>
      </w:r>
      <w:r>
        <w:rPr>
          <w:rFonts w:hint="eastAsia" w:ascii="Times New Roman" w:hAnsi="Times New Roman"/>
          <w:color w:val="auto"/>
          <w:szCs w:val="21"/>
          <w:highlight w:val="none"/>
        </w:rPr>
        <w:t>1承包人按第</w:t>
      </w:r>
      <w:r>
        <w:rPr>
          <w:rFonts w:hint="eastAsia" w:ascii="Times New Roman" w:hAnsi="Times New Roman"/>
          <w:color w:val="auto"/>
          <w:szCs w:val="21"/>
          <w:highlight w:val="none"/>
          <w:lang w:val="en-US" w:bidi="en-US"/>
        </w:rPr>
        <w:t xml:space="preserve">17. </w:t>
      </w:r>
      <w:r>
        <w:rPr>
          <w:rFonts w:hint="eastAsia" w:ascii="Times New Roman" w:hAnsi="Times New Roman"/>
          <w:color w:val="auto"/>
          <w:szCs w:val="21"/>
          <w:highlight w:val="none"/>
        </w:rPr>
        <w:t>5款的约定接受了完工付款证书后，应被认为已无权再提出在合同工程完工证书颁发前所发生的任何索赔。</w:t>
      </w:r>
    </w:p>
    <w:p w14:paraId="01152006">
      <w:pPr>
        <w:pStyle w:val="523"/>
        <w:ind w:firstLine="440"/>
        <w:rPr>
          <w:rFonts w:ascii="Times New Roman" w:hAnsi="Times New Roman"/>
          <w:color w:val="auto"/>
          <w:szCs w:val="21"/>
          <w:highlight w:val="none"/>
        </w:rPr>
      </w:pPr>
      <w:r>
        <w:rPr>
          <w:rFonts w:hint="eastAsia" w:ascii="Times New Roman" w:hAnsi="Times New Roman"/>
          <w:color w:val="auto"/>
          <w:szCs w:val="21"/>
          <w:highlight w:val="none"/>
          <w:lang w:val="en-US" w:bidi="en-US"/>
        </w:rPr>
        <w:t>23.3.2</w:t>
      </w:r>
      <w:r>
        <w:rPr>
          <w:rFonts w:hint="eastAsia" w:ascii="Times New Roman" w:hAnsi="Times New Roman"/>
          <w:color w:val="auto"/>
          <w:szCs w:val="21"/>
          <w:highlight w:val="none"/>
        </w:rPr>
        <w:t>承包人按第</w:t>
      </w:r>
      <w:r>
        <w:rPr>
          <w:rFonts w:hint="eastAsia" w:ascii="Times New Roman" w:hAnsi="Times New Roman"/>
          <w:color w:val="auto"/>
          <w:szCs w:val="21"/>
          <w:highlight w:val="none"/>
          <w:lang w:val="en-US" w:bidi="en-US"/>
        </w:rPr>
        <w:t xml:space="preserve">17. </w:t>
      </w:r>
      <w:r>
        <w:rPr>
          <w:rFonts w:hint="eastAsia" w:ascii="Times New Roman" w:hAnsi="Times New Roman"/>
          <w:color w:val="auto"/>
          <w:szCs w:val="21"/>
          <w:highlight w:val="none"/>
        </w:rPr>
        <w:t>6款的约定提交的最终结清申请单中，只限于提出合同工程完工证书颁发后发生的索赔。提出索赔的期限自接受最终结清证书时终止。</w:t>
      </w:r>
    </w:p>
    <w:p w14:paraId="227A24FA">
      <w:pPr>
        <w:spacing w:line="360" w:lineRule="auto"/>
        <w:rPr>
          <w:color w:val="auto"/>
          <w:highlight w:val="none"/>
        </w:rPr>
      </w:pPr>
      <w:bookmarkStart w:id="1049" w:name="bookmark1555"/>
      <w:bookmarkStart w:id="1050" w:name="bookmark1553"/>
      <w:bookmarkStart w:id="1051" w:name="_Toc1321"/>
      <w:bookmarkStart w:id="1052" w:name="bookmark1554"/>
      <w:r>
        <w:rPr>
          <w:color w:val="auto"/>
          <w:highlight w:val="none"/>
        </w:rPr>
        <w:t>23.4发包人的索赔</w:t>
      </w:r>
      <w:bookmarkEnd w:id="1049"/>
      <w:bookmarkEnd w:id="1050"/>
      <w:bookmarkEnd w:id="1051"/>
      <w:bookmarkEnd w:id="1052"/>
    </w:p>
    <w:p w14:paraId="42E95766">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23.4.1</w:t>
      </w:r>
      <w:r>
        <w:rPr>
          <w:rFonts w:hint="eastAsia" w:ascii="Times New Roman" w:hAnsi="Times New Roman"/>
          <w:color w:val="auto"/>
          <w:highlight w:val="none"/>
        </w:rPr>
        <w:t>发生索赔事件后，监理人应及时书面通知承包人，详细说明发包人有权得到的索赔金额和(或)延长缺陷责任期的细节和依据。发包人提出索赔的期限和要求与第</w:t>
      </w:r>
      <w:bookmarkStart w:id="1053" w:name="bookmark1556"/>
      <w:bookmarkEnd w:id="1053"/>
      <w:r>
        <w:rPr>
          <w:rFonts w:hint="eastAsia" w:ascii="Times New Roman" w:hAnsi="Times New Roman"/>
          <w:color w:val="auto"/>
          <w:highlight w:val="none"/>
          <w:lang w:val="en-US"/>
        </w:rPr>
        <w:t>23.</w:t>
      </w:r>
      <w:r>
        <w:rPr>
          <w:rFonts w:hint="eastAsia" w:ascii="Times New Roman" w:hAnsi="Times New Roman"/>
          <w:color w:val="auto"/>
          <w:highlight w:val="none"/>
        </w:rPr>
        <w:t>3款的约定相同，延长缺陷责任期的通知应在缺陷责任期届满前发出。</w:t>
      </w:r>
    </w:p>
    <w:p w14:paraId="0CCABB76">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23.4.2</w:t>
      </w:r>
      <w:r>
        <w:rPr>
          <w:rFonts w:hint="eastAsia" w:ascii="Times New Roman" w:hAnsi="Times New Roman"/>
          <w:color w:val="auto"/>
          <w:highlight w:val="none"/>
        </w:rPr>
        <w:t>监理人按第</w:t>
      </w:r>
      <w:r>
        <w:rPr>
          <w:rFonts w:hint="eastAsia" w:ascii="Times New Roman" w:hAnsi="Times New Roman"/>
          <w:color w:val="auto"/>
          <w:highlight w:val="none"/>
          <w:lang w:val="en-US" w:bidi="en-US"/>
        </w:rPr>
        <w:t xml:space="preserve">3. </w:t>
      </w:r>
      <w:r>
        <w:rPr>
          <w:rFonts w:hint="eastAsia" w:ascii="Times New Roman" w:hAnsi="Times New Roman"/>
          <w:color w:val="auto"/>
          <w:highlight w:val="none"/>
        </w:rPr>
        <w:t>5款商定或确定发包人从承包人处得到赔付的金额和(或)缺陷责任期的延长期。承包人应付给发包人的金额可从拟支付给承包人的合同价款中扣除, 或由承包人以其他方式支付给发包人。</w:t>
      </w:r>
    </w:p>
    <w:p w14:paraId="5886601A">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 xml:space="preserve">23. 4. </w:t>
      </w:r>
      <w:r>
        <w:rPr>
          <w:rFonts w:hint="eastAsia" w:ascii="Times New Roman" w:hAnsi="Times New Roman"/>
          <w:color w:val="auto"/>
          <w:highlight w:val="none"/>
        </w:rPr>
        <w:t>3承包人对监理人按第</w:t>
      </w:r>
      <w:r>
        <w:rPr>
          <w:rFonts w:hint="eastAsia" w:ascii="Times New Roman" w:hAnsi="Times New Roman"/>
          <w:color w:val="auto"/>
          <w:highlight w:val="none"/>
          <w:lang w:val="en-US" w:bidi="en-US"/>
        </w:rPr>
        <w:t xml:space="preserve">23.4. </w:t>
      </w:r>
      <w:r>
        <w:rPr>
          <w:rFonts w:hint="eastAsia" w:ascii="Times New Roman" w:hAnsi="Times New Roman"/>
          <w:color w:val="auto"/>
          <w:highlight w:val="none"/>
        </w:rPr>
        <w:t>1项发出的索赔书面通知内容持异议时，应在收到书面通知后的14天内，将持有异议的书面报告及其证明材料提交监理人。监理人应在收到 承包人书面报告后的14天内，将异议的处理意见通知承包人，并按第</w:t>
      </w:r>
      <w:r>
        <w:rPr>
          <w:rFonts w:hint="eastAsia" w:ascii="Times New Roman" w:hAnsi="Times New Roman"/>
          <w:color w:val="auto"/>
          <w:highlight w:val="none"/>
          <w:lang w:val="en-US" w:bidi="en-US"/>
        </w:rPr>
        <w:t>23.4.2</w:t>
      </w:r>
      <w:r>
        <w:rPr>
          <w:rFonts w:hint="eastAsia" w:ascii="Times New Roman" w:hAnsi="Times New Roman"/>
          <w:color w:val="auto"/>
          <w:highlight w:val="none"/>
        </w:rPr>
        <w:t>项的约定执 行赔付。若承包人不接受监理人的索赔处理意见，可按本合同第24条的规定办理。</w:t>
      </w:r>
    </w:p>
    <w:p w14:paraId="3621B52A">
      <w:pPr>
        <w:pStyle w:val="5"/>
        <w:spacing w:line="360" w:lineRule="auto"/>
        <w:rPr>
          <w:color w:val="auto"/>
          <w:highlight w:val="none"/>
        </w:rPr>
      </w:pPr>
      <w:bookmarkStart w:id="1054" w:name="bookmark1559"/>
      <w:bookmarkEnd w:id="1054"/>
      <w:bookmarkStart w:id="1055" w:name="bookmark1558"/>
      <w:bookmarkStart w:id="1056" w:name="_Toc1226611882"/>
      <w:bookmarkStart w:id="1057" w:name="bookmark1560"/>
      <w:bookmarkStart w:id="1058" w:name="_Toc8209"/>
      <w:bookmarkStart w:id="1059" w:name="_Toc32550"/>
      <w:bookmarkStart w:id="1060" w:name="_Toc147350629"/>
      <w:bookmarkStart w:id="1061" w:name="bookmark1557"/>
      <w:r>
        <w:rPr>
          <w:rFonts w:hint="eastAsia"/>
          <w:color w:val="auto"/>
          <w:highlight w:val="none"/>
        </w:rPr>
        <w:t>2</w:t>
      </w:r>
      <w:r>
        <w:rPr>
          <w:color w:val="auto"/>
          <w:highlight w:val="none"/>
        </w:rPr>
        <w:t>4.</w:t>
      </w:r>
      <w:r>
        <w:rPr>
          <w:rFonts w:hint="eastAsia"/>
          <w:color w:val="auto"/>
          <w:highlight w:val="none"/>
        </w:rPr>
        <w:t>争议的解决</w:t>
      </w:r>
      <w:bookmarkEnd w:id="1055"/>
      <w:bookmarkEnd w:id="1056"/>
      <w:bookmarkEnd w:id="1057"/>
      <w:bookmarkEnd w:id="1058"/>
      <w:bookmarkEnd w:id="1059"/>
      <w:bookmarkEnd w:id="1060"/>
      <w:bookmarkEnd w:id="1061"/>
    </w:p>
    <w:p w14:paraId="462FDF6E">
      <w:pPr>
        <w:spacing w:line="360" w:lineRule="auto"/>
        <w:rPr>
          <w:color w:val="auto"/>
          <w:highlight w:val="none"/>
        </w:rPr>
      </w:pPr>
      <w:bookmarkStart w:id="1062" w:name="bookmark1561"/>
      <w:bookmarkStart w:id="1063" w:name="bookmark1562"/>
      <w:bookmarkStart w:id="1064" w:name="bookmark1563"/>
      <w:bookmarkStart w:id="1065" w:name="_Toc12687"/>
      <w:r>
        <w:rPr>
          <w:color w:val="auto"/>
          <w:highlight w:val="none"/>
        </w:rPr>
        <w:t>24.1争议的解决方式</w:t>
      </w:r>
      <w:bookmarkEnd w:id="1062"/>
      <w:bookmarkEnd w:id="1063"/>
      <w:bookmarkEnd w:id="1064"/>
      <w:bookmarkEnd w:id="1065"/>
    </w:p>
    <w:p w14:paraId="359B4A44">
      <w:pPr>
        <w:pStyle w:val="523"/>
        <w:ind w:firstLine="420"/>
        <w:rPr>
          <w:rFonts w:ascii="Times New Roman" w:hAnsi="Times New Roman"/>
          <w:color w:val="auto"/>
          <w:highlight w:val="none"/>
        </w:rPr>
      </w:pPr>
      <w:r>
        <w:rPr>
          <w:rFonts w:hint="eastAsia" w:ascii="Times New Roman" w:hAnsi="Times New Roman"/>
          <w:color w:val="auto"/>
          <w:highlight w:val="none"/>
        </w:rPr>
        <w:t>发包人和承包人在履行合同中发生争议的，可以友好协商解决或者提请争议评审组评审。合同当事人友好协商解决不成、不愿提请争议评审或者不接受争议评审组意见的，可在专用合同条款中约定下列一种方式解决。</w:t>
      </w:r>
    </w:p>
    <w:p w14:paraId="217CDB3C">
      <w:pPr>
        <w:pStyle w:val="523"/>
        <w:numPr>
          <w:ilvl w:val="0"/>
          <w:numId w:val="47"/>
        </w:numPr>
        <w:tabs>
          <w:tab w:val="left" w:pos="901"/>
        </w:tabs>
        <w:ind w:firstLine="420"/>
        <w:rPr>
          <w:rFonts w:ascii="Times New Roman" w:hAnsi="Times New Roman"/>
          <w:color w:val="auto"/>
          <w:highlight w:val="none"/>
        </w:rPr>
      </w:pPr>
      <w:bookmarkStart w:id="1066" w:name="bookmark1564"/>
      <w:bookmarkEnd w:id="1066"/>
      <w:r>
        <w:rPr>
          <w:rFonts w:hint="eastAsia" w:ascii="Times New Roman" w:hAnsi="Times New Roman"/>
          <w:color w:val="auto"/>
          <w:highlight w:val="none"/>
        </w:rPr>
        <w:t>向约定的仲裁委员会申请仲裁；</w:t>
      </w:r>
    </w:p>
    <w:p w14:paraId="4DF3600B">
      <w:pPr>
        <w:pStyle w:val="523"/>
        <w:numPr>
          <w:ilvl w:val="0"/>
          <w:numId w:val="47"/>
        </w:numPr>
        <w:tabs>
          <w:tab w:val="left" w:pos="901"/>
        </w:tabs>
        <w:ind w:firstLine="420"/>
        <w:rPr>
          <w:rFonts w:ascii="Times New Roman" w:hAnsi="Times New Roman"/>
          <w:color w:val="auto"/>
          <w:highlight w:val="none"/>
        </w:rPr>
      </w:pPr>
      <w:bookmarkStart w:id="1067" w:name="bookmark1565"/>
      <w:bookmarkEnd w:id="1067"/>
      <w:r>
        <w:rPr>
          <w:rFonts w:hint="eastAsia" w:ascii="Times New Roman" w:hAnsi="Times New Roman"/>
          <w:color w:val="auto"/>
          <w:highlight w:val="none"/>
        </w:rPr>
        <w:t>向有管辖权的人民法院提起诉讼。</w:t>
      </w:r>
    </w:p>
    <w:p w14:paraId="0CB85845">
      <w:pPr>
        <w:spacing w:line="360" w:lineRule="auto"/>
        <w:rPr>
          <w:color w:val="auto"/>
          <w:highlight w:val="none"/>
        </w:rPr>
      </w:pPr>
      <w:bookmarkStart w:id="1068" w:name="bookmark1566"/>
      <w:bookmarkStart w:id="1069" w:name="bookmark1567"/>
      <w:bookmarkStart w:id="1070" w:name="bookmark1568"/>
      <w:bookmarkStart w:id="1071" w:name="_Toc13288"/>
      <w:r>
        <w:rPr>
          <w:color w:val="auto"/>
          <w:highlight w:val="none"/>
        </w:rPr>
        <w:t>24.2友好解决</w:t>
      </w:r>
      <w:bookmarkEnd w:id="1068"/>
      <w:bookmarkEnd w:id="1069"/>
      <w:bookmarkEnd w:id="1070"/>
      <w:bookmarkEnd w:id="1071"/>
    </w:p>
    <w:p w14:paraId="171F137B">
      <w:pPr>
        <w:pStyle w:val="523"/>
        <w:ind w:firstLine="440"/>
        <w:rPr>
          <w:rFonts w:ascii="Times New Roman" w:hAnsi="Times New Roman"/>
          <w:color w:val="auto"/>
          <w:highlight w:val="none"/>
        </w:rPr>
      </w:pPr>
      <w:r>
        <w:rPr>
          <w:rFonts w:hint="eastAsia" w:ascii="Times New Roman" w:hAnsi="Times New Roman"/>
          <w:color w:val="auto"/>
          <w:highlight w:val="none"/>
        </w:rPr>
        <w:t>在提请争议评审、仲裁或者诉讼前，以及在争议评审、仲裁或诉讼过程中，发包人和承包人均可共同努力友好协商解决争议。</w:t>
      </w:r>
    </w:p>
    <w:p w14:paraId="1E3B02F1">
      <w:pPr>
        <w:spacing w:line="360" w:lineRule="auto"/>
        <w:rPr>
          <w:color w:val="auto"/>
          <w:highlight w:val="none"/>
        </w:rPr>
      </w:pPr>
      <w:bookmarkStart w:id="1072" w:name="bookmark1569"/>
      <w:bookmarkStart w:id="1073" w:name="bookmark1570"/>
      <w:bookmarkStart w:id="1074" w:name="bookmark1571"/>
      <w:bookmarkStart w:id="1075" w:name="_Toc12305"/>
      <w:r>
        <w:rPr>
          <w:color w:val="auto"/>
          <w:highlight w:val="none"/>
        </w:rPr>
        <w:t>24.3争议评审</w:t>
      </w:r>
      <w:bookmarkEnd w:id="1072"/>
      <w:bookmarkEnd w:id="1073"/>
      <w:bookmarkEnd w:id="1074"/>
      <w:bookmarkEnd w:id="1075"/>
    </w:p>
    <w:p w14:paraId="58ECA64D">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24.3.1</w:t>
      </w:r>
      <w:r>
        <w:rPr>
          <w:rFonts w:hint="eastAsia" w:ascii="Times New Roman" w:hAnsi="Times New Roman"/>
          <w:color w:val="auto"/>
          <w:highlight w:val="none"/>
        </w:rPr>
        <w:t>采用争议评审的，发包人和承包人应在开工日后的28天内或在争议发生后, 协商成立争议评审组。争议评审组由有合同管理和工程实践经验的专家组成。</w:t>
      </w:r>
    </w:p>
    <w:p w14:paraId="09B4AE25">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24.3.2</w:t>
      </w:r>
      <w:r>
        <w:rPr>
          <w:rFonts w:hint="eastAsia" w:ascii="Times New Roman" w:hAnsi="Times New Roman"/>
          <w:color w:val="auto"/>
          <w:highlight w:val="none"/>
        </w:rPr>
        <w:t>合同双方的争议，应首先由申请人向争议评审组提交一份详细的评审申请报告，并附必要的文件、图纸和证明材料，申请人还应将上述报告的副本同时提交给被申请人和监理人。</w:t>
      </w:r>
    </w:p>
    <w:p w14:paraId="73897092">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24.3.3</w:t>
      </w:r>
      <w:r>
        <w:rPr>
          <w:rFonts w:hint="eastAsia" w:ascii="Times New Roman" w:hAnsi="Times New Roman"/>
          <w:color w:val="auto"/>
          <w:highlight w:val="none"/>
        </w:rPr>
        <w:t>被申请人在收到申请人评审申请报告副本后的28天内，向争议评审组提交一份答辩报告，并附证明材料。被申请人应将答辩报告的副本同时提交给申请人和监理人。</w:t>
      </w:r>
    </w:p>
    <w:p w14:paraId="7AB0748A">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24.3.4</w:t>
      </w:r>
      <w:r>
        <w:rPr>
          <w:rFonts w:hint="eastAsia" w:ascii="Times New Roman" w:hAnsi="Times New Roman"/>
          <w:color w:val="auto"/>
          <w:highlight w:val="none"/>
        </w:rPr>
        <w:t>除专用合同条款另有约定外，争议评审组在收到合同双方报告后的14天内， 邀请双方代表和有关人员举行调查会，向双方调查争议细节；必要时争议评审组可要求双方进一步提供补充材料。</w:t>
      </w:r>
    </w:p>
    <w:p w14:paraId="5E73DABA">
      <w:pPr>
        <w:pStyle w:val="523"/>
        <w:ind w:firstLine="440"/>
        <w:rPr>
          <w:rFonts w:ascii="Times New Roman" w:hAnsi="Times New Roman"/>
          <w:color w:val="auto"/>
          <w:highlight w:val="none"/>
        </w:rPr>
      </w:pPr>
      <w:bookmarkStart w:id="1076" w:name="bookmark1572"/>
      <w:bookmarkEnd w:id="1076"/>
      <w:r>
        <w:rPr>
          <w:rFonts w:hint="eastAsia" w:ascii="Times New Roman" w:hAnsi="Times New Roman"/>
          <w:color w:val="auto"/>
          <w:highlight w:val="none"/>
        </w:rPr>
        <w:t>24.3.5除专用合同条款另有约定外，在调查会结束后的14天内，争议评审组应在不受任何干扰的情况下进行独立、公正的评审，作出书面评审意见，并说明理由。在争议评审期间，争议双方暂按总监理工程师的确定执行。</w:t>
      </w:r>
    </w:p>
    <w:p w14:paraId="1D9AF082">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24.3.6</w:t>
      </w:r>
      <w:r>
        <w:rPr>
          <w:rFonts w:hint="eastAsia" w:ascii="Times New Roman" w:hAnsi="Times New Roman"/>
          <w:color w:val="auto"/>
          <w:highlight w:val="none"/>
        </w:rPr>
        <w:t>发包人和承包人接受评审意见的，由监理人根据评审意见拟定执行协议，经争议双方签字后作为合同的补充文件，并遵照执行。</w:t>
      </w:r>
    </w:p>
    <w:p w14:paraId="5C096405">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24.3.7</w:t>
      </w:r>
      <w:r>
        <w:rPr>
          <w:rFonts w:hint="eastAsia" w:ascii="Times New Roman" w:hAnsi="Times New Roman"/>
          <w:color w:val="auto"/>
          <w:highlight w:val="none"/>
        </w:rPr>
        <w:t>发包人或承包人不接受评审意见，并要求提交仲裁或提起诉讼的，应在收到评审意见后的14天内将仲裁或起诉意向书面通知另一方，并抄送监理人，但在仲裁或诉讼结束前应暂按总监理工程师的确定执行。</w:t>
      </w:r>
    </w:p>
    <w:p w14:paraId="6F4F07E1">
      <w:pPr>
        <w:spacing w:line="360" w:lineRule="auto"/>
        <w:rPr>
          <w:color w:val="auto"/>
          <w:highlight w:val="none"/>
        </w:rPr>
      </w:pPr>
      <w:bookmarkStart w:id="1077" w:name="bookmark1575"/>
      <w:bookmarkStart w:id="1078" w:name="_Toc548"/>
      <w:bookmarkStart w:id="1079" w:name="bookmark1574"/>
      <w:bookmarkStart w:id="1080" w:name="bookmark1573"/>
      <w:r>
        <w:rPr>
          <w:color w:val="auto"/>
          <w:highlight w:val="none"/>
        </w:rPr>
        <w:t>24.4仲裁</w:t>
      </w:r>
      <w:bookmarkEnd w:id="1077"/>
      <w:bookmarkEnd w:id="1078"/>
      <w:bookmarkEnd w:id="1079"/>
      <w:bookmarkEnd w:id="1080"/>
    </w:p>
    <w:p w14:paraId="45EE2A70">
      <w:pPr>
        <w:pStyle w:val="523"/>
        <w:ind w:firstLine="420"/>
        <w:rPr>
          <w:rFonts w:ascii="Times New Roman" w:hAnsi="Times New Roman"/>
          <w:color w:val="auto"/>
          <w:highlight w:val="none"/>
        </w:rPr>
      </w:pPr>
      <w:r>
        <w:rPr>
          <w:rFonts w:hint="eastAsia" w:ascii="Times New Roman" w:hAnsi="Times New Roman"/>
          <w:color w:val="auto"/>
          <w:highlight w:val="none"/>
          <w:lang w:val="en-US" w:bidi="en-US"/>
        </w:rPr>
        <w:t>24.4.1</w:t>
      </w:r>
      <w:r>
        <w:rPr>
          <w:rFonts w:hint="eastAsia" w:ascii="Times New Roman" w:hAnsi="Times New Roman"/>
          <w:color w:val="auto"/>
          <w:highlight w:val="none"/>
        </w:rPr>
        <w:t>若合同双方商定直接向仲裁机构申请仲裁，应签订仲裁协议并约定仲裁机构。</w:t>
      </w:r>
    </w:p>
    <w:p w14:paraId="5CDEF383">
      <w:pPr>
        <w:pStyle w:val="523"/>
        <w:ind w:firstLine="440"/>
        <w:rPr>
          <w:rFonts w:ascii="Times New Roman" w:hAnsi="Times New Roman"/>
          <w:color w:val="auto"/>
          <w:highlight w:val="none"/>
        </w:rPr>
      </w:pPr>
      <w:r>
        <w:rPr>
          <w:rFonts w:hint="eastAsia" w:ascii="Times New Roman" w:hAnsi="Times New Roman"/>
          <w:color w:val="auto"/>
          <w:highlight w:val="none"/>
          <w:lang w:val="en-US" w:bidi="en-US"/>
        </w:rPr>
        <w:t>24.4.2</w:t>
      </w:r>
      <w:r>
        <w:rPr>
          <w:rFonts w:hint="eastAsia" w:ascii="Times New Roman" w:hAnsi="Times New Roman"/>
          <w:color w:val="auto"/>
          <w:highlight w:val="none"/>
        </w:rPr>
        <w:t>若合同双方未能达成仲裁协议，则本合同的仲裁条款无效，任一方均有权向人民法院提起诉讼。</w:t>
      </w:r>
    </w:p>
    <w:p w14:paraId="7030C6D9">
      <w:pPr>
        <w:pStyle w:val="523"/>
        <w:spacing w:line="400" w:lineRule="exact"/>
        <w:ind w:firstLine="440"/>
        <w:rPr>
          <w:color w:val="auto"/>
          <w:highlight w:val="none"/>
        </w:rPr>
      </w:pPr>
    </w:p>
    <w:p w14:paraId="1A496001">
      <w:pPr>
        <w:pStyle w:val="3"/>
        <w:jc w:val="center"/>
        <w:rPr>
          <w:color w:val="auto"/>
          <w:highlight w:val="none"/>
        </w:rPr>
      </w:pPr>
      <w:bookmarkStart w:id="1081" w:name="bookmark1581"/>
      <w:bookmarkEnd w:id="1081"/>
      <w:bookmarkStart w:id="1082" w:name="bookmark1576"/>
      <w:bookmarkStart w:id="1083" w:name="bookmark1578"/>
      <w:bookmarkStart w:id="1084" w:name="bookmark1577"/>
      <w:bookmarkStart w:id="1085" w:name="_Toc27368"/>
      <w:bookmarkStart w:id="1086" w:name="_Toc1972"/>
      <w:bookmarkStart w:id="1087" w:name="bookmark1579"/>
      <w:bookmarkStart w:id="1088" w:name="_Toc30818"/>
      <w:bookmarkStart w:id="1089" w:name="bookmark1582"/>
      <w:bookmarkStart w:id="1090" w:name="bookmark1580"/>
      <w:bookmarkStart w:id="1091" w:name="_Toc21852"/>
      <w:r>
        <w:rPr>
          <w:color w:val="auto"/>
          <w:highlight w:val="none"/>
        </w:rPr>
        <w:br w:type="page"/>
      </w:r>
      <w:bookmarkStart w:id="1092" w:name="_Toc2081996794"/>
      <w:bookmarkStart w:id="1093" w:name="_Toc22855"/>
      <w:r>
        <w:rPr>
          <w:color w:val="auto"/>
          <w:highlight w:val="none"/>
        </w:rPr>
        <w:t>第二节 专用合同条款</w:t>
      </w:r>
      <w:bookmarkEnd w:id="1082"/>
      <w:bookmarkEnd w:id="1083"/>
      <w:bookmarkEnd w:id="1084"/>
      <w:bookmarkEnd w:id="1085"/>
      <w:bookmarkEnd w:id="1086"/>
      <w:bookmarkEnd w:id="1092"/>
      <w:bookmarkEnd w:id="1093"/>
    </w:p>
    <w:p w14:paraId="4A4A5395">
      <w:pPr>
        <w:pStyle w:val="4"/>
        <w:spacing w:before="0" w:after="0" w:line="360" w:lineRule="auto"/>
        <w:rPr>
          <w:rFonts w:ascii="宋体" w:hAnsi="宋体" w:cs="宋体"/>
          <w:color w:val="auto"/>
          <w:sz w:val="21"/>
          <w:szCs w:val="21"/>
          <w:highlight w:val="none"/>
        </w:rPr>
      </w:pPr>
      <w:bookmarkStart w:id="1094" w:name="_Toc1406168910"/>
      <w:r>
        <w:rPr>
          <w:rFonts w:hint="eastAsia" w:ascii="宋体" w:hAnsi="宋体" w:cs="宋体"/>
          <w:color w:val="auto"/>
          <w:sz w:val="21"/>
          <w:szCs w:val="21"/>
          <w:highlight w:val="none"/>
        </w:rPr>
        <w:t>1. 一般约定</w:t>
      </w:r>
      <w:bookmarkEnd w:id="1087"/>
      <w:bookmarkEnd w:id="1088"/>
      <w:bookmarkEnd w:id="1089"/>
      <w:bookmarkEnd w:id="1090"/>
      <w:bookmarkEnd w:id="1091"/>
      <w:bookmarkEnd w:id="1094"/>
    </w:p>
    <w:p w14:paraId="2075592B">
      <w:pPr>
        <w:pStyle w:val="5"/>
        <w:spacing w:before="0" w:line="360" w:lineRule="auto"/>
        <w:jc w:val="both"/>
        <w:rPr>
          <w:rFonts w:ascii="宋体" w:hAnsi="宋体" w:cs="宋体"/>
          <w:color w:val="auto"/>
          <w:sz w:val="21"/>
          <w:szCs w:val="21"/>
          <w:highlight w:val="none"/>
        </w:rPr>
      </w:pPr>
      <w:bookmarkStart w:id="1095" w:name="bookmark1584"/>
      <w:bookmarkStart w:id="1096" w:name="bookmark1585"/>
      <w:bookmarkStart w:id="1097" w:name="bookmark1583"/>
      <w:r>
        <w:rPr>
          <w:rFonts w:hint="eastAsia" w:ascii="宋体" w:hAnsi="宋体" w:cs="宋体"/>
          <w:color w:val="auto"/>
          <w:sz w:val="21"/>
          <w:szCs w:val="21"/>
          <w:highlight w:val="none"/>
        </w:rPr>
        <w:t>1.1词语定义</w:t>
      </w:r>
      <w:bookmarkEnd w:id="1095"/>
      <w:bookmarkEnd w:id="1096"/>
      <w:bookmarkEnd w:id="1097"/>
    </w:p>
    <w:p w14:paraId="50EA7886">
      <w:pPr>
        <w:pStyle w:val="523"/>
        <w:ind w:firstLine="440"/>
        <w:rPr>
          <w:color w:val="auto"/>
          <w:szCs w:val="21"/>
          <w:highlight w:val="none"/>
        </w:rPr>
      </w:pPr>
      <w:r>
        <w:rPr>
          <w:rFonts w:hint="eastAsia"/>
          <w:color w:val="auto"/>
          <w:szCs w:val="21"/>
          <w:highlight w:val="none"/>
          <w:lang w:val="en-US" w:bidi="en-US"/>
        </w:rPr>
        <w:t>1.1.2</w:t>
      </w:r>
      <w:r>
        <w:rPr>
          <w:rFonts w:hint="eastAsia"/>
          <w:color w:val="auto"/>
          <w:szCs w:val="21"/>
          <w:highlight w:val="none"/>
        </w:rPr>
        <w:t>合同当事人和人员</w:t>
      </w:r>
    </w:p>
    <w:p w14:paraId="4E1E8578">
      <w:pPr>
        <w:pStyle w:val="524"/>
        <w:tabs>
          <w:tab w:val="left" w:pos="4064"/>
        </w:tabs>
        <w:spacing w:after="0" w:line="360" w:lineRule="auto"/>
        <w:ind w:firstLine="440"/>
        <w:rPr>
          <w:rFonts w:ascii="宋体" w:hAnsi="宋体" w:cs="宋体"/>
          <w:color w:val="auto"/>
          <w:szCs w:val="21"/>
          <w:highlight w:val="none"/>
        </w:rPr>
      </w:pPr>
      <w:r>
        <w:rPr>
          <w:rFonts w:hint="eastAsia" w:ascii="宋体" w:hAnsi="宋体" w:cs="宋体"/>
          <w:color w:val="auto"/>
          <w:szCs w:val="21"/>
          <w:highlight w:val="none"/>
        </w:rPr>
        <w:t>1.1.2.</w:t>
      </w:r>
      <w:r>
        <w:rPr>
          <w:rFonts w:hint="eastAsia" w:ascii="宋体" w:hAnsi="宋体" w:cs="宋体"/>
          <w:color w:val="auto"/>
          <w:szCs w:val="21"/>
          <w:highlight w:val="none"/>
          <w:lang w:val="zh-CN" w:bidi="zh-CN"/>
        </w:rPr>
        <w:t>2发包人：</w:t>
      </w:r>
      <w:r>
        <w:rPr>
          <w:rFonts w:hint="eastAsia" w:ascii="宋体" w:hAnsi="宋体" w:cs="宋体"/>
          <w:color w:val="auto"/>
          <w:szCs w:val="21"/>
          <w:highlight w:val="none"/>
          <w:u w:val="single"/>
          <w:lang w:bidi="zh-CN"/>
        </w:rPr>
        <w:t xml:space="preserve"> 北海市洪潮江水库工程管理中心 </w:t>
      </w:r>
      <w:r>
        <w:rPr>
          <w:rFonts w:hint="eastAsia" w:ascii="宋体" w:hAnsi="宋体" w:cs="宋体"/>
          <w:color w:val="auto"/>
          <w:szCs w:val="21"/>
          <w:highlight w:val="none"/>
        </w:rPr>
        <w:t>。</w:t>
      </w:r>
    </w:p>
    <w:p w14:paraId="03F32FCE">
      <w:pPr>
        <w:pStyle w:val="524"/>
        <w:tabs>
          <w:tab w:val="left" w:pos="4066"/>
        </w:tabs>
        <w:spacing w:after="0" w:line="360" w:lineRule="auto"/>
        <w:ind w:firstLine="440"/>
        <w:rPr>
          <w:rFonts w:ascii="宋体" w:hAnsi="宋体" w:cs="宋体"/>
          <w:color w:val="auto"/>
          <w:szCs w:val="21"/>
          <w:highlight w:val="none"/>
        </w:rPr>
      </w:pPr>
      <w:r>
        <w:rPr>
          <w:rFonts w:hint="eastAsia" w:ascii="宋体" w:hAnsi="宋体" w:cs="宋体"/>
          <w:color w:val="auto"/>
          <w:szCs w:val="21"/>
          <w:highlight w:val="none"/>
        </w:rPr>
        <w:t>1.1.2.</w:t>
      </w:r>
      <w:r>
        <w:rPr>
          <w:rFonts w:hint="eastAsia" w:ascii="宋体" w:hAnsi="宋体" w:cs="宋体"/>
          <w:color w:val="auto"/>
          <w:szCs w:val="21"/>
          <w:highlight w:val="none"/>
          <w:lang w:val="zh-CN" w:bidi="zh-CN"/>
        </w:rPr>
        <w:t>3承包人：</w:t>
      </w:r>
      <w:r>
        <w:rPr>
          <w:rFonts w:hint="eastAsia" w:ascii="宋体" w:hAnsi="宋体" w:cs="宋体"/>
          <w:color w:val="auto"/>
          <w:szCs w:val="21"/>
          <w:highlight w:val="none"/>
          <w:u w:val="single"/>
        </w:rPr>
        <w:t xml:space="preserve">       (合同签订时填入)      </w:t>
      </w:r>
      <w:r>
        <w:rPr>
          <w:rFonts w:hint="eastAsia" w:ascii="宋体" w:hAnsi="宋体" w:cs="宋体"/>
          <w:color w:val="auto"/>
          <w:szCs w:val="21"/>
          <w:highlight w:val="none"/>
        </w:rPr>
        <w:t>。</w:t>
      </w:r>
    </w:p>
    <w:p w14:paraId="237D91D5">
      <w:pPr>
        <w:pStyle w:val="524"/>
        <w:tabs>
          <w:tab w:val="left" w:pos="4064"/>
        </w:tabs>
        <w:spacing w:after="0" w:line="360" w:lineRule="auto"/>
        <w:ind w:firstLine="440"/>
        <w:rPr>
          <w:rFonts w:ascii="宋体" w:hAnsi="宋体" w:cs="宋体"/>
          <w:color w:val="auto"/>
          <w:szCs w:val="21"/>
          <w:highlight w:val="none"/>
        </w:rPr>
      </w:pPr>
      <w:bookmarkStart w:id="1098" w:name="bookmark1586"/>
      <w:bookmarkStart w:id="1099" w:name="bookmark1588"/>
      <w:bookmarkStart w:id="1100" w:name="bookmark1587"/>
      <w:r>
        <w:rPr>
          <w:rFonts w:hint="eastAsia" w:ascii="宋体" w:hAnsi="宋体" w:cs="宋体"/>
          <w:color w:val="auto"/>
          <w:szCs w:val="21"/>
          <w:highlight w:val="none"/>
        </w:rPr>
        <w:t>1.1.2.4承包人项目负责人、技术负责人和专职安全员：</w:t>
      </w:r>
      <w:r>
        <w:rPr>
          <w:rFonts w:hint="eastAsia" w:ascii="宋体" w:hAnsi="宋体" w:cs="宋体"/>
          <w:color w:val="auto"/>
          <w:szCs w:val="21"/>
          <w:highlight w:val="none"/>
          <w:u w:val="single"/>
        </w:rPr>
        <w:t xml:space="preserve">           (项目负责人、技术负责人和专职安全员的姓名、身份证号号码，项目负责人执业证书号码以及项目负责人和专职安全 员水行政主管部门颁发的安全生产考核合格证书号码) </w:t>
      </w:r>
      <w:r>
        <w:rPr>
          <w:rFonts w:hint="eastAsia" w:ascii="宋体" w:hAnsi="宋体" w:cs="宋体"/>
          <w:color w:val="auto"/>
          <w:szCs w:val="21"/>
          <w:highlight w:val="none"/>
        </w:rPr>
        <w:t>。</w:t>
      </w:r>
    </w:p>
    <w:p w14:paraId="2350615C">
      <w:pPr>
        <w:pStyle w:val="524"/>
        <w:tabs>
          <w:tab w:val="left" w:pos="4064"/>
        </w:tabs>
        <w:spacing w:after="0" w:line="360" w:lineRule="auto"/>
        <w:ind w:firstLine="440"/>
        <w:rPr>
          <w:rFonts w:ascii="宋体" w:hAnsi="宋体" w:cs="宋体"/>
          <w:color w:val="auto"/>
          <w:szCs w:val="21"/>
          <w:highlight w:val="none"/>
        </w:rPr>
      </w:pPr>
      <w:r>
        <w:rPr>
          <w:rFonts w:hint="eastAsia" w:ascii="宋体" w:hAnsi="宋体" w:cs="宋体"/>
          <w:color w:val="auto"/>
          <w:szCs w:val="21"/>
          <w:highlight w:val="none"/>
        </w:rPr>
        <w:t>1.1.2.5分包人：无分包。</w:t>
      </w:r>
    </w:p>
    <w:p w14:paraId="5DB3DD1D">
      <w:pPr>
        <w:pStyle w:val="524"/>
        <w:tabs>
          <w:tab w:val="left" w:pos="4064"/>
        </w:tabs>
        <w:spacing w:after="0" w:line="360" w:lineRule="auto"/>
        <w:ind w:firstLine="440"/>
        <w:rPr>
          <w:rFonts w:ascii="宋体" w:hAnsi="宋体" w:cs="宋体"/>
          <w:color w:val="auto"/>
          <w:szCs w:val="21"/>
          <w:highlight w:val="none"/>
        </w:rPr>
      </w:pPr>
      <w:r>
        <w:rPr>
          <w:rFonts w:hint="eastAsia" w:ascii="宋体" w:hAnsi="宋体" w:cs="宋体"/>
          <w:color w:val="auto"/>
          <w:szCs w:val="21"/>
          <w:highlight w:val="none"/>
        </w:rPr>
        <w:t>1.1.2.6监理人：</w:t>
      </w:r>
      <w:r>
        <w:rPr>
          <w:rFonts w:hint="eastAsia" w:ascii="宋体" w:hAnsi="宋体" w:cs="宋体"/>
          <w:color w:val="auto"/>
          <w:szCs w:val="21"/>
          <w:highlight w:val="none"/>
          <w:u w:val="single"/>
        </w:rPr>
        <w:t xml:space="preserve">        (填入监理人名称) </w:t>
      </w:r>
      <w:r>
        <w:rPr>
          <w:rFonts w:hint="eastAsia" w:ascii="宋体" w:hAnsi="宋体" w:cs="宋体"/>
          <w:color w:val="auto"/>
          <w:szCs w:val="21"/>
          <w:highlight w:val="none"/>
        </w:rPr>
        <w:t>。</w:t>
      </w:r>
    </w:p>
    <w:p w14:paraId="58368171">
      <w:pPr>
        <w:pStyle w:val="524"/>
        <w:tabs>
          <w:tab w:val="left" w:pos="4064"/>
        </w:tabs>
        <w:spacing w:after="0" w:line="360" w:lineRule="auto"/>
        <w:ind w:firstLine="440"/>
        <w:rPr>
          <w:rFonts w:ascii="宋体" w:hAnsi="宋体" w:cs="宋体"/>
          <w:color w:val="auto"/>
          <w:szCs w:val="21"/>
          <w:highlight w:val="none"/>
        </w:rPr>
      </w:pPr>
      <w:r>
        <w:rPr>
          <w:rFonts w:hint="eastAsia" w:ascii="宋体" w:hAnsi="宋体" w:cs="宋体"/>
          <w:color w:val="auto"/>
          <w:szCs w:val="21"/>
          <w:highlight w:val="none"/>
        </w:rPr>
        <w:t>1.1.4日期：另行通知。</w:t>
      </w:r>
    </w:p>
    <w:p w14:paraId="3E10B912">
      <w:pPr>
        <w:pStyle w:val="524"/>
        <w:tabs>
          <w:tab w:val="left" w:pos="4064"/>
        </w:tabs>
        <w:spacing w:after="0" w:line="360" w:lineRule="auto"/>
        <w:ind w:firstLine="440"/>
        <w:rPr>
          <w:rFonts w:ascii="宋体" w:hAnsi="宋体" w:cs="宋体"/>
          <w:color w:val="auto"/>
          <w:szCs w:val="21"/>
          <w:highlight w:val="none"/>
        </w:rPr>
      </w:pPr>
      <w:r>
        <w:rPr>
          <w:rFonts w:hint="eastAsia" w:ascii="宋体" w:hAnsi="宋体" w:cs="宋体"/>
          <w:color w:val="auto"/>
          <w:szCs w:val="21"/>
          <w:highlight w:val="none"/>
        </w:rPr>
        <w:t>1.1.4.5缺陷责任期(工程质量保修期)：合同工程通过完工验收之日起一年，</w:t>
      </w:r>
      <w:bookmarkStart w:id="1101" w:name="OLE_LINK2"/>
      <w:bookmarkStart w:id="1102" w:name="OLE_LINK1"/>
      <w:r>
        <w:rPr>
          <w:rFonts w:hint="eastAsia" w:ascii="宋体" w:hAnsi="宋体" w:cs="宋体"/>
          <w:color w:val="auto"/>
          <w:szCs w:val="21"/>
          <w:highlight w:val="none"/>
        </w:rPr>
        <w:t>房屋建筑工程维修部分有规范要求按其要求。</w:t>
      </w:r>
      <w:bookmarkEnd w:id="1101"/>
      <w:bookmarkEnd w:id="1102"/>
    </w:p>
    <w:p w14:paraId="2298CC65">
      <w:pPr>
        <w:pStyle w:val="5"/>
        <w:spacing w:before="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1.4合同文件的优先顺序</w:t>
      </w:r>
      <w:bookmarkEnd w:id="1098"/>
      <w:bookmarkEnd w:id="1099"/>
      <w:bookmarkEnd w:id="1100"/>
    </w:p>
    <w:p w14:paraId="5AE604E6">
      <w:pPr>
        <w:pStyle w:val="523"/>
        <w:ind w:firstLine="440"/>
        <w:rPr>
          <w:color w:val="auto"/>
          <w:szCs w:val="21"/>
          <w:highlight w:val="none"/>
        </w:rPr>
      </w:pPr>
      <w:r>
        <w:rPr>
          <w:rFonts w:hint="eastAsia"/>
          <w:color w:val="auto"/>
          <w:szCs w:val="21"/>
          <w:highlight w:val="none"/>
        </w:rPr>
        <w:t>进入合同的各项文件及其优先顺序如下：</w:t>
      </w:r>
    </w:p>
    <w:p w14:paraId="4556CCF6">
      <w:pPr>
        <w:pStyle w:val="523"/>
        <w:tabs>
          <w:tab w:val="left" w:pos="923"/>
        </w:tabs>
        <w:ind w:firstLine="440"/>
        <w:rPr>
          <w:color w:val="auto"/>
          <w:szCs w:val="21"/>
          <w:highlight w:val="none"/>
        </w:rPr>
      </w:pPr>
      <w:bookmarkStart w:id="1103" w:name="bookmark1589"/>
      <w:bookmarkEnd w:id="1103"/>
      <w:r>
        <w:rPr>
          <w:rFonts w:hint="eastAsia" w:ascii="Times New Roman" w:hAnsi="Times New Roman" w:eastAsia="Times New Roman" w:cs="Times New Roman"/>
          <w:color w:val="auto"/>
          <w:sz w:val="20"/>
          <w:highlight w:val="none"/>
        </w:rPr>
        <w:t>(1)</w:t>
      </w:r>
      <w:r>
        <w:rPr>
          <w:rFonts w:hint="eastAsia"/>
          <w:color w:val="auto"/>
          <w:szCs w:val="21"/>
          <w:highlight w:val="none"/>
        </w:rPr>
        <w:t>合同协议书(包括补充协议 、合同谈判纪要)；</w:t>
      </w:r>
    </w:p>
    <w:p w14:paraId="2E01D84E">
      <w:pPr>
        <w:pStyle w:val="523"/>
        <w:tabs>
          <w:tab w:val="left" w:pos="923"/>
        </w:tabs>
        <w:ind w:firstLine="440"/>
        <w:rPr>
          <w:color w:val="auto"/>
          <w:szCs w:val="21"/>
          <w:highlight w:val="none"/>
        </w:rPr>
      </w:pPr>
      <w:bookmarkStart w:id="1104" w:name="bookmark1590"/>
      <w:bookmarkEnd w:id="1104"/>
      <w:r>
        <w:rPr>
          <w:rFonts w:hint="eastAsia" w:ascii="Times New Roman" w:hAnsi="Times New Roman" w:eastAsia="Times New Roman" w:cs="Times New Roman"/>
          <w:color w:val="auto"/>
          <w:sz w:val="20"/>
          <w:highlight w:val="none"/>
        </w:rPr>
        <w:t>(2)</w:t>
      </w:r>
      <w:r>
        <w:rPr>
          <w:rFonts w:hint="eastAsia"/>
          <w:color w:val="auto"/>
          <w:szCs w:val="21"/>
          <w:highlight w:val="none"/>
        </w:rPr>
        <w:t>中标通知书；</w:t>
      </w:r>
    </w:p>
    <w:p w14:paraId="17D3E122">
      <w:pPr>
        <w:pStyle w:val="523"/>
        <w:tabs>
          <w:tab w:val="left" w:pos="923"/>
        </w:tabs>
        <w:ind w:firstLine="440"/>
        <w:rPr>
          <w:color w:val="auto"/>
          <w:szCs w:val="21"/>
          <w:highlight w:val="none"/>
        </w:rPr>
      </w:pPr>
      <w:bookmarkStart w:id="1105" w:name="bookmark1591"/>
      <w:bookmarkEnd w:id="1105"/>
      <w:r>
        <w:rPr>
          <w:rFonts w:hint="eastAsia" w:ascii="Times New Roman" w:hAnsi="Times New Roman" w:eastAsia="Times New Roman" w:cs="Times New Roman"/>
          <w:color w:val="auto"/>
          <w:sz w:val="20"/>
          <w:highlight w:val="none"/>
        </w:rPr>
        <w:t>(3)</w:t>
      </w:r>
      <w:r>
        <w:rPr>
          <w:rFonts w:hint="eastAsia"/>
          <w:color w:val="auto"/>
          <w:szCs w:val="21"/>
          <w:highlight w:val="none"/>
        </w:rPr>
        <w:t>投标函及投标函附录；</w:t>
      </w:r>
    </w:p>
    <w:p w14:paraId="3670A30E">
      <w:pPr>
        <w:pStyle w:val="523"/>
        <w:tabs>
          <w:tab w:val="left" w:pos="923"/>
        </w:tabs>
        <w:ind w:firstLine="440"/>
        <w:rPr>
          <w:color w:val="auto"/>
          <w:szCs w:val="21"/>
          <w:highlight w:val="none"/>
        </w:rPr>
      </w:pPr>
      <w:bookmarkStart w:id="1106" w:name="bookmark1592"/>
      <w:bookmarkEnd w:id="1106"/>
      <w:r>
        <w:rPr>
          <w:rFonts w:hint="eastAsia" w:ascii="Times New Roman" w:hAnsi="Times New Roman" w:eastAsia="Times New Roman" w:cs="Times New Roman"/>
          <w:color w:val="auto"/>
          <w:sz w:val="20"/>
          <w:highlight w:val="none"/>
        </w:rPr>
        <w:t>(4)</w:t>
      </w:r>
      <w:r>
        <w:rPr>
          <w:rFonts w:hint="eastAsia"/>
          <w:color w:val="auto"/>
          <w:szCs w:val="21"/>
          <w:highlight w:val="none"/>
        </w:rPr>
        <w:t>专用合同条款；</w:t>
      </w:r>
    </w:p>
    <w:p w14:paraId="1A2C116D">
      <w:pPr>
        <w:pStyle w:val="523"/>
        <w:tabs>
          <w:tab w:val="left" w:pos="923"/>
        </w:tabs>
        <w:ind w:firstLine="440"/>
        <w:rPr>
          <w:color w:val="auto"/>
          <w:szCs w:val="21"/>
          <w:highlight w:val="none"/>
        </w:rPr>
      </w:pPr>
      <w:bookmarkStart w:id="1107" w:name="bookmark1593"/>
      <w:bookmarkEnd w:id="1107"/>
      <w:r>
        <w:rPr>
          <w:rFonts w:hint="eastAsia" w:ascii="Times New Roman" w:hAnsi="Times New Roman" w:eastAsia="Times New Roman" w:cs="Times New Roman"/>
          <w:color w:val="auto"/>
          <w:sz w:val="20"/>
          <w:highlight w:val="none"/>
        </w:rPr>
        <w:t>(5)</w:t>
      </w:r>
      <w:r>
        <w:rPr>
          <w:rFonts w:hint="eastAsia"/>
          <w:color w:val="auto"/>
          <w:szCs w:val="21"/>
          <w:highlight w:val="none"/>
        </w:rPr>
        <w:t>通用合同条款；</w:t>
      </w:r>
    </w:p>
    <w:p w14:paraId="27A54510">
      <w:pPr>
        <w:pStyle w:val="523"/>
        <w:tabs>
          <w:tab w:val="left" w:pos="923"/>
        </w:tabs>
        <w:ind w:firstLine="440"/>
        <w:rPr>
          <w:color w:val="auto"/>
          <w:szCs w:val="21"/>
          <w:highlight w:val="none"/>
        </w:rPr>
      </w:pPr>
      <w:bookmarkStart w:id="1108" w:name="bookmark1594"/>
      <w:bookmarkEnd w:id="1108"/>
      <w:r>
        <w:rPr>
          <w:rFonts w:hint="eastAsia" w:ascii="Times New Roman" w:hAnsi="Times New Roman" w:eastAsia="Times New Roman" w:cs="Times New Roman"/>
          <w:color w:val="auto"/>
          <w:sz w:val="20"/>
          <w:highlight w:val="none"/>
        </w:rPr>
        <w:t>(6)</w:t>
      </w:r>
      <w:r>
        <w:rPr>
          <w:rFonts w:hint="eastAsia"/>
          <w:color w:val="auto"/>
          <w:szCs w:val="21"/>
          <w:highlight w:val="none"/>
        </w:rPr>
        <w:t>技术标准和要求(技术条款)；</w:t>
      </w:r>
    </w:p>
    <w:p w14:paraId="0A572EB6">
      <w:pPr>
        <w:pStyle w:val="523"/>
        <w:tabs>
          <w:tab w:val="left" w:pos="923"/>
        </w:tabs>
        <w:ind w:firstLine="440"/>
        <w:rPr>
          <w:color w:val="auto"/>
          <w:szCs w:val="21"/>
          <w:highlight w:val="none"/>
        </w:rPr>
      </w:pPr>
      <w:bookmarkStart w:id="1109" w:name="bookmark1595"/>
      <w:bookmarkEnd w:id="1109"/>
      <w:r>
        <w:rPr>
          <w:rFonts w:hint="eastAsia" w:ascii="Times New Roman" w:hAnsi="Times New Roman" w:eastAsia="Times New Roman" w:cs="Times New Roman"/>
          <w:color w:val="auto"/>
          <w:sz w:val="20"/>
          <w:highlight w:val="none"/>
        </w:rPr>
        <w:t>(7)</w:t>
      </w:r>
      <w:r>
        <w:rPr>
          <w:rFonts w:hint="eastAsia"/>
          <w:color w:val="auto"/>
          <w:szCs w:val="21"/>
          <w:highlight w:val="none"/>
        </w:rPr>
        <w:t>图纸；</w:t>
      </w:r>
    </w:p>
    <w:p w14:paraId="4DA7C2ED">
      <w:pPr>
        <w:pStyle w:val="523"/>
        <w:tabs>
          <w:tab w:val="left" w:pos="923"/>
        </w:tabs>
        <w:ind w:firstLine="440"/>
        <w:rPr>
          <w:color w:val="auto"/>
          <w:szCs w:val="21"/>
          <w:highlight w:val="none"/>
        </w:rPr>
      </w:pPr>
      <w:bookmarkStart w:id="1110" w:name="bookmark1596"/>
      <w:bookmarkEnd w:id="1110"/>
      <w:r>
        <w:rPr>
          <w:rFonts w:hint="eastAsia" w:ascii="Times New Roman" w:hAnsi="Times New Roman" w:eastAsia="Times New Roman" w:cs="Times New Roman"/>
          <w:color w:val="auto"/>
          <w:sz w:val="20"/>
          <w:highlight w:val="none"/>
        </w:rPr>
        <w:t>(8)</w:t>
      </w:r>
      <w:r>
        <w:rPr>
          <w:rFonts w:hint="eastAsia"/>
          <w:color w:val="auto"/>
          <w:szCs w:val="21"/>
          <w:highlight w:val="none"/>
        </w:rPr>
        <w:t>已标价工程量清单；</w:t>
      </w:r>
    </w:p>
    <w:p w14:paraId="37EDCA86">
      <w:pPr>
        <w:pStyle w:val="523"/>
        <w:tabs>
          <w:tab w:val="left" w:pos="923"/>
        </w:tabs>
        <w:ind w:firstLine="440"/>
        <w:rPr>
          <w:color w:val="auto"/>
          <w:szCs w:val="21"/>
          <w:highlight w:val="none"/>
        </w:rPr>
      </w:pPr>
      <w:bookmarkStart w:id="1111" w:name="bookmark1597"/>
      <w:bookmarkEnd w:id="1111"/>
      <w:r>
        <w:rPr>
          <w:rFonts w:hint="eastAsia" w:ascii="Times New Roman" w:hAnsi="Times New Roman" w:eastAsia="Times New Roman" w:cs="Times New Roman"/>
          <w:color w:val="auto"/>
          <w:sz w:val="20"/>
          <w:highlight w:val="none"/>
        </w:rPr>
        <w:t>(9)</w:t>
      </w:r>
      <w:r>
        <w:rPr>
          <w:rFonts w:hint="eastAsia"/>
          <w:color w:val="auto"/>
          <w:szCs w:val="21"/>
          <w:highlight w:val="none"/>
        </w:rPr>
        <w:t>响应文件中的投标辅助资料及施工组织设计；</w:t>
      </w:r>
    </w:p>
    <w:p w14:paraId="387F5B02">
      <w:pPr>
        <w:pStyle w:val="523"/>
        <w:tabs>
          <w:tab w:val="left" w:pos="1026"/>
        </w:tabs>
        <w:ind w:firstLine="440"/>
        <w:rPr>
          <w:color w:val="auto"/>
          <w:szCs w:val="21"/>
          <w:highlight w:val="none"/>
        </w:rPr>
      </w:pPr>
      <w:bookmarkStart w:id="1112" w:name="bookmark1598"/>
      <w:bookmarkEnd w:id="1112"/>
      <w:r>
        <w:rPr>
          <w:rFonts w:hint="eastAsia" w:ascii="Times New Roman" w:hAnsi="Times New Roman" w:eastAsia="Times New Roman" w:cs="Times New Roman"/>
          <w:color w:val="auto"/>
          <w:sz w:val="20"/>
          <w:highlight w:val="none"/>
        </w:rPr>
        <w:t>(10)</w:t>
      </w:r>
      <w:r>
        <w:rPr>
          <w:rFonts w:hint="eastAsia"/>
          <w:color w:val="auto"/>
          <w:szCs w:val="21"/>
          <w:highlight w:val="none"/>
        </w:rPr>
        <w:t>经双方确认进入合同的其他文件。</w:t>
      </w:r>
    </w:p>
    <w:p w14:paraId="08D33DE3">
      <w:pPr>
        <w:pStyle w:val="523"/>
        <w:tabs>
          <w:tab w:val="left" w:pos="1026"/>
        </w:tabs>
        <w:ind w:firstLine="420" w:firstLineChars="200"/>
        <w:rPr>
          <w:color w:val="auto"/>
          <w:szCs w:val="21"/>
          <w:highlight w:val="none"/>
        </w:rPr>
      </w:pPr>
      <w:r>
        <w:rPr>
          <w:rFonts w:hint="eastAsia"/>
          <w:color w:val="auto"/>
          <w:szCs w:val="21"/>
          <w:highlight w:val="none"/>
        </w:rPr>
        <w:t>以上文件均为本合同的组成部分，互为补充和解释。若合同文件中对工程范围、工程质量、工程进度、安全管理要求等实质性内容有不一致的，承包人应在施工前向发包人提出，除发包人明确要求适用何种约定外，以对承包人义务、责任要求高者严者为准。其他合同文件内容出现不一致的，除本合同另有明确约定外，以顺序排列在前者为准，同一顺序文件出现不一致的，以时间在后者为准；但经发包人认定承包人的有关承诺比顺序在前的文件对发包人更有利的，就该承诺事项以该特定承诺为准。当同一份合同文件中内容相互矛盾或冲突，以发包人意见为准。</w:t>
      </w:r>
    </w:p>
    <w:p w14:paraId="2AF9DEFE">
      <w:pPr>
        <w:pStyle w:val="5"/>
        <w:spacing w:before="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 xml:space="preserve">1.6 图纸和承包人文件 </w:t>
      </w:r>
    </w:p>
    <w:p w14:paraId="4EEC9296">
      <w:pPr>
        <w:spacing w:line="400" w:lineRule="exact"/>
        <w:ind w:firstLine="420" w:firstLineChars="200"/>
        <w:rPr>
          <w:rFonts w:ascii="宋体" w:hAnsi="宋体" w:cs="宋体"/>
          <w:color w:val="auto"/>
          <w:szCs w:val="21"/>
          <w:highlight w:val="none"/>
        </w:rPr>
      </w:pPr>
      <w:bookmarkStart w:id="1113" w:name="bookmark1599"/>
      <w:bookmarkStart w:id="1114" w:name="bookmark1601"/>
      <w:bookmarkStart w:id="1115" w:name="bookmark1600"/>
      <w:r>
        <w:rPr>
          <w:rFonts w:hint="eastAsia" w:ascii="宋体" w:hAnsi="宋体" w:cs="宋体"/>
          <w:color w:val="auto"/>
          <w:szCs w:val="21"/>
          <w:highlight w:val="none"/>
        </w:rPr>
        <w:t>1.6.1 图纸的提供</w:t>
      </w:r>
    </w:p>
    <w:p w14:paraId="64C055F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发包人向承包人提供图纸的期限：</w:t>
      </w:r>
      <w:r>
        <w:rPr>
          <w:rFonts w:hint="eastAsia" w:ascii="宋体" w:hAnsi="宋体" w:cs="宋体"/>
          <w:color w:val="auto"/>
          <w:szCs w:val="21"/>
          <w:highlight w:val="none"/>
          <w:u w:val="single"/>
        </w:rPr>
        <w:t>签订合同后14天内</w:t>
      </w:r>
      <w:r>
        <w:rPr>
          <w:rFonts w:hint="eastAsia" w:ascii="宋体" w:hAnsi="宋体" w:cs="宋体"/>
          <w:color w:val="auto"/>
          <w:szCs w:val="21"/>
          <w:highlight w:val="none"/>
        </w:rPr>
        <w:t>；</w:t>
      </w:r>
    </w:p>
    <w:p w14:paraId="41ADC309">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发包人向承包人提供图纸的数量：</w:t>
      </w:r>
      <w:r>
        <w:rPr>
          <w:rFonts w:hint="eastAsia" w:ascii="宋体" w:hAnsi="宋体" w:cs="宋体"/>
          <w:color w:val="auto"/>
          <w:szCs w:val="21"/>
          <w:highlight w:val="none"/>
          <w:u w:val="single"/>
        </w:rPr>
        <w:t>2套，承包人需要增加图纸套数的，承包人应代为复制，复制费用由承包人承担</w:t>
      </w:r>
      <w:r>
        <w:rPr>
          <w:rFonts w:hint="eastAsia" w:ascii="宋体" w:hAnsi="宋体" w:cs="宋体"/>
          <w:color w:val="auto"/>
          <w:szCs w:val="21"/>
          <w:highlight w:val="none"/>
        </w:rPr>
        <w:t>；</w:t>
      </w:r>
    </w:p>
    <w:p w14:paraId="42200ADC">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发包人向承包人提供图纸的内容：</w:t>
      </w:r>
      <w:r>
        <w:rPr>
          <w:rFonts w:hint="eastAsia" w:ascii="宋体" w:hAnsi="宋体" w:cs="宋体"/>
          <w:color w:val="auto"/>
          <w:szCs w:val="21"/>
          <w:highlight w:val="none"/>
          <w:u w:val="single"/>
        </w:rPr>
        <w:t>详见图纸目录</w:t>
      </w:r>
      <w:r>
        <w:rPr>
          <w:rFonts w:hint="eastAsia" w:ascii="宋体" w:hAnsi="宋体" w:cs="宋体"/>
          <w:color w:val="auto"/>
          <w:szCs w:val="21"/>
          <w:highlight w:val="none"/>
        </w:rPr>
        <w:t>。</w:t>
      </w:r>
    </w:p>
    <w:p w14:paraId="624D648C">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1.6.2 承包人提供的文件</w:t>
      </w:r>
    </w:p>
    <w:p w14:paraId="4E174BC4">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需要由承包人提供的文件，包括（但不限于）：</w:t>
      </w:r>
      <w:r>
        <w:rPr>
          <w:rFonts w:hint="eastAsia" w:ascii="宋体" w:hAnsi="宋体" w:cs="宋体"/>
          <w:color w:val="auto"/>
          <w:szCs w:val="21"/>
          <w:highlight w:val="none"/>
          <w:u w:val="single"/>
        </w:rPr>
        <w:t>项目部组建文件、项目经理任命书、开工报告、施工组织设计及其应交的施工管理文件、施工技术文件等</w:t>
      </w:r>
      <w:r>
        <w:rPr>
          <w:rFonts w:hint="eastAsia" w:ascii="宋体" w:hAnsi="宋体" w:cs="宋体"/>
          <w:color w:val="auto"/>
          <w:szCs w:val="21"/>
          <w:highlight w:val="none"/>
        </w:rPr>
        <w:t>；</w:t>
      </w:r>
    </w:p>
    <w:p w14:paraId="6EC2702C">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承包人提供的文件的期限为：</w:t>
      </w:r>
      <w:r>
        <w:rPr>
          <w:rFonts w:hint="eastAsia" w:ascii="宋体" w:hAnsi="宋体" w:cs="宋体"/>
          <w:color w:val="auto"/>
          <w:szCs w:val="21"/>
          <w:highlight w:val="none"/>
          <w:u w:val="single"/>
        </w:rPr>
        <w:t>文件实施前7天</w:t>
      </w:r>
      <w:r>
        <w:rPr>
          <w:rFonts w:hint="eastAsia" w:ascii="宋体" w:hAnsi="宋体" w:cs="宋体"/>
          <w:color w:val="auto"/>
          <w:szCs w:val="21"/>
          <w:highlight w:val="none"/>
        </w:rPr>
        <w:t>；</w:t>
      </w:r>
    </w:p>
    <w:p w14:paraId="34563D4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承包人提供的文件的数量为：</w:t>
      </w:r>
      <w:r>
        <w:rPr>
          <w:rFonts w:hint="eastAsia" w:ascii="宋体" w:hAnsi="宋体" w:cs="宋体"/>
          <w:color w:val="auto"/>
          <w:szCs w:val="21"/>
          <w:highlight w:val="none"/>
          <w:u w:val="single"/>
        </w:rPr>
        <w:t>不少于一式叁份</w:t>
      </w:r>
      <w:r>
        <w:rPr>
          <w:rFonts w:hint="eastAsia" w:ascii="宋体" w:hAnsi="宋体" w:cs="宋体"/>
          <w:color w:val="auto"/>
          <w:szCs w:val="21"/>
          <w:highlight w:val="none"/>
        </w:rPr>
        <w:t>；</w:t>
      </w:r>
    </w:p>
    <w:p w14:paraId="6B787E10">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承包人提供的文件的形式为：</w:t>
      </w:r>
      <w:r>
        <w:rPr>
          <w:rFonts w:hint="eastAsia" w:ascii="宋体" w:hAnsi="宋体" w:cs="宋体"/>
          <w:color w:val="auto"/>
          <w:szCs w:val="21"/>
          <w:highlight w:val="none"/>
          <w:u w:val="single"/>
        </w:rPr>
        <w:t>纸质文件</w:t>
      </w:r>
      <w:r>
        <w:rPr>
          <w:rFonts w:hint="eastAsia" w:ascii="宋体" w:hAnsi="宋体" w:cs="宋体"/>
          <w:color w:val="auto"/>
          <w:szCs w:val="21"/>
          <w:highlight w:val="none"/>
        </w:rPr>
        <w:t>；</w:t>
      </w:r>
    </w:p>
    <w:p w14:paraId="08892666">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发包人审批承包人文件的期限：</w:t>
      </w:r>
      <w:r>
        <w:rPr>
          <w:rFonts w:hint="eastAsia" w:ascii="宋体" w:hAnsi="宋体" w:cs="宋体"/>
          <w:color w:val="auto"/>
          <w:szCs w:val="21"/>
          <w:highlight w:val="none"/>
          <w:u w:val="single"/>
        </w:rPr>
        <w:t>收到文件后7天内</w:t>
      </w:r>
      <w:r>
        <w:rPr>
          <w:rFonts w:hint="eastAsia" w:ascii="宋体" w:hAnsi="宋体" w:cs="宋体"/>
          <w:color w:val="auto"/>
          <w:szCs w:val="21"/>
          <w:highlight w:val="none"/>
        </w:rPr>
        <w:t>。</w:t>
      </w:r>
    </w:p>
    <w:p w14:paraId="1092D0D4">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1.6.3 现场图纸准备</w:t>
      </w:r>
    </w:p>
    <w:p w14:paraId="6B620A36">
      <w:pPr>
        <w:spacing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关于现场图纸准备的约定：</w:t>
      </w:r>
      <w:r>
        <w:rPr>
          <w:rFonts w:hint="eastAsia" w:ascii="宋体" w:hAnsi="宋体" w:cs="宋体"/>
          <w:color w:val="auto"/>
          <w:szCs w:val="21"/>
          <w:highlight w:val="none"/>
          <w:u w:val="single"/>
        </w:rPr>
        <w:t>图纸会审或发包人审查后7天内由承包人准备图纸</w:t>
      </w:r>
      <w:r>
        <w:rPr>
          <w:rFonts w:hint="eastAsia" w:ascii="宋体" w:hAnsi="宋体" w:cs="宋体"/>
          <w:color w:val="auto"/>
          <w:szCs w:val="21"/>
          <w:highlight w:val="none"/>
        </w:rPr>
        <w:t>。</w:t>
      </w:r>
    </w:p>
    <w:p w14:paraId="2B2EB879">
      <w:pPr>
        <w:pStyle w:val="5"/>
        <w:spacing w:before="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1.7联络</w:t>
      </w:r>
      <w:bookmarkEnd w:id="1113"/>
      <w:bookmarkEnd w:id="1114"/>
      <w:bookmarkEnd w:id="1115"/>
    </w:p>
    <w:p w14:paraId="3A67C15D">
      <w:pPr>
        <w:spacing w:line="360" w:lineRule="auto"/>
        <w:ind w:firstLine="420" w:firstLineChars="200"/>
        <w:rPr>
          <w:rFonts w:ascii="宋体" w:hAnsi="宋体" w:cs="宋体"/>
          <w:color w:val="auto"/>
          <w:szCs w:val="21"/>
          <w:highlight w:val="none"/>
          <w:lang w:val="zh-CN"/>
        </w:rPr>
      </w:pPr>
      <w:bookmarkStart w:id="1116" w:name="_Toc455732034"/>
      <w:bookmarkStart w:id="1117" w:name="_Toc37910542"/>
      <w:bookmarkStart w:id="1118" w:name="_Toc455499414"/>
      <w:bookmarkStart w:id="1119" w:name="_Toc455499985"/>
      <w:bookmarkStart w:id="1120" w:name="_Toc455588207"/>
      <w:bookmarkStart w:id="1121" w:name="_Toc112997923"/>
      <w:bookmarkStart w:id="1122" w:name="_Toc438216239"/>
      <w:bookmarkStart w:id="1123" w:name="_Toc35611060"/>
      <w:bookmarkStart w:id="1124" w:name="_Toc454319401"/>
      <w:bookmarkStart w:id="1125" w:name="_Toc454319400"/>
      <w:bookmarkStart w:id="1126" w:name="_Toc455732033"/>
      <w:bookmarkStart w:id="1127" w:name="_Toc455499413"/>
      <w:bookmarkStart w:id="1128" w:name="_Toc35611059"/>
      <w:bookmarkStart w:id="1129" w:name="_Toc455499984"/>
      <w:bookmarkStart w:id="1130" w:name="_Toc112997922"/>
      <w:bookmarkStart w:id="1131" w:name="_Toc438216238"/>
      <w:bookmarkStart w:id="1132" w:name="_Toc455588206"/>
      <w:r>
        <w:rPr>
          <w:rFonts w:hint="eastAsia" w:ascii="宋体" w:hAnsi="宋体" w:cs="宋体"/>
          <w:color w:val="auto"/>
          <w:szCs w:val="21"/>
          <w:highlight w:val="none"/>
        </w:rPr>
        <w:t>1.7.1</w:t>
      </w:r>
      <w:r>
        <w:rPr>
          <w:rFonts w:hint="eastAsia" w:ascii="宋体" w:hAnsi="宋体" w:cs="宋体"/>
          <w:color w:val="auto"/>
          <w:szCs w:val="21"/>
          <w:highlight w:val="none"/>
          <w:lang w:val="zh-CN"/>
        </w:rPr>
        <w:t>本合同实施过程中有关各方发出的与合同有关的通知、指示、要求、请求、指令、同意、意见、批准、确认、决定、证明、证书等均应以书面形式为准。特殊紧急情况下可先发口头指令，事后36小时内以书面形式予以确认，否则其口头指令无效。</w:t>
      </w:r>
    </w:p>
    <w:p w14:paraId="3971EA9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1.7.2</w:t>
      </w:r>
    </w:p>
    <w:p w14:paraId="6241B2F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发包人指定的联系人：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，联系方式：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，电子邮箱：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，联系地址：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0D7AACB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承包人指定的联系人：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，联系方式：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，电子邮箱：</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，联系地址：</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36405779">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TW"/>
        </w:rPr>
        <w:t>各方认可指定联系人在合同履行过程中的行为。各方变更、增加指定联系人或电子邮箱和联系地址的，应7日内书面通知另一方。</w:t>
      </w:r>
    </w:p>
    <w:p w14:paraId="5D688DE1">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rPr>
        <w:t>1.7.4</w:t>
      </w:r>
      <w:r>
        <w:rPr>
          <w:rFonts w:hint="eastAsia" w:ascii="宋体" w:hAnsi="宋体" w:cs="宋体"/>
          <w:color w:val="auto"/>
          <w:szCs w:val="21"/>
          <w:highlight w:val="none"/>
          <w:lang w:val="zh-CN"/>
        </w:rPr>
        <w:t>来往文件的发出和答复</w:t>
      </w:r>
      <w:bookmarkEnd w:id="1116"/>
      <w:bookmarkEnd w:id="1117"/>
      <w:bookmarkEnd w:id="1118"/>
      <w:bookmarkEnd w:id="1119"/>
      <w:bookmarkEnd w:id="1120"/>
      <w:bookmarkEnd w:id="1121"/>
      <w:bookmarkEnd w:id="1122"/>
      <w:bookmarkEnd w:id="1123"/>
      <w:bookmarkEnd w:id="1124"/>
    </w:p>
    <w:p w14:paraId="0F17D12D">
      <w:pPr>
        <w:spacing w:line="360" w:lineRule="auto"/>
        <w:ind w:firstLine="420" w:firstLineChars="200"/>
        <w:rPr>
          <w:rFonts w:ascii="宋体" w:hAnsi="宋体" w:cs="宋体"/>
          <w:color w:val="auto"/>
          <w:szCs w:val="21"/>
          <w:highlight w:val="none"/>
          <w:lang w:val="zh-CN"/>
        </w:rPr>
      </w:pPr>
      <w:r>
        <w:rPr>
          <w:rFonts w:hint="eastAsia" w:ascii="宋体" w:hAnsi="宋体" w:cs="宋体"/>
          <w:color w:val="auto"/>
          <w:szCs w:val="21"/>
          <w:highlight w:val="none"/>
          <w:lang w:val="zh-CN"/>
        </w:rPr>
        <w:t>本合同有关各方，往来书面文件均应有收件人的签字或回执，并附电子文档。凡需答复的信函文件，应在收件后的7天内回复对方；凡需答复的图纸文件，应在收件后的28天内回复对方。双方另行商定的特殊情况除外。</w:t>
      </w:r>
    </w:p>
    <w:p w14:paraId="1FC0560F">
      <w:pPr>
        <w:spacing w:line="360" w:lineRule="auto"/>
        <w:ind w:firstLine="480"/>
        <w:rPr>
          <w:rStyle w:val="526"/>
          <w:rFonts w:ascii="宋体" w:hAnsi="宋体" w:cs="宋体"/>
          <w:color w:val="auto"/>
          <w:szCs w:val="21"/>
          <w:highlight w:val="none"/>
        </w:rPr>
      </w:pPr>
      <w:r>
        <w:rPr>
          <w:rStyle w:val="526"/>
          <w:rFonts w:hint="eastAsia" w:ascii="宋体" w:hAnsi="宋体" w:cs="宋体"/>
          <w:color w:val="auto"/>
          <w:szCs w:val="21"/>
          <w:highlight w:val="none"/>
          <w:lang w:val="zh-CN"/>
        </w:rPr>
        <w:t>发包人、承包人向对方电子邮箱中发送的文件、资料等视为书面形式，对各方均具有法律效力、视为有效送达。</w:t>
      </w:r>
    </w:p>
    <w:bookmarkEnd w:id="1125"/>
    <w:bookmarkEnd w:id="1126"/>
    <w:bookmarkEnd w:id="1127"/>
    <w:bookmarkEnd w:id="1128"/>
    <w:bookmarkEnd w:id="1129"/>
    <w:bookmarkEnd w:id="1130"/>
    <w:bookmarkEnd w:id="1131"/>
    <w:bookmarkEnd w:id="1132"/>
    <w:p w14:paraId="30B24575">
      <w:pPr>
        <w:spacing w:line="360" w:lineRule="auto"/>
        <w:ind w:firstLine="480"/>
        <w:rPr>
          <w:rStyle w:val="526"/>
          <w:rFonts w:ascii="宋体" w:hAnsi="宋体" w:cs="宋体"/>
          <w:color w:val="auto"/>
          <w:szCs w:val="21"/>
          <w:highlight w:val="none"/>
          <w:lang w:val="zh-TW"/>
        </w:rPr>
      </w:pPr>
      <w:r>
        <w:rPr>
          <w:rFonts w:hint="eastAsia" w:ascii="宋体" w:hAnsi="宋体" w:cs="宋体"/>
          <w:color w:val="auto"/>
          <w:szCs w:val="21"/>
          <w:highlight w:val="none"/>
          <w:lang w:val="zh-CN"/>
        </w:rPr>
        <w:t>1.</w:t>
      </w:r>
      <w:r>
        <w:rPr>
          <w:rFonts w:hint="eastAsia" w:ascii="宋体" w:hAnsi="宋体" w:cs="宋体"/>
          <w:color w:val="auto"/>
          <w:szCs w:val="21"/>
          <w:highlight w:val="none"/>
        </w:rPr>
        <w:t>7</w:t>
      </w:r>
      <w:r>
        <w:rPr>
          <w:rFonts w:hint="eastAsia" w:ascii="宋体" w:hAnsi="宋体" w:cs="宋体"/>
          <w:color w:val="auto"/>
          <w:szCs w:val="21"/>
          <w:highlight w:val="none"/>
          <w:lang w:val="zh-CN"/>
        </w:rPr>
        <w:t>.</w:t>
      </w:r>
      <w:r>
        <w:rPr>
          <w:rFonts w:hint="eastAsia" w:ascii="宋体" w:hAnsi="宋体" w:cs="宋体"/>
          <w:color w:val="auto"/>
          <w:szCs w:val="21"/>
          <w:highlight w:val="none"/>
        </w:rPr>
        <w:t>5</w:t>
      </w:r>
      <w:r>
        <w:rPr>
          <w:rStyle w:val="526"/>
          <w:rFonts w:hint="eastAsia" w:ascii="宋体" w:hAnsi="宋体" w:cs="宋体"/>
          <w:color w:val="auto"/>
          <w:szCs w:val="21"/>
          <w:highlight w:val="none"/>
          <w:lang w:val="zh-TW"/>
        </w:rPr>
        <w:t>对方变更办公地点的，应7日内书面通知另一方，否则，另一方向对方发出的文件，按合同上面的地址发出，无论是否签收、退件等，即认为已经有效送达对方。</w:t>
      </w:r>
    </w:p>
    <w:p w14:paraId="421F6256">
      <w:pPr>
        <w:pStyle w:val="5"/>
        <w:spacing w:before="0" w:line="360" w:lineRule="auto"/>
        <w:jc w:val="both"/>
        <w:rPr>
          <w:rFonts w:ascii="宋体" w:hAnsi="宋体" w:cs="宋体"/>
          <w:color w:val="auto"/>
          <w:sz w:val="21"/>
          <w:szCs w:val="21"/>
          <w:highlight w:val="none"/>
        </w:rPr>
      </w:pPr>
      <w:bookmarkStart w:id="1133" w:name="_Toc14543419"/>
      <w:bookmarkStart w:id="1134" w:name="_Toc13823566"/>
      <w:r>
        <w:rPr>
          <w:rFonts w:hint="eastAsia" w:ascii="宋体" w:hAnsi="宋体" w:cs="宋体"/>
          <w:color w:val="auto"/>
          <w:sz w:val="21"/>
          <w:szCs w:val="21"/>
          <w:highlight w:val="none"/>
        </w:rPr>
        <w:t>1.11 专利技术</w:t>
      </w:r>
      <w:bookmarkEnd w:id="1133"/>
      <w:bookmarkEnd w:id="1134"/>
    </w:p>
    <w:p w14:paraId="490C45FF">
      <w:pPr>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1.11.5本合同实施过程中产生的研究成果归双方所有，就研究成果产生的专利权、专利申请权、申请奖励权、成果发表权等按以下约定处理：</w:t>
      </w:r>
    </w:p>
    <w:p w14:paraId="76E62FC9">
      <w:pPr>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1）研究成果申请专利的权利由双方共同享有，未经发包人许可，承包人不得单独申请专利。经发包人同意申请的，由承包人牵头申请专利，专利权归双方共同享有，一方可以单独使用，如需许可他人使用需征得另一方同意，但发包人许可与其具有关联关系的单位使用除外。</w:t>
      </w:r>
    </w:p>
    <w:p w14:paraId="77C41E4A">
      <w:pPr>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（2）未经发包人许可，承包人不得单独申请奖励。</w:t>
      </w:r>
    </w:p>
    <w:p w14:paraId="39CAE8DB">
      <w:pPr>
        <w:spacing w:line="360" w:lineRule="auto"/>
        <w:ind w:firstLine="480"/>
        <w:rPr>
          <w:rFonts w:ascii="宋体" w:hAnsi="宋体" w:cs="宋体"/>
          <w:color w:val="auto"/>
          <w:szCs w:val="21"/>
          <w:highlight w:val="none"/>
        </w:rPr>
      </w:pPr>
      <w:r>
        <w:rPr>
          <w:rFonts w:hint="eastAsia" w:ascii="宋体" w:hAnsi="宋体" w:cs="宋体"/>
          <w:color w:val="auto"/>
          <w:szCs w:val="21"/>
          <w:highlight w:val="none"/>
        </w:rPr>
        <w:t>（3）研究成果的发表权由双方共同享有。未经发包人许可，承包人不得单方发表。</w:t>
      </w:r>
    </w:p>
    <w:p w14:paraId="3853E9A8">
      <w:pPr>
        <w:spacing w:line="360" w:lineRule="auto"/>
        <w:ind w:firstLine="480"/>
        <w:rPr>
          <w:rStyle w:val="526"/>
          <w:rFonts w:ascii="宋体" w:hAnsi="宋体" w:cs="宋体"/>
          <w:color w:val="auto"/>
          <w:szCs w:val="21"/>
          <w:highlight w:val="none"/>
          <w:lang w:val="zh-TW"/>
        </w:rPr>
      </w:pPr>
      <w:r>
        <w:rPr>
          <w:rFonts w:hint="eastAsia" w:ascii="宋体" w:hAnsi="宋体" w:cs="宋体"/>
          <w:color w:val="auto"/>
          <w:szCs w:val="21"/>
          <w:highlight w:val="none"/>
        </w:rPr>
        <w:t>（4）合同期间及终止后承包人确保发包人依约使用承包人、分包人提供的工作成果不被索赔，如构成侵权的，由承包人解决并承担费用。</w:t>
      </w:r>
    </w:p>
    <w:p w14:paraId="0637B28B">
      <w:pPr>
        <w:pStyle w:val="4"/>
        <w:spacing w:before="0" w:after="0" w:line="360" w:lineRule="auto"/>
        <w:rPr>
          <w:rFonts w:ascii="宋体" w:hAnsi="宋体" w:cs="宋体"/>
          <w:color w:val="auto"/>
          <w:sz w:val="21"/>
          <w:szCs w:val="21"/>
          <w:highlight w:val="none"/>
        </w:rPr>
      </w:pPr>
      <w:bookmarkStart w:id="1135" w:name="bookmark1604"/>
      <w:bookmarkEnd w:id="1135"/>
      <w:bookmarkStart w:id="1136" w:name="bookmark1603"/>
      <w:bookmarkStart w:id="1137" w:name="_Toc7249"/>
      <w:bookmarkStart w:id="1138" w:name="_Toc105283944"/>
      <w:bookmarkStart w:id="1139" w:name="bookmark1605"/>
      <w:bookmarkStart w:id="1140" w:name="bookmark1602"/>
      <w:bookmarkStart w:id="1141" w:name="_Toc27866"/>
      <w:bookmarkStart w:id="1142" w:name="_Toc337"/>
      <w:r>
        <w:rPr>
          <w:rFonts w:hint="eastAsia" w:ascii="宋体" w:hAnsi="宋体" w:cs="宋体"/>
          <w:color w:val="auto"/>
          <w:sz w:val="21"/>
          <w:szCs w:val="21"/>
          <w:highlight w:val="none"/>
        </w:rPr>
        <w:t>2. 发包人义务</w:t>
      </w:r>
      <w:bookmarkEnd w:id="1136"/>
      <w:bookmarkEnd w:id="1137"/>
      <w:bookmarkEnd w:id="1138"/>
      <w:bookmarkEnd w:id="1139"/>
      <w:bookmarkEnd w:id="1140"/>
      <w:bookmarkEnd w:id="1141"/>
      <w:bookmarkEnd w:id="1142"/>
    </w:p>
    <w:p w14:paraId="21C9302D">
      <w:pPr>
        <w:pStyle w:val="5"/>
        <w:spacing w:before="0" w:line="360" w:lineRule="auto"/>
        <w:jc w:val="both"/>
        <w:rPr>
          <w:rFonts w:ascii="宋体" w:hAnsi="宋体" w:cs="宋体"/>
          <w:color w:val="auto"/>
          <w:sz w:val="21"/>
          <w:szCs w:val="21"/>
          <w:highlight w:val="none"/>
        </w:rPr>
      </w:pPr>
      <w:bookmarkStart w:id="1143" w:name="bookmark1606"/>
      <w:bookmarkStart w:id="1144" w:name="bookmark1608"/>
      <w:bookmarkStart w:id="1145" w:name="bookmark1607"/>
      <w:r>
        <w:rPr>
          <w:rFonts w:hint="eastAsia" w:ascii="宋体" w:hAnsi="宋体" w:cs="宋体"/>
          <w:color w:val="auto"/>
          <w:sz w:val="21"/>
          <w:szCs w:val="21"/>
          <w:highlight w:val="none"/>
        </w:rPr>
        <w:t>2.3提供施工场地</w:t>
      </w:r>
      <w:bookmarkEnd w:id="1143"/>
      <w:bookmarkEnd w:id="1144"/>
      <w:bookmarkEnd w:id="1145"/>
    </w:p>
    <w:p w14:paraId="3E49F23C">
      <w:pPr>
        <w:pStyle w:val="523"/>
        <w:tabs>
          <w:tab w:val="left" w:pos="8265"/>
        </w:tabs>
        <w:ind w:firstLine="460"/>
        <w:rPr>
          <w:color w:val="auto"/>
          <w:szCs w:val="21"/>
          <w:highlight w:val="none"/>
          <w:lang w:val="en-US" w:bidi="en-US"/>
        </w:rPr>
      </w:pPr>
      <w:r>
        <w:rPr>
          <w:rFonts w:hint="eastAsia"/>
          <w:color w:val="auto"/>
          <w:szCs w:val="21"/>
          <w:highlight w:val="none"/>
          <w:lang w:val="en-US" w:bidi="en-US"/>
        </w:rPr>
        <w:t>2.3.2（1）发包人提供的施工场地范围为：</w:t>
      </w:r>
      <w:r>
        <w:rPr>
          <w:rFonts w:hint="eastAsia"/>
          <w:color w:val="auto"/>
          <w:szCs w:val="21"/>
          <w:highlight w:val="none"/>
          <w:u w:val="single"/>
          <w:lang w:val="en-US" w:bidi="en-US"/>
        </w:rPr>
        <w:t>发包人负责办理工地范围内的征地、拆迁和移民等有关手续，向承包人提供施工用地；发包人提供永久征地和施工临时用地红线图及坐标</w:t>
      </w:r>
      <w:r>
        <w:rPr>
          <w:rFonts w:hint="eastAsia"/>
          <w:color w:val="auto"/>
          <w:szCs w:val="21"/>
          <w:highlight w:val="none"/>
          <w:lang w:val="en-US" w:bidi="en-US"/>
        </w:rPr>
        <w:t>。</w:t>
      </w:r>
    </w:p>
    <w:p w14:paraId="35DEB101">
      <w:pPr>
        <w:pStyle w:val="523"/>
        <w:tabs>
          <w:tab w:val="left" w:pos="8265"/>
        </w:tabs>
        <w:ind w:firstLine="460"/>
        <w:rPr>
          <w:color w:val="auto"/>
          <w:szCs w:val="21"/>
          <w:highlight w:val="none"/>
          <w:lang w:val="en-US" w:bidi="en-US"/>
        </w:rPr>
      </w:pPr>
      <w:r>
        <w:rPr>
          <w:rFonts w:hint="eastAsia"/>
          <w:color w:val="auto"/>
          <w:szCs w:val="21"/>
          <w:highlight w:val="none"/>
          <w:lang w:val="en-US" w:bidi="en-US"/>
        </w:rPr>
        <w:t>2.3.3发包人应在开工前14天内，向承包人提供与施工现场相关的工程地质和地下管线资 料，对资料的真实准确性负责。但发包人对承包人在使用上述资料时所作的分析、判断和推论 不承担责任。发包人负责协调处理施工场地周围地下管线和邻近建筑物、构筑物的保护工作，并协助解决对承包人施工有干扰的外部条件。</w:t>
      </w:r>
    </w:p>
    <w:p w14:paraId="3B393899">
      <w:pPr>
        <w:pStyle w:val="5"/>
        <w:spacing w:before="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2.8其它义务</w:t>
      </w:r>
    </w:p>
    <w:p w14:paraId="1D3D1921">
      <w:pPr>
        <w:pStyle w:val="523"/>
        <w:tabs>
          <w:tab w:val="left" w:pos="8265"/>
        </w:tabs>
        <w:ind w:firstLine="460"/>
        <w:rPr>
          <w:color w:val="auto"/>
          <w:szCs w:val="21"/>
          <w:highlight w:val="none"/>
          <w:lang w:val="en-US" w:bidi="en-US"/>
        </w:rPr>
      </w:pPr>
      <w:r>
        <w:rPr>
          <w:rFonts w:hint="eastAsia"/>
          <w:color w:val="auto"/>
          <w:szCs w:val="21"/>
          <w:highlight w:val="none"/>
          <w:lang w:val="en-US" w:bidi="en-US"/>
        </w:rPr>
        <w:t>/</w:t>
      </w:r>
    </w:p>
    <w:p w14:paraId="4BF9CEC5">
      <w:pPr>
        <w:pStyle w:val="4"/>
        <w:spacing w:before="0" w:after="0" w:line="360" w:lineRule="auto"/>
        <w:rPr>
          <w:rFonts w:ascii="宋体" w:hAnsi="宋体" w:cs="宋体"/>
          <w:color w:val="auto"/>
          <w:sz w:val="21"/>
          <w:szCs w:val="21"/>
          <w:highlight w:val="none"/>
        </w:rPr>
      </w:pPr>
      <w:bookmarkStart w:id="1146" w:name="bookmark1609"/>
      <w:bookmarkEnd w:id="1146"/>
      <w:bookmarkStart w:id="1147" w:name="bookmark1614"/>
      <w:bookmarkEnd w:id="1147"/>
      <w:bookmarkStart w:id="1148" w:name="_Toc12074"/>
      <w:bookmarkStart w:id="1149" w:name="_Toc5847"/>
      <w:bookmarkStart w:id="1150" w:name="_Toc2059059865"/>
      <w:bookmarkStart w:id="1151" w:name="_Toc6637"/>
      <w:bookmarkStart w:id="1152" w:name="bookmark1615"/>
      <w:bookmarkStart w:id="1153" w:name="bookmark1613"/>
      <w:bookmarkStart w:id="1154" w:name="bookmark1612"/>
      <w:r>
        <w:rPr>
          <w:rFonts w:hint="eastAsia" w:ascii="宋体" w:hAnsi="宋体" w:cs="宋体"/>
          <w:color w:val="auto"/>
          <w:sz w:val="21"/>
          <w:szCs w:val="21"/>
          <w:highlight w:val="none"/>
        </w:rPr>
        <w:t>3. 监理人</w:t>
      </w:r>
      <w:bookmarkEnd w:id="1148"/>
      <w:bookmarkEnd w:id="1149"/>
      <w:bookmarkEnd w:id="1150"/>
      <w:bookmarkEnd w:id="1151"/>
      <w:bookmarkEnd w:id="1152"/>
    </w:p>
    <w:p w14:paraId="497E35DB">
      <w:pPr>
        <w:pStyle w:val="5"/>
        <w:spacing w:before="0" w:line="360" w:lineRule="auto"/>
        <w:jc w:val="both"/>
        <w:rPr>
          <w:rFonts w:ascii="宋体" w:hAnsi="宋体" w:cs="宋体"/>
          <w:color w:val="auto"/>
          <w:sz w:val="21"/>
          <w:szCs w:val="21"/>
          <w:highlight w:val="none"/>
        </w:rPr>
      </w:pPr>
      <w:bookmarkStart w:id="1155" w:name="bookmark1616"/>
      <w:r>
        <w:rPr>
          <w:rFonts w:hint="eastAsia" w:ascii="宋体" w:hAnsi="宋体" w:cs="宋体"/>
          <w:color w:val="auto"/>
          <w:sz w:val="21"/>
          <w:szCs w:val="21"/>
          <w:highlight w:val="none"/>
        </w:rPr>
        <w:t>3.1监理人的职责和权力</w:t>
      </w:r>
      <w:bookmarkEnd w:id="1153"/>
      <w:bookmarkEnd w:id="1154"/>
      <w:bookmarkEnd w:id="1155"/>
    </w:p>
    <w:p w14:paraId="09E4E7AE">
      <w:pPr>
        <w:pStyle w:val="335"/>
        <w:spacing w:line="360" w:lineRule="auto"/>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3.1.1监理人须根据发包人事先批准的权力范围行使权力，发包人批准的权力范围： 按本工程委托监理合同。</w:t>
      </w:r>
    </w:p>
    <w:p w14:paraId="2D98BEE0">
      <w:pPr>
        <w:pStyle w:val="4"/>
        <w:spacing w:before="0" w:after="0" w:line="360" w:lineRule="auto"/>
        <w:rPr>
          <w:rFonts w:ascii="宋体" w:hAnsi="宋体" w:cs="宋体"/>
          <w:color w:val="auto"/>
          <w:sz w:val="21"/>
          <w:szCs w:val="21"/>
          <w:highlight w:val="none"/>
        </w:rPr>
      </w:pPr>
      <w:bookmarkStart w:id="1156" w:name="bookmark1619"/>
      <w:bookmarkEnd w:id="1156"/>
      <w:bookmarkStart w:id="1157" w:name="_Toc718918703"/>
      <w:bookmarkStart w:id="1158" w:name="_Toc6518"/>
      <w:bookmarkStart w:id="1159" w:name="_Toc23429"/>
      <w:bookmarkStart w:id="1160" w:name="_Toc4014"/>
      <w:bookmarkStart w:id="1161" w:name="bookmark1620"/>
      <w:bookmarkStart w:id="1162" w:name="bookmark1618"/>
      <w:bookmarkStart w:id="1163" w:name="bookmark1617"/>
      <w:r>
        <w:rPr>
          <w:rFonts w:hint="eastAsia" w:ascii="宋体" w:hAnsi="宋体" w:cs="宋体"/>
          <w:color w:val="auto"/>
          <w:sz w:val="21"/>
          <w:szCs w:val="21"/>
          <w:highlight w:val="none"/>
        </w:rPr>
        <w:t>4. 承包人</w:t>
      </w:r>
      <w:bookmarkEnd w:id="1157"/>
      <w:bookmarkEnd w:id="1158"/>
      <w:bookmarkEnd w:id="1159"/>
      <w:bookmarkEnd w:id="1160"/>
      <w:bookmarkEnd w:id="1161"/>
    </w:p>
    <w:p w14:paraId="57DF67D9">
      <w:pPr>
        <w:pStyle w:val="5"/>
        <w:spacing w:before="0" w:line="360" w:lineRule="auto"/>
        <w:jc w:val="both"/>
        <w:rPr>
          <w:rFonts w:ascii="宋体" w:hAnsi="宋体" w:cs="宋体"/>
          <w:color w:val="auto"/>
          <w:sz w:val="21"/>
          <w:szCs w:val="21"/>
          <w:highlight w:val="none"/>
        </w:rPr>
      </w:pPr>
      <w:bookmarkStart w:id="1164" w:name="bookmark1621"/>
      <w:r>
        <w:rPr>
          <w:rFonts w:hint="eastAsia" w:ascii="宋体" w:hAnsi="宋体" w:cs="宋体"/>
          <w:color w:val="auto"/>
          <w:sz w:val="21"/>
          <w:szCs w:val="21"/>
          <w:highlight w:val="none"/>
        </w:rPr>
        <w:t>4.1承包人的一般义务</w:t>
      </w:r>
      <w:bookmarkEnd w:id="1162"/>
      <w:bookmarkEnd w:id="1163"/>
      <w:bookmarkEnd w:id="1164"/>
    </w:p>
    <w:p w14:paraId="309FCCD2">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4.1.10其他义务</w:t>
      </w:r>
    </w:p>
    <w:p w14:paraId="7D8157B9">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(一)办理有关保险。</w:t>
      </w:r>
    </w:p>
    <w:p w14:paraId="660F4054">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按照《建筑法》规定，必须在工程开工前，为参加本合同工程现场施工的所有作业人员及管理人员，包括参加工程建设的管理人员、监理人员、施工人员(含民工)办理工伤保险，并缴纳工伤保险费。保险期限自投保之日(工程开工之日)起至工程竣工验收时止,时间上涵盖施工全过程的任一时段。</w:t>
      </w:r>
    </w:p>
    <w:p w14:paraId="7223B48C">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按照《建筑法》规定，鼓励为从事危险作业的职工办理意外伤害保险。</w:t>
      </w:r>
    </w:p>
    <w:p w14:paraId="5ED25D7D">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(二)执行广西壮族自治区解决企业拖欠工资问题联席会议关于保障农民工工资支付的有关规定，确保农民工工资无拖欠。</w:t>
      </w:r>
    </w:p>
    <w:p w14:paraId="47595D5A">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依法与招用的农民工签订并履行劳动合同，建立职工名册，及时办理劳动用工备案。实行农民工工资专用账户管理、银行代发农民工工资制度和农民工工资保证金制度。根据《关于印发广西壮族自治区工程建设领域工人工资支付专用账户管理办法的通知》(桂薪联发﹝2016﹞1号)的要求，人工费应与工程进度款分账管理。本工程拔付工程款中工人工资所占比例为22%。</w:t>
      </w:r>
    </w:p>
    <w:p w14:paraId="4A5F1079">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(三)工程施工的义务和责任</w:t>
      </w:r>
    </w:p>
    <w:p w14:paraId="3C07D670">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(1)承包人应负责施工场地内部的水、电等施工管、线路的铺、架设及其费用，并按供电部门规定向供电部门(或发包人)交纳水、电费。发包人提供的接电点在签订合同时明确。另外，施工通讯及设施由承包人负责并承担费用。</w:t>
      </w:r>
    </w:p>
    <w:p w14:paraId="13BA506C">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(2)除民房外，承包人应按监理人的指示负责拆除、清理已征用土地上的杂物、灌木、树木、树根、杂草等。</w:t>
      </w:r>
    </w:p>
    <w:p w14:paraId="6DABE884">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(3)承包人应充分理解有一些设施(如施工道路、桥梁)可能会有其它人和单位使用通行，在使用过程中发生干扰时，应立即通知监理人并服从监理人的决定。</w:t>
      </w:r>
    </w:p>
    <w:p w14:paraId="77041360">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(4)承包人应为监理人、发包人现场代表对施工现场的检查监督提供必要的配合，并对这种配合对施工的影响应有充分的考虑。</w:t>
      </w:r>
    </w:p>
    <w:p w14:paraId="72683ACA">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(5)工程竣工后，承包人应按监理人的指示清理施工现场直至监理人、发包人满意为止。</w:t>
      </w:r>
    </w:p>
    <w:p w14:paraId="23A44D66">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(6)对上述(1)~(5)项工作，费用已包括在有关单价和总价中，发包人不再另行支付由此所发生的一切费用。</w:t>
      </w:r>
    </w:p>
    <w:p w14:paraId="7139F8D3">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(7)经过公路、城市道路的施工车辆，必须按交警、城管、环保、环卫等部门规定执行。施工车辆的营运手续办理、清洗等一切费用由承包人承担。由于车辆超载、带泥或洒漏造成的道路损坏、环境污染等，其责任和费用均由承包人承担。</w:t>
      </w:r>
    </w:p>
    <w:p w14:paraId="580BAE63">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(8)承包人必须文明、安全施工，在施工期间发生的一切人员伤亡和财产损失等责任事故和所发生的一切费用概由承包人承担。</w:t>
      </w:r>
    </w:p>
    <w:p w14:paraId="532DEFFE">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(9)按照发包人的要求做好安全文明宣传、监督检查宣传等工作，相关费用由承包人承担。</w:t>
      </w:r>
    </w:p>
    <w:p w14:paraId="245CCFEC">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(10)承包人应按约定时间和要求，完成以下工作：</w:t>
      </w:r>
    </w:p>
    <w:p w14:paraId="17A152C0">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①按时提交施工组织设计、单位工程的施工方案。</w:t>
      </w:r>
    </w:p>
    <w:p w14:paraId="22F04434">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②每月25日向监理人提交当月工程进度报表及下月进度计划。</w:t>
      </w:r>
    </w:p>
    <w:p w14:paraId="7675380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③承包人自行负责施工安全保卫工作及夜间施工照明。</w:t>
      </w:r>
    </w:p>
    <w:p w14:paraId="09F487F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④需承包人办理的有关施工场地交通、环卫和施工噪音降尘管理等手续：遵守有关部门对施工现场交通、环卫和施工噪音降尘管理规定，如有发生，费用由承包人承担。</w:t>
      </w:r>
    </w:p>
    <w:p w14:paraId="0511EE8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⑤已完工程成品保护的特殊要求及费用承担：已完工工程未交付发包人之前，承包人按协议条款约定负责已完成工程的成品保护工作，保护期间发生损坏，承包人自费予以修复。</w:t>
      </w:r>
    </w:p>
    <w:p w14:paraId="1BF8369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⑥承包人有义务对施工场地周围管线(含地上及地下)和邻近建筑物、构筑物(含文物保护建筑)、古树名木等进行探明并负责保护。</w:t>
      </w:r>
    </w:p>
    <w:p w14:paraId="1C53034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⑦施工场地清洁卫生的要求：按城建卫生有关规定执行，由承包人负责，费用由承包人承担。</w:t>
      </w:r>
    </w:p>
    <w:p w14:paraId="37B11B5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⑧承包人承担施工场地、水电及运输通道的修建和维护、清场等费用。</w:t>
      </w:r>
    </w:p>
    <w:p w14:paraId="20720DE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(11)双方约定承包人应做的其他工作：</w:t>
      </w:r>
    </w:p>
    <w:p w14:paraId="528C2D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①凡属于需要承包人交付给其他承包人的工作面以及与其他承包人交叉作业的工作面,承包人必须服从监理人的决定，按规定的完工日期完成并将清理好的工作面移交给发包人,并取得监理人的同意。</w:t>
      </w:r>
    </w:p>
    <w:p w14:paraId="66AA7A7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②工程完工后，承包人应按监理人的指示清理施工现场。并在工程完工后90天内完成并提交工程竣工资料和工程结算资料。承包人逾期提交，发包人将对承包人的拖延行为视为违约，并按1000.00元/天计算违约金，违约金从承包人应得的工程款中扣除，但其最终的累计总金额与各项逾期完工违约金合计不超过合同价格的5%。</w:t>
      </w:r>
    </w:p>
    <w:p w14:paraId="3529CA8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lang w:val="zh-CN" w:bidi="zh-CN"/>
        </w:rPr>
        <w:t>(</w:t>
      </w:r>
      <w:r>
        <w:rPr>
          <w:rFonts w:hint="eastAsia" w:ascii="宋体" w:hAnsi="宋体" w:cs="宋体"/>
          <w:color w:val="auto"/>
          <w:szCs w:val="21"/>
          <w:highlight w:val="none"/>
          <w:lang w:bidi="zh-CN"/>
        </w:rPr>
        <w:t>12</w:t>
      </w:r>
      <w:r>
        <w:rPr>
          <w:rFonts w:hint="eastAsia" w:ascii="宋体" w:hAnsi="宋体" w:cs="宋体"/>
          <w:color w:val="auto"/>
          <w:szCs w:val="21"/>
          <w:highlight w:val="none"/>
          <w:lang w:val="zh-CN" w:bidi="zh-CN"/>
        </w:rPr>
        <w:t>)</w:t>
      </w:r>
      <w:r>
        <w:rPr>
          <w:rFonts w:hint="eastAsia" w:ascii="宋体" w:hAnsi="宋体" w:cs="宋体"/>
          <w:color w:val="auto"/>
          <w:szCs w:val="21"/>
          <w:highlight w:val="none"/>
        </w:rPr>
        <w:t>其他未尽事宜待签订施工合同时双方再协商。</w:t>
      </w:r>
    </w:p>
    <w:p w14:paraId="1F4C657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（13）</w:t>
      </w:r>
      <w:r>
        <w:rPr>
          <w:rFonts w:hint="eastAsia" w:ascii="宋体" w:hAnsi="宋体" w:cs="宋体"/>
          <w:color w:val="auto"/>
          <w:szCs w:val="21"/>
          <w:highlight w:val="none"/>
          <w:lang w:bidi="en-US"/>
        </w:rPr>
        <w:t>承包人自行测量边界并标示，按文明施工要求对施工场地进行围挡；承包人应无条件接受现场条件并对施工场地进行维护；以上费用由承包人承担，发包人不另行支付。</w:t>
      </w:r>
    </w:p>
    <w:p w14:paraId="50DCF20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(四)鼓励承包人根据工程建设实际，吸纳建档立卡贫困劳动力参加工程建设。</w:t>
      </w:r>
    </w:p>
    <w:p w14:paraId="473CC23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(五)执行自治区关于松材线虫病防控工作的有关规定，工程建设采用的模板、支撑及脚手架以钢模板、钢支撑为主，不使用松木及其包装材料。木质模板及仿材尽量就地采购，避免长途转运。</w:t>
      </w:r>
    </w:p>
    <w:p w14:paraId="00F2A3A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(六)农民工工资保证金</w:t>
      </w:r>
    </w:p>
    <w:p w14:paraId="777BF21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按广西壮族自治区人力资源和社会保障厅等8部门《关于印发广西壮族自治区工程建设领域农民工工资专用帐户管理暂行办法实施细则的通知》(桂人社规[2022]5号)执行，承包人在合同签订之日起30日内，自主选择在北海市行政区域内依法设立或设有分支机构的银行开立专用帐户。办理得施工许可证后，按照《关于印发广西壮族自治区工程建设领域农民工工资保证金规定实施办法的通知》(桂人社规[2021]16号)缴存保证金，也可以使用银行保函。工程竣工验收结算经审定后，按照规定程序，将农民工工资保证金没有使用或剩余的金额退还给承包人。</w:t>
      </w:r>
    </w:p>
    <w:p w14:paraId="69032256">
      <w:pPr>
        <w:pStyle w:val="334"/>
        <w:rPr>
          <w:rFonts w:ascii="宋体" w:hAnsi="宋体" w:cs="宋体"/>
          <w:color w:val="auto"/>
          <w:szCs w:val="21"/>
          <w:highlight w:val="none"/>
          <w:lang w:bidi="en-US"/>
        </w:rPr>
      </w:pPr>
      <w:r>
        <w:rPr>
          <w:rFonts w:hint="eastAsia" w:ascii="宋体" w:hAnsi="宋体" w:cs="宋体"/>
          <w:color w:val="auto"/>
          <w:szCs w:val="21"/>
          <w:highlight w:val="none"/>
          <w:lang w:bidi="en-US"/>
        </w:rPr>
        <w:t>4.2履约担保</w:t>
      </w:r>
    </w:p>
    <w:p w14:paraId="38493BA6">
      <w:pPr>
        <w:pStyle w:val="527"/>
        <w:tabs>
          <w:tab w:val="left" w:pos="1031"/>
        </w:tabs>
        <w:ind w:firstLine="420" w:firstLineChars="200"/>
        <w:rPr>
          <w:color w:val="auto"/>
          <w:sz w:val="21"/>
          <w:szCs w:val="21"/>
          <w:highlight w:val="none"/>
        </w:rPr>
      </w:pPr>
      <w:r>
        <w:rPr>
          <w:rFonts w:hint="eastAsia"/>
          <w:color w:val="auto"/>
          <w:sz w:val="21"/>
          <w:szCs w:val="21"/>
          <w:highlight w:val="none"/>
        </w:rPr>
        <w:t>履约保证金</w:t>
      </w:r>
      <w:r>
        <w:rPr>
          <w:rFonts w:hint="eastAsia"/>
          <w:color w:val="auto"/>
          <w:sz w:val="21"/>
          <w:szCs w:val="21"/>
          <w:highlight w:val="none"/>
          <w:lang w:val="en-US"/>
        </w:rPr>
        <w:t>金额：</w:t>
      </w:r>
      <w:r>
        <w:rPr>
          <w:rFonts w:hint="eastAsia"/>
          <w:color w:val="auto"/>
          <w:sz w:val="21"/>
          <w:szCs w:val="21"/>
          <w:highlight w:val="none"/>
        </w:rPr>
        <w:t>按中标合同金额的</w:t>
      </w:r>
      <w:r>
        <w:rPr>
          <w:rFonts w:hint="eastAsia"/>
          <w:color w:val="auto"/>
          <w:sz w:val="21"/>
          <w:szCs w:val="21"/>
          <w:highlight w:val="none"/>
          <w:lang w:val="en-US"/>
        </w:rPr>
        <w:t>2</w:t>
      </w:r>
      <w:r>
        <w:rPr>
          <w:rFonts w:hint="eastAsia"/>
          <w:color w:val="auto"/>
          <w:sz w:val="21"/>
          <w:szCs w:val="21"/>
          <w:highlight w:val="none"/>
        </w:rPr>
        <w:t>%缴纳。</w:t>
      </w:r>
    </w:p>
    <w:p w14:paraId="6C821330">
      <w:pPr>
        <w:snapToGrid w:val="0"/>
        <w:spacing w:line="360" w:lineRule="auto"/>
        <w:rPr>
          <w:rFonts w:ascii="宋体" w:hAnsi="宋体" w:cs="宋体"/>
          <w:color w:val="auto"/>
          <w:highlight w:val="none"/>
          <w:u w:val="single"/>
        </w:rPr>
      </w:pPr>
      <w:r>
        <w:rPr>
          <w:rFonts w:hint="eastAsia"/>
          <w:color w:val="auto"/>
          <w:szCs w:val="21"/>
          <w:highlight w:val="none"/>
        </w:rPr>
        <w:t>履约保证金缴纳方式：</w:t>
      </w:r>
      <w:r>
        <w:rPr>
          <w:rFonts w:hint="eastAsia"/>
          <w:color w:val="auto"/>
          <w:szCs w:val="21"/>
          <w:highlight w:val="none"/>
          <w:u w:val="single"/>
        </w:rPr>
        <w:t xml:space="preserve">  </w:t>
      </w:r>
      <w:r>
        <w:rPr>
          <w:rFonts w:hint="eastAsia" w:ascii="宋体" w:hAnsi="宋体" w:cs="宋体"/>
          <w:color w:val="auto"/>
          <w:highlight w:val="none"/>
          <w:u w:val="single"/>
        </w:rPr>
        <w:t>发出成交通知书7个工作日内提供银行或担保机构出具的履约保函。</w:t>
      </w:r>
    </w:p>
    <w:p w14:paraId="55270801">
      <w:pPr>
        <w:pStyle w:val="527"/>
        <w:tabs>
          <w:tab w:val="left" w:pos="1031"/>
        </w:tabs>
        <w:ind w:firstLine="420" w:firstLineChars="200"/>
        <w:rPr>
          <w:color w:val="auto"/>
          <w:sz w:val="21"/>
          <w:szCs w:val="21"/>
          <w:highlight w:val="none"/>
        </w:rPr>
      </w:pPr>
      <w:r>
        <w:rPr>
          <w:rFonts w:hint="eastAsia"/>
          <w:color w:val="auto"/>
          <w:sz w:val="21"/>
          <w:szCs w:val="21"/>
          <w:highlight w:val="none"/>
        </w:rPr>
        <w:t>履约保函担保服务期限应覆盖全部施工工程时间，即从开工之日起至工程完工止。</w:t>
      </w:r>
    </w:p>
    <w:p w14:paraId="040705C9">
      <w:pPr>
        <w:pStyle w:val="5"/>
        <w:spacing w:before="0" w:line="360" w:lineRule="auto"/>
        <w:jc w:val="both"/>
        <w:rPr>
          <w:rFonts w:ascii="宋体" w:hAnsi="宋体" w:cs="宋体"/>
          <w:color w:val="auto"/>
          <w:sz w:val="21"/>
          <w:szCs w:val="21"/>
          <w:highlight w:val="none"/>
        </w:rPr>
      </w:pPr>
      <w:bookmarkStart w:id="1165" w:name="bookmark1622"/>
      <w:bookmarkEnd w:id="1165"/>
      <w:bookmarkStart w:id="1166" w:name="bookmark1651"/>
      <w:bookmarkStart w:id="1167" w:name="bookmark1652"/>
      <w:bookmarkStart w:id="1168" w:name="bookmark1650"/>
      <w:r>
        <w:rPr>
          <w:rFonts w:hint="eastAsia" w:ascii="宋体" w:hAnsi="宋体" w:cs="宋体"/>
          <w:color w:val="auto"/>
          <w:sz w:val="21"/>
          <w:szCs w:val="21"/>
          <w:highlight w:val="none"/>
        </w:rPr>
        <w:t>4.3分包</w:t>
      </w:r>
      <w:bookmarkEnd w:id="1166"/>
      <w:bookmarkEnd w:id="1167"/>
      <w:bookmarkEnd w:id="1168"/>
    </w:p>
    <w:p w14:paraId="1C75B3A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本工程不允许分包。</w:t>
      </w:r>
    </w:p>
    <w:p w14:paraId="6A7AF4DF">
      <w:pPr>
        <w:pStyle w:val="5"/>
        <w:spacing w:before="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4.5承包人项目经理</w:t>
      </w:r>
    </w:p>
    <w:p w14:paraId="0A1106F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4.5.5(1)同一施工项目经理不能同时在两个及以上的工程项目上担任施工项目经理。</w:t>
      </w:r>
    </w:p>
    <w:p w14:paraId="4A4550E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(2)承包人应保证项目经理每月在工地现场的时间不少于</w:t>
      </w:r>
      <w:r>
        <w:rPr>
          <w:rFonts w:hint="eastAsia" w:ascii="宋体" w:hAnsi="宋体" w:cs="宋体"/>
          <w:color w:val="auto"/>
          <w:szCs w:val="21"/>
          <w:highlight w:val="none"/>
          <w:u w:val="single"/>
        </w:rPr>
        <w:t xml:space="preserve"> 22 </w:t>
      </w:r>
      <w:r>
        <w:rPr>
          <w:rFonts w:hint="eastAsia" w:ascii="宋体" w:hAnsi="宋体" w:cs="宋体"/>
          <w:color w:val="auto"/>
          <w:szCs w:val="21"/>
          <w:highlight w:val="none"/>
        </w:rPr>
        <w:t>日，否则将按每人每天人民币</w:t>
      </w:r>
      <w:r>
        <w:rPr>
          <w:rFonts w:hint="eastAsia" w:ascii="宋体" w:hAnsi="宋体" w:cs="宋体"/>
          <w:color w:val="auto"/>
          <w:szCs w:val="21"/>
          <w:highlight w:val="none"/>
          <w:u w:val="single"/>
        </w:rPr>
        <w:t xml:space="preserve"> 1000.00 </w:t>
      </w:r>
      <w:r>
        <w:rPr>
          <w:rFonts w:hint="eastAsia" w:ascii="宋体" w:hAnsi="宋体" w:cs="宋体"/>
          <w:color w:val="auto"/>
          <w:szCs w:val="21"/>
          <w:highlight w:val="none"/>
        </w:rPr>
        <w:t>元的标准向发包人支付违约金，各类违约金额上限为合同总金额的5%。上述人员因其他事务需短期离开工地，应向发包人请假，经批准后方可离开，离开期间应委托项目相关负责人负责其外出时的日常工作。</w:t>
      </w:r>
    </w:p>
    <w:p w14:paraId="603C9A15">
      <w:pPr>
        <w:pStyle w:val="5"/>
        <w:spacing w:before="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4.6承包人人员的管理</w:t>
      </w:r>
    </w:p>
    <w:p w14:paraId="0FF0096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4.6.5承包人应保证项目总工(技术负责人)、专职安全员每月在工地现场的时间不少于</w:t>
      </w:r>
      <w:r>
        <w:rPr>
          <w:rFonts w:hint="eastAsia" w:ascii="宋体" w:hAnsi="宋体" w:cs="宋体"/>
          <w:color w:val="auto"/>
          <w:szCs w:val="21"/>
          <w:highlight w:val="none"/>
          <w:u w:val="single"/>
        </w:rPr>
        <w:t>22</w:t>
      </w:r>
      <w:r>
        <w:rPr>
          <w:rFonts w:hint="eastAsia" w:ascii="宋体" w:hAnsi="宋体" w:cs="宋体"/>
          <w:color w:val="auto"/>
          <w:szCs w:val="21"/>
          <w:highlight w:val="none"/>
        </w:rPr>
        <w:t>日，否则将按每人每天人民币</w:t>
      </w:r>
      <w:r>
        <w:rPr>
          <w:rFonts w:hint="eastAsia" w:ascii="宋体" w:hAnsi="宋体" w:cs="宋体"/>
          <w:color w:val="auto"/>
          <w:szCs w:val="21"/>
          <w:highlight w:val="none"/>
          <w:u w:val="single"/>
        </w:rPr>
        <w:t xml:space="preserve"> 1000.00 </w:t>
      </w:r>
      <w:r>
        <w:rPr>
          <w:rFonts w:hint="eastAsia" w:ascii="宋体" w:hAnsi="宋体" w:cs="宋体"/>
          <w:color w:val="auto"/>
          <w:szCs w:val="21"/>
          <w:highlight w:val="none"/>
        </w:rPr>
        <w:t>元的标准向发包人支付违约金，各类违约金额上限为合同总金额的5%。上述人员因其他事务需短期离开工地，应向发包人请假，经批准后方可离开，离开期间应委托项目相关负责人负责其外出时的日常工作。</w:t>
      </w:r>
    </w:p>
    <w:p w14:paraId="06A45104">
      <w:pPr>
        <w:pStyle w:val="5"/>
        <w:spacing w:before="0" w:line="360" w:lineRule="auto"/>
        <w:jc w:val="both"/>
        <w:rPr>
          <w:rFonts w:ascii="宋体" w:hAnsi="宋体" w:cs="宋体"/>
          <w:color w:val="auto"/>
          <w:sz w:val="21"/>
          <w:szCs w:val="21"/>
          <w:highlight w:val="none"/>
          <w:lang w:bidi="en-US"/>
        </w:rPr>
      </w:pPr>
      <w:bookmarkStart w:id="1169" w:name="bookmark1656"/>
      <w:bookmarkStart w:id="1170" w:name="bookmark1657"/>
      <w:bookmarkStart w:id="1171" w:name="bookmark1658"/>
      <w:r>
        <w:rPr>
          <w:rFonts w:hint="eastAsia" w:ascii="宋体" w:hAnsi="宋体" w:cs="宋体"/>
          <w:color w:val="auto"/>
          <w:sz w:val="21"/>
          <w:szCs w:val="21"/>
          <w:highlight w:val="none"/>
        </w:rPr>
        <w:t>4.7</w:t>
      </w:r>
      <w:r>
        <w:rPr>
          <w:rFonts w:hint="eastAsia" w:ascii="宋体" w:hAnsi="宋体" w:cs="宋体"/>
          <w:color w:val="auto"/>
          <w:sz w:val="21"/>
          <w:szCs w:val="21"/>
          <w:highlight w:val="none"/>
          <w:lang w:bidi="en-US"/>
        </w:rPr>
        <w:t>撤换承包人项目经理和其他人员</w:t>
      </w:r>
      <w:bookmarkEnd w:id="1169"/>
      <w:bookmarkEnd w:id="1170"/>
      <w:bookmarkEnd w:id="1171"/>
    </w:p>
    <w:p w14:paraId="68C4AF36">
      <w:pPr>
        <w:spacing w:line="360" w:lineRule="auto"/>
        <w:ind w:firstLine="420" w:firstLineChars="200"/>
        <w:rPr>
          <w:rFonts w:ascii="宋体" w:hAnsi="宋体" w:cs="宋体"/>
          <w:color w:val="auto"/>
          <w:szCs w:val="21"/>
          <w:highlight w:val="none"/>
          <w:lang w:bidi="en-US"/>
        </w:rPr>
      </w:pPr>
      <w:r>
        <w:rPr>
          <w:rFonts w:hint="eastAsia" w:ascii="宋体" w:hAnsi="宋体" w:cs="宋体"/>
          <w:color w:val="auto"/>
          <w:szCs w:val="21"/>
          <w:highlight w:val="none"/>
          <w:lang w:bidi="en-US"/>
        </w:rPr>
        <w:t>4.7.1投入本项目的项目经理、</w:t>
      </w:r>
      <w:r>
        <w:rPr>
          <w:rFonts w:hint="eastAsia" w:ascii="宋体" w:hAnsi="宋体" w:cs="宋体"/>
          <w:color w:val="auto"/>
          <w:szCs w:val="21"/>
          <w:highlight w:val="none"/>
        </w:rPr>
        <w:t>安全员、施工员、质检员</w:t>
      </w:r>
      <w:r>
        <w:rPr>
          <w:rFonts w:hint="eastAsia" w:ascii="宋体" w:hAnsi="宋体" w:cs="宋体"/>
          <w:color w:val="auto"/>
          <w:szCs w:val="21"/>
          <w:highlight w:val="none"/>
          <w:lang w:bidi="en-US"/>
        </w:rPr>
        <w:t>等主要管理人员中标，经承包人申请、监理机构审核允许、发包人同意后方可变更为不低于同等条件的人员。</w:t>
      </w:r>
    </w:p>
    <w:p w14:paraId="5C82A3A0">
      <w:pPr>
        <w:spacing w:line="360" w:lineRule="auto"/>
        <w:ind w:firstLine="436"/>
        <w:rPr>
          <w:rFonts w:ascii="宋体" w:hAnsi="宋体" w:cs="宋体"/>
          <w:color w:val="auto"/>
          <w:szCs w:val="21"/>
          <w:highlight w:val="none"/>
          <w:lang w:bidi="en-US"/>
        </w:rPr>
      </w:pPr>
      <w:r>
        <w:rPr>
          <w:rFonts w:hint="eastAsia" w:ascii="宋体" w:hAnsi="宋体" w:cs="宋体"/>
          <w:color w:val="auto"/>
          <w:szCs w:val="21"/>
          <w:highlight w:val="none"/>
          <w:lang w:bidi="en-US"/>
        </w:rPr>
        <w:t>4.7.2除非发包人要求或者批准，承包人擅自更换项目经理、</w:t>
      </w:r>
      <w:r>
        <w:rPr>
          <w:rFonts w:hint="eastAsia" w:ascii="宋体" w:hAnsi="宋体" w:cs="宋体"/>
          <w:color w:val="auto"/>
          <w:szCs w:val="21"/>
          <w:highlight w:val="none"/>
        </w:rPr>
        <w:t>安全员、施工员、质检员</w:t>
      </w:r>
      <w:r>
        <w:rPr>
          <w:rFonts w:hint="eastAsia" w:ascii="宋体" w:hAnsi="宋体" w:cs="宋体"/>
          <w:color w:val="auto"/>
          <w:szCs w:val="21"/>
          <w:highlight w:val="none"/>
          <w:lang w:bidi="en-US"/>
        </w:rPr>
        <w:t>，将按每人每天人民币500.00元的标准向发包人支付违约金，各类违约金额上限为合同总金额的5%。</w:t>
      </w:r>
    </w:p>
    <w:p w14:paraId="1ACC1861">
      <w:pPr>
        <w:spacing w:line="360" w:lineRule="auto"/>
        <w:ind w:firstLine="437"/>
        <w:rPr>
          <w:rFonts w:ascii="宋体" w:hAnsi="宋体" w:cs="宋体"/>
          <w:color w:val="auto"/>
          <w:szCs w:val="21"/>
          <w:highlight w:val="none"/>
          <w:lang w:bidi="en-US"/>
        </w:rPr>
      </w:pPr>
      <w:r>
        <w:rPr>
          <w:rFonts w:hint="eastAsia" w:ascii="宋体" w:hAnsi="宋体" w:cs="宋体"/>
          <w:color w:val="auto"/>
          <w:szCs w:val="21"/>
          <w:highlight w:val="none"/>
          <w:lang w:bidi="en-US"/>
        </w:rPr>
        <w:t>4.7.3尽管承包人已按第4.6.2款的规定派遣了各类人员，但仍然不能满足合同工程的进度计划或质量要求时，发包人有权要求承包人继续增派(/或更换)人员。承包人在接到通知14天内，增派(和/或更换)的人员要到岗，否则，承包人应按每人每天人民币500.00元的标准向发包人支付违约金，各类违约金额上限为合同总金额的5%，直至按照发包人的要求增派(和/或更换)的人员到岗为此。</w:t>
      </w:r>
    </w:p>
    <w:p w14:paraId="22D00041">
      <w:pPr>
        <w:pStyle w:val="5"/>
        <w:spacing w:before="0" w:line="360" w:lineRule="auto"/>
        <w:jc w:val="both"/>
        <w:rPr>
          <w:rFonts w:ascii="宋体" w:hAnsi="宋体" w:cs="宋体"/>
          <w:color w:val="auto"/>
          <w:sz w:val="21"/>
          <w:szCs w:val="21"/>
          <w:highlight w:val="none"/>
        </w:rPr>
      </w:pPr>
      <w:bookmarkStart w:id="1172" w:name="bookmark1659"/>
      <w:bookmarkStart w:id="1173" w:name="bookmark1660"/>
      <w:bookmarkStart w:id="1174" w:name="bookmark1661"/>
      <w:r>
        <w:rPr>
          <w:rFonts w:hint="eastAsia" w:ascii="宋体" w:hAnsi="宋体" w:cs="宋体"/>
          <w:color w:val="auto"/>
          <w:sz w:val="21"/>
          <w:szCs w:val="21"/>
          <w:highlight w:val="none"/>
        </w:rPr>
        <w:t>4.11不利物质条件</w:t>
      </w:r>
      <w:bookmarkEnd w:id="1172"/>
      <w:bookmarkEnd w:id="1173"/>
      <w:bookmarkEnd w:id="1174"/>
    </w:p>
    <w:p w14:paraId="20A68E3D">
      <w:pPr>
        <w:pStyle w:val="523"/>
        <w:tabs>
          <w:tab w:val="left" w:pos="8230"/>
        </w:tabs>
        <w:ind w:firstLine="420"/>
        <w:rPr>
          <w:color w:val="auto"/>
          <w:szCs w:val="21"/>
          <w:highlight w:val="none"/>
          <w:lang w:val="en-US" w:bidi="en-US"/>
        </w:rPr>
      </w:pPr>
      <w:r>
        <w:rPr>
          <w:rFonts w:hint="eastAsia"/>
          <w:color w:val="auto"/>
          <w:szCs w:val="21"/>
          <w:highlight w:val="none"/>
          <w:lang w:val="en-US" w:bidi="en-US"/>
        </w:rPr>
        <w:t>4.11.1不利物质条件的范围：按通用条款执行。</w:t>
      </w:r>
    </w:p>
    <w:p w14:paraId="30AB7EB9">
      <w:pPr>
        <w:pStyle w:val="4"/>
        <w:spacing w:before="0" w:after="0" w:line="360" w:lineRule="auto"/>
        <w:rPr>
          <w:rFonts w:ascii="宋体" w:hAnsi="宋体" w:cs="宋体"/>
          <w:color w:val="auto"/>
          <w:sz w:val="21"/>
          <w:szCs w:val="21"/>
          <w:highlight w:val="none"/>
        </w:rPr>
      </w:pPr>
      <w:bookmarkStart w:id="1175" w:name="bookmark1664"/>
      <w:bookmarkEnd w:id="1175"/>
      <w:bookmarkStart w:id="1176" w:name="bookmark1662"/>
      <w:bookmarkStart w:id="1177" w:name="bookmark1665"/>
      <w:bookmarkStart w:id="1178" w:name="_Toc347230106"/>
      <w:bookmarkStart w:id="1179" w:name="bookmark1663"/>
      <w:bookmarkStart w:id="1180" w:name="_Toc25659"/>
      <w:r>
        <w:rPr>
          <w:rFonts w:hint="eastAsia" w:ascii="宋体" w:hAnsi="宋体" w:cs="宋体"/>
          <w:color w:val="auto"/>
          <w:sz w:val="21"/>
          <w:szCs w:val="21"/>
          <w:highlight w:val="none"/>
        </w:rPr>
        <w:t>5.材料和工程设备</w:t>
      </w:r>
      <w:bookmarkEnd w:id="1176"/>
      <w:bookmarkEnd w:id="1177"/>
      <w:bookmarkEnd w:id="1178"/>
      <w:bookmarkEnd w:id="1179"/>
      <w:bookmarkEnd w:id="1180"/>
    </w:p>
    <w:p w14:paraId="3E293A67">
      <w:pPr>
        <w:spacing w:line="360" w:lineRule="auto"/>
        <w:ind w:firstLine="437"/>
        <w:rPr>
          <w:rFonts w:ascii="宋体" w:hAnsi="宋体" w:cs="宋体"/>
          <w:color w:val="auto"/>
          <w:szCs w:val="21"/>
          <w:highlight w:val="none"/>
          <w:lang w:bidi="en-US"/>
        </w:rPr>
      </w:pPr>
      <w:bookmarkStart w:id="1181" w:name="_Toc453"/>
      <w:bookmarkStart w:id="1182" w:name="bookmark1673"/>
      <w:bookmarkStart w:id="1183" w:name="_Toc1942276484"/>
      <w:bookmarkStart w:id="1184" w:name="_Toc6599"/>
      <w:bookmarkStart w:id="1185" w:name="bookmark1670"/>
      <w:bookmarkStart w:id="1186" w:name="bookmark1671"/>
      <w:r>
        <w:rPr>
          <w:rFonts w:hint="eastAsia" w:ascii="宋体" w:hAnsi="宋体" w:cs="宋体"/>
          <w:color w:val="auto"/>
          <w:szCs w:val="21"/>
          <w:highlight w:val="none"/>
          <w:lang w:bidi="en-US"/>
        </w:rPr>
        <w:t>5.2.1发包人与承包人签订的施工合同中约定是否提供材料和工程设备：不提供。</w:t>
      </w:r>
    </w:p>
    <w:p w14:paraId="4EB247ED">
      <w:pPr>
        <w:pStyle w:val="4"/>
        <w:spacing w:before="0" w:after="0" w:line="360" w:lineRule="auto"/>
        <w:rPr>
          <w:rFonts w:ascii="宋体" w:hAnsi="宋体" w:cs="宋体"/>
          <w:color w:val="auto"/>
          <w:sz w:val="21"/>
          <w:szCs w:val="21"/>
          <w:highlight w:val="none"/>
        </w:rPr>
      </w:pPr>
      <w:bookmarkStart w:id="1187" w:name="_Toc30561"/>
      <w:r>
        <w:rPr>
          <w:rFonts w:hint="eastAsia" w:ascii="宋体" w:hAnsi="宋体" w:cs="宋体"/>
          <w:color w:val="auto"/>
          <w:sz w:val="21"/>
          <w:szCs w:val="21"/>
          <w:highlight w:val="none"/>
        </w:rPr>
        <w:t>6.施工设备和临时设施</w:t>
      </w:r>
      <w:bookmarkEnd w:id="1181"/>
      <w:bookmarkEnd w:id="1182"/>
      <w:bookmarkEnd w:id="1183"/>
      <w:bookmarkEnd w:id="1184"/>
      <w:bookmarkEnd w:id="1185"/>
      <w:bookmarkEnd w:id="1186"/>
      <w:bookmarkEnd w:id="1187"/>
    </w:p>
    <w:p w14:paraId="287E2604">
      <w:pPr>
        <w:pStyle w:val="5"/>
        <w:spacing w:before="0" w:line="360" w:lineRule="auto"/>
        <w:jc w:val="both"/>
        <w:rPr>
          <w:rFonts w:ascii="宋体" w:hAnsi="宋体" w:cs="宋体"/>
          <w:color w:val="auto"/>
          <w:sz w:val="21"/>
          <w:szCs w:val="21"/>
          <w:highlight w:val="none"/>
        </w:rPr>
      </w:pPr>
      <w:bookmarkStart w:id="1188" w:name="bookmark1676"/>
      <w:bookmarkStart w:id="1189" w:name="bookmark1674"/>
      <w:bookmarkStart w:id="1190" w:name="bookmark1675"/>
      <w:r>
        <w:rPr>
          <w:rFonts w:hint="eastAsia" w:ascii="宋体" w:hAnsi="宋体" w:cs="宋体"/>
          <w:color w:val="auto"/>
          <w:sz w:val="21"/>
          <w:szCs w:val="21"/>
          <w:highlight w:val="none"/>
        </w:rPr>
        <w:t>6.1承包人提供的施工设备和临时设施</w:t>
      </w:r>
      <w:bookmarkEnd w:id="1188"/>
      <w:bookmarkEnd w:id="1189"/>
      <w:bookmarkEnd w:id="1190"/>
    </w:p>
    <w:p w14:paraId="0A8535E8">
      <w:pPr>
        <w:spacing w:line="360" w:lineRule="auto"/>
        <w:ind w:firstLine="437"/>
        <w:rPr>
          <w:rFonts w:ascii="宋体" w:hAnsi="宋体" w:cs="宋体"/>
          <w:color w:val="auto"/>
          <w:szCs w:val="21"/>
          <w:highlight w:val="none"/>
          <w:lang w:bidi="en-US"/>
        </w:rPr>
      </w:pPr>
      <w:bookmarkStart w:id="1191" w:name="bookmark1678"/>
      <w:bookmarkStart w:id="1192" w:name="bookmark1677"/>
      <w:bookmarkStart w:id="1193" w:name="bookmark1679"/>
      <w:r>
        <w:rPr>
          <w:rFonts w:hint="eastAsia" w:ascii="宋体" w:hAnsi="宋体" w:cs="宋体"/>
          <w:color w:val="auto"/>
          <w:szCs w:val="21"/>
          <w:highlight w:val="none"/>
          <w:lang w:bidi="en-US"/>
        </w:rPr>
        <w:t>6.1.2承包人自行承担修建临时设施的费用，需要临时占地的，由承包人办理相关申请手续，发包人予以协助，发生的相关费用由承包人承担。</w:t>
      </w:r>
    </w:p>
    <w:p w14:paraId="3371BF94">
      <w:pPr>
        <w:pStyle w:val="5"/>
        <w:spacing w:before="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6.2发包人提供的施工设备和临时设施</w:t>
      </w:r>
      <w:bookmarkEnd w:id="1191"/>
      <w:bookmarkEnd w:id="1192"/>
      <w:bookmarkEnd w:id="1193"/>
      <w:bookmarkStart w:id="1194" w:name="bookmark1684"/>
      <w:bookmarkEnd w:id="1194"/>
      <w:bookmarkStart w:id="1195" w:name="bookmark1680"/>
      <w:bookmarkEnd w:id="1195"/>
      <w:bookmarkStart w:id="1196" w:name="bookmark1682"/>
      <w:bookmarkStart w:id="1197" w:name="_Toc1966053410"/>
      <w:bookmarkStart w:id="1198" w:name="_Toc18798"/>
      <w:bookmarkStart w:id="1199" w:name="_Toc8746"/>
      <w:bookmarkStart w:id="1200" w:name="bookmark1683"/>
      <w:bookmarkStart w:id="1201" w:name="bookmark1685"/>
      <w:bookmarkStart w:id="1202" w:name="bookmark1688"/>
      <w:bookmarkStart w:id="1203" w:name="bookmark1686"/>
      <w:bookmarkStart w:id="1204" w:name="bookmark1687"/>
    </w:p>
    <w:p w14:paraId="2DCF506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(1)发包人提供的施工设备：</w:t>
      </w:r>
      <w:r>
        <w:rPr>
          <w:rFonts w:hint="eastAsia" w:ascii="宋体" w:hAnsi="宋体" w:cs="宋体"/>
          <w:color w:val="auto"/>
          <w:szCs w:val="21"/>
          <w:highlight w:val="none"/>
          <w:u w:val="single"/>
        </w:rPr>
        <w:t>不提供</w:t>
      </w:r>
      <w:r>
        <w:rPr>
          <w:rFonts w:hint="eastAsia" w:ascii="宋体" w:hAnsi="宋体" w:cs="宋体"/>
          <w:color w:val="auto"/>
          <w:szCs w:val="21"/>
          <w:highlight w:val="none"/>
        </w:rPr>
        <w:t>。</w:t>
      </w:r>
    </w:p>
    <w:p w14:paraId="054B7B4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(2)发包人提供的临时设施：</w:t>
      </w:r>
      <w:r>
        <w:rPr>
          <w:rFonts w:hint="eastAsia" w:ascii="宋体" w:hAnsi="宋体" w:cs="宋体"/>
          <w:color w:val="auto"/>
          <w:szCs w:val="21"/>
          <w:highlight w:val="none"/>
          <w:u w:val="single"/>
        </w:rPr>
        <w:t>不提供</w:t>
      </w:r>
      <w:r>
        <w:rPr>
          <w:rFonts w:hint="eastAsia" w:ascii="宋体" w:hAnsi="宋体" w:cs="宋体"/>
          <w:color w:val="auto"/>
          <w:szCs w:val="21"/>
          <w:highlight w:val="none"/>
        </w:rPr>
        <w:t>。</w:t>
      </w:r>
    </w:p>
    <w:p w14:paraId="3BC3E9D7">
      <w:pPr>
        <w:pStyle w:val="5"/>
        <w:spacing w:before="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7. 交通运输</w:t>
      </w:r>
      <w:bookmarkEnd w:id="1196"/>
      <w:bookmarkEnd w:id="1197"/>
      <w:bookmarkEnd w:id="1198"/>
      <w:bookmarkEnd w:id="1199"/>
      <w:bookmarkEnd w:id="1200"/>
      <w:bookmarkEnd w:id="1201"/>
    </w:p>
    <w:p w14:paraId="65EEC1A8">
      <w:pPr>
        <w:pStyle w:val="5"/>
        <w:spacing w:before="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7.1道路通行权和场外设施</w:t>
      </w:r>
      <w:bookmarkEnd w:id="1202"/>
      <w:bookmarkEnd w:id="1203"/>
      <w:bookmarkEnd w:id="1204"/>
    </w:p>
    <w:p w14:paraId="13884118">
      <w:pPr>
        <w:pStyle w:val="523"/>
        <w:tabs>
          <w:tab w:val="left" w:pos="8218"/>
        </w:tabs>
        <w:ind w:firstLine="420"/>
        <w:rPr>
          <w:color w:val="auto"/>
          <w:szCs w:val="21"/>
          <w:highlight w:val="none"/>
        </w:rPr>
      </w:pPr>
      <w:r>
        <w:rPr>
          <w:rFonts w:hint="eastAsia"/>
          <w:color w:val="auto"/>
          <w:szCs w:val="21"/>
          <w:highlight w:val="none"/>
        </w:rPr>
        <w:t>道路通行权和场外设施的约定：</w:t>
      </w:r>
      <w:r>
        <w:rPr>
          <w:rFonts w:hint="eastAsia"/>
          <w:color w:val="auto"/>
          <w:szCs w:val="21"/>
          <w:highlight w:val="none"/>
          <w:u w:val="single"/>
        </w:rPr>
        <w:t>承包人负责办理取得道路通行权，其相关费用由承包人承担；负责施工所需的场内临时道路和交通设施的修建、维护、养护和管理，相关费用由承包人承担</w:t>
      </w:r>
      <w:r>
        <w:rPr>
          <w:rFonts w:hint="eastAsia"/>
          <w:color w:val="auto"/>
          <w:szCs w:val="21"/>
          <w:highlight w:val="none"/>
        </w:rPr>
        <w:t>。</w:t>
      </w:r>
    </w:p>
    <w:p w14:paraId="6D36013E">
      <w:pPr>
        <w:pStyle w:val="4"/>
        <w:spacing w:before="0" w:after="0" w:line="360" w:lineRule="auto"/>
        <w:rPr>
          <w:rFonts w:ascii="宋体" w:hAnsi="宋体" w:cs="宋体"/>
          <w:color w:val="auto"/>
          <w:sz w:val="21"/>
          <w:szCs w:val="21"/>
          <w:highlight w:val="none"/>
        </w:rPr>
      </w:pPr>
      <w:bookmarkStart w:id="1205" w:name="_Toc976"/>
      <w:bookmarkStart w:id="1206" w:name="bookmark1692"/>
      <w:bookmarkStart w:id="1207" w:name="_Toc28858"/>
      <w:bookmarkStart w:id="1208" w:name="_Toc1043714604"/>
      <w:bookmarkStart w:id="1209" w:name="bookmark1689"/>
      <w:bookmarkStart w:id="1210" w:name="_Toc29251"/>
      <w:bookmarkStart w:id="1211" w:name="bookmark1690"/>
      <w:bookmarkStart w:id="1212" w:name="bookmark1693"/>
      <w:bookmarkStart w:id="1213" w:name="bookmark1694"/>
      <w:bookmarkStart w:id="1214" w:name="bookmark1695"/>
      <w:r>
        <w:rPr>
          <w:rFonts w:hint="eastAsia" w:ascii="宋体" w:hAnsi="宋体" w:cs="宋体"/>
          <w:color w:val="auto"/>
          <w:sz w:val="21"/>
          <w:szCs w:val="21"/>
          <w:highlight w:val="none"/>
        </w:rPr>
        <w:t>8. 测量放线</w:t>
      </w:r>
      <w:bookmarkEnd w:id="1205"/>
      <w:bookmarkEnd w:id="1206"/>
      <w:bookmarkEnd w:id="1207"/>
      <w:bookmarkEnd w:id="1208"/>
      <w:bookmarkEnd w:id="1209"/>
      <w:bookmarkEnd w:id="1210"/>
      <w:bookmarkEnd w:id="1211"/>
    </w:p>
    <w:p w14:paraId="4BDAAB52">
      <w:pPr>
        <w:pStyle w:val="5"/>
        <w:spacing w:before="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8.1施工控制网</w:t>
      </w:r>
      <w:bookmarkEnd w:id="1212"/>
      <w:bookmarkEnd w:id="1213"/>
      <w:bookmarkEnd w:id="1214"/>
    </w:p>
    <w:p w14:paraId="1EEB561D">
      <w:pPr>
        <w:spacing w:line="360" w:lineRule="auto"/>
        <w:ind w:firstLine="420" w:firstLineChars="200"/>
        <w:rPr>
          <w:rFonts w:ascii="宋体" w:hAnsi="宋体" w:cs="宋体"/>
          <w:color w:val="auto"/>
          <w:szCs w:val="21"/>
          <w:highlight w:val="none"/>
        </w:rPr>
      </w:pPr>
      <w:bookmarkStart w:id="1215" w:name="bookmark1696"/>
      <w:bookmarkEnd w:id="1215"/>
      <w:r>
        <w:rPr>
          <w:rFonts w:hint="eastAsia" w:ascii="宋体" w:hAnsi="宋体" w:cs="宋体"/>
          <w:color w:val="auto"/>
          <w:szCs w:val="21"/>
          <w:highlight w:val="none"/>
        </w:rPr>
        <w:t>8.1.</w:t>
      </w:r>
      <w:r>
        <w:rPr>
          <w:rFonts w:hint="eastAsia" w:ascii="宋体" w:hAnsi="宋体" w:cs="宋体"/>
          <w:color w:val="auto"/>
          <w:szCs w:val="21"/>
          <w:highlight w:val="none"/>
          <w:lang w:val="zh-CN"/>
        </w:rPr>
        <w:t>1 施工控制网的约定：</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由承包人负责测设，并报监理人审批，相关费用由承包人承担</w:t>
      </w:r>
      <w:r>
        <w:rPr>
          <w:rFonts w:hint="eastAsia" w:ascii="宋体" w:hAnsi="宋体" w:cs="宋体"/>
          <w:color w:val="auto"/>
          <w:szCs w:val="21"/>
          <w:highlight w:val="none"/>
        </w:rPr>
        <w:t>。</w:t>
      </w:r>
    </w:p>
    <w:p w14:paraId="45534A89">
      <w:pPr>
        <w:pStyle w:val="4"/>
        <w:spacing w:before="0" w:after="0" w:line="360" w:lineRule="auto"/>
        <w:rPr>
          <w:rFonts w:ascii="宋体" w:hAnsi="宋体" w:cs="宋体"/>
          <w:color w:val="auto"/>
          <w:sz w:val="21"/>
          <w:szCs w:val="21"/>
          <w:highlight w:val="none"/>
        </w:rPr>
      </w:pPr>
      <w:bookmarkStart w:id="1216" w:name="_Toc202010781"/>
      <w:bookmarkStart w:id="1217" w:name="_Toc1276"/>
      <w:bookmarkStart w:id="1218" w:name="_Toc15272"/>
      <w:r>
        <w:rPr>
          <w:rFonts w:hint="eastAsia" w:ascii="宋体" w:hAnsi="宋体" w:cs="宋体"/>
          <w:color w:val="auto"/>
          <w:sz w:val="21"/>
          <w:szCs w:val="21"/>
          <w:highlight w:val="none"/>
        </w:rPr>
        <w:t>9. 施工安全、治安保卫和环境保护</w:t>
      </w:r>
      <w:bookmarkEnd w:id="1216"/>
      <w:bookmarkEnd w:id="1217"/>
      <w:bookmarkEnd w:id="1218"/>
    </w:p>
    <w:p w14:paraId="275F45DC">
      <w:pPr>
        <w:pStyle w:val="5"/>
        <w:spacing w:before="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9.2承包人的施工安全责任</w:t>
      </w:r>
    </w:p>
    <w:p w14:paraId="0D07C57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9.2.8安全生产施工措施费作为不可竞争费，单独报价，不得删减。</w:t>
      </w:r>
    </w:p>
    <w:p w14:paraId="7E2F3713">
      <w:pPr>
        <w:spacing w:line="360" w:lineRule="auto"/>
        <w:ind w:firstLine="440"/>
        <w:rPr>
          <w:rFonts w:ascii="宋体" w:hAnsi="宋体" w:cs="宋体"/>
          <w:color w:val="auto"/>
          <w:szCs w:val="21"/>
          <w:highlight w:val="none"/>
          <w:u w:val="single"/>
        </w:rPr>
      </w:pPr>
      <w:r>
        <w:rPr>
          <w:rFonts w:hint="eastAsia" w:ascii="宋体" w:hAnsi="宋体" w:cs="宋体"/>
          <w:color w:val="auto"/>
          <w:szCs w:val="21"/>
          <w:highlight w:val="none"/>
        </w:rPr>
        <w:t>9.2.12下列工程应编制专项施工方案：</w:t>
      </w:r>
      <w:r>
        <w:rPr>
          <w:rFonts w:hint="eastAsia" w:ascii="宋体" w:hAnsi="宋体" w:cs="宋体"/>
          <w:color w:val="auto"/>
          <w:szCs w:val="21"/>
          <w:highlight w:val="none"/>
          <w:u w:val="single"/>
        </w:rPr>
        <w:t xml:space="preserve">           。</w:t>
      </w:r>
    </w:p>
    <w:p w14:paraId="7460D3BA">
      <w:pPr>
        <w:spacing w:line="360" w:lineRule="auto"/>
        <w:ind w:firstLine="440"/>
        <w:rPr>
          <w:rFonts w:ascii="宋体" w:hAnsi="宋体" w:cs="宋体"/>
          <w:color w:val="auto"/>
          <w:szCs w:val="21"/>
          <w:highlight w:val="none"/>
        </w:rPr>
      </w:pPr>
      <w:r>
        <w:rPr>
          <w:rFonts w:hint="eastAsia" w:ascii="宋体" w:hAnsi="宋体" w:cs="宋体"/>
          <w:color w:val="auto"/>
          <w:szCs w:val="21"/>
          <w:highlight w:val="none"/>
        </w:rPr>
        <w:t>其中应组织专家论证和审查的专项施工方案</w:t>
      </w:r>
      <w:r>
        <w:rPr>
          <w:rFonts w:hint="eastAsia" w:ascii="宋体" w:hAnsi="宋体" w:cs="宋体"/>
          <w:color w:val="auto"/>
          <w:szCs w:val="21"/>
          <w:highlight w:val="none"/>
          <w:u w:val="single"/>
        </w:rPr>
        <w:t>： 在签订合同前约定  。</w:t>
      </w:r>
    </w:p>
    <w:p w14:paraId="41A78247">
      <w:pPr>
        <w:pStyle w:val="5"/>
        <w:spacing w:before="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9.7文明工地</w:t>
      </w:r>
    </w:p>
    <w:p w14:paraId="523DB36F">
      <w:pPr>
        <w:spacing w:line="360" w:lineRule="auto"/>
        <w:ind w:firstLine="417"/>
        <w:rPr>
          <w:rFonts w:ascii="宋体" w:hAnsi="宋体" w:cs="宋体"/>
          <w:color w:val="auto"/>
          <w:szCs w:val="21"/>
          <w:highlight w:val="none"/>
        </w:rPr>
      </w:pPr>
      <w:r>
        <w:rPr>
          <w:rFonts w:hint="eastAsia" w:ascii="宋体" w:hAnsi="宋体" w:cs="宋体"/>
          <w:color w:val="auto"/>
          <w:szCs w:val="21"/>
          <w:highlight w:val="none"/>
        </w:rPr>
        <w:t>9.7.1本合同文明工地的约定：</w:t>
      </w:r>
      <w:bookmarkStart w:id="1219" w:name="_Toc8738"/>
      <w:bookmarkStart w:id="1220" w:name="bookmark1708"/>
      <w:bookmarkStart w:id="1221" w:name="bookmark1710"/>
      <w:bookmarkStart w:id="1222" w:name="bookmark1709"/>
      <w:bookmarkStart w:id="1223" w:name="_Toc845"/>
      <w:r>
        <w:rPr>
          <w:rFonts w:hint="eastAsia" w:ascii="宋体" w:hAnsi="宋体" w:cs="宋体"/>
          <w:color w:val="auto"/>
          <w:szCs w:val="21"/>
          <w:highlight w:val="none"/>
          <w:u w:val="single"/>
        </w:rPr>
        <w:t>按水利部《水利系统文明建设工地评审管理办法》创建文明建设工地</w:t>
      </w:r>
      <w:r>
        <w:rPr>
          <w:rFonts w:hint="eastAsia" w:ascii="宋体" w:hAnsi="宋体" w:cs="宋体"/>
          <w:color w:val="auto"/>
          <w:szCs w:val="21"/>
          <w:highlight w:val="none"/>
        </w:rPr>
        <w:t>。</w:t>
      </w:r>
    </w:p>
    <w:p w14:paraId="24199AC5">
      <w:pPr>
        <w:pStyle w:val="4"/>
        <w:spacing w:before="0" w:after="0" w:line="360" w:lineRule="auto"/>
        <w:rPr>
          <w:rFonts w:ascii="宋体" w:hAnsi="宋体" w:cs="宋体"/>
          <w:color w:val="auto"/>
          <w:sz w:val="21"/>
          <w:szCs w:val="21"/>
          <w:highlight w:val="none"/>
        </w:rPr>
      </w:pPr>
      <w:bookmarkStart w:id="1224" w:name="_Toc279920817"/>
      <w:bookmarkStart w:id="1225" w:name="_Toc13608"/>
      <w:r>
        <w:rPr>
          <w:rFonts w:hint="eastAsia" w:ascii="宋体" w:hAnsi="宋体" w:cs="宋体"/>
          <w:color w:val="auto"/>
          <w:sz w:val="21"/>
          <w:szCs w:val="21"/>
          <w:highlight w:val="none"/>
        </w:rPr>
        <w:t>11. 开工和竣工（完工</w:t>
      </w:r>
      <w:bookmarkEnd w:id="1219"/>
      <w:bookmarkEnd w:id="1220"/>
      <w:bookmarkEnd w:id="1221"/>
      <w:bookmarkEnd w:id="1222"/>
      <w:bookmarkEnd w:id="1223"/>
      <w:r>
        <w:rPr>
          <w:rFonts w:hint="eastAsia" w:ascii="宋体" w:hAnsi="宋体" w:cs="宋体"/>
          <w:color w:val="auto"/>
          <w:sz w:val="21"/>
          <w:szCs w:val="21"/>
          <w:highlight w:val="none"/>
        </w:rPr>
        <w:t>）</w:t>
      </w:r>
      <w:bookmarkEnd w:id="1224"/>
      <w:bookmarkEnd w:id="1225"/>
    </w:p>
    <w:p w14:paraId="05532B32">
      <w:pPr>
        <w:spacing w:line="360" w:lineRule="auto"/>
        <w:outlineLvl w:val="3"/>
        <w:rPr>
          <w:rFonts w:ascii="宋体" w:hAnsi="宋体" w:cs="宋体"/>
          <w:color w:val="auto"/>
          <w:szCs w:val="21"/>
          <w:highlight w:val="none"/>
        </w:rPr>
      </w:pPr>
      <w:bookmarkStart w:id="1226" w:name="bookmark1737"/>
      <w:bookmarkStart w:id="1227" w:name="_Toc6849"/>
      <w:bookmarkStart w:id="1228" w:name="bookmark1736"/>
      <w:bookmarkStart w:id="1229" w:name="bookmark1735"/>
      <w:bookmarkStart w:id="1230" w:name="_Toc1462804162"/>
      <w:bookmarkStart w:id="1231" w:name="_Toc23224"/>
      <w:r>
        <w:rPr>
          <w:rFonts w:hint="eastAsia" w:ascii="宋体" w:hAnsi="宋体" w:cs="宋体"/>
          <w:color w:val="auto"/>
          <w:szCs w:val="21"/>
          <w:highlight w:val="none"/>
        </w:rPr>
        <w:t>11.2 本工程主体工程完工时间为：</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年</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月</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日。</w:t>
      </w:r>
    </w:p>
    <w:p w14:paraId="62ACD668">
      <w:pPr>
        <w:spacing w:line="360" w:lineRule="auto"/>
        <w:outlineLvl w:val="3"/>
        <w:rPr>
          <w:rFonts w:ascii="宋体" w:hAnsi="宋体" w:cs="宋体"/>
          <w:color w:val="auto"/>
          <w:szCs w:val="21"/>
          <w:highlight w:val="none"/>
        </w:rPr>
      </w:pPr>
      <w:bookmarkStart w:id="1232" w:name="_bookmark208"/>
      <w:bookmarkEnd w:id="1232"/>
      <w:r>
        <w:rPr>
          <w:rFonts w:hint="eastAsia" w:ascii="宋体" w:hAnsi="宋体" w:cs="宋体"/>
          <w:color w:val="auto"/>
          <w:szCs w:val="21"/>
          <w:highlight w:val="none"/>
        </w:rPr>
        <w:t>11.3 发包人的工期延误</w:t>
      </w:r>
    </w:p>
    <w:p w14:paraId="1BAA4B4B">
      <w:pPr>
        <w:spacing w:line="360" w:lineRule="auto"/>
        <w:outlineLvl w:val="3"/>
        <w:rPr>
          <w:rFonts w:ascii="宋体" w:hAnsi="宋体" w:cs="宋体"/>
          <w:color w:val="auto"/>
          <w:szCs w:val="21"/>
          <w:highlight w:val="none"/>
        </w:rPr>
      </w:pPr>
      <w:bookmarkStart w:id="1233" w:name="_bookmark209"/>
      <w:bookmarkEnd w:id="1233"/>
      <w:r>
        <w:rPr>
          <w:rFonts w:hint="eastAsia" w:ascii="宋体" w:hAnsi="宋体" w:cs="宋体"/>
          <w:color w:val="auto"/>
          <w:szCs w:val="21"/>
          <w:highlight w:val="none"/>
        </w:rPr>
        <w:t>11.4 异常恶劣的气候条件</w:t>
      </w:r>
    </w:p>
    <w:p w14:paraId="6F174B3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11.4.3 本合同工程界定异常恶劣气候条件的范围为：</w:t>
      </w:r>
    </w:p>
    <w:p w14:paraId="6BAD8E6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(1)日降雨量大于 200mm 的雨日超过 1 天；</w:t>
      </w:r>
    </w:p>
    <w:p w14:paraId="7C3D681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(2)10级以上的持续 1 日的大风 (以气象部门鉴定为准) ；</w:t>
      </w:r>
    </w:p>
    <w:p w14:paraId="5ACE8C9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(3)日气温超过 40℃的高温大于 2 天；</w:t>
      </w:r>
    </w:p>
    <w:p w14:paraId="40F3BDF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(4)日气温低于-10℃的严寒大于 2 天。</w:t>
      </w:r>
    </w:p>
    <w:p w14:paraId="61CC83E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(5)造成工程损坏的冰雹和大雪灾害；</w:t>
      </w:r>
    </w:p>
    <w:p w14:paraId="7DED0B7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 6 级以上的地震；</w:t>
      </w:r>
    </w:p>
    <w:p w14:paraId="09DD7FD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 50 年一遇及以上的洪水；</w:t>
      </w:r>
    </w:p>
    <w:p w14:paraId="117E2A2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(8）其他异常恶劣气候灾害。</w:t>
      </w:r>
    </w:p>
    <w:p w14:paraId="30240C36">
      <w:pPr>
        <w:spacing w:line="360" w:lineRule="auto"/>
        <w:outlineLvl w:val="3"/>
        <w:rPr>
          <w:rFonts w:ascii="宋体" w:hAnsi="宋体" w:cs="宋体"/>
          <w:color w:val="auto"/>
          <w:szCs w:val="21"/>
          <w:highlight w:val="none"/>
        </w:rPr>
      </w:pPr>
      <w:bookmarkStart w:id="1234" w:name="_bookmark210"/>
      <w:bookmarkEnd w:id="1234"/>
      <w:r>
        <w:rPr>
          <w:rFonts w:hint="eastAsia" w:ascii="宋体" w:hAnsi="宋体" w:cs="宋体"/>
          <w:color w:val="auto"/>
          <w:szCs w:val="21"/>
          <w:highlight w:val="none"/>
        </w:rPr>
        <w:t>11.5 承包人工期延误</w:t>
      </w:r>
    </w:p>
    <w:p w14:paraId="71F538A0">
      <w:pPr>
        <w:wordWrap w:val="0"/>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(1)承包人如未能按施工方案各节点要求的完工日期前完工，逾期完工违约金按</w:t>
      </w:r>
      <w:r>
        <w:rPr>
          <w:rFonts w:hint="eastAsia" w:ascii="宋体" w:hAnsi="宋体" w:cs="宋体"/>
          <w:color w:val="auto"/>
          <w:szCs w:val="21"/>
          <w:highlight w:val="none"/>
          <w:u w:val="single"/>
        </w:rPr>
        <w:t>500.00</w:t>
      </w:r>
      <w:r>
        <w:rPr>
          <w:rFonts w:hint="eastAsia" w:ascii="宋体" w:hAnsi="宋体" w:cs="宋体"/>
          <w:color w:val="auto"/>
          <w:szCs w:val="21"/>
          <w:highlight w:val="none"/>
        </w:rPr>
        <w:t>元/天计算。</w:t>
      </w:r>
    </w:p>
    <w:p w14:paraId="678A372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(2)全部逾期完工违约金的总限额不超过合同总价的 </w:t>
      </w:r>
      <w:r>
        <w:rPr>
          <w:rFonts w:hint="eastAsia" w:ascii="宋体" w:hAnsi="宋体" w:cs="宋体"/>
          <w:color w:val="auto"/>
          <w:szCs w:val="21"/>
          <w:highlight w:val="none"/>
          <w:u w:val="single"/>
        </w:rPr>
        <w:t xml:space="preserve">5% </w:t>
      </w:r>
      <w:r>
        <w:rPr>
          <w:rFonts w:hint="eastAsia" w:ascii="宋体" w:hAnsi="宋体" w:cs="宋体"/>
          <w:color w:val="auto"/>
          <w:szCs w:val="21"/>
          <w:highlight w:val="none"/>
        </w:rPr>
        <w:t>,发包人可从应向承包人支付的任何金额中扣除此项违约金或以其他方式收回此款，此违约金的支付并不能解除承包人应完成工程的责任或合同规定的其他责任。</w:t>
      </w:r>
    </w:p>
    <w:p w14:paraId="3C71C122">
      <w:pPr>
        <w:spacing w:line="360" w:lineRule="auto"/>
        <w:outlineLvl w:val="3"/>
        <w:rPr>
          <w:rFonts w:ascii="宋体" w:hAnsi="宋体" w:cs="宋体"/>
          <w:color w:val="auto"/>
          <w:szCs w:val="21"/>
          <w:highlight w:val="none"/>
        </w:rPr>
      </w:pPr>
      <w:bookmarkStart w:id="1235" w:name="_bookmark211"/>
      <w:bookmarkEnd w:id="1235"/>
      <w:r>
        <w:rPr>
          <w:rFonts w:hint="eastAsia" w:ascii="宋体" w:hAnsi="宋体" w:cs="宋体"/>
          <w:color w:val="auto"/>
          <w:szCs w:val="21"/>
          <w:highlight w:val="none"/>
        </w:rPr>
        <w:t>11.6 工期提前</w:t>
      </w:r>
    </w:p>
    <w:p w14:paraId="730B0E8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工期提前的资金约定：</w:t>
      </w:r>
      <w:r>
        <w:rPr>
          <w:rFonts w:hint="eastAsia" w:ascii="宋体" w:hAnsi="宋体" w:cs="宋体"/>
          <w:color w:val="auto"/>
          <w:szCs w:val="21"/>
          <w:highlight w:val="none"/>
          <w:u w:val="single"/>
        </w:rPr>
        <w:t>在保证工程质量的前提下，发包人鼓励承包人提前完工，但本合同工程无提前工期奖金</w:t>
      </w:r>
      <w:r>
        <w:rPr>
          <w:rFonts w:hint="eastAsia" w:ascii="宋体" w:hAnsi="宋体" w:cs="宋体"/>
          <w:color w:val="auto"/>
          <w:szCs w:val="21"/>
          <w:highlight w:val="none"/>
        </w:rPr>
        <w:t>。</w:t>
      </w:r>
    </w:p>
    <w:p w14:paraId="0A38BDA4">
      <w:pPr>
        <w:pStyle w:val="4"/>
        <w:spacing w:before="0" w:after="0" w:line="360" w:lineRule="auto"/>
        <w:rPr>
          <w:rFonts w:ascii="宋体" w:hAnsi="宋体" w:cs="宋体"/>
          <w:color w:val="auto"/>
          <w:sz w:val="21"/>
          <w:szCs w:val="21"/>
          <w:highlight w:val="none"/>
        </w:rPr>
      </w:pPr>
      <w:bookmarkStart w:id="1236" w:name="_Toc18955"/>
      <w:r>
        <w:rPr>
          <w:rFonts w:hint="eastAsia" w:ascii="宋体" w:hAnsi="宋体" w:cs="宋体"/>
          <w:color w:val="auto"/>
          <w:sz w:val="21"/>
          <w:szCs w:val="21"/>
          <w:highlight w:val="none"/>
        </w:rPr>
        <w:t>12. 暂停施工</w:t>
      </w:r>
      <w:bookmarkEnd w:id="1226"/>
      <w:bookmarkEnd w:id="1227"/>
      <w:bookmarkEnd w:id="1228"/>
      <w:bookmarkEnd w:id="1229"/>
      <w:bookmarkEnd w:id="1230"/>
      <w:bookmarkEnd w:id="1231"/>
      <w:bookmarkEnd w:id="1236"/>
    </w:p>
    <w:p w14:paraId="3DCFEE68">
      <w:pPr>
        <w:pStyle w:val="5"/>
        <w:spacing w:before="0" w:line="360" w:lineRule="auto"/>
        <w:jc w:val="both"/>
        <w:rPr>
          <w:rFonts w:ascii="宋体" w:hAnsi="宋体" w:cs="宋体"/>
          <w:color w:val="auto"/>
          <w:sz w:val="21"/>
          <w:szCs w:val="21"/>
          <w:highlight w:val="none"/>
        </w:rPr>
      </w:pPr>
      <w:bookmarkStart w:id="1237" w:name="bookmark1738"/>
      <w:bookmarkStart w:id="1238" w:name="bookmark1739"/>
      <w:bookmarkStart w:id="1239" w:name="bookmark1740"/>
      <w:r>
        <w:rPr>
          <w:rFonts w:hint="eastAsia" w:ascii="宋体" w:hAnsi="宋体" w:cs="宋体"/>
          <w:color w:val="auto"/>
          <w:sz w:val="21"/>
          <w:szCs w:val="21"/>
          <w:highlight w:val="none"/>
        </w:rPr>
        <w:t>12.1承包人暂停施工的责任</w:t>
      </w:r>
      <w:bookmarkEnd w:id="1237"/>
      <w:bookmarkEnd w:id="1238"/>
      <w:bookmarkEnd w:id="1239"/>
    </w:p>
    <w:p w14:paraId="6CF9DD9A">
      <w:pPr>
        <w:spacing w:line="360" w:lineRule="auto"/>
        <w:ind w:firstLine="420" w:firstLineChars="200"/>
        <w:rPr>
          <w:rFonts w:ascii="宋体" w:hAnsi="宋体" w:cs="宋体"/>
          <w:color w:val="auto"/>
          <w:szCs w:val="21"/>
          <w:highlight w:val="none"/>
        </w:rPr>
      </w:pPr>
      <w:bookmarkStart w:id="1240" w:name="bookmark1741"/>
      <w:bookmarkEnd w:id="1240"/>
      <w:r>
        <w:rPr>
          <w:rFonts w:hint="eastAsia" w:ascii="宋体" w:hAnsi="宋体" w:cs="宋体"/>
          <w:color w:val="auto"/>
          <w:szCs w:val="21"/>
          <w:highlight w:val="none"/>
        </w:rPr>
        <w:t>承包人承担暂停施工责任的其它情形：</w:t>
      </w:r>
      <w:r>
        <w:rPr>
          <w:rFonts w:hint="eastAsia" w:ascii="宋体" w:hAnsi="宋体" w:cs="宋体"/>
          <w:color w:val="auto"/>
          <w:szCs w:val="21"/>
          <w:highlight w:val="none"/>
          <w:u w:val="single"/>
        </w:rPr>
        <w:t>由于承包人资金、人员、材料、设备不能按时到位的由承包人承担停工责任，或由于承包人原因造成的质量事故及安全事故引起的暂停施工，发包人不再补偿停工所造成的工程费用增加和工期延误</w:t>
      </w:r>
      <w:r>
        <w:rPr>
          <w:rFonts w:hint="eastAsia" w:ascii="宋体" w:hAnsi="宋体" w:cs="宋体"/>
          <w:color w:val="auto"/>
          <w:szCs w:val="21"/>
          <w:highlight w:val="none"/>
        </w:rPr>
        <w:t>。</w:t>
      </w:r>
    </w:p>
    <w:p w14:paraId="48B74445">
      <w:pPr>
        <w:pStyle w:val="5"/>
        <w:spacing w:before="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12.2发包人暂停施工的责任</w:t>
      </w:r>
    </w:p>
    <w:p w14:paraId="39C2F77D">
      <w:pPr>
        <w:spacing w:line="360" w:lineRule="auto"/>
        <w:ind w:firstLine="420" w:firstLineChars="200"/>
        <w:rPr>
          <w:rFonts w:ascii="宋体" w:hAnsi="宋体" w:cs="宋体"/>
          <w:color w:val="auto"/>
          <w:szCs w:val="21"/>
          <w:highlight w:val="none"/>
        </w:rPr>
      </w:pPr>
      <w:bookmarkStart w:id="1241" w:name="bookmark1742"/>
      <w:bookmarkEnd w:id="1241"/>
      <w:bookmarkStart w:id="1242" w:name="_Toc14543470"/>
      <w:bookmarkStart w:id="1243" w:name="_Toc13823617"/>
      <w:r>
        <w:rPr>
          <w:rFonts w:hint="eastAsia" w:ascii="宋体" w:hAnsi="宋体" w:cs="宋体"/>
          <w:color w:val="auto"/>
          <w:szCs w:val="21"/>
          <w:highlight w:val="none"/>
          <w:lang w:val="zh-CN" w:bidi="zh-CN"/>
        </w:rPr>
        <w:t>(3)</w:t>
      </w:r>
      <w:r>
        <w:rPr>
          <w:rFonts w:hint="eastAsia" w:ascii="宋体" w:hAnsi="宋体" w:cs="宋体"/>
          <w:color w:val="auto"/>
          <w:szCs w:val="21"/>
          <w:highlight w:val="none"/>
        </w:rPr>
        <w:t>发包人承担暂停施工责任的其它情形：无。</w:t>
      </w:r>
    </w:p>
    <w:bookmarkEnd w:id="1242"/>
    <w:bookmarkEnd w:id="1243"/>
    <w:p w14:paraId="079D49E2">
      <w:pPr>
        <w:pStyle w:val="4"/>
        <w:spacing w:before="0" w:after="0" w:line="360" w:lineRule="auto"/>
        <w:rPr>
          <w:rFonts w:ascii="宋体" w:hAnsi="宋体" w:cs="宋体"/>
          <w:color w:val="auto"/>
          <w:sz w:val="21"/>
          <w:szCs w:val="21"/>
          <w:highlight w:val="none"/>
        </w:rPr>
      </w:pPr>
      <w:bookmarkStart w:id="1244" w:name="_Toc1569442510"/>
      <w:bookmarkStart w:id="1245" w:name="_Toc26672"/>
      <w:bookmarkStart w:id="1246" w:name="bookmark1744"/>
      <w:bookmarkStart w:id="1247" w:name="_Toc27164"/>
      <w:bookmarkStart w:id="1248" w:name="_Toc4631"/>
      <w:bookmarkStart w:id="1249" w:name="bookmark1745"/>
      <w:bookmarkStart w:id="1250" w:name="bookmark1743"/>
      <w:r>
        <w:rPr>
          <w:rFonts w:hint="eastAsia" w:ascii="宋体" w:hAnsi="宋体" w:cs="宋体"/>
          <w:color w:val="auto"/>
          <w:sz w:val="21"/>
          <w:szCs w:val="21"/>
          <w:highlight w:val="none"/>
        </w:rPr>
        <w:t>13. 工程质量</w:t>
      </w:r>
      <w:bookmarkEnd w:id="1244"/>
      <w:bookmarkEnd w:id="1245"/>
      <w:bookmarkEnd w:id="1246"/>
      <w:bookmarkEnd w:id="1247"/>
      <w:bookmarkEnd w:id="1248"/>
      <w:bookmarkEnd w:id="1249"/>
      <w:bookmarkEnd w:id="1250"/>
    </w:p>
    <w:p w14:paraId="382823EA">
      <w:pPr>
        <w:pStyle w:val="5"/>
        <w:spacing w:before="0" w:line="360" w:lineRule="auto"/>
        <w:jc w:val="both"/>
        <w:rPr>
          <w:rFonts w:ascii="宋体" w:hAnsi="宋体" w:cs="宋体"/>
          <w:color w:val="auto"/>
          <w:sz w:val="21"/>
          <w:szCs w:val="21"/>
          <w:highlight w:val="none"/>
        </w:rPr>
      </w:pPr>
      <w:bookmarkStart w:id="1251" w:name="bookmark1748"/>
      <w:bookmarkStart w:id="1252" w:name="bookmark1746"/>
      <w:bookmarkStart w:id="1253" w:name="bookmark1747"/>
      <w:r>
        <w:rPr>
          <w:rFonts w:hint="eastAsia" w:ascii="宋体" w:hAnsi="宋体" w:cs="宋体"/>
          <w:color w:val="auto"/>
          <w:sz w:val="21"/>
          <w:szCs w:val="21"/>
          <w:highlight w:val="none"/>
        </w:rPr>
        <w:t>13.7质量评定</w:t>
      </w:r>
      <w:bookmarkEnd w:id="1251"/>
      <w:bookmarkEnd w:id="1252"/>
      <w:bookmarkEnd w:id="1253"/>
    </w:p>
    <w:p w14:paraId="76F6A66A">
      <w:pPr>
        <w:spacing w:line="360" w:lineRule="auto"/>
        <w:ind w:firstLine="454"/>
        <w:rPr>
          <w:rFonts w:ascii="宋体" w:hAnsi="宋体" w:cs="宋体"/>
          <w:color w:val="auto"/>
          <w:szCs w:val="21"/>
          <w:highlight w:val="none"/>
        </w:rPr>
      </w:pPr>
      <w:bookmarkStart w:id="1254" w:name="bookmark1751"/>
      <w:bookmarkStart w:id="1255" w:name="bookmark1750"/>
      <w:bookmarkStart w:id="1256" w:name="bookmark1749"/>
      <w:r>
        <w:rPr>
          <w:rFonts w:hint="eastAsia" w:ascii="宋体" w:hAnsi="宋体" w:cs="宋体"/>
          <w:color w:val="auto"/>
          <w:szCs w:val="21"/>
          <w:highlight w:val="none"/>
        </w:rPr>
        <w:t>13.7.4 重要隐蔽单元工程和关键部位单元工程质量评定的约定：</w:t>
      </w:r>
      <w:r>
        <w:rPr>
          <w:rFonts w:hint="eastAsia" w:ascii="宋体" w:hAnsi="宋体" w:cs="宋体"/>
          <w:color w:val="auto"/>
          <w:szCs w:val="21"/>
          <w:highlight w:val="none"/>
          <w:u w:val="single"/>
        </w:rPr>
        <w:t>达到技术条款要求及现行的水利行业施工质量检验与评定规程合格标准，力争优良</w:t>
      </w:r>
      <w:r>
        <w:rPr>
          <w:rFonts w:hint="eastAsia" w:ascii="宋体" w:hAnsi="宋体" w:cs="宋体"/>
          <w:color w:val="auto"/>
          <w:szCs w:val="21"/>
          <w:highlight w:val="none"/>
        </w:rPr>
        <w:t>。</w:t>
      </w:r>
    </w:p>
    <w:p w14:paraId="6F5B2B9D">
      <w:pPr>
        <w:spacing w:line="360" w:lineRule="auto"/>
        <w:ind w:firstLine="457"/>
        <w:rPr>
          <w:rFonts w:ascii="宋体" w:hAnsi="宋体" w:cs="宋体"/>
          <w:color w:val="auto"/>
          <w:szCs w:val="21"/>
          <w:highlight w:val="none"/>
        </w:rPr>
      </w:pPr>
      <w:r>
        <w:rPr>
          <w:rFonts w:hint="eastAsia" w:ascii="宋体" w:hAnsi="宋体" w:cs="宋体"/>
          <w:color w:val="auto"/>
          <w:szCs w:val="21"/>
          <w:highlight w:val="none"/>
        </w:rPr>
        <w:t>13.7.7 工程合格标准为：</w:t>
      </w:r>
      <w:r>
        <w:rPr>
          <w:rFonts w:hint="eastAsia" w:ascii="宋体" w:hAnsi="宋体" w:cs="宋体"/>
          <w:color w:val="auto"/>
          <w:szCs w:val="21"/>
          <w:highlight w:val="none"/>
          <w:u w:val="single"/>
        </w:rPr>
        <w:t>执行《水利水电工程施工质量检验与评定规程》 (SL176—2007)</w:t>
      </w:r>
      <w:r>
        <w:rPr>
          <w:rFonts w:hint="eastAsia" w:ascii="宋体" w:hAnsi="宋体" w:cs="宋体"/>
          <w:color w:val="auto"/>
          <w:szCs w:val="21"/>
          <w:highlight w:val="none"/>
        </w:rPr>
        <w:t>；优良标准为：</w:t>
      </w:r>
      <w:r>
        <w:rPr>
          <w:rFonts w:hint="eastAsia" w:ascii="宋体" w:hAnsi="宋体" w:cs="宋体"/>
          <w:color w:val="auto"/>
          <w:szCs w:val="21"/>
          <w:highlight w:val="none"/>
          <w:u w:val="single"/>
        </w:rPr>
        <w:t xml:space="preserve">执行《水利水电工程施工质量检验与评定规程》 (SL176—2007) </w:t>
      </w:r>
      <w:r>
        <w:rPr>
          <w:rFonts w:hint="eastAsia" w:ascii="宋体" w:hAnsi="宋体" w:cs="宋体"/>
          <w:color w:val="auto"/>
          <w:szCs w:val="21"/>
          <w:highlight w:val="none"/>
        </w:rPr>
        <w:t>。达到优良的奖金为：</w:t>
      </w:r>
      <w:r>
        <w:rPr>
          <w:rFonts w:hint="eastAsia" w:ascii="宋体" w:hAnsi="宋体" w:cs="宋体"/>
          <w:color w:val="auto"/>
          <w:szCs w:val="21"/>
          <w:highlight w:val="none"/>
          <w:u w:val="single"/>
        </w:rPr>
        <w:t xml:space="preserve"> 无 </w:t>
      </w:r>
      <w:r>
        <w:rPr>
          <w:rFonts w:hint="eastAsia" w:ascii="宋体" w:hAnsi="宋体" w:cs="宋体"/>
          <w:color w:val="auto"/>
          <w:szCs w:val="21"/>
          <w:highlight w:val="none"/>
        </w:rPr>
        <w:t>。</w:t>
      </w:r>
    </w:p>
    <w:p w14:paraId="17A510A9">
      <w:pPr>
        <w:pStyle w:val="5"/>
        <w:spacing w:before="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13.8质量事故处理</w:t>
      </w:r>
      <w:bookmarkEnd w:id="1254"/>
      <w:bookmarkEnd w:id="1255"/>
      <w:bookmarkEnd w:id="1256"/>
    </w:p>
    <w:p w14:paraId="327CE927">
      <w:pPr>
        <w:spacing w:line="360" w:lineRule="auto"/>
        <w:ind w:firstLine="455"/>
        <w:rPr>
          <w:rFonts w:ascii="宋体" w:hAnsi="宋体" w:cs="宋体"/>
          <w:color w:val="auto"/>
          <w:szCs w:val="21"/>
          <w:highlight w:val="none"/>
        </w:rPr>
      </w:pPr>
      <w:r>
        <w:rPr>
          <w:rFonts w:hint="eastAsia" w:ascii="宋体" w:hAnsi="宋体" w:cs="宋体"/>
          <w:color w:val="auto"/>
          <w:szCs w:val="21"/>
          <w:highlight w:val="none"/>
        </w:rPr>
        <w:t>13.8.4 工程竣工验收时，</w:t>
      </w:r>
      <w:r>
        <w:rPr>
          <w:rFonts w:hint="eastAsia" w:ascii="宋体" w:hAnsi="宋体" w:cs="宋体"/>
          <w:color w:val="auto"/>
          <w:szCs w:val="21"/>
          <w:highlight w:val="none"/>
          <w:u w:val="single"/>
        </w:rPr>
        <w:t>承包人及监理单位</w:t>
      </w:r>
      <w:r>
        <w:rPr>
          <w:rFonts w:hint="eastAsia" w:ascii="宋体" w:hAnsi="宋体" w:cs="宋体"/>
          <w:color w:val="auto"/>
          <w:szCs w:val="21"/>
          <w:highlight w:val="none"/>
        </w:rPr>
        <w:t>向竣工验收委员会汇报并提交历次质量缺陷处理的备案资料。</w:t>
      </w:r>
    </w:p>
    <w:p w14:paraId="7D095B20">
      <w:pPr>
        <w:pStyle w:val="4"/>
        <w:spacing w:before="0" w:after="0" w:line="360" w:lineRule="auto"/>
        <w:rPr>
          <w:rFonts w:ascii="宋体" w:hAnsi="宋体" w:cs="宋体"/>
          <w:color w:val="auto"/>
          <w:sz w:val="21"/>
          <w:szCs w:val="21"/>
          <w:highlight w:val="none"/>
        </w:rPr>
      </w:pPr>
      <w:bookmarkStart w:id="1257" w:name="_Toc20650"/>
      <w:bookmarkStart w:id="1258" w:name="_Toc16617"/>
      <w:bookmarkStart w:id="1259" w:name="bookmark1753"/>
      <w:bookmarkStart w:id="1260" w:name="bookmark1752"/>
      <w:bookmarkStart w:id="1261" w:name="bookmark1754"/>
      <w:bookmarkStart w:id="1262" w:name="_Toc6407"/>
      <w:bookmarkStart w:id="1263" w:name="_Toc1965527390"/>
      <w:r>
        <w:rPr>
          <w:rFonts w:hint="eastAsia" w:ascii="宋体" w:hAnsi="宋体" w:cs="宋体"/>
          <w:color w:val="auto"/>
          <w:sz w:val="21"/>
          <w:szCs w:val="21"/>
          <w:highlight w:val="none"/>
        </w:rPr>
        <w:t>14.试验和检验</w:t>
      </w:r>
      <w:bookmarkEnd w:id="1257"/>
      <w:bookmarkEnd w:id="1258"/>
      <w:bookmarkEnd w:id="1259"/>
      <w:bookmarkEnd w:id="1260"/>
      <w:bookmarkEnd w:id="1261"/>
      <w:bookmarkEnd w:id="1262"/>
      <w:bookmarkEnd w:id="1263"/>
    </w:p>
    <w:p w14:paraId="6AF9D248">
      <w:pPr>
        <w:pStyle w:val="5"/>
        <w:spacing w:before="0" w:line="360" w:lineRule="auto"/>
        <w:jc w:val="both"/>
        <w:rPr>
          <w:rFonts w:ascii="宋体" w:hAnsi="宋体" w:cs="宋体"/>
          <w:color w:val="auto"/>
          <w:sz w:val="21"/>
          <w:szCs w:val="21"/>
          <w:highlight w:val="none"/>
        </w:rPr>
      </w:pPr>
      <w:bookmarkStart w:id="1264" w:name="bookmark1757"/>
      <w:bookmarkStart w:id="1265" w:name="bookmark1755"/>
      <w:bookmarkStart w:id="1266" w:name="bookmark1756"/>
      <w:r>
        <w:rPr>
          <w:rFonts w:hint="eastAsia" w:ascii="宋体" w:hAnsi="宋体" w:cs="宋体"/>
          <w:color w:val="auto"/>
          <w:sz w:val="21"/>
          <w:szCs w:val="21"/>
          <w:highlight w:val="none"/>
        </w:rPr>
        <w:t>14.1材料、工程设备和工程的试验和检验</w:t>
      </w:r>
      <w:bookmarkEnd w:id="1264"/>
      <w:bookmarkEnd w:id="1265"/>
      <w:bookmarkEnd w:id="1266"/>
    </w:p>
    <w:p w14:paraId="0D051782">
      <w:pPr>
        <w:spacing w:line="360" w:lineRule="auto"/>
        <w:ind w:firstLine="457"/>
        <w:rPr>
          <w:rFonts w:ascii="宋体" w:hAnsi="宋体" w:cs="宋体"/>
          <w:color w:val="auto"/>
          <w:szCs w:val="21"/>
          <w:highlight w:val="none"/>
        </w:rPr>
      </w:pPr>
      <w:r>
        <w:rPr>
          <w:rFonts w:hint="eastAsia" w:ascii="宋体" w:hAnsi="宋体" w:cs="宋体"/>
          <w:color w:val="auto"/>
          <w:szCs w:val="21"/>
          <w:highlight w:val="none"/>
        </w:rPr>
        <w:t>14.1.5水工金属结构、启闭机及机电产品进场后的交货检查和验收中，承包人负责</w:t>
      </w:r>
      <w:r>
        <w:rPr>
          <w:rFonts w:hint="eastAsia" w:ascii="宋体" w:hAnsi="宋体" w:cs="宋体"/>
          <w:color w:val="auto"/>
          <w:szCs w:val="21"/>
          <w:highlight w:val="none"/>
          <w:u w:val="single"/>
        </w:rPr>
        <w:t>卸车及卸车后的验收、保管、转运、仓储管理，发生的费用由承包人承担；安装前，承包人应检杳产品</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是否有出厂合格证、设备安装说明书及有关技术文件，对在运输和存放过程中发生的变形、受潮、损坏等问题应作好记录，并进行妥善处理</w:t>
      </w:r>
      <w:r>
        <w:rPr>
          <w:rFonts w:hint="eastAsia" w:ascii="宋体" w:hAnsi="宋体" w:cs="宋体"/>
          <w:color w:val="auto"/>
          <w:szCs w:val="21"/>
          <w:highlight w:val="none"/>
        </w:rPr>
        <w:t>。</w:t>
      </w:r>
    </w:p>
    <w:p w14:paraId="176399BD">
      <w:pPr>
        <w:spacing w:line="360" w:lineRule="auto"/>
        <w:ind w:firstLine="457"/>
        <w:rPr>
          <w:rFonts w:ascii="宋体" w:hAnsi="宋体" w:cs="宋体"/>
          <w:color w:val="auto"/>
          <w:szCs w:val="21"/>
          <w:highlight w:val="none"/>
        </w:rPr>
      </w:pPr>
      <w:r>
        <w:rPr>
          <w:rFonts w:hint="eastAsia" w:ascii="宋体" w:hAnsi="宋体" w:cs="宋体"/>
          <w:color w:val="auto"/>
          <w:szCs w:val="21"/>
          <w:highlight w:val="none"/>
        </w:rPr>
        <w:t>14.1.6本工程实行见证取样的试块、试件及有关材料：</w:t>
      </w:r>
      <w:r>
        <w:rPr>
          <w:rFonts w:hint="eastAsia" w:ascii="宋体" w:hAnsi="宋体" w:cs="宋体"/>
          <w:color w:val="auto"/>
          <w:szCs w:val="21"/>
          <w:highlight w:val="none"/>
          <w:u w:val="single"/>
        </w:rPr>
        <w:t>水泥、砂、碎石、混凝土试块等</w:t>
      </w:r>
      <w:r>
        <w:rPr>
          <w:rFonts w:hint="eastAsia" w:ascii="宋体" w:hAnsi="宋体" w:cs="宋体"/>
          <w:color w:val="auto"/>
          <w:szCs w:val="21"/>
          <w:highlight w:val="none"/>
        </w:rPr>
        <w:t>。</w:t>
      </w:r>
    </w:p>
    <w:p w14:paraId="630DB463">
      <w:pPr>
        <w:pStyle w:val="4"/>
        <w:spacing w:before="0" w:after="0" w:line="360" w:lineRule="auto"/>
        <w:rPr>
          <w:rFonts w:ascii="宋体" w:hAnsi="宋体" w:cs="宋体"/>
          <w:color w:val="auto"/>
          <w:sz w:val="21"/>
          <w:szCs w:val="21"/>
          <w:highlight w:val="none"/>
        </w:rPr>
      </w:pPr>
      <w:bookmarkStart w:id="1267" w:name="bookmark1760"/>
      <w:bookmarkStart w:id="1268" w:name="_Toc217"/>
      <w:bookmarkStart w:id="1269" w:name="_Toc752314433"/>
      <w:bookmarkStart w:id="1270" w:name="_Toc24053"/>
      <w:bookmarkStart w:id="1271" w:name="_Toc2879"/>
      <w:bookmarkStart w:id="1272" w:name="bookmark1759"/>
      <w:bookmarkStart w:id="1273" w:name="bookmark1758"/>
      <w:r>
        <w:rPr>
          <w:rFonts w:hint="eastAsia" w:ascii="宋体" w:hAnsi="宋体" w:cs="宋体"/>
          <w:color w:val="auto"/>
          <w:sz w:val="21"/>
          <w:szCs w:val="21"/>
          <w:highlight w:val="none"/>
        </w:rPr>
        <w:t>15. 变更</w:t>
      </w:r>
      <w:bookmarkEnd w:id="1267"/>
      <w:bookmarkEnd w:id="1268"/>
      <w:bookmarkEnd w:id="1269"/>
      <w:bookmarkEnd w:id="1270"/>
      <w:bookmarkEnd w:id="1271"/>
    </w:p>
    <w:p w14:paraId="1FCE13CE">
      <w:pPr>
        <w:pStyle w:val="5"/>
        <w:spacing w:before="0" w:line="360" w:lineRule="auto"/>
        <w:jc w:val="both"/>
        <w:rPr>
          <w:rFonts w:ascii="宋体" w:hAnsi="宋体" w:cs="宋体"/>
          <w:color w:val="auto"/>
          <w:sz w:val="21"/>
          <w:szCs w:val="21"/>
          <w:highlight w:val="none"/>
        </w:rPr>
      </w:pPr>
      <w:bookmarkStart w:id="1274" w:name="bookmark1761"/>
      <w:r>
        <w:rPr>
          <w:rFonts w:hint="eastAsia" w:ascii="宋体" w:hAnsi="宋体" w:cs="宋体"/>
          <w:color w:val="auto"/>
          <w:sz w:val="21"/>
          <w:szCs w:val="21"/>
          <w:highlight w:val="none"/>
        </w:rPr>
        <w:t>15.1变更的范围和内容</w:t>
      </w:r>
      <w:bookmarkEnd w:id="1272"/>
      <w:bookmarkEnd w:id="1273"/>
      <w:bookmarkEnd w:id="1274"/>
    </w:p>
    <w:p w14:paraId="3FDA978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□(6)增加或减少合同中关键项目的工程量超过其项目工程总量的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%,单价调整方式：</w:t>
      </w:r>
    </w:p>
    <w:p w14:paraId="3FF32F9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①《工程量清单》中有适用于变更工作的项目时，应采用该项目的单价；</w:t>
      </w:r>
    </w:p>
    <w:p w14:paraId="6F768E9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②《工程量清单》中无适用于变更工作的项目时，则可在合理的范围内参考类似项目的单价或合价作为变更估价的基础，由发包人、监理人及承包人协商确定变更后的单价或合价，若存在争议时按第15.4执行。</w:t>
      </w:r>
    </w:p>
    <w:p w14:paraId="324A5BE1">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☑（6）本合同工程不因增加或减少合同工程量而调整合同单价。</w:t>
      </w:r>
    </w:p>
    <w:p w14:paraId="69B392CA">
      <w:pPr>
        <w:pStyle w:val="5"/>
        <w:spacing w:before="0" w:line="360" w:lineRule="auto"/>
        <w:jc w:val="both"/>
        <w:rPr>
          <w:rFonts w:ascii="宋体" w:hAnsi="宋体" w:cs="宋体"/>
          <w:color w:val="auto"/>
          <w:sz w:val="21"/>
          <w:szCs w:val="21"/>
          <w:highlight w:val="none"/>
        </w:rPr>
      </w:pPr>
      <w:bookmarkStart w:id="1275" w:name="bookmark1762"/>
      <w:bookmarkEnd w:id="1275"/>
      <w:bookmarkStart w:id="1276" w:name="bookmark1764"/>
      <w:bookmarkStart w:id="1277" w:name="bookmark1765"/>
      <w:bookmarkStart w:id="1278" w:name="bookmark1763"/>
      <w:r>
        <w:rPr>
          <w:rFonts w:hint="eastAsia" w:ascii="宋体" w:hAnsi="宋体" w:cs="宋体"/>
          <w:color w:val="auto"/>
          <w:sz w:val="21"/>
          <w:szCs w:val="21"/>
          <w:highlight w:val="none"/>
        </w:rPr>
        <w:t>15.4变更的估价原则</w:t>
      </w:r>
      <w:bookmarkEnd w:id="1276"/>
      <w:bookmarkEnd w:id="1277"/>
      <w:bookmarkEnd w:id="1278"/>
    </w:p>
    <w:p w14:paraId="2913373C">
      <w:pPr>
        <w:spacing w:line="360" w:lineRule="auto"/>
        <w:ind w:firstLine="420" w:firstLineChars="200"/>
        <w:rPr>
          <w:rFonts w:ascii="宋体" w:hAnsi="宋体" w:cs="宋体"/>
          <w:color w:val="auto"/>
          <w:szCs w:val="21"/>
          <w:highlight w:val="none"/>
        </w:rPr>
      </w:pPr>
      <w:bookmarkStart w:id="1279" w:name="bookmark1766"/>
      <w:bookmarkStart w:id="1280" w:name="bookmark1767"/>
      <w:bookmarkStart w:id="1281" w:name="bookmark1768"/>
      <w:r>
        <w:rPr>
          <w:rFonts w:hint="eastAsia" w:ascii="宋体" w:hAnsi="宋体" w:cs="宋体"/>
          <w:color w:val="auto"/>
          <w:szCs w:val="21"/>
          <w:highlight w:val="none"/>
        </w:rPr>
        <w:t>15.4.3 已标价工程量清单中无适用或类似子目的单价，按照以下原则确定：</w:t>
      </w:r>
    </w:p>
    <w:p w14:paraId="613AC931">
      <w:pPr>
        <w:spacing w:line="360" w:lineRule="auto"/>
        <w:ind w:firstLine="440"/>
        <w:rPr>
          <w:rFonts w:ascii="宋体" w:hAnsi="宋体" w:cs="宋体"/>
          <w:color w:val="auto"/>
          <w:szCs w:val="21"/>
          <w:highlight w:val="none"/>
        </w:rPr>
      </w:pPr>
      <w:r>
        <w:rPr>
          <w:rFonts w:hint="eastAsia" w:ascii="宋体" w:hAnsi="宋体" w:cs="宋体"/>
          <w:color w:val="auto"/>
          <w:szCs w:val="21"/>
          <w:highlight w:val="none"/>
        </w:rPr>
        <w:t>①有定额可套的，套用编制控制价所选定额计算，并乘以中标价下浮系数(中标价下浮系数为中标价与控制价的比值)，其中材料价格有信息价的按当地同期信息价，无信息的由发包人、承包人、监理人市场询价确定。</w:t>
      </w:r>
    </w:p>
    <w:p w14:paraId="2745592F">
      <w:pPr>
        <w:spacing w:line="360" w:lineRule="auto"/>
        <w:ind w:firstLine="440"/>
        <w:rPr>
          <w:rFonts w:ascii="宋体" w:hAnsi="宋体" w:cs="宋体"/>
          <w:color w:val="auto"/>
          <w:szCs w:val="21"/>
          <w:highlight w:val="none"/>
        </w:rPr>
      </w:pPr>
      <w:r>
        <w:rPr>
          <w:rFonts w:hint="eastAsia" w:ascii="宋体" w:hAnsi="宋体" w:cs="宋体"/>
          <w:color w:val="auto"/>
          <w:szCs w:val="21"/>
          <w:highlight w:val="none"/>
        </w:rPr>
        <w:t>②无定额可套的，由发包人、承包人、监理人市场询价确定。</w:t>
      </w:r>
    </w:p>
    <w:p w14:paraId="2A7B27A2">
      <w:pPr>
        <w:pStyle w:val="5"/>
        <w:spacing w:before="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15.5承包人的合理化建议</w:t>
      </w:r>
      <w:bookmarkEnd w:id="1279"/>
      <w:bookmarkEnd w:id="1280"/>
      <w:bookmarkEnd w:id="1281"/>
    </w:p>
    <w:p w14:paraId="51AC373C">
      <w:pPr>
        <w:pStyle w:val="523"/>
        <w:tabs>
          <w:tab w:val="left" w:pos="841"/>
          <w:tab w:val="left" w:pos="6665"/>
        </w:tabs>
        <w:ind w:firstLine="420" w:firstLineChars="200"/>
        <w:rPr>
          <w:color w:val="auto"/>
          <w:szCs w:val="21"/>
          <w:highlight w:val="none"/>
          <w:lang w:val="en-US" w:bidi="en-US"/>
        </w:rPr>
      </w:pPr>
      <w:bookmarkStart w:id="1282" w:name="bookmark1769"/>
      <w:bookmarkEnd w:id="1282"/>
      <w:r>
        <w:rPr>
          <w:rFonts w:hint="eastAsia"/>
          <w:color w:val="auto"/>
          <w:szCs w:val="21"/>
          <w:highlight w:val="none"/>
          <w:lang w:val="en-US" w:bidi="en-US"/>
        </w:rPr>
        <w:t>15.5.</w:t>
      </w:r>
      <w:r>
        <w:rPr>
          <w:rFonts w:hint="eastAsia"/>
          <w:color w:val="auto"/>
          <w:szCs w:val="21"/>
          <w:highlight w:val="none"/>
        </w:rPr>
        <w:t>2承包人实现合理化建议的奖励金额为：</w:t>
      </w:r>
      <w:r>
        <w:rPr>
          <w:rFonts w:hint="eastAsia"/>
          <w:color w:val="auto"/>
          <w:szCs w:val="21"/>
          <w:highlight w:val="none"/>
          <w:u w:val="single"/>
          <w:lang w:val="en-US"/>
        </w:rPr>
        <w:t>无</w:t>
      </w:r>
      <w:r>
        <w:rPr>
          <w:rFonts w:hint="eastAsia"/>
          <w:color w:val="auto"/>
          <w:szCs w:val="21"/>
          <w:highlight w:val="none"/>
          <w:lang w:val="en-US" w:bidi="en-US"/>
        </w:rPr>
        <w:t>。</w:t>
      </w:r>
    </w:p>
    <w:p w14:paraId="56CFDA47">
      <w:pPr>
        <w:pStyle w:val="4"/>
        <w:spacing w:before="0" w:after="0" w:line="360" w:lineRule="auto"/>
        <w:rPr>
          <w:rFonts w:ascii="宋体" w:hAnsi="宋体" w:cs="宋体"/>
          <w:color w:val="auto"/>
          <w:sz w:val="21"/>
          <w:szCs w:val="21"/>
          <w:highlight w:val="none"/>
        </w:rPr>
      </w:pPr>
      <w:bookmarkStart w:id="1283" w:name="_Toc3878"/>
      <w:bookmarkStart w:id="1284" w:name="bookmark1771"/>
      <w:bookmarkStart w:id="1285" w:name="bookmark1772"/>
      <w:bookmarkStart w:id="1286" w:name="_Toc13554"/>
      <w:bookmarkStart w:id="1287" w:name="_Toc827441541"/>
      <w:bookmarkStart w:id="1288" w:name="bookmark1770"/>
      <w:bookmarkStart w:id="1289" w:name="_Toc24486"/>
      <w:r>
        <w:rPr>
          <w:rFonts w:hint="eastAsia" w:ascii="宋体" w:hAnsi="宋体" w:cs="宋体"/>
          <w:color w:val="auto"/>
          <w:sz w:val="21"/>
          <w:szCs w:val="21"/>
          <w:highlight w:val="none"/>
        </w:rPr>
        <w:t>16 .价格调整</w:t>
      </w:r>
      <w:bookmarkEnd w:id="1283"/>
      <w:bookmarkEnd w:id="1284"/>
      <w:bookmarkEnd w:id="1285"/>
      <w:bookmarkEnd w:id="1286"/>
      <w:bookmarkEnd w:id="1287"/>
      <w:bookmarkEnd w:id="1288"/>
      <w:bookmarkEnd w:id="1289"/>
    </w:p>
    <w:p w14:paraId="7EF5BBB1">
      <w:pPr>
        <w:pStyle w:val="5"/>
        <w:spacing w:before="0" w:line="360" w:lineRule="auto"/>
        <w:jc w:val="both"/>
        <w:rPr>
          <w:rFonts w:ascii="宋体" w:hAnsi="宋体" w:cs="宋体"/>
          <w:color w:val="auto"/>
          <w:sz w:val="21"/>
          <w:szCs w:val="21"/>
          <w:highlight w:val="none"/>
        </w:rPr>
      </w:pPr>
      <w:bookmarkStart w:id="1290" w:name="bookmark1773"/>
      <w:bookmarkStart w:id="1291" w:name="bookmark1775"/>
      <w:bookmarkStart w:id="1292" w:name="bookmark1774"/>
      <w:r>
        <w:rPr>
          <w:rFonts w:hint="eastAsia" w:ascii="宋体" w:hAnsi="宋体" w:cs="宋体"/>
          <w:color w:val="auto"/>
          <w:sz w:val="21"/>
          <w:szCs w:val="21"/>
          <w:highlight w:val="none"/>
        </w:rPr>
        <w:t>16.1物价波动引起的价格调整</w:t>
      </w:r>
      <w:bookmarkEnd w:id="1290"/>
      <w:bookmarkEnd w:id="1291"/>
      <w:bookmarkEnd w:id="1292"/>
    </w:p>
    <w:p w14:paraId="342E76B4">
      <w:pPr>
        <w:pStyle w:val="523"/>
        <w:ind w:firstLine="420"/>
        <w:rPr>
          <w:color w:val="auto"/>
          <w:szCs w:val="21"/>
          <w:highlight w:val="none"/>
        </w:rPr>
      </w:pPr>
      <w:bookmarkStart w:id="1293" w:name="bookmark1779"/>
      <w:bookmarkEnd w:id="1293"/>
      <w:bookmarkStart w:id="1294" w:name="_Toc1028523360"/>
      <w:bookmarkStart w:id="1295" w:name="_Toc13939"/>
      <w:bookmarkStart w:id="1296" w:name="_Toc12454"/>
      <w:bookmarkStart w:id="1297" w:name="bookmark1780"/>
      <w:bookmarkStart w:id="1298" w:name="bookmark1777"/>
      <w:bookmarkStart w:id="1299" w:name="bookmark1778"/>
      <w:r>
        <w:rPr>
          <w:rFonts w:hint="eastAsia"/>
          <w:color w:val="auto"/>
          <w:szCs w:val="21"/>
          <w:highlight w:val="none"/>
        </w:rPr>
        <w:t>☑本项目不因为物价波动原因引起合同价格变动而调整。</w:t>
      </w:r>
    </w:p>
    <w:p w14:paraId="758CA58A">
      <w:pPr>
        <w:pStyle w:val="4"/>
        <w:numPr>
          <w:ilvl w:val="0"/>
          <w:numId w:val="48"/>
        </w:numPr>
        <w:spacing w:before="0" w:after="0" w:line="360" w:lineRule="auto"/>
        <w:rPr>
          <w:rFonts w:ascii="宋体" w:hAnsi="宋体" w:cs="宋体"/>
          <w:color w:val="auto"/>
          <w:sz w:val="21"/>
          <w:szCs w:val="21"/>
          <w:highlight w:val="none"/>
        </w:rPr>
      </w:pPr>
      <w:bookmarkStart w:id="1300" w:name="_Toc23682"/>
      <w:r>
        <w:rPr>
          <w:rFonts w:hint="eastAsia" w:ascii="宋体" w:hAnsi="宋体" w:cs="宋体"/>
          <w:color w:val="auto"/>
          <w:sz w:val="21"/>
          <w:szCs w:val="21"/>
          <w:highlight w:val="none"/>
        </w:rPr>
        <w:t>计量与支付</w:t>
      </w:r>
      <w:bookmarkEnd w:id="1294"/>
      <w:bookmarkEnd w:id="1295"/>
      <w:bookmarkEnd w:id="1296"/>
      <w:bookmarkEnd w:id="1297"/>
      <w:bookmarkEnd w:id="1298"/>
      <w:bookmarkEnd w:id="1299"/>
      <w:bookmarkEnd w:id="1300"/>
    </w:p>
    <w:p w14:paraId="2FB78A48">
      <w:pPr>
        <w:pStyle w:val="266"/>
        <w:spacing w:line="360" w:lineRule="auto"/>
        <w:rPr>
          <w:rFonts w:ascii="宋体" w:hAnsi="宋体" w:cs="宋体"/>
          <w:b/>
          <w:bCs/>
          <w:color w:val="auto"/>
          <w:szCs w:val="21"/>
          <w:highlight w:val="none"/>
        </w:rPr>
      </w:pPr>
      <w:r>
        <w:rPr>
          <w:rFonts w:hint="eastAsia" w:ascii="宋体" w:hAnsi="宋体" w:cs="宋体"/>
          <w:b/>
          <w:bCs/>
          <w:color w:val="auto"/>
          <w:szCs w:val="21"/>
          <w:highlight w:val="none"/>
        </w:rPr>
        <w:t>17.1 计量</w:t>
      </w:r>
    </w:p>
    <w:p w14:paraId="2F40BC68">
      <w:pPr>
        <w:pStyle w:val="266"/>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17.1.1计量单位:计量采用国家法定的计量单位。</w:t>
      </w:r>
    </w:p>
    <w:p w14:paraId="6188A9DC">
      <w:pPr>
        <w:pStyle w:val="266"/>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17.1.2计量方法 </w:t>
      </w:r>
    </w:p>
    <w:p w14:paraId="52E95315">
      <w:pPr>
        <w:pStyle w:val="266"/>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结算工程量应按工程量清单中约定的方法计算。 </w:t>
      </w:r>
    </w:p>
    <w:p w14:paraId="5C2537A0">
      <w:pPr>
        <w:pStyle w:val="266"/>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17.1.3计量周期</w:t>
      </w:r>
    </w:p>
    <w:p w14:paraId="1AD3DDA7">
      <w:pPr>
        <w:pStyle w:val="266"/>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除专用合同条款另有约定外，单价子目已完成工程量按月计量，总价子目的计量周期按批准的支付分解报告确定。</w:t>
      </w:r>
    </w:p>
    <w:p w14:paraId="4CEB120E">
      <w:pPr>
        <w:pStyle w:val="266"/>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17.1.4单价子目的计量</w:t>
      </w:r>
    </w:p>
    <w:p w14:paraId="71207A60">
      <w:pPr>
        <w:pStyle w:val="266"/>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(1)已标价工程量清单中的单价子目工程量为估算工程量。结算工程量是承包人实际完成的，并按合同约定的计量方法进行计量的工程量。 </w:t>
      </w:r>
    </w:p>
    <w:p w14:paraId="0603A62C">
      <w:pPr>
        <w:pStyle w:val="266"/>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(2)承包人对已完成的工程进行计量，向监理人提交进度付款申请单、已完成工程量报表和有关计量资料。</w:t>
      </w:r>
    </w:p>
    <w:p w14:paraId="550A8BAC">
      <w:pPr>
        <w:pStyle w:val="266"/>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监理人对承包人提交的工程量报表进行复核，以确定实际完成的工程量。对数量有异议的，可要求承包人按第8.2款约定进行共同复核和抽样复测。承包人应协助监理人进行复核并按监理人要求提供补充计量资料。承包人未按监理人要求参加复核，监理人复核或修正的工程量视为承包人实际完成的工程量。</w:t>
      </w:r>
    </w:p>
    <w:p w14:paraId="109D2D57">
      <w:pPr>
        <w:pStyle w:val="266"/>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(4)监理人认为有必要时，可通知承包人共同进行联合测量、计量，承包人应遵照执行。</w:t>
      </w:r>
    </w:p>
    <w:p w14:paraId="78E10CA3">
      <w:pPr>
        <w:pStyle w:val="266"/>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(5)承包人完成工程量清单中每个子目的工程量后，监理人应要求承包人派员共同对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14:paraId="6CAEC598">
      <w:pPr>
        <w:pStyle w:val="266"/>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(6)监理人应在收到承包人提交的工程量报表后的7天内进行复核，监理人未在约定时间内复核的，承包人提交的工程量报表中的工程量视为承包人实际完成的工程量，据此计算工程价款。</w:t>
      </w:r>
    </w:p>
    <w:p w14:paraId="07DF4624">
      <w:pPr>
        <w:pStyle w:val="266"/>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17.1.5总价子目的计量总价子目的分解和计量按照下述约定进行。</w:t>
      </w:r>
    </w:p>
    <w:p w14:paraId="1B92988A">
      <w:pPr>
        <w:pStyle w:val="266"/>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(1)总价子目的计量和支付应以总价为基础，不因第16.1款中的因素而进行调整。承包人实际完成的工程量，是进行工程目标管理和控制进度支付的依据。</w:t>
      </w:r>
    </w:p>
    <w:p w14:paraId="61F2A838">
      <w:pPr>
        <w:pStyle w:val="266"/>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承包人应按工程量清单的要求对总价子目进行分解，并在签订协议书后的28天内将各子目的总价支付分解表提交监理人审批。分解表应标明其所属子目和分阶段需支付的金额。承包人应按批准的各总价子目支付周期，对已完成的总价子目进行计量，确定分项的应付金额列入进度付款申请单中。 </w:t>
      </w:r>
    </w:p>
    <w:p w14:paraId="352C4E20">
      <w:pPr>
        <w:pStyle w:val="266"/>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(3)监理人对承包人提交的上述资料进行复核，以确定分阶段实际完成的工程量和工程形象目标。对其有异议的，可要求承包人按第8.2款约定进行共同复核和抽样复测。除按照第15条约定的变更外，总价子目的工程量是承包人用于结算的最终工程量。</w:t>
      </w:r>
    </w:p>
    <w:p w14:paraId="7FBDFD09">
      <w:pPr>
        <w:pStyle w:val="334"/>
        <w:rPr>
          <w:rFonts w:ascii="宋体" w:hAnsi="宋体" w:cs="宋体"/>
          <w:color w:val="auto"/>
          <w:szCs w:val="21"/>
          <w:highlight w:val="none"/>
        </w:rPr>
      </w:pPr>
      <w:bookmarkStart w:id="1301" w:name="_bookmark229"/>
      <w:bookmarkEnd w:id="1301"/>
      <w:bookmarkStart w:id="1302" w:name="bookmark1808"/>
      <w:bookmarkEnd w:id="1302"/>
      <w:bookmarkStart w:id="1303" w:name="_Toc797"/>
      <w:bookmarkStart w:id="1304" w:name="_Toc268901303"/>
      <w:bookmarkStart w:id="1305" w:name="bookmark1807"/>
      <w:bookmarkStart w:id="1306" w:name="bookmark1806"/>
      <w:bookmarkStart w:id="1307" w:name="bookmark1809"/>
      <w:bookmarkStart w:id="1308" w:name="_Toc30479"/>
      <w:r>
        <w:rPr>
          <w:rFonts w:hint="eastAsia" w:ascii="宋体" w:hAnsi="宋体" w:cs="宋体"/>
          <w:color w:val="auto"/>
          <w:szCs w:val="21"/>
          <w:highlight w:val="none"/>
        </w:rPr>
        <w:t>17.2预付款</w:t>
      </w:r>
    </w:p>
    <w:p w14:paraId="36A13330">
      <w:pPr>
        <w:pStyle w:val="528"/>
        <w:spacing w:after="0" w:line="360" w:lineRule="auto"/>
        <w:rPr>
          <w:rFonts w:ascii="宋体" w:hAnsi="宋体" w:cs="宋体"/>
          <w:color w:val="auto"/>
          <w:sz w:val="21"/>
          <w:szCs w:val="21"/>
          <w:highlight w:val="none"/>
        </w:rPr>
      </w:pPr>
      <w:r>
        <w:rPr>
          <w:rFonts w:hint="eastAsia" w:ascii="宋体" w:hAnsi="宋体" w:cs="宋体"/>
          <w:color w:val="auto"/>
          <w:sz w:val="21"/>
          <w:szCs w:val="21"/>
          <w:highlight w:val="none"/>
        </w:rPr>
        <w:t>17.2.1</w:t>
      </w:r>
      <w:r>
        <w:rPr>
          <w:rFonts w:hint="eastAsia" w:ascii="宋体" w:hAnsi="宋体" w:cs="宋体"/>
          <w:color w:val="auto"/>
          <w:sz w:val="21"/>
          <w:szCs w:val="21"/>
          <w:highlight w:val="none"/>
          <w:lang w:val="zh-CN" w:bidi="zh-CN"/>
        </w:rPr>
        <w:t>预付款</w:t>
      </w:r>
    </w:p>
    <w:p w14:paraId="61358816">
      <w:pPr>
        <w:spacing w:line="360" w:lineRule="auto"/>
        <w:ind w:firstLine="420" w:firstLineChars="200"/>
        <w:rPr>
          <w:rFonts w:ascii="宋体" w:hAnsi="宋体" w:cs="宋体"/>
          <w:color w:val="auto"/>
          <w:szCs w:val="21"/>
          <w:highlight w:val="none"/>
        </w:rPr>
      </w:pPr>
      <w:bookmarkStart w:id="1309" w:name="bookmark1786"/>
      <w:bookmarkEnd w:id="1309"/>
      <w:bookmarkStart w:id="1310" w:name="bookmark1784"/>
      <w:bookmarkEnd w:id="1310"/>
      <w:bookmarkStart w:id="1311" w:name="bookmark1790"/>
      <w:bookmarkStart w:id="1312" w:name="bookmark1791"/>
      <w:bookmarkStart w:id="1313" w:name="bookmark1789"/>
      <w:r>
        <w:rPr>
          <w:rFonts w:hint="eastAsia" w:ascii="宋体" w:hAnsi="宋体" w:cs="宋体"/>
          <w:color w:val="auto"/>
          <w:szCs w:val="21"/>
          <w:highlight w:val="none"/>
        </w:rPr>
        <w:t>合同签订后10个工作日内支付合同总价（扣暂列金、暂估价及甲供材）30%的预付款。此预付款在项目工程进度款中一次性扣回。</w:t>
      </w:r>
    </w:p>
    <w:p w14:paraId="5DB2910D">
      <w:pPr>
        <w:pStyle w:val="334"/>
        <w:rPr>
          <w:rFonts w:ascii="宋体" w:hAnsi="宋体" w:cs="宋体"/>
          <w:color w:val="auto"/>
          <w:szCs w:val="21"/>
          <w:highlight w:val="none"/>
        </w:rPr>
      </w:pPr>
      <w:r>
        <w:rPr>
          <w:rFonts w:hint="eastAsia" w:ascii="宋体" w:hAnsi="宋体" w:cs="宋体"/>
          <w:color w:val="auto"/>
          <w:szCs w:val="21"/>
          <w:highlight w:val="none"/>
        </w:rPr>
        <w:t>17.3工程进度付款</w:t>
      </w:r>
      <w:bookmarkEnd w:id="1311"/>
      <w:bookmarkEnd w:id="1312"/>
      <w:bookmarkEnd w:id="1313"/>
    </w:p>
    <w:p w14:paraId="2673907E">
      <w:pPr>
        <w:pStyle w:val="527"/>
        <w:ind w:firstLine="420"/>
        <w:rPr>
          <w:color w:val="auto"/>
          <w:sz w:val="21"/>
          <w:szCs w:val="21"/>
          <w:highlight w:val="none"/>
        </w:rPr>
      </w:pPr>
      <w:r>
        <w:rPr>
          <w:rFonts w:hint="eastAsia"/>
          <w:color w:val="auto"/>
          <w:sz w:val="21"/>
          <w:szCs w:val="21"/>
          <w:highlight w:val="none"/>
          <w:lang w:val="en-US" w:bidi="en-US"/>
        </w:rPr>
        <w:t>17.3.2</w:t>
      </w:r>
      <w:r>
        <w:rPr>
          <w:rFonts w:hint="eastAsia"/>
          <w:color w:val="auto"/>
          <w:sz w:val="21"/>
          <w:szCs w:val="21"/>
          <w:highlight w:val="none"/>
        </w:rPr>
        <w:t>进度付款申请单</w:t>
      </w:r>
    </w:p>
    <w:p w14:paraId="3A7AF369">
      <w:pPr>
        <w:pStyle w:val="527"/>
        <w:tabs>
          <w:tab w:val="left" w:pos="4613"/>
          <w:tab w:val="left" w:pos="7978"/>
        </w:tabs>
        <w:ind w:firstLine="438" w:firstLineChars="209"/>
        <w:rPr>
          <w:color w:val="auto"/>
          <w:sz w:val="21"/>
          <w:szCs w:val="21"/>
          <w:highlight w:val="none"/>
          <w:lang w:val="en-US" w:bidi="en-US"/>
        </w:rPr>
      </w:pPr>
      <w:r>
        <w:rPr>
          <w:rFonts w:hint="eastAsia"/>
          <w:color w:val="auto"/>
          <w:sz w:val="21"/>
          <w:szCs w:val="21"/>
          <w:highlight w:val="none"/>
        </w:rPr>
        <w:t>承包人提交进度付款申请单的份数：</w:t>
      </w:r>
      <w:r>
        <w:rPr>
          <w:rFonts w:hint="eastAsia"/>
          <w:color w:val="auto"/>
          <w:sz w:val="21"/>
          <w:szCs w:val="21"/>
          <w:highlight w:val="none"/>
          <w:u w:val="single"/>
          <w:lang w:val="en-US"/>
        </w:rPr>
        <w:t>一式陆份</w:t>
      </w:r>
      <w:r>
        <w:rPr>
          <w:rFonts w:hint="eastAsia"/>
          <w:color w:val="auto"/>
          <w:sz w:val="21"/>
          <w:szCs w:val="21"/>
          <w:highlight w:val="none"/>
          <w:lang w:val="en-US" w:bidi="en-US"/>
        </w:rPr>
        <w:t>。</w:t>
      </w:r>
    </w:p>
    <w:p w14:paraId="19D8E17B">
      <w:pPr>
        <w:pStyle w:val="527"/>
        <w:tabs>
          <w:tab w:val="left" w:pos="4613"/>
          <w:tab w:val="left" w:pos="7978"/>
        </w:tabs>
        <w:ind w:firstLine="438" w:firstLineChars="209"/>
        <w:rPr>
          <w:color w:val="auto"/>
          <w:sz w:val="21"/>
          <w:szCs w:val="21"/>
          <w:highlight w:val="none"/>
        </w:rPr>
      </w:pPr>
      <w:r>
        <w:rPr>
          <w:rFonts w:hint="eastAsia"/>
          <w:color w:val="auto"/>
          <w:sz w:val="21"/>
          <w:szCs w:val="21"/>
          <w:highlight w:val="none"/>
          <w:lang w:val="en-US" w:bidi="en-US"/>
        </w:rPr>
        <w:t>17.3.3</w:t>
      </w:r>
      <w:r>
        <w:rPr>
          <w:rFonts w:hint="eastAsia"/>
          <w:color w:val="auto"/>
          <w:sz w:val="21"/>
          <w:szCs w:val="21"/>
          <w:highlight w:val="none"/>
        </w:rPr>
        <w:t>进度付款证书和支付时间</w:t>
      </w:r>
    </w:p>
    <w:p w14:paraId="304EF976">
      <w:pPr>
        <w:pStyle w:val="527"/>
        <w:tabs>
          <w:tab w:val="left" w:pos="4428"/>
        </w:tabs>
        <w:ind w:firstLine="440"/>
        <w:rPr>
          <w:color w:val="auto"/>
          <w:sz w:val="21"/>
          <w:szCs w:val="21"/>
          <w:highlight w:val="none"/>
        </w:rPr>
      </w:pPr>
      <w:r>
        <w:rPr>
          <w:rFonts w:hint="eastAsia"/>
          <w:color w:val="auto"/>
          <w:sz w:val="21"/>
          <w:szCs w:val="21"/>
          <w:highlight w:val="none"/>
        </w:rPr>
        <w:t>(2)本款“专用合同条款的约定支付逾期付款违约金”为按中国人民银行规定的同期贷款利率计算的逾期付款金额的利息。</w:t>
      </w:r>
    </w:p>
    <w:p w14:paraId="60C4EC2C">
      <w:pPr>
        <w:pStyle w:val="527"/>
        <w:tabs>
          <w:tab w:val="left" w:pos="4428"/>
        </w:tabs>
        <w:ind w:firstLine="440"/>
        <w:rPr>
          <w:color w:val="auto"/>
          <w:sz w:val="21"/>
          <w:szCs w:val="21"/>
          <w:highlight w:val="none"/>
        </w:rPr>
      </w:pPr>
      <w:r>
        <w:rPr>
          <w:rFonts w:hint="eastAsia"/>
          <w:color w:val="auto"/>
          <w:sz w:val="21"/>
          <w:szCs w:val="21"/>
          <w:highlight w:val="none"/>
          <w:lang w:val="en-US"/>
        </w:rPr>
        <w:t>17.3.5</w:t>
      </w:r>
      <w:r>
        <w:rPr>
          <w:rFonts w:hint="eastAsia"/>
          <w:color w:val="auto"/>
          <w:sz w:val="21"/>
          <w:szCs w:val="21"/>
          <w:highlight w:val="none"/>
        </w:rPr>
        <w:t>工程进度付款的支付比例</w:t>
      </w:r>
    </w:p>
    <w:p w14:paraId="7DA538AF">
      <w:pPr>
        <w:spacing w:line="360" w:lineRule="auto"/>
        <w:ind w:firstLine="420" w:firstLineChars="200"/>
        <w:rPr>
          <w:rFonts w:ascii="宋体" w:hAnsi="宋体" w:cs="宋体"/>
          <w:color w:val="auto"/>
          <w:szCs w:val="21"/>
          <w:highlight w:val="none"/>
        </w:rPr>
      </w:pPr>
      <w:r>
        <w:rPr>
          <w:rFonts w:hint="eastAsia"/>
          <w:color w:val="auto"/>
          <w:szCs w:val="21"/>
          <w:highlight w:val="none"/>
        </w:rPr>
        <w:t>工程进度款按月支付，合同内工程进度款支付额为当月实际已完成工程量价款的</w:t>
      </w:r>
      <w:r>
        <w:rPr>
          <w:color w:val="auto"/>
          <w:szCs w:val="21"/>
          <w:highlight w:val="none"/>
        </w:rPr>
        <w:t>90</w:t>
      </w:r>
      <w:r>
        <w:rPr>
          <w:rFonts w:hint="eastAsia"/>
          <w:color w:val="auto"/>
          <w:szCs w:val="21"/>
          <w:highlight w:val="none"/>
        </w:rPr>
        <w:t>%；合同外新增工程量按实际完成工程量价款的60%支付进度款。工程竣工验收合格，工程结算经北海市财政局财政投资评审中心审定后，</w:t>
      </w:r>
      <w:r>
        <w:rPr>
          <w:rFonts w:hint="eastAsia" w:ascii="宋体" w:hAnsi="宋体" w:cs="宋体"/>
          <w:color w:val="auto"/>
          <w:szCs w:val="21"/>
          <w:highlight w:val="none"/>
        </w:rPr>
        <w:t>采购人应在收到成交供应商全额有效发票及质量保函（担保额为结算审定价3%）后7个工作日内支付至结算总价的100%，最后结算金额以北海市财政局财政投资评审中心审核为准。</w:t>
      </w:r>
    </w:p>
    <w:p w14:paraId="467C9692">
      <w:pPr>
        <w:pStyle w:val="527"/>
        <w:tabs>
          <w:tab w:val="left" w:pos="4428"/>
        </w:tabs>
        <w:ind w:firstLine="440"/>
        <w:rPr>
          <w:color w:val="auto"/>
          <w:sz w:val="21"/>
          <w:szCs w:val="21"/>
          <w:highlight w:val="none"/>
        </w:rPr>
      </w:pPr>
      <w:r>
        <w:rPr>
          <w:rFonts w:hint="eastAsia"/>
          <w:color w:val="auto"/>
          <w:sz w:val="21"/>
          <w:szCs w:val="21"/>
          <w:highlight w:val="none"/>
        </w:rPr>
        <w:t>进度付款涉及财政资金的，由于财政资金不到位导致的付款进度延误，不视为发包人违约。</w:t>
      </w:r>
    </w:p>
    <w:p w14:paraId="34A948C4">
      <w:pPr>
        <w:pStyle w:val="529"/>
        <w:spacing w:after="0" w:line="360" w:lineRule="auto"/>
        <w:ind w:firstLine="420" w:firstLineChars="200"/>
        <w:rPr>
          <w:rFonts w:ascii="宋体" w:hAnsi="宋体" w:cs="宋体"/>
          <w:color w:val="auto"/>
          <w:kern w:val="0"/>
          <w:szCs w:val="21"/>
          <w:highlight w:val="none"/>
          <w:lang w:val="zh-CN" w:bidi="zh-CN"/>
        </w:rPr>
      </w:pPr>
      <w:r>
        <w:rPr>
          <w:rFonts w:hint="eastAsia" w:ascii="宋体" w:hAnsi="宋体" w:cs="宋体"/>
          <w:color w:val="auto"/>
          <w:kern w:val="0"/>
          <w:szCs w:val="21"/>
          <w:highlight w:val="none"/>
          <w:lang w:bidi="zh-CN"/>
        </w:rPr>
        <w:t>17.3.6</w:t>
      </w:r>
      <w:r>
        <w:rPr>
          <w:rFonts w:hint="eastAsia" w:ascii="宋体" w:hAnsi="宋体" w:cs="宋体"/>
          <w:color w:val="auto"/>
          <w:kern w:val="0"/>
          <w:szCs w:val="21"/>
          <w:highlight w:val="none"/>
          <w:lang w:val="zh-CN" w:bidi="zh-CN"/>
        </w:rPr>
        <w:t>发包人每支付一次工程进度款，</w:t>
      </w:r>
      <w:r>
        <w:rPr>
          <w:rFonts w:hint="eastAsia" w:ascii="宋体" w:hAnsi="宋体" w:cs="宋体"/>
          <w:color w:val="auto"/>
          <w:kern w:val="0"/>
          <w:szCs w:val="21"/>
          <w:highlight w:val="none"/>
          <w:lang w:bidi="zh-CN"/>
        </w:rPr>
        <w:t>支付前</w:t>
      </w:r>
      <w:r>
        <w:rPr>
          <w:rFonts w:hint="eastAsia" w:ascii="宋体" w:hAnsi="宋体" w:cs="宋体"/>
          <w:color w:val="auto"/>
          <w:kern w:val="0"/>
          <w:szCs w:val="21"/>
          <w:highlight w:val="none"/>
          <w:lang w:val="zh-CN" w:bidi="zh-CN"/>
        </w:rPr>
        <w:t>承包人应开具正式的增值税（税率按国家、地方规定）发票给发包人，</w:t>
      </w:r>
      <w:r>
        <w:rPr>
          <w:rFonts w:hint="eastAsia" w:ascii="宋体" w:hAnsi="宋体" w:cs="宋体"/>
          <w:color w:val="auto"/>
          <w:kern w:val="0"/>
          <w:szCs w:val="21"/>
          <w:highlight w:val="none"/>
          <w:lang w:bidi="zh-CN"/>
        </w:rPr>
        <w:t>同时提供完税凭证及纳税申报表，</w:t>
      </w:r>
      <w:r>
        <w:rPr>
          <w:rFonts w:hint="eastAsia" w:ascii="宋体" w:hAnsi="宋体" w:cs="宋体"/>
          <w:color w:val="auto"/>
          <w:kern w:val="0"/>
          <w:szCs w:val="21"/>
          <w:highlight w:val="none"/>
          <w:lang w:val="zh-CN" w:bidi="zh-CN"/>
        </w:rPr>
        <w:t>具体按</w:t>
      </w:r>
      <w:r>
        <w:rPr>
          <w:rFonts w:hint="eastAsia" w:ascii="宋体" w:hAnsi="宋体" w:cs="宋体"/>
          <w:color w:val="auto"/>
          <w:kern w:val="0"/>
          <w:szCs w:val="21"/>
          <w:highlight w:val="none"/>
          <w:lang w:bidi="zh-CN"/>
        </w:rPr>
        <w:t>北海市</w:t>
      </w:r>
      <w:r>
        <w:rPr>
          <w:rFonts w:hint="eastAsia" w:ascii="宋体" w:hAnsi="宋体" w:cs="宋体"/>
          <w:color w:val="auto"/>
          <w:kern w:val="0"/>
          <w:szCs w:val="21"/>
          <w:highlight w:val="none"/>
          <w:lang w:val="zh-CN" w:bidi="zh-CN"/>
        </w:rPr>
        <w:t>有关规定执行。</w:t>
      </w:r>
    </w:p>
    <w:p w14:paraId="5D5945FE">
      <w:pPr>
        <w:pStyle w:val="529"/>
        <w:spacing w:after="0" w:line="360" w:lineRule="auto"/>
        <w:ind w:firstLine="420" w:firstLineChars="200"/>
        <w:rPr>
          <w:rFonts w:ascii="宋体" w:hAnsi="宋体" w:cs="宋体"/>
          <w:color w:val="auto"/>
          <w:kern w:val="0"/>
          <w:szCs w:val="21"/>
          <w:highlight w:val="none"/>
          <w:lang w:bidi="zh-CN"/>
        </w:rPr>
      </w:pPr>
      <w:r>
        <w:rPr>
          <w:rFonts w:hint="eastAsia" w:ascii="宋体" w:hAnsi="宋体" w:cs="宋体"/>
          <w:color w:val="auto"/>
          <w:kern w:val="0"/>
          <w:szCs w:val="21"/>
          <w:highlight w:val="none"/>
          <w:lang w:bidi="zh-CN"/>
        </w:rPr>
        <w:t>17.3.7发票条款</w:t>
      </w:r>
    </w:p>
    <w:p w14:paraId="44DF035B">
      <w:pPr>
        <w:pStyle w:val="529"/>
        <w:spacing w:after="0" w:line="360" w:lineRule="auto"/>
        <w:ind w:firstLine="420" w:firstLineChars="200"/>
        <w:rPr>
          <w:rFonts w:ascii="宋体" w:hAnsi="宋体" w:cs="宋体"/>
          <w:color w:val="auto"/>
          <w:kern w:val="0"/>
          <w:szCs w:val="21"/>
          <w:highlight w:val="none"/>
          <w:lang w:val="zh-CN" w:bidi="zh-CN"/>
        </w:rPr>
      </w:pPr>
      <w:r>
        <w:rPr>
          <w:rFonts w:hint="eastAsia" w:ascii="宋体" w:hAnsi="宋体" w:cs="宋体"/>
          <w:color w:val="auto"/>
          <w:kern w:val="0"/>
          <w:szCs w:val="21"/>
          <w:highlight w:val="none"/>
          <w:lang w:bidi="zh-CN"/>
        </w:rPr>
        <w:t>承包人须在发包人支付各项款项之前按要求开具相应款项等额有效的增值税专用发票给发包人，否则发包人有权拒付款项，直至承包人提供满足发包人要求的发票，由此所产生的后果及损失由承包人承担；承包人不得追究发包人任何延期支付的违约责任，并且应当按照合同的约定继续履行义务。承包人提供给发包人的发票未经发包人同意，承包人不能自行作废或开</w:t>
      </w:r>
      <w:r>
        <w:rPr>
          <w:rFonts w:hint="eastAsia" w:ascii="宋体" w:hAnsi="宋体" w:cs="宋体"/>
          <w:color w:val="auto"/>
          <w:kern w:val="0"/>
          <w:szCs w:val="21"/>
          <w:highlight w:val="none"/>
          <w:lang w:val="zh-CN" w:bidi="zh-CN"/>
        </w:rPr>
        <w:t>具红字发票红冲，承包人擅自作废或红冲发票视为承包人违约。</w:t>
      </w:r>
    </w:p>
    <w:p w14:paraId="3A908AFB">
      <w:pPr>
        <w:pStyle w:val="529"/>
        <w:spacing w:line="360" w:lineRule="auto"/>
        <w:ind w:firstLine="420" w:firstLineChars="200"/>
        <w:rPr>
          <w:rFonts w:ascii="宋体" w:hAnsi="宋体" w:cs="宋体"/>
          <w:color w:val="auto"/>
          <w:kern w:val="0"/>
          <w:szCs w:val="21"/>
          <w:highlight w:val="none"/>
          <w:lang w:val="zh-CN" w:bidi="zh-CN"/>
        </w:rPr>
      </w:pPr>
      <w:r>
        <w:rPr>
          <w:rFonts w:ascii="宋体" w:hAnsi="宋体" w:cs="宋体"/>
          <w:color w:val="auto"/>
          <w:kern w:val="0"/>
          <w:szCs w:val="21"/>
          <w:highlight w:val="none"/>
          <w:lang w:val="zh-CN" w:bidi="zh-CN"/>
        </w:rPr>
        <w:t>17.3.8</w:t>
      </w:r>
      <w:r>
        <w:rPr>
          <w:rFonts w:hint="eastAsia" w:ascii="宋体" w:hAnsi="宋体" w:cs="宋体"/>
          <w:color w:val="auto"/>
          <w:kern w:val="0"/>
          <w:szCs w:val="21"/>
          <w:highlight w:val="none"/>
          <w:lang w:val="zh-CN" w:bidi="zh-CN"/>
        </w:rPr>
        <w:t>安全生产措施费的支付</w:t>
      </w:r>
    </w:p>
    <w:p w14:paraId="56309F9E">
      <w:pPr>
        <w:pStyle w:val="529"/>
        <w:spacing w:line="360" w:lineRule="auto"/>
        <w:ind w:firstLine="420" w:firstLineChars="200"/>
        <w:rPr>
          <w:rFonts w:ascii="宋体" w:hAnsi="宋体" w:cs="宋体"/>
          <w:color w:val="auto"/>
          <w:kern w:val="0"/>
          <w:szCs w:val="21"/>
          <w:highlight w:val="none"/>
          <w:lang w:val="zh-CN" w:bidi="zh-CN"/>
        </w:rPr>
      </w:pPr>
      <w:r>
        <w:rPr>
          <w:rFonts w:hint="eastAsia" w:ascii="宋体" w:hAnsi="宋体" w:cs="宋体"/>
          <w:color w:val="auto"/>
          <w:kern w:val="0"/>
          <w:szCs w:val="21"/>
          <w:highlight w:val="none"/>
          <w:lang w:val="zh-CN" w:bidi="zh-CN"/>
        </w:rPr>
        <w:t>（</w:t>
      </w:r>
      <w:r>
        <w:rPr>
          <w:rFonts w:hint="eastAsia" w:ascii="宋体" w:hAnsi="宋体" w:cs="宋体"/>
          <w:color w:val="auto"/>
          <w:kern w:val="0"/>
          <w:szCs w:val="21"/>
          <w:highlight w:val="none"/>
          <w:lang w:bidi="zh-CN"/>
        </w:rPr>
        <w:t>1</w:t>
      </w:r>
      <w:r>
        <w:rPr>
          <w:rFonts w:hint="eastAsia" w:ascii="宋体" w:hAnsi="宋体" w:cs="宋体"/>
          <w:color w:val="auto"/>
          <w:kern w:val="0"/>
          <w:szCs w:val="21"/>
          <w:highlight w:val="none"/>
          <w:lang w:val="zh-CN" w:bidi="zh-CN"/>
        </w:rPr>
        <w:t>）累计进度款达到签约合同价的50%，且承包人提供的安全生产措施费的使用台账、</w:t>
      </w:r>
      <w:r>
        <w:rPr>
          <w:rFonts w:hint="eastAsia" w:ascii="宋体" w:hAnsi="宋体" w:cs="宋体"/>
          <w:color w:val="auto"/>
          <w:kern w:val="0"/>
          <w:szCs w:val="21"/>
          <w:highlight w:val="none"/>
          <w:lang w:bidi="zh-CN"/>
        </w:rPr>
        <w:t>符合要求的发票</w:t>
      </w:r>
      <w:r>
        <w:rPr>
          <w:rFonts w:hint="eastAsia" w:ascii="宋体" w:hAnsi="宋体" w:cs="宋体"/>
          <w:color w:val="auto"/>
          <w:kern w:val="0"/>
          <w:szCs w:val="21"/>
          <w:highlight w:val="none"/>
          <w:lang w:val="zh-CN" w:bidi="zh-CN"/>
        </w:rPr>
        <w:t>总额必须达到或超过合同价中安全生产措施费总额的50%后，方可将剩余50%的安全生产措施费根据工程进度按期支付。</w:t>
      </w:r>
    </w:p>
    <w:p w14:paraId="22684179">
      <w:pPr>
        <w:pStyle w:val="529"/>
        <w:spacing w:line="360" w:lineRule="auto"/>
        <w:ind w:firstLine="420" w:firstLineChars="200"/>
        <w:rPr>
          <w:rFonts w:ascii="宋体" w:hAnsi="宋体" w:cs="宋体"/>
          <w:color w:val="auto"/>
          <w:kern w:val="0"/>
          <w:szCs w:val="21"/>
          <w:highlight w:val="none"/>
          <w:lang w:val="zh-CN" w:bidi="zh-CN"/>
        </w:rPr>
      </w:pPr>
      <w:r>
        <w:rPr>
          <w:rFonts w:hint="eastAsia" w:ascii="宋体" w:hAnsi="宋体" w:cs="宋体"/>
          <w:color w:val="auto"/>
          <w:kern w:val="0"/>
          <w:szCs w:val="21"/>
          <w:highlight w:val="none"/>
          <w:lang w:val="zh-CN" w:bidi="zh-CN"/>
        </w:rPr>
        <w:t>累计支付金额按下列公式计算：累计支付安全生产措施费=累计进度款金额÷签约合同价×安全生产措施费。</w:t>
      </w:r>
    </w:p>
    <w:p w14:paraId="14A486F7">
      <w:pPr>
        <w:pStyle w:val="529"/>
        <w:numPr>
          <w:ilvl w:val="0"/>
          <w:numId w:val="49"/>
        </w:numPr>
        <w:spacing w:line="360" w:lineRule="auto"/>
        <w:ind w:firstLine="420" w:firstLineChars="200"/>
        <w:rPr>
          <w:rFonts w:ascii="宋体" w:hAnsi="宋体" w:cs="宋体"/>
          <w:color w:val="auto"/>
          <w:kern w:val="0"/>
          <w:szCs w:val="21"/>
          <w:highlight w:val="none"/>
          <w:lang w:val="zh-CN" w:bidi="zh-CN"/>
        </w:rPr>
      </w:pPr>
      <w:r>
        <w:rPr>
          <w:rFonts w:hint="eastAsia" w:ascii="宋体" w:hAnsi="宋体" w:cs="宋体"/>
          <w:color w:val="auto"/>
          <w:kern w:val="0"/>
          <w:szCs w:val="21"/>
          <w:highlight w:val="none"/>
          <w:lang w:val="zh-CN" w:bidi="zh-CN"/>
        </w:rPr>
        <w:t>在每期安全生产措施费用申请时，必须同时提供上一期安全生产措施费的使用台账和</w:t>
      </w:r>
      <w:r>
        <w:rPr>
          <w:rFonts w:hint="eastAsia" w:ascii="宋体" w:hAnsi="宋体" w:cs="宋体"/>
          <w:color w:val="auto"/>
          <w:kern w:val="0"/>
          <w:szCs w:val="21"/>
          <w:highlight w:val="none"/>
          <w:lang w:bidi="zh-CN"/>
        </w:rPr>
        <w:t>符合要求的发票</w:t>
      </w:r>
      <w:r>
        <w:rPr>
          <w:rFonts w:hint="eastAsia" w:ascii="宋体" w:hAnsi="宋体" w:cs="宋体"/>
          <w:color w:val="auto"/>
          <w:kern w:val="0"/>
          <w:szCs w:val="21"/>
          <w:highlight w:val="none"/>
          <w:lang w:val="zh-CN" w:bidi="zh-CN"/>
        </w:rPr>
        <w:t>作为支付附件，经监理人审查和发包人确认后支付，同时承包人每月必须提供经监理人审查和发包人同意的下月安全生产措施费用使用计划。</w:t>
      </w:r>
    </w:p>
    <w:p w14:paraId="06DA7A91">
      <w:pPr>
        <w:pStyle w:val="529"/>
        <w:numPr>
          <w:ilvl w:val="0"/>
          <w:numId w:val="49"/>
        </w:numPr>
        <w:spacing w:line="360" w:lineRule="auto"/>
        <w:ind w:firstLine="420" w:firstLineChars="200"/>
        <w:rPr>
          <w:rFonts w:ascii="宋体" w:hAnsi="宋体" w:cs="宋体"/>
          <w:color w:val="auto"/>
          <w:kern w:val="0"/>
          <w:szCs w:val="21"/>
          <w:highlight w:val="none"/>
          <w:lang w:val="zh-CN" w:bidi="zh-CN"/>
        </w:rPr>
      </w:pPr>
      <w:r>
        <w:rPr>
          <w:rFonts w:hint="eastAsia" w:ascii="宋体" w:hAnsi="宋体" w:cs="宋体"/>
          <w:color w:val="auto"/>
          <w:szCs w:val="21"/>
          <w:highlight w:val="none"/>
        </w:rPr>
        <w:t>工程完工结算后如有结余的安全生产措施费，应当退回发包人。</w:t>
      </w:r>
    </w:p>
    <w:p w14:paraId="069CAF12">
      <w:pPr>
        <w:pStyle w:val="334"/>
        <w:rPr>
          <w:rFonts w:ascii="宋体" w:hAnsi="宋体" w:cs="宋体"/>
          <w:color w:val="auto"/>
          <w:szCs w:val="21"/>
          <w:highlight w:val="none"/>
        </w:rPr>
      </w:pPr>
      <w:r>
        <w:rPr>
          <w:rFonts w:hint="eastAsia" w:ascii="宋体" w:hAnsi="宋体" w:cs="宋体"/>
          <w:color w:val="auto"/>
          <w:szCs w:val="21"/>
          <w:highlight w:val="none"/>
        </w:rPr>
        <w:t>17.4 质量保证金</w:t>
      </w:r>
    </w:p>
    <w:p w14:paraId="43F50754">
      <w:pPr>
        <w:spacing w:line="360" w:lineRule="auto"/>
        <w:ind w:firstLine="459"/>
        <w:rPr>
          <w:rFonts w:ascii="宋体" w:hAnsi="宋体" w:cs="宋体"/>
          <w:color w:val="auto"/>
          <w:szCs w:val="21"/>
          <w:highlight w:val="none"/>
        </w:rPr>
      </w:pPr>
      <w:r>
        <w:rPr>
          <w:rFonts w:hint="eastAsia" w:ascii="宋体" w:hAnsi="宋体" w:cs="宋体"/>
          <w:color w:val="auto"/>
          <w:szCs w:val="21"/>
          <w:highlight w:val="none"/>
        </w:rPr>
        <w:t>□17.4.1.1每个付款周期扣留的质量保证金为工程进度付款的3%，扣留的质量保证金总额 为工程价款结算总额的3%。</w:t>
      </w:r>
    </w:p>
    <w:p w14:paraId="2A26E76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☑17.4.1.2工程完工验收后，一次性扣留的质量保证金总额为工程结算审定价款总额的</w:t>
      </w:r>
      <w:r>
        <w:rPr>
          <w:rFonts w:ascii="宋体" w:hAnsi="宋体" w:cs="宋体"/>
          <w:color w:val="auto"/>
          <w:szCs w:val="21"/>
          <w:highlight w:val="none"/>
        </w:rPr>
        <w:t>3</w:t>
      </w:r>
      <w:r>
        <w:rPr>
          <w:rFonts w:hint="eastAsia" w:ascii="宋体" w:hAnsi="宋体" w:cs="宋体"/>
          <w:color w:val="auto"/>
          <w:szCs w:val="21"/>
          <w:highlight w:val="none"/>
        </w:rPr>
        <w:t>%。</w:t>
      </w:r>
    </w:p>
    <w:p w14:paraId="31890622">
      <w:pPr>
        <w:pStyle w:val="334"/>
        <w:rPr>
          <w:rFonts w:ascii="宋体" w:hAnsi="宋体" w:cs="宋体"/>
          <w:color w:val="auto"/>
          <w:szCs w:val="21"/>
          <w:highlight w:val="none"/>
        </w:rPr>
      </w:pPr>
      <w:bookmarkStart w:id="1314" w:name="_bookmark230"/>
      <w:bookmarkEnd w:id="1314"/>
      <w:r>
        <w:rPr>
          <w:rFonts w:hint="eastAsia" w:ascii="宋体" w:hAnsi="宋体" w:cs="宋体"/>
          <w:color w:val="auto"/>
          <w:szCs w:val="21"/>
          <w:highlight w:val="none"/>
        </w:rPr>
        <w:t>17.5竣工(完工)结算</w:t>
      </w:r>
    </w:p>
    <w:p w14:paraId="70BD0F6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17.5.1竣工(完工) 付款申请单</w:t>
      </w:r>
    </w:p>
    <w:p w14:paraId="2004E67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(1)承包人应提交竣工付款申请单份数：在签订施工承包合同时明确。</w:t>
      </w:r>
    </w:p>
    <w:p w14:paraId="770958F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17.5.3除按通用合同条款所说的内容外，增加以下内容：最终结算以财政评审结果为准。</w:t>
      </w:r>
    </w:p>
    <w:p w14:paraId="3CA7B6E1">
      <w:pPr>
        <w:pStyle w:val="334"/>
        <w:rPr>
          <w:rFonts w:ascii="宋体" w:hAnsi="宋体" w:cs="宋体"/>
          <w:color w:val="auto"/>
          <w:szCs w:val="21"/>
          <w:highlight w:val="none"/>
        </w:rPr>
      </w:pPr>
      <w:bookmarkStart w:id="1315" w:name="_bookmark231"/>
      <w:bookmarkEnd w:id="1315"/>
      <w:r>
        <w:rPr>
          <w:rFonts w:hint="eastAsia" w:ascii="宋体" w:hAnsi="宋体" w:cs="宋体"/>
          <w:color w:val="auto"/>
          <w:szCs w:val="21"/>
          <w:highlight w:val="none"/>
        </w:rPr>
        <w:t>17.6最终结清</w:t>
      </w:r>
    </w:p>
    <w:p w14:paraId="091FAEFB">
      <w:pPr>
        <w:spacing w:line="360" w:lineRule="auto"/>
        <w:rPr>
          <w:rFonts w:ascii="宋体" w:hAnsi="宋体" w:cs="宋体"/>
          <w:color w:val="auto"/>
          <w:szCs w:val="21"/>
          <w:highlight w:val="none"/>
        </w:rPr>
      </w:pPr>
      <w:r>
        <w:rPr>
          <w:rFonts w:hint="eastAsia" w:ascii="宋体" w:hAnsi="宋体" w:cs="宋体"/>
          <w:color w:val="auto"/>
          <w:szCs w:val="21"/>
          <w:highlight w:val="none"/>
        </w:rPr>
        <w:t>17.6.1最终结清申请单</w:t>
      </w:r>
    </w:p>
    <w:p w14:paraId="1F88937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(1)承包人应提交最终结清申请单份数：</w:t>
      </w:r>
      <w:r>
        <w:rPr>
          <w:rFonts w:hint="eastAsia" w:ascii="宋体" w:hAnsi="宋体" w:cs="宋体"/>
          <w:color w:val="auto"/>
          <w:szCs w:val="21"/>
          <w:highlight w:val="none"/>
          <w:u w:val="single"/>
        </w:rPr>
        <w:t>一式8份</w:t>
      </w:r>
      <w:r>
        <w:rPr>
          <w:rFonts w:hint="eastAsia" w:ascii="宋体" w:hAnsi="宋体" w:cs="宋体"/>
          <w:color w:val="auto"/>
          <w:szCs w:val="21"/>
          <w:highlight w:val="none"/>
        </w:rPr>
        <w:t>。</w:t>
      </w:r>
    </w:p>
    <w:p w14:paraId="558E5CF3">
      <w:pPr>
        <w:pStyle w:val="334"/>
        <w:rPr>
          <w:rFonts w:ascii="宋体" w:hAnsi="宋体" w:cs="宋体"/>
          <w:color w:val="auto"/>
          <w:szCs w:val="21"/>
          <w:highlight w:val="none"/>
        </w:rPr>
      </w:pPr>
      <w:bookmarkStart w:id="1316" w:name="_bookmark232"/>
      <w:bookmarkEnd w:id="1316"/>
      <w:r>
        <w:rPr>
          <w:rFonts w:hint="eastAsia" w:ascii="宋体" w:hAnsi="宋体" w:cs="宋体"/>
          <w:color w:val="auto"/>
          <w:szCs w:val="21"/>
          <w:highlight w:val="none"/>
        </w:rPr>
        <w:t>17.7 竣工财务决算</w:t>
      </w:r>
    </w:p>
    <w:p w14:paraId="5190C7DE">
      <w:pPr>
        <w:spacing w:line="360" w:lineRule="auto"/>
        <w:ind w:firstLine="399"/>
        <w:rPr>
          <w:rFonts w:ascii="宋体" w:hAnsi="宋体" w:cs="宋体"/>
          <w:color w:val="auto"/>
          <w:szCs w:val="21"/>
          <w:highlight w:val="none"/>
        </w:rPr>
      </w:pPr>
      <w:r>
        <w:rPr>
          <w:rFonts w:hint="eastAsia" w:ascii="宋体" w:hAnsi="宋体" w:cs="宋体"/>
          <w:color w:val="auto"/>
          <w:szCs w:val="21"/>
          <w:highlight w:val="none"/>
        </w:rPr>
        <w:t>承包人应为竣工财务决算编制提供的资料：</w:t>
      </w:r>
      <w:r>
        <w:rPr>
          <w:rFonts w:hint="eastAsia" w:ascii="宋体" w:hAnsi="宋体" w:cs="宋体"/>
          <w:color w:val="auto"/>
          <w:szCs w:val="21"/>
          <w:highlight w:val="none"/>
          <w:u w:val="single"/>
        </w:rPr>
        <w:t>按现行《水利基本建设项目竣工财务决算编制规程》(SL19-2014)及相关法律、法规和规章制度执行，完整竣工资料五套</w:t>
      </w:r>
      <w:r>
        <w:rPr>
          <w:rFonts w:hint="eastAsia" w:ascii="宋体" w:hAnsi="宋体" w:cs="宋体"/>
          <w:color w:val="auto"/>
          <w:szCs w:val="21"/>
          <w:highlight w:val="none"/>
        </w:rPr>
        <w:t>。</w:t>
      </w:r>
    </w:p>
    <w:p w14:paraId="3A507793">
      <w:pPr>
        <w:pStyle w:val="4"/>
        <w:spacing w:before="0" w:after="0" w:line="360" w:lineRule="auto"/>
        <w:rPr>
          <w:rFonts w:ascii="宋体" w:hAnsi="宋体" w:cs="宋体"/>
          <w:color w:val="auto"/>
          <w:sz w:val="21"/>
          <w:szCs w:val="21"/>
          <w:highlight w:val="none"/>
        </w:rPr>
      </w:pPr>
      <w:bookmarkStart w:id="1317" w:name="_Toc9170"/>
      <w:r>
        <w:rPr>
          <w:rFonts w:hint="eastAsia" w:ascii="宋体" w:hAnsi="宋体" w:cs="宋体"/>
          <w:color w:val="auto"/>
          <w:sz w:val="21"/>
          <w:szCs w:val="21"/>
          <w:highlight w:val="none"/>
        </w:rPr>
        <w:t>18.竣工验收（验收）</w:t>
      </w:r>
      <w:bookmarkEnd w:id="1303"/>
      <w:bookmarkEnd w:id="1304"/>
      <w:bookmarkEnd w:id="1305"/>
      <w:bookmarkEnd w:id="1306"/>
      <w:bookmarkEnd w:id="1307"/>
      <w:bookmarkEnd w:id="1308"/>
      <w:bookmarkEnd w:id="1317"/>
    </w:p>
    <w:p w14:paraId="3C0819C5">
      <w:pPr>
        <w:spacing w:line="360" w:lineRule="auto"/>
        <w:outlineLvl w:val="3"/>
        <w:rPr>
          <w:rFonts w:ascii="宋体" w:hAnsi="宋体" w:cs="宋体"/>
          <w:color w:val="auto"/>
          <w:szCs w:val="21"/>
          <w:highlight w:val="none"/>
        </w:rPr>
      </w:pPr>
      <w:bookmarkStart w:id="1318" w:name="_Toc21054"/>
      <w:bookmarkStart w:id="1319" w:name="_Toc24047"/>
      <w:bookmarkStart w:id="1320" w:name="_Toc12396053"/>
      <w:bookmarkStart w:id="1321" w:name="bookmark1834"/>
      <w:bookmarkStart w:id="1322" w:name="bookmark1831"/>
      <w:bookmarkStart w:id="1323" w:name="bookmark1832"/>
      <w:r>
        <w:rPr>
          <w:rFonts w:hint="eastAsia" w:ascii="宋体" w:hAnsi="宋体" w:cs="宋体"/>
          <w:color w:val="auto"/>
          <w:szCs w:val="21"/>
          <w:highlight w:val="none"/>
        </w:rPr>
        <w:t>18.1验收工作分类</w:t>
      </w:r>
    </w:p>
    <w:p w14:paraId="1DD16C7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根据《水利工程建设项目验收管理规定》(水利部令第30号)和《水利水电建设工程验收规程》(SL223)2008)的相关规定执行。</w:t>
      </w:r>
    </w:p>
    <w:p w14:paraId="063AD92A">
      <w:pPr>
        <w:spacing w:line="360" w:lineRule="auto"/>
        <w:outlineLvl w:val="3"/>
        <w:rPr>
          <w:rFonts w:ascii="宋体" w:hAnsi="宋体" w:cs="宋体"/>
          <w:color w:val="auto"/>
          <w:szCs w:val="21"/>
          <w:highlight w:val="none"/>
        </w:rPr>
      </w:pPr>
      <w:bookmarkStart w:id="1324" w:name="_bookmark235"/>
      <w:bookmarkEnd w:id="1324"/>
      <w:r>
        <w:rPr>
          <w:rFonts w:hint="eastAsia" w:ascii="宋体" w:hAnsi="宋体" w:cs="宋体"/>
          <w:color w:val="auto"/>
          <w:szCs w:val="21"/>
          <w:highlight w:val="none"/>
        </w:rPr>
        <w:t>18.2分部工程验收</w:t>
      </w:r>
    </w:p>
    <w:p w14:paraId="1AA9E21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18.2.2本工程由发包人主持的分部工程验收为：</w:t>
      </w:r>
      <w:r>
        <w:rPr>
          <w:rFonts w:hint="eastAsia" w:ascii="宋体" w:hAnsi="宋体" w:cs="宋体"/>
          <w:color w:val="auto"/>
          <w:szCs w:val="21"/>
          <w:highlight w:val="none"/>
          <w:u w:val="single"/>
        </w:rPr>
        <w:t xml:space="preserve">按验收相关规定执行 </w:t>
      </w:r>
      <w:r>
        <w:rPr>
          <w:rFonts w:hint="eastAsia" w:ascii="宋体" w:hAnsi="宋体" w:cs="宋体"/>
          <w:color w:val="auto"/>
          <w:szCs w:val="21"/>
          <w:highlight w:val="none"/>
        </w:rPr>
        <w:t>，其余由监理主持。</w:t>
      </w:r>
    </w:p>
    <w:p w14:paraId="02548C24">
      <w:pPr>
        <w:spacing w:line="360" w:lineRule="auto"/>
        <w:outlineLvl w:val="3"/>
        <w:rPr>
          <w:rFonts w:ascii="宋体" w:hAnsi="宋体" w:cs="宋体"/>
          <w:color w:val="auto"/>
          <w:szCs w:val="21"/>
          <w:highlight w:val="none"/>
        </w:rPr>
      </w:pPr>
      <w:bookmarkStart w:id="1325" w:name="_bookmark236"/>
      <w:bookmarkEnd w:id="1325"/>
      <w:r>
        <w:rPr>
          <w:rFonts w:hint="eastAsia" w:ascii="宋体" w:hAnsi="宋体" w:cs="宋体"/>
          <w:color w:val="auto"/>
          <w:szCs w:val="21"/>
          <w:highlight w:val="none"/>
        </w:rPr>
        <w:t>18.3单位工程验收</w:t>
      </w:r>
    </w:p>
    <w:p w14:paraId="0091027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18.3.4提前投入使用的单位工程包括：</w:t>
      </w:r>
      <w:r>
        <w:rPr>
          <w:rFonts w:hint="eastAsia" w:ascii="宋体" w:hAnsi="宋体" w:cs="宋体"/>
          <w:color w:val="auto"/>
          <w:szCs w:val="21"/>
          <w:highlight w:val="none"/>
          <w:u w:val="single"/>
        </w:rPr>
        <w:t>按相关规范规定</w:t>
      </w:r>
      <w:r>
        <w:rPr>
          <w:rFonts w:hint="eastAsia" w:ascii="宋体" w:hAnsi="宋体" w:cs="宋体"/>
          <w:color w:val="auto"/>
          <w:szCs w:val="21"/>
          <w:highlight w:val="none"/>
        </w:rPr>
        <w:t>。</w:t>
      </w:r>
    </w:p>
    <w:p w14:paraId="56196534">
      <w:pPr>
        <w:spacing w:line="360" w:lineRule="auto"/>
        <w:outlineLvl w:val="3"/>
        <w:rPr>
          <w:rFonts w:ascii="宋体" w:hAnsi="宋体" w:cs="宋体"/>
          <w:color w:val="auto"/>
          <w:szCs w:val="21"/>
          <w:highlight w:val="none"/>
        </w:rPr>
      </w:pPr>
      <w:bookmarkStart w:id="1326" w:name="_bookmark237"/>
      <w:bookmarkEnd w:id="1326"/>
      <w:r>
        <w:rPr>
          <w:rFonts w:hint="eastAsia" w:ascii="宋体" w:hAnsi="宋体" w:cs="宋体"/>
          <w:color w:val="auto"/>
          <w:szCs w:val="21"/>
          <w:highlight w:val="none"/>
        </w:rPr>
        <w:t>18.5阶段验收</w:t>
      </w:r>
    </w:p>
    <w:p w14:paraId="274C6D0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18.5.1本合同工程阶段验收类别包括：</w:t>
      </w:r>
      <w:r>
        <w:rPr>
          <w:rFonts w:hint="eastAsia" w:ascii="宋体" w:hAnsi="宋体" w:cs="宋体"/>
          <w:color w:val="auto"/>
          <w:szCs w:val="21"/>
          <w:highlight w:val="none"/>
          <w:u w:val="single"/>
        </w:rPr>
        <w:t>按相关规范规定</w:t>
      </w:r>
      <w:r>
        <w:rPr>
          <w:rFonts w:hint="eastAsia" w:ascii="宋体" w:hAnsi="宋体" w:cs="宋体"/>
          <w:color w:val="auto"/>
          <w:szCs w:val="21"/>
          <w:highlight w:val="none"/>
        </w:rPr>
        <w:t>。</w:t>
      </w:r>
    </w:p>
    <w:p w14:paraId="39FF76EA">
      <w:pPr>
        <w:spacing w:line="360" w:lineRule="auto"/>
        <w:outlineLvl w:val="3"/>
        <w:rPr>
          <w:rFonts w:ascii="宋体" w:hAnsi="宋体" w:cs="宋体"/>
          <w:color w:val="auto"/>
          <w:szCs w:val="21"/>
          <w:highlight w:val="none"/>
        </w:rPr>
      </w:pPr>
      <w:bookmarkStart w:id="1327" w:name="_bookmark238"/>
      <w:bookmarkEnd w:id="1327"/>
      <w:r>
        <w:rPr>
          <w:rFonts w:hint="eastAsia" w:ascii="宋体" w:hAnsi="宋体" w:cs="宋体"/>
          <w:color w:val="auto"/>
          <w:szCs w:val="21"/>
          <w:highlight w:val="none"/>
        </w:rPr>
        <w:t>18.6专项验收</w:t>
      </w:r>
    </w:p>
    <w:p w14:paraId="1881D2E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18.6.2本合同工程专项验收类别包括：</w:t>
      </w:r>
      <w:r>
        <w:rPr>
          <w:rFonts w:hint="eastAsia" w:ascii="宋体" w:hAnsi="宋体" w:cs="宋体"/>
          <w:color w:val="auto"/>
          <w:szCs w:val="21"/>
          <w:highlight w:val="none"/>
          <w:u w:val="single"/>
        </w:rPr>
        <w:t>按相关规范规定</w:t>
      </w:r>
      <w:r>
        <w:rPr>
          <w:rFonts w:hint="eastAsia" w:ascii="宋体" w:hAnsi="宋体" w:cs="宋体"/>
          <w:color w:val="auto"/>
          <w:szCs w:val="21"/>
          <w:highlight w:val="none"/>
        </w:rPr>
        <w:t>。</w:t>
      </w:r>
    </w:p>
    <w:p w14:paraId="47842D2D">
      <w:pPr>
        <w:spacing w:line="360" w:lineRule="auto"/>
        <w:outlineLvl w:val="3"/>
        <w:rPr>
          <w:rFonts w:ascii="宋体" w:hAnsi="宋体" w:cs="宋体"/>
          <w:color w:val="auto"/>
          <w:szCs w:val="21"/>
          <w:highlight w:val="none"/>
        </w:rPr>
      </w:pPr>
      <w:bookmarkStart w:id="1328" w:name="_bookmark239"/>
      <w:bookmarkEnd w:id="1328"/>
      <w:r>
        <w:rPr>
          <w:rFonts w:hint="eastAsia" w:ascii="宋体" w:hAnsi="宋体" w:cs="宋体"/>
          <w:color w:val="auto"/>
          <w:szCs w:val="21"/>
          <w:highlight w:val="none"/>
        </w:rPr>
        <w:t>18.8施工期运行</w:t>
      </w:r>
    </w:p>
    <w:p w14:paraId="34C5E19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18.8.1需要在施工期运行的单位工程或工程设备为：</w:t>
      </w:r>
      <w:r>
        <w:rPr>
          <w:rFonts w:hint="eastAsia" w:ascii="宋体" w:hAnsi="宋体" w:cs="宋体"/>
          <w:color w:val="auto"/>
          <w:szCs w:val="21"/>
          <w:highlight w:val="none"/>
          <w:u w:val="single"/>
        </w:rPr>
        <w:t>按相关规范规定</w:t>
      </w:r>
      <w:r>
        <w:rPr>
          <w:rFonts w:hint="eastAsia" w:ascii="宋体" w:hAnsi="宋体" w:cs="宋体"/>
          <w:color w:val="auto"/>
          <w:szCs w:val="21"/>
          <w:highlight w:val="none"/>
        </w:rPr>
        <w:t>。</w:t>
      </w:r>
    </w:p>
    <w:p w14:paraId="266CAB03">
      <w:pPr>
        <w:spacing w:line="360" w:lineRule="auto"/>
        <w:outlineLvl w:val="3"/>
        <w:rPr>
          <w:rFonts w:ascii="宋体" w:hAnsi="宋体" w:cs="宋体"/>
          <w:color w:val="auto"/>
          <w:szCs w:val="21"/>
          <w:highlight w:val="none"/>
        </w:rPr>
      </w:pPr>
      <w:bookmarkStart w:id="1329" w:name="_bookmark240"/>
      <w:bookmarkEnd w:id="1329"/>
      <w:r>
        <w:rPr>
          <w:rFonts w:hint="eastAsia" w:ascii="宋体" w:hAnsi="宋体" w:cs="宋体"/>
          <w:color w:val="auto"/>
          <w:szCs w:val="21"/>
          <w:highlight w:val="none"/>
        </w:rPr>
        <w:t>18.9试运行</w:t>
      </w:r>
    </w:p>
    <w:p w14:paraId="31E9524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18.9.1试运行的组织：</w:t>
      </w:r>
      <w:r>
        <w:rPr>
          <w:rFonts w:hint="eastAsia" w:ascii="宋体" w:hAnsi="宋体" w:cs="宋体"/>
          <w:color w:val="auto"/>
          <w:szCs w:val="21"/>
          <w:highlight w:val="none"/>
          <w:u w:val="single"/>
        </w:rPr>
        <w:t>发包人或委托监理人</w:t>
      </w:r>
      <w:r>
        <w:rPr>
          <w:rFonts w:hint="eastAsia" w:ascii="宋体" w:hAnsi="宋体" w:cs="宋体"/>
          <w:color w:val="auto"/>
          <w:szCs w:val="21"/>
          <w:highlight w:val="none"/>
        </w:rPr>
        <w:t>；费用承担：</w:t>
      </w:r>
      <w:r>
        <w:rPr>
          <w:rFonts w:hint="eastAsia" w:ascii="宋体" w:hAnsi="宋体" w:cs="宋体"/>
          <w:color w:val="auto"/>
          <w:szCs w:val="21"/>
          <w:highlight w:val="none"/>
          <w:u w:val="single"/>
        </w:rPr>
        <w:t>承包人，发包人不另行支付</w:t>
      </w:r>
      <w:r>
        <w:rPr>
          <w:rFonts w:hint="eastAsia" w:ascii="宋体" w:hAnsi="宋体" w:cs="宋体"/>
          <w:color w:val="auto"/>
          <w:szCs w:val="21"/>
          <w:highlight w:val="none"/>
        </w:rPr>
        <w:t>。</w:t>
      </w:r>
    </w:p>
    <w:p w14:paraId="5F07475C">
      <w:pPr>
        <w:pStyle w:val="4"/>
        <w:spacing w:before="0" w:after="0" w:line="360" w:lineRule="auto"/>
        <w:rPr>
          <w:rFonts w:ascii="宋体" w:hAnsi="宋体" w:cs="宋体"/>
          <w:color w:val="auto"/>
          <w:sz w:val="21"/>
          <w:szCs w:val="21"/>
          <w:highlight w:val="none"/>
        </w:rPr>
      </w:pPr>
      <w:bookmarkStart w:id="1330" w:name="_Toc2344"/>
      <w:r>
        <w:rPr>
          <w:rFonts w:hint="eastAsia" w:ascii="宋体" w:hAnsi="宋体" w:cs="宋体"/>
          <w:color w:val="auto"/>
          <w:sz w:val="21"/>
          <w:szCs w:val="21"/>
          <w:highlight w:val="none"/>
        </w:rPr>
        <w:t>19. 缺陷责任与保修责任</w:t>
      </w:r>
      <w:bookmarkEnd w:id="1318"/>
      <w:bookmarkEnd w:id="1319"/>
      <w:bookmarkEnd w:id="1320"/>
      <w:bookmarkEnd w:id="1321"/>
      <w:bookmarkEnd w:id="1322"/>
      <w:bookmarkEnd w:id="1323"/>
      <w:bookmarkEnd w:id="1330"/>
    </w:p>
    <w:p w14:paraId="35498A23">
      <w:pPr>
        <w:spacing w:line="360" w:lineRule="auto"/>
        <w:outlineLvl w:val="3"/>
        <w:rPr>
          <w:rFonts w:ascii="宋体" w:hAnsi="宋体" w:cs="宋体"/>
          <w:color w:val="auto"/>
          <w:szCs w:val="21"/>
          <w:highlight w:val="none"/>
        </w:rPr>
      </w:pPr>
      <w:r>
        <w:rPr>
          <w:rFonts w:hint="eastAsia" w:ascii="宋体" w:hAnsi="宋体" w:cs="宋体"/>
          <w:color w:val="auto"/>
          <w:szCs w:val="21"/>
          <w:highlight w:val="none"/>
        </w:rPr>
        <w:t>19.1缺陷责任期(工程质量保修期)的起算时间</w:t>
      </w:r>
    </w:p>
    <w:p w14:paraId="614521E7">
      <w:pPr>
        <w:pStyle w:val="523"/>
        <w:ind w:firstLine="440"/>
        <w:rPr>
          <w:color w:val="auto"/>
          <w:szCs w:val="21"/>
          <w:highlight w:val="none"/>
        </w:rPr>
      </w:pPr>
      <w:r>
        <w:rPr>
          <w:rFonts w:hint="eastAsia"/>
          <w:color w:val="auto"/>
          <w:szCs w:val="21"/>
          <w:highlight w:val="none"/>
          <w:lang w:val="en-US" w:bidi="en-US"/>
        </w:rPr>
        <w:t>本工程缺陷责任期(工程质量保修)计算如下：起算日按缺陷责任期（工程质量保修期）从工程通过合同工程完工验收后开始计算，终止日按合同工程通过完工验收之日起一年。房屋建筑工程维修部分有规范要求按其要求。</w:t>
      </w:r>
    </w:p>
    <w:p w14:paraId="343275CF">
      <w:pPr>
        <w:spacing w:line="360" w:lineRule="auto"/>
        <w:outlineLvl w:val="3"/>
        <w:rPr>
          <w:rFonts w:ascii="宋体" w:hAnsi="宋体" w:cs="宋体"/>
          <w:color w:val="auto"/>
          <w:szCs w:val="21"/>
          <w:highlight w:val="none"/>
        </w:rPr>
      </w:pPr>
      <w:bookmarkStart w:id="1331" w:name="_bookmark243"/>
      <w:bookmarkEnd w:id="1331"/>
      <w:r>
        <w:rPr>
          <w:rFonts w:hint="eastAsia" w:ascii="宋体" w:hAnsi="宋体" w:cs="宋体"/>
          <w:color w:val="auto"/>
          <w:szCs w:val="21"/>
          <w:highlight w:val="none"/>
        </w:rPr>
        <w:t>19.7 保修责任</w:t>
      </w:r>
    </w:p>
    <w:p w14:paraId="0EDE4657">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本合同工程的保修期为：</w:t>
      </w:r>
      <w:r>
        <w:rPr>
          <w:rFonts w:hint="eastAsia" w:ascii="宋体" w:hAnsi="宋体" w:cs="宋体"/>
          <w:color w:val="auto"/>
          <w:szCs w:val="21"/>
          <w:highlight w:val="none"/>
          <w:u w:val="single"/>
        </w:rPr>
        <w:t>合同工程通过完工验收之日起一年，房屋建筑工程维修部分有规范要求按其要求。</w:t>
      </w:r>
    </w:p>
    <w:p w14:paraId="003D3DAB">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保修范围：</w:t>
      </w:r>
      <w:r>
        <w:rPr>
          <w:rFonts w:hint="eastAsia" w:ascii="宋体" w:hAnsi="宋体" w:cs="宋体"/>
          <w:color w:val="auto"/>
          <w:szCs w:val="21"/>
          <w:highlight w:val="none"/>
          <w:u w:val="single"/>
        </w:rPr>
        <w:t>合同工程全部内容</w:t>
      </w:r>
      <w:r>
        <w:rPr>
          <w:rFonts w:hint="eastAsia" w:ascii="宋体" w:hAnsi="宋体" w:cs="宋体"/>
          <w:color w:val="auto"/>
          <w:szCs w:val="21"/>
          <w:highlight w:val="none"/>
        </w:rPr>
        <w:t>。</w:t>
      </w:r>
    </w:p>
    <w:p w14:paraId="4873763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保修责任：</w:t>
      </w:r>
      <w:r>
        <w:rPr>
          <w:rFonts w:hint="eastAsia" w:ascii="宋体" w:hAnsi="宋体" w:cs="宋体"/>
          <w:color w:val="auto"/>
          <w:szCs w:val="21"/>
          <w:highlight w:val="none"/>
          <w:u w:val="single"/>
        </w:rPr>
        <w:t>由承包人负责并承担相关的一切费用</w:t>
      </w:r>
      <w:r>
        <w:rPr>
          <w:rFonts w:hint="eastAsia" w:ascii="宋体" w:hAnsi="宋体" w:cs="宋体"/>
          <w:color w:val="auto"/>
          <w:szCs w:val="21"/>
          <w:highlight w:val="none"/>
        </w:rPr>
        <w:t>。</w:t>
      </w:r>
    </w:p>
    <w:p w14:paraId="108B7640">
      <w:pPr>
        <w:pStyle w:val="4"/>
        <w:spacing w:before="0" w:after="0" w:line="360" w:lineRule="auto"/>
        <w:rPr>
          <w:rFonts w:ascii="宋体" w:hAnsi="宋体" w:cs="宋体"/>
          <w:color w:val="auto"/>
          <w:sz w:val="21"/>
          <w:szCs w:val="21"/>
          <w:highlight w:val="none"/>
        </w:rPr>
      </w:pPr>
      <w:bookmarkStart w:id="1332" w:name="bookmark1840"/>
      <w:bookmarkEnd w:id="1332"/>
      <w:bookmarkStart w:id="1333" w:name="_Toc3197"/>
      <w:bookmarkStart w:id="1334" w:name="_Toc5968"/>
      <w:bookmarkStart w:id="1335" w:name="bookmark1841"/>
      <w:bookmarkStart w:id="1336" w:name="_Toc2823"/>
      <w:bookmarkStart w:id="1337" w:name="_Toc1232196276"/>
      <w:bookmarkStart w:id="1338" w:name="bookmark1838"/>
      <w:bookmarkStart w:id="1339" w:name="bookmark1839"/>
      <w:r>
        <w:rPr>
          <w:rFonts w:hint="eastAsia" w:ascii="宋体" w:hAnsi="宋体" w:cs="宋体"/>
          <w:color w:val="auto"/>
          <w:sz w:val="21"/>
          <w:szCs w:val="21"/>
          <w:highlight w:val="none"/>
        </w:rPr>
        <w:t>20. 保险</w:t>
      </w:r>
      <w:bookmarkEnd w:id="1333"/>
      <w:bookmarkEnd w:id="1334"/>
      <w:bookmarkEnd w:id="1335"/>
      <w:bookmarkEnd w:id="1336"/>
      <w:bookmarkEnd w:id="1337"/>
    </w:p>
    <w:p w14:paraId="51443BAF">
      <w:pPr>
        <w:pStyle w:val="5"/>
        <w:spacing w:before="0" w:line="360" w:lineRule="auto"/>
        <w:jc w:val="both"/>
        <w:rPr>
          <w:rFonts w:ascii="宋体" w:hAnsi="宋体" w:cs="宋体"/>
          <w:color w:val="auto"/>
          <w:sz w:val="21"/>
          <w:szCs w:val="21"/>
          <w:highlight w:val="none"/>
        </w:rPr>
      </w:pPr>
      <w:bookmarkStart w:id="1340" w:name="bookmark1842"/>
      <w:r>
        <w:rPr>
          <w:rFonts w:hint="eastAsia" w:ascii="宋体" w:hAnsi="宋体" w:cs="宋体"/>
          <w:color w:val="auto"/>
          <w:sz w:val="21"/>
          <w:szCs w:val="21"/>
          <w:highlight w:val="none"/>
        </w:rPr>
        <w:t>20.1工程保险</w:t>
      </w:r>
      <w:bookmarkEnd w:id="1338"/>
      <w:bookmarkEnd w:id="1339"/>
      <w:bookmarkEnd w:id="1340"/>
    </w:p>
    <w:p w14:paraId="41B27886">
      <w:pPr>
        <w:spacing w:line="360" w:lineRule="auto"/>
        <w:ind w:firstLine="400"/>
        <w:rPr>
          <w:rFonts w:ascii="宋体" w:hAnsi="宋体" w:cs="宋体"/>
          <w:color w:val="auto"/>
          <w:szCs w:val="21"/>
          <w:highlight w:val="none"/>
        </w:rPr>
      </w:pPr>
      <w:bookmarkStart w:id="1341" w:name="bookmark1844"/>
      <w:bookmarkStart w:id="1342" w:name="bookmark1843"/>
      <w:bookmarkStart w:id="1343" w:name="bookmark1845"/>
      <w:r>
        <w:rPr>
          <w:rFonts w:hint="eastAsia" w:ascii="宋体" w:hAnsi="宋体" w:cs="宋体"/>
          <w:snapToGrid w:val="0"/>
          <w:color w:val="auto"/>
          <w:szCs w:val="21"/>
          <w:highlight w:val="none"/>
        </w:rPr>
        <w:t>建筑工程一切险和（或）安装工程一切险投保人：</w:t>
      </w:r>
      <w:r>
        <w:rPr>
          <w:rFonts w:hint="eastAsia" w:ascii="宋体" w:hAnsi="宋体" w:cs="宋体"/>
          <w:snapToGrid w:val="0"/>
          <w:color w:val="auto"/>
          <w:szCs w:val="21"/>
          <w:highlight w:val="none"/>
          <w:u w:val="single"/>
        </w:rPr>
        <w:t>承包人</w:t>
      </w:r>
      <w:r>
        <w:rPr>
          <w:rFonts w:hint="eastAsia" w:ascii="宋体" w:hAnsi="宋体" w:cs="宋体"/>
          <w:snapToGrid w:val="0"/>
          <w:color w:val="auto"/>
          <w:szCs w:val="21"/>
          <w:highlight w:val="none"/>
        </w:rPr>
        <w:t>；</w:t>
      </w:r>
      <w:r>
        <w:rPr>
          <w:rFonts w:hint="eastAsia" w:ascii="宋体" w:hAnsi="宋体" w:cs="宋体"/>
          <w:color w:val="auto"/>
          <w:szCs w:val="21"/>
          <w:highlight w:val="none"/>
        </w:rPr>
        <w:t>工程保险范围：</w:t>
      </w:r>
      <w:r>
        <w:rPr>
          <w:rFonts w:hint="eastAsia" w:ascii="宋体" w:hAnsi="宋体" w:cs="宋体"/>
          <w:color w:val="auto"/>
          <w:szCs w:val="21"/>
          <w:highlight w:val="none"/>
          <w:u w:val="single"/>
        </w:rPr>
        <w:t>本合同全部工程</w:t>
      </w:r>
      <w:r>
        <w:rPr>
          <w:rFonts w:hint="eastAsia" w:ascii="宋体" w:hAnsi="宋体" w:cs="宋体"/>
          <w:color w:val="auto"/>
          <w:szCs w:val="21"/>
          <w:highlight w:val="none"/>
        </w:rPr>
        <w:t>；保险金额：</w:t>
      </w:r>
      <w:r>
        <w:rPr>
          <w:rFonts w:hint="eastAsia" w:ascii="宋体" w:hAnsi="宋体" w:cs="宋体"/>
          <w:color w:val="auto"/>
          <w:szCs w:val="21"/>
          <w:highlight w:val="none"/>
          <w:u w:val="single"/>
        </w:rPr>
        <w:t>本合同工程造价</w:t>
      </w:r>
      <w:r>
        <w:rPr>
          <w:rFonts w:hint="eastAsia" w:ascii="宋体" w:hAnsi="宋体" w:cs="宋体"/>
          <w:color w:val="auto"/>
          <w:szCs w:val="21"/>
          <w:highlight w:val="none"/>
        </w:rPr>
        <w:t>；保险期限：</w:t>
      </w:r>
      <w:r>
        <w:rPr>
          <w:rFonts w:hint="eastAsia" w:ascii="宋体" w:hAnsi="宋体" w:cs="宋体"/>
          <w:color w:val="auto"/>
          <w:szCs w:val="21"/>
          <w:highlight w:val="none"/>
          <w:u w:val="single"/>
        </w:rPr>
        <w:t>开工之日起直至本合同工程签发缺陷责任期终止证书止(即合同工期+缺陷责任期)</w:t>
      </w:r>
      <w:r>
        <w:rPr>
          <w:rFonts w:hint="eastAsia" w:ascii="宋体" w:hAnsi="宋体" w:cs="宋体"/>
          <w:snapToGrid w:val="0"/>
          <w:color w:val="auto"/>
          <w:szCs w:val="21"/>
          <w:highlight w:val="none"/>
        </w:rPr>
        <w:t>。</w:t>
      </w:r>
    </w:p>
    <w:p w14:paraId="76C67F3F">
      <w:pPr>
        <w:pStyle w:val="5"/>
        <w:spacing w:before="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20.4第三者责任险</w:t>
      </w:r>
      <w:bookmarkEnd w:id="1341"/>
      <w:bookmarkEnd w:id="1342"/>
      <w:bookmarkEnd w:id="1343"/>
    </w:p>
    <w:p w14:paraId="380C9A89">
      <w:pPr>
        <w:spacing w:line="360" w:lineRule="auto"/>
        <w:ind w:firstLine="420" w:firstLineChars="200"/>
        <w:rPr>
          <w:rFonts w:ascii="宋体" w:hAnsi="宋体" w:cs="宋体"/>
          <w:color w:val="auto"/>
          <w:szCs w:val="21"/>
          <w:highlight w:val="none"/>
        </w:rPr>
      </w:pPr>
      <w:bookmarkStart w:id="1344" w:name="bookmark1847"/>
      <w:bookmarkStart w:id="1345" w:name="bookmark1846"/>
      <w:bookmarkStart w:id="1346" w:name="bookmark1848"/>
      <w:r>
        <w:rPr>
          <w:rFonts w:hint="eastAsia" w:ascii="宋体" w:hAnsi="宋体" w:cs="宋体"/>
          <w:color w:val="auto"/>
          <w:szCs w:val="21"/>
          <w:highlight w:val="none"/>
        </w:rPr>
        <w:t>20.4.2 第三者责任险保险费率：</w:t>
      </w:r>
      <w:r>
        <w:rPr>
          <w:rFonts w:hint="eastAsia" w:ascii="宋体" w:hAnsi="宋体" w:cs="宋体"/>
          <w:color w:val="auto"/>
          <w:szCs w:val="21"/>
          <w:highlight w:val="none"/>
          <w:u w:val="single"/>
        </w:rPr>
        <w:t>由承包人自行投保</w:t>
      </w:r>
      <w:r>
        <w:rPr>
          <w:rFonts w:hint="eastAsia" w:ascii="宋体" w:hAnsi="宋体" w:cs="宋体"/>
          <w:color w:val="auto"/>
          <w:szCs w:val="21"/>
          <w:highlight w:val="none"/>
        </w:rPr>
        <w:t>；第三者责任险保险金额：</w:t>
      </w:r>
      <w:r>
        <w:rPr>
          <w:rFonts w:hint="eastAsia" w:ascii="宋体" w:hAnsi="宋体" w:cs="宋体"/>
          <w:color w:val="auto"/>
          <w:szCs w:val="21"/>
          <w:highlight w:val="none"/>
          <w:u w:val="single"/>
        </w:rPr>
        <w:t>由承包人自行确定</w:t>
      </w:r>
      <w:r>
        <w:rPr>
          <w:rFonts w:hint="eastAsia" w:ascii="宋体" w:hAnsi="宋体" w:cs="宋体"/>
          <w:color w:val="auto"/>
          <w:szCs w:val="21"/>
          <w:highlight w:val="none"/>
        </w:rPr>
        <w:t>。</w:t>
      </w:r>
    </w:p>
    <w:p w14:paraId="56913CFB">
      <w:pPr>
        <w:pStyle w:val="5"/>
        <w:spacing w:before="0" w:line="360" w:lineRule="auto"/>
        <w:jc w:val="both"/>
        <w:rPr>
          <w:rFonts w:ascii="宋体" w:hAnsi="宋体" w:cs="宋体"/>
          <w:color w:val="auto"/>
          <w:sz w:val="21"/>
          <w:szCs w:val="21"/>
          <w:highlight w:val="none"/>
        </w:rPr>
      </w:pPr>
      <w:r>
        <w:rPr>
          <w:rFonts w:hint="eastAsia" w:ascii="宋体" w:hAnsi="宋体" w:cs="宋体"/>
          <w:color w:val="auto"/>
          <w:sz w:val="21"/>
          <w:szCs w:val="21"/>
          <w:highlight w:val="none"/>
        </w:rPr>
        <w:t>20.5其他保险</w:t>
      </w:r>
      <w:bookmarkEnd w:id="1344"/>
      <w:bookmarkEnd w:id="1345"/>
      <w:bookmarkEnd w:id="1346"/>
    </w:p>
    <w:p w14:paraId="1CDD4067">
      <w:pPr>
        <w:widowControl/>
        <w:kinsoku w:val="0"/>
        <w:autoSpaceDE w:val="0"/>
        <w:autoSpaceDN w:val="0"/>
        <w:adjustRightInd w:val="0"/>
        <w:snapToGrid w:val="0"/>
        <w:spacing w:line="360" w:lineRule="auto"/>
        <w:ind w:firstLine="420" w:firstLineChars="200"/>
        <w:textAlignment w:val="baseline"/>
        <w:rPr>
          <w:rFonts w:ascii="宋体" w:hAnsi="宋体" w:cs="宋体"/>
          <w:snapToGrid w:val="0"/>
          <w:color w:val="auto"/>
          <w:szCs w:val="21"/>
          <w:highlight w:val="none"/>
        </w:rPr>
      </w:pPr>
      <w:r>
        <w:rPr>
          <w:rFonts w:hint="eastAsia" w:ascii="宋体" w:hAnsi="宋体" w:cs="宋体"/>
          <w:snapToGrid w:val="0"/>
          <w:color w:val="auto"/>
          <w:szCs w:val="21"/>
          <w:highlight w:val="none"/>
        </w:rPr>
        <w:t>需要投保的其他内容：承包人应对其所属人员、临时设施、施工设备、进场的材料、工程设备等购买保险，包括但不限于建筑意外伤害险、工伤事故险、人身意外伤害险和安全生产责任险等，相关费用包含在投标报价中，发包人不再另行支付；其中人身意外伤害险每人赔偿责任限额不低于人民币50万元，人身意外伤害保险的保险期限自投保之日（工程进场施工之日）起至工程完工（或投入使用）验收时止，时间上涵盖施工全过程的任一时段。</w:t>
      </w:r>
    </w:p>
    <w:p w14:paraId="6EFC7360">
      <w:pPr>
        <w:widowControl/>
        <w:kinsoku w:val="0"/>
        <w:autoSpaceDE w:val="0"/>
        <w:autoSpaceDN w:val="0"/>
        <w:adjustRightInd w:val="0"/>
        <w:snapToGrid w:val="0"/>
        <w:spacing w:line="360" w:lineRule="auto"/>
        <w:ind w:firstLine="420" w:firstLineChars="200"/>
        <w:textAlignment w:val="baseline"/>
        <w:rPr>
          <w:rFonts w:ascii="宋体" w:hAnsi="宋体" w:cs="宋体"/>
          <w:snapToGrid w:val="0"/>
          <w:color w:val="auto"/>
          <w:szCs w:val="21"/>
          <w:highlight w:val="none"/>
        </w:rPr>
      </w:pPr>
      <w:r>
        <w:rPr>
          <w:rFonts w:hint="eastAsia" w:ascii="宋体" w:hAnsi="宋体" w:cs="宋体"/>
          <w:snapToGrid w:val="0"/>
          <w:color w:val="auto"/>
          <w:szCs w:val="21"/>
          <w:highlight w:val="none"/>
        </w:rPr>
        <w:t>鉴于本合同工程各工种调动频繁、用工流动性大等特点，投保实行不记名和不计人数的方式，一旦该工程项目发生人员意外伤害，只要是在该工程发生的，都应该由保险公司在保险责任范围内负责赔付。承包人应为相关人员申请保险赔付提供必要的证明材料；如承包人无法提供保险理赔所需材料或不在保险理赔范围内的，承包人应自行全额承担相关赔偿责任。</w:t>
      </w:r>
    </w:p>
    <w:p w14:paraId="65E32069">
      <w:pPr>
        <w:pStyle w:val="493"/>
        <w:snapToGrid w:val="0"/>
        <w:spacing w:line="360" w:lineRule="auto"/>
        <w:ind w:firstLine="420" w:firstLineChars="200"/>
        <w:rPr>
          <w:rFonts w:ascii="宋体" w:hAnsi="宋体"/>
          <w:color w:val="auto"/>
          <w:highlight w:val="none"/>
        </w:rPr>
      </w:pPr>
      <w:r>
        <w:rPr>
          <w:rFonts w:hint="eastAsia" w:ascii="宋体" w:hAnsi="宋体"/>
          <w:snapToGrid w:val="0"/>
          <w:color w:val="auto"/>
          <w:highlight w:val="none"/>
        </w:rPr>
        <w:t>承包人要依法投保安全生产责任险，接受保险机构事故预防服务，落实问题整改。保险期限应涵盖施工期，安责险保险责任应包括承包人因生产安全事故造成的从业人员（含劳务分包单位从业人员、劳务派遣人员、灵活用工等）人身伤亡赔偿，第三者人身伤亡和财产损失赔偿，事故抢险救援、医疗救护、事故鉴定、法律诉讼等费用。</w:t>
      </w:r>
    </w:p>
    <w:p w14:paraId="555F43C5">
      <w:pPr>
        <w:pStyle w:val="5"/>
        <w:spacing w:before="0" w:line="360" w:lineRule="auto"/>
        <w:jc w:val="both"/>
        <w:rPr>
          <w:rFonts w:ascii="宋体" w:hAnsi="宋体" w:cs="宋体"/>
          <w:color w:val="auto"/>
          <w:sz w:val="21"/>
          <w:szCs w:val="21"/>
          <w:highlight w:val="none"/>
        </w:rPr>
      </w:pPr>
      <w:bookmarkStart w:id="1347" w:name="bookmark1849"/>
      <w:bookmarkStart w:id="1348" w:name="bookmark1851"/>
      <w:bookmarkStart w:id="1349" w:name="bookmark1850"/>
      <w:r>
        <w:rPr>
          <w:rFonts w:hint="eastAsia" w:ascii="宋体" w:hAnsi="宋体" w:cs="宋体"/>
          <w:color w:val="auto"/>
          <w:sz w:val="21"/>
          <w:szCs w:val="21"/>
          <w:highlight w:val="none"/>
        </w:rPr>
        <w:t>20.6对各项保险的一般要求</w:t>
      </w:r>
      <w:bookmarkEnd w:id="1347"/>
      <w:bookmarkEnd w:id="1348"/>
      <w:bookmarkEnd w:id="1349"/>
    </w:p>
    <w:p w14:paraId="42B7BE6C">
      <w:pPr>
        <w:spacing w:line="360" w:lineRule="auto"/>
        <w:rPr>
          <w:rFonts w:ascii="宋体" w:hAnsi="宋体" w:cs="宋体"/>
          <w:color w:val="auto"/>
          <w:szCs w:val="21"/>
          <w:highlight w:val="none"/>
        </w:rPr>
      </w:pPr>
      <w:r>
        <w:rPr>
          <w:rFonts w:hint="eastAsia" w:ascii="宋体" w:hAnsi="宋体" w:cs="宋体"/>
          <w:color w:val="auto"/>
          <w:szCs w:val="21"/>
          <w:highlight w:val="none"/>
        </w:rPr>
        <w:t>20.6.1保险凭证</w:t>
      </w:r>
    </w:p>
    <w:p w14:paraId="1E11179E">
      <w:pPr>
        <w:spacing w:line="360" w:lineRule="auto"/>
        <w:ind w:firstLine="424" w:firstLineChars="202"/>
        <w:rPr>
          <w:rFonts w:ascii="宋体" w:hAnsi="宋体" w:cs="宋体"/>
          <w:color w:val="auto"/>
          <w:szCs w:val="21"/>
          <w:highlight w:val="none"/>
        </w:rPr>
      </w:pPr>
      <w:r>
        <w:rPr>
          <w:rFonts w:hint="eastAsia" w:ascii="宋体" w:hAnsi="宋体" w:cs="宋体"/>
          <w:color w:val="auto"/>
          <w:szCs w:val="21"/>
          <w:highlight w:val="none"/>
        </w:rPr>
        <w:t>承包人提交保险凭证的期限：</w:t>
      </w:r>
      <w:r>
        <w:rPr>
          <w:rFonts w:hint="eastAsia" w:ascii="宋体" w:hAnsi="宋体" w:cs="宋体"/>
          <w:color w:val="auto"/>
          <w:szCs w:val="21"/>
          <w:highlight w:val="none"/>
          <w:u w:val="single"/>
        </w:rPr>
        <w:t>项目开工前</w:t>
      </w:r>
      <w:r>
        <w:rPr>
          <w:rFonts w:hint="eastAsia" w:ascii="宋体" w:hAnsi="宋体" w:cs="宋体"/>
          <w:color w:val="auto"/>
          <w:szCs w:val="21"/>
          <w:highlight w:val="none"/>
        </w:rPr>
        <w:t>；保险条件：</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w:t>
      </w:r>
    </w:p>
    <w:p w14:paraId="10C3CED6">
      <w:pPr>
        <w:spacing w:line="360" w:lineRule="auto"/>
        <w:rPr>
          <w:rFonts w:ascii="宋体" w:hAnsi="宋体" w:cs="宋体"/>
          <w:color w:val="auto"/>
          <w:szCs w:val="21"/>
          <w:highlight w:val="none"/>
        </w:rPr>
      </w:pPr>
      <w:r>
        <w:rPr>
          <w:rFonts w:hint="eastAsia" w:ascii="宋体" w:hAnsi="宋体" w:cs="宋体"/>
          <w:color w:val="auto"/>
          <w:szCs w:val="21"/>
          <w:highlight w:val="none"/>
        </w:rPr>
        <w:t>20.6.4保险金不足的补偿</w:t>
      </w:r>
    </w:p>
    <w:p w14:paraId="42E29154">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承包人负责补偿的范围与金额：</w:t>
      </w:r>
      <w:r>
        <w:rPr>
          <w:rFonts w:hint="eastAsia" w:ascii="宋体" w:hAnsi="宋体" w:cs="宋体"/>
          <w:snapToGrid w:val="0"/>
          <w:color w:val="auto"/>
          <w:szCs w:val="21"/>
          <w:highlight w:val="none"/>
          <w:u w:val="single"/>
        </w:rPr>
        <w:t>合同规定由承包人投保的范围，相关的补偿金额由承包人自行负责</w:t>
      </w:r>
      <w:r>
        <w:rPr>
          <w:rFonts w:hint="eastAsia" w:ascii="宋体" w:hAnsi="宋体" w:cs="宋体"/>
          <w:color w:val="auto"/>
          <w:szCs w:val="21"/>
          <w:highlight w:val="none"/>
        </w:rPr>
        <w:t>；发包人负责补偿的范围与金额：</w:t>
      </w:r>
      <w:r>
        <w:rPr>
          <w:rFonts w:hint="eastAsia" w:ascii="宋体" w:hAnsi="宋体" w:cs="宋体"/>
          <w:color w:val="auto"/>
          <w:szCs w:val="21"/>
          <w:highlight w:val="none"/>
          <w:u w:val="single"/>
        </w:rPr>
        <w:t>无</w:t>
      </w:r>
      <w:r>
        <w:rPr>
          <w:rFonts w:hint="eastAsia" w:ascii="宋体" w:hAnsi="宋体" w:cs="宋体"/>
          <w:color w:val="auto"/>
          <w:szCs w:val="21"/>
          <w:highlight w:val="none"/>
        </w:rPr>
        <w:t>。</w:t>
      </w:r>
    </w:p>
    <w:p w14:paraId="08EE1617">
      <w:pPr>
        <w:pStyle w:val="4"/>
        <w:spacing w:before="0" w:after="0" w:line="360" w:lineRule="auto"/>
        <w:rPr>
          <w:rFonts w:ascii="宋体" w:hAnsi="宋体" w:cs="宋体"/>
          <w:color w:val="auto"/>
          <w:sz w:val="21"/>
          <w:szCs w:val="21"/>
          <w:highlight w:val="none"/>
        </w:rPr>
      </w:pPr>
      <w:bookmarkStart w:id="1350" w:name="bookmark1854"/>
      <w:bookmarkEnd w:id="1350"/>
      <w:bookmarkStart w:id="1351" w:name="_Toc524831815"/>
      <w:bookmarkStart w:id="1352" w:name="_Toc1207"/>
      <w:bookmarkStart w:id="1353" w:name="bookmark1855"/>
      <w:bookmarkStart w:id="1354" w:name="_Toc13643"/>
      <w:bookmarkStart w:id="1355" w:name="_Toc31045"/>
      <w:bookmarkStart w:id="1356" w:name="bookmark1853"/>
      <w:bookmarkStart w:id="1357" w:name="bookmark1852"/>
      <w:r>
        <w:rPr>
          <w:rFonts w:hint="eastAsia" w:ascii="宋体" w:hAnsi="宋体" w:cs="宋体"/>
          <w:color w:val="auto"/>
          <w:sz w:val="21"/>
          <w:szCs w:val="21"/>
          <w:highlight w:val="none"/>
        </w:rPr>
        <w:t>21. 不可抗力</w:t>
      </w:r>
      <w:bookmarkEnd w:id="1351"/>
      <w:bookmarkEnd w:id="1352"/>
      <w:bookmarkEnd w:id="1353"/>
      <w:bookmarkEnd w:id="1354"/>
      <w:bookmarkEnd w:id="1355"/>
    </w:p>
    <w:p w14:paraId="30D22A47">
      <w:pPr>
        <w:pStyle w:val="5"/>
        <w:spacing w:before="0" w:line="360" w:lineRule="auto"/>
        <w:jc w:val="both"/>
        <w:rPr>
          <w:rFonts w:ascii="宋体" w:hAnsi="宋体" w:cs="宋体"/>
          <w:color w:val="auto"/>
          <w:sz w:val="21"/>
          <w:szCs w:val="21"/>
          <w:highlight w:val="none"/>
        </w:rPr>
      </w:pPr>
      <w:bookmarkStart w:id="1358" w:name="bookmark1856"/>
      <w:r>
        <w:rPr>
          <w:rFonts w:hint="eastAsia" w:ascii="宋体" w:hAnsi="宋体" w:cs="宋体"/>
          <w:color w:val="auto"/>
          <w:sz w:val="21"/>
          <w:szCs w:val="21"/>
          <w:highlight w:val="none"/>
        </w:rPr>
        <w:t>21.1不可抗力的确认</w:t>
      </w:r>
      <w:bookmarkEnd w:id="1356"/>
      <w:bookmarkEnd w:id="1357"/>
      <w:bookmarkEnd w:id="1358"/>
    </w:p>
    <w:p w14:paraId="09ACA8EF">
      <w:pPr>
        <w:pStyle w:val="523"/>
        <w:ind w:firstLine="440"/>
        <w:rPr>
          <w:color w:val="auto"/>
          <w:szCs w:val="21"/>
          <w:highlight w:val="none"/>
        </w:rPr>
      </w:pPr>
      <w:r>
        <w:rPr>
          <w:rFonts w:hint="eastAsia"/>
          <w:color w:val="auto"/>
          <w:szCs w:val="21"/>
          <w:highlight w:val="none"/>
          <w:lang w:val="en-US" w:bidi="en-US"/>
        </w:rPr>
        <w:t>21.1.1</w:t>
      </w:r>
      <w:r>
        <w:rPr>
          <w:rFonts w:hint="eastAsia"/>
          <w:color w:val="auto"/>
          <w:szCs w:val="21"/>
          <w:highlight w:val="none"/>
        </w:rPr>
        <w:t>不可抗力是指承包人和发包人在订立合同时不可预见，在工程施工过程中不可避免发生并不能克服的自然灾害和社会性突发事件，如地震、海啸、瘟疫、水灾、骚乱、 暴动、战争和本合同专用合同条款第</w:t>
      </w:r>
      <w:r>
        <w:rPr>
          <w:rFonts w:hint="eastAsia"/>
          <w:color w:val="auto"/>
          <w:szCs w:val="21"/>
          <w:highlight w:val="none"/>
          <w:lang w:val="en-US" w:bidi="en-US"/>
        </w:rPr>
        <w:t>11.</w:t>
      </w:r>
      <w:r>
        <w:rPr>
          <w:rFonts w:hint="eastAsia"/>
          <w:color w:val="auto"/>
          <w:szCs w:val="21"/>
          <w:highlight w:val="none"/>
        </w:rPr>
        <w:t>4款的约定。</w:t>
      </w:r>
    </w:p>
    <w:p w14:paraId="3FD982B6">
      <w:pPr>
        <w:pStyle w:val="4"/>
        <w:spacing w:before="0" w:after="0" w:line="360" w:lineRule="auto"/>
        <w:rPr>
          <w:rFonts w:ascii="宋体" w:hAnsi="宋体" w:cs="宋体"/>
          <w:color w:val="auto"/>
          <w:sz w:val="21"/>
          <w:szCs w:val="21"/>
          <w:highlight w:val="none"/>
        </w:rPr>
      </w:pPr>
      <w:bookmarkStart w:id="1359" w:name="bookmark1857"/>
      <w:bookmarkStart w:id="1360" w:name="bookmark1858"/>
      <w:bookmarkStart w:id="1361" w:name="_Toc2281"/>
      <w:bookmarkStart w:id="1362" w:name="bookmark1859"/>
      <w:bookmarkStart w:id="1363" w:name="_Toc6892"/>
      <w:bookmarkStart w:id="1364" w:name="_Toc1462298219"/>
      <w:bookmarkStart w:id="1365" w:name="_Toc17737"/>
      <w:r>
        <w:rPr>
          <w:rFonts w:hint="eastAsia" w:ascii="宋体" w:hAnsi="宋体" w:cs="宋体"/>
          <w:color w:val="auto"/>
          <w:sz w:val="21"/>
          <w:szCs w:val="21"/>
          <w:highlight w:val="none"/>
        </w:rPr>
        <w:t>24. 争议的解决</w:t>
      </w:r>
      <w:bookmarkEnd w:id="1359"/>
      <w:bookmarkEnd w:id="1360"/>
      <w:bookmarkEnd w:id="1361"/>
      <w:bookmarkEnd w:id="1362"/>
      <w:bookmarkEnd w:id="1363"/>
      <w:bookmarkEnd w:id="1364"/>
      <w:bookmarkEnd w:id="1365"/>
    </w:p>
    <w:p w14:paraId="16784833">
      <w:pPr>
        <w:pStyle w:val="5"/>
        <w:spacing w:before="0" w:line="360" w:lineRule="auto"/>
        <w:jc w:val="both"/>
        <w:rPr>
          <w:rFonts w:ascii="宋体" w:hAnsi="宋体" w:cs="宋体"/>
          <w:color w:val="auto"/>
          <w:sz w:val="21"/>
          <w:szCs w:val="21"/>
          <w:highlight w:val="none"/>
        </w:rPr>
      </w:pPr>
      <w:bookmarkStart w:id="1366" w:name="bookmark1861"/>
      <w:bookmarkStart w:id="1367" w:name="bookmark1860"/>
      <w:bookmarkStart w:id="1368" w:name="bookmark1862"/>
      <w:r>
        <w:rPr>
          <w:rFonts w:hint="eastAsia" w:ascii="宋体" w:hAnsi="宋体" w:cs="宋体"/>
          <w:color w:val="auto"/>
          <w:sz w:val="21"/>
          <w:szCs w:val="21"/>
          <w:highlight w:val="none"/>
        </w:rPr>
        <w:t>24.1争议的解决方式</w:t>
      </w:r>
      <w:bookmarkEnd w:id="1366"/>
      <w:bookmarkEnd w:id="1367"/>
      <w:bookmarkEnd w:id="1368"/>
    </w:p>
    <w:p w14:paraId="1F769C54">
      <w:pPr>
        <w:spacing w:line="360" w:lineRule="auto"/>
        <w:ind w:firstLine="422"/>
        <w:rPr>
          <w:rFonts w:ascii="宋体" w:hAnsi="宋体" w:cs="宋体"/>
          <w:color w:val="auto"/>
          <w:szCs w:val="21"/>
          <w:highlight w:val="none"/>
        </w:rPr>
      </w:pPr>
      <w:r>
        <w:rPr>
          <w:rFonts w:hint="eastAsia" w:ascii="宋体" w:hAnsi="宋体" w:cs="宋体"/>
          <w:color w:val="auto"/>
          <w:szCs w:val="21"/>
          <w:highlight w:val="none"/>
        </w:rPr>
        <w:t>合同当事人友好协商解决不成、不愿提请争议评审或不接受争议评审组意见的，约定的合同争议解决方式：</w:t>
      </w:r>
      <w:r>
        <w:rPr>
          <w:rFonts w:hint="eastAsia" w:ascii="宋体" w:hAnsi="宋体" w:cs="宋体"/>
          <w:color w:val="auto"/>
          <w:szCs w:val="21"/>
          <w:highlight w:val="none"/>
          <w:u w:val="single"/>
        </w:rPr>
        <w:t>向合浦县人民法院提起诉讼</w:t>
      </w:r>
      <w:r>
        <w:rPr>
          <w:rFonts w:hint="eastAsia" w:ascii="宋体" w:hAnsi="宋体" w:cs="宋体"/>
          <w:color w:val="auto"/>
          <w:szCs w:val="21"/>
          <w:highlight w:val="none"/>
        </w:rPr>
        <w:t>。</w:t>
      </w:r>
    </w:p>
    <w:p w14:paraId="24580727">
      <w:pPr>
        <w:pStyle w:val="4"/>
        <w:spacing w:before="0" w:after="0" w:line="360" w:lineRule="auto"/>
        <w:rPr>
          <w:rFonts w:ascii="宋体" w:hAnsi="宋体" w:cs="宋体"/>
          <w:color w:val="auto"/>
          <w:sz w:val="21"/>
          <w:szCs w:val="21"/>
          <w:highlight w:val="none"/>
        </w:rPr>
      </w:pPr>
      <w:bookmarkStart w:id="1369" w:name="_Toc30466"/>
      <w:bookmarkStart w:id="1370" w:name="_Toc1422214741"/>
      <w:bookmarkStart w:id="1371" w:name="bookmark1865"/>
      <w:bookmarkStart w:id="1372" w:name="bookmark1864"/>
      <w:bookmarkStart w:id="1373" w:name="bookmark1863"/>
      <w:bookmarkStart w:id="1374" w:name="_Toc26089"/>
      <w:bookmarkStart w:id="1375" w:name="_Toc2801"/>
      <w:r>
        <w:rPr>
          <w:rFonts w:hint="eastAsia" w:ascii="宋体" w:hAnsi="宋体" w:cs="宋体"/>
          <w:color w:val="auto"/>
          <w:sz w:val="21"/>
          <w:szCs w:val="21"/>
          <w:highlight w:val="none"/>
        </w:rPr>
        <w:t>25. 附加条款</w:t>
      </w:r>
      <w:bookmarkEnd w:id="1369"/>
      <w:bookmarkEnd w:id="1370"/>
      <w:bookmarkEnd w:id="1371"/>
      <w:bookmarkEnd w:id="1372"/>
      <w:bookmarkEnd w:id="1373"/>
      <w:bookmarkEnd w:id="1374"/>
      <w:bookmarkEnd w:id="1375"/>
    </w:p>
    <w:p w14:paraId="60172554">
      <w:pPr>
        <w:ind w:firstLine="630" w:firstLineChars="300"/>
        <w:rPr>
          <w:color w:val="auto"/>
          <w:highlight w:val="none"/>
        </w:rPr>
      </w:pPr>
      <w:r>
        <w:rPr>
          <w:rFonts w:hint="eastAsia"/>
          <w:color w:val="auto"/>
          <w:highlight w:val="none"/>
        </w:rPr>
        <w:t>25.1对承包人的要求</w:t>
      </w:r>
    </w:p>
    <w:p w14:paraId="72FFF043">
      <w:pPr>
        <w:spacing w:line="360" w:lineRule="auto"/>
        <w:ind w:firstLine="455"/>
        <w:rPr>
          <w:rFonts w:ascii="宋体" w:hAnsi="宋体" w:cs="宋体"/>
          <w:color w:val="auto"/>
          <w:szCs w:val="21"/>
          <w:highlight w:val="none"/>
        </w:rPr>
      </w:pPr>
      <w:bookmarkStart w:id="1376" w:name="_Toc10268"/>
      <w:bookmarkStart w:id="1377" w:name="_Toc14930"/>
      <w:bookmarkStart w:id="1378" w:name="bookmark1893"/>
      <w:bookmarkStart w:id="1379" w:name="bookmark1892"/>
      <w:bookmarkStart w:id="1380" w:name="bookmark1891"/>
      <w:r>
        <w:rPr>
          <w:rFonts w:hint="eastAsia" w:ascii="宋体" w:hAnsi="宋体" w:cs="宋体"/>
          <w:color w:val="auto"/>
          <w:szCs w:val="21"/>
          <w:highlight w:val="none"/>
        </w:rPr>
        <w:t>（1）因承包人的原因造成施工进度计划滞后，承包人均应按发包人和监理人的指示，采取有效措施赶上进度。若施工进度仍然满足不了发包人的要求，视为承包人已经构成违约，发包人可通知承包人解除合同。发包人可在发出通知 5 天后派员进驻工地直接监管工程,使用承包人设备、临时工程和材料，另行组织人员或委托其他承包人施工，但发包人的这一行为不免除承包人按合同规定应负的责任。</w:t>
      </w:r>
    </w:p>
    <w:p w14:paraId="5FB137FE">
      <w:pPr>
        <w:spacing w:line="360" w:lineRule="auto"/>
        <w:ind w:firstLine="438"/>
        <w:rPr>
          <w:rFonts w:ascii="宋体" w:hAnsi="宋体" w:cs="宋体"/>
          <w:color w:val="auto"/>
          <w:szCs w:val="21"/>
          <w:highlight w:val="none"/>
        </w:rPr>
      </w:pPr>
      <w:r>
        <w:rPr>
          <w:rFonts w:hint="eastAsia" w:ascii="宋体" w:hAnsi="宋体" w:cs="宋体"/>
          <w:color w:val="auto"/>
          <w:szCs w:val="21"/>
          <w:highlight w:val="none"/>
        </w:rPr>
        <w:t>（2）遵守国务院《建设工程质量管理条例》，根据水利部、自治区和水利厅的有关质量管理规定，建立健全质量管理机构，结合工程实际制定完善的可操作性强的质量管理制度，施工质量等级达到合同约定等级。</w:t>
      </w:r>
    </w:p>
    <w:p w14:paraId="2CBDFCA4">
      <w:pPr>
        <w:spacing w:line="360" w:lineRule="auto"/>
        <w:ind w:firstLine="440"/>
        <w:rPr>
          <w:rFonts w:ascii="宋体" w:hAnsi="宋体" w:cs="宋体"/>
          <w:color w:val="auto"/>
          <w:szCs w:val="21"/>
          <w:highlight w:val="none"/>
        </w:rPr>
      </w:pPr>
      <w:r>
        <w:rPr>
          <w:rFonts w:hint="eastAsia" w:ascii="宋体" w:hAnsi="宋体" w:cs="宋体"/>
          <w:color w:val="auto"/>
          <w:szCs w:val="21"/>
          <w:highlight w:val="none"/>
        </w:rPr>
        <w:t>（3）按国家《中华人民共和国生产安全法》、《建设工程安全生产管理条例》、自治区安全生产法规和水利水电工程施工安全操作规程的规定建立健全安全管理机构和安全管理制度，采取安全施工保障措施保障工程施工安全。</w:t>
      </w:r>
    </w:p>
    <w:p w14:paraId="0F91F29A">
      <w:pPr>
        <w:spacing w:line="360" w:lineRule="auto"/>
        <w:ind w:firstLine="437"/>
        <w:rPr>
          <w:rFonts w:ascii="宋体" w:hAnsi="宋体" w:cs="宋体"/>
          <w:color w:val="auto"/>
          <w:szCs w:val="21"/>
          <w:highlight w:val="none"/>
        </w:rPr>
      </w:pPr>
      <w:r>
        <w:rPr>
          <w:rFonts w:hint="eastAsia" w:ascii="宋体" w:hAnsi="宋体" w:cs="宋体"/>
          <w:color w:val="auto"/>
          <w:szCs w:val="21"/>
          <w:highlight w:val="none"/>
        </w:rPr>
        <w:t>（4）按有关施工规程规范及本招标文件技术条款进行组织施工并实施施工过程和移交前工程保护措施。</w:t>
      </w:r>
    </w:p>
    <w:p w14:paraId="6D14BB4F">
      <w:pPr>
        <w:spacing w:line="360" w:lineRule="auto"/>
        <w:ind w:firstLine="442"/>
        <w:rPr>
          <w:rFonts w:ascii="宋体" w:hAnsi="宋体" w:cs="宋体"/>
          <w:color w:val="auto"/>
          <w:szCs w:val="21"/>
          <w:highlight w:val="none"/>
        </w:rPr>
      </w:pPr>
      <w:r>
        <w:rPr>
          <w:rFonts w:hint="eastAsia" w:ascii="宋体" w:hAnsi="宋体" w:cs="宋体"/>
          <w:color w:val="auto"/>
          <w:szCs w:val="21"/>
          <w:highlight w:val="none"/>
        </w:rPr>
        <w:t>（5）承包人违约有以下情况之一者，发包人有权采取合同规定的以下措施处理，并视情节轻重处予违约金。</w:t>
      </w:r>
    </w:p>
    <w:p w14:paraId="4F62BCD6">
      <w:pPr>
        <w:spacing w:line="360" w:lineRule="auto"/>
        <w:ind w:firstLine="440"/>
        <w:rPr>
          <w:rFonts w:ascii="宋体" w:hAnsi="宋体" w:cs="宋体"/>
          <w:color w:val="auto"/>
          <w:szCs w:val="21"/>
          <w:highlight w:val="none"/>
        </w:rPr>
      </w:pPr>
      <w:r>
        <w:rPr>
          <w:rFonts w:hint="eastAsia" w:ascii="宋体" w:hAnsi="宋体" w:cs="宋体"/>
          <w:color w:val="auto"/>
          <w:szCs w:val="21"/>
          <w:highlight w:val="none"/>
        </w:rPr>
        <w:t>①未经发包人批准，施工期内承包人调走主要施工技术人员(包括建造师、专业工程师)，经发现不及时调回的，违约金额为履约保证金金额的5%~20%(视情节严重而定)。</w:t>
      </w:r>
    </w:p>
    <w:p w14:paraId="19F33064">
      <w:pPr>
        <w:spacing w:line="360" w:lineRule="auto"/>
        <w:ind w:firstLine="439"/>
        <w:rPr>
          <w:rFonts w:ascii="宋体" w:hAnsi="宋体" w:cs="宋体"/>
          <w:color w:val="auto"/>
          <w:szCs w:val="21"/>
          <w:highlight w:val="none"/>
        </w:rPr>
      </w:pPr>
      <w:r>
        <w:rPr>
          <w:rFonts w:hint="eastAsia" w:ascii="宋体" w:hAnsi="宋体" w:cs="宋体"/>
          <w:color w:val="auto"/>
          <w:szCs w:val="21"/>
          <w:highlight w:val="none"/>
        </w:rPr>
        <w:t>②未经发包人批准，施工期内自行调走主要施工机械，经发现不及时调回的，违约金额为履约保证金金额的5%~20%(视情节严重而定)。</w:t>
      </w:r>
    </w:p>
    <w:p w14:paraId="21942D38">
      <w:pPr>
        <w:spacing w:line="360" w:lineRule="auto"/>
        <w:ind w:firstLine="441"/>
        <w:rPr>
          <w:rFonts w:ascii="宋体" w:hAnsi="宋体" w:cs="宋体"/>
          <w:color w:val="auto"/>
          <w:szCs w:val="21"/>
          <w:highlight w:val="none"/>
        </w:rPr>
      </w:pPr>
      <w:r>
        <w:rPr>
          <w:rFonts w:hint="eastAsia" w:ascii="宋体" w:hAnsi="宋体" w:cs="宋体"/>
          <w:color w:val="auto"/>
          <w:szCs w:val="21"/>
          <w:highlight w:val="none"/>
        </w:rPr>
        <w:t>③所有以上违约金额均在承包人的履约保证金(包括银行利息)及计量支付款内扣除，承包人履约保证金被扣除后， 由发包人从最后一次计量支付时扣相应金额补足履约保证金。</w:t>
      </w:r>
    </w:p>
    <w:p w14:paraId="4C977C5C">
      <w:pPr>
        <w:spacing w:line="360" w:lineRule="auto"/>
        <w:ind w:firstLine="441"/>
        <w:rPr>
          <w:rFonts w:ascii="宋体" w:hAnsi="宋体" w:cs="宋体"/>
          <w:color w:val="auto"/>
          <w:szCs w:val="21"/>
          <w:highlight w:val="none"/>
        </w:rPr>
      </w:pPr>
      <w:r>
        <w:rPr>
          <w:rFonts w:hint="eastAsia" w:ascii="宋体" w:hAnsi="宋体" w:cs="宋体"/>
          <w:color w:val="auto"/>
          <w:szCs w:val="21"/>
          <w:highlight w:val="none"/>
        </w:rPr>
        <w:t>④承包人的人员机械进场必须按照合同书或根据工程实际调整经监理人和发包人确认的人员和机械进场时间表进场，承包人不得拖延、调换或减少。主要机械的数量、型号和劳动力、材料的投入，应与合同相符，若发包人或建设主管部门认为合同规定的进场机械、材料和劳动力不能满足施工进度要求，有权指令承包人增加机械、材料和劳动力投入,承包人不得拒绝。</w:t>
      </w:r>
    </w:p>
    <w:p w14:paraId="6A8AA60B">
      <w:pPr>
        <w:spacing w:line="360" w:lineRule="auto"/>
        <w:ind w:firstLine="441"/>
        <w:rPr>
          <w:rFonts w:ascii="宋体" w:hAnsi="宋体" w:cs="宋体"/>
          <w:color w:val="auto"/>
          <w:szCs w:val="21"/>
          <w:highlight w:val="none"/>
        </w:rPr>
      </w:pPr>
      <w:r>
        <w:rPr>
          <w:rFonts w:hint="eastAsia" w:ascii="宋体" w:hAnsi="宋体" w:cs="宋体"/>
          <w:color w:val="auto"/>
          <w:szCs w:val="21"/>
          <w:highlight w:val="none"/>
        </w:rPr>
        <w:t>⑤合同签订之日起15日内，承包人无法按合同规定进场全部人员和机械时，作为承包人违约，发包人可解除合同，没收其全部履约保证金，另行发包工程。</w:t>
      </w:r>
    </w:p>
    <w:p w14:paraId="6410DEEB">
      <w:pPr>
        <w:spacing w:line="360" w:lineRule="auto"/>
        <w:ind w:firstLine="438"/>
        <w:rPr>
          <w:rFonts w:ascii="宋体" w:hAnsi="宋体" w:cs="宋体"/>
          <w:color w:val="auto"/>
          <w:szCs w:val="21"/>
          <w:highlight w:val="none"/>
        </w:rPr>
      </w:pPr>
      <w:r>
        <w:rPr>
          <w:rFonts w:hint="eastAsia" w:ascii="宋体" w:hAnsi="宋体" w:cs="宋体"/>
          <w:color w:val="auto"/>
          <w:szCs w:val="21"/>
          <w:highlight w:val="none"/>
        </w:rPr>
        <w:t>⑥合同履行过程中，承包人未按规定要求落实安全生产措施费用专款专用，挪用、扣减安全生产措施费用，且不服从发包人或监理人的安全生产管理，发包人有权对违反安全生产相关规定的行为处以罚款直至终止合同。</w:t>
      </w:r>
    </w:p>
    <w:p w14:paraId="7644BEE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（6）承包人生活设施及施工场地，应自费配备消防设备，防止火灾发生。</w:t>
      </w:r>
    </w:p>
    <w:p w14:paraId="465D76F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（7）承包人使用的劳动力均应进行保险，否则不准安排工作，禁止使用童工。</w:t>
      </w:r>
    </w:p>
    <w:p w14:paraId="0AA9DF17">
      <w:pPr>
        <w:spacing w:line="360" w:lineRule="auto"/>
        <w:ind w:firstLine="431"/>
        <w:rPr>
          <w:rFonts w:ascii="宋体" w:hAnsi="宋体" w:cs="宋体"/>
          <w:color w:val="auto"/>
          <w:szCs w:val="21"/>
          <w:highlight w:val="none"/>
        </w:rPr>
      </w:pPr>
      <w:r>
        <w:rPr>
          <w:rFonts w:hint="eastAsia" w:ascii="宋体" w:hAnsi="宋体" w:cs="宋体"/>
          <w:color w:val="auto"/>
          <w:szCs w:val="21"/>
          <w:highlight w:val="none"/>
        </w:rPr>
        <w:t>（8）凡招标文件的合同条件、技术规范、设计图纸没有明显提及或明显遗漏或明显错误的，应以国内现行规范解释为依据，或以国内惯例解释处理。承包人发现后应及时向监理工程师报告，防止造成损失，并不利用以上文件的含糊、遗漏、错误或缺点索取利益。</w:t>
      </w:r>
    </w:p>
    <w:p w14:paraId="31E02469">
      <w:pPr>
        <w:spacing w:line="360" w:lineRule="auto"/>
        <w:ind w:firstLine="401"/>
        <w:rPr>
          <w:rFonts w:ascii="宋体" w:hAnsi="宋体" w:cs="宋体"/>
          <w:color w:val="auto"/>
          <w:szCs w:val="21"/>
          <w:highlight w:val="none"/>
        </w:rPr>
      </w:pPr>
      <w:r>
        <w:rPr>
          <w:rFonts w:hint="eastAsia" w:ascii="宋体" w:hAnsi="宋体" w:cs="宋体"/>
          <w:color w:val="auto"/>
          <w:szCs w:val="21"/>
          <w:highlight w:val="none"/>
        </w:rPr>
        <w:t>（9）承包人未能按时完成当月合同进度计划70%工程量的，发包人有权自行组织施工，以不超过投标报价的2倍单价扣减承包人的进度款，支付自行组织施工完成的工程款。也 有权终止本合同并清退承包人，承包人须在10天内离场，否则发包人将强行撤出所有施工 设备，所造成的全部损失由承包人承担。</w:t>
      </w:r>
    </w:p>
    <w:p w14:paraId="7EE1ACAD">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10）有关主管部门及发包人检查发现问题时，承包人应按要求整改。在规定时间内不进行整改或整改无效的，发包人有权终止本施工合同并清退承包人。承包人须在10天内离场，否则发包人将强行撤出所有施工设备，所造成的全部损失由承包人承担。</w:t>
      </w:r>
    </w:p>
    <w:p w14:paraId="32AA759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25.2发包人所有付款(含预付款)均转入如下承包人单位基本账户：</w:t>
      </w:r>
    </w:p>
    <w:p w14:paraId="506CF3F2">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开户名称： </w:t>
      </w:r>
    </w:p>
    <w:p w14:paraId="7ED7748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银行账号： </w:t>
      </w:r>
    </w:p>
    <w:p w14:paraId="2A9F968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开户行： </w:t>
      </w:r>
    </w:p>
    <w:p w14:paraId="475D6C6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承包人单位基本账户发生改变时，承包人应书面通知(法定代表人签字并加盖单位电子公章)发包人。</w:t>
      </w:r>
    </w:p>
    <w:p w14:paraId="6614F60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25.3承包方应在施工合同签订后14天内提交所有工程报建报监资料，并按要求办理开工前相应手续，且所有施工签证等相关手续符合主管部门、地方的规定；工程过程中涉及的办证由承包方负责并承担相关费用，发包人协助承包人办理。</w:t>
      </w:r>
    </w:p>
    <w:p w14:paraId="4D2F2403">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25.4本工程取(弃)土运距费用包含办证费、加盖费、取土费、弃土费、处置费等一切相关费用，综合单价包干使用不作调整。</w:t>
      </w:r>
    </w:p>
    <w:p w14:paraId="24856D2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25.5本工程土方开挖已综合考虑施工条件，如承包人施工过程额外增加人工开挖比例，增加的费用由承包人负责，发包人不再另行支付。土方回填原则上尽量就近利用开挖料，不足部分从最近料场取土，承包人需做好土方平衡计划并报监理审核、报业主审批。</w:t>
      </w:r>
    </w:p>
    <w:p w14:paraId="2DB8E70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25.6因实施本工程而损坏原有的水利、市政设施的原状，恢复费用由承包人自行在报价中考虑，包含在投标报价中。</w:t>
      </w:r>
    </w:p>
    <w:p w14:paraId="2984C9E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25.7承包人负责拆除、清理已征用土地范围内的地上地下附属物，例如：旧基础、旧石墙、旧管道、杂物、竹木、蕉木、树木、树(竹)根、杂草、渡汛措施费用、安全防护费用等，该费用含在其他临时工程费中，实施过程中不再另行签证计算。</w:t>
      </w:r>
    </w:p>
    <w:p w14:paraId="6643214C">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25.8承包人逾期30日以上完工或连续3次以上未按约定进度计划完工的，发包人有权解除合同，如果发包人解除合同由此造成的一切损失概由承包人负责承担，并且承包人还应按本合同约定的逾期违约金标准向发包人支付违约金，如该违约金不足以弥补发包人损失的，承包人应承担继续赔偿的责任。发包人可从应向承包人支付的任何金额中扣除此项赔款费或以其他方式收回此款，此赔偿款的支付并不能解除承包人应完成工程的责任或合同规定的其他责任。此外，承包人若因此造成发包人被第三方索赔的，由此导致的损失或赔偿责任由承包人承担，同时承包人还应承担发包人因索赔或被索赔而导致的诉讼费、律师费等费用。</w:t>
      </w:r>
    </w:p>
    <w:p w14:paraId="3861542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25.9对于在施工过程中发生在因承包人原因造成工程质量达不到合同约定验收标准的，由此造成的损失由承包人承担，承包人还应在发包人要求的限期内整改至本合同约定的质量标准，并应向发包人缴纳工程质量达不到本合同约定的质量标准部分相应工程造价的10%的违约金，并不免除承包人的其他合同义务。如果承包人在发包人要求的期限内未能整改至符合合同约定验收标准的，则发包人有权对在该工程质量达不到本合同约定的质量标准的工程部位以后施工的工程不予计量和支付。</w:t>
      </w:r>
    </w:p>
    <w:p w14:paraId="08E61318">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于工程竣工验收时因承包人原因工程质量达不到本合同约定的质量标准的，承包人须在现场工程师要求限期内整改至本合同约定的质量标准，承担返工的相关费用，发包人还将对承包人处以中标价款10%的违约金。</w:t>
      </w:r>
    </w:p>
    <w:p w14:paraId="7D7738A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对于因上述整改而发生的费用由承包人承担，由此延误的工期不予顺延。</w:t>
      </w:r>
    </w:p>
    <w:p w14:paraId="61C5AD65">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25.10承包人因自身原因不按时或不完整地提交竣工验收备案完整资料，由承包人向发包人按每天人民币10000元支付违约金；若因此造成发包人损失或被第三方索赔的，由此导致的损失或赔偿责任由承包人承担，同时承包人还应承担发包人因索赔或被索赔而导致的诉讼费、律师费等费用。</w:t>
      </w:r>
    </w:p>
    <w:p w14:paraId="7799DB39">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25.11因承包人违约解除合同除本合同另有约定外，承包人存在以下任一情形的，发包人有权解除本合同，不予退还履约担保，并可要求承包人按本合同签约合同价总额的10%支付违约金，若因此造成发包人损失或被第三方索赔的，由此导致的损失或赔偿责任由承包人承担，同时承包人还应承担发包人因索赔或被索赔而导致的诉讼费、律师费等费用。发包人可从应向承包人支付的任何金额中扣除此项违约金及赔款费或以其他方式收回此款，此违约金和赔偿款的支付并不能解除承包人应完成工程的责任或合同规定的其他责任。</w:t>
      </w:r>
    </w:p>
    <w:p w14:paraId="647C0A3F">
      <w:pPr>
        <w:spacing w:line="360" w:lineRule="auto"/>
        <w:ind w:firstLine="400"/>
        <w:rPr>
          <w:rFonts w:ascii="宋体" w:hAnsi="宋体" w:cs="宋体"/>
          <w:color w:val="auto"/>
          <w:szCs w:val="21"/>
          <w:highlight w:val="none"/>
        </w:rPr>
      </w:pPr>
      <w:r>
        <w:rPr>
          <w:rFonts w:hint="eastAsia" w:ascii="宋体" w:hAnsi="宋体" w:cs="宋体"/>
          <w:color w:val="auto"/>
          <w:szCs w:val="21"/>
          <w:highlight w:val="none"/>
        </w:rPr>
        <w:t>①承包人无正当理由不按开工通知的要求及时进场组织施工和不按签订协议书时商定的进度计划有效地开展施工准备，造成工期延误达到30个日历天(包含本数)的；</w:t>
      </w:r>
    </w:p>
    <w:p w14:paraId="05A20C80">
      <w:pPr>
        <w:spacing w:line="360" w:lineRule="auto"/>
        <w:ind w:firstLine="400"/>
        <w:rPr>
          <w:rFonts w:ascii="宋体" w:hAnsi="宋体" w:cs="宋体"/>
          <w:color w:val="auto"/>
          <w:szCs w:val="21"/>
          <w:highlight w:val="none"/>
        </w:rPr>
      </w:pPr>
      <w:r>
        <w:rPr>
          <w:rFonts w:hint="eastAsia" w:ascii="宋体" w:hAnsi="宋体" w:cs="宋体"/>
          <w:color w:val="auto"/>
          <w:szCs w:val="21"/>
          <w:highlight w:val="none"/>
        </w:rPr>
        <w:t>②承包人违反本合同约定私自将合同或合同的任何部分或任何权利转让给其他人，或私自将工程或工程的一部分分包出去的；</w:t>
      </w:r>
    </w:p>
    <w:p w14:paraId="34C63669">
      <w:pPr>
        <w:spacing w:line="360" w:lineRule="auto"/>
        <w:ind w:firstLine="389"/>
        <w:rPr>
          <w:rFonts w:ascii="宋体" w:hAnsi="宋体" w:cs="宋体"/>
          <w:color w:val="auto"/>
          <w:szCs w:val="21"/>
          <w:highlight w:val="none"/>
        </w:rPr>
      </w:pPr>
      <w:r>
        <w:rPr>
          <w:rFonts w:hint="eastAsia" w:ascii="宋体" w:hAnsi="宋体" w:cs="宋体"/>
          <w:color w:val="auto"/>
          <w:szCs w:val="21"/>
          <w:highlight w:val="none"/>
        </w:rPr>
        <w:t>③未经监理人批准，承包人私自将已按响应文件承诺进入工地的工程设备、施工设备、临时工程或材料撤离工地的；</w:t>
      </w:r>
    </w:p>
    <w:p w14:paraId="33221E8E">
      <w:pPr>
        <w:spacing w:line="360" w:lineRule="auto"/>
        <w:ind w:firstLine="397"/>
        <w:rPr>
          <w:rFonts w:ascii="宋体" w:hAnsi="宋体" w:cs="宋体"/>
          <w:color w:val="auto"/>
          <w:szCs w:val="21"/>
          <w:highlight w:val="none"/>
        </w:rPr>
      </w:pPr>
      <w:r>
        <w:rPr>
          <w:rFonts w:hint="eastAsia" w:ascii="宋体" w:hAnsi="宋体" w:cs="宋体"/>
          <w:color w:val="auto"/>
          <w:szCs w:val="21"/>
          <w:highlight w:val="none"/>
        </w:rPr>
        <w:t>④由于承包人原因拒绝按合同进度计划及时完成合同规定的工程，而又未采取有效措施赶上进度，造成工期延误的；</w:t>
      </w:r>
    </w:p>
    <w:p w14:paraId="3EFB0135">
      <w:pPr>
        <w:spacing w:line="360" w:lineRule="auto"/>
        <w:ind w:firstLine="399"/>
        <w:rPr>
          <w:rFonts w:ascii="宋体" w:hAnsi="宋体" w:cs="宋体"/>
          <w:color w:val="auto"/>
          <w:szCs w:val="21"/>
          <w:highlight w:val="none"/>
        </w:rPr>
      </w:pPr>
      <w:r>
        <w:rPr>
          <w:rFonts w:hint="eastAsia" w:ascii="宋体" w:hAnsi="宋体" w:cs="宋体"/>
          <w:color w:val="auto"/>
          <w:szCs w:val="21"/>
          <w:highlight w:val="none"/>
        </w:rPr>
        <w:t>⑤承包人否认合同有效或拒绝履行合同规定的承包人义务，或由于法律、财务等原因导致承包人无法继续履行或实质上已停止履行合同的义务的；</w:t>
      </w:r>
    </w:p>
    <w:p w14:paraId="3E6A1D01">
      <w:pPr>
        <w:spacing w:line="360" w:lineRule="auto"/>
        <w:ind w:firstLine="399"/>
        <w:rPr>
          <w:rFonts w:ascii="宋体" w:hAnsi="宋体" w:cs="宋体"/>
          <w:color w:val="auto"/>
          <w:szCs w:val="21"/>
          <w:highlight w:val="none"/>
        </w:rPr>
      </w:pPr>
      <w:r>
        <w:rPr>
          <w:rFonts w:hint="eastAsia" w:ascii="宋体" w:hAnsi="宋体" w:cs="宋体"/>
          <w:color w:val="auto"/>
          <w:szCs w:val="21"/>
          <w:highlight w:val="none"/>
        </w:rPr>
        <w:t>⑥合同签订之日起十五日内，承包人无法按合同规定及响应文件的承诺进场经监理工程师认可的全部人员和机械的。</w:t>
      </w:r>
    </w:p>
    <w:p w14:paraId="07E78589">
      <w:pPr>
        <w:spacing w:line="360" w:lineRule="auto"/>
        <w:ind w:firstLine="399"/>
        <w:rPr>
          <w:rFonts w:ascii="宋体" w:hAnsi="宋体" w:cs="宋体"/>
          <w:color w:val="auto"/>
          <w:szCs w:val="21"/>
          <w:highlight w:val="none"/>
        </w:rPr>
      </w:pPr>
      <w:r>
        <w:rPr>
          <w:rFonts w:hint="eastAsia" w:ascii="宋体" w:hAnsi="宋体" w:cs="宋体"/>
          <w:color w:val="auto"/>
          <w:szCs w:val="21"/>
          <w:highlight w:val="none"/>
        </w:rPr>
        <w:t>⑦承包人有部分分包现象(其中包括冒充承包人下属单位的挂勾单位，凭口头协议参与施工的分包人及其他暗分包个体户)，一经发现核实，发包人将采取驱逐该暗分包人措施，并对承包人处予违约处罚金，违约处罚金金额为履约保证金金额的5%~20%(由发包人视情节严重而定)。</w:t>
      </w:r>
    </w:p>
    <w:p w14:paraId="57FA87E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25.12承包人应在本合同解除之日起15日内无条件退场，并妥善做好已完工程的保护和移交工作，承包人须按发包人要求在15天内将已购材料、设备、自有机械设备和人员撤出施工场地(发包人同意继续使用的除外)并移交工程资料文件，以上所发生的费用由承包人承担。如延期退场超过10天以上的，对超过10天部分，每逾期一天向发包人支付人民币20000元的违约金，若造成发包人损失的，承包人还应承担相应的赔偿责任。</w:t>
      </w:r>
    </w:p>
    <w:p w14:paraId="413C660F">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承包人须在退场后30天内与发包人共同对其已完成的工程量(承包人负责提供质量合格的证明)进行现场计量，否则以发包人的计量、核算为准。对于承包人已完成的合格工程，在完成结算审定后30天内发包人向承包人支付工程尾款(扣除质量保证金)，扣留的质量保留金当整体工程质保期结束后按本合同约定支付；对于承包人已完成但质量不合格的工程，发包人无须向承包人支付工程款。已经订货的材料、设备由订货方负责退货或解除订货合同，不能退还的货款和因退货、解除订货合同发生的费用，由承包人承担，因未及时退货造成的损失由承包人承担。</w:t>
      </w:r>
    </w:p>
    <w:p w14:paraId="45242FAE">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25.13承包人所编制的本工程项目竣工结算书造价总值的真实性必须在审核确定工程造价总值100%~106%以内。若承包人所送审的结算书造价总值超过审核确定工程造价总值的106%以上的，所产生的核减造价值部分的审核服务费由承包人100%责任承担并支付。若承包人不配合给予办理支付，承包人在申办工程款业务时，发包人有权拒绝办理。</w:t>
      </w:r>
    </w:p>
    <w:p w14:paraId="18460513">
      <w:pPr>
        <w:spacing w:line="360" w:lineRule="auto"/>
        <w:ind w:firstLine="420" w:firstLineChars="200"/>
        <w:rPr>
          <w:rFonts w:asciiTheme="minorEastAsia" w:hAnsiTheme="minorEastAsia" w:eastAsiaTheme="minorEastAsia" w:cstheme="minorEastAsia"/>
          <w:color w:val="auto"/>
          <w:szCs w:val="21"/>
          <w:highlight w:val="none"/>
        </w:rPr>
      </w:pPr>
      <w:r>
        <w:rPr>
          <w:rFonts w:hint="eastAsia" w:ascii="宋体" w:hAnsi="宋体" w:cs="宋体"/>
          <w:color w:val="auto"/>
          <w:szCs w:val="21"/>
          <w:highlight w:val="none"/>
        </w:rPr>
        <w:t>25.14除本合同另有约定外，承包人在本合同中作出虚假陈述或保证，或未按照本合同的约定履行义务，均构成违约，承包人应赔偿由此给发包人造成的全部损失，包括但不限于直接经济损失、可预见间接经济损失、为实现债权而发生的费用(包括但不限于诉讼费、律师代理费、鉴定费、公</w:t>
      </w:r>
      <w:r>
        <w:rPr>
          <w:rFonts w:hint="eastAsia" w:asciiTheme="minorEastAsia" w:hAnsiTheme="minorEastAsia" w:eastAsiaTheme="minorEastAsia" w:cstheme="minorEastAsia"/>
          <w:color w:val="auto"/>
          <w:szCs w:val="21"/>
          <w:highlight w:val="none"/>
        </w:rPr>
        <w:t>证费、合理调查费、保全费、诉讼财产保全责任保险费及执行费等)。</w:t>
      </w:r>
    </w:p>
    <w:p w14:paraId="513D5BBB">
      <w:pPr>
        <w:ind w:firstLine="420" w:firstLineChars="200"/>
        <w:rPr>
          <w:color w:val="auto"/>
          <w:highlight w:val="none"/>
        </w:rPr>
      </w:pPr>
      <w:r>
        <w:rPr>
          <w:rFonts w:hint="eastAsia" w:asciiTheme="minorEastAsia" w:hAnsiTheme="minorEastAsia" w:eastAsiaTheme="minorEastAsia" w:cstheme="minorEastAsia"/>
          <w:color w:val="auto"/>
          <w:highlight w:val="none"/>
        </w:rPr>
        <w:t>25.15专</w:t>
      </w:r>
      <w:r>
        <w:rPr>
          <w:rFonts w:hint="eastAsia"/>
          <w:color w:val="auto"/>
          <w:highlight w:val="none"/>
        </w:rPr>
        <w:t>用合同条款中未尽事宜，在签订施工合同时双方再商定。</w:t>
      </w:r>
    </w:p>
    <w:p w14:paraId="39F4E6C2">
      <w:pPr>
        <w:pStyle w:val="3"/>
        <w:jc w:val="center"/>
        <w:rPr>
          <w:color w:val="auto"/>
          <w:highlight w:val="none"/>
        </w:rPr>
      </w:pPr>
      <w:r>
        <w:rPr>
          <w:rFonts w:hint="eastAsia" w:ascii="宋体" w:hAnsi="宋体" w:cs="宋体"/>
          <w:color w:val="auto"/>
          <w:sz w:val="21"/>
          <w:szCs w:val="21"/>
          <w:highlight w:val="none"/>
        </w:rPr>
        <w:br w:type="page"/>
      </w:r>
      <w:bookmarkStart w:id="1381" w:name="_Toc296148315"/>
      <w:r>
        <w:rPr>
          <w:rStyle w:val="254"/>
          <w:b/>
          <w:bCs w:val="0"/>
          <w:color w:val="auto"/>
          <w:highlight w:val="none"/>
        </w:rPr>
        <w:t>第三节  合同附件格式</w:t>
      </w:r>
      <w:bookmarkEnd w:id="1381"/>
    </w:p>
    <w:p w14:paraId="03456172">
      <w:pPr>
        <w:pStyle w:val="4"/>
        <w:rPr>
          <w:rFonts w:ascii="宋体" w:hAnsi="宋体" w:cs="宋体"/>
          <w:b w:val="0"/>
          <w:color w:val="auto"/>
          <w:sz w:val="28"/>
          <w:highlight w:val="none"/>
        </w:rPr>
      </w:pPr>
      <w:bookmarkStart w:id="1382" w:name="_Toc11689"/>
      <w:r>
        <w:rPr>
          <w:rFonts w:hint="eastAsia" w:ascii="宋体" w:hAnsi="宋体" w:cs="宋体"/>
          <w:bCs w:val="0"/>
          <w:color w:val="auto"/>
          <w:sz w:val="28"/>
          <w:highlight w:val="none"/>
        </w:rPr>
        <w:t>附件一：合同协议书</w:t>
      </w:r>
      <w:bookmarkEnd w:id="1376"/>
      <w:bookmarkEnd w:id="1377"/>
      <w:bookmarkEnd w:id="1378"/>
      <w:bookmarkEnd w:id="1379"/>
      <w:bookmarkEnd w:id="1380"/>
      <w:bookmarkEnd w:id="1382"/>
    </w:p>
    <w:p w14:paraId="17B7F209">
      <w:pPr>
        <w:jc w:val="center"/>
        <w:rPr>
          <w:rFonts w:ascii="宋体" w:hAnsi="宋体" w:cs="宋体"/>
          <w:b/>
          <w:color w:val="auto"/>
          <w:highlight w:val="none"/>
        </w:rPr>
      </w:pPr>
      <w:bookmarkStart w:id="1383" w:name="bookmark1895"/>
      <w:bookmarkStart w:id="1384" w:name="bookmark1896"/>
      <w:bookmarkStart w:id="1385" w:name="bookmark1894"/>
      <w:r>
        <w:rPr>
          <w:rFonts w:hint="eastAsia" w:ascii="宋体" w:hAnsi="宋体" w:cs="宋体"/>
          <w:b/>
          <w:color w:val="auto"/>
          <w:highlight w:val="none"/>
        </w:rPr>
        <w:t>合同协议书</w:t>
      </w:r>
      <w:bookmarkEnd w:id="1383"/>
      <w:bookmarkEnd w:id="1384"/>
      <w:bookmarkEnd w:id="1385"/>
    </w:p>
    <w:p w14:paraId="06CD0FC7">
      <w:pPr>
        <w:jc w:val="center"/>
        <w:rPr>
          <w:rFonts w:ascii="宋体" w:hAnsi="宋体" w:cs="宋体"/>
          <w:b/>
          <w:color w:val="auto"/>
          <w:highlight w:val="none"/>
        </w:rPr>
      </w:pPr>
    </w:p>
    <w:p w14:paraId="03E2FADF">
      <w:pPr>
        <w:jc w:val="center"/>
        <w:rPr>
          <w:b/>
          <w:color w:val="auto"/>
          <w:highlight w:val="none"/>
        </w:rPr>
      </w:pPr>
    </w:p>
    <w:p w14:paraId="35BEEB9E">
      <w:pPr>
        <w:spacing w:line="360" w:lineRule="auto"/>
        <w:rPr>
          <w:rFonts w:ascii="宋体" w:hAnsi="宋体"/>
          <w:color w:val="auto"/>
          <w:szCs w:val="21"/>
          <w:highlight w:val="none"/>
        </w:rPr>
      </w:pPr>
      <w:r>
        <w:rPr>
          <w:color w:val="auto"/>
          <w:highlight w:val="none"/>
        </w:rPr>
        <w:tab/>
      </w:r>
      <w:r>
        <w:rPr>
          <w:rFonts w:hint="eastAsia" w:ascii="宋体" w:hAnsi="宋体"/>
          <w:color w:val="auto"/>
          <w:szCs w:val="21"/>
          <w:highlight w:val="none"/>
          <w:u w:val="single"/>
        </w:rPr>
        <w:t xml:space="preserve"> 北海市洪潮江水库工程管理中心</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（发包人名称，以下简称</w:t>
      </w:r>
      <w:r>
        <w:rPr>
          <w:rFonts w:ascii="宋体" w:hAnsi="宋体"/>
          <w:color w:val="auto"/>
          <w:szCs w:val="21"/>
          <w:highlight w:val="none"/>
        </w:rPr>
        <w:t>“</w:t>
      </w:r>
      <w:r>
        <w:rPr>
          <w:rFonts w:hint="eastAsia" w:ascii="宋体" w:hAnsi="宋体" w:cs="宋体"/>
          <w:color w:val="auto"/>
          <w:szCs w:val="21"/>
          <w:highlight w:val="none"/>
        </w:rPr>
        <w:t>发包人</w:t>
      </w:r>
      <w:r>
        <w:rPr>
          <w:rFonts w:ascii="宋体" w:hAnsi="宋体"/>
          <w:color w:val="auto"/>
          <w:szCs w:val="21"/>
          <w:highlight w:val="none"/>
        </w:rPr>
        <w:t>”</w:t>
      </w:r>
      <w:r>
        <w:rPr>
          <w:rFonts w:hint="eastAsia" w:ascii="宋体" w:hAnsi="宋体" w:cs="宋体"/>
          <w:color w:val="auto"/>
          <w:szCs w:val="21"/>
          <w:highlight w:val="none"/>
        </w:rPr>
        <w:t>）为实施</w:t>
      </w:r>
      <w:r>
        <w:rPr>
          <w:rFonts w:hint="eastAsia" w:ascii="宋体" w:hAnsi="宋体"/>
          <w:color w:val="auto"/>
          <w:szCs w:val="21"/>
          <w:highlight w:val="none"/>
          <w:u w:val="single"/>
        </w:rPr>
        <w:t xml:space="preserve"> 2025 年中央水利发展资金（大白水水库标准化创建）项目 </w:t>
      </w:r>
      <w:r>
        <w:rPr>
          <w:rFonts w:hint="eastAsia" w:ascii="宋体" w:hAnsi="宋体" w:cs="宋体"/>
          <w:color w:val="auto"/>
          <w:szCs w:val="21"/>
          <w:highlight w:val="none"/>
        </w:rPr>
        <w:t>（项目名称），已接受</w:t>
      </w:r>
      <w:r>
        <w:rPr>
          <w:rFonts w:hint="eastAsia" w:ascii="宋体" w:hAnsi="宋体" w:cs="宋体"/>
          <w:color w:val="auto"/>
          <w:szCs w:val="21"/>
          <w:highlight w:val="none"/>
          <w:u w:val="single"/>
        </w:rPr>
        <w:t xml:space="preserve">   </w:t>
      </w:r>
      <w:r>
        <w:rPr>
          <w:rFonts w:ascii="宋体" w:hAnsi="宋体"/>
          <w:color w:val="auto"/>
          <w:szCs w:val="21"/>
          <w:highlight w:val="none"/>
          <w:u w:val="single"/>
        </w:rPr>
        <w:tab/>
      </w:r>
      <w:r>
        <w:rPr>
          <w:rFonts w:hint="eastAsia" w:ascii="宋体" w:hAnsi="宋体"/>
          <w:color w:val="auto"/>
          <w:szCs w:val="21"/>
          <w:highlight w:val="none"/>
          <w:u w:val="single"/>
        </w:rPr>
        <w:t xml:space="preserve">    </w:t>
      </w:r>
      <w:r>
        <w:rPr>
          <w:rFonts w:hint="eastAsia" w:ascii="宋体" w:hAnsi="宋体" w:cs="宋体"/>
          <w:color w:val="auto"/>
          <w:szCs w:val="21"/>
          <w:highlight w:val="none"/>
        </w:rPr>
        <w:t>（承包人名称，以下简称</w:t>
      </w:r>
      <w:r>
        <w:rPr>
          <w:rFonts w:ascii="宋体" w:hAnsi="宋体"/>
          <w:color w:val="auto"/>
          <w:szCs w:val="21"/>
          <w:highlight w:val="none"/>
        </w:rPr>
        <w:t>“</w:t>
      </w:r>
      <w:r>
        <w:rPr>
          <w:rFonts w:hint="eastAsia" w:ascii="宋体" w:hAnsi="宋体" w:cs="宋体"/>
          <w:color w:val="auto"/>
          <w:szCs w:val="21"/>
          <w:highlight w:val="none"/>
        </w:rPr>
        <w:t>承包人</w:t>
      </w:r>
      <w:r>
        <w:rPr>
          <w:rFonts w:ascii="宋体" w:hAnsi="宋体"/>
          <w:color w:val="auto"/>
          <w:szCs w:val="21"/>
          <w:highlight w:val="none"/>
        </w:rPr>
        <w:t>”</w:t>
      </w:r>
      <w:r>
        <w:rPr>
          <w:rFonts w:hint="eastAsia" w:ascii="宋体" w:hAnsi="宋体" w:cs="宋体"/>
          <w:color w:val="auto"/>
          <w:szCs w:val="21"/>
          <w:highlight w:val="none"/>
        </w:rPr>
        <w:t>）对该项目</w:t>
      </w:r>
      <w:r>
        <w:rPr>
          <w:rFonts w:hint="eastAsia" w:ascii="宋体" w:hAnsi="宋体" w:cs="宋体"/>
          <w:color w:val="auto"/>
          <w:szCs w:val="21"/>
          <w:highlight w:val="none"/>
          <w:u w:val="single"/>
        </w:rPr>
        <w:t xml:space="preserve"> 2025 年中央水利发展资金（大白水水库标准化创建）项目</w:t>
      </w:r>
      <w:r>
        <w:rPr>
          <w:rFonts w:hint="eastAsia" w:ascii="宋体" w:hAnsi="宋体"/>
          <w:color w:val="auto"/>
          <w:szCs w:val="21"/>
          <w:highlight w:val="none"/>
          <w:u w:val="single"/>
        </w:rPr>
        <w:t xml:space="preserve"> </w:t>
      </w:r>
      <w:r>
        <w:rPr>
          <w:rFonts w:hint="eastAsia" w:ascii="宋体" w:hAnsi="宋体" w:cs="宋体"/>
          <w:color w:val="auto"/>
          <w:szCs w:val="21"/>
          <w:highlight w:val="none"/>
        </w:rPr>
        <w:t>（项目名称）</w:t>
      </w:r>
      <w:r>
        <w:rPr>
          <w:rFonts w:hint="eastAsia" w:ascii="宋体" w:hAnsi="宋体" w:cs="宋体"/>
          <w:color w:val="auto"/>
          <w:szCs w:val="21"/>
          <w:highlight w:val="none"/>
          <w:u w:val="single"/>
        </w:rPr>
        <w:t xml:space="preserve">   /   </w:t>
      </w:r>
      <w:r>
        <w:rPr>
          <w:rFonts w:hint="eastAsia" w:ascii="宋体" w:hAnsi="宋体" w:cs="宋体"/>
          <w:color w:val="auto"/>
          <w:szCs w:val="21"/>
          <w:highlight w:val="none"/>
        </w:rPr>
        <w:t>（标段名称）的投标，并确定其为中标人。发包人和承包人共同达成如下协议。</w:t>
      </w:r>
    </w:p>
    <w:p w14:paraId="7861E57C">
      <w:pPr>
        <w:pStyle w:val="523"/>
        <w:numPr>
          <w:ilvl w:val="0"/>
          <w:numId w:val="0"/>
        </w:numPr>
        <w:tabs>
          <w:tab w:val="left" w:pos="764"/>
        </w:tabs>
        <w:ind w:firstLine="420" w:firstLineChars="200"/>
        <w:rPr>
          <w:color w:val="auto"/>
          <w:szCs w:val="21"/>
          <w:highlight w:val="none"/>
        </w:rPr>
      </w:pPr>
      <w:bookmarkStart w:id="1386" w:name="bookmark1897"/>
      <w:bookmarkEnd w:id="1386"/>
      <w:r>
        <w:rPr>
          <w:rFonts w:hint="eastAsia"/>
          <w:color w:val="auto"/>
          <w:szCs w:val="21"/>
          <w:highlight w:val="none"/>
          <w:lang w:val="en-US" w:eastAsia="zh-CN"/>
        </w:rPr>
        <w:t>1.</w:t>
      </w:r>
      <w:r>
        <w:rPr>
          <w:color w:val="auto"/>
          <w:szCs w:val="21"/>
          <w:highlight w:val="none"/>
        </w:rPr>
        <w:t>本协议书与下列文件一起构成合同文件：</w:t>
      </w:r>
    </w:p>
    <w:p w14:paraId="5EADC520">
      <w:pPr>
        <w:pStyle w:val="523"/>
        <w:tabs>
          <w:tab w:val="left" w:pos="903"/>
        </w:tabs>
        <w:ind w:firstLine="420"/>
        <w:rPr>
          <w:color w:val="auto"/>
          <w:szCs w:val="21"/>
          <w:highlight w:val="none"/>
        </w:rPr>
      </w:pPr>
      <w:bookmarkStart w:id="1387" w:name="bookmark1898"/>
      <w:r>
        <w:rPr>
          <w:rFonts w:ascii="Times New Roman" w:hAnsi="Times New Roman" w:eastAsia="Times New Roman" w:cs="Times New Roman"/>
          <w:color w:val="auto"/>
          <w:szCs w:val="21"/>
          <w:highlight w:val="none"/>
        </w:rPr>
        <w:t>（</w:t>
      </w:r>
      <w:bookmarkEnd w:id="1387"/>
      <w:r>
        <w:rPr>
          <w:rFonts w:ascii="Times New Roman" w:hAnsi="Times New Roman" w:eastAsia="Times New Roman" w:cs="Times New Roman"/>
          <w:color w:val="auto"/>
          <w:szCs w:val="21"/>
          <w:highlight w:val="none"/>
        </w:rPr>
        <w:t>1）</w:t>
      </w:r>
      <w:r>
        <w:rPr>
          <w:rFonts w:ascii="Times New Roman" w:hAnsi="Times New Roman" w:eastAsia="Times New Roman" w:cs="Times New Roman"/>
          <w:color w:val="auto"/>
          <w:szCs w:val="21"/>
          <w:highlight w:val="none"/>
        </w:rPr>
        <w:tab/>
      </w:r>
      <w:r>
        <w:rPr>
          <w:color w:val="auto"/>
          <w:szCs w:val="21"/>
          <w:highlight w:val="none"/>
        </w:rPr>
        <w:t>中标通知书；</w:t>
      </w:r>
    </w:p>
    <w:p w14:paraId="4B7038DD">
      <w:pPr>
        <w:pStyle w:val="523"/>
        <w:tabs>
          <w:tab w:val="left" w:pos="903"/>
        </w:tabs>
        <w:ind w:firstLine="420"/>
        <w:rPr>
          <w:color w:val="auto"/>
          <w:highlight w:val="none"/>
        </w:rPr>
      </w:pPr>
      <w:bookmarkStart w:id="1388" w:name="bookmark1899"/>
      <w:r>
        <w:rPr>
          <w:rFonts w:ascii="Times New Roman" w:hAnsi="Times New Roman" w:eastAsia="Times New Roman" w:cs="Times New Roman"/>
          <w:color w:val="auto"/>
          <w:szCs w:val="21"/>
          <w:highlight w:val="none"/>
        </w:rPr>
        <w:t>（</w:t>
      </w:r>
      <w:bookmarkEnd w:id="1388"/>
      <w:r>
        <w:rPr>
          <w:rFonts w:ascii="Times New Roman" w:hAnsi="Times New Roman" w:eastAsia="Times New Roman" w:cs="Times New Roman"/>
          <w:color w:val="auto"/>
          <w:szCs w:val="21"/>
          <w:highlight w:val="none"/>
        </w:rPr>
        <w:t>2）</w:t>
      </w:r>
      <w:r>
        <w:rPr>
          <w:rFonts w:ascii="Times New Roman" w:hAnsi="Times New Roman" w:eastAsia="Times New Roman" w:cs="Times New Roman"/>
          <w:color w:val="auto"/>
          <w:szCs w:val="21"/>
          <w:highlight w:val="none"/>
        </w:rPr>
        <w:tab/>
      </w:r>
      <w:r>
        <w:rPr>
          <w:color w:val="auto"/>
          <w:szCs w:val="21"/>
          <w:highlight w:val="none"/>
        </w:rPr>
        <w:t>投标函及投标函</w:t>
      </w:r>
      <w:r>
        <w:rPr>
          <w:color w:val="auto"/>
          <w:highlight w:val="none"/>
        </w:rPr>
        <w:t>附录；</w:t>
      </w:r>
    </w:p>
    <w:p w14:paraId="2B4240C4">
      <w:pPr>
        <w:pStyle w:val="523"/>
        <w:tabs>
          <w:tab w:val="left" w:pos="903"/>
        </w:tabs>
        <w:ind w:firstLine="420"/>
        <w:rPr>
          <w:color w:val="auto"/>
          <w:highlight w:val="none"/>
        </w:rPr>
      </w:pPr>
      <w:bookmarkStart w:id="1389" w:name="bookmark1900"/>
      <w:r>
        <w:rPr>
          <w:rFonts w:ascii="Times New Roman" w:hAnsi="Times New Roman" w:eastAsia="Times New Roman" w:cs="Times New Roman"/>
          <w:color w:val="auto"/>
          <w:highlight w:val="none"/>
        </w:rPr>
        <w:t>（</w:t>
      </w:r>
      <w:bookmarkEnd w:id="1389"/>
      <w:r>
        <w:rPr>
          <w:rFonts w:ascii="Times New Roman" w:hAnsi="Times New Roman" w:eastAsia="Times New Roman" w:cs="Times New Roman"/>
          <w:color w:val="auto"/>
          <w:highlight w:val="none"/>
        </w:rPr>
        <w:t>3）</w:t>
      </w:r>
      <w:r>
        <w:rPr>
          <w:rFonts w:ascii="Times New Roman" w:hAnsi="Times New Roman" w:eastAsia="Times New Roman" w:cs="Times New Roman"/>
          <w:color w:val="auto"/>
          <w:highlight w:val="none"/>
        </w:rPr>
        <w:tab/>
      </w:r>
      <w:r>
        <w:rPr>
          <w:color w:val="auto"/>
          <w:highlight w:val="none"/>
        </w:rPr>
        <w:t>专用合同条款（含附加条款）；</w:t>
      </w:r>
    </w:p>
    <w:p w14:paraId="27BB67CF">
      <w:pPr>
        <w:pStyle w:val="523"/>
        <w:tabs>
          <w:tab w:val="left" w:pos="903"/>
        </w:tabs>
        <w:ind w:firstLine="420"/>
        <w:rPr>
          <w:color w:val="auto"/>
          <w:highlight w:val="none"/>
        </w:rPr>
      </w:pPr>
      <w:bookmarkStart w:id="1390" w:name="bookmark1901"/>
      <w:r>
        <w:rPr>
          <w:rFonts w:ascii="Times New Roman" w:hAnsi="Times New Roman" w:eastAsia="Times New Roman" w:cs="Times New Roman"/>
          <w:color w:val="auto"/>
          <w:highlight w:val="none"/>
        </w:rPr>
        <w:t>（</w:t>
      </w:r>
      <w:bookmarkEnd w:id="1390"/>
      <w:r>
        <w:rPr>
          <w:rFonts w:ascii="Times New Roman" w:hAnsi="Times New Roman" w:eastAsia="Times New Roman" w:cs="Times New Roman"/>
          <w:color w:val="auto"/>
          <w:highlight w:val="none"/>
        </w:rPr>
        <w:t>4）</w:t>
      </w:r>
      <w:r>
        <w:rPr>
          <w:rFonts w:ascii="Times New Roman" w:hAnsi="Times New Roman" w:eastAsia="Times New Roman" w:cs="Times New Roman"/>
          <w:color w:val="auto"/>
          <w:highlight w:val="none"/>
        </w:rPr>
        <w:tab/>
      </w:r>
      <w:r>
        <w:rPr>
          <w:color w:val="auto"/>
          <w:highlight w:val="none"/>
        </w:rPr>
        <w:t>通用合同条款；</w:t>
      </w:r>
    </w:p>
    <w:p w14:paraId="5B8A4A69">
      <w:pPr>
        <w:pStyle w:val="523"/>
        <w:tabs>
          <w:tab w:val="left" w:pos="903"/>
        </w:tabs>
        <w:ind w:firstLine="420"/>
        <w:rPr>
          <w:color w:val="auto"/>
          <w:highlight w:val="none"/>
        </w:rPr>
      </w:pPr>
      <w:bookmarkStart w:id="1391" w:name="bookmark1902"/>
      <w:r>
        <w:rPr>
          <w:rFonts w:ascii="Times New Roman" w:hAnsi="Times New Roman" w:eastAsia="Times New Roman" w:cs="Times New Roman"/>
          <w:color w:val="auto"/>
          <w:highlight w:val="none"/>
        </w:rPr>
        <w:t>（</w:t>
      </w:r>
      <w:bookmarkEnd w:id="1391"/>
      <w:r>
        <w:rPr>
          <w:rFonts w:ascii="Times New Roman" w:hAnsi="Times New Roman" w:eastAsia="Times New Roman" w:cs="Times New Roman"/>
          <w:color w:val="auto"/>
          <w:highlight w:val="none"/>
        </w:rPr>
        <w:t>5）</w:t>
      </w:r>
      <w:r>
        <w:rPr>
          <w:rFonts w:ascii="Times New Roman" w:hAnsi="Times New Roman" w:eastAsia="Times New Roman" w:cs="Times New Roman"/>
          <w:color w:val="auto"/>
          <w:highlight w:val="none"/>
        </w:rPr>
        <w:tab/>
      </w:r>
      <w:r>
        <w:rPr>
          <w:color w:val="auto"/>
          <w:highlight w:val="none"/>
        </w:rPr>
        <w:t>技术标准和要求（合同技术条款）；</w:t>
      </w:r>
    </w:p>
    <w:p w14:paraId="635592A8">
      <w:pPr>
        <w:pStyle w:val="523"/>
        <w:tabs>
          <w:tab w:val="left" w:pos="903"/>
        </w:tabs>
        <w:ind w:firstLine="420"/>
        <w:rPr>
          <w:color w:val="auto"/>
          <w:highlight w:val="none"/>
        </w:rPr>
      </w:pPr>
      <w:bookmarkStart w:id="1392" w:name="bookmark1903"/>
      <w:r>
        <w:rPr>
          <w:rFonts w:ascii="Times New Roman" w:hAnsi="Times New Roman" w:eastAsia="Times New Roman" w:cs="Times New Roman"/>
          <w:color w:val="auto"/>
          <w:highlight w:val="none"/>
        </w:rPr>
        <w:t>（</w:t>
      </w:r>
      <w:bookmarkEnd w:id="1392"/>
      <w:r>
        <w:rPr>
          <w:rFonts w:ascii="Times New Roman" w:hAnsi="Times New Roman" w:eastAsia="Times New Roman" w:cs="Times New Roman"/>
          <w:color w:val="auto"/>
          <w:highlight w:val="none"/>
        </w:rPr>
        <w:t>6）</w:t>
      </w:r>
      <w:r>
        <w:rPr>
          <w:rFonts w:ascii="Times New Roman" w:hAnsi="Times New Roman" w:eastAsia="Times New Roman" w:cs="Times New Roman"/>
          <w:color w:val="auto"/>
          <w:highlight w:val="none"/>
        </w:rPr>
        <w:tab/>
      </w:r>
      <w:r>
        <w:rPr>
          <w:color w:val="auto"/>
          <w:highlight w:val="none"/>
        </w:rPr>
        <w:t>图纸；</w:t>
      </w:r>
    </w:p>
    <w:p w14:paraId="64E8222D">
      <w:pPr>
        <w:pStyle w:val="523"/>
        <w:tabs>
          <w:tab w:val="left" w:pos="903"/>
        </w:tabs>
        <w:ind w:firstLine="420"/>
        <w:rPr>
          <w:color w:val="auto"/>
          <w:highlight w:val="none"/>
        </w:rPr>
      </w:pPr>
      <w:bookmarkStart w:id="1393" w:name="bookmark1904"/>
      <w:r>
        <w:rPr>
          <w:rFonts w:ascii="Times New Roman" w:hAnsi="Times New Roman" w:eastAsia="Times New Roman" w:cs="Times New Roman"/>
          <w:color w:val="auto"/>
          <w:highlight w:val="none"/>
        </w:rPr>
        <w:t>（</w:t>
      </w:r>
      <w:bookmarkEnd w:id="1393"/>
      <w:r>
        <w:rPr>
          <w:rFonts w:ascii="Times New Roman" w:hAnsi="Times New Roman" w:eastAsia="Times New Roman" w:cs="Times New Roman"/>
          <w:color w:val="auto"/>
          <w:highlight w:val="none"/>
        </w:rPr>
        <w:t>7）</w:t>
      </w:r>
      <w:r>
        <w:rPr>
          <w:rFonts w:ascii="Times New Roman" w:hAnsi="Times New Roman" w:eastAsia="Times New Roman" w:cs="Times New Roman"/>
          <w:color w:val="auto"/>
          <w:highlight w:val="none"/>
        </w:rPr>
        <w:tab/>
      </w:r>
      <w:r>
        <w:rPr>
          <w:color w:val="auto"/>
          <w:highlight w:val="none"/>
        </w:rPr>
        <w:t>已标价工程量清单；</w:t>
      </w:r>
    </w:p>
    <w:p w14:paraId="38740ECF">
      <w:pPr>
        <w:pStyle w:val="523"/>
        <w:tabs>
          <w:tab w:val="left" w:pos="903"/>
        </w:tabs>
        <w:ind w:firstLine="420"/>
        <w:rPr>
          <w:color w:val="auto"/>
          <w:highlight w:val="none"/>
        </w:rPr>
      </w:pPr>
      <w:bookmarkStart w:id="1394" w:name="bookmark1905"/>
      <w:r>
        <w:rPr>
          <w:rFonts w:ascii="Times New Roman" w:hAnsi="Times New Roman" w:eastAsia="Times New Roman" w:cs="Times New Roman"/>
          <w:color w:val="auto"/>
          <w:highlight w:val="none"/>
        </w:rPr>
        <w:t>（</w:t>
      </w:r>
      <w:bookmarkEnd w:id="1394"/>
      <w:r>
        <w:rPr>
          <w:rFonts w:ascii="Times New Roman" w:hAnsi="Times New Roman" w:eastAsia="Times New Roman" w:cs="Times New Roman"/>
          <w:color w:val="auto"/>
          <w:highlight w:val="none"/>
        </w:rPr>
        <w:t>8）</w:t>
      </w:r>
      <w:r>
        <w:rPr>
          <w:rFonts w:ascii="Times New Roman" w:hAnsi="Times New Roman" w:eastAsia="Times New Roman" w:cs="Times New Roman"/>
          <w:color w:val="auto"/>
          <w:highlight w:val="none"/>
        </w:rPr>
        <w:tab/>
      </w:r>
      <w:r>
        <w:rPr>
          <w:color w:val="auto"/>
          <w:highlight w:val="none"/>
        </w:rPr>
        <w:t>其他合同文件。</w:t>
      </w:r>
    </w:p>
    <w:p w14:paraId="5768FBB5">
      <w:pPr>
        <w:pStyle w:val="523"/>
        <w:numPr>
          <w:ilvl w:val="0"/>
          <w:numId w:val="0"/>
        </w:numPr>
        <w:tabs>
          <w:tab w:val="left" w:pos="764"/>
        </w:tabs>
        <w:ind w:firstLine="420" w:firstLineChars="200"/>
        <w:rPr>
          <w:color w:val="auto"/>
          <w:highlight w:val="none"/>
        </w:rPr>
      </w:pPr>
      <w:bookmarkStart w:id="1395" w:name="bookmark1906"/>
      <w:bookmarkEnd w:id="1395"/>
      <w:r>
        <w:rPr>
          <w:rFonts w:hint="eastAsia"/>
          <w:color w:val="auto"/>
          <w:highlight w:val="none"/>
          <w:lang w:val="en-US" w:eastAsia="zh-CN"/>
        </w:rPr>
        <w:t>2.</w:t>
      </w:r>
      <w:r>
        <w:rPr>
          <w:color w:val="auto"/>
          <w:highlight w:val="none"/>
        </w:rPr>
        <w:t>上述文件互相补充和解释，如有不明确或不一致之处，以合同约定次序在先者为准。</w:t>
      </w:r>
    </w:p>
    <w:p w14:paraId="718D26CB">
      <w:pPr>
        <w:pStyle w:val="523"/>
        <w:numPr>
          <w:ilvl w:val="0"/>
          <w:numId w:val="0"/>
        </w:numPr>
        <w:tabs>
          <w:tab w:val="left" w:pos="764"/>
        </w:tabs>
        <w:ind w:firstLine="420" w:firstLineChars="200"/>
        <w:rPr>
          <w:color w:val="auto"/>
          <w:sz w:val="24"/>
          <w:szCs w:val="24"/>
          <w:highlight w:val="none"/>
        </w:rPr>
      </w:pPr>
      <w:r>
        <w:rPr>
          <w:rFonts w:hint="eastAsia"/>
          <w:color w:val="auto"/>
          <w:highlight w:val="none"/>
          <w:lang w:val="en-US" w:eastAsia="zh-CN"/>
        </w:rPr>
        <w:t>3.</w:t>
      </w:r>
      <w:r>
        <w:rPr>
          <w:rFonts w:hint="eastAsia"/>
          <w:color w:val="auto"/>
          <w:highlight w:val="none"/>
          <w:lang w:val="en-US"/>
        </w:rPr>
        <w:t>工程概况：</w:t>
      </w:r>
      <w:bookmarkStart w:id="1396" w:name="bookmark1907"/>
      <w:bookmarkEnd w:id="1396"/>
      <w:r>
        <w:rPr>
          <w:rFonts w:hint="eastAsia"/>
          <w:color w:val="auto"/>
          <w:highlight w:val="none"/>
          <w:lang w:val="en-US"/>
        </w:rPr>
        <w:t>大白水水库座落于南流江下游的大白水西边埇小支流上，大坝坝址位于广西北海市合浦县石湾镇坡塘后背岭，距石湾镇4.5km，距洪潮江水库工程管理局10km，距合浦县城19km，地理位置为北纬21° 45'20"~21° 46'34"，东经109° 11'13"~109° 11'37"，属一座以灌溉为主的不完全年调节性能的小（1）型水库。具体详见施工图纸和工程量清单要求范围内所有内容。</w:t>
      </w:r>
    </w:p>
    <w:p w14:paraId="4F1623FE">
      <w:pPr>
        <w:pStyle w:val="523"/>
        <w:tabs>
          <w:tab w:val="left" w:pos="764"/>
        </w:tabs>
        <w:ind w:firstLine="420" w:firstLineChars="200"/>
        <w:rPr>
          <w:color w:val="auto"/>
          <w:highlight w:val="none"/>
        </w:rPr>
      </w:pPr>
      <w:r>
        <w:rPr>
          <w:color w:val="auto"/>
          <w:highlight w:val="none"/>
        </w:rPr>
        <w:t>签约合同价：人民币（大写）</w:t>
      </w:r>
      <w:r>
        <w:rPr>
          <w:color w:val="auto"/>
          <w:highlight w:val="none"/>
          <w:u w:val="single"/>
        </w:rPr>
        <w:tab/>
      </w:r>
      <w:r>
        <w:rPr>
          <w:rFonts w:hint="eastAsia"/>
          <w:color w:val="auto"/>
          <w:highlight w:val="none"/>
          <w:u w:val="single"/>
          <w:lang w:val="en-US"/>
        </w:rPr>
        <w:t xml:space="preserve">        </w:t>
      </w:r>
      <w:r>
        <w:rPr>
          <w:color w:val="auto"/>
          <w:highlight w:val="none"/>
        </w:rPr>
        <w:t>（¥</w:t>
      </w:r>
      <w:r>
        <w:rPr>
          <w:color w:val="auto"/>
          <w:highlight w:val="none"/>
          <w:u w:val="single"/>
        </w:rPr>
        <w:tab/>
      </w:r>
      <w:r>
        <w:rPr>
          <w:rFonts w:hint="eastAsia"/>
          <w:color w:val="auto"/>
          <w:highlight w:val="none"/>
          <w:u w:val="single"/>
          <w:lang w:val="en-US"/>
        </w:rPr>
        <w:t xml:space="preserve">  元</w:t>
      </w:r>
      <w:r>
        <w:rPr>
          <w:color w:val="auto"/>
          <w:highlight w:val="none"/>
          <w:lang w:val="en-US"/>
        </w:rPr>
        <w:t>）</w:t>
      </w:r>
      <w:r>
        <w:rPr>
          <w:rFonts w:hint="eastAsia"/>
          <w:color w:val="auto"/>
          <w:highlight w:val="none"/>
          <w:lang w:val="en-US"/>
        </w:rPr>
        <w:t>。 工程承包方式：固定综合单价包干，包工包料。</w:t>
      </w:r>
    </w:p>
    <w:p w14:paraId="1F6FB6FE">
      <w:pPr>
        <w:pStyle w:val="523"/>
        <w:numPr>
          <w:ilvl w:val="0"/>
          <w:numId w:val="50"/>
        </w:numPr>
        <w:tabs>
          <w:tab w:val="left" w:pos="764"/>
          <w:tab w:val="left" w:pos="4234"/>
        </w:tabs>
        <w:ind w:firstLine="420"/>
        <w:rPr>
          <w:color w:val="auto"/>
          <w:highlight w:val="none"/>
        </w:rPr>
      </w:pPr>
      <w:bookmarkStart w:id="1397" w:name="bookmark1908"/>
      <w:bookmarkEnd w:id="1397"/>
      <w:r>
        <w:rPr>
          <w:color w:val="auto"/>
          <w:highlight w:val="none"/>
        </w:rPr>
        <w:t>承包人项目经理：</w:t>
      </w:r>
      <w:r>
        <w:rPr>
          <w:color w:val="auto"/>
          <w:highlight w:val="none"/>
          <w:u w:val="single"/>
        </w:rPr>
        <w:tab/>
      </w:r>
      <w:r>
        <w:rPr>
          <w:rFonts w:hint="eastAsia" w:ascii="Times New Roman" w:hAnsi="Times New Roman" w:cs="Times New Roman"/>
          <w:color w:val="auto"/>
          <w:highlight w:val="none"/>
          <w:lang w:val="en-US" w:bidi="en-US"/>
        </w:rPr>
        <w:t>。</w:t>
      </w:r>
    </w:p>
    <w:p w14:paraId="1BCC0172">
      <w:pPr>
        <w:pStyle w:val="523"/>
        <w:numPr>
          <w:ilvl w:val="0"/>
          <w:numId w:val="50"/>
        </w:numPr>
        <w:tabs>
          <w:tab w:val="left" w:pos="764"/>
          <w:tab w:val="left" w:pos="3809"/>
        </w:tabs>
        <w:ind w:firstLine="420"/>
        <w:rPr>
          <w:color w:val="auto"/>
          <w:highlight w:val="none"/>
        </w:rPr>
      </w:pPr>
      <w:bookmarkStart w:id="1398" w:name="bookmark1909"/>
      <w:bookmarkEnd w:id="1398"/>
      <w:r>
        <w:rPr>
          <w:color w:val="auto"/>
          <w:highlight w:val="none"/>
        </w:rPr>
        <w:t>工程质量符合</w:t>
      </w:r>
      <w:r>
        <w:rPr>
          <w:rFonts w:hint="eastAsia"/>
          <w:color w:val="auto"/>
          <w:highlight w:val="none"/>
          <w:u w:val="single"/>
          <w:lang w:val="en-US"/>
        </w:rPr>
        <w:t xml:space="preserve">   </w:t>
      </w:r>
      <w:r>
        <w:rPr>
          <w:rFonts w:hint="eastAsia"/>
          <w:color w:val="auto"/>
          <w:highlight w:val="none"/>
          <w:u w:val="single"/>
        </w:rPr>
        <w:t>合格</w:t>
      </w:r>
      <w:r>
        <w:rPr>
          <w:rFonts w:hint="eastAsia"/>
          <w:color w:val="auto"/>
          <w:highlight w:val="none"/>
          <w:u w:val="single"/>
          <w:lang w:val="en-US"/>
        </w:rPr>
        <w:t xml:space="preserve">  </w:t>
      </w:r>
      <w:r>
        <w:rPr>
          <w:color w:val="auto"/>
          <w:highlight w:val="none"/>
        </w:rPr>
        <w:t>标准。</w:t>
      </w:r>
    </w:p>
    <w:p w14:paraId="7C603DB7">
      <w:pPr>
        <w:pStyle w:val="523"/>
        <w:numPr>
          <w:ilvl w:val="0"/>
          <w:numId w:val="50"/>
        </w:numPr>
        <w:tabs>
          <w:tab w:val="left" w:pos="764"/>
        </w:tabs>
        <w:ind w:firstLine="420"/>
        <w:rPr>
          <w:color w:val="auto"/>
          <w:highlight w:val="none"/>
        </w:rPr>
      </w:pPr>
      <w:bookmarkStart w:id="1399" w:name="bookmark1910"/>
      <w:bookmarkEnd w:id="1399"/>
      <w:r>
        <w:rPr>
          <w:color w:val="auto"/>
          <w:highlight w:val="none"/>
        </w:rPr>
        <w:t>承包人承诺按合同约定承担工程的实施、完成及缺陷修复。</w:t>
      </w:r>
    </w:p>
    <w:p w14:paraId="132C8461">
      <w:pPr>
        <w:pStyle w:val="523"/>
        <w:numPr>
          <w:ilvl w:val="0"/>
          <w:numId w:val="50"/>
        </w:numPr>
        <w:tabs>
          <w:tab w:val="left" w:pos="764"/>
        </w:tabs>
        <w:ind w:firstLine="420"/>
        <w:rPr>
          <w:color w:val="auto"/>
          <w:highlight w:val="none"/>
        </w:rPr>
      </w:pPr>
      <w:bookmarkStart w:id="1400" w:name="bookmark1911"/>
      <w:bookmarkEnd w:id="1400"/>
      <w:r>
        <w:rPr>
          <w:color w:val="auto"/>
          <w:highlight w:val="none"/>
        </w:rPr>
        <w:t>发包人承诺按合同约定的条件、时间和方式向承包人支付合同价款。</w:t>
      </w:r>
    </w:p>
    <w:p w14:paraId="2DDF2A1F">
      <w:pPr>
        <w:pStyle w:val="523"/>
        <w:numPr>
          <w:ilvl w:val="0"/>
          <w:numId w:val="50"/>
        </w:numPr>
        <w:tabs>
          <w:tab w:val="left" w:pos="764"/>
          <w:tab w:val="left" w:pos="5717"/>
        </w:tabs>
        <w:ind w:firstLine="420"/>
        <w:rPr>
          <w:color w:val="auto"/>
          <w:highlight w:val="none"/>
        </w:rPr>
      </w:pPr>
      <w:bookmarkStart w:id="1401" w:name="bookmark1912"/>
      <w:bookmarkEnd w:id="1401"/>
      <w:r>
        <w:rPr>
          <w:color w:val="auto"/>
          <w:highlight w:val="none"/>
        </w:rPr>
        <w:t>承包人承诺执行监理人开工通知，计划工期为</w:t>
      </w:r>
      <w:r>
        <w:rPr>
          <w:color w:val="auto"/>
          <w:highlight w:val="none"/>
          <w:u w:val="single"/>
        </w:rPr>
        <w:tab/>
      </w:r>
      <w:r>
        <w:rPr>
          <w:color w:val="auto"/>
          <w:highlight w:val="none"/>
        </w:rPr>
        <w:t>天。</w:t>
      </w:r>
    </w:p>
    <w:p w14:paraId="655FB988">
      <w:pPr>
        <w:pStyle w:val="523"/>
        <w:numPr>
          <w:ilvl w:val="0"/>
          <w:numId w:val="50"/>
        </w:numPr>
        <w:tabs>
          <w:tab w:val="left" w:pos="764"/>
          <w:tab w:val="left" w:pos="2789"/>
        </w:tabs>
        <w:ind w:firstLine="420"/>
        <w:rPr>
          <w:color w:val="auto"/>
          <w:highlight w:val="none"/>
        </w:rPr>
      </w:pPr>
      <w:bookmarkStart w:id="1402" w:name="bookmark1913"/>
      <w:bookmarkEnd w:id="1402"/>
      <w:r>
        <w:rPr>
          <w:color w:val="auto"/>
          <w:highlight w:val="none"/>
        </w:rPr>
        <w:t>本协议书一式</w:t>
      </w:r>
      <w:r>
        <w:rPr>
          <w:color w:val="auto"/>
          <w:highlight w:val="none"/>
          <w:u w:val="single"/>
        </w:rPr>
        <w:tab/>
      </w:r>
      <w:r>
        <w:rPr>
          <w:color w:val="auto"/>
          <w:highlight w:val="none"/>
        </w:rPr>
        <w:t>份，合同双方各执</w:t>
      </w:r>
      <w:r>
        <w:rPr>
          <w:rFonts w:hint="eastAsia"/>
          <w:color w:val="auto"/>
          <w:highlight w:val="none"/>
          <w:lang w:val="en-US"/>
        </w:rPr>
        <w:t xml:space="preserve"> </w:t>
      </w:r>
      <w:r>
        <w:rPr>
          <w:rFonts w:hint="eastAsia"/>
          <w:color w:val="auto"/>
          <w:highlight w:val="none"/>
          <w:u w:val="single"/>
          <w:lang w:val="en-US"/>
        </w:rPr>
        <w:t xml:space="preserve">      </w:t>
      </w:r>
      <w:r>
        <w:rPr>
          <w:color w:val="auto"/>
          <w:highlight w:val="none"/>
        </w:rPr>
        <w:t>份。</w:t>
      </w:r>
    </w:p>
    <w:p w14:paraId="245D812E">
      <w:pPr>
        <w:pStyle w:val="523"/>
        <w:numPr>
          <w:ilvl w:val="0"/>
          <w:numId w:val="50"/>
        </w:numPr>
        <w:tabs>
          <w:tab w:val="left" w:pos="841"/>
        </w:tabs>
        <w:spacing w:after="320"/>
        <w:ind w:firstLine="420"/>
        <w:rPr>
          <w:color w:val="auto"/>
          <w:highlight w:val="none"/>
        </w:rPr>
      </w:pPr>
      <w:bookmarkStart w:id="1403" w:name="bookmark1914"/>
      <w:bookmarkEnd w:id="1403"/>
      <w:r>
        <w:rPr>
          <w:color w:val="auto"/>
          <w:highlight w:val="none"/>
        </w:rPr>
        <w:t>合同未尽事宜，双方另行签订补充协议。补充协议是合同的组成部分。</w:t>
      </w:r>
    </w:p>
    <w:p w14:paraId="32319555">
      <w:pPr>
        <w:pStyle w:val="523"/>
        <w:tabs>
          <w:tab w:val="left" w:pos="841"/>
        </w:tabs>
        <w:spacing w:after="320"/>
        <w:ind w:firstLine="0"/>
        <w:rPr>
          <w:color w:val="auto"/>
          <w:highlight w:val="none"/>
        </w:rPr>
      </w:pPr>
    </w:p>
    <w:p w14:paraId="333AACA1">
      <w:pPr>
        <w:rPr>
          <w:color w:val="auto"/>
          <w:highlight w:val="none"/>
        </w:rPr>
      </w:pPr>
      <w:bookmarkStart w:id="1404" w:name="_Toc21416"/>
      <w:bookmarkStart w:id="1405" w:name="bookmark1917"/>
      <w:bookmarkStart w:id="1406" w:name="bookmark1916"/>
      <w:bookmarkStart w:id="1407" w:name="_Toc7161"/>
      <w:bookmarkStart w:id="1408" w:name="bookmark1915"/>
      <w:r>
        <w:rPr>
          <w:rFonts w:hint="eastAsia"/>
          <w:color w:val="auto"/>
          <w:highlight w:val="none"/>
        </w:rPr>
        <w:t>（以下无正文）</w:t>
      </w:r>
    </w:p>
    <w:p w14:paraId="6CFD72A7">
      <w:pPr>
        <w:rPr>
          <w:color w:val="auto"/>
          <w:highlight w:val="none"/>
        </w:rPr>
      </w:pPr>
    </w:p>
    <w:tbl>
      <w:tblPr>
        <w:tblStyle w:val="5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5135B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4261" w:type="dxa"/>
            <w:tcBorders>
              <w:tl2br w:val="nil"/>
              <w:tr2bl w:val="nil"/>
            </w:tcBorders>
          </w:tcPr>
          <w:p w14:paraId="52246C86">
            <w:pPr>
              <w:pStyle w:val="523"/>
              <w:tabs>
                <w:tab w:val="left" w:pos="841"/>
              </w:tabs>
              <w:spacing w:line="440" w:lineRule="exact"/>
              <w:ind w:left="840" w:hanging="840" w:hangingChars="400"/>
              <w:rPr>
                <w:color w:val="auto"/>
                <w:szCs w:val="21"/>
                <w:highlight w:val="none"/>
              </w:rPr>
            </w:pPr>
            <w:r>
              <w:rPr>
                <w:rFonts w:hint="eastAsia"/>
                <w:color w:val="auto"/>
                <w:szCs w:val="21"/>
                <w:highlight w:val="none"/>
                <w:lang w:val="en-US"/>
              </w:rPr>
              <w:t>发包人：</w:t>
            </w:r>
            <w:r>
              <w:rPr>
                <w:rFonts w:hint="eastAsia"/>
                <w:color w:val="auto"/>
                <w:szCs w:val="21"/>
                <w:highlight w:val="none"/>
                <w:u w:val="single"/>
                <w:lang w:val="en-US"/>
              </w:rPr>
              <w:t xml:space="preserve"> 北海市洪潮江水库工程管理中心</w:t>
            </w:r>
            <w:r>
              <w:rPr>
                <w:rFonts w:hint="eastAsia"/>
                <w:color w:val="auto"/>
                <w:szCs w:val="21"/>
                <w:highlight w:val="none"/>
                <w:lang w:val="en-US"/>
              </w:rPr>
              <w:t>（盖单位公章）</w:t>
            </w:r>
          </w:p>
        </w:tc>
        <w:tc>
          <w:tcPr>
            <w:tcW w:w="4261" w:type="dxa"/>
            <w:tcBorders>
              <w:tl2br w:val="nil"/>
              <w:tr2bl w:val="nil"/>
            </w:tcBorders>
          </w:tcPr>
          <w:p w14:paraId="5A643442">
            <w:pPr>
              <w:pStyle w:val="523"/>
              <w:tabs>
                <w:tab w:val="left" w:pos="841"/>
              </w:tabs>
              <w:spacing w:line="440" w:lineRule="exact"/>
              <w:ind w:left="2100" w:hanging="2100" w:hangingChars="1000"/>
              <w:rPr>
                <w:color w:val="auto"/>
                <w:szCs w:val="21"/>
                <w:highlight w:val="none"/>
              </w:rPr>
            </w:pPr>
            <w:r>
              <w:rPr>
                <w:rFonts w:hint="eastAsia"/>
                <w:color w:val="auto"/>
                <w:szCs w:val="21"/>
                <w:highlight w:val="none"/>
                <w:lang w:val="en-US"/>
              </w:rPr>
              <w:t>承包人：</w:t>
            </w:r>
            <w:r>
              <w:rPr>
                <w:rFonts w:hint="eastAsia"/>
                <w:color w:val="auto"/>
                <w:szCs w:val="21"/>
                <w:highlight w:val="none"/>
                <w:u w:val="single"/>
                <w:lang w:val="en-US"/>
              </w:rPr>
              <w:t xml:space="preserve">           </w:t>
            </w:r>
            <w:r>
              <w:rPr>
                <w:rFonts w:hint="eastAsia"/>
                <w:color w:val="auto"/>
                <w:szCs w:val="21"/>
                <w:highlight w:val="none"/>
                <w:lang w:val="en-US"/>
              </w:rPr>
              <w:t>（盖单位公章）</w:t>
            </w:r>
          </w:p>
        </w:tc>
      </w:tr>
      <w:tr w14:paraId="1AAD0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0" w:hRule="atLeast"/>
          <w:jc w:val="center"/>
        </w:trPr>
        <w:tc>
          <w:tcPr>
            <w:tcW w:w="4261" w:type="dxa"/>
            <w:tcBorders>
              <w:tl2br w:val="nil"/>
              <w:tr2bl w:val="nil"/>
            </w:tcBorders>
          </w:tcPr>
          <w:p w14:paraId="13DAE617">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法定代表人(或其委托代理人)：</w:t>
            </w:r>
          </w:p>
          <w:p w14:paraId="4FB9B28F">
            <w:pPr>
              <w:pStyle w:val="523"/>
              <w:tabs>
                <w:tab w:val="left" w:pos="841"/>
              </w:tabs>
              <w:spacing w:line="440" w:lineRule="exact"/>
              <w:ind w:left="840" w:hanging="840" w:hangingChars="400"/>
              <w:rPr>
                <w:color w:val="auto"/>
                <w:szCs w:val="21"/>
                <w:highlight w:val="none"/>
                <w:lang w:val="en-US"/>
              </w:rPr>
            </w:pPr>
          </w:p>
          <w:p w14:paraId="2203E640">
            <w:pPr>
              <w:pStyle w:val="523"/>
              <w:tabs>
                <w:tab w:val="left" w:pos="841"/>
              </w:tabs>
              <w:spacing w:line="440" w:lineRule="exact"/>
              <w:ind w:left="958" w:leftChars="456" w:firstLine="1260" w:firstLineChars="600"/>
              <w:rPr>
                <w:color w:val="auto"/>
                <w:szCs w:val="21"/>
                <w:highlight w:val="none"/>
                <w:lang w:val="en-US"/>
              </w:rPr>
            </w:pPr>
          </w:p>
          <w:p w14:paraId="0AA4F7F9">
            <w:pPr>
              <w:pStyle w:val="523"/>
              <w:tabs>
                <w:tab w:val="left" w:pos="841"/>
              </w:tabs>
              <w:spacing w:line="440" w:lineRule="exact"/>
              <w:ind w:firstLine="1470" w:firstLineChars="700"/>
              <w:rPr>
                <w:color w:val="auto"/>
                <w:szCs w:val="21"/>
                <w:highlight w:val="none"/>
                <w:lang w:val="en-US"/>
              </w:rPr>
            </w:pPr>
            <w:r>
              <w:rPr>
                <w:rFonts w:hint="eastAsia"/>
                <w:color w:val="auto"/>
                <w:szCs w:val="21"/>
                <w:highlight w:val="none"/>
                <w:lang w:val="en-US"/>
              </w:rPr>
              <w:t>（签字或签章）</w:t>
            </w:r>
          </w:p>
        </w:tc>
        <w:tc>
          <w:tcPr>
            <w:tcW w:w="4261" w:type="dxa"/>
            <w:tcBorders>
              <w:tl2br w:val="nil"/>
              <w:tr2bl w:val="nil"/>
            </w:tcBorders>
          </w:tcPr>
          <w:p w14:paraId="75C9D34F">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法定代表人(或其委托代理人)：</w:t>
            </w:r>
          </w:p>
          <w:p w14:paraId="5ABC8551">
            <w:pPr>
              <w:pStyle w:val="523"/>
              <w:tabs>
                <w:tab w:val="left" w:pos="841"/>
              </w:tabs>
              <w:spacing w:line="440" w:lineRule="exact"/>
              <w:ind w:left="840" w:hanging="840" w:hangingChars="400"/>
              <w:rPr>
                <w:color w:val="auto"/>
                <w:szCs w:val="21"/>
                <w:highlight w:val="none"/>
                <w:lang w:val="en-US"/>
              </w:rPr>
            </w:pPr>
          </w:p>
          <w:p w14:paraId="0D536BF1">
            <w:pPr>
              <w:pStyle w:val="523"/>
              <w:tabs>
                <w:tab w:val="left" w:pos="841"/>
              </w:tabs>
              <w:spacing w:line="440" w:lineRule="exact"/>
              <w:ind w:left="958" w:leftChars="456" w:firstLine="1260" w:firstLineChars="600"/>
              <w:rPr>
                <w:color w:val="auto"/>
                <w:szCs w:val="21"/>
                <w:highlight w:val="none"/>
                <w:lang w:val="en-US"/>
              </w:rPr>
            </w:pPr>
          </w:p>
          <w:p w14:paraId="5460A529">
            <w:pPr>
              <w:pStyle w:val="523"/>
              <w:tabs>
                <w:tab w:val="left" w:pos="841"/>
              </w:tabs>
              <w:spacing w:line="440" w:lineRule="exact"/>
              <w:ind w:firstLine="2100" w:firstLineChars="1000"/>
              <w:rPr>
                <w:color w:val="auto"/>
                <w:szCs w:val="21"/>
                <w:highlight w:val="none"/>
              </w:rPr>
            </w:pPr>
            <w:r>
              <w:rPr>
                <w:rFonts w:hint="eastAsia"/>
                <w:color w:val="auto"/>
                <w:szCs w:val="21"/>
                <w:highlight w:val="none"/>
                <w:lang w:val="en-US"/>
              </w:rPr>
              <w:t>（签字或签章）</w:t>
            </w:r>
          </w:p>
        </w:tc>
      </w:tr>
      <w:tr w14:paraId="555CD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tcPr>
          <w:p w14:paraId="7A0AF338">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机构代码：</w:t>
            </w:r>
          </w:p>
        </w:tc>
        <w:tc>
          <w:tcPr>
            <w:tcW w:w="4261" w:type="dxa"/>
            <w:tcBorders>
              <w:tl2br w:val="nil"/>
              <w:tr2bl w:val="nil"/>
            </w:tcBorders>
          </w:tcPr>
          <w:p w14:paraId="1121B657">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 xml:space="preserve">机构代码： </w:t>
            </w:r>
          </w:p>
        </w:tc>
      </w:tr>
      <w:tr w14:paraId="3E1C2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tcPr>
          <w:p w14:paraId="65FD09EB">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 xml:space="preserve">地址： </w:t>
            </w:r>
          </w:p>
        </w:tc>
        <w:tc>
          <w:tcPr>
            <w:tcW w:w="4261" w:type="dxa"/>
            <w:tcBorders>
              <w:tl2br w:val="nil"/>
              <w:tr2bl w:val="nil"/>
            </w:tcBorders>
          </w:tcPr>
          <w:p w14:paraId="37727C6D">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 xml:space="preserve">地址： </w:t>
            </w:r>
          </w:p>
        </w:tc>
      </w:tr>
      <w:tr w14:paraId="0B897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tcPr>
          <w:p w14:paraId="58D10F82">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 xml:space="preserve">邮编： </w:t>
            </w:r>
          </w:p>
        </w:tc>
        <w:tc>
          <w:tcPr>
            <w:tcW w:w="4261" w:type="dxa"/>
            <w:tcBorders>
              <w:tl2br w:val="nil"/>
              <w:tr2bl w:val="nil"/>
            </w:tcBorders>
          </w:tcPr>
          <w:p w14:paraId="674CE210">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 xml:space="preserve">邮编： </w:t>
            </w:r>
          </w:p>
        </w:tc>
      </w:tr>
      <w:tr w14:paraId="79266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tcPr>
          <w:p w14:paraId="33F2B748">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 xml:space="preserve">电话： </w:t>
            </w:r>
          </w:p>
        </w:tc>
        <w:tc>
          <w:tcPr>
            <w:tcW w:w="4261" w:type="dxa"/>
            <w:tcBorders>
              <w:tl2br w:val="nil"/>
              <w:tr2bl w:val="nil"/>
            </w:tcBorders>
          </w:tcPr>
          <w:p w14:paraId="016E224C">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 xml:space="preserve">电话： </w:t>
            </w:r>
          </w:p>
        </w:tc>
      </w:tr>
      <w:tr w14:paraId="0676C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tcPr>
          <w:p w14:paraId="51885947">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 xml:space="preserve">传真： </w:t>
            </w:r>
          </w:p>
        </w:tc>
        <w:tc>
          <w:tcPr>
            <w:tcW w:w="4261" w:type="dxa"/>
            <w:tcBorders>
              <w:tl2br w:val="nil"/>
              <w:tr2bl w:val="nil"/>
            </w:tcBorders>
          </w:tcPr>
          <w:p w14:paraId="76D5E31D">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 xml:space="preserve">传真： </w:t>
            </w:r>
          </w:p>
        </w:tc>
      </w:tr>
      <w:tr w14:paraId="10AA5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tcPr>
          <w:p w14:paraId="1599882B">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 xml:space="preserve">电子信箱： </w:t>
            </w:r>
          </w:p>
        </w:tc>
        <w:tc>
          <w:tcPr>
            <w:tcW w:w="4261" w:type="dxa"/>
            <w:tcBorders>
              <w:tl2br w:val="nil"/>
              <w:tr2bl w:val="nil"/>
            </w:tcBorders>
          </w:tcPr>
          <w:p w14:paraId="3E09951D">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 xml:space="preserve">电子信箱： </w:t>
            </w:r>
          </w:p>
        </w:tc>
      </w:tr>
      <w:tr w14:paraId="6ABF9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tcPr>
          <w:p w14:paraId="72950CCD">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开户银行：</w:t>
            </w:r>
          </w:p>
        </w:tc>
        <w:tc>
          <w:tcPr>
            <w:tcW w:w="4261" w:type="dxa"/>
            <w:tcBorders>
              <w:tl2br w:val="nil"/>
              <w:tr2bl w:val="nil"/>
            </w:tcBorders>
          </w:tcPr>
          <w:p w14:paraId="5B190AC8">
            <w:pPr>
              <w:pStyle w:val="523"/>
              <w:tabs>
                <w:tab w:val="left" w:pos="841"/>
              </w:tabs>
              <w:spacing w:line="440" w:lineRule="exact"/>
              <w:ind w:left="1050" w:hanging="1050" w:hangingChars="500"/>
              <w:rPr>
                <w:color w:val="auto"/>
                <w:szCs w:val="21"/>
                <w:highlight w:val="none"/>
                <w:lang w:val="en-US"/>
              </w:rPr>
            </w:pPr>
            <w:r>
              <w:rPr>
                <w:rFonts w:hint="eastAsia"/>
                <w:color w:val="auto"/>
                <w:szCs w:val="21"/>
                <w:highlight w:val="none"/>
                <w:lang w:val="en-US"/>
              </w:rPr>
              <w:t xml:space="preserve">开户银行： </w:t>
            </w:r>
          </w:p>
        </w:tc>
      </w:tr>
      <w:tr w14:paraId="539D0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tcPr>
          <w:p w14:paraId="5290C802">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 xml:space="preserve">账号： </w:t>
            </w:r>
          </w:p>
        </w:tc>
        <w:tc>
          <w:tcPr>
            <w:tcW w:w="4261" w:type="dxa"/>
            <w:tcBorders>
              <w:tl2br w:val="nil"/>
              <w:tr2bl w:val="nil"/>
            </w:tcBorders>
          </w:tcPr>
          <w:p w14:paraId="1755DA1B">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 xml:space="preserve">账号： </w:t>
            </w:r>
          </w:p>
        </w:tc>
      </w:tr>
      <w:tr w14:paraId="62DFD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61" w:type="dxa"/>
            <w:tcBorders>
              <w:tl2br w:val="nil"/>
              <w:tr2bl w:val="nil"/>
            </w:tcBorders>
          </w:tcPr>
          <w:p w14:paraId="4B3F7CE2">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日期：      年    月    日</w:t>
            </w:r>
          </w:p>
        </w:tc>
        <w:tc>
          <w:tcPr>
            <w:tcW w:w="4261" w:type="dxa"/>
            <w:tcBorders>
              <w:tl2br w:val="nil"/>
              <w:tr2bl w:val="nil"/>
            </w:tcBorders>
          </w:tcPr>
          <w:p w14:paraId="5DA6CBA8">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日期：       年    月    日</w:t>
            </w:r>
          </w:p>
        </w:tc>
      </w:tr>
    </w:tbl>
    <w:p w14:paraId="4090ECD6">
      <w:pPr>
        <w:rPr>
          <w:rFonts w:ascii="宋体" w:hAnsi="宋体" w:cs="宋体"/>
          <w:b/>
          <w:bCs/>
          <w:color w:val="auto"/>
          <w:sz w:val="28"/>
          <w:highlight w:val="none"/>
        </w:rPr>
      </w:pPr>
    </w:p>
    <w:p w14:paraId="12DA9C32">
      <w:pPr>
        <w:pStyle w:val="53"/>
        <w:ind w:firstLine="210"/>
        <w:rPr>
          <w:color w:val="auto"/>
          <w:highlight w:val="none"/>
        </w:rPr>
      </w:pPr>
    </w:p>
    <w:p w14:paraId="67A6E475">
      <w:pPr>
        <w:pStyle w:val="54"/>
        <w:ind w:firstLine="400"/>
        <w:rPr>
          <w:color w:val="auto"/>
          <w:highlight w:val="none"/>
        </w:rPr>
      </w:pPr>
    </w:p>
    <w:p w14:paraId="0897427C">
      <w:pPr>
        <w:pStyle w:val="54"/>
        <w:ind w:firstLine="400"/>
        <w:rPr>
          <w:color w:val="auto"/>
          <w:highlight w:val="none"/>
        </w:rPr>
      </w:pPr>
    </w:p>
    <w:p w14:paraId="2DDE4AB1">
      <w:pPr>
        <w:pStyle w:val="54"/>
        <w:ind w:firstLine="400"/>
        <w:rPr>
          <w:color w:val="auto"/>
          <w:highlight w:val="none"/>
        </w:rPr>
      </w:pPr>
    </w:p>
    <w:p w14:paraId="43E43241">
      <w:pPr>
        <w:pStyle w:val="54"/>
        <w:ind w:firstLine="400"/>
        <w:rPr>
          <w:color w:val="auto"/>
          <w:highlight w:val="none"/>
        </w:rPr>
      </w:pPr>
    </w:p>
    <w:p w14:paraId="2468CC2B">
      <w:pPr>
        <w:pStyle w:val="54"/>
        <w:ind w:firstLine="400"/>
        <w:rPr>
          <w:color w:val="auto"/>
          <w:highlight w:val="none"/>
        </w:rPr>
      </w:pPr>
    </w:p>
    <w:p w14:paraId="636D5E51">
      <w:pPr>
        <w:pStyle w:val="54"/>
        <w:ind w:firstLine="400"/>
        <w:rPr>
          <w:color w:val="auto"/>
          <w:highlight w:val="none"/>
        </w:rPr>
      </w:pPr>
    </w:p>
    <w:p w14:paraId="75C83B50">
      <w:pPr>
        <w:pStyle w:val="54"/>
        <w:ind w:firstLine="400"/>
        <w:rPr>
          <w:color w:val="auto"/>
          <w:highlight w:val="none"/>
        </w:rPr>
      </w:pPr>
    </w:p>
    <w:p w14:paraId="1D986FDD">
      <w:pPr>
        <w:pStyle w:val="54"/>
        <w:ind w:firstLine="400"/>
        <w:rPr>
          <w:color w:val="auto"/>
          <w:highlight w:val="none"/>
        </w:rPr>
      </w:pPr>
    </w:p>
    <w:p w14:paraId="7C08383D">
      <w:pPr>
        <w:pStyle w:val="54"/>
        <w:ind w:firstLine="400"/>
        <w:rPr>
          <w:color w:val="auto"/>
          <w:highlight w:val="none"/>
        </w:rPr>
      </w:pPr>
    </w:p>
    <w:p w14:paraId="62627CE3">
      <w:pPr>
        <w:pStyle w:val="4"/>
        <w:rPr>
          <w:rFonts w:ascii="宋体" w:hAnsi="宋体" w:cs="宋体"/>
          <w:b w:val="0"/>
          <w:color w:val="auto"/>
          <w:sz w:val="28"/>
          <w:highlight w:val="none"/>
        </w:rPr>
      </w:pPr>
      <w:r>
        <w:rPr>
          <w:rFonts w:hint="eastAsia" w:ascii="宋体" w:hAnsi="宋体" w:cs="宋体"/>
          <w:b w:val="0"/>
          <w:color w:val="auto"/>
          <w:sz w:val="28"/>
          <w:highlight w:val="none"/>
        </w:rPr>
        <w:br w:type="page"/>
      </w:r>
      <w:bookmarkStart w:id="1409" w:name="_Toc3356"/>
      <w:r>
        <w:rPr>
          <w:rFonts w:hint="eastAsia" w:ascii="宋体" w:hAnsi="宋体" w:cs="宋体"/>
          <w:bCs w:val="0"/>
          <w:color w:val="auto"/>
          <w:sz w:val="28"/>
          <w:highlight w:val="none"/>
        </w:rPr>
        <w:t>附件二：履约保函</w:t>
      </w:r>
      <w:bookmarkEnd w:id="1404"/>
      <w:bookmarkEnd w:id="1405"/>
      <w:bookmarkEnd w:id="1406"/>
      <w:bookmarkEnd w:id="1407"/>
      <w:bookmarkEnd w:id="1408"/>
      <w:bookmarkEnd w:id="1409"/>
    </w:p>
    <w:p w14:paraId="775DECB3">
      <w:pPr>
        <w:pStyle w:val="20"/>
        <w:spacing w:before="240" w:after="240"/>
        <w:ind w:right="-17" w:firstLine="420" w:firstLineChars="200"/>
        <w:rPr>
          <w:color w:val="auto"/>
          <w:sz w:val="21"/>
          <w:szCs w:val="21"/>
          <w:highlight w:val="none"/>
        </w:rPr>
      </w:pPr>
      <w:bookmarkStart w:id="1410" w:name="bookmark1918"/>
      <w:bookmarkStart w:id="1411" w:name="bookmark1920"/>
      <w:bookmarkStart w:id="1412" w:name="bookmark1919"/>
      <w:r>
        <w:rPr>
          <w:color w:val="auto"/>
          <w:sz w:val="21"/>
          <w:szCs w:val="21"/>
          <w:highlight w:val="none"/>
        </w:rPr>
        <w:t>如采用银行保函，</w:t>
      </w:r>
      <w:r>
        <w:rPr>
          <w:rFonts w:hint="eastAsia"/>
          <w:color w:val="auto"/>
          <w:sz w:val="21"/>
          <w:szCs w:val="21"/>
          <w:highlight w:val="none"/>
        </w:rPr>
        <w:t>可采用</w:t>
      </w:r>
      <w:r>
        <w:rPr>
          <w:color w:val="auto"/>
          <w:sz w:val="21"/>
          <w:szCs w:val="21"/>
          <w:highlight w:val="none"/>
        </w:rPr>
        <w:t>如下格式</w:t>
      </w:r>
      <w:r>
        <w:rPr>
          <w:rFonts w:hint="eastAsia"/>
          <w:color w:val="auto"/>
          <w:sz w:val="21"/>
          <w:szCs w:val="21"/>
          <w:highlight w:val="none"/>
        </w:rPr>
        <w:t>或银行提供的格式</w:t>
      </w:r>
      <w:r>
        <w:rPr>
          <w:color w:val="auto"/>
          <w:sz w:val="21"/>
          <w:szCs w:val="21"/>
          <w:highlight w:val="none"/>
        </w:rPr>
        <w:t>。</w:t>
      </w:r>
    </w:p>
    <w:p w14:paraId="694E7FDE">
      <w:pPr>
        <w:jc w:val="center"/>
        <w:rPr>
          <w:rFonts w:ascii="宋体" w:hAnsi="宋体" w:cs="宋体"/>
          <w:b/>
          <w:color w:val="auto"/>
          <w:highlight w:val="none"/>
        </w:rPr>
      </w:pPr>
    </w:p>
    <w:p w14:paraId="038C56C5">
      <w:pPr>
        <w:jc w:val="center"/>
        <w:rPr>
          <w:rFonts w:ascii="宋体" w:hAnsi="宋体" w:cs="宋体"/>
          <w:b/>
          <w:color w:val="auto"/>
          <w:highlight w:val="none"/>
        </w:rPr>
      </w:pPr>
      <w:r>
        <w:rPr>
          <w:rFonts w:hint="eastAsia" w:ascii="宋体" w:hAnsi="宋体" w:cs="宋体"/>
          <w:b/>
          <w:color w:val="auto"/>
          <w:highlight w:val="none"/>
        </w:rPr>
        <w:t>履约保函</w:t>
      </w:r>
      <w:bookmarkEnd w:id="1410"/>
      <w:bookmarkEnd w:id="1411"/>
      <w:bookmarkEnd w:id="1412"/>
    </w:p>
    <w:p w14:paraId="39E9855B">
      <w:pPr>
        <w:jc w:val="center"/>
        <w:rPr>
          <w:rFonts w:ascii="宋体" w:hAnsi="宋体" w:cs="宋体"/>
          <w:b/>
          <w:color w:val="auto"/>
          <w:highlight w:val="none"/>
        </w:rPr>
      </w:pPr>
    </w:p>
    <w:p w14:paraId="4EADB9F7">
      <w:pPr>
        <w:jc w:val="center"/>
        <w:rPr>
          <w:b/>
          <w:color w:val="auto"/>
          <w:highlight w:val="none"/>
        </w:rPr>
      </w:pPr>
    </w:p>
    <w:p w14:paraId="79C424A0">
      <w:pPr>
        <w:pStyle w:val="523"/>
        <w:tabs>
          <w:tab w:val="left" w:pos="1870"/>
        </w:tabs>
        <w:spacing w:after="340"/>
        <w:ind w:firstLine="0"/>
        <w:rPr>
          <w:color w:val="auto"/>
          <w:highlight w:val="none"/>
        </w:rPr>
      </w:pPr>
      <w:r>
        <w:rPr>
          <w:color w:val="auto"/>
          <w:highlight w:val="none"/>
          <w:u w:val="single"/>
        </w:rPr>
        <w:tab/>
      </w:r>
      <w:r>
        <w:rPr>
          <w:color w:val="auto"/>
          <w:highlight w:val="none"/>
        </w:rPr>
        <w:t>（发包人名称）：</w:t>
      </w:r>
    </w:p>
    <w:p w14:paraId="74BDFD8A">
      <w:pPr>
        <w:pStyle w:val="523"/>
        <w:tabs>
          <w:tab w:val="left" w:pos="847"/>
          <w:tab w:val="left" w:pos="1870"/>
          <w:tab w:val="left" w:pos="3485"/>
          <w:tab w:val="left" w:pos="3554"/>
          <w:tab w:val="left" w:pos="6878"/>
          <w:tab w:val="left" w:pos="8059"/>
        </w:tabs>
        <w:ind w:firstLine="420"/>
        <w:rPr>
          <w:color w:val="auto"/>
          <w:highlight w:val="none"/>
        </w:rPr>
      </w:pPr>
      <w:r>
        <w:rPr>
          <w:color w:val="auto"/>
          <w:highlight w:val="none"/>
        </w:rPr>
        <w:t>鉴于</w:t>
      </w:r>
      <w:r>
        <w:rPr>
          <w:color w:val="auto"/>
          <w:highlight w:val="none"/>
          <w:u w:val="single"/>
        </w:rPr>
        <w:tab/>
      </w:r>
      <w:r>
        <w:rPr>
          <w:color w:val="auto"/>
          <w:highlight w:val="none"/>
        </w:rPr>
        <w:t xml:space="preserve">（发包人名称，以下简称“发包人”）接受 </w:t>
      </w:r>
      <w:r>
        <w:rPr>
          <w:color w:val="auto"/>
          <w:highlight w:val="none"/>
          <w:u w:val="single"/>
        </w:rPr>
        <w:tab/>
      </w:r>
      <w:r>
        <w:rPr>
          <w:color w:val="auto"/>
          <w:highlight w:val="none"/>
        </w:rPr>
        <w:t>（承包人名称，以下称“承包人”）于</w:t>
      </w:r>
      <w:r>
        <w:rPr>
          <w:rFonts w:hint="eastAsia"/>
          <w:color w:val="auto"/>
          <w:highlight w:val="none"/>
          <w:u w:val="single"/>
        </w:rPr>
        <w:t xml:space="preserve">          </w:t>
      </w:r>
      <w:r>
        <w:rPr>
          <w:color w:val="auto"/>
          <w:highlight w:val="none"/>
        </w:rPr>
        <w:t>年</w:t>
      </w:r>
      <w:r>
        <w:rPr>
          <w:rFonts w:hint="eastAsia"/>
          <w:color w:val="auto"/>
          <w:highlight w:val="none"/>
          <w:u w:val="single"/>
        </w:rPr>
        <w:t xml:space="preserve">       </w:t>
      </w:r>
      <w:r>
        <w:rPr>
          <w:color w:val="auto"/>
          <w:highlight w:val="none"/>
        </w:rPr>
        <w:t xml:space="preserve">月 </w:t>
      </w:r>
      <w:r>
        <w:rPr>
          <w:color w:val="auto"/>
          <w:highlight w:val="none"/>
          <w:u w:val="single"/>
        </w:rPr>
        <w:tab/>
      </w:r>
      <w:r>
        <w:rPr>
          <w:color w:val="auto"/>
          <w:highlight w:val="none"/>
        </w:rPr>
        <w:t>日递交的（项目名称）</w:t>
      </w:r>
      <w:r>
        <w:rPr>
          <w:rFonts w:hint="eastAsia"/>
          <w:color w:val="auto"/>
          <w:highlight w:val="none"/>
          <w:u w:val="single"/>
        </w:rPr>
        <w:t xml:space="preserve">             </w:t>
      </w:r>
      <w:r>
        <w:rPr>
          <w:color w:val="auto"/>
          <w:highlight w:val="none"/>
        </w:rPr>
        <w:t>（标段名称）的</w:t>
      </w:r>
      <w:r>
        <w:rPr>
          <w:rFonts w:hint="eastAsia"/>
          <w:color w:val="auto"/>
          <w:highlight w:val="none"/>
        </w:rPr>
        <w:t>响应文件</w:t>
      </w:r>
      <w:r>
        <w:rPr>
          <w:color w:val="auto"/>
          <w:highlight w:val="none"/>
        </w:rPr>
        <w:t>。我方愿意无条件地、不可撤销地就承包人履行与你方订立的合同，向你方提供担保。</w:t>
      </w:r>
    </w:p>
    <w:p w14:paraId="37B49B3B">
      <w:pPr>
        <w:pStyle w:val="523"/>
        <w:numPr>
          <w:ilvl w:val="0"/>
          <w:numId w:val="51"/>
        </w:numPr>
        <w:tabs>
          <w:tab w:val="left" w:pos="733"/>
          <w:tab w:val="left" w:pos="4879"/>
          <w:tab w:val="left" w:pos="7402"/>
        </w:tabs>
        <w:ind w:firstLine="420"/>
        <w:rPr>
          <w:color w:val="auto"/>
          <w:highlight w:val="none"/>
        </w:rPr>
      </w:pPr>
      <w:bookmarkStart w:id="1413" w:name="bookmark1921"/>
      <w:bookmarkEnd w:id="1413"/>
      <w:r>
        <w:rPr>
          <w:color w:val="auto"/>
          <w:highlight w:val="none"/>
        </w:rPr>
        <w:t>担保金额人民币（大写）</w:t>
      </w:r>
      <w:r>
        <w:rPr>
          <w:color w:val="auto"/>
          <w:highlight w:val="none"/>
          <w:u w:val="single"/>
        </w:rPr>
        <w:tab/>
      </w:r>
      <w:r>
        <w:rPr>
          <w:color w:val="auto"/>
          <w:highlight w:val="none"/>
        </w:rPr>
        <w:t>元（¥</w:t>
      </w:r>
      <w:r>
        <w:rPr>
          <w:color w:val="auto"/>
          <w:highlight w:val="none"/>
          <w:u w:val="single"/>
        </w:rPr>
        <w:tab/>
      </w:r>
      <w:r>
        <w:rPr>
          <w:rFonts w:hint="eastAsia" w:ascii="Times New Roman" w:hAnsi="Times New Roman" w:cs="Times New Roman"/>
          <w:color w:val="auto"/>
          <w:highlight w:val="none"/>
          <w:lang w:val="en-US" w:bidi="en-US"/>
        </w:rPr>
        <w:t>）</w:t>
      </w:r>
      <w:r>
        <w:rPr>
          <w:rFonts w:ascii="Times New Roman" w:hAnsi="Times New Roman" w:eastAsia="Times New Roman" w:cs="Times New Roman"/>
          <w:color w:val="auto"/>
          <w:highlight w:val="none"/>
          <w:vertAlign w:val="subscript"/>
          <w:lang w:val="en-US" w:bidi="en-US"/>
        </w:rPr>
        <w:t>o</w:t>
      </w:r>
    </w:p>
    <w:p w14:paraId="26B40944">
      <w:pPr>
        <w:pStyle w:val="523"/>
        <w:numPr>
          <w:ilvl w:val="0"/>
          <w:numId w:val="51"/>
        </w:numPr>
        <w:tabs>
          <w:tab w:val="left" w:pos="697"/>
        </w:tabs>
        <w:ind w:firstLine="420"/>
        <w:rPr>
          <w:color w:val="auto"/>
          <w:highlight w:val="none"/>
        </w:rPr>
      </w:pPr>
      <w:bookmarkStart w:id="1414" w:name="bookmark1922"/>
      <w:bookmarkEnd w:id="1414"/>
      <w:r>
        <w:rPr>
          <w:color w:val="auto"/>
          <w:highlight w:val="none"/>
        </w:rPr>
        <w:t>担保有效期自发包人与承包人签订的合同生效之日起至发包人签发工程完工证书之日止。</w:t>
      </w:r>
    </w:p>
    <w:p w14:paraId="63D43F95">
      <w:pPr>
        <w:pStyle w:val="523"/>
        <w:numPr>
          <w:ilvl w:val="0"/>
          <w:numId w:val="51"/>
        </w:numPr>
        <w:tabs>
          <w:tab w:val="left" w:pos="736"/>
        </w:tabs>
        <w:ind w:firstLine="420"/>
        <w:rPr>
          <w:color w:val="auto"/>
          <w:highlight w:val="none"/>
        </w:rPr>
      </w:pPr>
      <w:bookmarkStart w:id="1415" w:name="bookmark1923"/>
      <w:bookmarkEnd w:id="1415"/>
      <w:r>
        <w:rPr>
          <w:color w:val="auto"/>
          <w:highlight w:val="none"/>
        </w:rPr>
        <w:t>在本担保有效期内，因承包人违反合同约定的义务给你方造成经济损失时，我方在收到你方以书面形式提出的在担保金额内的赔偿要求后，无条件地在</w:t>
      </w:r>
      <w:r>
        <w:rPr>
          <w:rFonts w:ascii="Times New Roman" w:hAnsi="Times New Roman" w:eastAsia="Times New Roman" w:cs="Times New Roman"/>
          <w:color w:val="auto"/>
          <w:highlight w:val="none"/>
        </w:rPr>
        <w:t>7</w:t>
      </w:r>
      <w:r>
        <w:rPr>
          <w:color w:val="auto"/>
          <w:highlight w:val="none"/>
        </w:rPr>
        <w:t>天内予以支付。</w:t>
      </w:r>
    </w:p>
    <w:p w14:paraId="609814B6">
      <w:pPr>
        <w:pStyle w:val="523"/>
        <w:numPr>
          <w:ilvl w:val="0"/>
          <w:numId w:val="51"/>
        </w:numPr>
        <w:tabs>
          <w:tab w:val="left" w:pos="740"/>
        </w:tabs>
        <w:spacing w:after="340"/>
        <w:ind w:firstLine="420"/>
        <w:rPr>
          <w:color w:val="auto"/>
          <w:highlight w:val="none"/>
        </w:rPr>
      </w:pPr>
      <w:bookmarkStart w:id="1416" w:name="bookmark1924"/>
      <w:bookmarkEnd w:id="1416"/>
      <w:r>
        <w:rPr>
          <w:color w:val="auto"/>
          <w:highlight w:val="none"/>
        </w:rPr>
        <w:t>发包人和承包人按《通用合同条款》第</w:t>
      </w:r>
      <w:r>
        <w:rPr>
          <w:rFonts w:ascii="Times New Roman" w:hAnsi="Times New Roman" w:eastAsia="Times New Roman" w:cs="Times New Roman"/>
          <w:color w:val="auto"/>
          <w:highlight w:val="none"/>
        </w:rPr>
        <w:t>15</w:t>
      </w:r>
      <w:r>
        <w:rPr>
          <w:color w:val="auto"/>
          <w:highlight w:val="none"/>
        </w:rPr>
        <w:t>条变更合同时，我方承担本担保规定的义务不变</w:t>
      </w:r>
      <w:r>
        <w:rPr>
          <w:rFonts w:hint="eastAsia"/>
          <w:color w:val="auto"/>
          <w:highlight w:val="none"/>
        </w:rPr>
        <w:t>。</w:t>
      </w:r>
    </w:p>
    <w:p w14:paraId="455F854D">
      <w:pPr>
        <w:pStyle w:val="523"/>
        <w:tabs>
          <w:tab w:val="left" w:pos="740"/>
        </w:tabs>
        <w:spacing w:after="340"/>
        <w:ind w:firstLine="0"/>
        <w:rPr>
          <w:color w:val="auto"/>
          <w:highlight w:val="none"/>
        </w:rPr>
      </w:pPr>
    </w:p>
    <w:p w14:paraId="7C89A61F">
      <w:pPr>
        <w:spacing w:line="360" w:lineRule="auto"/>
        <w:jc w:val="right"/>
        <w:rPr>
          <w:color w:val="auto"/>
          <w:szCs w:val="21"/>
          <w:highlight w:val="none"/>
        </w:rPr>
      </w:pPr>
      <w:r>
        <w:rPr>
          <w:rFonts w:hint="eastAsia"/>
          <w:color w:val="auto"/>
          <w:sz w:val="20"/>
          <w:highlight w:val="none"/>
        </w:rPr>
        <w:t xml:space="preserve">  </w:t>
      </w:r>
      <w:r>
        <w:rPr>
          <w:rFonts w:hint="eastAsia"/>
          <w:color w:val="auto"/>
          <w:szCs w:val="21"/>
          <w:highlight w:val="none"/>
        </w:rPr>
        <w:t xml:space="preserve"> 担  保 人：</w:t>
      </w:r>
      <w:r>
        <w:rPr>
          <w:rFonts w:hint="eastAsia"/>
          <w:color w:val="auto"/>
          <w:szCs w:val="21"/>
          <w:highlight w:val="none"/>
          <w:u w:val="single"/>
        </w:rPr>
        <w:t xml:space="preserve">                                 </w:t>
      </w:r>
      <w:r>
        <w:rPr>
          <w:rFonts w:hint="eastAsia"/>
          <w:color w:val="auto"/>
          <w:szCs w:val="21"/>
          <w:highlight w:val="none"/>
        </w:rPr>
        <w:t>（盖单位章）</w:t>
      </w:r>
      <w:r>
        <w:rPr>
          <w:color w:val="auto"/>
          <w:szCs w:val="21"/>
          <w:highlight w:val="none"/>
        </w:rPr>
        <w:t xml:space="preserve"> </w:t>
      </w:r>
    </w:p>
    <w:p w14:paraId="47B6FA95">
      <w:pPr>
        <w:spacing w:line="360" w:lineRule="auto"/>
        <w:jc w:val="right"/>
        <w:rPr>
          <w:color w:val="auto"/>
          <w:szCs w:val="21"/>
          <w:highlight w:val="none"/>
        </w:rPr>
      </w:pPr>
      <w:r>
        <w:rPr>
          <w:rFonts w:hint="eastAsia"/>
          <w:color w:val="auto"/>
          <w:szCs w:val="21"/>
          <w:highlight w:val="none"/>
        </w:rPr>
        <w:t xml:space="preserve">           法定代表人(或委托代理人)：</w:t>
      </w:r>
      <w:r>
        <w:rPr>
          <w:rFonts w:hint="eastAsia"/>
          <w:color w:val="auto"/>
          <w:szCs w:val="21"/>
          <w:highlight w:val="none"/>
          <w:u w:val="single"/>
        </w:rPr>
        <w:t xml:space="preserve">                       </w:t>
      </w:r>
      <w:r>
        <w:rPr>
          <w:rFonts w:hint="eastAsia"/>
          <w:color w:val="auto"/>
          <w:szCs w:val="21"/>
          <w:highlight w:val="none"/>
        </w:rPr>
        <w:t>（签字）</w:t>
      </w:r>
    </w:p>
    <w:p w14:paraId="51B801C4">
      <w:pPr>
        <w:spacing w:line="360" w:lineRule="auto"/>
        <w:jc w:val="right"/>
        <w:rPr>
          <w:color w:val="auto"/>
          <w:szCs w:val="21"/>
          <w:highlight w:val="none"/>
        </w:rPr>
      </w:pPr>
      <w:r>
        <w:rPr>
          <w:rFonts w:hint="eastAsia"/>
          <w:color w:val="auto"/>
          <w:szCs w:val="21"/>
          <w:highlight w:val="none"/>
        </w:rPr>
        <w:t>地       址：</w:t>
      </w:r>
      <w:r>
        <w:rPr>
          <w:rFonts w:hint="eastAsia"/>
          <w:color w:val="auto"/>
          <w:szCs w:val="21"/>
          <w:highlight w:val="none"/>
          <w:u w:val="single"/>
        </w:rPr>
        <w:t xml:space="preserve">                </w:t>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rFonts w:hint="eastAsia"/>
          <w:color w:val="auto"/>
          <w:szCs w:val="21"/>
          <w:highlight w:val="none"/>
          <w:u w:val="single"/>
        </w:rPr>
        <w:t xml:space="preserve">   </w:t>
      </w:r>
      <w:r>
        <w:rPr>
          <w:rFonts w:hint="eastAsia"/>
          <w:color w:val="auto"/>
          <w:szCs w:val="21"/>
          <w:highlight w:val="none"/>
        </w:rPr>
        <w:t xml:space="preserve"> </w:t>
      </w:r>
    </w:p>
    <w:p w14:paraId="1B289BAA">
      <w:pPr>
        <w:spacing w:line="360" w:lineRule="auto"/>
        <w:jc w:val="right"/>
        <w:rPr>
          <w:color w:val="auto"/>
          <w:szCs w:val="21"/>
          <w:highlight w:val="none"/>
        </w:rPr>
      </w:pPr>
      <w:r>
        <w:rPr>
          <w:rFonts w:hint="eastAsia"/>
          <w:color w:val="auto"/>
          <w:szCs w:val="21"/>
          <w:highlight w:val="none"/>
        </w:rPr>
        <w:t xml:space="preserve">        邮政编码：</w:t>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rFonts w:hint="eastAsia"/>
          <w:color w:val="auto"/>
          <w:szCs w:val="21"/>
          <w:highlight w:val="none"/>
          <w:u w:val="single"/>
        </w:rPr>
        <w:t xml:space="preserve"> </w:t>
      </w:r>
      <w:r>
        <w:rPr>
          <w:rFonts w:hint="eastAsia"/>
          <w:color w:val="auto"/>
          <w:szCs w:val="21"/>
          <w:highlight w:val="none"/>
        </w:rPr>
        <w:t xml:space="preserve"> </w:t>
      </w:r>
    </w:p>
    <w:p w14:paraId="7FE88BF7">
      <w:pPr>
        <w:spacing w:line="360" w:lineRule="auto"/>
        <w:jc w:val="right"/>
        <w:rPr>
          <w:color w:val="auto"/>
          <w:szCs w:val="21"/>
          <w:highlight w:val="none"/>
          <w:u w:val="single"/>
        </w:rPr>
      </w:pPr>
      <w:r>
        <w:rPr>
          <w:rFonts w:hint="eastAsia"/>
          <w:color w:val="auto"/>
          <w:szCs w:val="21"/>
          <w:highlight w:val="none"/>
        </w:rPr>
        <w:t xml:space="preserve">        电        话：</w:t>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p>
    <w:p w14:paraId="174E8050">
      <w:pPr>
        <w:spacing w:line="360" w:lineRule="auto"/>
        <w:jc w:val="right"/>
        <w:rPr>
          <w:color w:val="auto"/>
          <w:szCs w:val="21"/>
          <w:highlight w:val="none"/>
        </w:rPr>
      </w:pPr>
      <w:r>
        <w:rPr>
          <w:rFonts w:hint="eastAsia"/>
          <w:color w:val="auto"/>
          <w:szCs w:val="21"/>
          <w:highlight w:val="none"/>
        </w:rPr>
        <w:t xml:space="preserve">        传        真：</w:t>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p>
    <w:p w14:paraId="399D4106">
      <w:pPr>
        <w:spacing w:line="360" w:lineRule="auto"/>
        <w:jc w:val="right"/>
        <w:rPr>
          <w:rFonts w:ascii="宋体" w:hAnsi="宋体" w:cs="宋体"/>
          <w:color w:val="auto"/>
          <w:sz w:val="20"/>
          <w:szCs w:val="20"/>
          <w:highlight w:val="none"/>
          <w:lang w:val="zh-CN" w:bidi="zh-CN"/>
        </w:rPr>
      </w:pPr>
      <w:r>
        <w:rPr>
          <w:color w:val="auto"/>
          <w:szCs w:val="21"/>
          <w:highlight w:val="none"/>
          <w:u w:val="single"/>
        </w:rPr>
        <w:tab/>
      </w:r>
      <w:r>
        <w:rPr>
          <w:rFonts w:hint="eastAsia"/>
          <w:color w:val="auto"/>
          <w:szCs w:val="21"/>
          <w:highlight w:val="none"/>
          <w:u w:val="single"/>
        </w:rPr>
        <w:t xml:space="preserve">       </w:t>
      </w:r>
      <w:r>
        <w:rPr>
          <w:rFonts w:hint="eastAsia"/>
          <w:color w:val="auto"/>
          <w:szCs w:val="21"/>
          <w:highlight w:val="none"/>
        </w:rPr>
        <w:t>年</w:t>
      </w:r>
      <w:r>
        <w:rPr>
          <w:color w:val="auto"/>
          <w:szCs w:val="21"/>
          <w:highlight w:val="none"/>
          <w:u w:val="single"/>
        </w:rPr>
        <w:tab/>
      </w:r>
      <w:r>
        <w:rPr>
          <w:rFonts w:hint="eastAsia"/>
          <w:color w:val="auto"/>
          <w:szCs w:val="21"/>
          <w:highlight w:val="none"/>
          <w:u w:val="single"/>
        </w:rPr>
        <w:t xml:space="preserve">       </w:t>
      </w:r>
      <w:r>
        <w:rPr>
          <w:rFonts w:hint="eastAsia"/>
          <w:color w:val="auto"/>
          <w:szCs w:val="21"/>
          <w:highlight w:val="none"/>
        </w:rPr>
        <w:t>月</w:t>
      </w:r>
      <w:r>
        <w:rPr>
          <w:rFonts w:hint="eastAsia"/>
          <w:color w:val="auto"/>
          <w:szCs w:val="21"/>
          <w:highlight w:val="none"/>
          <w:u w:val="single"/>
        </w:rPr>
        <w:t xml:space="preserve">              </w:t>
      </w:r>
      <w:r>
        <w:rPr>
          <w:rFonts w:hint="eastAsia"/>
          <w:color w:val="auto"/>
          <w:szCs w:val="21"/>
          <w:highlight w:val="none"/>
        </w:rPr>
        <w:t xml:space="preserve">日   </w:t>
      </w:r>
      <w:r>
        <w:rPr>
          <w:rFonts w:hint="eastAsia"/>
          <w:color w:val="auto"/>
          <w:highlight w:val="none"/>
        </w:rPr>
        <w:t xml:space="preserve"> </w:t>
      </w:r>
    </w:p>
    <w:p w14:paraId="60D4535A">
      <w:pPr>
        <w:rPr>
          <w:rFonts w:ascii="宋体" w:hAnsi="宋体" w:cs="宋体"/>
          <w:color w:val="auto"/>
          <w:sz w:val="20"/>
          <w:szCs w:val="20"/>
          <w:highlight w:val="none"/>
          <w:lang w:val="zh-CN" w:bidi="zh-CN"/>
        </w:rPr>
      </w:pPr>
    </w:p>
    <w:p w14:paraId="4C8E8B2C">
      <w:pPr>
        <w:rPr>
          <w:rFonts w:ascii="宋体" w:hAnsi="宋体" w:cs="宋体"/>
          <w:color w:val="auto"/>
          <w:sz w:val="20"/>
          <w:szCs w:val="20"/>
          <w:highlight w:val="none"/>
          <w:lang w:val="zh-CN" w:bidi="zh-CN"/>
        </w:rPr>
      </w:pPr>
    </w:p>
    <w:p w14:paraId="137DEAE8">
      <w:pPr>
        <w:rPr>
          <w:rFonts w:ascii="宋体" w:hAnsi="宋体" w:cs="宋体"/>
          <w:color w:val="auto"/>
          <w:sz w:val="20"/>
          <w:szCs w:val="20"/>
          <w:highlight w:val="none"/>
          <w:lang w:val="zh-CN" w:bidi="zh-CN"/>
        </w:rPr>
      </w:pPr>
      <w:r>
        <w:rPr>
          <w:rFonts w:hint="eastAsia" w:ascii="宋体" w:hAnsi="宋体" w:cs="宋体"/>
          <w:color w:val="auto"/>
          <w:sz w:val="20"/>
          <w:szCs w:val="20"/>
          <w:highlight w:val="none"/>
          <w:lang w:val="zh-CN" w:bidi="zh-CN"/>
        </w:rPr>
        <w:t>注：</w:t>
      </w:r>
    </w:p>
    <w:p w14:paraId="60A98A8A">
      <w:pPr>
        <w:pStyle w:val="523"/>
        <w:numPr>
          <w:ilvl w:val="0"/>
          <w:numId w:val="52"/>
        </w:numPr>
        <w:tabs>
          <w:tab w:val="left" w:pos="733"/>
        </w:tabs>
        <w:spacing w:line="354" w:lineRule="exact"/>
        <w:ind w:firstLine="420"/>
        <w:rPr>
          <w:color w:val="auto"/>
          <w:highlight w:val="none"/>
        </w:rPr>
      </w:pPr>
      <w:bookmarkStart w:id="1417" w:name="bookmark1925"/>
      <w:bookmarkEnd w:id="1417"/>
      <w:r>
        <w:rPr>
          <w:color w:val="auto"/>
          <w:highlight w:val="none"/>
        </w:rPr>
        <w:t>担保人必须是投标人单位基本账户的开户银行。</w:t>
      </w:r>
    </w:p>
    <w:p w14:paraId="6334BC2D">
      <w:pPr>
        <w:pStyle w:val="523"/>
        <w:numPr>
          <w:ilvl w:val="0"/>
          <w:numId w:val="52"/>
        </w:numPr>
        <w:tabs>
          <w:tab w:val="left" w:pos="750"/>
        </w:tabs>
        <w:spacing w:after="340" w:line="354" w:lineRule="exact"/>
        <w:ind w:firstLine="420"/>
        <w:rPr>
          <w:color w:val="auto"/>
          <w:highlight w:val="none"/>
        </w:rPr>
      </w:pPr>
      <w:bookmarkStart w:id="1418" w:name="bookmark1926"/>
      <w:bookmarkEnd w:id="1418"/>
      <w:r>
        <w:rPr>
          <w:color w:val="auto"/>
          <w:highlight w:val="none"/>
        </w:rPr>
        <w:t>委托代理人应附授权委托书。</w:t>
      </w:r>
      <w:bookmarkStart w:id="1419" w:name="bookmark1927"/>
      <w:bookmarkStart w:id="1420" w:name="bookmark1929"/>
      <w:bookmarkStart w:id="1421" w:name="_Toc4188"/>
      <w:bookmarkStart w:id="1422" w:name="bookmark1928"/>
      <w:bookmarkStart w:id="1423" w:name="_Toc21423"/>
    </w:p>
    <w:p w14:paraId="792407B3">
      <w:pPr>
        <w:pStyle w:val="4"/>
        <w:tabs>
          <w:tab w:val="center" w:pos="4147"/>
        </w:tabs>
        <w:rPr>
          <w:rFonts w:ascii="宋体" w:hAnsi="宋体" w:cs="宋体"/>
          <w:b w:val="0"/>
          <w:color w:val="auto"/>
          <w:sz w:val="28"/>
          <w:highlight w:val="none"/>
        </w:rPr>
      </w:pPr>
      <w:bookmarkStart w:id="1424" w:name="_Toc30755"/>
      <w:r>
        <w:rPr>
          <w:rStyle w:val="530"/>
          <w:rFonts w:hint="eastAsia"/>
          <w:b/>
          <w:bCs/>
          <w:color w:val="auto"/>
          <w:highlight w:val="none"/>
        </w:rPr>
        <w:t>附件三：预付款担保函</w:t>
      </w:r>
      <w:bookmarkEnd w:id="1419"/>
      <w:bookmarkEnd w:id="1420"/>
      <w:bookmarkEnd w:id="1421"/>
      <w:bookmarkEnd w:id="1422"/>
      <w:bookmarkEnd w:id="1423"/>
      <w:bookmarkEnd w:id="1424"/>
      <w:r>
        <w:rPr>
          <w:rStyle w:val="530"/>
          <w:rFonts w:hint="eastAsia"/>
          <w:b w:val="0"/>
          <w:bCs w:val="0"/>
          <w:color w:val="auto"/>
          <w:highlight w:val="none"/>
        </w:rPr>
        <w:tab/>
      </w:r>
    </w:p>
    <w:p w14:paraId="764859CE">
      <w:pPr>
        <w:spacing w:before="120" w:beforeLines="50" w:line="360" w:lineRule="exact"/>
        <w:jc w:val="center"/>
        <w:rPr>
          <w:rFonts w:ascii="宋体" w:hAnsi="宋体" w:cs="宋体"/>
          <w:b/>
          <w:color w:val="auto"/>
          <w:highlight w:val="none"/>
        </w:rPr>
      </w:pPr>
      <w:bookmarkStart w:id="1425" w:name="bookmark1930"/>
      <w:bookmarkStart w:id="1426" w:name="bookmark1931"/>
      <w:bookmarkStart w:id="1427" w:name="bookmark1932"/>
      <w:r>
        <w:rPr>
          <w:rFonts w:hint="eastAsia" w:ascii="宋体" w:hAnsi="宋体" w:cs="宋体"/>
          <w:b/>
          <w:color w:val="auto"/>
          <w:highlight w:val="none"/>
        </w:rPr>
        <w:t>预付款担保函</w:t>
      </w:r>
      <w:bookmarkEnd w:id="1425"/>
      <w:bookmarkEnd w:id="1426"/>
      <w:bookmarkEnd w:id="1427"/>
    </w:p>
    <w:p w14:paraId="50AA36BC">
      <w:pPr>
        <w:spacing w:line="360" w:lineRule="exact"/>
        <w:jc w:val="center"/>
        <w:rPr>
          <w:b/>
          <w:color w:val="auto"/>
          <w:highlight w:val="none"/>
        </w:rPr>
      </w:pPr>
    </w:p>
    <w:p w14:paraId="2D02B0BA">
      <w:pPr>
        <w:spacing w:line="360" w:lineRule="exact"/>
        <w:jc w:val="center"/>
        <w:rPr>
          <w:b/>
          <w:color w:val="auto"/>
          <w:highlight w:val="none"/>
        </w:rPr>
      </w:pPr>
    </w:p>
    <w:p w14:paraId="5B428EA9">
      <w:pPr>
        <w:pStyle w:val="523"/>
        <w:tabs>
          <w:tab w:val="left" w:pos="1870"/>
        </w:tabs>
        <w:spacing w:after="340" w:line="360" w:lineRule="exact"/>
        <w:ind w:firstLine="0"/>
        <w:rPr>
          <w:color w:val="auto"/>
          <w:highlight w:val="none"/>
        </w:rPr>
      </w:pPr>
      <w:r>
        <w:rPr>
          <w:color w:val="auto"/>
          <w:highlight w:val="none"/>
          <w:u w:val="single"/>
        </w:rPr>
        <w:tab/>
      </w:r>
      <w:r>
        <w:rPr>
          <w:color w:val="auto"/>
          <w:highlight w:val="none"/>
        </w:rPr>
        <w:t>（发包人名称）:</w:t>
      </w:r>
    </w:p>
    <w:p w14:paraId="2367C0FD">
      <w:pPr>
        <w:pStyle w:val="523"/>
        <w:tabs>
          <w:tab w:val="left" w:pos="1870"/>
          <w:tab w:val="left" w:pos="2707"/>
          <w:tab w:val="left" w:pos="5004"/>
          <w:tab w:val="left" w:pos="5033"/>
          <w:tab w:val="left" w:pos="6163"/>
          <w:tab w:val="left" w:pos="7322"/>
          <w:tab w:val="left" w:pos="8333"/>
        </w:tabs>
        <w:spacing w:after="120" w:line="360" w:lineRule="exact"/>
        <w:ind w:firstLine="420"/>
        <w:rPr>
          <w:color w:val="auto"/>
          <w:highlight w:val="none"/>
        </w:rPr>
      </w:pPr>
      <w:r>
        <w:rPr>
          <w:color w:val="auto"/>
          <w:highlight w:val="none"/>
        </w:rPr>
        <w:t>根据</w:t>
      </w:r>
      <w:r>
        <w:rPr>
          <w:color w:val="auto"/>
          <w:highlight w:val="none"/>
          <w:u w:val="single"/>
        </w:rPr>
        <w:tab/>
      </w:r>
      <w:r>
        <w:rPr>
          <w:color w:val="auto"/>
          <w:highlight w:val="none"/>
        </w:rPr>
        <w:t>（承包人名称，以下称“承包人”）与</w:t>
      </w:r>
      <w:r>
        <w:rPr>
          <w:color w:val="auto"/>
          <w:highlight w:val="none"/>
          <w:u w:val="single"/>
        </w:rPr>
        <w:tab/>
      </w:r>
      <w:r>
        <w:rPr>
          <w:color w:val="auto"/>
          <w:highlight w:val="none"/>
        </w:rPr>
        <w:t xml:space="preserve"> （发包人名称，以下简称“发包人”）于</w:t>
      </w:r>
      <w:r>
        <w:rPr>
          <w:color w:val="auto"/>
          <w:highlight w:val="none"/>
          <w:u w:val="single"/>
        </w:rPr>
        <w:tab/>
      </w:r>
      <w:r>
        <w:rPr>
          <w:rFonts w:hint="eastAsia"/>
          <w:color w:val="auto"/>
          <w:highlight w:val="none"/>
          <w:u w:val="single"/>
        </w:rPr>
        <w:t xml:space="preserve">  </w:t>
      </w:r>
      <w:r>
        <w:rPr>
          <w:color w:val="auto"/>
          <w:highlight w:val="none"/>
        </w:rPr>
        <w:t>年</w:t>
      </w:r>
      <w:r>
        <w:rPr>
          <w:color w:val="auto"/>
          <w:highlight w:val="none"/>
          <w:u w:val="single"/>
        </w:rPr>
        <w:tab/>
      </w:r>
      <w:r>
        <w:rPr>
          <w:color w:val="auto"/>
          <w:highlight w:val="none"/>
        </w:rPr>
        <w:t>月</w:t>
      </w:r>
      <w:r>
        <w:rPr>
          <w:rFonts w:hint="eastAsia"/>
          <w:color w:val="auto"/>
          <w:highlight w:val="none"/>
          <w:u w:val="single"/>
        </w:rPr>
        <w:t xml:space="preserve">     </w:t>
      </w:r>
      <w:r>
        <w:rPr>
          <w:color w:val="auto"/>
          <w:highlight w:val="none"/>
        </w:rPr>
        <w:t xml:space="preserve">日签订的 </w:t>
      </w:r>
      <w:r>
        <w:rPr>
          <w:color w:val="auto"/>
          <w:highlight w:val="none"/>
          <w:u w:val="single"/>
        </w:rPr>
        <w:tab/>
      </w:r>
      <w:r>
        <w:rPr>
          <w:color w:val="auto"/>
          <w:highlight w:val="none"/>
        </w:rPr>
        <w:t>（项目名称）</w:t>
      </w:r>
      <w:r>
        <w:rPr>
          <w:rFonts w:hint="eastAsia"/>
          <w:color w:val="auto"/>
          <w:highlight w:val="none"/>
          <w:u w:val="single"/>
          <w:lang w:val="en-US"/>
        </w:rPr>
        <w:t xml:space="preserve">    </w:t>
      </w:r>
      <w:r>
        <w:rPr>
          <w:color w:val="auto"/>
          <w:highlight w:val="none"/>
        </w:rPr>
        <w:t>（标段名称）合同协议书，承包人 按约定的金额向发包人提交一份预付款担保，即有权得到发包人支付相等金额的预付款。 我方愿意就你方提供给承包人的预付款提供担保。</w:t>
      </w:r>
    </w:p>
    <w:p w14:paraId="5E636A59">
      <w:pPr>
        <w:pStyle w:val="523"/>
        <w:numPr>
          <w:ilvl w:val="0"/>
          <w:numId w:val="53"/>
        </w:numPr>
        <w:tabs>
          <w:tab w:val="left" w:pos="719"/>
          <w:tab w:val="left" w:pos="4879"/>
          <w:tab w:val="left" w:pos="7402"/>
        </w:tabs>
        <w:spacing w:line="360" w:lineRule="exact"/>
        <w:ind w:firstLine="420"/>
        <w:rPr>
          <w:color w:val="auto"/>
          <w:highlight w:val="none"/>
        </w:rPr>
      </w:pPr>
      <w:bookmarkStart w:id="1428" w:name="bookmark1933"/>
      <w:bookmarkEnd w:id="1428"/>
      <w:r>
        <w:rPr>
          <w:color w:val="auto"/>
          <w:highlight w:val="none"/>
        </w:rPr>
        <w:t>担保金额人民币（大写）</w:t>
      </w:r>
      <w:r>
        <w:rPr>
          <w:color w:val="auto"/>
          <w:highlight w:val="none"/>
          <w:u w:val="single"/>
        </w:rPr>
        <w:tab/>
      </w:r>
      <w:r>
        <w:rPr>
          <w:color w:val="auto"/>
          <w:highlight w:val="none"/>
        </w:rPr>
        <w:t>元（¥</w:t>
      </w:r>
      <w:r>
        <w:rPr>
          <w:color w:val="auto"/>
          <w:highlight w:val="none"/>
          <w:u w:val="single"/>
        </w:rPr>
        <w:tab/>
      </w:r>
      <w:r>
        <w:rPr>
          <w:rFonts w:ascii="Times New Roman" w:hAnsi="Times New Roman" w:eastAsia="Times New Roman" w:cs="Times New Roman"/>
          <w:color w:val="auto"/>
          <w:highlight w:val="none"/>
          <w:lang w:val="en-US" w:bidi="en-US"/>
        </w:rPr>
        <w:t>）</w:t>
      </w:r>
      <w:r>
        <w:rPr>
          <w:rFonts w:ascii="Times New Roman" w:hAnsi="Times New Roman" w:eastAsia="Times New Roman" w:cs="Times New Roman"/>
          <w:color w:val="auto"/>
          <w:highlight w:val="none"/>
          <w:vertAlign w:val="subscript"/>
          <w:lang w:val="en-US" w:bidi="en-US"/>
        </w:rPr>
        <w:t>o</w:t>
      </w:r>
    </w:p>
    <w:p w14:paraId="26F3BA44">
      <w:pPr>
        <w:pStyle w:val="523"/>
        <w:numPr>
          <w:ilvl w:val="0"/>
          <w:numId w:val="53"/>
        </w:numPr>
        <w:tabs>
          <w:tab w:val="left" w:pos="726"/>
        </w:tabs>
        <w:spacing w:line="360" w:lineRule="exact"/>
        <w:ind w:firstLine="420"/>
        <w:rPr>
          <w:color w:val="auto"/>
          <w:highlight w:val="none"/>
        </w:rPr>
      </w:pPr>
      <w:bookmarkStart w:id="1429" w:name="bookmark1934"/>
      <w:bookmarkEnd w:id="1429"/>
      <w:r>
        <w:rPr>
          <w:color w:val="auto"/>
          <w:highlight w:val="none"/>
        </w:rPr>
        <w:t>担保有效期自预付款支付给承包人起生效，至发包人签发的进度付款证书说明已完全扣清止。</w:t>
      </w:r>
    </w:p>
    <w:p w14:paraId="6F3D85B0">
      <w:pPr>
        <w:pStyle w:val="523"/>
        <w:numPr>
          <w:ilvl w:val="0"/>
          <w:numId w:val="53"/>
        </w:numPr>
        <w:tabs>
          <w:tab w:val="left" w:pos="731"/>
        </w:tabs>
        <w:spacing w:line="360" w:lineRule="exact"/>
        <w:ind w:firstLine="420"/>
        <w:rPr>
          <w:color w:val="auto"/>
          <w:highlight w:val="none"/>
        </w:rPr>
      </w:pPr>
      <w:bookmarkStart w:id="1430" w:name="bookmark1935"/>
      <w:bookmarkEnd w:id="1430"/>
      <w:r>
        <w:rPr>
          <w:color w:val="auto"/>
          <w:highlight w:val="none"/>
        </w:rPr>
        <w:t>在本担保有效期内，因承包人违反合同约定的义务而要求收回预付款时，我方在收到你方的书面通知后，无条件地在</w:t>
      </w:r>
      <w:r>
        <w:rPr>
          <w:rFonts w:ascii="Times New Roman" w:hAnsi="Times New Roman" w:eastAsia="Times New Roman" w:cs="Times New Roman"/>
          <w:color w:val="auto"/>
          <w:highlight w:val="none"/>
        </w:rPr>
        <w:t>7</w:t>
      </w:r>
      <w:r>
        <w:rPr>
          <w:color w:val="auto"/>
          <w:highlight w:val="none"/>
        </w:rPr>
        <w:t>天内予以支付。但本担保的担保金额，在任何时候不应超过预付款金额减去发包人按合同约定在向承包人签发的进度付款证书中已扣回的金额。</w:t>
      </w:r>
      <w:bookmarkStart w:id="1431" w:name="bookmark1936"/>
      <w:bookmarkEnd w:id="1431"/>
    </w:p>
    <w:p w14:paraId="263E999D">
      <w:pPr>
        <w:pStyle w:val="523"/>
        <w:numPr>
          <w:ilvl w:val="0"/>
          <w:numId w:val="53"/>
        </w:numPr>
        <w:tabs>
          <w:tab w:val="left" w:pos="731"/>
        </w:tabs>
        <w:spacing w:line="360" w:lineRule="exact"/>
        <w:ind w:firstLine="420"/>
        <w:rPr>
          <w:color w:val="auto"/>
          <w:highlight w:val="none"/>
        </w:rPr>
      </w:pPr>
      <w:r>
        <w:rPr>
          <w:color w:val="auto"/>
          <w:highlight w:val="none"/>
        </w:rPr>
        <w:t>发包人和承包人按《通用合同条款》第</w:t>
      </w:r>
      <w:r>
        <w:rPr>
          <w:rFonts w:ascii="Times New Roman" w:hAnsi="Times New Roman" w:eastAsia="Times New Roman" w:cs="Times New Roman"/>
          <w:color w:val="auto"/>
          <w:highlight w:val="none"/>
        </w:rPr>
        <w:t>15</w:t>
      </w:r>
      <w:r>
        <w:rPr>
          <w:color w:val="auto"/>
          <w:highlight w:val="none"/>
        </w:rPr>
        <w:t>条变更合同时，我方承担本担保规定的义务不变。</w:t>
      </w:r>
    </w:p>
    <w:p w14:paraId="4A97EC6F">
      <w:pPr>
        <w:pStyle w:val="523"/>
        <w:tabs>
          <w:tab w:val="left" w:pos="731"/>
        </w:tabs>
        <w:spacing w:line="360" w:lineRule="exact"/>
        <w:ind w:firstLine="0"/>
        <w:rPr>
          <w:color w:val="auto"/>
          <w:highlight w:val="none"/>
        </w:rPr>
      </w:pPr>
    </w:p>
    <w:p w14:paraId="41563458">
      <w:pPr>
        <w:pStyle w:val="523"/>
        <w:tabs>
          <w:tab w:val="left" w:pos="731"/>
        </w:tabs>
        <w:spacing w:line="360" w:lineRule="exact"/>
        <w:ind w:left="420" w:firstLine="0"/>
        <w:rPr>
          <w:color w:val="auto"/>
          <w:highlight w:val="none"/>
        </w:rPr>
      </w:pPr>
    </w:p>
    <w:p w14:paraId="2322DB87">
      <w:pPr>
        <w:spacing w:line="360" w:lineRule="exact"/>
        <w:jc w:val="right"/>
        <w:rPr>
          <w:color w:val="auto"/>
          <w:szCs w:val="21"/>
          <w:highlight w:val="none"/>
        </w:rPr>
      </w:pPr>
      <w:r>
        <w:rPr>
          <w:rFonts w:hint="eastAsia"/>
          <w:color w:val="auto"/>
          <w:szCs w:val="21"/>
          <w:highlight w:val="none"/>
        </w:rPr>
        <w:t>担  保 人：</w:t>
      </w:r>
      <w:r>
        <w:rPr>
          <w:rFonts w:hint="eastAsia"/>
          <w:color w:val="auto"/>
          <w:szCs w:val="21"/>
          <w:highlight w:val="none"/>
          <w:u w:val="single"/>
        </w:rPr>
        <w:t xml:space="preserve">                          </w:t>
      </w:r>
      <w:r>
        <w:rPr>
          <w:rFonts w:hint="eastAsia"/>
          <w:color w:val="auto"/>
          <w:szCs w:val="21"/>
          <w:highlight w:val="none"/>
        </w:rPr>
        <w:t>（盖单位公章）</w:t>
      </w:r>
      <w:r>
        <w:rPr>
          <w:color w:val="auto"/>
          <w:szCs w:val="21"/>
          <w:highlight w:val="none"/>
        </w:rPr>
        <w:t xml:space="preserve"> </w:t>
      </w:r>
    </w:p>
    <w:p w14:paraId="0B4C8F6E">
      <w:pPr>
        <w:spacing w:line="360" w:lineRule="exact"/>
        <w:jc w:val="right"/>
        <w:rPr>
          <w:color w:val="auto"/>
          <w:szCs w:val="21"/>
          <w:highlight w:val="none"/>
        </w:rPr>
      </w:pPr>
      <w:r>
        <w:rPr>
          <w:rFonts w:hint="eastAsia"/>
          <w:color w:val="auto"/>
          <w:szCs w:val="21"/>
          <w:highlight w:val="none"/>
        </w:rPr>
        <w:t xml:space="preserve">           法定代表人(或委托代理人)：</w:t>
      </w:r>
      <w:r>
        <w:rPr>
          <w:rFonts w:hint="eastAsia"/>
          <w:color w:val="auto"/>
          <w:szCs w:val="21"/>
          <w:highlight w:val="none"/>
          <w:u w:val="single"/>
        </w:rPr>
        <w:t xml:space="preserve">                  </w:t>
      </w:r>
      <w:r>
        <w:rPr>
          <w:rFonts w:hint="eastAsia"/>
          <w:color w:val="auto"/>
          <w:szCs w:val="21"/>
          <w:highlight w:val="none"/>
        </w:rPr>
        <w:t>（签字）</w:t>
      </w:r>
    </w:p>
    <w:p w14:paraId="13272A15">
      <w:pPr>
        <w:spacing w:line="360" w:lineRule="exact"/>
        <w:jc w:val="right"/>
        <w:rPr>
          <w:color w:val="auto"/>
          <w:szCs w:val="21"/>
          <w:highlight w:val="none"/>
        </w:rPr>
      </w:pPr>
      <w:r>
        <w:rPr>
          <w:rFonts w:hint="eastAsia"/>
          <w:color w:val="auto"/>
          <w:szCs w:val="21"/>
          <w:highlight w:val="none"/>
        </w:rPr>
        <w:t>地       址：</w:t>
      </w:r>
      <w:r>
        <w:rPr>
          <w:rFonts w:hint="eastAsia"/>
          <w:color w:val="auto"/>
          <w:szCs w:val="21"/>
          <w:highlight w:val="none"/>
          <w:u w:val="single"/>
        </w:rPr>
        <w:t xml:space="preserve">                </w:t>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rFonts w:hint="eastAsia"/>
          <w:color w:val="auto"/>
          <w:szCs w:val="21"/>
          <w:highlight w:val="none"/>
          <w:u w:val="single"/>
        </w:rPr>
        <w:t xml:space="preserve">   </w:t>
      </w:r>
      <w:r>
        <w:rPr>
          <w:rFonts w:hint="eastAsia"/>
          <w:color w:val="auto"/>
          <w:szCs w:val="21"/>
          <w:highlight w:val="none"/>
        </w:rPr>
        <w:t xml:space="preserve"> </w:t>
      </w:r>
    </w:p>
    <w:p w14:paraId="6086272B">
      <w:pPr>
        <w:spacing w:line="360" w:lineRule="exact"/>
        <w:ind w:firstLine="3780" w:firstLineChars="1800"/>
        <w:rPr>
          <w:color w:val="auto"/>
          <w:szCs w:val="21"/>
          <w:highlight w:val="none"/>
        </w:rPr>
      </w:pPr>
      <w:r>
        <w:rPr>
          <w:rFonts w:hint="eastAsia"/>
          <w:color w:val="auto"/>
          <w:szCs w:val="21"/>
          <w:highlight w:val="none"/>
        </w:rPr>
        <w:t>邮政编码：</w:t>
      </w:r>
      <w:r>
        <w:rPr>
          <w:color w:val="auto"/>
          <w:szCs w:val="21"/>
          <w:highlight w:val="none"/>
          <w:u w:val="single"/>
        </w:rPr>
        <w:tab/>
      </w:r>
      <w:r>
        <w:rPr>
          <w:rFonts w:hint="eastAsia"/>
          <w:color w:val="auto"/>
          <w:szCs w:val="21"/>
          <w:highlight w:val="none"/>
          <w:u w:val="single"/>
        </w:rPr>
        <w:t xml:space="preserve">   </w:t>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rFonts w:hint="eastAsia"/>
          <w:color w:val="auto"/>
          <w:szCs w:val="21"/>
          <w:highlight w:val="none"/>
          <w:u w:val="single"/>
        </w:rPr>
        <w:t xml:space="preserve"> </w:t>
      </w:r>
      <w:r>
        <w:rPr>
          <w:rFonts w:hint="eastAsia"/>
          <w:color w:val="auto"/>
          <w:szCs w:val="21"/>
          <w:highlight w:val="none"/>
        </w:rPr>
        <w:t xml:space="preserve"> </w:t>
      </w:r>
    </w:p>
    <w:p w14:paraId="159977A9">
      <w:pPr>
        <w:spacing w:line="360" w:lineRule="exact"/>
        <w:jc w:val="right"/>
        <w:rPr>
          <w:color w:val="auto"/>
          <w:szCs w:val="21"/>
          <w:highlight w:val="none"/>
          <w:u w:val="single"/>
        </w:rPr>
      </w:pPr>
      <w:r>
        <w:rPr>
          <w:rFonts w:hint="eastAsia"/>
          <w:color w:val="auto"/>
          <w:szCs w:val="21"/>
          <w:highlight w:val="none"/>
        </w:rPr>
        <w:t xml:space="preserve">        电        话：</w:t>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p>
    <w:p w14:paraId="3B905C78">
      <w:pPr>
        <w:spacing w:line="360" w:lineRule="exact"/>
        <w:jc w:val="right"/>
        <w:rPr>
          <w:color w:val="auto"/>
          <w:szCs w:val="21"/>
          <w:highlight w:val="none"/>
        </w:rPr>
      </w:pPr>
      <w:r>
        <w:rPr>
          <w:rFonts w:hint="eastAsia"/>
          <w:color w:val="auto"/>
          <w:szCs w:val="21"/>
          <w:highlight w:val="none"/>
        </w:rPr>
        <w:t xml:space="preserve">        传        真：</w:t>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r>
        <w:rPr>
          <w:color w:val="auto"/>
          <w:szCs w:val="21"/>
          <w:highlight w:val="none"/>
          <w:u w:val="single"/>
        </w:rPr>
        <w:tab/>
      </w:r>
    </w:p>
    <w:p w14:paraId="2C384BC6">
      <w:pPr>
        <w:spacing w:line="360" w:lineRule="exact"/>
        <w:jc w:val="right"/>
        <w:rPr>
          <w:color w:val="auto"/>
          <w:highlight w:val="none"/>
        </w:rPr>
      </w:pPr>
      <w:r>
        <w:rPr>
          <w:color w:val="auto"/>
          <w:szCs w:val="21"/>
          <w:highlight w:val="none"/>
          <w:u w:val="single"/>
        </w:rPr>
        <w:tab/>
      </w:r>
      <w:r>
        <w:rPr>
          <w:rFonts w:hint="eastAsia"/>
          <w:color w:val="auto"/>
          <w:szCs w:val="21"/>
          <w:highlight w:val="none"/>
          <w:u w:val="single"/>
        </w:rPr>
        <w:t xml:space="preserve">       </w:t>
      </w:r>
      <w:r>
        <w:rPr>
          <w:rFonts w:hint="eastAsia"/>
          <w:color w:val="auto"/>
          <w:szCs w:val="21"/>
          <w:highlight w:val="none"/>
        </w:rPr>
        <w:t>年</w:t>
      </w:r>
      <w:r>
        <w:rPr>
          <w:color w:val="auto"/>
          <w:szCs w:val="21"/>
          <w:highlight w:val="none"/>
          <w:u w:val="single"/>
        </w:rPr>
        <w:tab/>
      </w:r>
      <w:r>
        <w:rPr>
          <w:rFonts w:hint="eastAsia"/>
          <w:color w:val="auto"/>
          <w:szCs w:val="21"/>
          <w:highlight w:val="none"/>
          <w:u w:val="single"/>
        </w:rPr>
        <w:t xml:space="preserve">       </w:t>
      </w:r>
      <w:r>
        <w:rPr>
          <w:rFonts w:hint="eastAsia"/>
          <w:color w:val="auto"/>
          <w:szCs w:val="21"/>
          <w:highlight w:val="none"/>
        </w:rPr>
        <w:t>月</w:t>
      </w:r>
      <w:r>
        <w:rPr>
          <w:rFonts w:hint="eastAsia"/>
          <w:color w:val="auto"/>
          <w:szCs w:val="21"/>
          <w:highlight w:val="none"/>
          <w:u w:val="single"/>
        </w:rPr>
        <w:t xml:space="preserve">              </w:t>
      </w:r>
      <w:r>
        <w:rPr>
          <w:rFonts w:hint="eastAsia"/>
          <w:color w:val="auto"/>
          <w:szCs w:val="21"/>
          <w:highlight w:val="none"/>
        </w:rPr>
        <w:t xml:space="preserve">日   </w:t>
      </w:r>
      <w:r>
        <w:rPr>
          <w:rFonts w:hint="eastAsia"/>
          <w:color w:val="auto"/>
          <w:highlight w:val="none"/>
        </w:rPr>
        <w:t xml:space="preserve">  </w:t>
      </w:r>
    </w:p>
    <w:p w14:paraId="06BFBF27">
      <w:pPr>
        <w:pStyle w:val="523"/>
        <w:tabs>
          <w:tab w:val="left" w:pos="726"/>
        </w:tabs>
        <w:spacing w:after="340" w:line="360" w:lineRule="exact"/>
        <w:ind w:firstLine="0"/>
        <w:rPr>
          <w:color w:val="auto"/>
          <w:highlight w:val="none"/>
        </w:rPr>
      </w:pPr>
    </w:p>
    <w:p w14:paraId="0514F4F1">
      <w:pPr>
        <w:pStyle w:val="523"/>
        <w:tabs>
          <w:tab w:val="left" w:pos="726"/>
        </w:tabs>
        <w:spacing w:after="340" w:line="360" w:lineRule="exact"/>
        <w:ind w:firstLine="0"/>
        <w:rPr>
          <w:color w:val="auto"/>
          <w:highlight w:val="none"/>
        </w:rPr>
      </w:pPr>
      <w:r>
        <w:rPr>
          <w:color w:val="auto"/>
          <w:highlight w:val="none"/>
        </w:rPr>
        <w:t>注：</w:t>
      </w:r>
    </w:p>
    <w:p w14:paraId="100576C1">
      <w:pPr>
        <w:pStyle w:val="523"/>
        <w:numPr>
          <w:ilvl w:val="0"/>
          <w:numId w:val="54"/>
        </w:numPr>
        <w:tabs>
          <w:tab w:val="left" w:pos="699"/>
        </w:tabs>
        <w:spacing w:line="360" w:lineRule="exact"/>
        <w:rPr>
          <w:color w:val="auto"/>
          <w:highlight w:val="none"/>
        </w:rPr>
      </w:pPr>
      <w:bookmarkStart w:id="1432" w:name="bookmark1937"/>
      <w:bookmarkEnd w:id="1432"/>
      <w:r>
        <w:rPr>
          <w:color w:val="auto"/>
          <w:highlight w:val="none"/>
        </w:rPr>
        <w:t>担保人必须是投标人单位基本账户的开户银行。</w:t>
      </w:r>
    </w:p>
    <w:p w14:paraId="3CA97C3E">
      <w:pPr>
        <w:pStyle w:val="523"/>
        <w:numPr>
          <w:ilvl w:val="0"/>
          <w:numId w:val="54"/>
        </w:numPr>
        <w:tabs>
          <w:tab w:val="left" w:pos="716"/>
        </w:tabs>
        <w:spacing w:after="340" w:line="360" w:lineRule="exact"/>
        <w:rPr>
          <w:color w:val="auto"/>
          <w:highlight w:val="none"/>
        </w:rPr>
      </w:pPr>
      <w:bookmarkStart w:id="1433" w:name="bookmark1938"/>
      <w:bookmarkEnd w:id="1433"/>
      <w:r>
        <w:rPr>
          <w:color w:val="auto"/>
          <w:highlight w:val="none"/>
        </w:rPr>
        <w:t>委托代理人应附授权委托书</w:t>
      </w:r>
    </w:p>
    <w:p w14:paraId="4D101DDB">
      <w:pPr>
        <w:pStyle w:val="529"/>
        <w:tabs>
          <w:tab w:val="left" w:pos="487"/>
          <w:tab w:val="left" w:pos="1327"/>
          <w:tab w:val="left" w:pos="2407"/>
        </w:tabs>
        <w:spacing w:before="33"/>
        <w:ind w:right="170"/>
        <w:outlineLvl w:val="2"/>
        <w:rPr>
          <w:rStyle w:val="530"/>
          <w:color w:val="auto"/>
          <w:kern w:val="0"/>
          <w:highlight w:val="none"/>
        </w:rPr>
      </w:pPr>
      <w:bookmarkStart w:id="1434" w:name="bookmark2192"/>
      <w:bookmarkEnd w:id="1434"/>
      <w:r>
        <w:rPr>
          <w:rStyle w:val="530"/>
          <w:rFonts w:hint="eastAsia"/>
          <w:color w:val="auto"/>
          <w:kern w:val="0"/>
          <w:highlight w:val="none"/>
        </w:rPr>
        <w:br w:type="page"/>
      </w:r>
      <w:bookmarkStart w:id="1435" w:name="_Toc14938"/>
      <w:r>
        <w:rPr>
          <w:rStyle w:val="530"/>
          <w:rFonts w:hint="eastAsia"/>
          <w:color w:val="auto"/>
          <w:kern w:val="0"/>
          <w:highlight w:val="none"/>
        </w:rPr>
        <w:t>附件四：廉政协议</w:t>
      </w:r>
      <w:bookmarkEnd w:id="1435"/>
    </w:p>
    <w:p w14:paraId="7E563166">
      <w:pPr>
        <w:pStyle w:val="266"/>
        <w:widowControl/>
        <w:spacing w:line="440" w:lineRule="exact"/>
        <w:contextualSpacing/>
        <w:rPr>
          <w:rFonts w:ascii="宋体" w:hAnsi="宋体" w:cs="宋体"/>
          <w:b/>
          <w:color w:val="auto"/>
          <w:sz w:val="32"/>
          <w:szCs w:val="32"/>
          <w:highlight w:val="none"/>
        </w:rPr>
      </w:pPr>
      <w:r>
        <w:rPr>
          <w:rFonts w:hint="eastAsia"/>
          <w:color w:val="auto"/>
          <w:highlight w:val="none"/>
        </w:rPr>
        <w:t xml:space="preserve">                                </w:t>
      </w:r>
      <w:r>
        <w:rPr>
          <w:rFonts w:hint="eastAsia" w:ascii="宋体" w:hAnsi="宋体" w:cs="宋体"/>
          <w:b/>
          <w:color w:val="auto"/>
          <w:sz w:val="32"/>
          <w:szCs w:val="32"/>
          <w:highlight w:val="none"/>
        </w:rPr>
        <w:t>廉政协议</w:t>
      </w:r>
    </w:p>
    <w:p w14:paraId="4BB203E6">
      <w:pPr>
        <w:pStyle w:val="267"/>
        <w:spacing w:line="440" w:lineRule="exact"/>
        <w:rPr>
          <w:rFonts w:ascii="Times New Roman" w:hAnsi="Times New Roman"/>
          <w:color w:val="auto"/>
          <w:highlight w:val="none"/>
        </w:rPr>
      </w:pPr>
    </w:p>
    <w:p w14:paraId="074C737D">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根据有关工程建设、廉政建设的规定，为规范发包方和承包方的各项活动，防止发生各种谋取不正当利益的违法违纪行为，保证工程建设高效优质，保证建设资金的安全和有效使用以及投资效益，建设工程的发包人</w:t>
      </w:r>
      <w:r>
        <w:rPr>
          <w:rFonts w:hint="eastAsia" w:ascii="宋体" w:hAnsi="宋体" w:cs="宋体"/>
          <w:color w:val="auto"/>
          <w:szCs w:val="21"/>
          <w:highlight w:val="none"/>
          <w:u w:val="single"/>
          <w:lang w:val="zh-CN" w:bidi="zh-CN"/>
        </w:rPr>
        <w:t xml:space="preserve"> </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u w:val="single"/>
          <w:lang w:val="zh-CN" w:bidi="zh-CN"/>
        </w:rPr>
        <w:t xml:space="preserve"> </w:t>
      </w:r>
      <w:r>
        <w:rPr>
          <w:rFonts w:hint="eastAsia" w:ascii="宋体" w:hAnsi="宋体" w:cs="宋体"/>
          <w:color w:val="auto"/>
          <w:szCs w:val="21"/>
          <w:highlight w:val="none"/>
          <w:lang w:val="zh-CN" w:bidi="zh-CN"/>
        </w:rPr>
        <w:t>（以下简称“甲方”）与承包人</w:t>
      </w:r>
      <w:r>
        <w:rPr>
          <w:rFonts w:hint="eastAsia" w:ascii="宋体" w:hAnsi="宋体" w:cs="宋体"/>
          <w:color w:val="auto"/>
          <w:szCs w:val="21"/>
          <w:highlight w:val="none"/>
          <w:u w:val="single"/>
          <w:lang w:val="zh-CN" w:bidi="zh-CN"/>
        </w:rPr>
        <w:t xml:space="preserve"> </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u w:val="single"/>
          <w:lang w:val="zh-CN" w:bidi="zh-CN"/>
        </w:rPr>
        <w:t xml:space="preserve"> </w:t>
      </w:r>
      <w:r>
        <w:rPr>
          <w:rFonts w:hint="eastAsia" w:ascii="宋体" w:hAnsi="宋体" w:cs="宋体"/>
          <w:color w:val="auto"/>
          <w:szCs w:val="21"/>
          <w:highlight w:val="none"/>
          <w:lang w:val="zh-CN" w:bidi="zh-CN"/>
        </w:rPr>
        <w:t>（以下简称“乙方”），特订立如下合同。</w:t>
      </w:r>
    </w:p>
    <w:p w14:paraId="1AF7293A">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 xml:space="preserve">l.甲乙双方的权利和义务 </w:t>
      </w:r>
    </w:p>
    <w:p w14:paraId="16F54CFF">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（1）严格遵守党的政策规定和国家有关法律法规的有关规定，遵守国家关于市场准入、施工监理、招标投标、工程施工、设备安装和市场经营活动等有关法律法规。</w:t>
      </w:r>
    </w:p>
    <w:p w14:paraId="5B978B95">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（2）严格执行工程项目建设承包发包合同文件，自觉按合同办事。</w:t>
      </w:r>
    </w:p>
    <w:p w14:paraId="5FD2AEC4">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3）业务活动必须坚持公开、公平、公正、诚实、透明的原则（除法律法规另有规定者外），不得为获取不正当利益，就工程造价（款）、材料供应、工程量变更、工程验收、工程质量等问题进行私下商谈或达成默契，不得在工程款支付、工程量测量等工作中弄虚作假，不得损害国家和集体利益。</w:t>
      </w:r>
    </w:p>
    <w:p w14:paraId="308774AA">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（4）建立健全廉政制度，开展廉政教育，设立廉政告示牌，公布举报电话，监督并认真查处违法违纪行为。</w:t>
      </w:r>
    </w:p>
    <w:p w14:paraId="579360F8">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（5）发现对方在业务活动中有违反廉政规定的行为，有及时提醒对方纠正的权利和义务。</w:t>
      </w:r>
    </w:p>
    <w:p w14:paraId="4BFBE14F">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（6）发现对方严重违反本合同义务条款的行为，有向其上级有关部门举报、建议给子处理并要求告知处理结果的权利。</w:t>
      </w:r>
    </w:p>
    <w:p w14:paraId="18FF7E06">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2.甲方的义务</w:t>
      </w:r>
    </w:p>
    <w:p w14:paraId="1C927C5B">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（1）甲方及其工作人员不得索要或接受乙方的礼金、有价证券和贵重物品，不得在乙方报销任何应由甲方或甲方工作人员个人支付的费用等。</w:t>
      </w:r>
    </w:p>
    <w:p w14:paraId="3AB9702C">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（2）甲方工作人员不得参加乙方安排的超标准宴请和娱乐活动；不得接受乙方提供的通讯工具、交通工具和高档办公用品等。</w:t>
      </w:r>
    </w:p>
    <w:p w14:paraId="77111BE7">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（3）甲方及其工作人员不得要求或者接受乙方为其住房装修、婚丧嫁娶活动、配偶子女的工作安排以及出国出境、旅游等提供方便等。</w:t>
      </w:r>
    </w:p>
    <w:p w14:paraId="6668578A">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（4）甲方工作人员及其配偶、子女不得从事与甲方工程有关的材料设备供应、工程分包、劳务等经济活动。</w:t>
      </w:r>
    </w:p>
    <w:p w14:paraId="4BF33541">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（5）甲方及其工作人员不得以任何理由向乙方推荐分包单位或推销材料，不得要求乙方购买合同规定外的材料和设备。</w:t>
      </w:r>
    </w:p>
    <w:p w14:paraId="4C4EDC93">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（6）甲方工作人员要秉公办事，不准营私舞弊，不准利用职权从事各种个人有偿中介活动和安排个人施工队伍。</w:t>
      </w:r>
    </w:p>
    <w:p w14:paraId="0870C4B4">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3.乙方义务</w:t>
      </w:r>
    </w:p>
    <w:p w14:paraId="6936E3F0">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（1）乙方不得以任何理由向甲方及其工作人员行贿或馈赠礼金、有价证券、贵重礼品。</w:t>
      </w:r>
    </w:p>
    <w:p w14:paraId="79D35104">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（2）乙方不得以任何名义为甲方及其工作人员报销应由甲方单位或个人支付的任何费用。</w:t>
      </w:r>
    </w:p>
    <w:p w14:paraId="3AD7F6B2">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（3）乙方不得以任何理由安排甲方工作人员参加超标准宴请及娱乐活动</w:t>
      </w:r>
    </w:p>
    <w:p w14:paraId="0A1FE867">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（4）乙方不得为甲方单位和个人购置或提供通讯工具、交通工具和高档办公用品等。</w:t>
      </w:r>
    </w:p>
    <w:p w14:paraId="052373D0">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 xml:space="preserve">4.违约责任 </w:t>
      </w:r>
    </w:p>
    <w:p w14:paraId="3C1EB579">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（1）甲方及其工作人员违反本合同第一、二条，按管理权限，依据有关规定给予党纪、政纪或组织处理；给乙方单位造成经济损失的，应予以赔偿；涉嫌犯罪的，移交司法机关追究刑事责任。</w:t>
      </w:r>
    </w:p>
    <w:p w14:paraId="0124C4AB">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（2）乙方及其工作人员违反本合同第一、三条，按管理权限，依据有关规定给予党纪、政纪或组织处理；给甲方单位造成经济损失的，应予以赔偿；涉嫌犯罪的，移交司法机关追究刑事责任。</w:t>
      </w:r>
    </w:p>
    <w:p w14:paraId="7A998233">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5.本合同有效期为甲乙双方签署之日起至该工程项目完工验收后止。</w:t>
      </w:r>
    </w:p>
    <w:p w14:paraId="6E24D390">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6.本合同作为工程总承包合同的附件，与工程总承包合同具有同等的法律效力，经合同双方签署立即生效。</w:t>
      </w:r>
    </w:p>
    <w:p w14:paraId="15D53C6B">
      <w:pPr>
        <w:pStyle w:val="266"/>
        <w:widowControl/>
        <w:spacing w:line="440" w:lineRule="exact"/>
        <w:ind w:firstLine="420" w:firstLineChars="200"/>
        <w:contextualSpacing/>
        <w:rPr>
          <w:color w:val="auto"/>
          <w:highlight w:val="none"/>
        </w:rPr>
      </w:pPr>
      <w:r>
        <w:rPr>
          <w:rFonts w:hint="eastAsia" w:ascii="宋体" w:hAnsi="宋体" w:cs="宋体"/>
          <w:color w:val="auto"/>
          <w:szCs w:val="21"/>
          <w:highlight w:val="none"/>
          <w:lang w:val="zh-CN" w:bidi="zh-CN"/>
        </w:rPr>
        <w:t>7.本合同</w:t>
      </w:r>
      <w:r>
        <w:rPr>
          <w:rFonts w:hint="eastAsia" w:ascii="宋体" w:hAnsi="宋体" w:cs="宋体"/>
          <w:color w:val="auto"/>
          <w:szCs w:val="21"/>
          <w:highlight w:val="none"/>
          <w:lang w:bidi="zh-CN"/>
        </w:rPr>
        <w:t>与工程总承包合同份数一致</w:t>
      </w:r>
      <w:r>
        <w:rPr>
          <w:rFonts w:hint="eastAsia" w:ascii="宋体" w:hAnsi="宋体" w:cs="宋体"/>
          <w:color w:val="auto"/>
          <w:szCs w:val="21"/>
          <w:highlight w:val="none"/>
          <w:lang w:val="zh-CN" w:bidi="zh-CN"/>
        </w:rPr>
        <w:t>。</w:t>
      </w:r>
    </w:p>
    <w:p w14:paraId="307B8726">
      <w:pPr>
        <w:rPr>
          <w:color w:val="auto"/>
          <w:highlight w:val="none"/>
        </w:rPr>
      </w:pPr>
    </w:p>
    <w:p w14:paraId="0DFC9214">
      <w:pPr>
        <w:rPr>
          <w:color w:val="auto"/>
          <w:highlight w:val="none"/>
        </w:rPr>
      </w:pPr>
    </w:p>
    <w:tbl>
      <w:tblPr>
        <w:tblStyle w:val="5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0E9CF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4261" w:type="dxa"/>
            <w:tcBorders>
              <w:tl2br w:val="nil"/>
              <w:tr2bl w:val="nil"/>
            </w:tcBorders>
          </w:tcPr>
          <w:p w14:paraId="2D7CB181">
            <w:pPr>
              <w:pStyle w:val="523"/>
              <w:tabs>
                <w:tab w:val="left" w:pos="841"/>
              </w:tabs>
              <w:spacing w:line="440" w:lineRule="exact"/>
              <w:ind w:left="840" w:hanging="840" w:hangingChars="400"/>
              <w:rPr>
                <w:color w:val="auto"/>
                <w:szCs w:val="21"/>
                <w:highlight w:val="none"/>
              </w:rPr>
            </w:pPr>
            <w:r>
              <w:rPr>
                <w:rFonts w:hint="eastAsia"/>
                <w:color w:val="auto"/>
                <w:szCs w:val="21"/>
                <w:highlight w:val="none"/>
                <w:lang w:val="en-US"/>
              </w:rPr>
              <w:t>甲方：</w:t>
            </w:r>
            <w:r>
              <w:rPr>
                <w:rFonts w:hint="eastAsia"/>
                <w:color w:val="auto"/>
                <w:szCs w:val="21"/>
                <w:highlight w:val="none"/>
                <w:u w:val="single"/>
                <w:lang w:val="en-US"/>
              </w:rPr>
              <w:t xml:space="preserve">        </w:t>
            </w:r>
            <w:r>
              <w:rPr>
                <w:rFonts w:hint="eastAsia"/>
                <w:color w:val="auto"/>
                <w:szCs w:val="21"/>
                <w:highlight w:val="none"/>
                <w:lang w:val="en-US"/>
              </w:rPr>
              <w:t>（盖单位公章）</w:t>
            </w:r>
          </w:p>
        </w:tc>
        <w:tc>
          <w:tcPr>
            <w:tcW w:w="4261" w:type="dxa"/>
            <w:tcBorders>
              <w:tl2br w:val="nil"/>
              <w:tr2bl w:val="nil"/>
            </w:tcBorders>
          </w:tcPr>
          <w:p w14:paraId="23B26A19">
            <w:pPr>
              <w:pStyle w:val="523"/>
              <w:tabs>
                <w:tab w:val="left" w:pos="841"/>
              </w:tabs>
              <w:spacing w:line="440" w:lineRule="exact"/>
              <w:ind w:left="2100" w:hanging="2100" w:hangingChars="1000"/>
              <w:rPr>
                <w:color w:val="auto"/>
                <w:szCs w:val="21"/>
                <w:highlight w:val="none"/>
              </w:rPr>
            </w:pPr>
            <w:r>
              <w:rPr>
                <w:rFonts w:hint="eastAsia"/>
                <w:color w:val="auto"/>
                <w:szCs w:val="21"/>
                <w:highlight w:val="none"/>
                <w:lang w:val="en-US"/>
              </w:rPr>
              <w:t>乙方：</w:t>
            </w:r>
            <w:r>
              <w:rPr>
                <w:rFonts w:hint="eastAsia"/>
                <w:color w:val="auto"/>
                <w:szCs w:val="21"/>
                <w:highlight w:val="none"/>
                <w:u w:val="single"/>
                <w:lang w:val="en-US"/>
              </w:rPr>
              <w:t xml:space="preserve">           </w:t>
            </w:r>
            <w:r>
              <w:rPr>
                <w:rFonts w:hint="eastAsia"/>
                <w:color w:val="auto"/>
                <w:szCs w:val="21"/>
                <w:highlight w:val="none"/>
                <w:lang w:val="en-US"/>
              </w:rPr>
              <w:t>（盖单位公章）</w:t>
            </w:r>
          </w:p>
        </w:tc>
      </w:tr>
      <w:tr w14:paraId="0F012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0" w:hRule="atLeast"/>
          <w:jc w:val="center"/>
        </w:trPr>
        <w:tc>
          <w:tcPr>
            <w:tcW w:w="4261" w:type="dxa"/>
            <w:tcBorders>
              <w:tl2br w:val="nil"/>
              <w:tr2bl w:val="nil"/>
            </w:tcBorders>
          </w:tcPr>
          <w:p w14:paraId="36F45CE6">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法定代表人(或其委托代理人)：</w:t>
            </w:r>
          </w:p>
          <w:p w14:paraId="579CA677">
            <w:pPr>
              <w:pStyle w:val="523"/>
              <w:tabs>
                <w:tab w:val="left" w:pos="841"/>
              </w:tabs>
              <w:spacing w:line="440" w:lineRule="exact"/>
              <w:ind w:left="840" w:hanging="840" w:hangingChars="400"/>
              <w:rPr>
                <w:color w:val="auto"/>
                <w:szCs w:val="21"/>
                <w:highlight w:val="none"/>
                <w:lang w:val="en-US"/>
              </w:rPr>
            </w:pPr>
          </w:p>
          <w:p w14:paraId="2FAB04F0">
            <w:pPr>
              <w:pStyle w:val="523"/>
              <w:tabs>
                <w:tab w:val="left" w:pos="841"/>
              </w:tabs>
              <w:spacing w:line="440" w:lineRule="exact"/>
              <w:ind w:left="958" w:leftChars="456" w:firstLine="1260" w:firstLineChars="600"/>
              <w:rPr>
                <w:color w:val="auto"/>
                <w:szCs w:val="21"/>
                <w:highlight w:val="none"/>
                <w:lang w:val="en-US"/>
              </w:rPr>
            </w:pPr>
          </w:p>
          <w:p w14:paraId="4EE93FA2">
            <w:pPr>
              <w:pStyle w:val="523"/>
              <w:tabs>
                <w:tab w:val="left" w:pos="841"/>
              </w:tabs>
              <w:spacing w:line="440" w:lineRule="exact"/>
              <w:ind w:firstLine="1470" w:firstLineChars="700"/>
              <w:rPr>
                <w:color w:val="auto"/>
                <w:szCs w:val="21"/>
                <w:highlight w:val="none"/>
                <w:lang w:val="en-US"/>
              </w:rPr>
            </w:pPr>
            <w:r>
              <w:rPr>
                <w:rFonts w:hint="eastAsia"/>
                <w:color w:val="auto"/>
                <w:szCs w:val="21"/>
                <w:highlight w:val="none"/>
                <w:lang w:val="en-US"/>
              </w:rPr>
              <w:t>（签字或签章）</w:t>
            </w:r>
          </w:p>
        </w:tc>
        <w:tc>
          <w:tcPr>
            <w:tcW w:w="4261" w:type="dxa"/>
            <w:tcBorders>
              <w:tl2br w:val="nil"/>
              <w:tr2bl w:val="nil"/>
            </w:tcBorders>
          </w:tcPr>
          <w:p w14:paraId="653AF886">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法定代表人(或其委托代理人)：</w:t>
            </w:r>
          </w:p>
          <w:p w14:paraId="225D223F">
            <w:pPr>
              <w:pStyle w:val="523"/>
              <w:tabs>
                <w:tab w:val="left" w:pos="841"/>
              </w:tabs>
              <w:spacing w:line="440" w:lineRule="exact"/>
              <w:ind w:left="840" w:hanging="840" w:hangingChars="400"/>
              <w:rPr>
                <w:color w:val="auto"/>
                <w:szCs w:val="21"/>
                <w:highlight w:val="none"/>
                <w:lang w:val="en-US"/>
              </w:rPr>
            </w:pPr>
          </w:p>
          <w:p w14:paraId="69F77E23">
            <w:pPr>
              <w:pStyle w:val="523"/>
              <w:tabs>
                <w:tab w:val="left" w:pos="841"/>
              </w:tabs>
              <w:spacing w:line="440" w:lineRule="exact"/>
              <w:ind w:left="958" w:leftChars="456" w:firstLine="1260" w:firstLineChars="600"/>
              <w:rPr>
                <w:color w:val="auto"/>
                <w:szCs w:val="21"/>
                <w:highlight w:val="none"/>
                <w:lang w:val="en-US"/>
              </w:rPr>
            </w:pPr>
          </w:p>
          <w:p w14:paraId="56AEE7D8">
            <w:pPr>
              <w:pStyle w:val="523"/>
              <w:tabs>
                <w:tab w:val="left" w:pos="841"/>
              </w:tabs>
              <w:spacing w:line="440" w:lineRule="exact"/>
              <w:ind w:firstLine="2100" w:firstLineChars="1000"/>
              <w:rPr>
                <w:color w:val="auto"/>
                <w:szCs w:val="21"/>
                <w:highlight w:val="none"/>
              </w:rPr>
            </w:pPr>
            <w:r>
              <w:rPr>
                <w:rFonts w:hint="eastAsia"/>
                <w:color w:val="auto"/>
                <w:szCs w:val="21"/>
                <w:highlight w:val="none"/>
                <w:lang w:val="en-US"/>
              </w:rPr>
              <w:t>（签字或签章）</w:t>
            </w:r>
          </w:p>
        </w:tc>
      </w:tr>
      <w:tr w14:paraId="55775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gridSpan w:val="2"/>
            <w:tcBorders>
              <w:tl2br w:val="nil"/>
              <w:tr2bl w:val="nil"/>
            </w:tcBorders>
          </w:tcPr>
          <w:p w14:paraId="3B7D6ACF">
            <w:pPr>
              <w:pStyle w:val="523"/>
              <w:tabs>
                <w:tab w:val="left" w:pos="841"/>
              </w:tabs>
              <w:spacing w:line="440" w:lineRule="exact"/>
              <w:ind w:left="840" w:hanging="840" w:hangingChars="400"/>
              <w:jc w:val="center"/>
              <w:rPr>
                <w:color w:val="auto"/>
                <w:szCs w:val="21"/>
                <w:highlight w:val="none"/>
                <w:lang w:val="en-US"/>
              </w:rPr>
            </w:pPr>
            <w:r>
              <w:rPr>
                <w:rFonts w:hint="eastAsia"/>
                <w:color w:val="auto"/>
                <w:szCs w:val="21"/>
                <w:highlight w:val="none"/>
                <w:lang w:val="en-US"/>
              </w:rPr>
              <w:t>日期：      年    月    日</w:t>
            </w:r>
          </w:p>
        </w:tc>
      </w:tr>
    </w:tbl>
    <w:p w14:paraId="5F4B7462">
      <w:pPr>
        <w:rPr>
          <w:color w:val="auto"/>
          <w:highlight w:val="none"/>
        </w:rPr>
      </w:pPr>
    </w:p>
    <w:p w14:paraId="6CBCAEDD">
      <w:pPr>
        <w:pStyle w:val="529"/>
        <w:tabs>
          <w:tab w:val="left" w:pos="487"/>
          <w:tab w:val="left" w:pos="1327"/>
          <w:tab w:val="left" w:pos="2407"/>
        </w:tabs>
        <w:spacing w:before="33"/>
        <w:ind w:right="171"/>
        <w:rPr>
          <w:b/>
          <w:bCs/>
          <w:color w:val="auto"/>
          <w:highlight w:val="none"/>
        </w:rPr>
      </w:pPr>
    </w:p>
    <w:p w14:paraId="1D8D3745">
      <w:pPr>
        <w:pStyle w:val="529"/>
        <w:tabs>
          <w:tab w:val="left" w:pos="487"/>
          <w:tab w:val="left" w:pos="1327"/>
          <w:tab w:val="left" w:pos="2407"/>
        </w:tabs>
        <w:spacing w:before="33"/>
        <w:ind w:right="170"/>
        <w:outlineLvl w:val="2"/>
        <w:rPr>
          <w:b/>
          <w:bCs/>
          <w:color w:val="auto"/>
          <w:sz w:val="28"/>
          <w:szCs w:val="36"/>
          <w:highlight w:val="none"/>
        </w:rPr>
      </w:pPr>
      <w:r>
        <w:rPr>
          <w:rFonts w:hint="eastAsia"/>
          <w:b/>
          <w:bCs/>
          <w:color w:val="auto"/>
          <w:sz w:val="28"/>
          <w:szCs w:val="36"/>
          <w:highlight w:val="none"/>
        </w:rPr>
        <w:br w:type="page"/>
      </w:r>
      <w:bookmarkStart w:id="1436" w:name="_Toc19327"/>
      <w:r>
        <w:rPr>
          <w:rFonts w:hint="eastAsia"/>
          <w:b/>
          <w:bCs/>
          <w:color w:val="auto"/>
          <w:sz w:val="28"/>
          <w:szCs w:val="36"/>
          <w:highlight w:val="none"/>
        </w:rPr>
        <w:t>附件五：安全生产协议书</w:t>
      </w:r>
      <w:bookmarkEnd w:id="1436"/>
    </w:p>
    <w:p w14:paraId="4D8E0398">
      <w:pPr>
        <w:pStyle w:val="266"/>
        <w:widowControl/>
        <w:spacing w:line="440" w:lineRule="exact"/>
        <w:contextualSpacing/>
        <w:jc w:val="center"/>
        <w:rPr>
          <w:rFonts w:ascii="宋体" w:hAnsi="宋体" w:cs="宋体"/>
          <w:b/>
          <w:color w:val="auto"/>
          <w:sz w:val="24"/>
          <w:highlight w:val="none"/>
        </w:rPr>
      </w:pPr>
      <w:r>
        <w:rPr>
          <w:rFonts w:hint="eastAsia" w:ascii="宋体" w:hAnsi="宋体" w:cs="宋体"/>
          <w:b/>
          <w:color w:val="auto"/>
          <w:sz w:val="32"/>
          <w:szCs w:val="32"/>
          <w:highlight w:val="none"/>
        </w:rPr>
        <w:t>安全生产协议书</w:t>
      </w:r>
    </w:p>
    <w:p w14:paraId="5C2CBA87">
      <w:pPr>
        <w:pStyle w:val="267"/>
        <w:spacing w:line="440" w:lineRule="exact"/>
        <w:rPr>
          <w:rFonts w:ascii="Times New Roman" w:hAnsi="Times New Roman"/>
          <w:color w:val="auto"/>
          <w:highlight w:val="none"/>
        </w:rPr>
      </w:pPr>
    </w:p>
    <w:p w14:paraId="3AFCC4DB">
      <w:pPr>
        <w:pStyle w:val="267"/>
        <w:spacing w:line="440" w:lineRule="exact"/>
        <w:rPr>
          <w:rFonts w:ascii="Times New Roman" w:hAnsi="Times New Roman"/>
          <w:color w:val="auto"/>
          <w:highlight w:val="none"/>
        </w:rPr>
      </w:pPr>
    </w:p>
    <w:p w14:paraId="0E18CA0C">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为在</w:t>
      </w:r>
      <w:r>
        <w:rPr>
          <w:rFonts w:hint="eastAsia" w:ascii="宋体" w:hAnsi="宋体" w:cs="宋体"/>
          <w:color w:val="auto"/>
          <w:szCs w:val="21"/>
          <w:highlight w:val="none"/>
          <w:u w:val="single"/>
          <w:lang w:val="zh-CN" w:bidi="zh-CN"/>
        </w:rPr>
        <w:t xml:space="preserve"> 2025 年中央水利发展资金（大白水水库标准化创建）项目 </w:t>
      </w:r>
      <w:r>
        <w:rPr>
          <w:rFonts w:hint="eastAsia" w:ascii="宋体" w:hAnsi="宋体" w:cs="宋体"/>
          <w:color w:val="auto"/>
          <w:szCs w:val="21"/>
          <w:highlight w:val="none"/>
          <w:lang w:val="zh-CN" w:bidi="zh-CN"/>
        </w:rPr>
        <w:t>总承包合同的实施过程中创造安全、高效的施工环境，切实搞好本项目的安全管理工作，本项目发包人</w:t>
      </w:r>
      <w:r>
        <w:rPr>
          <w:rFonts w:hint="eastAsia" w:ascii="宋体" w:hAnsi="宋体" w:cs="宋体"/>
          <w:color w:val="auto"/>
          <w:szCs w:val="21"/>
          <w:highlight w:val="none"/>
          <w:u w:val="single"/>
          <w:lang w:val="zh-CN" w:bidi="zh-CN"/>
        </w:rPr>
        <w:t xml:space="preserve"> 北海市洪潮江水库工程管理中心</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val="zh-CN" w:bidi="zh-CN"/>
        </w:rPr>
        <w:t>（以下简称“甲方”）与承包人</w:t>
      </w:r>
      <w:r>
        <w:rPr>
          <w:rFonts w:hint="eastAsia" w:ascii="宋体" w:hAnsi="宋体" w:cs="宋体"/>
          <w:color w:val="auto"/>
          <w:szCs w:val="21"/>
          <w:highlight w:val="none"/>
          <w:u w:val="single"/>
          <w:lang w:val="zh-CN" w:bidi="zh-CN"/>
        </w:rPr>
        <w:t xml:space="preserve"> </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u w:val="single"/>
          <w:lang w:val="zh-CN" w:bidi="zh-CN"/>
        </w:rPr>
        <w:t xml:space="preserve"> </w:t>
      </w:r>
      <w:r>
        <w:rPr>
          <w:rFonts w:hint="eastAsia" w:ascii="宋体" w:hAnsi="宋体" w:cs="宋体"/>
          <w:color w:val="auto"/>
          <w:szCs w:val="21"/>
          <w:highlight w:val="none"/>
          <w:lang w:val="zh-CN" w:bidi="zh-CN"/>
        </w:rPr>
        <w:t xml:space="preserve">（以下简称“乙方”）特此签订安全生产协议书： </w:t>
      </w:r>
    </w:p>
    <w:p w14:paraId="680BE295">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 xml:space="preserve">一、甲方职责 </w:t>
      </w:r>
    </w:p>
    <w:p w14:paraId="2B005F1F">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1.严格遵守国家有关安全生产的法律法规，认真执行工程承包合同中的有关安全要求。</w:t>
      </w:r>
    </w:p>
    <w:p w14:paraId="484DFECE">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 xml:space="preserve">2.按照“安全第一、预防为主、综合治理”和坚持“管生产必须管安全”的原则进行安全生产管理，做到生产与安全工作同时计划、布置、检查、总结和评比。 </w:t>
      </w:r>
    </w:p>
    <w:p w14:paraId="7334F6CE">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 xml:space="preserve">3.重要的安全设施必须坚持与主体工程“三同时”的原则，即：同时设计、审批，同时施工，同时验收、投人使用。 </w:t>
      </w:r>
    </w:p>
    <w:p w14:paraId="51ED3219">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4.定期召开安全生产调度会，及时传达中央及地方有关安全生产的精神。</w:t>
      </w:r>
    </w:p>
    <w:p w14:paraId="13A7CD44">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5.组织对乙方施工现场安全生产检查，监督乙方及时处理发现的各种安全隐患。</w:t>
      </w:r>
    </w:p>
    <w:p w14:paraId="277A5790">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 xml:space="preserve">二、乙方职责 </w:t>
      </w:r>
    </w:p>
    <w:p w14:paraId="1B7DE916">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l．严格遵守国家有关安全生产的法律法规、工程施工安全技术规程和工程机械操作规程有关安全生产的规定，认真执行工程承包合同中的有关安全要求。</w:t>
      </w:r>
    </w:p>
    <w:p w14:paraId="4863A631">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2.坚持“安全第一、预防为主、综合治理”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31EB7E4B">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3.建立健全安全生产责任制。从派往项目实施的项目总负责人到生产工人（包括临时雇请的民工）的安全生产管理系统必须做到纵向到底，一环不漏；各职能部门、人员的安全生产责任制做到横向到边，人人有责。项目总负责人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3258CA94">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 xml:space="preserve">4.乙方在住何时候都应采取各种合理的预防措施，防止其员工发生任何违法、违禁、暴力或妨碍治安的行为。 </w:t>
      </w:r>
    </w:p>
    <w:p w14:paraId="1360669C">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5.乙方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恃种作业无证操作现象时，项目总负责人必须承担管理责任。</w:t>
      </w:r>
    </w:p>
    <w:p w14:paraId="744D3627">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6.对于易燃易爆的材料除应专门妥善保管之外，还应配备有足够的消防设施，所有施工人员都应熟悉消防设备的性能和使用方法；乙方不得将任何种类的爆炸物给予、易货或以其他方式转让给任何其他人，或允许、容忍上述同样行为。</w:t>
      </w:r>
    </w:p>
    <w:p w14:paraId="51235AF2">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7.操作人员上岗，必须按规定穿戴防护用品。施工负责人和安全检查员应随时检查劳动防护用品的穿戴情况，不按规定穿戴防护用品的人员不得上岗。</w:t>
      </w:r>
    </w:p>
    <w:p w14:paraId="5464DB97">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8.所有施工机具设备和高空作业的设备均应定期检查，并有安全员的签字记录，保证其经常处于完好状态；不合格的机具、设备和劳动保护用品严禁使用。</w:t>
      </w:r>
    </w:p>
    <w:p w14:paraId="3C491C5A">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9. 施工中采用新技术、新工艺、新设备、新材料时，必须制定相应的安全技术措施，施工现场必须具有相关的安全标志牌。</w:t>
      </w:r>
    </w:p>
    <w:p w14:paraId="5BD18322">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 xml:space="preserve">10.乙方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 </w:t>
      </w:r>
    </w:p>
    <w:p w14:paraId="0FA09269">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 xml:space="preserve">三、违约责任 </w:t>
      </w:r>
    </w:p>
    <w:p w14:paraId="1E1D7E91">
      <w:pPr>
        <w:pStyle w:val="266"/>
        <w:widowControl/>
        <w:spacing w:line="440" w:lineRule="exact"/>
        <w:ind w:firstLine="420" w:firstLineChars="200"/>
        <w:contextualSpacing/>
        <w:rPr>
          <w:rFonts w:ascii="宋体" w:hAnsi="宋体" w:cs="宋体"/>
          <w:color w:val="auto"/>
          <w:szCs w:val="21"/>
          <w:highlight w:val="none"/>
          <w:lang w:val="zh-CN" w:bidi="zh-CN"/>
        </w:rPr>
      </w:pPr>
      <w:r>
        <w:rPr>
          <w:rFonts w:hint="eastAsia" w:ascii="宋体" w:hAnsi="宋体" w:cs="宋体"/>
          <w:color w:val="auto"/>
          <w:szCs w:val="21"/>
          <w:highlight w:val="none"/>
          <w:lang w:val="zh-CN" w:bidi="zh-CN"/>
        </w:rPr>
        <w:t>如因甲方或乙方违约造成安全事故，将依法追究责任。</w:t>
      </w:r>
    </w:p>
    <w:p w14:paraId="6C8D51E5">
      <w:pPr>
        <w:pStyle w:val="266"/>
        <w:widowControl/>
        <w:spacing w:line="440" w:lineRule="exact"/>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lang w:val="zh-CN" w:bidi="zh-CN"/>
        </w:rPr>
        <w:t>本合同</w:t>
      </w:r>
      <w:r>
        <w:rPr>
          <w:rFonts w:hint="eastAsia" w:ascii="宋体" w:hAnsi="宋体" w:cs="宋体"/>
          <w:color w:val="auto"/>
          <w:szCs w:val="21"/>
          <w:highlight w:val="none"/>
          <w:lang w:bidi="zh-CN"/>
        </w:rPr>
        <w:t>份数与工程总承包合同份数一致</w:t>
      </w:r>
      <w:r>
        <w:rPr>
          <w:rFonts w:hint="eastAsia" w:ascii="宋体" w:hAnsi="宋体" w:cs="宋体"/>
          <w:color w:val="auto"/>
          <w:szCs w:val="21"/>
          <w:highlight w:val="none"/>
          <w:lang w:val="zh-CN" w:bidi="zh-CN"/>
        </w:rPr>
        <w:t>。由双方法定代表人或其授权的代理人签署与加盖公章后生效，全部工程竣工验收后失效。</w:t>
      </w:r>
    </w:p>
    <w:p w14:paraId="048BBA80">
      <w:pPr>
        <w:rPr>
          <w:color w:val="auto"/>
          <w:highlight w:val="none"/>
        </w:rPr>
      </w:pPr>
    </w:p>
    <w:tbl>
      <w:tblPr>
        <w:tblStyle w:val="5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14:paraId="05ABF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296" w:hRule="atLeast"/>
          <w:jc w:val="center"/>
        </w:trPr>
        <w:tc>
          <w:tcPr>
            <w:tcW w:w="4261" w:type="dxa"/>
            <w:tcBorders>
              <w:tl2br w:val="nil"/>
              <w:tr2bl w:val="nil"/>
            </w:tcBorders>
          </w:tcPr>
          <w:p w14:paraId="7F7E8129">
            <w:pPr>
              <w:pStyle w:val="523"/>
              <w:tabs>
                <w:tab w:val="left" w:pos="841"/>
              </w:tabs>
              <w:spacing w:line="440" w:lineRule="exact"/>
              <w:ind w:left="840" w:hanging="840" w:hangingChars="400"/>
              <w:rPr>
                <w:color w:val="auto"/>
                <w:szCs w:val="21"/>
                <w:highlight w:val="none"/>
              </w:rPr>
            </w:pPr>
            <w:r>
              <w:rPr>
                <w:rFonts w:hint="eastAsia"/>
                <w:color w:val="auto"/>
                <w:szCs w:val="21"/>
                <w:highlight w:val="none"/>
                <w:lang w:val="en-US"/>
              </w:rPr>
              <w:t>甲方：</w:t>
            </w:r>
            <w:r>
              <w:rPr>
                <w:rFonts w:hint="eastAsia"/>
                <w:color w:val="auto"/>
                <w:szCs w:val="21"/>
                <w:highlight w:val="none"/>
                <w:u w:val="single"/>
                <w:lang w:val="en-US"/>
              </w:rPr>
              <w:t xml:space="preserve">        </w:t>
            </w:r>
            <w:r>
              <w:rPr>
                <w:rFonts w:hint="eastAsia"/>
                <w:color w:val="auto"/>
                <w:szCs w:val="21"/>
                <w:highlight w:val="none"/>
                <w:lang w:val="en-US"/>
              </w:rPr>
              <w:t>（盖单位公章）</w:t>
            </w:r>
          </w:p>
        </w:tc>
        <w:tc>
          <w:tcPr>
            <w:tcW w:w="4261" w:type="dxa"/>
            <w:tcBorders>
              <w:tl2br w:val="nil"/>
              <w:tr2bl w:val="nil"/>
            </w:tcBorders>
          </w:tcPr>
          <w:p w14:paraId="332DF8BB">
            <w:pPr>
              <w:pStyle w:val="523"/>
              <w:tabs>
                <w:tab w:val="left" w:pos="841"/>
              </w:tabs>
              <w:spacing w:line="440" w:lineRule="exact"/>
              <w:ind w:left="2100" w:hanging="2100" w:hangingChars="1000"/>
              <w:rPr>
                <w:color w:val="auto"/>
                <w:szCs w:val="21"/>
                <w:highlight w:val="none"/>
              </w:rPr>
            </w:pPr>
            <w:r>
              <w:rPr>
                <w:rFonts w:hint="eastAsia"/>
                <w:color w:val="auto"/>
                <w:szCs w:val="21"/>
                <w:highlight w:val="none"/>
                <w:lang w:val="en-US"/>
              </w:rPr>
              <w:t>乙方：</w:t>
            </w:r>
            <w:r>
              <w:rPr>
                <w:rFonts w:hint="eastAsia"/>
                <w:color w:val="auto"/>
                <w:szCs w:val="21"/>
                <w:highlight w:val="none"/>
                <w:u w:val="single"/>
                <w:lang w:val="en-US"/>
              </w:rPr>
              <w:t xml:space="preserve">           </w:t>
            </w:r>
            <w:r>
              <w:rPr>
                <w:rFonts w:hint="eastAsia"/>
                <w:color w:val="auto"/>
                <w:szCs w:val="21"/>
                <w:highlight w:val="none"/>
                <w:lang w:val="en-US"/>
              </w:rPr>
              <w:t>（盖单位公章）</w:t>
            </w:r>
          </w:p>
        </w:tc>
      </w:tr>
      <w:tr w14:paraId="78A59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0" w:hRule="atLeast"/>
          <w:jc w:val="center"/>
        </w:trPr>
        <w:tc>
          <w:tcPr>
            <w:tcW w:w="4261" w:type="dxa"/>
            <w:tcBorders>
              <w:tl2br w:val="nil"/>
              <w:tr2bl w:val="nil"/>
            </w:tcBorders>
          </w:tcPr>
          <w:p w14:paraId="31CBB2EA">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法定代表人(或其委托代理人)：</w:t>
            </w:r>
          </w:p>
          <w:p w14:paraId="6E9B7885">
            <w:pPr>
              <w:pStyle w:val="523"/>
              <w:tabs>
                <w:tab w:val="left" w:pos="841"/>
              </w:tabs>
              <w:spacing w:line="440" w:lineRule="exact"/>
              <w:ind w:left="840" w:hanging="840" w:hangingChars="400"/>
              <w:rPr>
                <w:color w:val="auto"/>
                <w:szCs w:val="21"/>
                <w:highlight w:val="none"/>
                <w:lang w:val="en-US"/>
              </w:rPr>
            </w:pPr>
          </w:p>
          <w:p w14:paraId="5D6B8B63">
            <w:pPr>
              <w:pStyle w:val="523"/>
              <w:tabs>
                <w:tab w:val="left" w:pos="841"/>
              </w:tabs>
              <w:spacing w:line="440" w:lineRule="exact"/>
              <w:ind w:left="958" w:leftChars="456" w:firstLine="1260" w:firstLineChars="600"/>
              <w:rPr>
                <w:color w:val="auto"/>
                <w:szCs w:val="21"/>
                <w:highlight w:val="none"/>
                <w:lang w:val="en-US"/>
              </w:rPr>
            </w:pPr>
          </w:p>
          <w:p w14:paraId="01CF4596">
            <w:pPr>
              <w:pStyle w:val="523"/>
              <w:tabs>
                <w:tab w:val="left" w:pos="841"/>
              </w:tabs>
              <w:spacing w:line="440" w:lineRule="exact"/>
              <w:ind w:firstLine="1470" w:firstLineChars="700"/>
              <w:rPr>
                <w:color w:val="auto"/>
                <w:szCs w:val="21"/>
                <w:highlight w:val="none"/>
                <w:lang w:val="en-US"/>
              </w:rPr>
            </w:pPr>
            <w:r>
              <w:rPr>
                <w:rFonts w:hint="eastAsia"/>
                <w:color w:val="auto"/>
                <w:szCs w:val="21"/>
                <w:highlight w:val="none"/>
                <w:lang w:val="en-US"/>
              </w:rPr>
              <w:t>（签字或签章）</w:t>
            </w:r>
          </w:p>
        </w:tc>
        <w:tc>
          <w:tcPr>
            <w:tcW w:w="4261" w:type="dxa"/>
            <w:tcBorders>
              <w:tl2br w:val="nil"/>
              <w:tr2bl w:val="nil"/>
            </w:tcBorders>
          </w:tcPr>
          <w:p w14:paraId="07AD3F32">
            <w:pPr>
              <w:pStyle w:val="523"/>
              <w:tabs>
                <w:tab w:val="left" w:pos="841"/>
              </w:tabs>
              <w:spacing w:line="440" w:lineRule="exact"/>
              <w:ind w:left="840" w:hanging="840" w:hangingChars="400"/>
              <w:rPr>
                <w:color w:val="auto"/>
                <w:szCs w:val="21"/>
                <w:highlight w:val="none"/>
                <w:lang w:val="en-US"/>
              </w:rPr>
            </w:pPr>
            <w:r>
              <w:rPr>
                <w:rFonts w:hint="eastAsia"/>
                <w:color w:val="auto"/>
                <w:szCs w:val="21"/>
                <w:highlight w:val="none"/>
                <w:lang w:val="en-US"/>
              </w:rPr>
              <w:t>法定代表人(或其委托代理人)：</w:t>
            </w:r>
          </w:p>
          <w:p w14:paraId="1C5E2162">
            <w:pPr>
              <w:pStyle w:val="523"/>
              <w:tabs>
                <w:tab w:val="left" w:pos="841"/>
              </w:tabs>
              <w:spacing w:line="440" w:lineRule="exact"/>
              <w:ind w:left="840" w:hanging="840" w:hangingChars="400"/>
              <w:rPr>
                <w:color w:val="auto"/>
                <w:szCs w:val="21"/>
                <w:highlight w:val="none"/>
                <w:lang w:val="en-US"/>
              </w:rPr>
            </w:pPr>
          </w:p>
          <w:p w14:paraId="62336A42">
            <w:pPr>
              <w:pStyle w:val="523"/>
              <w:tabs>
                <w:tab w:val="left" w:pos="841"/>
              </w:tabs>
              <w:spacing w:line="440" w:lineRule="exact"/>
              <w:ind w:left="958" w:leftChars="456" w:firstLine="1260" w:firstLineChars="600"/>
              <w:rPr>
                <w:color w:val="auto"/>
                <w:szCs w:val="21"/>
                <w:highlight w:val="none"/>
                <w:lang w:val="en-US"/>
              </w:rPr>
            </w:pPr>
          </w:p>
          <w:p w14:paraId="6980435F">
            <w:pPr>
              <w:pStyle w:val="523"/>
              <w:tabs>
                <w:tab w:val="left" w:pos="841"/>
              </w:tabs>
              <w:spacing w:line="440" w:lineRule="exact"/>
              <w:ind w:firstLine="2100" w:firstLineChars="1000"/>
              <w:rPr>
                <w:color w:val="auto"/>
                <w:szCs w:val="21"/>
                <w:highlight w:val="none"/>
              </w:rPr>
            </w:pPr>
            <w:r>
              <w:rPr>
                <w:rFonts w:hint="eastAsia"/>
                <w:color w:val="auto"/>
                <w:szCs w:val="21"/>
                <w:highlight w:val="none"/>
                <w:lang w:val="en-US"/>
              </w:rPr>
              <w:t>（签字或签章）</w:t>
            </w:r>
          </w:p>
        </w:tc>
      </w:tr>
      <w:tr w14:paraId="1098D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gridSpan w:val="2"/>
            <w:tcBorders>
              <w:tl2br w:val="nil"/>
              <w:tr2bl w:val="nil"/>
            </w:tcBorders>
          </w:tcPr>
          <w:p w14:paraId="02A50AB8">
            <w:pPr>
              <w:pStyle w:val="523"/>
              <w:tabs>
                <w:tab w:val="left" w:pos="841"/>
              </w:tabs>
              <w:spacing w:line="440" w:lineRule="exact"/>
              <w:ind w:left="840" w:hanging="840" w:hangingChars="400"/>
              <w:jc w:val="center"/>
              <w:rPr>
                <w:color w:val="auto"/>
                <w:szCs w:val="21"/>
                <w:highlight w:val="none"/>
                <w:lang w:val="en-US"/>
              </w:rPr>
            </w:pPr>
            <w:r>
              <w:rPr>
                <w:rFonts w:hint="eastAsia"/>
                <w:color w:val="auto"/>
                <w:szCs w:val="21"/>
                <w:highlight w:val="none"/>
                <w:lang w:val="en-US"/>
              </w:rPr>
              <w:t>日期：     年    月    日</w:t>
            </w:r>
          </w:p>
        </w:tc>
      </w:tr>
    </w:tbl>
    <w:p w14:paraId="52D67D54">
      <w:pPr>
        <w:rPr>
          <w:color w:val="auto"/>
          <w:highlight w:val="none"/>
        </w:rPr>
      </w:pPr>
      <w:r>
        <w:rPr>
          <w:rFonts w:hint="eastAsia"/>
          <w:color w:val="auto"/>
          <w:highlight w:val="none"/>
        </w:rPr>
        <w:br w:type="page"/>
      </w:r>
      <w:bookmarkStart w:id="1437" w:name="_Toc14090"/>
    </w:p>
    <w:p w14:paraId="0992DC21">
      <w:pPr>
        <w:rPr>
          <w:color w:val="auto"/>
          <w:highlight w:val="none"/>
        </w:rPr>
      </w:pPr>
    </w:p>
    <w:p w14:paraId="6213A4F2">
      <w:pPr>
        <w:rPr>
          <w:color w:val="auto"/>
          <w:highlight w:val="none"/>
        </w:rPr>
      </w:pPr>
    </w:p>
    <w:p w14:paraId="26ABB248">
      <w:pPr>
        <w:rPr>
          <w:color w:val="auto"/>
          <w:highlight w:val="none"/>
        </w:rPr>
      </w:pPr>
    </w:p>
    <w:p w14:paraId="23E329E2">
      <w:pPr>
        <w:rPr>
          <w:color w:val="auto"/>
          <w:highlight w:val="none"/>
        </w:rPr>
      </w:pPr>
    </w:p>
    <w:p w14:paraId="5CCA7FA4">
      <w:pPr>
        <w:rPr>
          <w:color w:val="auto"/>
          <w:highlight w:val="none"/>
        </w:rPr>
      </w:pPr>
    </w:p>
    <w:p w14:paraId="45EEE714">
      <w:pPr>
        <w:pStyle w:val="2"/>
        <w:jc w:val="center"/>
        <w:rPr>
          <w:rFonts w:ascii="宋体" w:hAnsi="宋体" w:cs="宋体"/>
          <w:color w:val="auto"/>
          <w:highlight w:val="none"/>
        </w:rPr>
        <w:sectPr>
          <w:headerReference r:id="rId10" w:type="default"/>
          <w:footerReference r:id="rId11" w:type="default"/>
          <w:pgSz w:w="11910" w:h="16840"/>
          <w:pgMar w:top="1340" w:right="1500" w:bottom="1220" w:left="1680" w:header="720" w:footer="720" w:gutter="0"/>
          <w:pgNumType w:fmt="decimal"/>
          <w:cols w:space="720" w:num="1"/>
        </w:sectPr>
      </w:pPr>
      <w:bookmarkStart w:id="1438" w:name="_Toc18359"/>
      <w:r>
        <w:rPr>
          <w:rFonts w:hint="eastAsia" w:ascii="宋体" w:hAnsi="宋体" w:cs="宋体"/>
          <w:bCs w:val="0"/>
          <w:color w:val="auto"/>
          <w:highlight w:val="none"/>
        </w:rPr>
        <w:t>第八章 质疑、投诉材料格式</w:t>
      </w:r>
      <w:bookmarkEnd w:id="138"/>
      <w:bookmarkEnd w:id="139"/>
      <w:bookmarkEnd w:id="1437"/>
      <w:bookmarkEnd w:id="1438"/>
    </w:p>
    <w:p w14:paraId="7923BABC">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质疑函（格式）</w:t>
      </w:r>
    </w:p>
    <w:p w14:paraId="6ABFC1A5">
      <w:pPr>
        <w:pStyle w:val="28"/>
        <w:spacing w:line="360" w:lineRule="auto"/>
        <w:ind w:firstLine="482" w:firstLineChars="200"/>
        <w:contextualSpacing/>
        <w:rPr>
          <w:rFonts w:hAnsi="宋体" w:cs="宋体"/>
          <w:b/>
          <w:bCs/>
          <w:color w:val="auto"/>
          <w:sz w:val="24"/>
          <w:szCs w:val="24"/>
          <w:highlight w:val="none"/>
        </w:rPr>
      </w:pPr>
      <w:r>
        <w:rPr>
          <w:rFonts w:hint="eastAsia" w:hAnsi="宋体" w:cs="宋体"/>
          <w:b/>
          <w:bCs/>
          <w:color w:val="auto"/>
          <w:sz w:val="24"/>
          <w:szCs w:val="24"/>
          <w:highlight w:val="none"/>
        </w:rPr>
        <w:t>一、质疑供应商基本信息：</w:t>
      </w:r>
    </w:p>
    <w:p w14:paraId="5974C0D0">
      <w:pPr>
        <w:pStyle w:val="28"/>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 xml:space="preserve">质疑供应商：                                                        </w:t>
      </w:r>
    </w:p>
    <w:p w14:paraId="6F15DEA6">
      <w:pPr>
        <w:pStyle w:val="28"/>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 xml:space="preserve">地址：                                          邮编：                                   </w:t>
      </w:r>
    </w:p>
    <w:p w14:paraId="350B8682">
      <w:pPr>
        <w:pStyle w:val="28"/>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 xml:space="preserve">联系人：                     联系电话：                 </w:t>
      </w:r>
    </w:p>
    <w:p w14:paraId="1633FAFA">
      <w:pPr>
        <w:pStyle w:val="28"/>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 xml:space="preserve">授权代表：                      </w:t>
      </w:r>
    </w:p>
    <w:p w14:paraId="633002D0">
      <w:pPr>
        <w:pStyle w:val="28"/>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 xml:space="preserve">联系电话：                      </w:t>
      </w:r>
    </w:p>
    <w:p w14:paraId="43E8D608">
      <w:pPr>
        <w:pStyle w:val="28"/>
        <w:spacing w:line="360" w:lineRule="auto"/>
        <w:ind w:firstLine="480" w:firstLineChars="200"/>
        <w:contextualSpacing/>
        <w:rPr>
          <w:rFonts w:hAnsi="宋体" w:cs="宋体"/>
          <w:bCs/>
          <w:color w:val="auto"/>
          <w:sz w:val="24"/>
          <w:szCs w:val="24"/>
          <w:highlight w:val="none"/>
        </w:rPr>
      </w:pPr>
      <w:r>
        <w:rPr>
          <w:rFonts w:hint="eastAsia" w:hAnsi="宋体" w:cs="宋体"/>
          <w:bCs/>
          <w:color w:val="auto"/>
          <w:sz w:val="24"/>
          <w:szCs w:val="24"/>
          <w:highlight w:val="none"/>
        </w:rPr>
        <w:t xml:space="preserve">地址：                 邮编：                       </w:t>
      </w:r>
    </w:p>
    <w:p w14:paraId="5667BD08">
      <w:pPr>
        <w:pStyle w:val="28"/>
        <w:spacing w:line="360" w:lineRule="auto"/>
        <w:ind w:firstLine="482" w:firstLineChars="200"/>
        <w:contextualSpacing/>
        <w:rPr>
          <w:rFonts w:hAnsi="宋体" w:cs="宋体"/>
          <w:b/>
          <w:bCs/>
          <w:color w:val="auto"/>
          <w:sz w:val="24"/>
          <w:szCs w:val="24"/>
          <w:highlight w:val="none"/>
        </w:rPr>
      </w:pPr>
      <w:r>
        <w:rPr>
          <w:rFonts w:hint="eastAsia" w:hAnsi="宋体" w:cs="宋体"/>
          <w:b/>
          <w:bCs/>
          <w:color w:val="auto"/>
          <w:sz w:val="24"/>
          <w:szCs w:val="24"/>
          <w:highlight w:val="none"/>
        </w:rPr>
        <w:t>二、质疑项目基本情况：</w:t>
      </w:r>
    </w:p>
    <w:p w14:paraId="64CBCAB9">
      <w:pPr>
        <w:pStyle w:val="28"/>
        <w:spacing w:line="360" w:lineRule="auto"/>
        <w:ind w:left="25" w:leftChars="12" w:firstLine="472" w:firstLineChars="197"/>
        <w:contextualSpacing/>
        <w:rPr>
          <w:rFonts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项目的名称：</w:t>
      </w:r>
    </w:p>
    <w:p w14:paraId="792D0DD8">
      <w:pPr>
        <w:pStyle w:val="28"/>
        <w:spacing w:line="360" w:lineRule="auto"/>
        <w:ind w:left="25" w:leftChars="12" w:firstLine="472" w:firstLineChars="197"/>
        <w:contextualSpacing/>
        <w:rPr>
          <w:rFonts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项目的编号：</w:t>
      </w:r>
    </w:p>
    <w:p w14:paraId="50791439">
      <w:pPr>
        <w:pStyle w:val="28"/>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采购人名称：</w:t>
      </w:r>
    </w:p>
    <w:p w14:paraId="5009B92E">
      <w:pPr>
        <w:pStyle w:val="28"/>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质疑事项：</w:t>
      </w:r>
    </w:p>
    <w:p w14:paraId="2011F7D3">
      <w:pPr>
        <w:pStyle w:val="28"/>
        <w:spacing w:line="360" w:lineRule="auto"/>
        <w:ind w:left="25" w:leftChars="12" w:firstLine="352" w:firstLineChars="147"/>
        <w:contextualSpacing/>
        <w:rPr>
          <w:rFonts w:hAnsi="宋体" w:cs="宋体"/>
          <w:color w:val="auto"/>
          <w:sz w:val="24"/>
          <w:szCs w:val="24"/>
          <w:highlight w:val="none"/>
        </w:rPr>
      </w:pPr>
      <w:r>
        <w:rPr>
          <w:rFonts w:hint="eastAsia" w:hAnsi="宋体" w:cs="宋体"/>
          <w:color w:val="auto"/>
          <w:sz w:val="24"/>
          <w:szCs w:val="24"/>
          <w:highlight w:val="none"/>
        </w:rPr>
        <w:t>□采购文件   采购文件获取日期：</w:t>
      </w:r>
    </w:p>
    <w:p w14:paraId="6C5D1285">
      <w:pPr>
        <w:pStyle w:val="28"/>
        <w:spacing w:line="360" w:lineRule="auto"/>
        <w:ind w:left="25" w:leftChars="12" w:firstLine="352" w:firstLineChars="147"/>
        <w:contextualSpacing/>
        <w:rPr>
          <w:rFonts w:hAnsi="宋体" w:cs="宋体"/>
          <w:color w:val="auto"/>
          <w:sz w:val="24"/>
          <w:szCs w:val="24"/>
          <w:highlight w:val="none"/>
        </w:rPr>
      </w:pPr>
      <w:r>
        <w:rPr>
          <w:rFonts w:hint="eastAsia" w:hAnsi="宋体" w:cs="宋体"/>
          <w:color w:val="auto"/>
          <w:sz w:val="24"/>
          <w:szCs w:val="24"/>
          <w:highlight w:val="none"/>
        </w:rPr>
        <w:t xml:space="preserve">□采购过程   </w:t>
      </w:r>
    </w:p>
    <w:p w14:paraId="499C7359">
      <w:pPr>
        <w:pStyle w:val="28"/>
        <w:spacing w:line="360" w:lineRule="auto"/>
        <w:ind w:left="25" w:leftChars="12" w:firstLine="352" w:firstLineChars="147"/>
        <w:contextualSpacing/>
        <w:rPr>
          <w:rFonts w:hAnsi="宋体" w:cs="宋体"/>
          <w:bCs/>
          <w:color w:val="auto"/>
          <w:sz w:val="24"/>
          <w:szCs w:val="24"/>
          <w:highlight w:val="none"/>
        </w:rPr>
      </w:pPr>
      <w:r>
        <w:rPr>
          <w:rFonts w:hint="eastAsia" w:hAnsi="宋体" w:cs="宋体"/>
          <w:color w:val="auto"/>
          <w:sz w:val="24"/>
          <w:szCs w:val="24"/>
          <w:highlight w:val="none"/>
        </w:rPr>
        <w:t xml:space="preserve">□成交结果   </w:t>
      </w:r>
    </w:p>
    <w:p w14:paraId="12020111">
      <w:pPr>
        <w:pStyle w:val="28"/>
        <w:spacing w:line="360" w:lineRule="auto"/>
        <w:ind w:left="25" w:leftChars="12" w:firstLine="472" w:firstLineChars="196"/>
        <w:contextualSpacing/>
        <w:rPr>
          <w:rFonts w:hAnsi="宋体" w:cs="宋体"/>
          <w:b/>
          <w:color w:val="auto"/>
          <w:sz w:val="24"/>
          <w:szCs w:val="24"/>
          <w:highlight w:val="none"/>
        </w:rPr>
      </w:pPr>
      <w:r>
        <w:rPr>
          <w:rFonts w:hint="eastAsia" w:hAnsi="宋体" w:cs="宋体"/>
          <w:b/>
          <w:color w:val="auto"/>
          <w:sz w:val="24"/>
          <w:szCs w:val="24"/>
          <w:highlight w:val="none"/>
        </w:rPr>
        <w:t>三、质疑事项具体内容</w:t>
      </w:r>
    </w:p>
    <w:p w14:paraId="71EF9395">
      <w:pPr>
        <w:pStyle w:val="28"/>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质疑事项1：</w:t>
      </w:r>
    </w:p>
    <w:p w14:paraId="0EFDB3FE">
      <w:pPr>
        <w:pStyle w:val="28"/>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事实依据：</w:t>
      </w:r>
    </w:p>
    <w:p w14:paraId="35EECA4D">
      <w:pPr>
        <w:pStyle w:val="28"/>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 xml:space="preserve">法律依据：                                                        </w:t>
      </w:r>
    </w:p>
    <w:p w14:paraId="24D3BA33">
      <w:pPr>
        <w:pStyle w:val="28"/>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质疑事项2</w:t>
      </w:r>
    </w:p>
    <w:p w14:paraId="699B0247">
      <w:pPr>
        <w:pStyle w:val="28"/>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w:t>
      </w:r>
    </w:p>
    <w:p w14:paraId="7AB35021">
      <w:pPr>
        <w:pStyle w:val="28"/>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四、与质疑事项相关的质疑请求：</w:t>
      </w:r>
    </w:p>
    <w:p w14:paraId="4C16093C">
      <w:pPr>
        <w:pStyle w:val="28"/>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请求：</w:t>
      </w:r>
    </w:p>
    <w:p w14:paraId="046D1765">
      <w:pPr>
        <w:pStyle w:val="28"/>
        <w:spacing w:line="360" w:lineRule="auto"/>
        <w:ind w:left="25" w:leftChars="12" w:firstLine="352" w:firstLineChars="147"/>
        <w:contextualSpacing/>
        <w:rPr>
          <w:rFonts w:hAnsi="宋体" w:cs="宋体"/>
          <w:color w:val="auto"/>
          <w:sz w:val="24"/>
          <w:szCs w:val="24"/>
          <w:highlight w:val="none"/>
        </w:rPr>
      </w:pPr>
    </w:p>
    <w:p w14:paraId="682733F0">
      <w:pPr>
        <w:pStyle w:val="28"/>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签字（签章）：                                       公章：</w:t>
      </w:r>
    </w:p>
    <w:p w14:paraId="43006B82">
      <w:pPr>
        <w:pStyle w:val="28"/>
        <w:spacing w:line="360" w:lineRule="auto"/>
        <w:ind w:left="25" w:leftChars="12" w:firstLine="352" w:firstLineChars="147"/>
        <w:contextualSpacing/>
        <w:rPr>
          <w:rFonts w:hAnsi="宋体" w:cs="宋体"/>
          <w:color w:val="auto"/>
          <w:sz w:val="24"/>
          <w:szCs w:val="24"/>
          <w:highlight w:val="none"/>
        </w:rPr>
      </w:pPr>
    </w:p>
    <w:p w14:paraId="02293498">
      <w:pPr>
        <w:pStyle w:val="28"/>
        <w:spacing w:line="360" w:lineRule="auto"/>
        <w:ind w:left="25" w:leftChars="12" w:firstLine="472" w:firstLineChars="197"/>
        <w:contextualSpacing/>
        <w:rPr>
          <w:rFonts w:hAnsi="宋体" w:cs="宋体"/>
          <w:color w:val="auto"/>
          <w:sz w:val="24"/>
          <w:szCs w:val="24"/>
          <w:highlight w:val="none"/>
        </w:rPr>
      </w:pPr>
      <w:r>
        <w:rPr>
          <w:rFonts w:hint="eastAsia" w:hAnsi="宋体" w:cs="宋体"/>
          <w:color w:val="auto"/>
          <w:sz w:val="24"/>
          <w:szCs w:val="24"/>
          <w:highlight w:val="none"/>
        </w:rPr>
        <w:t>日期：</w:t>
      </w:r>
    </w:p>
    <w:p w14:paraId="01D360F2">
      <w:pPr>
        <w:pStyle w:val="28"/>
        <w:spacing w:line="360" w:lineRule="auto"/>
        <w:contextualSpacing/>
        <w:rPr>
          <w:rFonts w:hAnsi="宋体" w:cs="宋体"/>
          <w:b/>
          <w:color w:val="auto"/>
          <w:sz w:val="24"/>
          <w:szCs w:val="24"/>
          <w:highlight w:val="none"/>
        </w:rPr>
      </w:pPr>
    </w:p>
    <w:p w14:paraId="253AE076">
      <w:pPr>
        <w:pStyle w:val="28"/>
        <w:spacing w:line="360" w:lineRule="auto"/>
        <w:contextualSpacing/>
        <w:rPr>
          <w:rFonts w:hAnsi="宋体" w:cs="宋体"/>
          <w:b/>
          <w:color w:val="auto"/>
          <w:sz w:val="24"/>
          <w:szCs w:val="24"/>
          <w:highlight w:val="none"/>
        </w:rPr>
      </w:pPr>
    </w:p>
    <w:p w14:paraId="5EC1D059">
      <w:pPr>
        <w:pStyle w:val="28"/>
        <w:spacing w:line="360" w:lineRule="auto"/>
        <w:contextualSpacing/>
        <w:rPr>
          <w:rFonts w:hAnsi="宋体" w:cs="宋体"/>
          <w:b/>
          <w:color w:val="auto"/>
          <w:sz w:val="24"/>
          <w:szCs w:val="24"/>
          <w:highlight w:val="none"/>
        </w:rPr>
      </w:pPr>
      <w:r>
        <w:rPr>
          <w:rFonts w:hint="eastAsia" w:hAnsi="宋体" w:cs="宋体"/>
          <w:b/>
          <w:color w:val="auto"/>
          <w:sz w:val="24"/>
          <w:szCs w:val="24"/>
          <w:highlight w:val="none"/>
        </w:rPr>
        <w:t>说明：</w:t>
      </w:r>
    </w:p>
    <w:p w14:paraId="4C62D573">
      <w:pPr>
        <w:pStyle w:val="28"/>
        <w:spacing w:line="360" w:lineRule="auto"/>
        <w:ind w:left="25" w:leftChars="12" w:firstLine="354" w:firstLineChars="147"/>
        <w:contextualSpacing/>
        <w:rPr>
          <w:rFonts w:hAnsi="宋体" w:cs="宋体"/>
          <w:b/>
          <w:bCs/>
          <w:color w:val="auto"/>
          <w:sz w:val="24"/>
          <w:szCs w:val="24"/>
          <w:highlight w:val="none"/>
        </w:rPr>
      </w:pPr>
      <w:r>
        <w:rPr>
          <w:rFonts w:hint="eastAsia" w:hAnsi="宋体" w:cs="宋体"/>
          <w:b/>
          <w:color w:val="auto"/>
          <w:sz w:val="24"/>
          <w:szCs w:val="24"/>
          <w:highlight w:val="none"/>
        </w:rPr>
        <w:t>1.供应商提出质疑时，应提交质疑函和必要的证明材料</w:t>
      </w:r>
      <w:r>
        <w:rPr>
          <w:rFonts w:hint="eastAsia" w:hAnsi="宋体" w:cs="宋体"/>
          <w:b/>
          <w:bCs/>
          <w:color w:val="auto"/>
          <w:sz w:val="24"/>
          <w:szCs w:val="24"/>
          <w:highlight w:val="none"/>
        </w:rPr>
        <w:t>。</w:t>
      </w:r>
    </w:p>
    <w:p w14:paraId="06A384EE">
      <w:pPr>
        <w:pStyle w:val="28"/>
        <w:spacing w:line="360" w:lineRule="auto"/>
        <w:ind w:left="25" w:leftChars="12" w:firstLine="354" w:firstLineChars="147"/>
        <w:contextualSpacing/>
        <w:rPr>
          <w:rFonts w:hAnsi="宋体" w:cs="宋体"/>
          <w:b/>
          <w:color w:val="auto"/>
          <w:sz w:val="24"/>
          <w:szCs w:val="24"/>
          <w:highlight w:val="none"/>
        </w:rPr>
      </w:pPr>
      <w:r>
        <w:rPr>
          <w:rFonts w:hint="eastAsia" w:hAnsi="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A2F645E">
      <w:pPr>
        <w:pStyle w:val="28"/>
        <w:spacing w:line="360" w:lineRule="auto"/>
        <w:ind w:left="25" w:leftChars="12" w:firstLine="354" w:firstLineChars="147"/>
        <w:contextualSpacing/>
        <w:rPr>
          <w:rFonts w:hAnsi="宋体" w:cs="宋体"/>
          <w:b/>
          <w:color w:val="auto"/>
          <w:sz w:val="24"/>
          <w:szCs w:val="24"/>
          <w:highlight w:val="none"/>
        </w:rPr>
      </w:pPr>
      <w:r>
        <w:rPr>
          <w:rFonts w:hint="eastAsia" w:hAnsi="宋体" w:cs="宋体"/>
          <w:b/>
          <w:color w:val="auto"/>
          <w:sz w:val="24"/>
          <w:szCs w:val="24"/>
          <w:highlight w:val="none"/>
        </w:rPr>
        <w:t>3.质疑函的质疑事项应具体、明确，并有必要的事实依据和法律依据。</w:t>
      </w:r>
    </w:p>
    <w:p w14:paraId="172A560C">
      <w:pPr>
        <w:pStyle w:val="28"/>
        <w:spacing w:line="360" w:lineRule="auto"/>
        <w:ind w:left="25" w:leftChars="12" w:firstLine="354" w:firstLineChars="147"/>
        <w:contextualSpacing/>
        <w:rPr>
          <w:rFonts w:hAnsi="宋体" w:cs="宋体"/>
          <w:b/>
          <w:color w:val="auto"/>
          <w:sz w:val="24"/>
          <w:szCs w:val="24"/>
          <w:highlight w:val="none"/>
        </w:rPr>
      </w:pPr>
      <w:r>
        <w:rPr>
          <w:rFonts w:hint="eastAsia" w:hAnsi="宋体" w:cs="宋体"/>
          <w:b/>
          <w:color w:val="auto"/>
          <w:sz w:val="24"/>
          <w:szCs w:val="24"/>
          <w:highlight w:val="none"/>
        </w:rPr>
        <w:t>4.质疑函的质疑请求应与质疑事项相关。</w:t>
      </w:r>
    </w:p>
    <w:p w14:paraId="4E33D36A">
      <w:pPr>
        <w:pStyle w:val="28"/>
        <w:spacing w:line="360" w:lineRule="auto"/>
        <w:ind w:left="25" w:leftChars="12" w:firstLine="354" w:firstLineChars="147"/>
        <w:contextualSpacing/>
        <w:rPr>
          <w:rFonts w:hAnsi="宋体" w:cs="宋体"/>
          <w:b/>
          <w:color w:val="auto"/>
          <w:highlight w:val="none"/>
        </w:rPr>
      </w:pPr>
      <w:r>
        <w:rPr>
          <w:rFonts w:hint="eastAsia" w:hAnsi="宋体" w:cs="宋体"/>
          <w:b/>
          <w:color w:val="auto"/>
          <w:sz w:val="24"/>
          <w:szCs w:val="24"/>
          <w:highlight w:val="none"/>
        </w:rPr>
        <w:t>5.质疑供应商为法人或者其他组织的，质疑函应由法定代表人、主要负责人，或者其授权代表签字或者盖章，并加盖公章。</w:t>
      </w:r>
    </w:p>
    <w:p w14:paraId="3542672B">
      <w:pPr>
        <w:pStyle w:val="28"/>
        <w:snapToGrid w:val="0"/>
        <w:rPr>
          <w:rFonts w:hAnsi="宋体" w:cs="宋体"/>
          <w:b/>
          <w:color w:val="auto"/>
          <w:sz w:val="24"/>
          <w:szCs w:val="24"/>
          <w:highlight w:val="none"/>
        </w:rPr>
      </w:pPr>
    </w:p>
    <w:p w14:paraId="4F7CB868">
      <w:pPr>
        <w:spacing w:line="460" w:lineRule="exact"/>
        <w:jc w:val="center"/>
        <w:rPr>
          <w:rFonts w:ascii="宋体" w:hAnsi="宋体" w:cs="宋体"/>
          <w:color w:val="auto"/>
          <w:sz w:val="44"/>
          <w:highlight w:val="none"/>
        </w:rPr>
      </w:pPr>
      <w:r>
        <w:rPr>
          <w:rFonts w:hint="eastAsia" w:ascii="宋体" w:hAnsi="宋体" w:cs="宋体"/>
          <w:color w:val="auto"/>
          <w:sz w:val="44"/>
          <w:highlight w:val="none"/>
        </w:rPr>
        <w:br w:type="page"/>
      </w:r>
    </w:p>
    <w:p w14:paraId="7EBB5B2C">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投诉书（格式）</w:t>
      </w:r>
    </w:p>
    <w:p w14:paraId="74A5AEAD">
      <w:pPr>
        <w:pStyle w:val="28"/>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一、投诉相关主体基本情况：</w:t>
      </w:r>
    </w:p>
    <w:p w14:paraId="132B2141">
      <w:pPr>
        <w:pStyle w:val="2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 xml:space="preserve">供应商：                                                                                         </w:t>
      </w:r>
    </w:p>
    <w:p w14:paraId="78A77E92">
      <w:pPr>
        <w:pStyle w:val="2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 xml:space="preserve">地址：                                          邮编：                                           </w:t>
      </w:r>
    </w:p>
    <w:p w14:paraId="4CAF9D93">
      <w:pPr>
        <w:pStyle w:val="2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 xml:space="preserve">法定代表人/主要负责人：                                                         </w:t>
      </w:r>
    </w:p>
    <w:p w14:paraId="083CF808">
      <w:pPr>
        <w:pStyle w:val="2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 xml:space="preserve">联系电话：                                         </w:t>
      </w:r>
    </w:p>
    <w:p w14:paraId="26040667">
      <w:pPr>
        <w:pStyle w:val="2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 xml:space="preserve">授权代表：                                         联系电话：                   </w:t>
      </w:r>
    </w:p>
    <w:p w14:paraId="03765971">
      <w:pPr>
        <w:pStyle w:val="2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 xml:space="preserve">地址：                                                            </w:t>
      </w:r>
    </w:p>
    <w:p w14:paraId="6E51E41E">
      <w:pPr>
        <w:pStyle w:val="2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 xml:space="preserve">邮编：            </w:t>
      </w:r>
    </w:p>
    <w:p w14:paraId="56A94936">
      <w:pPr>
        <w:pStyle w:val="2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被投诉人1：</w:t>
      </w:r>
    </w:p>
    <w:p w14:paraId="376A6F44">
      <w:pPr>
        <w:pStyle w:val="2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 xml:space="preserve">地址：                                                            </w:t>
      </w:r>
    </w:p>
    <w:p w14:paraId="093B4498">
      <w:pPr>
        <w:pStyle w:val="2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 xml:space="preserve">邮编：           </w:t>
      </w:r>
    </w:p>
    <w:p w14:paraId="41C33A3C">
      <w:pPr>
        <w:pStyle w:val="2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 xml:space="preserve">联系人：                                                联系电话：                </w:t>
      </w:r>
    </w:p>
    <w:p w14:paraId="799DE06B">
      <w:pPr>
        <w:pStyle w:val="2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被投诉人2：</w:t>
      </w:r>
    </w:p>
    <w:p w14:paraId="38B753CB">
      <w:pPr>
        <w:pStyle w:val="2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w:t>
      </w:r>
    </w:p>
    <w:p w14:paraId="6C167460">
      <w:pPr>
        <w:pStyle w:val="2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 xml:space="preserve">相关供应商：                                                                       </w:t>
      </w:r>
    </w:p>
    <w:p w14:paraId="347B7AB7">
      <w:pPr>
        <w:pStyle w:val="2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 xml:space="preserve">地址：                                              邮编：                         </w:t>
      </w:r>
    </w:p>
    <w:p w14:paraId="001F916E">
      <w:pPr>
        <w:pStyle w:val="2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 xml:space="preserve">联系人：                                            联系电话：                                     </w:t>
      </w:r>
    </w:p>
    <w:p w14:paraId="561ADF5C">
      <w:pPr>
        <w:pStyle w:val="28"/>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二、投诉项目基本情况：</w:t>
      </w:r>
    </w:p>
    <w:p w14:paraId="5FF7A151">
      <w:pPr>
        <w:pStyle w:val="28"/>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项目的名称：</w:t>
      </w:r>
    </w:p>
    <w:p w14:paraId="39F480EF">
      <w:pPr>
        <w:pStyle w:val="28"/>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项目的编号：</w:t>
      </w:r>
    </w:p>
    <w:p w14:paraId="740328DD">
      <w:pPr>
        <w:pStyle w:val="28"/>
        <w:spacing w:line="360" w:lineRule="auto"/>
        <w:ind w:left="25" w:leftChars="12" w:firstLine="472" w:firstLineChars="197"/>
        <w:rPr>
          <w:rFonts w:hAnsi="宋体" w:cs="宋体"/>
          <w:bCs/>
          <w:color w:val="auto"/>
          <w:sz w:val="24"/>
          <w:szCs w:val="24"/>
          <w:highlight w:val="none"/>
        </w:rPr>
      </w:pPr>
      <w:r>
        <w:rPr>
          <w:rFonts w:hint="eastAsia" w:hAnsi="宋体" w:cs="宋体"/>
          <w:color w:val="auto"/>
          <w:sz w:val="24"/>
          <w:szCs w:val="24"/>
          <w:highlight w:val="none"/>
        </w:rPr>
        <w:t>采购人名称：</w:t>
      </w:r>
    </w:p>
    <w:p w14:paraId="38439089">
      <w:pPr>
        <w:pStyle w:val="28"/>
        <w:spacing w:line="360" w:lineRule="auto"/>
        <w:ind w:left="25" w:leftChars="12" w:firstLine="472" w:firstLineChars="197"/>
        <w:rPr>
          <w:rFonts w:hAnsi="宋体" w:cs="宋体"/>
          <w:bCs/>
          <w:color w:val="auto"/>
          <w:sz w:val="24"/>
          <w:szCs w:val="24"/>
          <w:highlight w:val="none"/>
        </w:rPr>
      </w:pPr>
      <w:r>
        <w:rPr>
          <w:rFonts w:hint="eastAsia" w:hAnsi="宋体" w:cs="宋体"/>
          <w:color w:val="auto"/>
          <w:sz w:val="24"/>
          <w:szCs w:val="24"/>
          <w:highlight w:val="none"/>
        </w:rPr>
        <w:t>代理机构名称：</w:t>
      </w:r>
    </w:p>
    <w:p w14:paraId="130CA121">
      <w:pPr>
        <w:pStyle w:val="28"/>
        <w:spacing w:line="360" w:lineRule="auto"/>
        <w:ind w:left="25" w:leftChars="12" w:firstLine="472" w:firstLineChars="197"/>
        <w:rPr>
          <w:rFonts w:hAnsi="宋体" w:cs="宋体"/>
          <w:bCs/>
          <w:color w:val="auto"/>
          <w:sz w:val="24"/>
          <w:szCs w:val="24"/>
          <w:highlight w:val="none"/>
        </w:rPr>
      </w:pPr>
      <w:r>
        <w:rPr>
          <w:rFonts w:hint="eastAsia" w:hAnsi="宋体" w:cs="宋体"/>
          <w:bCs/>
          <w:color w:val="auto"/>
          <w:sz w:val="24"/>
          <w:szCs w:val="24"/>
          <w:highlight w:val="none"/>
        </w:rPr>
        <w:t xml:space="preserve">采购文件公告：是/否公告期限：                                                       </w:t>
      </w:r>
    </w:p>
    <w:p w14:paraId="668E1BCB">
      <w:pPr>
        <w:pStyle w:val="28"/>
        <w:spacing w:line="360" w:lineRule="auto"/>
        <w:ind w:left="25" w:leftChars="12" w:firstLine="472" w:firstLineChars="197"/>
        <w:rPr>
          <w:rFonts w:hAnsi="宋体" w:cs="宋体"/>
          <w:b/>
          <w:color w:val="auto"/>
          <w:sz w:val="24"/>
          <w:szCs w:val="24"/>
          <w:highlight w:val="none"/>
        </w:rPr>
      </w:pPr>
      <w:r>
        <w:rPr>
          <w:rFonts w:hint="eastAsia" w:hAnsi="宋体" w:cs="宋体"/>
          <w:bCs/>
          <w:color w:val="auto"/>
          <w:sz w:val="24"/>
          <w:szCs w:val="24"/>
          <w:highlight w:val="none"/>
        </w:rPr>
        <w:t xml:space="preserve">采购结果公告：是/否公告期限：                                                       </w:t>
      </w:r>
    </w:p>
    <w:p w14:paraId="74CD2C69">
      <w:pPr>
        <w:pStyle w:val="28"/>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三、质疑基本情况</w:t>
      </w:r>
    </w:p>
    <w:p w14:paraId="7E2DA709">
      <w:pPr>
        <w:pStyle w:val="28"/>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投诉人于      年   月   日，向                                提出质疑，质疑事项为：</w:t>
      </w:r>
    </w:p>
    <w:p w14:paraId="386DFDE1">
      <w:pPr>
        <w:pStyle w:val="28"/>
        <w:spacing w:line="360" w:lineRule="auto"/>
        <w:ind w:firstLine="241"/>
        <w:rPr>
          <w:rFonts w:hAnsi="宋体" w:cs="宋体"/>
          <w:bCs/>
          <w:color w:val="auto"/>
          <w:sz w:val="24"/>
          <w:szCs w:val="24"/>
          <w:highlight w:val="none"/>
        </w:rPr>
      </w:pPr>
    </w:p>
    <w:p w14:paraId="6EB17315">
      <w:pPr>
        <w:pStyle w:val="28"/>
        <w:spacing w:line="360" w:lineRule="auto"/>
        <w:ind w:firstLine="241"/>
        <w:rPr>
          <w:rFonts w:hAnsi="宋体" w:cs="宋体"/>
          <w:bCs/>
          <w:color w:val="auto"/>
          <w:sz w:val="24"/>
          <w:szCs w:val="24"/>
          <w:highlight w:val="none"/>
        </w:rPr>
      </w:pPr>
    </w:p>
    <w:p w14:paraId="2898DE5F">
      <w:pPr>
        <w:pStyle w:val="28"/>
        <w:spacing w:line="360" w:lineRule="auto"/>
        <w:ind w:firstLine="480" w:firstLineChars="200"/>
        <w:rPr>
          <w:rFonts w:hAnsi="宋体" w:cs="宋体"/>
          <w:color w:val="auto"/>
          <w:sz w:val="24"/>
          <w:szCs w:val="24"/>
          <w:highlight w:val="none"/>
        </w:rPr>
      </w:pPr>
      <w:r>
        <w:rPr>
          <w:rFonts w:hint="eastAsia" w:hAnsi="宋体" w:cs="宋体"/>
          <w:bCs/>
          <w:color w:val="auto"/>
          <w:sz w:val="24"/>
          <w:szCs w:val="24"/>
          <w:highlight w:val="none"/>
        </w:rPr>
        <w:t>采购人/代理机构于</w:t>
      </w:r>
      <w:r>
        <w:rPr>
          <w:rFonts w:hint="eastAsia" w:hAnsi="宋体" w:cs="宋体"/>
          <w:color w:val="auto"/>
          <w:sz w:val="24"/>
          <w:szCs w:val="24"/>
          <w:highlight w:val="none"/>
        </w:rPr>
        <w:t xml:space="preserve">      年   月   日，</w:t>
      </w:r>
      <w:r>
        <w:rPr>
          <w:rFonts w:hint="eastAsia" w:hAnsi="宋体" w:cs="宋体"/>
          <w:bCs/>
          <w:color w:val="auto"/>
          <w:sz w:val="24"/>
          <w:szCs w:val="24"/>
          <w:highlight w:val="none"/>
        </w:rPr>
        <w:t xml:space="preserve">就质疑事项作出了答复/没有在法定期限内作出答复。                                                                                             </w:t>
      </w:r>
    </w:p>
    <w:p w14:paraId="0B97B22A">
      <w:pPr>
        <w:pStyle w:val="28"/>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四、投诉事项具体内容</w:t>
      </w:r>
    </w:p>
    <w:p w14:paraId="559AABF4">
      <w:pPr>
        <w:pStyle w:val="28"/>
        <w:spacing w:line="360" w:lineRule="auto"/>
        <w:ind w:left="25" w:leftChars="12" w:firstLine="472" w:firstLineChars="197"/>
        <w:rPr>
          <w:rFonts w:hAnsi="宋体" w:cs="宋体"/>
          <w:bCs/>
          <w:color w:val="auto"/>
          <w:sz w:val="24"/>
          <w:szCs w:val="24"/>
          <w:highlight w:val="none"/>
        </w:rPr>
      </w:pPr>
      <w:r>
        <w:rPr>
          <w:rFonts w:hint="eastAsia" w:hAnsi="宋体" w:cs="宋体"/>
          <w:color w:val="auto"/>
          <w:sz w:val="24"/>
          <w:szCs w:val="24"/>
          <w:highlight w:val="none"/>
        </w:rPr>
        <w:t>投诉事项1：</w:t>
      </w:r>
    </w:p>
    <w:p w14:paraId="29C3A069">
      <w:pPr>
        <w:pStyle w:val="28"/>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事实依据：</w:t>
      </w:r>
    </w:p>
    <w:p w14:paraId="50ED9DC8">
      <w:pPr>
        <w:pStyle w:val="28"/>
        <w:spacing w:line="360" w:lineRule="auto"/>
        <w:ind w:left="25" w:leftChars="12" w:firstLine="472" w:firstLineChars="197"/>
        <w:rPr>
          <w:rFonts w:hAnsi="宋体" w:cs="宋体"/>
          <w:color w:val="auto"/>
          <w:sz w:val="24"/>
          <w:szCs w:val="24"/>
          <w:highlight w:val="none"/>
        </w:rPr>
      </w:pPr>
    </w:p>
    <w:p w14:paraId="46CADFFE">
      <w:pPr>
        <w:pStyle w:val="28"/>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法律依据：</w:t>
      </w:r>
    </w:p>
    <w:p w14:paraId="6FFFE10C">
      <w:pPr>
        <w:pStyle w:val="28"/>
        <w:spacing w:line="360" w:lineRule="auto"/>
        <w:ind w:left="25" w:leftChars="12" w:firstLine="352" w:firstLineChars="147"/>
        <w:rPr>
          <w:rFonts w:hAnsi="宋体" w:cs="宋体"/>
          <w:bCs/>
          <w:color w:val="auto"/>
          <w:sz w:val="24"/>
          <w:szCs w:val="24"/>
          <w:highlight w:val="none"/>
        </w:rPr>
      </w:pPr>
    </w:p>
    <w:p w14:paraId="46697807">
      <w:pPr>
        <w:pStyle w:val="28"/>
        <w:spacing w:line="360" w:lineRule="auto"/>
        <w:ind w:left="25" w:leftChars="12" w:firstLine="472" w:firstLineChars="197"/>
        <w:rPr>
          <w:rFonts w:hAnsi="宋体" w:cs="宋体"/>
          <w:bCs/>
          <w:color w:val="auto"/>
          <w:sz w:val="24"/>
          <w:szCs w:val="24"/>
          <w:highlight w:val="none"/>
        </w:rPr>
      </w:pPr>
      <w:r>
        <w:rPr>
          <w:rFonts w:hint="eastAsia" w:hAnsi="宋体" w:cs="宋体"/>
          <w:color w:val="auto"/>
          <w:sz w:val="24"/>
          <w:szCs w:val="24"/>
          <w:highlight w:val="none"/>
        </w:rPr>
        <w:t xml:space="preserve">投诉事项2  </w:t>
      </w:r>
    </w:p>
    <w:p w14:paraId="572E8952">
      <w:pPr>
        <w:pStyle w:val="28"/>
        <w:spacing w:line="360" w:lineRule="auto"/>
        <w:ind w:left="25" w:leftChars="12" w:firstLine="472" w:firstLineChars="197"/>
        <w:rPr>
          <w:rFonts w:hAnsi="宋体" w:cs="宋体"/>
          <w:bCs/>
          <w:color w:val="auto"/>
          <w:sz w:val="24"/>
          <w:szCs w:val="24"/>
          <w:highlight w:val="none"/>
        </w:rPr>
      </w:pPr>
      <w:r>
        <w:rPr>
          <w:rFonts w:hint="eastAsia" w:hAnsi="宋体" w:cs="宋体"/>
          <w:bCs/>
          <w:color w:val="auto"/>
          <w:sz w:val="24"/>
          <w:szCs w:val="24"/>
          <w:highlight w:val="none"/>
        </w:rPr>
        <w:t>……</w:t>
      </w:r>
    </w:p>
    <w:p w14:paraId="2F56F465">
      <w:pPr>
        <w:pStyle w:val="28"/>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五、与投诉事项相关的投诉请求：</w:t>
      </w:r>
    </w:p>
    <w:p w14:paraId="35EA85DB">
      <w:pPr>
        <w:pStyle w:val="28"/>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请求：</w:t>
      </w:r>
    </w:p>
    <w:p w14:paraId="011E011F">
      <w:pPr>
        <w:pStyle w:val="28"/>
        <w:spacing w:line="360" w:lineRule="auto"/>
        <w:ind w:left="25" w:leftChars="12" w:firstLine="352" w:firstLineChars="147"/>
        <w:rPr>
          <w:rFonts w:hAnsi="宋体" w:cs="宋体"/>
          <w:color w:val="auto"/>
          <w:sz w:val="24"/>
          <w:szCs w:val="24"/>
          <w:highlight w:val="none"/>
        </w:rPr>
      </w:pPr>
    </w:p>
    <w:p w14:paraId="771DBE93">
      <w:pPr>
        <w:pStyle w:val="28"/>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签字（签章）：                                     公章：</w:t>
      </w:r>
    </w:p>
    <w:p w14:paraId="4B251613">
      <w:pPr>
        <w:pStyle w:val="28"/>
        <w:spacing w:line="360" w:lineRule="auto"/>
        <w:ind w:left="25" w:leftChars="12" w:firstLine="352" w:firstLineChars="147"/>
        <w:rPr>
          <w:rFonts w:hAnsi="宋体" w:cs="宋体"/>
          <w:color w:val="auto"/>
          <w:sz w:val="24"/>
          <w:szCs w:val="24"/>
          <w:highlight w:val="none"/>
        </w:rPr>
      </w:pPr>
    </w:p>
    <w:p w14:paraId="68CCA1E7">
      <w:pPr>
        <w:pStyle w:val="28"/>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日期：</w:t>
      </w:r>
    </w:p>
    <w:p w14:paraId="0D6C144E">
      <w:pPr>
        <w:pStyle w:val="28"/>
        <w:spacing w:line="360" w:lineRule="auto"/>
        <w:ind w:left="25" w:leftChars="12" w:firstLine="472" w:firstLineChars="197"/>
        <w:rPr>
          <w:rFonts w:hAnsi="宋体" w:cs="宋体"/>
          <w:color w:val="auto"/>
          <w:sz w:val="24"/>
          <w:szCs w:val="24"/>
          <w:highlight w:val="none"/>
        </w:rPr>
      </w:pPr>
    </w:p>
    <w:p w14:paraId="0653B1B5">
      <w:pPr>
        <w:pStyle w:val="28"/>
        <w:snapToGrid w:val="0"/>
        <w:spacing w:line="360" w:lineRule="auto"/>
        <w:rPr>
          <w:rFonts w:hAnsi="宋体" w:cs="宋体"/>
          <w:b/>
          <w:color w:val="auto"/>
          <w:sz w:val="24"/>
          <w:szCs w:val="24"/>
          <w:highlight w:val="none"/>
        </w:rPr>
      </w:pPr>
    </w:p>
    <w:p w14:paraId="53D5172A">
      <w:pPr>
        <w:pStyle w:val="28"/>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说明：</w:t>
      </w:r>
    </w:p>
    <w:p w14:paraId="30E678C1">
      <w:pPr>
        <w:pStyle w:val="28"/>
        <w:spacing w:line="360" w:lineRule="auto"/>
        <w:ind w:left="25" w:leftChars="12" w:firstLine="354" w:firstLineChars="147"/>
        <w:rPr>
          <w:rFonts w:hAnsi="宋体" w:cs="宋体"/>
          <w:b/>
          <w:bCs/>
          <w:color w:val="auto"/>
          <w:sz w:val="24"/>
          <w:szCs w:val="24"/>
          <w:highlight w:val="none"/>
        </w:rPr>
      </w:pPr>
      <w:r>
        <w:rPr>
          <w:rFonts w:hint="eastAsia" w:hAnsi="宋体" w:cs="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cs="宋体"/>
          <w:b/>
          <w:bCs/>
          <w:color w:val="auto"/>
          <w:sz w:val="24"/>
          <w:szCs w:val="24"/>
          <w:highlight w:val="none"/>
        </w:rPr>
        <w:t>。</w:t>
      </w:r>
    </w:p>
    <w:p w14:paraId="14B35D6E">
      <w:pPr>
        <w:pStyle w:val="28"/>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0140C38">
      <w:pPr>
        <w:pStyle w:val="28"/>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3.投诉书应简要列明质疑事项，质疑函、质疑答复等作为附件材料提供。</w:t>
      </w:r>
    </w:p>
    <w:p w14:paraId="5C259037">
      <w:pPr>
        <w:pStyle w:val="28"/>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4.投诉书的投诉事项应具体、明确，并有必要的事实依据和法律依据。</w:t>
      </w:r>
    </w:p>
    <w:p w14:paraId="281A7FF3">
      <w:pPr>
        <w:pStyle w:val="28"/>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5.投诉书的投诉请求应与投诉事项相关。</w:t>
      </w:r>
    </w:p>
    <w:p w14:paraId="1BAB4B52">
      <w:pPr>
        <w:pStyle w:val="28"/>
        <w:spacing w:line="360" w:lineRule="auto"/>
        <w:ind w:left="25" w:leftChars="12" w:firstLine="354" w:firstLineChars="147"/>
        <w:rPr>
          <w:color w:val="auto"/>
          <w:highlight w:val="none"/>
        </w:rPr>
      </w:pPr>
      <w:r>
        <w:rPr>
          <w:rFonts w:hint="eastAsia" w:hAnsi="宋体" w:cs="宋体"/>
          <w:b/>
          <w:color w:val="auto"/>
          <w:sz w:val="24"/>
          <w:szCs w:val="24"/>
          <w:highlight w:val="none"/>
        </w:rPr>
        <w:t>6.投诉人为法人或者其他组织的，投诉书应由法定代表人、主要负责人，或者其授权代表签字或者盖章，并加盖公章。</w:t>
      </w:r>
      <w:bookmarkEnd w:id="44"/>
    </w:p>
    <w:sectPr>
      <w:headerReference r:id="rId12" w:type="default"/>
      <w:footerReference r:id="rId13" w:type="default"/>
      <w:pgSz w:w="11910" w:h="16850"/>
      <w:pgMar w:top="1417" w:right="1417" w:bottom="1417" w:left="1417" w:header="876" w:footer="861" w:gutter="0"/>
      <w:pgNumType w:fmt="decimal"/>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1DF84C0-A6BC-4760-BE01-2641703BC18F}"/>
  </w:font>
  <w:font w:name="黑体">
    <w:panose1 w:val="02010609060101010101"/>
    <w:charset w:val="86"/>
    <w:family w:val="auto"/>
    <w:pitch w:val="default"/>
    <w:sig w:usb0="800002BF" w:usb1="38CF7CFA" w:usb2="00000016" w:usb3="00000000" w:csb0="00040001" w:csb1="00000000"/>
    <w:embedRegular r:id="rId2" w:fontKey="{956192B5-0B25-421B-9C24-3C6477610B5A}"/>
  </w:font>
  <w:font w:name="Courier New">
    <w:panose1 w:val="02070309020205020404"/>
    <w:charset w:val="01"/>
    <w:family w:val="modern"/>
    <w:pitch w:val="default"/>
    <w:sig w:usb0="E0002EFF" w:usb1="C0007843" w:usb2="00000009" w:usb3="00000000" w:csb0="400001FF" w:csb1="FFFF0000"/>
    <w:embedRegular r:id="rId3" w:fontKey="{EAA7F5AC-606A-4355-ACDB-02F85BF5511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5F7BCD17-36AB-41B2-A2B6-B3F849467B97}"/>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Impact">
    <w:panose1 w:val="020B0806030902050204"/>
    <w:charset w:val="00"/>
    <w:family w:val="swiss"/>
    <w:pitch w:val="default"/>
    <w:sig w:usb0="00000287" w:usb1="00000000" w:usb2="00000000" w:usb3="00000000" w:csb0="2000009F" w:csb1="DFD70000"/>
  </w:font>
  <w:font w:name="CordiaUPC">
    <w:altName w:val="Yu Gothic UI Light"/>
    <w:panose1 w:val="020B0304020202020204"/>
    <w:charset w:val="00"/>
    <w:family w:val="swiss"/>
    <w:pitch w:val="default"/>
    <w:sig w:usb0="00000000" w:usb1="00000000" w:usb2="00000000" w:usb3="00000000" w:csb0="00010001" w:csb1="00000000"/>
  </w:font>
  <w:font w:name="Yu Gothic UI Light">
    <w:panose1 w:val="020B0300000000000000"/>
    <w:charset w:val="80"/>
    <w:family w:val="auto"/>
    <w:pitch w:val="default"/>
    <w:sig w:usb0="E00002FF" w:usb1="2AC7FDFF" w:usb2="00000016" w:usb3="00000000" w:csb0="2002009F" w:csb1="00000000"/>
  </w:font>
  <w:font w:name="_x000B__x000C_">
    <w:altName w:val="宋体"/>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10" w:usb3="00000000" w:csb0="00040000" w:csb1="00000000"/>
    <w:embedRegular r:id="rId5" w:fontKey="{4276D831-659A-4C42-BD2E-A78E370B040F}"/>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embedRegular r:id="rId6" w:fontKey="{009C9CB7-B023-4AF8-A12A-A735349DB849}"/>
  </w:font>
  <w:font w:name="Arial Unicode MS">
    <w:altName w:val="宋体"/>
    <w:panose1 w:val="020B0604020202020204"/>
    <w:charset w:val="86"/>
    <w:family w:val="swiss"/>
    <w:pitch w:val="default"/>
    <w:sig w:usb0="00000000" w:usb1="00000000" w:usb2="0000003F" w:usb3="00000000" w:csb0="003F01FF"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华文细黑">
    <w:altName w:val="微软雅黑"/>
    <w:panose1 w:val="02010600040101010101"/>
    <w:charset w:val="86"/>
    <w:family w:val="auto"/>
    <w:pitch w:val="default"/>
    <w:sig w:usb0="00000000" w:usb1="00000000" w:usb2="00000010" w:usb3="00000000" w:csb0="0004009F" w:csb1="00000000"/>
  </w:font>
  <w:font w:name="微软雅黑">
    <w:panose1 w:val="020B0503020204020204"/>
    <w:charset w:val="86"/>
    <w:family w:val="swiss"/>
    <w:pitch w:val="default"/>
    <w:sig w:usb0="80000287" w:usb1="2ACF3C50" w:usb2="00000016" w:usb3="00000000" w:csb0="0004001F" w:csb1="00000000"/>
    <w:embedRegular r:id="rId7" w:fontKey="{BF1A201A-20A0-429B-B35B-6CEFE34AB432}"/>
  </w:font>
  <w:font w:name="¿¬Ìå">
    <w:altName w:val="Times New Roman"/>
    <w:panose1 w:val="00000000000000000000"/>
    <w:charset w:val="00"/>
    <w:family w:val="auto"/>
    <w:pitch w:val="default"/>
    <w:sig w:usb0="00000000" w:usb1="00000000" w:usb2="00000000" w:usb3="00000000" w:csb0="00000001" w:csb1="00000000"/>
  </w:font>
  <w:font w:name="Noto Sans CJK JP Regular">
    <w:altName w:val="Arial"/>
    <w:panose1 w:val="00000000000000000000"/>
    <w:charset w:val="00"/>
    <w:family w:val="swiss"/>
    <w:pitch w:val="default"/>
    <w:sig w:usb0="00000000" w:usb1="00000000" w:usb2="00000000"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等线 Light">
    <w:panose1 w:val="02010600030101010101"/>
    <w:charset w:val="86"/>
    <w:family w:val="auto"/>
    <w:pitch w:val="default"/>
    <w:sig w:usb0="A00002BF" w:usb1="38CF7CFA" w:usb2="00000016" w:usb3="00000000" w:csb0="0004000F" w:csb1="00000000"/>
    <w:embedRegular r:id="rId8" w:fontKey="{BAB10CDC-026F-4BB6-8184-AF9F2B929FC9}"/>
  </w:font>
  <w:font w:name="方正小标宋简体">
    <w:altName w:val="黑体"/>
    <w:panose1 w:val="03000509000000000000"/>
    <w:charset w:val="86"/>
    <w:family w:val="script"/>
    <w:pitch w:val="default"/>
    <w:sig w:usb0="00000000" w:usb1="00000000" w:usb2="00000010" w:usb3="00000000" w:csb0="00040000" w:csb1="00000000"/>
    <w:embedRegular r:id="rId9" w:fontKey="{02A2F4D8-57DD-4BC2-80AD-5A9546554E73}"/>
  </w:font>
  <w:font w:name="新宋体">
    <w:panose1 w:val="02010609030101010101"/>
    <w:charset w:val="86"/>
    <w:family w:val="modern"/>
    <w:pitch w:val="default"/>
    <w:sig w:usb0="00000203" w:usb1="288F0000" w:usb2="00000006" w:usb3="00000000" w:csb0="00040001" w:csb1="00000000"/>
    <w:embedRegular r:id="rId10" w:fontKey="{E68CFEA5-0506-4218-A29B-37A49FCB8518}"/>
  </w:font>
  <w:font w:name="楷体_GB2312">
    <w:panose1 w:val="02010609030101010101"/>
    <w:charset w:val="86"/>
    <w:family w:val="modern"/>
    <w:pitch w:val="default"/>
    <w:sig w:usb0="00000001" w:usb1="080E0000" w:usb2="00000000" w:usb3="00000000" w:csb0="00040000" w:csb1="00000000"/>
    <w:embedRegular r:id="rId11" w:fontKey="{03340E3F-B6C9-4CD3-85E8-5570379B4C58}"/>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68559">
    <w:pPr>
      <w:pStyle w:val="33"/>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D3DD">
    <w:pPr>
      <w:pStyle w:val="33"/>
      <w:tabs>
        <w:tab w:val="center" w:pos="4439"/>
        <w:tab w:val="clear" w:pos="4153"/>
      </w:tabs>
      <w:jc w:val="both"/>
    </w:pPr>
    <w:r>
      <w:rPr>
        <w:sz w:val="18"/>
      </w:rPr>
      <w:pict>
        <v:shape id="_x0000_s2055" o:spid="_x0000_s205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14:paraId="4342AAD9">
                <w:pPr>
                  <w:pStyle w:val="33"/>
                </w:pPr>
                <w:r>
                  <w:fldChar w:fldCharType="begin"/>
                </w:r>
                <w:r>
                  <w:instrText xml:space="preserve"> PAGE  \* MERGEFORMAT </w:instrText>
                </w:r>
                <w:r>
                  <w:fldChar w:fldCharType="separate"/>
                </w:r>
                <w:r>
                  <w:t>2</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762F1">
    <w:pPr>
      <w:pStyle w:val="33"/>
      <w:jc w:val="center"/>
    </w:pPr>
    <w:r>
      <w:rPr>
        <w:sz w:val="18"/>
      </w:rPr>
      <w:pict>
        <v:shape id="_x0000_s2056" o:spid="_x0000_s2056"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14:paraId="1584C711">
                <w:pPr>
                  <w:pStyle w:val="33"/>
                </w:pPr>
                <w:r>
                  <w:fldChar w:fldCharType="begin"/>
                </w:r>
                <w:r>
                  <w:instrText xml:space="preserve"> PAGE  \* MERGEFORMAT </w:instrText>
                </w:r>
                <w:r>
                  <w:fldChar w:fldCharType="separate"/>
                </w:r>
                <w:r>
                  <w:t>10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C1686">
    <w:pPr>
      <w:pStyle w:val="33"/>
    </w:pPr>
    <w:r>
      <w:pict>
        <v:shape id="文本框 5122" o:spid="_x0000_s2053"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DOA&#10;KlS2AQAAXAMAAA4AAAAAAAAAAQAgAAAAHgEAAGRycy9lMm9Eb2MueG1sUEsFBgAAAAAGAAYAWQEA&#10;AEYFAAAAAA==&#10;">
          <v:path/>
          <v:fill on="f" focussize="0,0"/>
          <v:stroke on="f" joinstyle="miter"/>
          <v:imagedata o:title=""/>
          <o:lock v:ext="edit"/>
          <v:textbox inset="0mm,0mm,0mm,0mm" style="mso-fit-shape-to-text:t;">
            <w:txbxContent>
              <w:p w14:paraId="619F6003">
                <w:pPr>
                  <w:pStyle w:val="33"/>
                </w:pPr>
                <w:r>
                  <w:fldChar w:fldCharType="begin"/>
                </w:r>
                <w:r>
                  <w:instrText xml:space="preserve"> PAGE  \* MERGEFORMAT </w:instrText>
                </w:r>
                <w:r>
                  <w:fldChar w:fldCharType="separate"/>
                </w:r>
                <w:r>
                  <w:t>63</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B6A56">
    <w:pPr>
      <w:pStyle w:val="33"/>
    </w:pPr>
    <w:r>
      <w:rPr>
        <w:sz w:val="18"/>
      </w:rPr>
      <w:pict>
        <v:shape id="_x0000_s2057" o:spid="_x0000_s2057"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14:paraId="0468BEBA">
                <w:pPr>
                  <w:pStyle w:val="33"/>
                </w:pPr>
                <w:r>
                  <w:fldChar w:fldCharType="begin"/>
                </w:r>
                <w:r>
                  <w:instrText xml:space="preserve"> PAGE  \* MERGEFORMAT </w:instrText>
                </w:r>
                <w:r>
                  <w:fldChar w:fldCharType="separate"/>
                </w:r>
                <w:r>
                  <w:t>69</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A752C">
    <w:pPr>
      <w:pStyle w:val="33"/>
    </w:pPr>
    <w:r>
      <w:rPr>
        <w:sz w:val="18"/>
      </w:rPr>
      <w:pict>
        <v:shape id="_x0000_s2058" o:spid="_x0000_s2058"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14:paraId="22BB15ED">
                <w:pPr>
                  <w:pStyle w:val="33"/>
                </w:pPr>
                <w:r>
                  <w:fldChar w:fldCharType="begin"/>
                </w:r>
                <w:r>
                  <w:instrText xml:space="preserve"> PAGE  \* MERGEFORMAT </w:instrText>
                </w:r>
                <w:r>
                  <w:fldChar w:fldCharType="separate"/>
                </w:r>
                <w:r>
                  <w:t>70</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8724B">
    <w:pPr>
      <w:pStyle w:val="33"/>
      <w:jc w:val="center"/>
    </w:pPr>
    <w:r>
      <w:rPr>
        <w:sz w:val="18"/>
      </w:rPr>
      <w:pict>
        <v:shape id="_x0000_s2059" o:spid="_x0000_s2059"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14:paraId="4625778E">
                <w:pPr>
                  <w:pStyle w:val="33"/>
                </w:pPr>
                <w:r>
                  <w:fldChar w:fldCharType="begin"/>
                </w:r>
                <w:r>
                  <w:instrText xml:space="preserve"> PAGE  \* MERGEFORMAT </w:instrText>
                </w:r>
                <w:r>
                  <w:fldChar w:fldCharType="separate"/>
                </w:r>
                <w:r>
                  <w:t>135</w:t>
                </w:r>
                <w:r>
                  <w:fldChar w:fldCharType="end"/>
                </w:r>
              </w:p>
            </w:txbxContent>
          </v:textbox>
        </v:shape>
      </w:pict>
    </w:r>
  </w:p>
  <w:p w14:paraId="78FEE1A4">
    <w:pPr>
      <w:pStyle w:val="3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6330B">
    <w:pPr>
      <w:pStyle w:val="35"/>
      <w:pBdr>
        <w:bottom w:val="none" w:color="auto" w:sz="0" w:space="0"/>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E9A21">
    <w:pPr>
      <w:pStyle w:val="35"/>
      <w:pBdr>
        <w:bottom w:val="single" w:color="auto" w:sz="4" w:space="0"/>
      </w:pBdr>
      <w:tabs>
        <w:tab w:val="center" w:pos="0"/>
        <w:tab w:val="clear" w:pos="4153"/>
      </w:tabs>
      <w:jc w:val="right"/>
      <w:rPr>
        <w:rFonts w:ascii="宋体" w:hAnsi="宋体"/>
      </w:rPr>
    </w:pPr>
    <w:r>
      <w:rPr>
        <w:rFonts w:hint="eastAsia"/>
      </w:rPr>
      <w:t xml:space="preserve"> 北海市政府采购竞争性磋商文件</w:t>
    </w:r>
  </w:p>
  <w:p w14:paraId="76DE2CAF">
    <w:pPr>
      <w:pStyle w:val="35"/>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717A3">
    <w:pPr>
      <w:pStyle w:val="35"/>
      <w:pBdr>
        <w:bottom w:val="single" w:color="auto" w:sz="4" w:space="0"/>
      </w:pBdr>
      <w:tabs>
        <w:tab w:val="center" w:pos="0"/>
        <w:tab w:val="clear" w:pos="4153"/>
      </w:tabs>
      <w:jc w:val="right"/>
      <w:rPr>
        <w:rFonts w:ascii="宋体" w:hAnsi="宋体"/>
      </w:rPr>
    </w:pPr>
    <w:r>
      <w:rPr>
        <w:rFonts w:hint="eastAsia"/>
      </w:rPr>
      <w:t xml:space="preserve"> 北海市政府采购竞争性磋商文件</w:t>
    </w:r>
  </w:p>
  <w:p w14:paraId="6518ABE1">
    <w:pPr>
      <w:pStyle w:val="35"/>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FD859">
    <w:pPr>
      <w:pStyle w:val="35"/>
      <w:pBdr>
        <w:bottom w:val="single" w:color="auto" w:sz="4" w:space="0"/>
      </w:pBdr>
      <w:tabs>
        <w:tab w:val="center" w:pos="0"/>
        <w:tab w:val="clear" w:pos="4153"/>
      </w:tabs>
      <w:jc w:val="right"/>
      <w:rPr>
        <w:rFonts w:ascii="宋体" w:hAnsi="宋体"/>
      </w:rPr>
    </w:pPr>
    <w:r>
      <w:rPr>
        <w:rFonts w:hint="eastAsia"/>
      </w:rPr>
      <w:t xml:space="preserve"> 北海市政府采购竞争性磋商文件</w:t>
    </w:r>
  </w:p>
  <w:p w14:paraId="5C359027">
    <w:pPr>
      <w:pStyle w:val="35"/>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5EC3C5"/>
    <w:multiLevelType w:val="singleLevel"/>
    <w:tmpl w:val="825EC3C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
    <w:nsid w:val="883B3669"/>
    <w:multiLevelType w:val="singleLevel"/>
    <w:tmpl w:val="883B366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
    <w:nsid w:val="98CD717A"/>
    <w:multiLevelType w:val="singleLevel"/>
    <w:tmpl w:val="98CD717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
    <w:nsid w:val="9A95246D"/>
    <w:multiLevelType w:val="singleLevel"/>
    <w:tmpl w:val="9A95246D"/>
    <w:lvl w:ilvl="0" w:tentative="0">
      <w:start w:val="8"/>
      <w:numFmt w:val="chineseCounting"/>
      <w:suff w:val="nothing"/>
      <w:lvlText w:val="%1、"/>
      <w:lvlJc w:val="left"/>
      <w:rPr>
        <w:rFonts w:hint="eastAsia"/>
      </w:rPr>
    </w:lvl>
  </w:abstractNum>
  <w:abstractNum w:abstractNumId="4">
    <w:nsid w:val="9C11E984"/>
    <w:multiLevelType w:val="singleLevel"/>
    <w:tmpl w:val="9C11E98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5">
    <w:nsid w:val="9C7198AA"/>
    <w:multiLevelType w:val="singleLevel"/>
    <w:tmpl w:val="9C7198A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6">
    <w:nsid w:val="9D7EB8E6"/>
    <w:multiLevelType w:val="singleLevel"/>
    <w:tmpl w:val="9D7EB8E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7">
    <w:nsid w:val="9DFC6F65"/>
    <w:multiLevelType w:val="singleLevel"/>
    <w:tmpl w:val="9DFC6F6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8">
    <w:nsid w:val="9F81B9F9"/>
    <w:multiLevelType w:val="singleLevel"/>
    <w:tmpl w:val="9F81B9F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9">
    <w:nsid w:val="A8F37E95"/>
    <w:multiLevelType w:val="singleLevel"/>
    <w:tmpl w:val="A8F37E95"/>
    <w:lvl w:ilvl="0" w:tentative="0">
      <w:start w:val="1"/>
      <w:numFmt w:val="chineseCounting"/>
      <w:suff w:val="nothing"/>
      <w:lvlText w:val="%1、"/>
      <w:lvlJc w:val="left"/>
      <w:rPr>
        <w:rFonts w:hint="eastAsia"/>
      </w:rPr>
    </w:lvl>
  </w:abstractNum>
  <w:abstractNum w:abstractNumId="10">
    <w:nsid w:val="B1CC6FF1"/>
    <w:multiLevelType w:val="singleLevel"/>
    <w:tmpl w:val="B1CC6FF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11">
    <w:nsid w:val="BCECA0B4"/>
    <w:multiLevelType w:val="singleLevel"/>
    <w:tmpl w:val="BCECA0B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2">
    <w:nsid w:val="BF50FE6B"/>
    <w:multiLevelType w:val="singleLevel"/>
    <w:tmpl w:val="BF50FE6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3">
    <w:nsid w:val="C2239B87"/>
    <w:multiLevelType w:val="singleLevel"/>
    <w:tmpl w:val="C2239B87"/>
    <w:lvl w:ilvl="0" w:tentative="0">
      <w:start w:val="17"/>
      <w:numFmt w:val="decimal"/>
      <w:suff w:val="space"/>
      <w:lvlText w:val="%1."/>
      <w:lvlJc w:val="left"/>
    </w:lvl>
  </w:abstractNum>
  <w:abstractNum w:abstractNumId="14">
    <w:nsid w:val="CD699D1D"/>
    <w:multiLevelType w:val="singleLevel"/>
    <w:tmpl w:val="CD699D1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5">
    <w:nsid w:val="DB16890B"/>
    <w:multiLevelType w:val="singleLevel"/>
    <w:tmpl w:val="DB16890B"/>
    <w:lvl w:ilvl="0" w:tentative="0">
      <w:start w:val="1"/>
      <w:numFmt w:val="decimal"/>
      <w:pStyle w:val="13"/>
      <w:lvlText w:val="%1."/>
      <w:lvlJc w:val="left"/>
      <w:pPr>
        <w:tabs>
          <w:tab w:val="left" w:pos="360"/>
        </w:tabs>
        <w:ind w:left="360" w:hanging="360"/>
      </w:pPr>
    </w:lvl>
  </w:abstractNum>
  <w:abstractNum w:abstractNumId="16">
    <w:nsid w:val="E0294EC7"/>
    <w:multiLevelType w:val="singleLevel"/>
    <w:tmpl w:val="E0294EC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7">
    <w:nsid w:val="E52D9448"/>
    <w:multiLevelType w:val="singleLevel"/>
    <w:tmpl w:val="E52D944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18">
    <w:nsid w:val="E5F0FB89"/>
    <w:multiLevelType w:val="singleLevel"/>
    <w:tmpl w:val="E5F0FB89"/>
    <w:lvl w:ilvl="0" w:tentative="0">
      <w:start w:val="4"/>
      <w:numFmt w:val="chineseCounting"/>
      <w:suff w:val="nothing"/>
      <w:lvlText w:val="%1、"/>
      <w:lvlJc w:val="left"/>
      <w:rPr>
        <w:rFonts w:hint="eastAsia"/>
      </w:rPr>
    </w:lvl>
  </w:abstractNum>
  <w:abstractNum w:abstractNumId="19">
    <w:nsid w:val="F2A81E1A"/>
    <w:multiLevelType w:val="singleLevel"/>
    <w:tmpl w:val="F2A81E1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20">
    <w:nsid w:val="F3A33954"/>
    <w:multiLevelType w:val="singleLevel"/>
    <w:tmpl w:val="F3A3395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1">
    <w:nsid w:val="F4A942FE"/>
    <w:multiLevelType w:val="singleLevel"/>
    <w:tmpl w:val="F4A942FE"/>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22">
    <w:nsid w:val="00000444"/>
    <w:multiLevelType w:val="multilevel"/>
    <w:tmpl w:val="00000444"/>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23">
    <w:nsid w:val="00000445"/>
    <w:multiLevelType w:val="multilevel"/>
    <w:tmpl w:val="00000445"/>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24">
    <w:nsid w:val="00000446"/>
    <w:multiLevelType w:val="multilevel"/>
    <w:tmpl w:val="00000446"/>
    <w:lvl w:ilvl="0" w:tentative="0">
      <w:start w:val="1"/>
      <w:numFmt w:val="decimal"/>
      <w:lvlText w:val="%1."/>
      <w:lvlJc w:val="left"/>
      <w:pPr>
        <w:ind w:left="340" w:hanging="233"/>
      </w:pPr>
      <w:rPr>
        <w:rFonts w:ascii="微软雅黑" w:hAnsi="Times New Roman" w:cs="微软雅黑"/>
        <w:b w:val="0"/>
        <w:bCs w:val="0"/>
        <w:i w:val="0"/>
        <w:iCs w:val="0"/>
        <w:w w:val="100"/>
        <w:sz w:val="21"/>
        <w:szCs w:val="21"/>
      </w:rPr>
    </w:lvl>
    <w:lvl w:ilvl="1" w:tentative="0">
      <w:start w:val="0"/>
      <w:numFmt w:val="bullet"/>
      <w:lvlText w:val="•"/>
      <w:lvlJc w:val="left"/>
      <w:pPr>
        <w:ind w:left="967" w:hanging="233"/>
      </w:pPr>
    </w:lvl>
    <w:lvl w:ilvl="2" w:tentative="0">
      <w:start w:val="0"/>
      <w:numFmt w:val="bullet"/>
      <w:lvlText w:val="•"/>
      <w:lvlJc w:val="left"/>
      <w:pPr>
        <w:ind w:left="1595" w:hanging="233"/>
      </w:pPr>
    </w:lvl>
    <w:lvl w:ilvl="3" w:tentative="0">
      <w:start w:val="0"/>
      <w:numFmt w:val="bullet"/>
      <w:lvlText w:val="•"/>
      <w:lvlJc w:val="left"/>
      <w:pPr>
        <w:ind w:left="2223" w:hanging="233"/>
      </w:pPr>
    </w:lvl>
    <w:lvl w:ilvl="4" w:tentative="0">
      <w:start w:val="0"/>
      <w:numFmt w:val="bullet"/>
      <w:lvlText w:val="•"/>
      <w:lvlJc w:val="left"/>
      <w:pPr>
        <w:ind w:left="2850" w:hanging="233"/>
      </w:pPr>
    </w:lvl>
    <w:lvl w:ilvl="5" w:tentative="0">
      <w:start w:val="0"/>
      <w:numFmt w:val="bullet"/>
      <w:lvlText w:val="•"/>
      <w:lvlJc w:val="left"/>
      <w:pPr>
        <w:ind w:left="3478" w:hanging="233"/>
      </w:pPr>
    </w:lvl>
    <w:lvl w:ilvl="6" w:tentative="0">
      <w:start w:val="0"/>
      <w:numFmt w:val="bullet"/>
      <w:lvlText w:val="•"/>
      <w:lvlJc w:val="left"/>
      <w:pPr>
        <w:ind w:left="4106" w:hanging="233"/>
      </w:pPr>
    </w:lvl>
    <w:lvl w:ilvl="7" w:tentative="0">
      <w:start w:val="0"/>
      <w:numFmt w:val="bullet"/>
      <w:lvlText w:val="•"/>
      <w:lvlJc w:val="left"/>
      <w:pPr>
        <w:ind w:left="4733" w:hanging="233"/>
      </w:pPr>
    </w:lvl>
    <w:lvl w:ilvl="8" w:tentative="0">
      <w:start w:val="0"/>
      <w:numFmt w:val="bullet"/>
      <w:lvlText w:val="•"/>
      <w:lvlJc w:val="left"/>
      <w:pPr>
        <w:ind w:left="5361" w:hanging="233"/>
      </w:pPr>
    </w:lvl>
  </w:abstractNum>
  <w:abstractNum w:abstractNumId="25">
    <w:nsid w:val="00000447"/>
    <w:multiLevelType w:val="multilevel"/>
    <w:tmpl w:val="00000447"/>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26">
    <w:nsid w:val="00000448"/>
    <w:multiLevelType w:val="multilevel"/>
    <w:tmpl w:val="00000448"/>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27">
    <w:nsid w:val="00000449"/>
    <w:multiLevelType w:val="multilevel"/>
    <w:tmpl w:val="00000449"/>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28">
    <w:nsid w:val="0000044A"/>
    <w:multiLevelType w:val="multilevel"/>
    <w:tmpl w:val="0000044A"/>
    <w:lvl w:ilvl="0" w:tentative="0">
      <w:start w:val="1"/>
      <w:numFmt w:val="decimal"/>
      <w:lvlText w:val="%1."/>
      <w:lvlJc w:val="left"/>
      <w:pPr>
        <w:ind w:left="107" w:hanging="281"/>
      </w:pPr>
      <w:rPr>
        <w:rFonts w:ascii="微软雅黑" w:hAnsi="Times New Roman" w:cs="微软雅黑"/>
        <w:b w:val="0"/>
        <w:bCs w:val="0"/>
        <w:i w:val="0"/>
        <w:iCs w:val="0"/>
        <w:w w:val="100"/>
        <w:sz w:val="21"/>
        <w:szCs w:val="21"/>
      </w:rPr>
    </w:lvl>
    <w:lvl w:ilvl="1" w:tentative="0">
      <w:start w:val="0"/>
      <w:numFmt w:val="bullet"/>
      <w:lvlText w:val="•"/>
      <w:lvlJc w:val="left"/>
      <w:pPr>
        <w:ind w:left="751" w:hanging="281"/>
      </w:pPr>
    </w:lvl>
    <w:lvl w:ilvl="2" w:tentative="0">
      <w:start w:val="0"/>
      <w:numFmt w:val="bullet"/>
      <w:lvlText w:val="•"/>
      <w:lvlJc w:val="left"/>
      <w:pPr>
        <w:ind w:left="1403" w:hanging="281"/>
      </w:pPr>
    </w:lvl>
    <w:lvl w:ilvl="3" w:tentative="0">
      <w:start w:val="0"/>
      <w:numFmt w:val="bullet"/>
      <w:lvlText w:val="•"/>
      <w:lvlJc w:val="left"/>
      <w:pPr>
        <w:ind w:left="2055" w:hanging="281"/>
      </w:pPr>
    </w:lvl>
    <w:lvl w:ilvl="4" w:tentative="0">
      <w:start w:val="0"/>
      <w:numFmt w:val="bullet"/>
      <w:lvlText w:val="•"/>
      <w:lvlJc w:val="left"/>
      <w:pPr>
        <w:ind w:left="2706" w:hanging="281"/>
      </w:pPr>
    </w:lvl>
    <w:lvl w:ilvl="5" w:tentative="0">
      <w:start w:val="0"/>
      <w:numFmt w:val="bullet"/>
      <w:lvlText w:val="•"/>
      <w:lvlJc w:val="left"/>
      <w:pPr>
        <w:ind w:left="3358" w:hanging="281"/>
      </w:pPr>
    </w:lvl>
    <w:lvl w:ilvl="6" w:tentative="0">
      <w:start w:val="0"/>
      <w:numFmt w:val="bullet"/>
      <w:lvlText w:val="•"/>
      <w:lvlJc w:val="left"/>
      <w:pPr>
        <w:ind w:left="4010" w:hanging="281"/>
      </w:pPr>
    </w:lvl>
    <w:lvl w:ilvl="7" w:tentative="0">
      <w:start w:val="0"/>
      <w:numFmt w:val="bullet"/>
      <w:lvlText w:val="•"/>
      <w:lvlJc w:val="left"/>
      <w:pPr>
        <w:ind w:left="4661" w:hanging="281"/>
      </w:pPr>
    </w:lvl>
    <w:lvl w:ilvl="8" w:tentative="0">
      <w:start w:val="0"/>
      <w:numFmt w:val="bullet"/>
      <w:lvlText w:val="•"/>
      <w:lvlJc w:val="left"/>
      <w:pPr>
        <w:ind w:left="5313" w:hanging="281"/>
      </w:pPr>
    </w:lvl>
  </w:abstractNum>
  <w:abstractNum w:abstractNumId="29">
    <w:nsid w:val="0000044B"/>
    <w:multiLevelType w:val="multilevel"/>
    <w:tmpl w:val="0000044B"/>
    <w:lvl w:ilvl="0" w:tentative="0">
      <w:start w:val="1"/>
      <w:numFmt w:val="decimal"/>
      <w:lvlText w:val="%1."/>
      <w:lvlJc w:val="left"/>
      <w:pPr>
        <w:ind w:left="388" w:hanging="281"/>
      </w:pPr>
      <w:rPr>
        <w:rFonts w:ascii="微软雅黑" w:hAnsi="Times New Roman" w:cs="微软雅黑"/>
        <w:b w:val="0"/>
        <w:bCs w:val="0"/>
        <w:i w:val="0"/>
        <w:iCs w:val="0"/>
        <w:w w:val="100"/>
        <w:sz w:val="21"/>
        <w:szCs w:val="21"/>
      </w:rPr>
    </w:lvl>
    <w:lvl w:ilvl="1" w:tentative="0">
      <w:start w:val="0"/>
      <w:numFmt w:val="bullet"/>
      <w:lvlText w:val="•"/>
      <w:lvlJc w:val="left"/>
      <w:pPr>
        <w:ind w:left="1003" w:hanging="281"/>
      </w:pPr>
    </w:lvl>
    <w:lvl w:ilvl="2" w:tentative="0">
      <w:start w:val="0"/>
      <w:numFmt w:val="bullet"/>
      <w:lvlText w:val="•"/>
      <w:lvlJc w:val="left"/>
      <w:pPr>
        <w:ind w:left="1627" w:hanging="281"/>
      </w:pPr>
    </w:lvl>
    <w:lvl w:ilvl="3" w:tentative="0">
      <w:start w:val="0"/>
      <w:numFmt w:val="bullet"/>
      <w:lvlText w:val="•"/>
      <w:lvlJc w:val="left"/>
      <w:pPr>
        <w:ind w:left="2251" w:hanging="281"/>
      </w:pPr>
    </w:lvl>
    <w:lvl w:ilvl="4" w:tentative="0">
      <w:start w:val="0"/>
      <w:numFmt w:val="bullet"/>
      <w:lvlText w:val="•"/>
      <w:lvlJc w:val="left"/>
      <w:pPr>
        <w:ind w:left="2874" w:hanging="281"/>
      </w:pPr>
    </w:lvl>
    <w:lvl w:ilvl="5" w:tentative="0">
      <w:start w:val="0"/>
      <w:numFmt w:val="bullet"/>
      <w:lvlText w:val="•"/>
      <w:lvlJc w:val="left"/>
      <w:pPr>
        <w:ind w:left="3498" w:hanging="281"/>
      </w:pPr>
    </w:lvl>
    <w:lvl w:ilvl="6" w:tentative="0">
      <w:start w:val="0"/>
      <w:numFmt w:val="bullet"/>
      <w:lvlText w:val="•"/>
      <w:lvlJc w:val="left"/>
      <w:pPr>
        <w:ind w:left="4122" w:hanging="281"/>
      </w:pPr>
    </w:lvl>
    <w:lvl w:ilvl="7" w:tentative="0">
      <w:start w:val="0"/>
      <w:numFmt w:val="bullet"/>
      <w:lvlText w:val="•"/>
      <w:lvlJc w:val="left"/>
      <w:pPr>
        <w:ind w:left="4745" w:hanging="281"/>
      </w:pPr>
    </w:lvl>
    <w:lvl w:ilvl="8" w:tentative="0">
      <w:start w:val="0"/>
      <w:numFmt w:val="bullet"/>
      <w:lvlText w:val="•"/>
      <w:lvlJc w:val="left"/>
      <w:pPr>
        <w:ind w:left="5369" w:hanging="281"/>
      </w:pPr>
    </w:lvl>
  </w:abstractNum>
  <w:abstractNum w:abstractNumId="30">
    <w:nsid w:val="01836A6D"/>
    <w:multiLevelType w:val="singleLevel"/>
    <w:tmpl w:val="01836A6D"/>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1">
    <w:nsid w:val="03C240C0"/>
    <w:multiLevelType w:val="singleLevel"/>
    <w:tmpl w:val="03C240C0"/>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2">
    <w:nsid w:val="0777C59E"/>
    <w:multiLevelType w:val="singleLevel"/>
    <w:tmpl w:val="0777C59E"/>
    <w:lvl w:ilvl="0" w:tentative="0">
      <w:start w:val="2"/>
      <w:numFmt w:val="decimal"/>
      <w:suff w:val="nothing"/>
      <w:lvlText w:val="（%1）"/>
      <w:lvlJc w:val="left"/>
    </w:lvl>
  </w:abstractNum>
  <w:abstractNum w:abstractNumId="33">
    <w:nsid w:val="1AD50295"/>
    <w:multiLevelType w:val="singleLevel"/>
    <w:tmpl w:val="1AD5029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4">
    <w:nsid w:val="1FC16C3F"/>
    <w:multiLevelType w:val="multilevel"/>
    <w:tmpl w:val="1FC16C3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35">
    <w:nsid w:val="21B3B1B1"/>
    <w:multiLevelType w:val="singleLevel"/>
    <w:tmpl w:val="21B3B1B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6">
    <w:nsid w:val="227C9188"/>
    <w:multiLevelType w:val="singleLevel"/>
    <w:tmpl w:val="227C9188"/>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7">
    <w:nsid w:val="251342A6"/>
    <w:multiLevelType w:val="singleLevel"/>
    <w:tmpl w:val="251342A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38">
    <w:nsid w:val="252BF6AB"/>
    <w:multiLevelType w:val="singleLevel"/>
    <w:tmpl w:val="252BF6A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39">
    <w:nsid w:val="2B39858C"/>
    <w:multiLevelType w:val="singleLevel"/>
    <w:tmpl w:val="2B39858C"/>
    <w:lvl w:ilvl="0" w:tentative="0">
      <w:start w:val="3"/>
      <w:numFmt w:val="chineseCounting"/>
      <w:suff w:val="space"/>
      <w:lvlText w:val="第%1节"/>
      <w:lvlJc w:val="left"/>
      <w:rPr>
        <w:rFonts w:hint="eastAsia"/>
      </w:rPr>
    </w:lvl>
  </w:abstractNum>
  <w:abstractNum w:abstractNumId="40">
    <w:nsid w:val="2B3F3F89"/>
    <w:multiLevelType w:val="singleLevel"/>
    <w:tmpl w:val="2B3F3F8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1">
    <w:nsid w:val="3D950AF9"/>
    <w:multiLevelType w:val="singleLevel"/>
    <w:tmpl w:val="3D950AF9"/>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42">
    <w:nsid w:val="3FE315B6"/>
    <w:multiLevelType w:val="singleLevel"/>
    <w:tmpl w:val="3FE315B6"/>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3">
    <w:nsid w:val="40F245EA"/>
    <w:multiLevelType w:val="singleLevel"/>
    <w:tmpl w:val="40F245EA"/>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4">
    <w:nsid w:val="4A51D704"/>
    <w:multiLevelType w:val="singleLevel"/>
    <w:tmpl w:val="4A51D704"/>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5">
    <w:nsid w:val="4AD1D84F"/>
    <w:multiLevelType w:val="singleLevel"/>
    <w:tmpl w:val="4AD1D84F"/>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46">
    <w:nsid w:val="4CD1E351"/>
    <w:multiLevelType w:val="singleLevel"/>
    <w:tmpl w:val="4CD1E35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7">
    <w:nsid w:val="4D63189B"/>
    <w:multiLevelType w:val="singleLevel"/>
    <w:tmpl w:val="4D63189B"/>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8">
    <w:nsid w:val="4FB438A5"/>
    <w:multiLevelType w:val="singleLevel"/>
    <w:tmpl w:val="4FB438A5"/>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49">
    <w:nsid w:val="51C4BC33"/>
    <w:multiLevelType w:val="singleLevel"/>
    <w:tmpl w:val="51C4BC33"/>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50">
    <w:nsid w:val="54701CA1"/>
    <w:multiLevelType w:val="singleLevel"/>
    <w:tmpl w:val="54701CA1"/>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51">
    <w:nsid w:val="5FCE4367"/>
    <w:multiLevelType w:val="singleLevel"/>
    <w:tmpl w:val="5FCE436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52">
    <w:nsid w:val="68B298F7"/>
    <w:multiLevelType w:val="singleLevel"/>
    <w:tmpl w:val="68B298F7"/>
    <w:lvl w:ilvl="0" w:tentative="0">
      <w:start w:val="1"/>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0"/>
        <w:szCs w:val="20"/>
        <w:u w:val="none"/>
        <w:shd w:val="clear" w:color="auto" w:fill="auto"/>
        <w:lang w:val="zh-CN" w:eastAsia="zh-CN" w:bidi="zh-CN"/>
      </w:rPr>
    </w:lvl>
  </w:abstractNum>
  <w:abstractNum w:abstractNumId="53">
    <w:nsid w:val="7E81758F"/>
    <w:multiLevelType w:val="multilevel"/>
    <w:tmpl w:val="7E81758F"/>
    <w:lvl w:ilvl="0" w:tentative="0">
      <w:start w:val="1"/>
      <w:numFmt w:val="decimal"/>
      <w:lvlText w:val="%1、"/>
      <w:lvlJc w:val="left"/>
      <w:pPr>
        <w:ind w:left="360" w:hanging="360"/>
      </w:pPr>
      <w:rPr>
        <w:rFonts w:hint="default"/>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5"/>
  </w:num>
  <w:num w:numId="2">
    <w:abstractNumId w:val="34"/>
  </w:num>
  <w:num w:numId="3">
    <w:abstractNumId w:val="9"/>
  </w:num>
  <w:num w:numId="4">
    <w:abstractNumId w:val="53"/>
  </w:num>
  <w:num w:numId="5">
    <w:abstractNumId w:val="39"/>
  </w:num>
  <w:num w:numId="6">
    <w:abstractNumId w:val="22"/>
  </w:num>
  <w:num w:numId="7">
    <w:abstractNumId w:val="23"/>
  </w:num>
  <w:num w:numId="8">
    <w:abstractNumId w:val="24"/>
  </w:num>
  <w:num w:numId="9">
    <w:abstractNumId w:val="25"/>
  </w:num>
  <w:num w:numId="10">
    <w:abstractNumId w:val="26"/>
  </w:num>
  <w:num w:numId="11">
    <w:abstractNumId w:val="27"/>
  </w:num>
  <w:num w:numId="12">
    <w:abstractNumId w:val="28"/>
  </w:num>
  <w:num w:numId="13">
    <w:abstractNumId w:val="29"/>
  </w:num>
  <w:num w:numId="14">
    <w:abstractNumId w:val="18"/>
  </w:num>
  <w:num w:numId="15">
    <w:abstractNumId w:val="3"/>
  </w:num>
  <w:num w:numId="16">
    <w:abstractNumId w:val="52"/>
  </w:num>
  <w:num w:numId="17">
    <w:abstractNumId w:val="11"/>
  </w:num>
  <w:num w:numId="18">
    <w:abstractNumId w:val="46"/>
  </w:num>
  <w:num w:numId="19">
    <w:abstractNumId w:val="4"/>
  </w:num>
  <w:num w:numId="20">
    <w:abstractNumId w:val="16"/>
  </w:num>
  <w:num w:numId="21">
    <w:abstractNumId w:val="33"/>
  </w:num>
  <w:num w:numId="22">
    <w:abstractNumId w:val="44"/>
  </w:num>
  <w:num w:numId="23">
    <w:abstractNumId w:val="0"/>
  </w:num>
  <w:num w:numId="24">
    <w:abstractNumId w:val="1"/>
  </w:num>
  <w:num w:numId="25">
    <w:abstractNumId w:val="30"/>
  </w:num>
  <w:num w:numId="26">
    <w:abstractNumId w:val="8"/>
  </w:num>
  <w:num w:numId="27">
    <w:abstractNumId w:val="12"/>
  </w:num>
  <w:num w:numId="28">
    <w:abstractNumId w:val="21"/>
  </w:num>
  <w:num w:numId="29">
    <w:abstractNumId w:val="51"/>
  </w:num>
  <w:num w:numId="30">
    <w:abstractNumId w:val="20"/>
  </w:num>
  <w:num w:numId="31">
    <w:abstractNumId w:val="50"/>
  </w:num>
  <w:num w:numId="32">
    <w:abstractNumId w:val="35"/>
  </w:num>
  <w:num w:numId="33">
    <w:abstractNumId w:val="2"/>
  </w:num>
  <w:num w:numId="34">
    <w:abstractNumId w:val="31"/>
  </w:num>
  <w:num w:numId="35">
    <w:abstractNumId w:val="7"/>
  </w:num>
  <w:num w:numId="36">
    <w:abstractNumId w:val="40"/>
  </w:num>
  <w:num w:numId="37">
    <w:abstractNumId w:val="49"/>
  </w:num>
  <w:num w:numId="38">
    <w:abstractNumId w:val="14"/>
  </w:num>
  <w:num w:numId="39">
    <w:abstractNumId w:val="5"/>
  </w:num>
  <w:num w:numId="40">
    <w:abstractNumId w:val="37"/>
  </w:num>
  <w:num w:numId="41">
    <w:abstractNumId w:val="43"/>
  </w:num>
  <w:num w:numId="42">
    <w:abstractNumId w:val="47"/>
  </w:num>
  <w:num w:numId="43">
    <w:abstractNumId w:val="48"/>
  </w:num>
  <w:num w:numId="44">
    <w:abstractNumId w:val="36"/>
  </w:num>
  <w:num w:numId="45">
    <w:abstractNumId w:val="17"/>
  </w:num>
  <w:num w:numId="46">
    <w:abstractNumId w:val="6"/>
  </w:num>
  <w:num w:numId="47">
    <w:abstractNumId w:val="42"/>
  </w:num>
  <w:num w:numId="48">
    <w:abstractNumId w:val="13"/>
  </w:num>
  <w:num w:numId="49">
    <w:abstractNumId w:val="32"/>
  </w:num>
  <w:num w:numId="50">
    <w:abstractNumId w:val="19"/>
  </w:num>
  <w:num w:numId="51">
    <w:abstractNumId w:val="38"/>
  </w:num>
  <w:num w:numId="52">
    <w:abstractNumId w:val="45"/>
  </w:num>
  <w:num w:numId="53">
    <w:abstractNumId w:val="10"/>
  </w:num>
  <w:num w:numId="5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2"/>
  </w:compat>
  <w:docVars>
    <w:docVar w:name="commondata" w:val="eyJoZGlkIjoiMDljYzUzMWQ4OWI0YzBkYjYzMDRhZTY5ZjZkYmFmYTgifQ=="/>
  </w:docVars>
  <w:rsids>
    <w:rsidRoot w:val="00172A27"/>
    <w:rsid w:val="00023C92"/>
    <w:rsid w:val="000303A5"/>
    <w:rsid w:val="000559C0"/>
    <w:rsid w:val="000D49C3"/>
    <w:rsid w:val="000F2E15"/>
    <w:rsid w:val="001520A3"/>
    <w:rsid w:val="00157C31"/>
    <w:rsid w:val="00172A27"/>
    <w:rsid w:val="00221477"/>
    <w:rsid w:val="002658C9"/>
    <w:rsid w:val="00274645"/>
    <w:rsid w:val="002817F7"/>
    <w:rsid w:val="002F01CF"/>
    <w:rsid w:val="0032738E"/>
    <w:rsid w:val="003B59BF"/>
    <w:rsid w:val="00414D8F"/>
    <w:rsid w:val="004359B4"/>
    <w:rsid w:val="00492C26"/>
    <w:rsid w:val="004C0825"/>
    <w:rsid w:val="004F1C73"/>
    <w:rsid w:val="004F2858"/>
    <w:rsid w:val="00596F47"/>
    <w:rsid w:val="005B3DF1"/>
    <w:rsid w:val="00620C61"/>
    <w:rsid w:val="006A1804"/>
    <w:rsid w:val="00713998"/>
    <w:rsid w:val="00715851"/>
    <w:rsid w:val="00781B28"/>
    <w:rsid w:val="007D660D"/>
    <w:rsid w:val="008021D5"/>
    <w:rsid w:val="008602C5"/>
    <w:rsid w:val="008622EB"/>
    <w:rsid w:val="00863E31"/>
    <w:rsid w:val="00881C80"/>
    <w:rsid w:val="008D0FB8"/>
    <w:rsid w:val="009434CD"/>
    <w:rsid w:val="00955917"/>
    <w:rsid w:val="009A760E"/>
    <w:rsid w:val="009E69CC"/>
    <w:rsid w:val="009E73A0"/>
    <w:rsid w:val="00A1081A"/>
    <w:rsid w:val="00A651C2"/>
    <w:rsid w:val="00BA648F"/>
    <w:rsid w:val="00C348DA"/>
    <w:rsid w:val="00CC1F0C"/>
    <w:rsid w:val="00CC3F18"/>
    <w:rsid w:val="00D654B8"/>
    <w:rsid w:val="00E053D7"/>
    <w:rsid w:val="00E0589A"/>
    <w:rsid w:val="00E1787A"/>
    <w:rsid w:val="00EA0707"/>
    <w:rsid w:val="00F55DD7"/>
    <w:rsid w:val="00F919DF"/>
    <w:rsid w:val="00F963AB"/>
    <w:rsid w:val="018D7312"/>
    <w:rsid w:val="01977B01"/>
    <w:rsid w:val="01CF4675"/>
    <w:rsid w:val="01F14EB2"/>
    <w:rsid w:val="02A1025A"/>
    <w:rsid w:val="02F55CF4"/>
    <w:rsid w:val="06C21663"/>
    <w:rsid w:val="06CC584D"/>
    <w:rsid w:val="06CE2FA6"/>
    <w:rsid w:val="08534FC3"/>
    <w:rsid w:val="0B831353"/>
    <w:rsid w:val="0C906F4E"/>
    <w:rsid w:val="0CCA385A"/>
    <w:rsid w:val="0D840C14"/>
    <w:rsid w:val="0F544DF5"/>
    <w:rsid w:val="114C36B6"/>
    <w:rsid w:val="11F22D2F"/>
    <w:rsid w:val="13ED32FF"/>
    <w:rsid w:val="14D607B3"/>
    <w:rsid w:val="17882C5B"/>
    <w:rsid w:val="19383777"/>
    <w:rsid w:val="1945302A"/>
    <w:rsid w:val="19637BC0"/>
    <w:rsid w:val="1AC83294"/>
    <w:rsid w:val="1C52354E"/>
    <w:rsid w:val="1CCF2E76"/>
    <w:rsid w:val="1D3B483A"/>
    <w:rsid w:val="1E026043"/>
    <w:rsid w:val="1E223634"/>
    <w:rsid w:val="1E753958"/>
    <w:rsid w:val="1FC84271"/>
    <w:rsid w:val="1FF2636C"/>
    <w:rsid w:val="211704C1"/>
    <w:rsid w:val="2339729B"/>
    <w:rsid w:val="23536501"/>
    <w:rsid w:val="236624A4"/>
    <w:rsid w:val="25F06A34"/>
    <w:rsid w:val="271774B4"/>
    <w:rsid w:val="28423C21"/>
    <w:rsid w:val="28B37BA6"/>
    <w:rsid w:val="29D47EB7"/>
    <w:rsid w:val="2AC37AD2"/>
    <w:rsid w:val="2B7F2DA3"/>
    <w:rsid w:val="2B9F7874"/>
    <w:rsid w:val="2C280B32"/>
    <w:rsid w:val="2EBE62B8"/>
    <w:rsid w:val="2F0D7489"/>
    <w:rsid w:val="2FFC6D77"/>
    <w:rsid w:val="303D1BD7"/>
    <w:rsid w:val="306B6DBE"/>
    <w:rsid w:val="30A54D4F"/>
    <w:rsid w:val="30F70AC4"/>
    <w:rsid w:val="31D37177"/>
    <w:rsid w:val="344B300E"/>
    <w:rsid w:val="362B3CB0"/>
    <w:rsid w:val="366378C0"/>
    <w:rsid w:val="36C20ACB"/>
    <w:rsid w:val="37685C84"/>
    <w:rsid w:val="38E726E0"/>
    <w:rsid w:val="39A0105F"/>
    <w:rsid w:val="3BA93994"/>
    <w:rsid w:val="3BE57B68"/>
    <w:rsid w:val="3D604F54"/>
    <w:rsid w:val="3E0609AB"/>
    <w:rsid w:val="3EFF3E9C"/>
    <w:rsid w:val="3FF86598"/>
    <w:rsid w:val="40164794"/>
    <w:rsid w:val="40384169"/>
    <w:rsid w:val="40D60A5B"/>
    <w:rsid w:val="42CF3DFF"/>
    <w:rsid w:val="43F035DE"/>
    <w:rsid w:val="44663053"/>
    <w:rsid w:val="45043B69"/>
    <w:rsid w:val="454D173D"/>
    <w:rsid w:val="468A6F69"/>
    <w:rsid w:val="46B90F62"/>
    <w:rsid w:val="472164AD"/>
    <w:rsid w:val="47E1671F"/>
    <w:rsid w:val="48042134"/>
    <w:rsid w:val="48F569FC"/>
    <w:rsid w:val="4A360855"/>
    <w:rsid w:val="4A512B79"/>
    <w:rsid w:val="4D2F00BA"/>
    <w:rsid w:val="4E4E72E4"/>
    <w:rsid w:val="4EC66A65"/>
    <w:rsid w:val="4F0973FC"/>
    <w:rsid w:val="508403B2"/>
    <w:rsid w:val="51087843"/>
    <w:rsid w:val="51954F77"/>
    <w:rsid w:val="537E7A0E"/>
    <w:rsid w:val="543627EB"/>
    <w:rsid w:val="54A83AFA"/>
    <w:rsid w:val="56180293"/>
    <w:rsid w:val="572B41B4"/>
    <w:rsid w:val="57355616"/>
    <w:rsid w:val="58AB0EF4"/>
    <w:rsid w:val="591A79B6"/>
    <w:rsid w:val="5A191657"/>
    <w:rsid w:val="5B6655A7"/>
    <w:rsid w:val="5BB02896"/>
    <w:rsid w:val="5E71730E"/>
    <w:rsid w:val="5EA86AA8"/>
    <w:rsid w:val="5EF41B8A"/>
    <w:rsid w:val="5F255B47"/>
    <w:rsid w:val="615B5BB0"/>
    <w:rsid w:val="61686204"/>
    <w:rsid w:val="623C3CCB"/>
    <w:rsid w:val="649B275D"/>
    <w:rsid w:val="64AF3AC2"/>
    <w:rsid w:val="64D5363F"/>
    <w:rsid w:val="69037F72"/>
    <w:rsid w:val="69D87C9F"/>
    <w:rsid w:val="6A886D38"/>
    <w:rsid w:val="6B4C6BAB"/>
    <w:rsid w:val="6E44142E"/>
    <w:rsid w:val="6EA6036C"/>
    <w:rsid w:val="6F0B6739"/>
    <w:rsid w:val="6F34742C"/>
    <w:rsid w:val="6FF83342"/>
    <w:rsid w:val="71C67519"/>
    <w:rsid w:val="75063912"/>
    <w:rsid w:val="75FF730A"/>
    <w:rsid w:val="76E62B25"/>
    <w:rsid w:val="78570546"/>
    <w:rsid w:val="78A70701"/>
    <w:rsid w:val="792E43B2"/>
    <w:rsid w:val="79965D88"/>
    <w:rsid w:val="7A070860"/>
    <w:rsid w:val="7A464639"/>
    <w:rsid w:val="7A803237"/>
    <w:rsid w:val="7B3373AB"/>
    <w:rsid w:val="7B6354C7"/>
    <w:rsid w:val="7B9A1695"/>
    <w:rsid w:val="7BF57DF8"/>
    <w:rsid w:val="7D454CA1"/>
    <w:rsid w:val="7EDE76AE"/>
    <w:rsid w:val="7EE278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1" w:name="index 2"/>
    <w:lsdException w:qFormat="1" w:unhideWhenUsed="0" w:uiPriority="0" w:semiHidden="0" w:name="index 3"/>
    <w:lsdException w:qFormat="1" w:unhideWhenUsed="0" w:uiPriority="0" w:semiHidden="0" w:name="index 4"/>
    <w:lsdException w:uiPriority="1" w:name="index 5"/>
    <w:lsdException w:uiPriority="1" w:name="index 6"/>
    <w:lsdException w:uiPriority="1"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iPriority="1" w:name="index heading"/>
    <w:lsdException w:qFormat="1" w:unhideWhenUsed="0" w:uiPriority="0" w:semiHidden="0" w:name="caption"/>
    <w:lsdException w:qFormat="1" w:unhideWhenUsed="0" w:uiPriority="0" w:semiHidden="0" w:name="table of figures"/>
    <w:lsdException w:uiPriority="1" w:name="envelope address"/>
    <w:lsdException w:qFormat="1" w:uiPriority="0" w:semiHidden="0" w:name="envelope return"/>
    <w:lsdException w:qFormat="1" w:unhideWhenUsed="0" w:uiPriority="0" w:semiHidden="0" w:name="footnote reference"/>
    <w:lsdException w:qFormat="1" w:unhideWhenUsed="0" w:uiPriority="0" w:semiHidden="0" w:name="annotation reference"/>
    <w:lsdException w:uiPriority="1" w:name="line number"/>
    <w:lsdException w:qFormat="1" w:unhideWhenUsed="0" w:uiPriority="0" w:semiHidden="0" w:name="page number"/>
    <w:lsdException w:uiPriority="1" w:name="endnote reference"/>
    <w:lsdException w:uiPriority="1" w:name="endnote text"/>
    <w:lsdException w:uiPriority="1" w:name="table of authorities"/>
    <w:lsdException w:uiPriority="1" w:name="macro"/>
    <w:lsdException w:uiPriority="1" w:name="toa heading"/>
    <w:lsdException w:uiPriority="1" w:name="List"/>
    <w:lsdException w:qFormat="1" w:unhideWhenUsed="0" w:uiPriority="0" w:semiHidden="0" w:name="List Bullet"/>
    <w:lsdException w:qFormat="1" w:uiPriority="99" w:semiHidden="0" w:name="List Number"/>
    <w:lsdException w:qFormat="1" w:unhideWhenUsed="0" w:uiPriority="0" w:semiHidden="0" w:name="List 2"/>
    <w:lsdException w:uiPriority="1" w:name="List 3"/>
    <w:lsdException w:uiPriority="1" w:name="List 4"/>
    <w:lsdException w:qFormat="1" w:unhideWhenUsed="0" w:uiPriority="0" w:semiHidden="0" w:name="List 5"/>
    <w:lsdException w:uiPriority="1" w:name="List Bullet 2"/>
    <w:lsdException w:uiPriority="1" w:name="List Bullet 3"/>
    <w:lsdException w:uiPriority="1" w:name="List Bullet 4"/>
    <w:lsdException w:uiPriority="1" w:name="List Bullet 5"/>
    <w:lsdException w:uiPriority="1" w:name="List Number 2"/>
    <w:lsdException w:uiPriority="1" w:name="List Number 3"/>
    <w:lsdException w:uiPriority="1" w:name="List Number 4"/>
    <w:lsdException w:uiPriority="1" w:name="List Number 5"/>
    <w:lsdException w:qFormat="1" w:unhideWhenUsed="0" w:uiPriority="0" w:semiHidden="0" w:name="Title"/>
    <w:lsdException w:uiPriority="1" w:name="Closing"/>
    <w:lsdException w:uiPriority="1" w:name="Signature"/>
    <w:lsdException w:qFormat="1" w:uiPriority="1" w:name="Default Paragraph Font"/>
    <w:lsdException w:qFormat="1" w:uiPriority="0" w:semiHidden="0" w:name="Body Text"/>
    <w:lsdException w:qFormat="1" w:unhideWhenUsed="0" w:uiPriority="0" w:semiHidden="0" w:name="Body Text Indent"/>
    <w:lsdException w:uiPriority="1" w:name="List Continue"/>
    <w:lsdException w:uiPriority="1" w:name="List Continue 2"/>
    <w:lsdException w:uiPriority="1" w:name="List Continue 3"/>
    <w:lsdException w:uiPriority="1" w:name="List Continue 4"/>
    <w:lsdException w:uiPriority="1" w:name="List Continue 5"/>
    <w:lsdException w:uiPriority="1" w:name="Message Header"/>
    <w:lsdException w:qFormat="1" w:unhideWhenUsed="0" w:uiPriority="0" w:semiHidden="0" w:name="Subtitle"/>
    <w:lsdException w:uiPriority="1"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1"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1" w:name="E-mail Signature"/>
    <w:lsdException w:qFormat="1" w:uiPriority="0" w:semiHidden="0" w:name="Normal (Web)"/>
    <w:lsdException w:qFormat="1" w:unhideWhenUsed="0" w:uiPriority="0" w:semiHidden="0" w:name="HTML Acronym"/>
    <w:lsdException w:uiPriority="1"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1" w:name="HTML Keyboard"/>
    <w:lsdException w:qFormat="1" w:unhideWhenUsed="0" w:uiPriority="0" w:semiHidden="0" w:name="HTML Preformatted"/>
    <w:lsdException w:uiPriority="1" w:name="HTML Sample"/>
    <w:lsdException w:uiPriority="1"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1" w:name="Table Simple 1"/>
    <w:lsdException w:uiPriority="1" w:name="Table Simple 2"/>
    <w:lsdException w:uiPriority="1" w:name="Table Simple 3"/>
    <w:lsdException w:uiPriority="1" w:name="Table Classic 1"/>
    <w:lsdException w:uiPriority="1" w:name="Table Classic 2"/>
    <w:lsdException w:uiPriority="1" w:name="Table Classic 3"/>
    <w:lsdException w:uiPriority="1" w:name="Table Classic 4"/>
    <w:lsdException w:uiPriority="1" w:name="Table Colorful 1"/>
    <w:lsdException w:uiPriority="1" w:name="Table Colorful 2"/>
    <w:lsdException w:uiPriority="1" w:name="Table Colorful 3"/>
    <w:lsdException w:uiPriority="1" w:name="Table Columns 1"/>
    <w:lsdException w:uiPriority="1" w:name="Table Columns 2"/>
    <w:lsdException w:uiPriority="1" w:name="Table Columns 3"/>
    <w:lsdException w:uiPriority="1" w:name="Table Columns 4"/>
    <w:lsdException w:uiPriority="1" w:name="Table Columns 5"/>
    <w:lsdException w:uiPriority="1" w:name="Table Grid 1"/>
    <w:lsdException w:uiPriority="1" w:name="Table Grid 2"/>
    <w:lsdException w:uiPriority="1" w:name="Table Grid 3"/>
    <w:lsdException w:uiPriority="1" w:name="Table Grid 4"/>
    <w:lsdException w:uiPriority="1" w:name="Table Grid 5"/>
    <w:lsdException w:uiPriority="1" w:name="Table Grid 6"/>
    <w:lsdException w:uiPriority="1" w:name="Table Grid 7"/>
    <w:lsdException w:uiPriority="1" w:name="Table Grid 8"/>
    <w:lsdException w:uiPriority="1" w:name="Table List 1"/>
    <w:lsdException w:uiPriority="1" w:name="Table List 2"/>
    <w:lsdException w:uiPriority="1" w:name="Table List 3"/>
    <w:lsdException w:uiPriority="1" w:name="Table List 4"/>
    <w:lsdException w:uiPriority="1" w:name="Table List 5"/>
    <w:lsdException w:uiPriority="1" w:name="Table List 6"/>
    <w:lsdException w:uiPriority="1" w:name="Table List 7"/>
    <w:lsdException w:uiPriority="1" w:name="Table List 8"/>
    <w:lsdException w:uiPriority="1" w:name="Table 3D effects 1"/>
    <w:lsdException w:uiPriority="1" w:name="Table 3D effects 2"/>
    <w:lsdException w:uiPriority="1" w:name="Table 3D effects 3"/>
    <w:lsdException w:uiPriority="1" w:name="Table Contemporary"/>
    <w:lsdException w:uiPriority="1" w:name="Table Elegant"/>
    <w:lsdException w:uiPriority="1" w:name="Table Professional"/>
    <w:lsdException w:uiPriority="1" w:name="Table Subtle 1"/>
    <w:lsdException w:uiPriority="1" w:name="Table Subtle 2"/>
    <w:lsdException w:uiPriority="1" w:name="Table Web 1"/>
    <w:lsdException w:uiPriority="1" w:name="Table Web 2"/>
    <w:lsdException w:uiPriority="1" w:name="Table Web 3"/>
    <w:lsdException w:qFormat="1" w:uiPriority="0" w:semiHidden="0" w:name="Balloon Text"/>
    <w:lsdException w:qFormat="1" w:unhideWhenUsed="0" w:uiPriority="0" w:semiHidden="0" w:name="Table Grid"/>
    <w:lsdException w:uiPriority="1"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3"/>
    <w:qFormat/>
    <w:uiPriority w:val="0"/>
    <w:pPr>
      <w:keepNext/>
      <w:keepLines/>
      <w:spacing w:before="340" w:after="330" w:line="578" w:lineRule="auto"/>
      <w:outlineLvl w:val="0"/>
    </w:pPr>
    <w:rPr>
      <w:b/>
      <w:bCs/>
      <w:kern w:val="44"/>
      <w:sz w:val="36"/>
      <w:szCs w:val="44"/>
    </w:rPr>
  </w:style>
  <w:style w:type="paragraph" w:styleId="3">
    <w:name w:val="heading 2"/>
    <w:basedOn w:val="1"/>
    <w:next w:val="1"/>
    <w:link w:val="74"/>
    <w:qFormat/>
    <w:uiPriority w:val="0"/>
    <w:pPr>
      <w:keepNext/>
      <w:keepLines/>
      <w:spacing w:before="260" w:after="260" w:line="415" w:lineRule="auto"/>
      <w:outlineLvl w:val="1"/>
    </w:pPr>
    <w:rPr>
      <w:rFonts w:ascii="Cambria" w:hAnsi="Cambria"/>
      <w:b/>
      <w:bCs/>
      <w:kern w:val="0"/>
      <w:sz w:val="32"/>
      <w:szCs w:val="32"/>
    </w:rPr>
  </w:style>
  <w:style w:type="paragraph" w:styleId="4">
    <w:name w:val="heading 3"/>
    <w:basedOn w:val="1"/>
    <w:next w:val="1"/>
    <w:link w:val="254"/>
    <w:qFormat/>
    <w:uiPriority w:val="0"/>
    <w:pPr>
      <w:keepNext/>
      <w:keepLines/>
      <w:widowControl/>
      <w:spacing w:before="260" w:after="260" w:line="416" w:lineRule="auto"/>
      <w:outlineLvl w:val="2"/>
    </w:pPr>
    <w:rPr>
      <w:b/>
      <w:bCs/>
      <w:sz w:val="24"/>
      <w:szCs w:val="32"/>
    </w:rPr>
  </w:style>
  <w:style w:type="paragraph" w:styleId="5">
    <w:name w:val="heading 4"/>
    <w:basedOn w:val="1"/>
    <w:next w:val="1"/>
    <w:link w:val="530"/>
    <w:qFormat/>
    <w:uiPriority w:val="0"/>
    <w:pPr>
      <w:keepNext/>
      <w:keepLines/>
      <w:widowControl/>
      <w:spacing w:before="200" w:line="276" w:lineRule="auto"/>
      <w:jc w:val="left"/>
      <w:outlineLvl w:val="3"/>
    </w:pPr>
    <w:rPr>
      <w:rFonts w:ascii="Calibri Light" w:hAnsi="Calibri Light"/>
      <w:b/>
      <w:bCs/>
      <w:iCs/>
      <w:kern w:val="0"/>
      <w:sz w:val="20"/>
      <w:szCs w:val="20"/>
    </w:rPr>
  </w:style>
  <w:style w:type="paragraph" w:styleId="6">
    <w:name w:val="heading 5"/>
    <w:basedOn w:val="1"/>
    <w:next w:val="1"/>
    <w:link w:val="77"/>
    <w:qFormat/>
    <w:uiPriority w:val="0"/>
    <w:pPr>
      <w:keepNext/>
      <w:keepLines/>
      <w:spacing w:before="280" w:after="290" w:line="376" w:lineRule="auto"/>
      <w:outlineLvl w:val="4"/>
    </w:pPr>
    <w:rPr>
      <w:b/>
      <w:bCs/>
      <w:kern w:val="0"/>
      <w:sz w:val="28"/>
      <w:szCs w:val="28"/>
    </w:rPr>
  </w:style>
  <w:style w:type="paragraph" w:styleId="7">
    <w:name w:val="heading 6"/>
    <w:basedOn w:val="1"/>
    <w:next w:val="1"/>
    <w:link w:val="78"/>
    <w:qFormat/>
    <w:uiPriority w:val="0"/>
    <w:pPr>
      <w:keepNext/>
      <w:keepLines/>
      <w:spacing w:before="240" w:after="64" w:line="320" w:lineRule="auto"/>
      <w:outlineLvl w:val="5"/>
    </w:pPr>
    <w:rPr>
      <w:rFonts w:ascii="Cambria" w:hAnsi="Cambria"/>
      <w:b/>
      <w:bCs/>
      <w:kern w:val="0"/>
      <w:sz w:val="24"/>
    </w:rPr>
  </w:style>
  <w:style w:type="paragraph" w:styleId="8">
    <w:name w:val="heading 7"/>
    <w:basedOn w:val="1"/>
    <w:next w:val="1"/>
    <w:link w:val="79"/>
    <w:qFormat/>
    <w:uiPriority w:val="0"/>
    <w:pPr>
      <w:keepNext/>
      <w:keepLines/>
      <w:spacing w:before="240" w:after="64" w:line="320" w:lineRule="auto"/>
      <w:ind w:firstLine="200" w:firstLineChars="200"/>
      <w:outlineLvl w:val="6"/>
    </w:pPr>
    <w:rPr>
      <w:b/>
      <w:bCs/>
      <w:kern w:val="0"/>
      <w:sz w:val="24"/>
    </w:rPr>
  </w:style>
  <w:style w:type="paragraph" w:styleId="9">
    <w:name w:val="heading 8"/>
    <w:basedOn w:val="1"/>
    <w:next w:val="1"/>
    <w:link w:val="80"/>
    <w:qFormat/>
    <w:uiPriority w:val="0"/>
    <w:pPr>
      <w:keepNext/>
      <w:keepLines/>
      <w:spacing w:before="240" w:after="64" w:line="320" w:lineRule="auto"/>
      <w:ind w:firstLine="200" w:firstLineChars="200"/>
      <w:outlineLvl w:val="7"/>
    </w:pPr>
    <w:rPr>
      <w:rFonts w:ascii="Cambria" w:hAnsi="Cambria"/>
      <w:kern w:val="0"/>
      <w:sz w:val="24"/>
    </w:rPr>
  </w:style>
  <w:style w:type="paragraph" w:styleId="10">
    <w:name w:val="heading 9"/>
    <w:basedOn w:val="1"/>
    <w:next w:val="1"/>
    <w:link w:val="81"/>
    <w:qFormat/>
    <w:uiPriority w:val="0"/>
    <w:pPr>
      <w:keepNext/>
      <w:keepLines/>
      <w:spacing w:before="240" w:after="64" w:line="320" w:lineRule="auto"/>
      <w:ind w:firstLine="200" w:firstLineChars="200"/>
      <w:outlineLvl w:val="8"/>
    </w:pPr>
    <w:rPr>
      <w:rFonts w:ascii="Cambria" w:hAnsi="Cambria"/>
      <w:kern w:val="0"/>
      <w:sz w:val="20"/>
      <w:szCs w:val="21"/>
    </w:rPr>
  </w:style>
  <w:style w:type="character" w:default="1" w:styleId="57">
    <w:name w:val="Default Paragraph Font"/>
    <w:semiHidden/>
    <w:unhideWhenUsed/>
    <w:qFormat/>
    <w:uiPriority w:val="1"/>
  </w:style>
  <w:style w:type="table" w:default="1" w:styleId="5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0"/>
    <w:pPr>
      <w:spacing w:line="360" w:lineRule="exact"/>
      <w:ind w:left="1260" w:firstLine="200" w:firstLineChars="200"/>
      <w:jc w:val="left"/>
    </w:pPr>
    <w:rPr>
      <w:rFonts w:ascii="Calibri" w:hAnsi="Calibri"/>
      <w:sz w:val="18"/>
      <w:szCs w:val="18"/>
    </w:rPr>
  </w:style>
  <w:style w:type="paragraph" w:styleId="12">
    <w:name w:val="index 8"/>
    <w:basedOn w:val="1"/>
    <w:next w:val="1"/>
    <w:qFormat/>
    <w:uiPriority w:val="0"/>
    <w:pPr>
      <w:ind w:left="1400" w:leftChars="1400"/>
    </w:pPr>
  </w:style>
  <w:style w:type="paragraph" w:styleId="13">
    <w:name w:val="List Number"/>
    <w:basedOn w:val="1"/>
    <w:unhideWhenUsed/>
    <w:qFormat/>
    <w:uiPriority w:val="99"/>
    <w:pPr>
      <w:numPr>
        <w:ilvl w:val="0"/>
        <w:numId w:val="1"/>
      </w:numPr>
    </w:pPr>
  </w:style>
  <w:style w:type="paragraph" w:styleId="14">
    <w:name w:val="Normal Indent"/>
    <w:basedOn w:val="1"/>
    <w:next w:val="1"/>
    <w:link w:val="72"/>
    <w:qFormat/>
    <w:uiPriority w:val="0"/>
    <w:pPr>
      <w:adjustRightInd w:val="0"/>
      <w:spacing w:line="312" w:lineRule="atLeast"/>
      <w:ind w:firstLine="420" w:firstLineChars="200"/>
    </w:pPr>
    <w:rPr>
      <w:kern w:val="0"/>
      <w:szCs w:val="20"/>
    </w:rPr>
  </w:style>
  <w:style w:type="paragraph" w:styleId="15">
    <w:name w:val="caption"/>
    <w:basedOn w:val="1"/>
    <w:next w:val="1"/>
    <w:qFormat/>
    <w:uiPriority w:val="0"/>
    <w:pPr>
      <w:spacing w:line="360" w:lineRule="exact"/>
      <w:ind w:firstLine="200" w:firstLineChars="200"/>
    </w:pPr>
    <w:rPr>
      <w:rFonts w:ascii="Cambria" w:hAnsi="Cambria" w:eastAsia="黑体"/>
      <w:sz w:val="20"/>
      <w:szCs w:val="20"/>
    </w:rPr>
  </w:style>
  <w:style w:type="paragraph" w:styleId="16">
    <w:name w:val="List Bullet"/>
    <w:basedOn w:val="1"/>
    <w:qFormat/>
    <w:uiPriority w:val="0"/>
    <w:pPr>
      <w:tabs>
        <w:tab w:val="left" w:pos="360"/>
      </w:tabs>
      <w:ind w:left="360" w:hanging="360"/>
    </w:pPr>
  </w:style>
  <w:style w:type="paragraph" w:styleId="17">
    <w:name w:val="Document Map"/>
    <w:basedOn w:val="1"/>
    <w:link w:val="82"/>
    <w:qFormat/>
    <w:uiPriority w:val="0"/>
    <w:pPr>
      <w:shd w:val="clear" w:color="auto" w:fill="000080"/>
      <w:spacing w:line="360" w:lineRule="exact"/>
      <w:ind w:firstLine="200" w:firstLineChars="200"/>
    </w:pPr>
    <w:rPr>
      <w:kern w:val="0"/>
      <w:sz w:val="20"/>
    </w:rPr>
  </w:style>
  <w:style w:type="paragraph" w:styleId="18">
    <w:name w:val="annotation text"/>
    <w:basedOn w:val="1"/>
    <w:link w:val="83"/>
    <w:qFormat/>
    <w:uiPriority w:val="0"/>
    <w:pPr>
      <w:widowControl/>
      <w:jc w:val="left"/>
    </w:pPr>
    <w:rPr>
      <w:kern w:val="0"/>
      <w:sz w:val="20"/>
    </w:rPr>
  </w:style>
  <w:style w:type="paragraph" w:styleId="19">
    <w:name w:val="Body Text 3"/>
    <w:basedOn w:val="1"/>
    <w:link w:val="84"/>
    <w:qFormat/>
    <w:uiPriority w:val="0"/>
    <w:pPr>
      <w:spacing w:line="360" w:lineRule="exact"/>
      <w:ind w:firstLine="200" w:firstLineChars="200"/>
    </w:pPr>
    <w:rPr>
      <w:rFonts w:ascii="宋体"/>
      <w:kern w:val="0"/>
      <w:sz w:val="24"/>
      <w:szCs w:val="20"/>
    </w:rPr>
  </w:style>
  <w:style w:type="paragraph" w:styleId="20">
    <w:name w:val="Body Text"/>
    <w:basedOn w:val="1"/>
    <w:link w:val="85"/>
    <w:unhideWhenUsed/>
    <w:qFormat/>
    <w:uiPriority w:val="0"/>
    <w:pPr>
      <w:spacing w:after="120"/>
    </w:pPr>
    <w:rPr>
      <w:kern w:val="0"/>
      <w:sz w:val="20"/>
    </w:rPr>
  </w:style>
  <w:style w:type="paragraph" w:styleId="21">
    <w:name w:val="Body Text Indent"/>
    <w:basedOn w:val="1"/>
    <w:next w:val="22"/>
    <w:link w:val="86"/>
    <w:qFormat/>
    <w:uiPriority w:val="0"/>
    <w:pPr>
      <w:spacing w:after="120" w:line="360" w:lineRule="exact"/>
      <w:ind w:left="420" w:leftChars="200" w:firstLine="200" w:firstLineChars="200"/>
    </w:pPr>
    <w:rPr>
      <w:kern w:val="0"/>
      <w:sz w:val="20"/>
    </w:rPr>
  </w:style>
  <w:style w:type="paragraph" w:styleId="22">
    <w:name w:val="Body Text Indent 2"/>
    <w:basedOn w:val="1"/>
    <w:link w:val="89"/>
    <w:qFormat/>
    <w:uiPriority w:val="0"/>
    <w:pPr>
      <w:spacing w:after="120" w:line="480" w:lineRule="auto"/>
      <w:ind w:left="420" w:leftChars="200" w:firstLine="200" w:firstLineChars="200"/>
    </w:pPr>
    <w:rPr>
      <w:kern w:val="0"/>
      <w:sz w:val="20"/>
    </w:rPr>
  </w:style>
  <w:style w:type="paragraph" w:styleId="23">
    <w:name w:val="List 2"/>
    <w:basedOn w:val="1"/>
    <w:qFormat/>
    <w:uiPriority w:val="0"/>
    <w:pPr>
      <w:ind w:left="840" w:hanging="420"/>
    </w:pPr>
    <w:rPr>
      <w:szCs w:val="20"/>
    </w:rPr>
  </w:style>
  <w:style w:type="paragraph" w:styleId="24">
    <w:name w:val="Block Text"/>
    <w:basedOn w:val="1"/>
    <w:qFormat/>
    <w:uiPriority w:val="0"/>
    <w:pPr>
      <w:widowControl/>
      <w:overflowPunct w:val="0"/>
      <w:autoSpaceDE w:val="0"/>
      <w:autoSpaceDN w:val="0"/>
      <w:adjustRightInd w:val="0"/>
      <w:snapToGrid w:val="0"/>
      <w:spacing w:line="360" w:lineRule="auto"/>
      <w:ind w:left="1440" w:right="-510" w:hanging="759"/>
      <w:textAlignment w:val="baseline"/>
    </w:pPr>
    <w:rPr>
      <w:kern w:val="0"/>
      <w:sz w:val="24"/>
      <w:szCs w:val="20"/>
    </w:rPr>
  </w:style>
  <w:style w:type="paragraph" w:styleId="25">
    <w:name w:val="index 4"/>
    <w:basedOn w:val="1"/>
    <w:next w:val="1"/>
    <w:qFormat/>
    <w:uiPriority w:val="0"/>
    <w:pPr>
      <w:ind w:left="600" w:leftChars="600"/>
    </w:pPr>
  </w:style>
  <w:style w:type="paragraph" w:styleId="26">
    <w:name w:val="toc 5"/>
    <w:basedOn w:val="1"/>
    <w:next w:val="1"/>
    <w:unhideWhenUsed/>
    <w:qFormat/>
    <w:uiPriority w:val="0"/>
    <w:pPr>
      <w:spacing w:line="360" w:lineRule="exact"/>
      <w:ind w:left="840" w:firstLine="200" w:firstLineChars="200"/>
      <w:jc w:val="left"/>
    </w:pPr>
    <w:rPr>
      <w:rFonts w:ascii="Calibri" w:hAnsi="Calibri"/>
      <w:sz w:val="18"/>
      <w:szCs w:val="18"/>
    </w:rPr>
  </w:style>
  <w:style w:type="paragraph" w:styleId="27">
    <w:name w:val="toc 3"/>
    <w:basedOn w:val="1"/>
    <w:next w:val="1"/>
    <w:unhideWhenUsed/>
    <w:qFormat/>
    <w:uiPriority w:val="39"/>
    <w:pPr>
      <w:ind w:left="840" w:leftChars="400"/>
    </w:pPr>
  </w:style>
  <w:style w:type="paragraph" w:styleId="28">
    <w:name w:val="Plain Text"/>
    <w:basedOn w:val="1"/>
    <w:next w:val="5"/>
    <w:link w:val="87"/>
    <w:qFormat/>
    <w:uiPriority w:val="0"/>
    <w:rPr>
      <w:rFonts w:ascii="宋体" w:hAnsi="Courier New"/>
      <w:kern w:val="0"/>
      <w:sz w:val="20"/>
      <w:szCs w:val="20"/>
    </w:rPr>
  </w:style>
  <w:style w:type="paragraph" w:styleId="29">
    <w:name w:val="toc 8"/>
    <w:basedOn w:val="1"/>
    <w:next w:val="1"/>
    <w:unhideWhenUsed/>
    <w:qFormat/>
    <w:uiPriority w:val="0"/>
    <w:pPr>
      <w:spacing w:line="360" w:lineRule="exact"/>
      <w:ind w:left="1470" w:firstLine="200" w:firstLineChars="200"/>
      <w:jc w:val="left"/>
    </w:pPr>
    <w:rPr>
      <w:rFonts w:ascii="Calibri" w:hAnsi="Calibri"/>
      <w:sz w:val="18"/>
      <w:szCs w:val="18"/>
    </w:rPr>
  </w:style>
  <w:style w:type="paragraph" w:styleId="30">
    <w:name w:val="index 3"/>
    <w:basedOn w:val="1"/>
    <w:next w:val="1"/>
    <w:qFormat/>
    <w:uiPriority w:val="0"/>
    <w:pPr>
      <w:ind w:left="400" w:leftChars="400"/>
      <w:jc w:val="left"/>
    </w:pPr>
  </w:style>
  <w:style w:type="paragraph" w:styleId="31">
    <w:name w:val="Date"/>
    <w:basedOn w:val="1"/>
    <w:next w:val="1"/>
    <w:link w:val="88"/>
    <w:qFormat/>
    <w:uiPriority w:val="0"/>
    <w:pPr>
      <w:spacing w:line="360" w:lineRule="exact"/>
      <w:ind w:left="100" w:leftChars="2500" w:firstLine="200" w:firstLineChars="200"/>
    </w:pPr>
    <w:rPr>
      <w:kern w:val="0"/>
      <w:sz w:val="20"/>
    </w:rPr>
  </w:style>
  <w:style w:type="paragraph" w:styleId="32">
    <w:name w:val="Balloon Text"/>
    <w:basedOn w:val="1"/>
    <w:link w:val="90"/>
    <w:unhideWhenUsed/>
    <w:qFormat/>
    <w:uiPriority w:val="0"/>
    <w:rPr>
      <w:kern w:val="0"/>
      <w:sz w:val="18"/>
      <w:szCs w:val="18"/>
    </w:rPr>
  </w:style>
  <w:style w:type="paragraph" w:styleId="33">
    <w:name w:val="footer"/>
    <w:basedOn w:val="1"/>
    <w:next w:val="1"/>
    <w:link w:val="91"/>
    <w:unhideWhenUsed/>
    <w:qFormat/>
    <w:uiPriority w:val="0"/>
    <w:pPr>
      <w:tabs>
        <w:tab w:val="center" w:pos="4153"/>
        <w:tab w:val="right" w:pos="8306"/>
      </w:tabs>
      <w:snapToGrid w:val="0"/>
      <w:jc w:val="left"/>
    </w:pPr>
    <w:rPr>
      <w:kern w:val="0"/>
      <w:sz w:val="18"/>
      <w:szCs w:val="18"/>
    </w:rPr>
  </w:style>
  <w:style w:type="paragraph" w:styleId="34">
    <w:name w:val="envelope return"/>
    <w:basedOn w:val="1"/>
    <w:unhideWhenUsed/>
    <w:qFormat/>
    <w:uiPriority w:val="0"/>
    <w:pPr>
      <w:snapToGrid w:val="0"/>
    </w:pPr>
    <w:rPr>
      <w:rFonts w:ascii="Arial" w:hAnsi="Arial"/>
      <w:sz w:val="24"/>
    </w:rPr>
  </w:style>
  <w:style w:type="paragraph" w:styleId="35">
    <w:name w:val="header"/>
    <w:basedOn w:val="1"/>
    <w:link w:val="92"/>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36">
    <w:name w:val="toc 1"/>
    <w:basedOn w:val="1"/>
    <w:next w:val="1"/>
    <w:unhideWhenUsed/>
    <w:qFormat/>
    <w:uiPriority w:val="39"/>
  </w:style>
  <w:style w:type="paragraph" w:styleId="37">
    <w:name w:val="toc 4"/>
    <w:basedOn w:val="1"/>
    <w:next w:val="1"/>
    <w:unhideWhenUsed/>
    <w:qFormat/>
    <w:uiPriority w:val="0"/>
    <w:pPr>
      <w:spacing w:line="360" w:lineRule="exact"/>
      <w:ind w:left="630" w:firstLine="200" w:firstLineChars="200"/>
      <w:jc w:val="left"/>
    </w:pPr>
    <w:rPr>
      <w:rFonts w:ascii="Calibri" w:hAnsi="Calibri"/>
      <w:sz w:val="18"/>
      <w:szCs w:val="18"/>
    </w:rPr>
  </w:style>
  <w:style w:type="paragraph" w:styleId="38">
    <w:name w:val="Subtitle"/>
    <w:basedOn w:val="1"/>
    <w:next w:val="1"/>
    <w:link w:val="93"/>
    <w:qFormat/>
    <w:uiPriority w:val="0"/>
    <w:pPr>
      <w:spacing w:before="240" w:after="60" w:line="312" w:lineRule="auto"/>
      <w:ind w:firstLine="200" w:firstLineChars="200"/>
      <w:jc w:val="center"/>
      <w:outlineLvl w:val="1"/>
    </w:pPr>
    <w:rPr>
      <w:rFonts w:ascii="Cambria" w:hAnsi="Cambria"/>
      <w:b/>
      <w:bCs/>
      <w:kern w:val="28"/>
      <w:sz w:val="32"/>
      <w:szCs w:val="32"/>
    </w:rPr>
  </w:style>
  <w:style w:type="paragraph" w:styleId="39">
    <w:name w:val="footnote text"/>
    <w:basedOn w:val="1"/>
    <w:link w:val="94"/>
    <w:qFormat/>
    <w:uiPriority w:val="0"/>
    <w:pPr>
      <w:snapToGrid w:val="0"/>
      <w:jc w:val="left"/>
    </w:pPr>
    <w:rPr>
      <w:sz w:val="18"/>
      <w:szCs w:val="18"/>
    </w:rPr>
  </w:style>
  <w:style w:type="paragraph" w:styleId="40">
    <w:name w:val="toc 6"/>
    <w:basedOn w:val="1"/>
    <w:next w:val="1"/>
    <w:unhideWhenUsed/>
    <w:qFormat/>
    <w:uiPriority w:val="0"/>
    <w:pPr>
      <w:spacing w:line="360" w:lineRule="exact"/>
      <w:ind w:left="1050" w:firstLine="200" w:firstLineChars="200"/>
      <w:jc w:val="left"/>
    </w:pPr>
    <w:rPr>
      <w:rFonts w:ascii="Calibri" w:hAnsi="Calibri"/>
      <w:sz w:val="18"/>
      <w:szCs w:val="18"/>
    </w:rPr>
  </w:style>
  <w:style w:type="paragraph" w:styleId="41">
    <w:name w:val="List 5"/>
    <w:basedOn w:val="1"/>
    <w:qFormat/>
    <w:uiPriority w:val="0"/>
    <w:pPr>
      <w:ind w:left="2100" w:hanging="420"/>
    </w:pPr>
    <w:rPr>
      <w:szCs w:val="20"/>
    </w:rPr>
  </w:style>
  <w:style w:type="paragraph" w:styleId="42">
    <w:name w:val="Body Text Indent 3"/>
    <w:basedOn w:val="1"/>
    <w:link w:val="95"/>
    <w:qFormat/>
    <w:uiPriority w:val="0"/>
    <w:pPr>
      <w:spacing w:after="120" w:line="360" w:lineRule="exact"/>
      <w:ind w:left="420" w:leftChars="200" w:firstLine="200" w:firstLineChars="200"/>
    </w:pPr>
    <w:rPr>
      <w:kern w:val="0"/>
      <w:sz w:val="16"/>
      <w:szCs w:val="16"/>
    </w:rPr>
  </w:style>
  <w:style w:type="paragraph" w:styleId="43">
    <w:name w:val="index 9"/>
    <w:basedOn w:val="1"/>
    <w:next w:val="1"/>
    <w:qFormat/>
    <w:uiPriority w:val="0"/>
    <w:pPr>
      <w:ind w:left="1600" w:leftChars="1600"/>
    </w:pPr>
    <w:rPr>
      <w:szCs w:val="20"/>
    </w:rPr>
  </w:style>
  <w:style w:type="paragraph" w:styleId="44">
    <w:name w:val="table of figures"/>
    <w:basedOn w:val="1"/>
    <w:next w:val="1"/>
    <w:qFormat/>
    <w:uiPriority w:val="0"/>
    <w:pPr>
      <w:ind w:left="200" w:leftChars="200" w:hanging="200" w:hangingChars="200"/>
    </w:pPr>
  </w:style>
  <w:style w:type="paragraph" w:styleId="45">
    <w:name w:val="toc 2"/>
    <w:basedOn w:val="1"/>
    <w:next w:val="1"/>
    <w:link w:val="96"/>
    <w:unhideWhenUsed/>
    <w:qFormat/>
    <w:uiPriority w:val="39"/>
    <w:pPr>
      <w:ind w:left="420" w:leftChars="200"/>
    </w:pPr>
    <w:rPr>
      <w:kern w:val="0"/>
      <w:sz w:val="20"/>
    </w:rPr>
  </w:style>
  <w:style w:type="paragraph" w:styleId="46">
    <w:name w:val="toc 9"/>
    <w:basedOn w:val="1"/>
    <w:next w:val="1"/>
    <w:unhideWhenUsed/>
    <w:qFormat/>
    <w:uiPriority w:val="0"/>
    <w:pPr>
      <w:spacing w:line="360" w:lineRule="exact"/>
      <w:ind w:left="1680" w:firstLine="200" w:firstLineChars="200"/>
      <w:jc w:val="left"/>
    </w:pPr>
    <w:rPr>
      <w:rFonts w:ascii="Calibri" w:hAnsi="Calibri"/>
      <w:sz w:val="18"/>
      <w:szCs w:val="18"/>
    </w:rPr>
  </w:style>
  <w:style w:type="paragraph" w:styleId="47">
    <w:name w:val="Body Text 2"/>
    <w:basedOn w:val="1"/>
    <w:link w:val="97"/>
    <w:qFormat/>
    <w:uiPriority w:val="0"/>
    <w:pPr>
      <w:spacing w:after="120" w:line="480" w:lineRule="auto"/>
      <w:ind w:firstLine="200" w:firstLineChars="200"/>
    </w:pPr>
    <w:rPr>
      <w:kern w:val="0"/>
      <w:sz w:val="20"/>
    </w:rPr>
  </w:style>
  <w:style w:type="paragraph" w:styleId="48">
    <w:name w:val="HTML Preformatted"/>
    <w:basedOn w:val="1"/>
    <w:link w:val="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49">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50">
    <w:name w:val="index 1"/>
    <w:basedOn w:val="1"/>
    <w:next w:val="1"/>
    <w:qFormat/>
    <w:uiPriority w:val="0"/>
    <w:pPr>
      <w:ind w:right="257"/>
    </w:pPr>
    <w:rPr>
      <w:rFonts w:ascii="宋体" w:hAnsi="宋体"/>
      <w:szCs w:val="20"/>
    </w:rPr>
  </w:style>
  <w:style w:type="paragraph" w:styleId="51">
    <w:name w:val="Title"/>
    <w:basedOn w:val="1"/>
    <w:next w:val="1"/>
    <w:link w:val="99"/>
    <w:qFormat/>
    <w:uiPriority w:val="0"/>
    <w:pPr>
      <w:spacing w:before="240" w:after="240"/>
      <w:ind w:firstLine="1687"/>
      <w:jc w:val="center"/>
      <w:outlineLvl w:val="0"/>
    </w:pPr>
    <w:rPr>
      <w:rFonts w:ascii="Cambria" w:hAnsi="Cambria"/>
      <w:b/>
      <w:bCs/>
      <w:kern w:val="0"/>
      <w:sz w:val="32"/>
      <w:szCs w:val="32"/>
    </w:rPr>
  </w:style>
  <w:style w:type="paragraph" w:styleId="52">
    <w:name w:val="annotation subject"/>
    <w:basedOn w:val="18"/>
    <w:next w:val="18"/>
    <w:link w:val="100"/>
    <w:qFormat/>
    <w:uiPriority w:val="0"/>
    <w:pPr>
      <w:widowControl w:val="0"/>
      <w:spacing w:line="360" w:lineRule="exact"/>
      <w:ind w:firstLine="200" w:firstLineChars="200"/>
    </w:pPr>
    <w:rPr>
      <w:b/>
      <w:bCs/>
    </w:rPr>
  </w:style>
  <w:style w:type="paragraph" w:styleId="53">
    <w:name w:val="Body Text First Indent"/>
    <w:basedOn w:val="1"/>
    <w:next w:val="54"/>
    <w:link w:val="101"/>
    <w:qFormat/>
    <w:uiPriority w:val="0"/>
    <w:pPr>
      <w:ind w:firstLine="420" w:firstLineChars="100"/>
    </w:pPr>
  </w:style>
  <w:style w:type="paragraph" w:styleId="54">
    <w:name w:val="Body Text First Indent 2"/>
    <w:basedOn w:val="21"/>
    <w:unhideWhenUsed/>
    <w:qFormat/>
    <w:uiPriority w:val="99"/>
    <w:pPr>
      <w:ind w:firstLine="420"/>
    </w:pPr>
  </w:style>
  <w:style w:type="table" w:styleId="56">
    <w:name w:val="Table Grid"/>
    <w:basedOn w:val="5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8">
    <w:name w:val="Strong"/>
    <w:qFormat/>
    <w:uiPriority w:val="0"/>
    <w:rPr>
      <w:b/>
      <w:bCs/>
    </w:rPr>
  </w:style>
  <w:style w:type="character" w:styleId="59">
    <w:name w:val="page number"/>
    <w:qFormat/>
    <w:uiPriority w:val="0"/>
  </w:style>
  <w:style w:type="character" w:styleId="60">
    <w:name w:val="FollowedHyperlink"/>
    <w:qFormat/>
    <w:uiPriority w:val="0"/>
    <w:rPr>
      <w:color w:val="333333"/>
      <w:u w:val="none"/>
    </w:rPr>
  </w:style>
  <w:style w:type="character" w:styleId="61">
    <w:name w:val="Emphasis"/>
    <w:qFormat/>
    <w:uiPriority w:val="0"/>
    <w:rPr>
      <w:i/>
      <w:iCs/>
    </w:rPr>
  </w:style>
  <w:style w:type="character" w:styleId="62">
    <w:name w:val="HTML Definition"/>
    <w:qFormat/>
    <w:uiPriority w:val="0"/>
  </w:style>
  <w:style w:type="character" w:styleId="63">
    <w:name w:val="HTML Acronym"/>
    <w:qFormat/>
    <w:uiPriority w:val="0"/>
  </w:style>
  <w:style w:type="character" w:styleId="64">
    <w:name w:val="HTML Variable"/>
    <w:qFormat/>
    <w:uiPriority w:val="0"/>
  </w:style>
  <w:style w:type="character" w:styleId="65">
    <w:name w:val="Hyperlink"/>
    <w:qFormat/>
    <w:uiPriority w:val="99"/>
    <w:rPr>
      <w:color w:val="333333"/>
      <w:u w:val="none"/>
    </w:rPr>
  </w:style>
  <w:style w:type="character" w:styleId="66">
    <w:name w:val="HTML Code"/>
    <w:qFormat/>
    <w:uiPriority w:val="0"/>
    <w:rPr>
      <w:rFonts w:ascii="Courier New" w:hAnsi="Courier New"/>
      <w:color w:val="505050"/>
      <w:sz w:val="24"/>
      <w:szCs w:val="24"/>
    </w:rPr>
  </w:style>
  <w:style w:type="character" w:styleId="67">
    <w:name w:val="annotation reference"/>
    <w:qFormat/>
    <w:uiPriority w:val="0"/>
    <w:rPr>
      <w:sz w:val="21"/>
      <w:szCs w:val="21"/>
    </w:rPr>
  </w:style>
  <w:style w:type="character" w:styleId="68">
    <w:name w:val="HTML Cite"/>
    <w:qFormat/>
    <w:uiPriority w:val="0"/>
  </w:style>
  <w:style w:type="character" w:styleId="69">
    <w:name w:val="footnote reference"/>
    <w:qFormat/>
    <w:uiPriority w:val="0"/>
    <w:rPr>
      <w:vertAlign w:val="superscript"/>
    </w:rPr>
  </w:style>
  <w:style w:type="character" w:customStyle="1" w:styleId="70">
    <w:name w:val="标题 2 Char"/>
    <w:qFormat/>
    <w:uiPriority w:val="0"/>
    <w:rPr>
      <w:rFonts w:ascii="Cambria" w:hAnsi="Cambria" w:eastAsia="宋体" w:cs="Times New Roman"/>
      <w:b/>
      <w:bCs/>
      <w:sz w:val="32"/>
      <w:szCs w:val="32"/>
    </w:rPr>
  </w:style>
  <w:style w:type="paragraph" w:customStyle="1" w:styleId="71">
    <w:name w:val="Default"/>
    <w:basedOn w:val="51"/>
    <w:qFormat/>
    <w:uiPriority w:val="0"/>
    <w:pPr>
      <w:autoSpaceDE w:val="0"/>
      <w:autoSpaceDN w:val="0"/>
      <w:adjustRightInd w:val="0"/>
    </w:pPr>
    <w:rPr>
      <w:rFonts w:cs="Calibri"/>
      <w:color w:val="000000"/>
      <w:sz w:val="24"/>
      <w:szCs w:val="24"/>
    </w:rPr>
  </w:style>
  <w:style w:type="character" w:customStyle="1" w:styleId="72">
    <w:name w:val="正文缩进 字符"/>
    <w:link w:val="14"/>
    <w:qFormat/>
    <w:locked/>
    <w:uiPriority w:val="0"/>
    <w:rPr>
      <w:sz w:val="21"/>
    </w:rPr>
  </w:style>
  <w:style w:type="character" w:customStyle="1" w:styleId="73">
    <w:name w:val="标题 1 字符"/>
    <w:link w:val="2"/>
    <w:qFormat/>
    <w:uiPriority w:val="0"/>
    <w:rPr>
      <w:rFonts w:ascii="Times New Roman" w:hAnsi="Times New Roman" w:eastAsia="宋体" w:cs="Times New Roman"/>
      <w:b/>
      <w:bCs/>
      <w:kern w:val="44"/>
      <w:sz w:val="36"/>
      <w:szCs w:val="44"/>
    </w:rPr>
  </w:style>
  <w:style w:type="character" w:customStyle="1" w:styleId="74">
    <w:name w:val="标题 2 字符"/>
    <w:link w:val="3"/>
    <w:qFormat/>
    <w:uiPriority w:val="0"/>
    <w:rPr>
      <w:rFonts w:ascii="Cambria" w:hAnsi="Cambria" w:eastAsia="宋体" w:cs="Times New Roman"/>
      <w:b/>
      <w:bCs/>
      <w:sz w:val="32"/>
      <w:szCs w:val="32"/>
    </w:rPr>
  </w:style>
  <w:style w:type="character" w:customStyle="1" w:styleId="75">
    <w:name w:val="标题 3 Char"/>
    <w:qFormat/>
    <w:uiPriority w:val="0"/>
    <w:rPr>
      <w:rFonts w:ascii="Times New Roman" w:hAnsi="Times New Roman" w:eastAsia="宋体" w:cs="Times New Roman"/>
      <w:b/>
      <w:bCs/>
      <w:kern w:val="2"/>
      <w:sz w:val="24"/>
      <w:szCs w:val="32"/>
    </w:rPr>
  </w:style>
  <w:style w:type="character" w:customStyle="1" w:styleId="76">
    <w:name w:val="标题 4 Char"/>
    <w:qFormat/>
    <w:uiPriority w:val="0"/>
    <w:rPr>
      <w:rFonts w:ascii="Calibri Light" w:hAnsi="Calibri Light" w:eastAsia="宋体"/>
      <w:b/>
      <w:bCs/>
      <w:iCs/>
    </w:rPr>
  </w:style>
  <w:style w:type="character" w:customStyle="1" w:styleId="77">
    <w:name w:val="标题 5 字符"/>
    <w:link w:val="6"/>
    <w:qFormat/>
    <w:uiPriority w:val="0"/>
    <w:rPr>
      <w:rFonts w:ascii="Times New Roman" w:hAnsi="Times New Roman" w:eastAsia="宋体" w:cs="Times New Roman"/>
      <w:b/>
      <w:bCs/>
      <w:sz w:val="28"/>
      <w:szCs w:val="28"/>
    </w:rPr>
  </w:style>
  <w:style w:type="character" w:customStyle="1" w:styleId="78">
    <w:name w:val="标题 6 字符"/>
    <w:link w:val="7"/>
    <w:qFormat/>
    <w:uiPriority w:val="0"/>
    <w:rPr>
      <w:rFonts w:ascii="Cambria" w:hAnsi="Cambria" w:eastAsia="宋体" w:cs="Times New Roman"/>
      <w:b/>
      <w:bCs/>
      <w:sz w:val="24"/>
      <w:szCs w:val="24"/>
    </w:rPr>
  </w:style>
  <w:style w:type="character" w:customStyle="1" w:styleId="79">
    <w:name w:val="标题 7 字符"/>
    <w:link w:val="8"/>
    <w:qFormat/>
    <w:uiPriority w:val="0"/>
    <w:rPr>
      <w:rFonts w:ascii="Times New Roman" w:hAnsi="Times New Roman" w:eastAsia="宋体" w:cs="Times New Roman"/>
      <w:b/>
      <w:bCs/>
      <w:sz w:val="24"/>
      <w:szCs w:val="24"/>
    </w:rPr>
  </w:style>
  <w:style w:type="character" w:customStyle="1" w:styleId="80">
    <w:name w:val="标题 8 字符"/>
    <w:link w:val="9"/>
    <w:qFormat/>
    <w:uiPriority w:val="0"/>
    <w:rPr>
      <w:rFonts w:ascii="Cambria" w:hAnsi="Cambria" w:eastAsia="宋体" w:cs="Times New Roman"/>
      <w:sz w:val="24"/>
      <w:szCs w:val="24"/>
    </w:rPr>
  </w:style>
  <w:style w:type="character" w:customStyle="1" w:styleId="81">
    <w:name w:val="标题 9 字符"/>
    <w:link w:val="10"/>
    <w:qFormat/>
    <w:uiPriority w:val="0"/>
    <w:rPr>
      <w:rFonts w:ascii="Cambria" w:hAnsi="Cambria" w:eastAsia="宋体" w:cs="Times New Roman"/>
      <w:szCs w:val="21"/>
    </w:rPr>
  </w:style>
  <w:style w:type="character" w:customStyle="1" w:styleId="82">
    <w:name w:val="文档结构图 字符"/>
    <w:link w:val="17"/>
    <w:qFormat/>
    <w:uiPriority w:val="0"/>
    <w:rPr>
      <w:rFonts w:ascii="Times New Roman" w:hAnsi="Times New Roman" w:eastAsia="宋体" w:cs="Times New Roman"/>
      <w:szCs w:val="24"/>
      <w:shd w:val="clear" w:color="auto" w:fill="000080"/>
    </w:rPr>
  </w:style>
  <w:style w:type="character" w:customStyle="1" w:styleId="83">
    <w:name w:val="批注文字 字符"/>
    <w:link w:val="18"/>
    <w:qFormat/>
    <w:uiPriority w:val="0"/>
    <w:rPr>
      <w:szCs w:val="24"/>
    </w:rPr>
  </w:style>
  <w:style w:type="character" w:customStyle="1" w:styleId="84">
    <w:name w:val="正文文本 3 字符"/>
    <w:link w:val="19"/>
    <w:qFormat/>
    <w:uiPriority w:val="0"/>
    <w:rPr>
      <w:rFonts w:ascii="宋体" w:hAnsi="Times New Roman" w:eastAsia="宋体" w:cs="Times New Roman"/>
      <w:sz w:val="24"/>
      <w:szCs w:val="20"/>
    </w:rPr>
  </w:style>
  <w:style w:type="character" w:customStyle="1" w:styleId="85">
    <w:name w:val="正文文本 字符"/>
    <w:link w:val="20"/>
    <w:qFormat/>
    <w:uiPriority w:val="0"/>
    <w:rPr>
      <w:rFonts w:ascii="Times New Roman" w:hAnsi="Times New Roman" w:eastAsia="宋体" w:cs="Times New Roman"/>
      <w:szCs w:val="24"/>
    </w:rPr>
  </w:style>
  <w:style w:type="character" w:customStyle="1" w:styleId="86">
    <w:name w:val="正文文本缩进 字符"/>
    <w:link w:val="21"/>
    <w:qFormat/>
    <w:uiPriority w:val="0"/>
    <w:rPr>
      <w:rFonts w:ascii="Times New Roman" w:hAnsi="Times New Roman" w:eastAsia="宋体" w:cs="Times New Roman"/>
      <w:szCs w:val="24"/>
    </w:rPr>
  </w:style>
  <w:style w:type="character" w:customStyle="1" w:styleId="87">
    <w:name w:val="纯文本 字符"/>
    <w:link w:val="28"/>
    <w:qFormat/>
    <w:uiPriority w:val="0"/>
    <w:rPr>
      <w:rFonts w:ascii="宋体" w:hAnsi="Courier New" w:eastAsia="宋体"/>
    </w:rPr>
  </w:style>
  <w:style w:type="character" w:customStyle="1" w:styleId="88">
    <w:name w:val="日期 字符"/>
    <w:link w:val="31"/>
    <w:qFormat/>
    <w:uiPriority w:val="0"/>
    <w:rPr>
      <w:szCs w:val="24"/>
    </w:rPr>
  </w:style>
  <w:style w:type="character" w:customStyle="1" w:styleId="89">
    <w:name w:val="正文文本缩进 2 字符"/>
    <w:link w:val="22"/>
    <w:qFormat/>
    <w:uiPriority w:val="0"/>
    <w:rPr>
      <w:rFonts w:ascii="Times New Roman" w:hAnsi="Times New Roman" w:eastAsia="宋体" w:cs="Times New Roman"/>
      <w:szCs w:val="24"/>
    </w:rPr>
  </w:style>
  <w:style w:type="character" w:customStyle="1" w:styleId="90">
    <w:name w:val="批注框文本 字符"/>
    <w:link w:val="32"/>
    <w:qFormat/>
    <w:uiPriority w:val="0"/>
    <w:rPr>
      <w:rFonts w:ascii="Times New Roman" w:hAnsi="Times New Roman" w:eastAsia="宋体" w:cs="Times New Roman"/>
      <w:sz w:val="18"/>
      <w:szCs w:val="18"/>
    </w:rPr>
  </w:style>
  <w:style w:type="character" w:customStyle="1" w:styleId="91">
    <w:name w:val="页脚 字符"/>
    <w:link w:val="33"/>
    <w:qFormat/>
    <w:uiPriority w:val="0"/>
    <w:rPr>
      <w:rFonts w:ascii="Times New Roman" w:hAnsi="Times New Roman" w:eastAsia="宋体" w:cs="Times New Roman"/>
      <w:sz w:val="18"/>
      <w:szCs w:val="18"/>
    </w:rPr>
  </w:style>
  <w:style w:type="character" w:customStyle="1" w:styleId="92">
    <w:name w:val="页眉 字符"/>
    <w:link w:val="35"/>
    <w:qFormat/>
    <w:uiPriority w:val="0"/>
    <w:rPr>
      <w:rFonts w:ascii="Times New Roman" w:hAnsi="Times New Roman" w:eastAsia="宋体" w:cs="Times New Roman"/>
      <w:sz w:val="18"/>
      <w:szCs w:val="18"/>
    </w:rPr>
  </w:style>
  <w:style w:type="character" w:customStyle="1" w:styleId="93">
    <w:name w:val="副标题 字符"/>
    <w:link w:val="38"/>
    <w:qFormat/>
    <w:uiPriority w:val="0"/>
    <w:rPr>
      <w:rFonts w:ascii="Cambria" w:hAnsi="Cambria" w:cs="Times New Roman"/>
      <w:b/>
      <w:bCs/>
      <w:kern w:val="28"/>
      <w:sz w:val="32"/>
      <w:szCs w:val="32"/>
    </w:rPr>
  </w:style>
  <w:style w:type="character" w:customStyle="1" w:styleId="94">
    <w:name w:val="脚注文本 字符"/>
    <w:link w:val="39"/>
    <w:qFormat/>
    <w:uiPriority w:val="0"/>
    <w:rPr>
      <w:kern w:val="2"/>
      <w:sz w:val="18"/>
      <w:szCs w:val="18"/>
    </w:rPr>
  </w:style>
  <w:style w:type="character" w:customStyle="1" w:styleId="95">
    <w:name w:val="正文文本缩进 3 字符"/>
    <w:link w:val="42"/>
    <w:qFormat/>
    <w:uiPriority w:val="0"/>
    <w:rPr>
      <w:rFonts w:ascii="Times New Roman" w:hAnsi="Times New Roman" w:eastAsia="宋体" w:cs="Times New Roman"/>
      <w:sz w:val="16"/>
      <w:szCs w:val="16"/>
    </w:rPr>
  </w:style>
  <w:style w:type="character" w:customStyle="1" w:styleId="96">
    <w:name w:val="目录 2 字符"/>
    <w:link w:val="45"/>
    <w:qFormat/>
    <w:locked/>
    <w:uiPriority w:val="39"/>
    <w:rPr>
      <w:rFonts w:ascii="Times New Roman" w:hAnsi="Times New Roman" w:eastAsia="宋体" w:cs="Times New Roman"/>
      <w:szCs w:val="24"/>
    </w:rPr>
  </w:style>
  <w:style w:type="character" w:customStyle="1" w:styleId="97">
    <w:name w:val="正文文本 2 字符"/>
    <w:link w:val="47"/>
    <w:qFormat/>
    <w:uiPriority w:val="0"/>
    <w:rPr>
      <w:szCs w:val="24"/>
    </w:rPr>
  </w:style>
  <w:style w:type="character" w:customStyle="1" w:styleId="98">
    <w:name w:val="HTML 预设格式 字符"/>
    <w:link w:val="48"/>
    <w:qFormat/>
    <w:uiPriority w:val="0"/>
    <w:rPr>
      <w:rFonts w:ascii="Arial" w:hAnsi="Arial" w:cs="Arial"/>
      <w:sz w:val="24"/>
      <w:szCs w:val="24"/>
    </w:rPr>
  </w:style>
  <w:style w:type="character" w:customStyle="1" w:styleId="99">
    <w:name w:val="标题 字符"/>
    <w:link w:val="51"/>
    <w:qFormat/>
    <w:uiPriority w:val="0"/>
    <w:rPr>
      <w:rFonts w:ascii="Cambria" w:hAnsi="Cambria"/>
      <w:b/>
      <w:bCs/>
      <w:sz w:val="32"/>
      <w:szCs w:val="32"/>
    </w:rPr>
  </w:style>
  <w:style w:type="character" w:customStyle="1" w:styleId="100">
    <w:name w:val="批注主题 字符"/>
    <w:link w:val="52"/>
    <w:qFormat/>
    <w:uiPriority w:val="0"/>
    <w:rPr>
      <w:rFonts w:ascii="Times New Roman" w:hAnsi="Times New Roman" w:eastAsia="宋体" w:cs="Times New Roman"/>
      <w:b/>
      <w:bCs/>
      <w:szCs w:val="24"/>
    </w:rPr>
  </w:style>
  <w:style w:type="character" w:customStyle="1" w:styleId="101">
    <w:name w:val="正文首行缩进 字符"/>
    <w:link w:val="53"/>
    <w:qFormat/>
    <w:uiPriority w:val="0"/>
    <w:rPr>
      <w:rFonts w:ascii="Times New Roman" w:hAnsi="Times New Roman" w:eastAsia="宋体" w:cs="Times New Roman"/>
      <w:kern w:val="2"/>
      <w:sz w:val="21"/>
      <w:szCs w:val="24"/>
    </w:rPr>
  </w:style>
  <w:style w:type="character" w:customStyle="1" w:styleId="102">
    <w:name w:val="页眉 Char1"/>
    <w:semiHidden/>
    <w:qFormat/>
    <w:uiPriority w:val="99"/>
    <w:rPr>
      <w:sz w:val="18"/>
      <w:szCs w:val="18"/>
    </w:rPr>
  </w:style>
  <w:style w:type="character" w:customStyle="1" w:styleId="103">
    <w:name w:val="copy1"/>
    <w:qFormat/>
    <w:uiPriority w:val="0"/>
    <w:rPr>
      <w:rFonts w:hint="default" w:ascii="Arial" w:hAnsi="Arial" w:cs="Arial"/>
      <w:color w:val="525252"/>
      <w:sz w:val="15"/>
      <w:szCs w:val="15"/>
      <w:u w:val="none"/>
    </w:rPr>
  </w:style>
  <w:style w:type="character" w:customStyle="1" w:styleId="104">
    <w:name w:val="表格标题_"/>
    <w:link w:val="105"/>
    <w:qFormat/>
    <w:locked/>
    <w:uiPriority w:val="0"/>
    <w:rPr>
      <w:rFonts w:ascii="MingLiU" w:hAnsi="MingLiU" w:eastAsia="MingLiU"/>
      <w:shd w:val="clear" w:color="auto" w:fill="FFFFFF"/>
    </w:rPr>
  </w:style>
  <w:style w:type="paragraph" w:customStyle="1" w:styleId="105">
    <w:name w:val="表格标题"/>
    <w:basedOn w:val="1"/>
    <w:link w:val="104"/>
    <w:qFormat/>
    <w:uiPriority w:val="0"/>
    <w:pPr>
      <w:shd w:val="clear" w:color="auto" w:fill="FFFFFF"/>
      <w:spacing w:line="322" w:lineRule="exact"/>
      <w:jc w:val="distribute"/>
    </w:pPr>
    <w:rPr>
      <w:rFonts w:ascii="MingLiU" w:hAnsi="MingLiU" w:eastAsia="MingLiU"/>
      <w:kern w:val="0"/>
      <w:sz w:val="20"/>
      <w:szCs w:val="20"/>
    </w:rPr>
  </w:style>
  <w:style w:type="character" w:customStyle="1" w:styleId="106">
    <w:name w:val="Char Char18"/>
    <w:qFormat/>
    <w:uiPriority w:val="0"/>
    <w:rPr>
      <w:rFonts w:ascii="Times New Roman" w:hAnsi="Times New Roman" w:eastAsia="宋体" w:cs="Times New Roman"/>
      <w:b/>
      <w:bCs/>
      <w:sz w:val="28"/>
      <w:szCs w:val="28"/>
    </w:rPr>
  </w:style>
  <w:style w:type="character" w:customStyle="1" w:styleId="107">
    <w:name w:val="Heading 1 Char"/>
    <w:qFormat/>
    <w:uiPriority w:val="0"/>
    <w:rPr>
      <w:rFonts w:eastAsia="宋体"/>
      <w:b/>
      <w:bCs/>
      <w:kern w:val="44"/>
      <w:sz w:val="32"/>
      <w:szCs w:val="44"/>
      <w:lang w:val="en-US" w:eastAsia="zh-CN" w:bidi="ar-SA"/>
    </w:rPr>
  </w:style>
  <w:style w:type="character" w:customStyle="1" w:styleId="108">
    <w:name w:val="Document Map Char"/>
    <w:qFormat/>
    <w:uiPriority w:val="0"/>
    <w:rPr>
      <w:rFonts w:eastAsia="宋体"/>
      <w:kern w:val="2"/>
      <w:sz w:val="21"/>
      <w:szCs w:val="24"/>
      <w:lang w:val="en-US" w:eastAsia="zh-CN" w:bidi="ar-SA"/>
    </w:rPr>
  </w:style>
  <w:style w:type="character" w:customStyle="1" w:styleId="109">
    <w:name w:val="不明显强调2"/>
    <w:qFormat/>
    <w:uiPriority w:val="19"/>
    <w:rPr>
      <w:i/>
      <w:iCs/>
      <w:color w:val="808080"/>
    </w:rPr>
  </w:style>
  <w:style w:type="character" w:customStyle="1" w:styleId="110">
    <w:name w:val="1ji Char Char"/>
    <w:link w:val="111"/>
    <w:qFormat/>
    <w:uiPriority w:val="0"/>
    <w:rPr>
      <w:rFonts w:ascii="宋体" w:hAnsi="宋体"/>
      <w:b/>
      <w:bCs/>
      <w:sz w:val="36"/>
    </w:rPr>
  </w:style>
  <w:style w:type="paragraph" w:customStyle="1" w:styleId="111">
    <w:name w:val="1ji"/>
    <w:basedOn w:val="2"/>
    <w:link w:val="110"/>
    <w:qFormat/>
    <w:uiPriority w:val="0"/>
    <w:pPr>
      <w:keepLines w:val="0"/>
      <w:widowControl/>
      <w:spacing w:before="0" w:after="0" w:line="240" w:lineRule="auto"/>
      <w:jc w:val="center"/>
    </w:pPr>
    <w:rPr>
      <w:rFonts w:ascii="宋体" w:hAnsi="宋体"/>
      <w:kern w:val="0"/>
      <w:szCs w:val="20"/>
    </w:rPr>
  </w:style>
  <w:style w:type="character" w:customStyle="1" w:styleId="112">
    <w:name w:val="样式6 Char Char"/>
    <w:link w:val="113"/>
    <w:qFormat/>
    <w:uiPriority w:val="0"/>
    <w:rPr>
      <w:rFonts w:ascii="Times New Roman" w:hAnsi="Times New Roman" w:eastAsia="宋体" w:cs="Times New Roman"/>
      <w:sz w:val="18"/>
      <w:szCs w:val="18"/>
    </w:rPr>
  </w:style>
  <w:style w:type="paragraph" w:customStyle="1" w:styleId="113">
    <w:name w:val="样式6"/>
    <w:basedOn w:val="35"/>
    <w:next w:val="114"/>
    <w:link w:val="112"/>
    <w:qFormat/>
    <w:uiPriority w:val="0"/>
    <w:pPr>
      <w:pBdr>
        <w:bottom w:val="none" w:color="auto" w:sz="0" w:space="0"/>
      </w:pBdr>
      <w:spacing w:line="360" w:lineRule="exact"/>
      <w:ind w:firstLine="200" w:firstLineChars="200"/>
    </w:pPr>
  </w:style>
  <w:style w:type="paragraph" w:customStyle="1" w:styleId="114">
    <w:name w:val="样式1"/>
    <w:basedOn w:val="35"/>
    <w:next w:val="1"/>
    <w:link w:val="115"/>
    <w:qFormat/>
    <w:uiPriority w:val="0"/>
    <w:pPr>
      <w:pBdr>
        <w:bottom w:val="none" w:color="auto" w:sz="0" w:space="0"/>
      </w:pBdr>
      <w:spacing w:line="360" w:lineRule="auto"/>
      <w:ind w:right="-876" w:rightChars="-417"/>
    </w:pPr>
    <w:rPr>
      <w:rFonts w:eastAsia="黑体"/>
      <w:b/>
      <w:sz w:val="44"/>
    </w:rPr>
  </w:style>
  <w:style w:type="character" w:customStyle="1" w:styleId="115">
    <w:name w:val="样式1 Char Char"/>
    <w:link w:val="114"/>
    <w:qFormat/>
    <w:uiPriority w:val="0"/>
    <w:rPr>
      <w:rFonts w:eastAsia="黑体"/>
      <w:b/>
      <w:sz w:val="44"/>
      <w:szCs w:val="18"/>
    </w:rPr>
  </w:style>
  <w:style w:type="character" w:customStyle="1" w:styleId="116">
    <w:name w:val="正文文本 (42)"/>
    <w:qFormat/>
    <w:uiPriority w:val="0"/>
    <w:rPr>
      <w:rFonts w:ascii="MingLiU" w:hAnsi="MingLiU" w:eastAsia="MingLiU"/>
      <w:b/>
      <w:bCs/>
      <w:color w:val="000000"/>
      <w:spacing w:val="0"/>
      <w:w w:val="100"/>
      <w:position w:val="0"/>
      <w:u w:val="single"/>
      <w:lang w:val="zh-CN" w:eastAsia="zh-CN" w:bidi="ar-SA"/>
    </w:rPr>
  </w:style>
  <w:style w:type="character" w:customStyle="1" w:styleId="117">
    <w:name w:val="标题4 Char Char"/>
    <w:link w:val="118"/>
    <w:qFormat/>
    <w:uiPriority w:val="0"/>
    <w:rPr>
      <w:rFonts w:ascii="Arial" w:hAnsi="Arial"/>
      <w:b/>
      <w:bCs/>
      <w:sz w:val="24"/>
      <w:szCs w:val="32"/>
    </w:rPr>
  </w:style>
  <w:style w:type="paragraph" w:customStyle="1" w:styleId="118">
    <w:name w:val="标题4"/>
    <w:basedOn w:val="3"/>
    <w:next w:val="25"/>
    <w:link w:val="117"/>
    <w:qFormat/>
    <w:uiPriority w:val="0"/>
    <w:pPr>
      <w:spacing w:before="60" w:after="60" w:line="413" w:lineRule="auto"/>
      <w:jc w:val="center"/>
    </w:pPr>
    <w:rPr>
      <w:rFonts w:ascii="Arial" w:hAnsi="Arial"/>
      <w:sz w:val="24"/>
    </w:rPr>
  </w:style>
  <w:style w:type="character" w:customStyle="1" w:styleId="119">
    <w:name w:val="引用 字符"/>
    <w:link w:val="120"/>
    <w:qFormat/>
    <w:uiPriority w:val="0"/>
    <w:rPr>
      <w:i/>
      <w:iCs/>
      <w:color w:val="000000"/>
      <w:szCs w:val="24"/>
    </w:rPr>
  </w:style>
  <w:style w:type="paragraph" w:styleId="120">
    <w:name w:val="Quote"/>
    <w:basedOn w:val="1"/>
    <w:next w:val="1"/>
    <w:link w:val="119"/>
    <w:qFormat/>
    <w:uiPriority w:val="0"/>
    <w:pPr>
      <w:spacing w:line="360" w:lineRule="exact"/>
      <w:ind w:firstLine="200" w:firstLineChars="200"/>
    </w:pPr>
    <w:rPr>
      <w:i/>
      <w:iCs/>
      <w:color w:val="000000"/>
      <w:kern w:val="0"/>
      <w:sz w:val="20"/>
    </w:rPr>
  </w:style>
  <w:style w:type="character" w:customStyle="1" w:styleId="121">
    <w:name w:val="脚注文本 Char2"/>
    <w:qFormat/>
    <w:uiPriority w:val="99"/>
    <w:rPr>
      <w:kern w:val="2"/>
      <w:sz w:val="18"/>
      <w:szCs w:val="18"/>
    </w:rPr>
  </w:style>
  <w:style w:type="character" w:customStyle="1" w:styleId="122">
    <w:name w:val="样式 4 + 四号 Char Char"/>
    <w:link w:val="123"/>
    <w:qFormat/>
    <w:uiPriority w:val="0"/>
    <w:rPr>
      <w:rFonts w:ascii="Cambria" w:hAnsi="Cambria" w:eastAsia="宋体" w:cs="Times New Roman"/>
      <w:b/>
      <w:bCs/>
      <w:sz w:val="28"/>
      <w:szCs w:val="28"/>
    </w:rPr>
  </w:style>
  <w:style w:type="paragraph" w:customStyle="1" w:styleId="123">
    <w:name w:val="样式 4 + 四号"/>
    <w:basedOn w:val="124"/>
    <w:next w:val="5"/>
    <w:link w:val="122"/>
    <w:qFormat/>
    <w:uiPriority w:val="0"/>
    <w:rPr>
      <w:sz w:val="28"/>
    </w:rPr>
  </w:style>
  <w:style w:type="paragraph" w:customStyle="1" w:styleId="124">
    <w:name w:val="4"/>
    <w:basedOn w:val="5"/>
    <w:next w:val="20"/>
    <w:link w:val="125"/>
    <w:qFormat/>
    <w:uiPriority w:val="0"/>
    <w:pPr>
      <w:widowControl w:val="0"/>
      <w:spacing w:before="120" w:after="120" w:line="360" w:lineRule="exact"/>
    </w:pPr>
    <w:rPr>
      <w:rFonts w:ascii="Cambria" w:hAnsi="Cambria"/>
      <w:iCs w:val="0"/>
      <w:sz w:val="32"/>
      <w:szCs w:val="28"/>
    </w:rPr>
  </w:style>
  <w:style w:type="character" w:customStyle="1" w:styleId="125">
    <w:name w:val="4 Char Char"/>
    <w:link w:val="124"/>
    <w:qFormat/>
    <w:uiPriority w:val="0"/>
    <w:rPr>
      <w:rFonts w:ascii="Cambria" w:hAnsi="Cambria" w:eastAsia="宋体" w:cs="Times New Roman"/>
      <w:b/>
      <w:bCs/>
      <w:sz w:val="32"/>
      <w:szCs w:val="28"/>
    </w:rPr>
  </w:style>
  <w:style w:type="character" w:customStyle="1" w:styleId="126">
    <w:name w:val="不明显强调1"/>
    <w:qFormat/>
    <w:uiPriority w:val="19"/>
    <w:rPr>
      <w:i/>
      <w:iCs/>
      <w:color w:val="808080"/>
    </w:rPr>
  </w:style>
  <w:style w:type="character" w:customStyle="1" w:styleId="127">
    <w:name w:val="font161"/>
    <w:qFormat/>
    <w:uiPriority w:val="0"/>
    <w:rPr>
      <w:rFonts w:ascii="Arial" w:hAnsi="Arial" w:eastAsia="黑体"/>
      <w:b/>
      <w:bCs/>
      <w:kern w:val="2"/>
      <w:sz w:val="32"/>
      <w:szCs w:val="32"/>
      <w:lang w:val="en-US" w:eastAsia="zh-CN" w:bidi="ar-SA"/>
    </w:rPr>
  </w:style>
  <w:style w:type="character" w:customStyle="1" w:styleId="128">
    <w:name w:val="Heading 4 Char"/>
    <w:qFormat/>
    <w:uiPriority w:val="0"/>
    <w:rPr>
      <w:rFonts w:ascii="Arial" w:hAnsi="Arial" w:eastAsia="宋体"/>
      <w:b/>
      <w:bCs/>
      <w:kern w:val="2"/>
      <w:sz w:val="21"/>
      <w:szCs w:val="28"/>
      <w:lang w:val="en-US" w:eastAsia="zh-CN" w:bidi="ar-SA"/>
    </w:rPr>
  </w:style>
  <w:style w:type="character" w:customStyle="1" w:styleId="129">
    <w:name w:val="样式 Char"/>
    <w:qFormat/>
    <w:uiPriority w:val="0"/>
    <w:rPr>
      <w:rFonts w:ascii="宋体" w:hAnsi="宋体" w:eastAsia="宋体" w:cs="宋体"/>
      <w:sz w:val="24"/>
      <w:szCs w:val="24"/>
      <w:lang w:val="en-US" w:eastAsia="zh-CN" w:bidi="ar-SA"/>
    </w:rPr>
  </w:style>
  <w:style w:type="character" w:customStyle="1" w:styleId="130">
    <w:name w:val="Char Char9"/>
    <w:qFormat/>
    <w:uiPriority w:val="0"/>
    <w:rPr>
      <w:rFonts w:eastAsia="宋体"/>
      <w:b/>
      <w:bCs/>
      <w:kern w:val="44"/>
      <w:sz w:val="32"/>
      <w:szCs w:val="44"/>
      <w:lang w:val="en-US" w:eastAsia="zh-CN" w:bidi="ar-SA"/>
    </w:rPr>
  </w:style>
  <w:style w:type="character" w:customStyle="1" w:styleId="131">
    <w:name w:val="NormalCharacter"/>
    <w:semiHidden/>
    <w:qFormat/>
    <w:uiPriority w:val="0"/>
  </w:style>
  <w:style w:type="character" w:customStyle="1" w:styleId="132">
    <w:name w:val="textcontents"/>
    <w:qFormat/>
    <w:uiPriority w:val="0"/>
    <w:rPr>
      <w:rFonts w:cs="Times New Roman"/>
    </w:rPr>
  </w:style>
  <w:style w:type="character" w:customStyle="1" w:styleId="133">
    <w:name w:val="不明显参考2"/>
    <w:qFormat/>
    <w:uiPriority w:val="31"/>
    <w:rPr>
      <w:smallCaps/>
      <w:color w:val="C0504D"/>
      <w:u w:val="single"/>
    </w:rPr>
  </w:style>
  <w:style w:type="character" w:customStyle="1" w:styleId="134">
    <w:name w:val="明显参考3"/>
    <w:qFormat/>
    <w:uiPriority w:val="0"/>
    <w:rPr>
      <w:b/>
      <w:bCs/>
      <w:smallCaps/>
      <w:color w:val="C0504D"/>
      <w:spacing w:val="5"/>
      <w:u w:val="single"/>
    </w:rPr>
  </w:style>
  <w:style w:type="character" w:customStyle="1" w:styleId="135">
    <w:name w:val="Body Text Indent 2 Char"/>
    <w:qFormat/>
    <w:uiPriority w:val="0"/>
    <w:rPr>
      <w:rFonts w:eastAsia="宋体"/>
      <w:kern w:val="2"/>
      <w:sz w:val="21"/>
      <w:szCs w:val="24"/>
      <w:lang w:val="en-US" w:eastAsia="zh-CN" w:bidi="ar-SA"/>
    </w:rPr>
  </w:style>
  <w:style w:type="character" w:customStyle="1" w:styleId="136">
    <w:name w:val="书籍标题3"/>
    <w:qFormat/>
    <w:uiPriority w:val="0"/>
    <w:rPr>
      <w:b/>
      <w:bCs/>
      <w:smallCaps/>
      <w:spacing w:val="5"/>
    </w:rPr>
  </w:style>
  <w:style w:type="character" w:customStyle="1" w:styleId="137">
    <w:name w:val="书籍标题1"/>
    <w:qFormat/>
    <w:uiPriority w:val="0"/>
    <w:rPr>
      <w:b/>
      <w:bCs/>
      <w:smallCaps/>
      <w:spacing w:val="5"/>
    </w:rPr>
  </w:style>
  <w:style w:type="character" w:customStyle="1" w:styleId="138">
    <w:name w:val="Char Char8"/>
    <w:qFormat/>
    <w:uiPriority w:val="0"/>
    <w:rPr>
      <w:rFonts w:eastAsia="宋体"/>
      <w:b/>
      <w:bCs/>
      <w:kern w:val="44"/>
      <w:sz w:val="32"/>
      <w:szCs w:val="44"/>
      <w:lang w:val="en-US" w:eastAsia="zh-CN" w:bidi="ar-SA"/>
    </w:rPr>
  </w:style>
  <w:style w:type="character" w:customStyle="1" w:styleId="139">
    <w:name w:val="脚注文本 Char"/>
    <w:qFormat/>
    <w:uiPriority w:val="0"/>
    <w:rPr>
      <w:sz w:val="18"/>
      <w:szCs w:val="18"/>
    </w:rPr>
  </w:style>
  <w:style w:type="character" w:customStyle="1" w:styleId="140">
    <w:name w:val="标题5 Char Char"/>
    <w:link w:val="141"/>
    <w:qFormat/>
    <w:uiPriority w:val="0"/>
    <w:rPr>
      <w:rFonts w:ascii="Arial" w:hAnsi="Arial"/>
      <w:b/>
      <w:bCs/>
      <w:sz w:val="24"/>
      <w:szCs w:val="32"/>
    </w:rPr>
  </w:style>
  <w:style w:type="paragraph" w:customStyle="1" w:styleId="141">
    <w:name w:val="标题5"/>
    <w:basedOn w:val="4"/>
    <w:link w:val="140"/>
    <w:qFormat/>
    <w:uiPriority w:val="0"/>
    <w:pPr>
      <w:widowControl w:val="0"/>
      <w:spacing w:line="413" w:lineRule="auto"/>
    </w:pPr>
    <w:rPr>
      <w:rFonts w:ascii="Arial" w:hAnsi="Arial"/>
      <w:kern w:val="0"/>
    </w:rPr>
  </w:style>
  <w:style w:type="character" w:customStyle="1" w:styleId="142">
    <w:name w:val="普通文字 Char Char5"/>
    <w:qFormat/>
    <w:uiPriority w:val="0"/>
    <w:rPr>
      <w:rFonts w:ascii="宋体" w:hAnsi="Courier New" w:eastAsia="宋体"/>
      <w:szCs w:val="21"/>
      <w:lang w:bidi="ar-SA"/>
    </w:rPr>
  </w:style>
  <w:style w:type="character" w:customStyle="1" w:styleId="143">
    <w:name w:val="正文呀2 Char"/>
    <w:link w:val="144"/>
    <w:qFormat/>
    <w:uiPriority w:val="0"/>
    <w:rPr>
      <w:kern w:val="2"/>
      <w:sz w:val="21"/>
      <w:szCs w:val="21"/>
    </w:rPr>
  </w:style>
  <w:style w:type="paragraph" w:customStyle="1" w:styleId="144">
    <w:name w:val="正文呀2"/>
    <w:basedOn w:val="145"/>
    <w:link w:val="143"/>
    <w:qFormat/>
    <w:uiPriority w:val="0"/>
    <w:rPr>
      <w:rFonts w:ascii="Times New Roman" w:hAnsi="Times New Roman"/>
    </w:rPr>
  </w:style>
  <w:style w:type="paragraph" w:customStyle="1" w:styleId="145">
    <w:name w:val="正文呀"/>
    <w:basedOn w:val="1"/>
    <w:link w:val="146"/>
    <w:qFormat/>
    <w:uiPriority w:val="0"/>
    <w:pPr>
      <w:spacing w:line="420" w:lineRule="exact"/>
      <w:ind w:firstLine="420" w:firstLineChars="200"/>
    </w:pPr>
    <w:rPr>
      <w:rFonts w:ascii="宋体" w:hAnsi="宋体"/>
      <w:szCs w:val="21"/>
    </w:rPr>
  </w:style>
  <w:style w:type="character" w:customStyle="1" w:styleId="146">
    <w:name w:val="正文呀 Char"/>
    <w:link w:val="145"/>
    <w:qFormat/>
    <w:uiPriority w:val="0"/>
    <w:rPr>
      <w:rFonts w:ascii="宋体" w:hAnsi="宋体"/>
      <w:kern w:val="2"/>
      <w:sz w:val="21"/>
      <w:szCs w:val="21"/>
    </w:rPr>
  </w:style>
  <w:style w:type="character" w:customStyle="1" w:styleId="147">
    <w:name w:val="style1"/>
    <w:qFormat/>
    <w:uiPriority w:val="0"/>
  </w:style>
  <w:style w:type="character" w:customStyle="1" w:styleId="148">
    <w:name w:val="Footnote Text Char"/>
    <w:qFormat/>
    <w:uiPriority w:val="0"/>
    <w:rPr>
      <w:rFonts w:eastAsia="宋体"/>
      <w:sz w:val="18"/>
      <w:lang w:val="en-US" w:eastAsia="zh-CN" w:bidi="ar-SA"/>
    </w:rPr>
  </w:style>
  <w:style w:type="character" w:customStyle="1" w:styleId="149">
    <w:name w:val="文档结构图 Char1"/>
    <w:qFormat/>
    <w:uiPriority w:val="0"/>
    <w:rPr>
      <w:rFonts w:ascii="宋体"/>
      <w:sz w:val="18"/>
      <w:szCs w:val="18"/>
    </w:rPr>
  </w:style>
  <w:style w:type="character" w:customStyle="1" w:styleId="150">
    <w:name w:val="标题 Char1"/>
    <w:qFormat/>
    <w:uiPriority w:val="0"/>
    <w:rPr>
      <w:rFonts w:ascii="Cambria" w:hAnsi="Cambria" w:eastAsia="宋体" w:cs="Times New Roman"/>
      <w:b/>
      <w:bCs/>
      <w:sz w:val="32"/>
      <w:szCs w:val="32"/>
    </w:rPr>
  </w:style>
  <w:style w:type="character" w:customStyle="1" w:styleId="151">
    <w:name w:val="引用 Char2"/>
    <w:qFormat/>
    <w:uiPriority w:val="29"/>
    <w:rPr>
      <w:i/>
      <w:iCs/>
      <w:color w:val="000000"/>
      <w:sz w:val="21"/>
    </w:rPr>
  </w:style>
  <w:style w:type="character" w:customStyle="1" w:styleId="152">
    <w:name w:val="正文文本 (2) + 间距 0 pt2"/>
    <w:qFormat/>
    <w:uiPriority w:val="0"/>
    <w:rPr>
      <w:rFonts w:ascii="MingLiU" w:hAnsi="MingLiU" w:eastAsia="MingLiU" w:cs="MingLiU"/>
      <w:color w:val="000000"/>
      <w:spacing w:val="0"/>
      <w:w w:val="100"/>
      <w:position w:val="0"/>
      <w:sz w:val="22"/>
      <w:szCs w:val="22"/>
      <w:u w:val="none"/>
      <w:shd w:val="clear" w:color="auto" w:fill="FFFFFF"/>
      <w:lang w:val="zh-CN" w:eastAsia="zh-CN" w:bidi="zh-CN"/>
    </w:rPr>
  </w:style>
  <w:style w:type="character" w:customStyle="1" w:styleId="153">
    <w:name w:val="正文文本 (2) + 间距 2 pt1"/>
    <w:qFormat/>
    <w:uiPriority w:val="0"/>
    <w:rPr>
      <w:rFonts w:ascii="MingLiU" w:hAnsi="MingLiU" w:eastAsia="MingLiU" w:cs="MingLiU"/>
      <w:color w:val="000000"/>
      <w:spacing w:val="50"/>
      <w:w w:val="100"/>
      <w:position w:val="0"/>
      <w:sz w:val="22"/>
      <w:szCs w:val="22"/>
      <w:u w:val="none"/>
      <w:shd w:val="clear" w:color="auto" w:fill="FFFFFF"/>
      <w:lang w:val="zh-CN" w:eastAsia="zh-CN"/>
    </w:rPr>
  </w:style>
  <w:style w:type="character" w:customStyle="1" w:styleId="154">
    <w:name w:val="Char Char19"/>
    <w:qFormat/>
    <w:uiPriority w:val="0"/>
    <w:rPr>
      <w:rFonts w:ascii="Arial" w:hAnsi="Arial" w:eastAsia="宋体" w:cs="Times New Roman"/>
      <w:b/>
      <w:bCs/>
      <w:szCs w:val="28"/>
    </w:rPr>
  </w:style>
  <w:style w:type="character" w:customStyle="1" w:styleId="155">
    <w:name w:val="标题 #7 + 间距 0 pt1"/>
    <w:qFormat/>
    <w:uiPriority w:val="0"/>
    <w:rPr>
      <w:rFonts w:ascii="MingLiU" w:hAnsi="MingLiU" w:eastAsia="MingLiU" w:cs="MingLiU"/>
      <w:color w:val="000000"/>
      <w:spacing w:val="10"/>
      <w:w w:val="100"/>
      <w:position w:val="0"/>
      <w:sz w:val="26"/>
      <w:szCs w:val="26"/>
      <w:u w:val="none"/>
      <w:shd w:val="clear" w:color="auto" w:fill="FFFFFF"/>
      <w:lang w:val="zh-CN" w:eastAsia="zh-CN"/>
    </w:rPr>
  </w:style>
  <w:style w:type="character" w:customStyle="1" w:styleId="156">
    <w:name w:val="正文文本 (2) + 10 pt14"/>
    <w:qFormat/>
    <w:uiPriority w:val="0"/>
    <w:rPr>
      <w:rFonts w:ascii="MingLiU" w:hAnsi="MingLiU" w:eastAsia="MingLiU" w:cs="MingLiU"/>
      <w:color w:val="000000"/>
      <w:spacing w:val="-40"/>
      <w:w w:val="100"/>
      <w:position w:val="0"/>
      <w:sz w:val="20"/>
      <w:szCs w:val="20"/>
      <w:u w:val="none"/>
      <w:shd w:val="clear" w:color="auto" w:fill="FFFFFF"/>
      <w:lang w:val="zh-CN" w:eastAsia="zh-CN"/>
    </w:rPr>
  </w:style>
  <w:style w:type="character" w:customStyle="1" w:styleId="157">
    <w:name w:val="Balloon Text Char"/>
    <w:qFormat/>
    <w:uiPriority w:val="0"/>
    <w:rPr>
      <w:sz w:val="18"/>
      <w:lang w:bidi="ar-SA"/>
    </w:rPr>
  </w:style>
  <w:style w:type="character" w:customStyle="1" w:styleId="158">
    <w:name w:val="页眉或页脚 + 间距 0 pt"/>
    <w:qFormat/>
    <w:uiPriority w:val="0"/>
    <w:rPr>
      <w:rFonts w:ascii="MingLiU" w:hAnsi="MingLiU" w:eastAsia="MingLiU" w:cs="MingLiU"/>
      <w:color w:val="000000"/>
      <w:spacing w:val="0"/>
      <w:w w:val="100"/>
      <w:position w:val="0"/>
      <w:sz w:val="20"/>
      <w:szCs w:val="20"/>
      <w:u w:val="none"/>
      <w:lang w:val="zh-CN" w:eastAsia="zh-CN" w:bidi="ar-SA"/>
    </w:rPr>
  </w:style>
  <w:style w:type="character" w:customStyle="1" w:styleId="159">
    <w:name w:val="正文文本 (2) + 5.5 pt"/>
    <w:qFormat/>
    <w:uiPriority w:val="0"/>
    <w:rPr>
      <w:rFonts w:ascii="MingLiU" w:hAnsi="MingLiU" w:eastAsia="MingLiU" w:cs="MingLiU"/>
      <w:i/>
      <w:iCs/>
      <w:color w:val="000000"/>
      <w:spacing w:val="10"/>
      <w:w w:val="100"/>
      <w:position w:val="0"/>
      <w:sz w:val="11"/>
      <w:szCs w:val="11"/>
      <w:u w:val="none"/>
      <w:shd w:val="clear" w:color="auto" w:fill="FFFFFF"/>
      <w:lang w:val="zh-CN" w:eastAsia="zh-CN"/>
    </w:rPr>
  </w:style>
  <w:style w:type="character" w:customStyle="1" w:styleId="160">
    <w:name w:val="标题 Char3"/>
    <w:qFormat/>
    <w:uiPriority w:val="0"/>
    <w:rPr>
      <w:rFonts w:ascii="Cambria" w:hAnsi="Cambria" w:cs="Times New Roman"/>
      <w:b/>
      <w:bCs/>
      <w:kern w:val="2"/>
      <w:sz w:val="32"/>
      <w:szCs w:val="32"/>
    </w:rPr>
  </w:style>
  <w:style w:type="character" w:customStyle="1" w:styleId="161">
    <w:name w:val="标题 #7 (4)_"/>
    <w:link w:val="162"/>
    <w:qFormat/>
    <w:locked/>
    <w:uiPriority w:val="0"/>
    <w:rPr>
      <w:rFonts w:ascii="MingLiU" w:hAnsi="MingLiU" w:eastAsia="MingLiU"/>
      <w:sz w:val="26"/>
      <w:szCs w:val="26"/>
      <w:shd w:val="clear" w:color="auto" w:fill="FFFFFF"/>
    </w:rPr>
  </w:style>
  <w:style w:type="paragraph" w:customStyle="1" w:styleId="162">
    <w:name w:val="标题 #7 (4)"/>
    <w:basedOn w:val="1"/>
    <w:link w:val="161"/>
    <w:qFormat/>
    <w:uiPriority w:val="0"/>
    <w:pPr>
      <w:shd w:val="clear" w:color="auto" w:fill="FFFFFF"/>
      <w:spacing w:after="1020" w:line="240" w:lineRule="atLeast"/>
      <w:jc w:val="left"/>
      <w:outlineLvl w:val="6"/>
    </w:pPr>
    <w:rPr>
      <w:rFonts w:ascii="MingLiU" w:hAnsi="MingLiU" w:eastAsia="MingLiU"/>
      <w:kern w:val="0"/>
      <w:sz w:val="26"/>
      <w:szCs w:val="26"/>
    </w:rPr>
  </w:style>
  <w:style w:type="character" w:customStyle="1" w:styleId="163">
    <w:name w:val="Char Char5"/>
    <w:qFormat/>
    <w:uiPriority w:val="0"/>
    <w:rPr>
      <w:rFonts w:eastAsia="宋体"/>
      <w:b/>
      <w:bCs/>
      <w:kern w:val="2"/>
      <w:sz w:val="28"/>
      <w:szCs w:val="28"/>
      <w:lang w:val="en-US" w:eastAsia="zh-CN" w:bidi="ar-SA"/>
    </w:rPr>
  </w:style>
  <w:style w:type="character" w:customStyle="1" w:styleId="164">
    <w:name w:val="页眉或页脚 + Impact1"/>
    <w:qFormat/>
    <w:uiPriority w:val="0"/>
    <w:rPr>
      <w:rFonts w:ascii="Impact" w:hAnsi="Impact" w:eastAsia="Times New Roman" w:cs="Impact"/>
      <w:color w:val="000000"/>
      <w:spacing w:val="0"/>
      <w:w w:val="100"/>
      <w:position w:val="0"/>
      <w:sz w:val="16"/>
      <w:szCs w:val="16"/>
      <w:u w:val="none"/>
      <w:lang w:val="zh-CN" w:eastAsia="zh-CN" w:bidi="ar-SA"/>
    </w:rPr>
  </w:style>
  <w:style w:type="character" w:customStyle="1" w:styleId="165">
    <w:name w:val="正文文本 (2) + 间距 3 pt"/>
    <w:qFormat/>
    <w:uiPriority w:val="0"/>
    <w:rPr>
      <w:rFonts w:ascii="MingLiU" w:hAnsi="MingLiU" w:eastAsia="MingLiU" w:cs="MingLiU"/>
      <w:color w:val="000000"/>
      <w:spacing w:val="60"/>
      <w:w w:val="100"/>
      <w:position w:val="0"/>
      <w:sz w:val="22"/>
      <w:szCs w:val="22"/>
      <w:u w:val="none"/>
      <w:shd w:val="clear" w:color="auto" w:fill="FFFFFF"/>
      <w:lang w:val="zh-CN" w:eastAsia="zh-CN"/>
    </w:rPr>
  </w:style>
  <w:style w:type="character" w:customStyle="1" w:styleId="166">
    <w:name w:val="标题 #7 (5)_"/>
    <w:link w:val="167"/>
    <w:qFormat/>
    <w:locked/>
    <w:uiPriority w:val="0"/>
    <w:rPr>
      <w:rFonts w:ascii="MingLiU" w:hAnsi="MingLiU" w:eastAsia="MingLiU"/>
      <w:spacing w:val="50"/>
      <w:sz w:val="30"/>
      <w:szCs w:val="30"/>
      <w:shd w:val="clear" w:color="auto" w:fill="FFFFFF"/>
    </w:rPr>
  </w:style>
  <w:style w:type="paragraph" w:customStyle="1" w:styleId="167">
    <w:name w:val="标题 #7 (5)"/>
    <w:basedOn w:val="1"/>
    <w:link w:val="166"/>
    <w:qFormat/>
    <w:uiPriority w:val="0"/>
    <w:pPr>
      <w:shd w:val="clear" w:color="auto" w:fill="FFFFFF"/>
      <w:spacing w:line="559" w:lineRule="exact"/>
      <w:jc w:val="left"/>
      <w:outlineLvl w:val="6"/>
    </w:pPr>
    <w:rPr>
      <w:rFonts w:ascii="MingLiU" w:hAnsi="MingLiU" w:eastAsia="MingLiU"/>
      <w:spacing w:val="50"/>
      <w:kern w:val="0"/>
      <w:sz w:val="30"/>
      <w:szCs w:val="30"/>
    </w:rPr>
  </w:style>
  <w:style w:type="character" w:customStyle="1" w:styleId="168">
    <w:name w:val="批注文字 Char2"/>
    <w:qFormat/>
    <w:uiPriority w:val="0"/>
    <w:rPr>
      <w:kern w:val="2"/>
      <w:sz w:val="21"/>
      <w:szCs w:val="24"/>
    </w:rPr>
  </w:style>
  <w:style w:type="character" w:customStyle="1" w:styleId="169">
    <w:name w:val="Char Char23"/>
    <w:qFormat/>
    <w:uiPriority w:val="0"/>
    <w:rPr>
      <w:rFonts w:eastAsia="宋体"/>
      <w:b/>
      <w:bCs/>
      <w:kern w:val="44"/>
      <w:sz w:val="32"/>
      <w:szCs w:val="44"/>
      <w:lang w:val="en-US" w:eastAsia="zh-CN" w:bidi="ar-SA"/>
    </w:rPr>
  </w:style>
  <w:style w:type="character" w:customStyle="1" w:styleId="170">
    <w:name w:val="标题 3 Char Char"/>
    <w:qFormat/>
    <w:uiPriority w:val="0"/>
    <w:rPr>
      <w:rFonts w:eastAsia="宋体"/>
      <w:b/>
      <w:bCs/>
      <w:kern w:val="2"/>
      <w:sz w:val="32"/>
      <w:szCs w:val="32"/>
      <w:lang w:val="en-US" w:eastAsia="zh-CN" w:bidi="ar-SA"/>
    </w:rPr>
  </w:style>
  <w:style w:type="character" w:customStyle="1" w:styleId="171">
    <w:name w:val="标题 #8 + 间距 0 pt"/>
    <w:qFormat/>
    <w:uiPriority w:val="0"/>
    <w:rPr>
      <w:rFonts w:ascii="MingLiU" w:hAnsi="MingLiU" w:eastAsia="MingLiU" w:cs="MingLiU"/>
      <w:b/>
      <w:bCs/>
      <w:color w:val="000000"/>
      <w:spacing w:val="0"/>
      <w:w w:val="100"/>
      <w:position w:val="0"/>
      <w:sz w:val="22"/>
      <w:szCs w:val="22"/>
      <w:u w:val="none"/>
      <w:lang w:val="zh-CN" w:eastAsia="zh-CN" w:bidi="zh-CN"/>
    </w:rPr>
  </w:style>
  <w:style w:type="character" w:customStyle="1" w:styleId="172">
    <w:name w:val="书籍标题11"/>
    <w:qFormat/>
    <w:uiPriority w:val="33"/>
    <w:rPr>
      <w:b/>
      <w:bCs/>
      <w:smallCaps/>
      <w:spacing w:val="5"/>
    </w:rPr>
  </w:style>
  <w:style w:type="character" w:customStyle="1" w:styleId="173">
    <w:name w:val="页眉或页脚_"/>
    <w:link w:val="174"/>
    <w:qFormat/>
    <w:locked/>
    <w:uiPriority w:val="0"/>
    <w:rPr>
      <w:rFonts w:ascii="MingLiU" w:hAnsi="MingLiU" w:eastAsia="MingLiU"/>
      <w:spacing w:val="10"/>
      <w:shd w:val="clear" w:color="auto" w:fill="FFFFFF"/>
    </w:rPr>
  </w:style>
  <w:style w:type="paragraph" w:customStyle="1" w:styleId="174">
    <w:name w:val="页眉或页脚1"/>
    <w:basedOn w:val="1"/>
    <w:link w:val="173"/>
    <w:qFormat/>
    <w:uiPriority w:val="0"/>
    <w:pPr>
      <w:shd w:val="clear" w:color="auto" w:fill="FFFFFF"/>
      <w:spacing w:line="240" w:lineRule="atLeast"/>
      <w:jc w:val="left"/>
    </w:pPr>
    <w:rPr>
      <w:rFonts w:ascii="MingLiU" w:hAnsi="MingLiU" w:eastAsia="MingLiU"/>
      <w:spacing w:val="10"/>
      <w:kern w:val="0"/>
      <w:sz w:val="20"/>
      <w:szCs w:val="20"/>
    </w:rPr>
  </w:style>
  <w:style w:type="character" w:customStyle="1" w:styleId="175">
    <w:name w:val="明显强调1"/>
    <w:qFormat/>
    <w:uiPriority w:val="0"/>
    <w:rPr>
      <w:b/>
      <w:bCs/>
      <w:i/>
      <w:iCs/>
      <w:color w:val="4F81BD"/>
    </w:rPr>
  </w:style>
  <w:style w:type="character" w:customStyle="1" w:styleId="176">
    <w:name w:val="标题 #7 + 间距 0 pt"/>
    <w:qFormat/>
    <w:uiPriority w:val="0"/>
    <w:rPr>
      <w:rFonts w:ascii="MingLiU" w:hAnsi="MingLiU" w:eastAsia="MingLiU" w:cs="MingLiU"/>
      <w:color w:val="000000"/>
      <w:spacing w:val="0"/>
      <w:w w:val="100"/>
      <w:position w:val="0"/>
      <w:sz w:val="26"/>
      <w:szCs w:val="26"/>
      <w:u w:val="none"/>
      <w:shd w:val="clear" w:color="auto" w:fill="FFFFFF"/>
      <w:lang w:val="zh-CN" w:eastAsia="zh-CN"/>
    </w:rPr>
  </w:style>
  <w:style w:type="character" w:customStyle="1" w:styleId="177">
    <w:name w:val="明显强调2"/>
    <w:qFormat/>
    <w:uiPriority w:val="21"/>
    <w:rPr>
      <w:b/>
      <w:bCs/>
      <w:i/>
      <w:iCs/>
      <w:color w:val="4F81BD"/>
    </w:rPr>
  </w:style>
  <w:style w:type="character" w:customStyle="1" w:styleId="178">
    <w:name w:val="明显参考2"/>
    <w:qFormat/>
    <w:uiPriority w:val="32"/>
    <w:rPr>
      <w:b/>
      <w:bCs/>
      <w:smallCaps/>
      <w:color w:val="C0504D"/>
      <w:spacing w:val="5"/>
      <w:u w:val="single"/>
    </w:rPr>
  </w:style>
  <w:style w:type="character" w:customStyle="1" w:styleId="179">
    <w:name w:val="小标题无样式 Char"/>
    <w:link w:val="180"/>
    <w:qFormat/>
    <w:uiPriority w:val="0"/>
    <w:rPr>
      <w:rFonts w:ascii="宋体" w:hAnsi="宋体"/>
      <w:b/>
      <w:sz w:val="24"/>
      <w:szCs w:val="21"/>
    </w:rPr>
  </w:style>
  <w:style w:type="paragraph" w:customStyle="1" w:styleId="180">
    <w:name w:val="小标题无样式"/>
    <w:basedOn w:val="145"/>
    <w:link w:val="179"/>
    <w:qFormat/>
    <w:uiPriority w:val="0"/>
    <w:pPr>
      <w:ind w:firstLine="0" w:firstLineChars="0"/>
    </w:pPr>
    <w:rPr>
      <w:b/>
      <w:kern w:val="0"/>
      <w:sz w:val="24"/>
    </w:rPr>
  </w:style>
  <w:style w:type="character" w:customStyle="1" w:styleId="181">
    <w:name w:val="正文文本 (15)_"/>
    <w:link w:val="182"/>
    <w:qFormat/>
    <w:locked/>
    <w:uiPriority w:val="0"/>
    <w:rPr>
      <w:rFonts w:ascii="MingLiU" w:hAnsi="MingLiU" w:eastAsia="MingLiU"/>
      <w:b/>
      <w:bCs/>
      <w:sz w:val="28"/>
      <w:szCs w:val="28"/>
      <w:shd w:val="clear" w:color="auto" w:fill="FFFFFF"/>
    </w:rPr>
  </w:style>
  <w:style w:type="paragraph" w:customStyle="1" w:styleId="182">
    <w:name w:val="正文文本 (15)"/>
    <w:basedOn w:val="1"/>
    <w:link w:val="181"/>
    <w:qFormat/>
    <w:uiPriority w:val="0"/>
    <w:pPr>
      <w:shd w:val="clear" w:color="auto" w:fill="FFFFFF"/>
      <w:spacing w:before="120" w:after="420" w:line="240" w:lineRule="atLeast"/>
      <w:jc w:val="distribute"/>
    </w:pPr>
    <w:rPr>
      <w:rFonts w:ascii="MingLiU" w:hAnsi="MingLiU" w:eastAsia="MingLiU"/>
      <w:b/>
      <w:bCs/>
      <w:kern w:val="0"/>
      <w:sz w:val="28"/>
      <w:szCs w:val="28"/>
    </w:rPr>
  </w:style>
  <w:style w:type="character" w:customStyle="1" w:styleId="183">
    <w:name w:val="样式 宋体 小四 加粗 黑色"/>
    <w:qFormat/>
    <w:uiPriority w:val="0"/>
    <w:rPr>
      <w:rFonts w:ascii="宋体" w:hAnsi="宋体"/>
      <w:b/>
      <w:bCs/>
      <w:color w:val="000000"/>
      <w:sz w:val="24"/>
    </w:rPr>
  </w:style>
  <w:style w:type="character" w:customStyle="1" w:styleId="184">
    <w:name w:val="标题 #7 (4) + 间距 7 pt"/>
    <w:qFormat/>
    <w:uiPriority w:val="0"/>
    <w:rPr>
      <w:rFonts w:ascii="MingLiU" w:hAnsi="MingLiU" w:eastAsia="MingLiU"/>
      <w:color w:val="000000"/>
      <w:spacing w:val="140"/>
      <w:w w:val="100"/>
      <w:position w:val="0"/>
      <w:sz w:val="26"/>
      <w:szCs w:val="26"/>
      <w:lang w:val="zh-CN" w:eastAsia="zh-CN" w:bidi="ar-SA"/>
    </w:rPr>
  </w:style>
  <w:style w:type="character" w:customStyle="1" w:styleId="185">
    <w:name w:val="Header Char"/>
    <w:qFormat/>
    <w:uiPriority w:val="0"/>
    <w:rPr>
      <w:rFonts w:eastAsia="宋体"/>
      <w:kern w:val="2"/>
      <w:sz w:val="18"/>
      <w:szCs w:val="18"/>
      <w:lang w:val="en-US" w:eastAsia="zh-CN" w:bidi="ar-SA"/>
    </w:rPr>
  </w:style>
  <w:style w:type="character" w:customStyle="1" w:styleId="186">
    <w:name w:val="正文文本 (2) + Impact1"/>
    <w:qFormat/>
    <w:uiPriority w:val="0"/>
    <w:rPr>
      <w:rFonts w:ascii="Impact" w:hAnsi="Impact" w:eastAsia="Times New Roman" w:cs="Impact"/>
      <w:color w:val="000000"/>
      <w:spacing w:val="0"/>
      <w:w w:val="100"/>
      <w:position w:val="0"/>
      <w:sz w:val="16"/>
      <w:szCs w:val="16"/>
      <w:u w:val="none"/>
      <w:shd w:val="clear" w:color="auto" w:fill="FFFFFF"/>
      <w:lang w:val="en-US" w:eastAsia="en-US"/>
    </w:rPr>
  </w:style>
  <w:style w:type="character" w:customStyle="1" w:styleId="187">
    <w:name w:val="正文文本 (2) + 间距 -1 pt"/>
    <w:qFormat/>
    <w:uiPriority w:val="0"/>
    <w:rPr>
      <w:rFonts w:ascii="MingLiU" w:hAnsi="MingLiU" w:eastAsia="MingLiU" w:cs="MingLiU"/>
      <w:color w:val="000000"/>
      <w:spacing w:val="-20"/>
      <w:w w:val="100"/>
      <w:position w:val="0"/>
      <w:sz w:val="22"/>
      <w:szCs w:val="22"/>
      <w:u w:val="none"/>
      <w:shd w:val="clear" w:color="auto" w:fill="FFFFFF"/>
      <w:lang w:val="zh-CN" w:eastAsia="zh-CN" w:bidi="zh-CN"/>
    </w:rPr>
  </w:style>
  <w:style w:type="character" w:customStyle="1" w:styleId="188">
    <w:name w:val="明显引用 Char2"/>
    <w:qFormat/>
    <w:uiPriority w:val="30"/>
    <w:rPr>
      <w:b/>
      <w:bCs/>
      <w:i/>
      <w:iCs/>
      <w:color w:val="4F81BD"/>
      <w:sz w:val="21"/>
    </w:rPr>
  </w:style>
  <w:style w:type="character" w:customStyle="1" w:styleId="189">
    <w:name w:val="正文文本 (2) + 4 pt1"/>
    <w:qFormat/>
    <w:uiPriority w:val="0"/>
    <w:rPr>
      <w:rFonts w:ascii="MingLiU" w:hAnsi="MingLiU" w:eastAsia="MingLiU" w:cs="MingLiU"/>
      <w:color w:val="000000"/>
      <w:spacing w:val="0"/>
      <w:w w:val="100"/>
      <w:position w:val="0"/>
      <w:sz w:val="8"/>
      <w:szCs w:val="8"/>
      <w:u w:val="none"/>
      <w:shd w:val="clear" w:color="auto" w:fill="FFFFFF"/>
      <w:lang w:val="zh-CN" w:eastAsia="zh-CN"/>
    </w:rPr>
  </w:style>
  <w:style w:type="character" w:customStyle="1" w:styleId="190">
    <w:name w:val="Char Char"/>
    <w:qFormat/>
    <w:uiPriority w:val="0"/>
    <w:rPr>
      <w:rFonts w:ascii="Cambria" w:hAnsi="Cambria"/>
      <w:b/>
      <w:bCs/>
      <w:kern w:val="2"/>
      <w:sz w:val="32"/>
      <w:szCs w:val="32"/>
      <w:lang w:bidi="ar-SA"/>
    </w:rPr>
  </w:style>
  <w:style w:type="character" w:customStyle="1" w:styleId="191">
    <w:name w:val="Comment Subject Char"/>
    <w:qFormat/>
    <w:uiPriority w:val="0"/>
    <w:rPr>
      <w:b/>
      <w:sz w:val="24"/>
      <w:lang w:bidi="ar-SA"/>
    </w:rPr>
  </w:style>
  <w:style w:type="character" w:customStyle="1" w:styleId="192">
    <w:name w:val="引用 Char1"/>
    <w:qFormat/>
    <w:uiPriority w:val="29"/>
    <w:rPr>
      <w:rFonts w:ascii="Times New Roman" w:hAnsi="Times New Roman" w:eastAsia="宋体" w:cs="Times New Roman"/>
      <w:i/>
      <w:iCs/>
      <w:color w:val="000000"/>
      <w:szCs w:val="24"/>
    </w:rPr>
  </w:style>
  <w:style w:type="character" w:customStyle="1" w:styleId="193">
    <w:name w:val="标题 Char2"/>
    <w:qFormat/>
    <w:uiPriority w:val="0"/>
    <w:rPr>
      <w:rFonts w:ascii="Cambria" w:hAnsi="Cambria" w:eastAsia="宋体" w:cs="Times New Roman"/>
      <w:b/>
      <w:bCs/>
      <w:sz w:val="32"/>
      <w:szCs w:val="32"/>
    </w:rPr>
  </w:style>
  <w:style w:type="character" w:customStyle="1" w:styleId="194">
    <w:name w:val="不明显参考1"/>
    <w:qFormat/>
    <w:uiPriority w:val="31"/>
    <w:rPr>
      <w:smallCaps/>
      <w:color w:val="C0504D"/>
      <w:u w:val="single"/>
    </w:rPr>
  </w:style>
  <w:style w:type="character" w:customStyle="1" w:styleId="195">
    <w:name w:val="正文文本 (2) + 5.5 pt1"/>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character" w:customStyle="1" w:styleId="196">
    <w:name w:val="正文文本 (14)_"/>
    <w:link w:val="197"/>
    <w:qFormat/>
    <w:uiPriority w:val="0"/>
    <w:rPr>
      <w:rFonts w:ascii="MingLiU" w:hAnsi="MingLiU" w:eastAsia="MingLiU" w:cs="MingLiU"/>
      <w:sz w:val="18"/>
      <w:szCs w:val="18"/>
      <w:shd w:val="clear" w:color="auto" w:fill="FFFFFF"/>
    </w:rPr>
  </w:style>
  <w:style w:type="paragraph" w:customStyle="1" w:styleId="197">
    <w:name w:val="正文文本 (14)"/>
    <w:basedOn w:val="1"/>
    <w:link w:val="196"/>
    <w:qFormat/>
    <w:uiPriority w:val="0"/>
    <w:pPr>
      <w:shd w:val="clear" w:color="auto" w:fill="FFFFFF"/>
      <w:spacing w:before="300" w:line="300" w:lineRule="exact"/>
      <w:jc w:val="distribute"/>
    </w:pPr>
    <w:rPr>
      <w:rFonts w:ascii="MingLiU" w:hAnsi="MingLiU" w:eastAsia="MingLiU"/>
      <w:kern w:val="0"/>
      <w:sz w:val="18"/>
      <w:szCs w:val="18"/>
    </w:rPr>
  </w:style>
  <w:style w:type="character" w:customStyle="1" w:styleId="198">
    <w:name w:val="Char Char3"/>
    <w:qFormat/>
    <w:uiPriority w:val="0"/>
    <w:rPr>
      <w:rFonts w:eastAsia="宋体"/>
      <w:kern w:val="2"/>
      <w:sz w:val="21"/>
      <w:szCs w:val="24"/>
      <w:lang w:val="en-US" w:eastAsia="zh-CN" w:bidi="ar-SA"/>
    </w:rPr>
  </w:style>
  <w:style w:type="character" w:customStyle="1" w:styleId="199">
    <w:name w:val="Char Char24"/>
    <w:qFormat/>
    <w:uiPriority w:val="0"/>
    <w:rPr>
      <w:rFonts w:eastAsia="宋体"/>
      <w:b/>
      <w:bCs/>
      <w:kern w:val="44"/>
      <w:sz w:val="32"/>
      <w:szCs w:val="44"/>
      <w:lang w:val="en-US" w:eastAsia="zh-CN" w:bidi="ar-SA"/>
    </w:rPr>
  </w:style>
  <w:style w:type="character" w:customStyle="1" w:styleId="200">
    <w:name w:val="T10 Char"/>
    <w:link w:val="201"/>
    <w:qFormat/>
    <w:uiPriority w:val="0"/>
    <w:rPr>
      <w:rFonts w:ascii="宋体" w:hAnsi="宋体"/>
      <w:b/>
      <w:sz w:val="28"/>
    </w:rPr>
  </w:style>
  <w:style w:type="paragraph" w:customStyle="1" w:styleId="201">
    <w:name w:val="T10"/>
    <w:basedOn w:val="1"/>
    <w:link w:val="200"/>
    <w:qFormat/>
    <w:uiPriority w:val="0"/>
    <w:pPr>
      <w:adjustRightInd w:val="0"/>
      <w:spacing w:line="500" w:lineRule="exact"/>
      <w:ind w:left="10" w:leftChars="5" w:firstLine="561" w:firstLineChars="200"/>
      <w:jc w:val="center"/>
      <w:textAlignment w:val="baseline"/>
    </w:pPr>
    <w:rPr>
      <w:rFonts w:ascii="宋体" w:hAnsi="宋体"/>
      <w:b/>
      <w:kern w:val="0"/>
      <w:sz w:val="28"/>
      <w:szCs w:val="20"/>
    </w:rPr>
  </w:style>
  <w:style w:type="character" w:customStyle="1" w:styleId="202">
    <w:name w:val="正文文本 (42)_"/>
    <w:link w:val="203"/>
    <w:qFormat/>
    <w:locked/>
    <w:uiPriority w:val="0"/>
    <w:rPr>
      <w:rFonts w:ascii="MingLiU" w:hAnsi="MingLiU" w:eastAsia="MingLiU"/>
      <w:b/>
      <w:bCs/>
      <w:shd w:val="clear" w:color="auto" w:fill="FFFFFF"/>
    </w:rPr>
  </w:style>
  <w:style w:type="paragraph" w:customStyle="1" w:styleId="203">
    <w:name w:val="正文文本 (42)1"/>
    <w:basedOn w:val="1"/>
    <w:link w:val="202"/>
    <w:qFormat/>
    <w:uiPriority w:val="0"/>
    <w:pPr>
      <w:shd w:val="clear" w:color="auto" w:fill="FFFFFF"/>
      <w:spacing w:line="398" w:lineRule="exact"/>
      <w:jc w:val="distribute"/>
    </w:pPr>
    <w:rPr>
      <w:rFonts w:ascii="MingLiU" w:hAnsi="MingLiU" w:eastAsia="MingLiU"/>
      <w:b/>
      <w:bCs/>
      <w:kern w:val="0"/>
      <w:sz w:val="20"/>
      <w:szCs w:val="20"/>
    </w:rPr>
  </w:style>
  <w:style w:type="character" w:customStyle="1" w:styleId="204">
    <w:name w:val="标题 #7 + 间距 0 pt2"/>
    <w:qFormat/>
    <w:uiPriority w:val="0"/>
    <w:rPr>
      <w:rFonts w:ascii="MingLiU" w:hAnsi="MingLiU" w:eastAsia="MingLiU" w:cs="MingLiU"/>
      <w:color w:val="000000"/>
      <w:spacing w:val="10"/>
      <w:w w:val="100"/>
      <w:position w:val="0"/>
      <w:sz w:val="26"/>
      <w:szCs w:val="26"/>
      <w:u w:val="single"/>
      <w:shd w:val="clear" w:color="auto" w:fill="FFFFFF"/>
      <w:lang w:val="zh-CN" w:eastAsia="zh-CN"/>
    </w:rPr>
  </w:style>
  <w:style w:type="character" w:customStyle="1" w:styleId="205">
    <w:name w:val="正文小标题 Char"/>
    <w:link w:val="206"/>
    <w:qFormat/>
    <w:uiPriority w:val="0"/>
    <w:rPr>
      <w:rFonts w:hAnsi="宋体"/>
      <w:sz w:val="21"/>
      <w:szCs w:val="21"/>
    </w:rPr>
  </w:style>
  <w:style w:type="paragraph" w:customStyle="1" w:styleId="206">
    <w:name w:val="正文小标题"/>
    <w:basedOn w:val="2"/>
    <w:link w:val="205"/>
    <w:qFormat/>
    <w:uiPriority w:val="0"/>
    <w:pPr>
      <w:keepLines w:val="0"/>
      <w:spacing w:before="240" w:after="240" w:line="420" w:lineRule="exact"/>
    </w:pPr>
    <w:rPr>
      <w:rFonts w:hAnsi="宋体"/>
      <w:b w:val="0"/>
      <w:bCs w:val="0"/>
      <w:kern w:val="0"/>
      <w:sz w:val="21"/>
      <w:szCs w:val="21"/>
    </w:rPr>
  </w:style>
  <w:style w:type="character" w:customStyle="1" w:styleId="207">
    <w:name w:val="不明显参考3"/>
    <w:qFormat/>
    <w:uiPriority w:val="0"/>
    <w:rPr>
      <w:smallCaps/>
      <w:color w:val="C0504D"/>
      <w:u w:val="single"/>
    </w:rPr>
  </w:style>
  <w:style w:type="character" w:customStyle="1" w:styleId="208">
    <w:name w:val="正文文本 (2) + 6.5 pt"/>
    <w:qFormat/>
    <w:uiPriority w:val="0"/>
    <w:rPr>
      <w:rFonts w:ascii="MingLiU" w:hAnsi="MingLiU" w:eastAsia="MingLiU" w:cs="MingLiU"/>
      <w:i/>
      <w:iCs/>
      <w:color w:val="000000"/>
      <w:spacing w:val="0"/>
      <w:w w:val="100"/>
      <w:position w:val="0"/>
      <w:sz w:val="13"/>
      <w:szCs w:val="13"/>
      <w:u w:val="none"/>
      <w:shd w:val="clear" w:color="auto" w:fill="FFFFFF"/>
      <w:lang w:val="en-US" w:eastAsia="en-US" w:bidi="ar-SA"/>
    </w:rPr>
  </w:style>
  <w:style w:type="character" w:customStyle="1" w:styleId="209">
    <w:name w:val="Date Char"/>
    <w:qFormat/>
    <w:uiPriority w:val="0"/>
    <w:rPr>
      <w:rFonts w:eastAsia="宋体"/>
      <w:kern w:val="2"/>
      <w:sz w:val="21"/>
      <w:szCs w:val="24"/>
      <w:lang w:val="en-US" w:eastAsia="zh-CN" w:bidi="ar-SA"/>
    </w:rPr>
  </w:style>
  <w:style w:type="character" w:customStyle="1" w:styleId="210">
    <w:name w:val="ca-11"/>
    <w:qFormat/>
    <w:uiPriority w:val="0"/>
    <w:rPr>
      <w:rFonts w:ascii="宋体" w:eastAsia="宋体"/>
      <w:sz w:val="21"/>
      <w:szCs w:val="21"/>
    </w:rPr>
  </w:style>
  <w:style w:type="character" w:customStyle="1" w:styleId="211">
    <w:name w:val="正文文本 (2) + 间距 0 pt"/>
    <w:qFormat/>
    <w:uiPriority w:val="0"/>
    <w:rPr>
      <w:rFonts w:ascii="MingLiU" w:hAnsi="MingLiU" w:eastAsia="MingLiU" w:cs="MingLiU"/>
      <w:color w:val="000000"/>
      <w:spacing w:val="0"/>
      <w:w w:val="100"/>
      <w:position w:val="0"/>
      <w:sz w:val="22"/>
      <w:szCs w:val="22"/>
      <w:u w:val="none"/>
      <w:shd w:val="clear" w:color="auto" w:fill="FFFFFF"/>
      <w:lang w:val="zh-CN" w:eastAsia="zh-CN" w:bidi="ar-SA"/>
    </w:rPr>
  </w:style>
  <w:style w:type="character" w:customStyle="1" w:styleId="212">
    <w:name w:val="正文文本 (5)_"/>
    <w:link w:val="213"/>
    <w:qFormat/>
    <w:uiPriority w:val="0"/>
    <w:rPr>
      <w:rFonts w:ascii="MingLiU" w:hAnsi="MingLiU" w:eastAsia="MingLiU" w:cs="MingLiU"/>
      <w:shd w:val="clear" w:color="auto" w:fill="FFFFFF"/>
    </w:rPr>
  </w:style>
  <w:style w:type="paragraph" w:customStyle="1" w:styleId="213">
    <w:name w:val="正文文本 (5)"/>
    <w:basedOn w:val="1"/>
    <w:link w:val="212"/>
    <w:qFormat/>
    <w:uiPriority w:val="0"/>
    <w:pPr>
      <w:shd w:val="clear" w:color="auto" w:fill="FFFFFF"/>
      <w:spacing w:before="5100" w:line="0" w:lineRule="atLeast"/>
      <w:jc w:val="left"/>
    </w:pPr>
    <w:rPr>
      <w:rFonts w:ascii="MingLiU" w:hAnsi="MingLiU" w:eastAsia="MingLiU"/>
      <w:kern w:val="0"/>
      <w:sz w:val="20"/>
      <w:szCs w:val="20"/>
    </w:rPr>
  </w:style>
  <w:style w:type="character" w:customStyle="1" w:styleId="214">
    <w:name w:val="Char Char6"/>
    <w:qFormat/>
    <w:uiPriority w:val="0"/>
    <w:rPr>
      <w:rFonts w:ascii="Arial" w:hAnsi="Arial" w:eastAsia="宋体"/>
      <w:b/>
      <w:bCs/>
      <w:kern w:val="2"/>
      <w:sz w:val="21"/>
      <w:szCs w:val="28"/>
      <w:lang w:val="en-US" w:eastAsia="zh-CN" w:bidi="ar-SA"/>
    </w:rPr>
  </w:style>
  <w:style w:type="character" w:customStyle="1" w:styleId="215">
    <w:name w:val="页脚 Char1"/>
    <w:semiHidden/>
    <w:qFormat/>
    <w:uiPriority w:val="99"/>
    <w:rPr>
      <w:sz w:val="18"/>
      <w:szCs w:val="18"/>
    </w:rPr>
  </w:style>
  <w:style w:type="character" w:customStyle="1" w:styleId="216">
    <w:name w:val="样式2 Char Char"/>
    <w:link w:val="217"/>
    <w:qFormat/>
    <w:uiPriority w:val="0"/>
    <w:rPr>
      <w:rFonts w:ascii="宋体" w:hAnsi="宋体" w:eastAsia="宋体"/>
      <w:sz w:val="24"/>
      <w:szCs w:val="84"/>
    </w:rPr>
  </w:style>
  <w:style w:type="paragraph" w:customStyle="1" w:styleId="217">
    <w:name w:val="样式2"/>
    <w:basedOn w:val="20"/>
    <w:link w:val="216"/>
    <w:qFormat/>
    <w:uiPriority w:val="0"/>
    <w:pPr>
      <w:wordWrap w:val="0"/>
      <w:spacing w:after="0" w:line="440" w:lineRule="exact"/>
      <w:ind w:firstLine="480" w:firstLineChars="200"/>
    </w:pPr>
    <w:rPr>
      <w:rFonts w:ascii="宋体" w:hAnsi="宋体"/>
      <w:sz w:val="24"/>
      <w:szCs w:val="84"/>
    </w:rPr>
  </w:style>
  <w:style w:type="character" w:customStyle="1" w:styleId="218">
    <w:name w:val="正文文本 Char2"/>
    <w:qFormat/>
    <w:uiPriority w:val="0"/>
    <w:rPr>
      <w:kern w:val="2"/>
      <w:sz w:val="21"/>
      <w:szCs w:val="24"/>
    </w:rPr>
  </w:style>
  <w:style w:type="character" w:customStyle="1" w:styleId="219">
    <w:name w:val="样式5 Char Char"/>
    <w:link w:val="220"/>
    <w:qFormat/>
    <w:uiPriority w:val="0"/>
    <w:rPr>
      <w:szCs w:val="24"/>
    </w:rPr>
  </w:style>
  <w:style w:type="paragraph" w:customStyle="1" w:styleId="220">
    <w:name w:val="样式5"/>
    <w:basedOn w:val="1"/>
    <w:link w:val="219"/>
    <w:qFormat/>
    <w:uiPriority w:val="0"/>
    <w:pPr>
      <w:spacing w:line="360" w:lineRule="exact"/>
    </w:pPr>
    <w:rPr>
      <w:kern w:val="0"/>
      <w:sz w:val="20"/>
    </w:rPr>
  </w:style>
  <w:style w:type="character" w:customStyle="1" w:styleId="221">
    <w:name w:val="标题 #8_"/>
    <w:link w:val="222"/>
    <w:qFormat/>
    <w:uiPriority w:val="0"/>
    <w:rPr>
      <w:rFonts w:ascii="MingLiU" w:hAnsi="MingLiU" w:eastAsia="MingLiU" w:cs="MingLiU"/>
      <w:b/>
      <w:bCs/>
      <w:spacing w:val="10"/>
      <w:sz w:val="22"/>
      <w:shd w:val="clear" w:color="auto" w:fill="FFFFFF"/>
    </w:rPr>
  </w:style>
  <w:style w:type="paragraph" w:customStyle="1" w:styleId="222">
    <w:name w:val="标题 #8"/>
    <w:basedOn w:val="1"/>
    <w:link w:val="221"/>
    <w:qFormat/>
    <w:uiPriority w:val="0"/>
    <w:pPr>
      <w:shd w:val="clear" w:color="auto" w:fill="FFFFFF"/>
      <w:spacing w:before="120" w:after="420" w:line="0" w:lineRule="atLeast"/>
      <w:jc w:val="left"/>
      <w:outlineLvl w:val="7"/>
    </w:pPr>
    <w:rPr>
      <w:rFonts w:ascii="MingLiU" w:hAnsi="MingLiU" w:eastAsia="MingLiU"/>
      <w:b/>
      <w:bCs/>
      <w:spacing w:val="10"/>
      <w:kern w:val="0"/>
      <w:sz w:val="22"/>
      <w:szCs w:val="20"/>
    </w:rPr>
  </w:style>
  <w:style w:type="character" w:customStyle="1" w:styleId="223">
    <w:name w:val="目录 (2) + 间距 0 pt"/>
    <w:qFormat/>
    <w:uiPriority w:val="0"/>
    <w:rPr>
      <w:rFonts w:ascii="MingLiU" w:hAnsi="MingLiU" w:eastAsia="MingLiU" w:cs="MingLiU"/>
      <w:color w:val="000000"/>
      <w:spacing w:val="0"/>
      <w:w w:val="100"/>
      <w:position w:val="0"/>
      <w:sz w:val="22"/>
      <w:szCs w:val="22"/>
      <w:u w:val="none"/>
      <w:lang w:val="zh-CN" w:eastAsia="zh-CN"/>
    </w:rPr>
  </w:style>
  <w:style w:type="character" w:customStyle="1" w:styleId="224">
    <w:name w:val="正文文本 (19) + 间距 0 pt"/>
    <w:qFormat/>
    <w:uiPriority w:val="0"/>
    <w:rPr>
      <w:rFonts w:ascii="MingLiU" w:hAnsi="MingLiU" w:eastAsia="MingLiU" w:cs="MingLiU"/>
      <w:b/>
      <w:bCs/>
      <w:color w:val="000000"/>
      <w:spacing w:val="0"/>
      <w:w w:val="100"/>
      <w:position w:val="0"/>
      <w:sz w:val="22"/>
      <w:szCs w:val="22"/>
      <w:u w:val="none"/>
      <w:lang w:val="zh-CN" w:eastAsia="zh-CN" w:bidi="zh-CN"/>
    </w:rPr>
  </w:style>
  <w:style w:type="character" w:customStyle="1" w:styleId="225">
    <w:name w:val="不明显强调3"/>
    <w:qFormat/>
    <w:uiPriority w:val="0"/>
    <w:rPr>
      <w:i/>
      <w:iCs/>
      <w:color w:val="808080"/>
    </w:rPr>
  </w:style>
  <w:style w:type="character" w:customStyle="1" w:styleId="226">
    <w:name w:val="样式3 Char Char"/>
    <w:link w:val="227"/>
    <w:qFormat/>
    <w:uiPriority w:val="0"/>
    <w:rPr>
      <w:rFonts w:ascii="Times New Roman" w:hAnsi="Times New Roman" w:eastAsia="宋体" w:cs="Times New Roman"/>
      <w:szCs w:val="24"/>
    </w:rPr>
  </w:style>
  <w:style w:type="paragraph" w:customStyle="1" w:styleId="227">
    <w:name w:val="样式3"/>
    <w:basedOn w:val="20"/>
    <w:link w:val="226"/>
    <w:qFormat/>
    <w:uiPriority w:val="0"/>
    <w:pPr>
      <w:spacing w:line="360" w:lineRule="exact"/>
    </w:pPr>
  </w:style>
  <w:style w:type="character" w:customStyle="1" w:styleId="228">
    <w:name w:val="Comment Text Char1"/>
    <w:qFormat/>
    <w:uiPriority w:val="0"/>
    <w:rPr>
      <w:sz w:val="24"/>
      <w:lang w:bidi="ar-SA"/>
    </w:rPr>
  </w:style>
  <w:style w:type="character" w:customStyle="1" w:styleId="229">
    <w:name w:val="正文文本缩进 Char1"/>
    <w:semiHidden/>
    <w:qFormat/>
    <w:uiPriority w:val="99"/>
    <w:rPr>
      <w:sz w:val="21"/>
    </w:rPr>
  </w:style>
  <w:style w:type="character" w:customStyle="1" w:styleId="230">
    <w:name w:val="页眉或页脚 + Times New Roman"/>
    <w:qFormat/>
    <w:uiPriority w:val="0"/>
    <w:rPr>
      <w:rFonts w:ascii="Times New Roman" w:hAnsi="Times New Roman" w:eastAsia="MingLiU" w:cs="Times New Roman"/>
      <w:color w:val="000000"/>
      <w:spacing w:val="0"/>
      <w:w w:val="100"/>
      <w:position w:val="0"/>
      <w:sz w:val="18"/>
      <w:szCs w:val="18"/>
      <w:u w:val="none"/>
      <w:lang w:val="zh-CN" w:eastAsia="zh-CN" w:bidi="ar-SA"/>
    </w:rPr>
  </w:style>
  <w:style w:type="character" w:customStyle="1" w:styleId="231">
    <w:name w:val="Char Char20"/>
    <w:qFormat/>
    <w:uiPriority w:val="0"/>
    <w:rPr>
      <w:rFonts w:ascii="Times New Roman" w:hAnsi="Times New Roman" w:eastAsia="宋体" w:cs="Times New Roman"/>
      <w:b/>
      <w:bCs/>
      <w:sz w:val="24"/>
      <w:szCs w:val="32"/>
    </w:rPr>
  </w:style>
  <w:style w:type="character" w:customStyle="1" w:styleId="232">
    <w:name w:val="正文文本 (2) + 10 pt3"/>
    <w:qFormat/>
    <w:uiPriority w:val="0"/>
    <w:rPr>
      <w:rFonts w:ascii="MingLiU" w:hAnsi="MingLiU" w:eastAsia="MingLiU" w:cs="MingLiU"/>
      <w:color w:val="000000"/>
      <w:spacing w:val="0"/>
      <w:w w:val="100"/>
      <w:position w:val="0"/>
      <w:sz w:val="20"/>
      <w:szCs w:val="20"/>
      <w:u w:val="none"/>
      <w:lang w:val="zh-CN" w:eastAsia="zh-CN" w:bidi="zh-CN"/>
    </w:rPr>
  </w:style>
  <w:style w:type="character" w:customStyle="1" w:styleId="233">
    <w:name w:val="正文文本 (2) + 间距 7 pt"/>
    <w:qFormat/>
    <w:uiPriority w:val="0"/>
    <w:rPr>
      <w:rFonts w:ascii="MingLiU" w:hAnsi="MingLiU" w:eastAsia="MingLiU" w:cs="MingLiU"/>
      <w:color w:val="000000"/>
      <w:spacing w:val="150"/>
      <w:w w:val="100"/>
      <w:position w:val="0"/>
      <w:sz w:val="22"/>
      <w:szCs w:val="22"/>
      <w:u w:val="none"/>
      <w:shd w:val="clear" w:color="auto" w:fill="FFFFFF"/>
      <w:lang w:val="zh-CN" w:eastAsia="zh-CN"/>
    </w:rPr>
  </w:style>
  <w:style w:type="character" w:customStyle="1" w:styleId="234">
    <w:name w:val="不明显参考4"/>
    <w:qFormat/>
    <w:uiPriority w:val="0"/>
    <w:rPr>
      <w:smallCaps/>
      <w:color w:val="C0504D"/>
      <w:u w:val="single"/>
    </w:rPr>
  </w:style>
  <w:style w:type="character" w:customStyle="1" w:styleId="235">
    <w:name w:val="正文文本 Char1"/>
    <w:qFormat/>
    <w:uiPriority w:val="0"/>
    <w:rPr>
      <w:sz w:val="21"/>
    </w:rPr>
  </w:style>
  <w:style w:type="character" w:customStyle="1" w:styleId="236">
    <w:name w:val="正文文本 (2) + 间距 0 pt Exact1"/>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237">
    <w:name w:val="纯文本 Char2"/>
    <w:qFormat/>
    <w:uiPriority w:val="0"/>
    <w:rPr>
      <w:rFonts w:ascii="宋体" w:hAnsi="Courier New"/>
      <w:kern w:val="2"/>
      <w:sz w:val="21"/>
    </w:rPr>
  </w:style>
  <w:style w:type="character" w:customStyle="1" w:styleId="238">
    <w:name w:val="批注文字 Char1"/>
    <w:qFormat/>
    <w:uiPriority w:val="0"/>
    <w:rPr>
      <w:rFonts w:ascii="Times New Roman" w:hAnsi="Times New Roman" w:eastAsia="宋体" w:cs="Times New Roman"/>
      <w:szCs w:val="24"/>
    </w:rPr>
  </w:style>
  <w:style w:type="character" w:customStyle="1" w:styleId="239">
    <w:name w:val="普通文字 Char Char1"/>
    <w:qFormat/>
    <w:uiPriority w:val="0"/>
    <w:rPr>
      <w:rFonts w:ascii="宋体" w:hAnsi="Courier New" w:eastAsia="宋体"/>
      <w:kern w:val="2"/>
      <w:sz w:val="21"/>
      <w:lang w:val="en-US" w:eastAsia="zh-CN" w:bidi="ar-SA"/>
    </w:rPr>
  </w:style>
  <w:style w:type="character" w:customStyle="1" w:styleId="240">
    <w:name w:val="正文文本 (45)_"/>
    <w:link w:val="241"/>
    <w:qFormat/>
    <w:locked/>
    <w:uiPriority w:val="0"/>
    <w:rPr>
      <w:rFonts w:ascii="MingLiU" w:hAnsi="MingLiU" w:eastAsia="MingLiU"/>
      <w:sz w:val="22"/>
      <w:shd w:val="clear" w:color="auto" w:fill="FFFFFF"/>
    </w:rPr>
  </w:style>
  <w:style w:type="paragraph" w:customStyle="1" w:styleId="241">
    <w:name w:val="正文文本 (45)"/>
    <w:basedOn w:val="1"/>
    <w:link w:val="240"/>
    <w:qFormat/>
    <w:uiPriority w:val="0"/>
    <w:pPr>
      <w:shd w:val="clear" w:color="auto" w:fill="FFFFFF"/>
      <w:spacing w:after="420" w:line="240" w:lineRule="atLeast"/>
      <w:jc w:val="center"/>
    </w:pPr>
    <w:rPr>
      <w:rFonts w:ascii="MingLiU" w:hAnsi="MingLiU" w:eastAsia="MingLiU"/>
      <w:kern w:val="0"/>
      <w:sz w:val="22"/>
      <w:szCs w:val="20"/>
    </w:rPr>
  </w:style>
  <w:style w:type="character" w:customStyle="1" w:styleId="242">
    <w:name w:val="正文文本 (14) + Times New Roman"/>
    <w:qFormat/>
    <w:uiPriority w:val="0"/>
    <w:rPr>
      <w:rFonts w:ascii="Times New Roman" w:hAnsi="Times New Roman" w:eastAsia="MingLiU" w:cs="Times New Roman"/>
      <w:color w:val="000000"/>
      <w:spacing w:val="0"/>
      <w:w w:val="100"/>
      <w:position w:val="0"/>
      <w:sz w:val="24"/>
      <w:szCs w:val="24"/>
      <w:u w:val="none"/>
      <w:shd w:val="clear" w:color="auto" w:fill="FFFFFF"/>
      <w:lang w:val="en-US" w:eastAsia="en-US"/>
    </w:rPr>
  </w:style>
  <w:style w:type="character" w:customStyle="1" w:styleId="243">
    <w:name w:val="正文文本 (2)_"/>
    <w:link w:val="244"/>
    <w:qFormat/>
    <w:uiPriority w:val="0"/>
    <w:rPr>
      <w:rFonts w:ascii="MingLiU" w:hAnsi="MingLiU" w:eastAsia="MingLiU" w:cs="MingLiU"/>
      <w:spacing w:val="20"/>
      <w:sz w:val="22"/>
      <w:shd w:val="clear" w:color="auto" w:fill="FFFFFF"/>
    </w:rPr>
  </w:style>
  <w:style w:type="paragraph" w:customStyle="1" w:styleId="244">
    <w:name w:val="正文文本 (2)4"/>
    <w:basedOn w:val="1"/>
    <w:link w:val="243"/>
    <w:qFormat/>
    <w:uiPriority w:val="0"/>
    <w:pPr>
      <w:shd w:val="clear" w:color="auto" w:fill="FFFFFF"/>
      <w:spacing w:before="300" w:line="439" w:lineRule="exact"/>
      <w:jc w:val="distribute"/>
    </w:pPr>
    <w:rPr>
      <w:rFonts w:ascii="MingLiU" w:hAnsi="MingLiU" w:eastAsia="MingLiU"/>
      <w:spacing w:val="20"/>
      <w:kern w:val="0"/>
      <w:sz w:val="22"/>
      <w:szCs w:val="20"/>
    </w:rPr>
  </w:style>
  <w:style w:type="character" w:customStyle="1" w:styleId="245">
    <w:name w:val="批注主题 Char1"/>
    <w:qFormat/>
    <w:uiPriority w:val="0"/>
    <w:rPr>
      <w:b/>
      <w:bCs/>
      <w:kern w:val="2"/>
      <w:sz w:val="21"/>
      <w:szCs w:val="24"/>
    </w:rPr>
  </w:style>
  <w:style w:type="character" w:customStyle="1" w:styleId="246">
    <w:name w:val="样式4 Char Char"/>
    <w:link w:val="247"/>
    <w:qFormat/>
    <w:uiPriority w:val="0"/>
    <w:rPr>
      <w:rFonts w:ascii="宋体" w:hAnsi="宋体"/>
      <w:color w:val="FF0000"/>
      <w:kern w:val="2"/>
      <w:sz w:val="24"/>
      <w:szCs w:val="24"/>
      <w:lang w:val="en-US" w:eastAsia="zh-CN" w:bidi="ar-SA"/>
    </w:rPr>
  </w:style>
  <w:style w:type="paragraph" w:customStyle="1" w:styleId="247">
    <w:name w:val="样式4"/>
    <w:link w:val="246"/>
    <w:qFormat/>
    <w:uiPriority w:val="0"/>
    <w:pPr>
      <w:ind w:left="-178" w:leftChars="-85" w:right="-107" w:rightChars="-51"/>
      <w:jc w:val="center"/>
    </w:pPr>
    <w:rPr>
      <w:rFonts w:ascii="宋体" w:hAnsi="宋体" w:eastAsia="宋体" w:cs="Times New Roman"/>
      <w:color w:val="FF0000"/>
      <w:kern w:val="2"/>
      <w:sz w:val="24"/>
      <w:szCs w:val="24"/>
      <w:lang w:val="en-US" w:eastAsia="zh-CN" w:bidi="ar-SA"/>
    </w:rPr>
  </w:style>
  <w:style w:type="character" w:customStyle="1" w:styleId="248">
    <w:name w:val="Body Text Indent Char"/>
    <w:qFormat/>
    <w:uiPriority w:val="0"/>
    <w:rPr>
      <w:rFonts w:ascii="宋体" w:hAnsi="宋体" w:eastAsia="宋体"/>
      <w:kern w:val="2"/>
      <w:sz w:val="21"/>
      <w:lang w:val="en-US" w:eastAsia="zh-CN" w:bidi="ar-SA"/>
    </w:rPr>
  </w:style>
  <w:style w:type="character" w:customStyle="1" w:styleId="249">
    <w:name w:val="书籍标题2"/>
    <w:qFormat/>
    <w:uiPriority w:val="33"/>
    <w:rPr>
      <w:b/>
      <w:bCs/>
      <w:smallCaps/>
      <w:spacing w:val="5"/>
    </w:rPr>
  </w:style>
  <w:style w:type="character" w:customStyle="1" w:styleId="250">
    <w:name w:val="op-map-singlepoint-info-right"/>
    <w:qFormat/>
    <w:uiPriority w:val="0"/>
  </w:style>
  <w:style w:type="character" w:customStyle="1" w:styleId="251">
    <w:name w:val="Heading 3 Char"/>
    <w:qFormat/>
    <w:uiPriority w:val="0"/>
    <w:rPr>
      <w:rFonts w:cs="Times New Roman"/>
      <w:b/>
      <w:bCs/>
      <w:kern w:val="2"/>
      <w:sz w:val="32"/>
      <w:szCs w:val="32"/>
    </w:rPr>
  </w:style>
  <w:style w:type="character" w:customStyle="1" w:styleId="252">
    <w:name w:val="正文文本 (2) + 10 pt34"/>
    <w:qFormat/>
    <w:uiPriority w:val="0"/>
    <w:rPr>
      <w:rFonts w:ascii="MingLiU" w:hAnsi="MingLiU" w:eastAsia="MingLiU" w:cs="MingLiU"/>
      <w:color w:val="000000"/>
      <w:spacing w:val="140"/>
      <w:w w:val="100"/>
      <w:position w:val="0"/>
      <w:sz w:val="20"/>
      <w:szCs w:val="20"/>
      <w:u w:val="none"/>
      <w:shd w:val="clear" w:color="auto" w:fill="FFFFFF"/>
      <w:lang w:val="zh-CN" w:eastAsia="zh-CN"/>
    </w:rPr>
  </w:style>
  <w:style w:type="character" w:customStyle="1" w:styleId="253">
    <w:name w:val="标题 1 Char Char"/>
    <w:qFormat/>
    <w:uiPriority w:val="0"/>
    <w:rPr>
      <w:rFonts w:eastAsia="宋体"/>
      <w:b/>
      <w:sz w:val="44"/>
      <w:lang w:val="en-US" w:eastAsia="zh-CN" w:bidi="ar-SA"/>
    </w:rPr>
  </w:style>
  <w:style w:type="character" w:customStyle="1" w:styleId="254">
    <w:name w:val="标题 3 字符"/>
    <w:link w:val="4"/>
    <w:qFormat/>
    <w:uiPriority w:val="0"/>
    <w:rPr>
      <w:rFonts w:ascii="Calibri" w:hAnsi="Calibri" w:eastAsia="宋体"/>
      <w:b/>
      <w:sz w:val="32"/>
    </w:rPr>
  </w:style>
  <w:style w:type="character" w:customStyle="1" w:styleId="255">
    <w:name w:val="正文文本 (31)_"/>
    <w:link w:val="256"/>
    <w:qFormat/>
    <w:locked/>
    <w:uiPriority w:val="0"/>
    <w:rPr>
      <w:shd w:val="clear" w:color="auto" w:fill="FFFFFF"/>
      <w:lang w:eastAsia="en-US"/>
    </w:rPr>
  </w:style>
  <w:style w:type="paragraph" w:customStyle="1" w:styleId="256">
    <w:name w:val="正文文本 (31)"/>
    <w:basedOn w:val="1"/>
    <w:link w:val="255"/>
    <w:qFormat/>
    <w:uiPriority w:val="0"/>
    <w:pPr>
      <w:shd w:val="clear" w:color="auto" w:fill="FFFFFF"/>
      <w:spacing w:line="401" w:lineRule="exact"/>
      <w:ind w:firstLine="500"/>
    </w:pPr>
    <w:rPr>
      <w:kern w:val="0"/>
      <w:sz w:val="20"/>
      <w:szCs w:val="20"/>
      <w:lang w:eastAsia="en-US"/>
    </w:rPr>
  </w:style>
  <w:style w:type="character" w:customStyle="1" w:styleId="257">
    <w:name w:val="明显引用 Char1"/>
    <w:qFormat/>
    <w:uiPriority w:val="30"/>
    <w:rPr>
      <w:rFonts w:ascii="Times New Roman" w:hAnsi="Times New Roman" w:eastAsia="宋体" w:cs="Times New Roman"/>
      <w:b/>
      <w:bCs/>
      <w:i/>
      <w:iCs/>
      <w:color w:val="4F81BD"/>
      <w:szCs w:val="24"/>
    </w:rPr>
  </w:style>
  <w:style w:type="character" w:customStyle="1" w:styleId="258">
    <w:name w:val="不明显强调31"/>
    <w:qFormat/>
    <w:uiPriority w:val="0"/>
    <w:rPr>
      <w:i/>
      <w:iCs/>
      <w:color w:val="808080"/>
    </w:rPr>
  </w:style>
  <w:style w:type="character" w:customStyle="1" w:styleId="259">
    <w:name w:val="明显参考1"/>
    <w:qFormat/>
    <w:uiPriority w:val="0"/>
    <w:rPr>
      <w:b/>
      <w:bCs/>
      <w:smallCaps/>
      <w:color w:val="C0504D"/>
      <w:spacing w:val="5"/>
      <w:u w:val="single"/>
    </w:rPr>
  </w:style>
  <w:style w:type="character" w:customStyle="1" w:styleId="260">
    <w:name w:val="15"/>
    <w:qFormat/>
    <w:uiPriority w:val="0"/>
    <w:rPr>
      <w:rFonts w:hint="default" w:ascii="Times New Roman" w:hAnsi="Times New Roman" w:cs="Times New Roman"/>
      <w:color w:val="0000FF"/>
      <w:u w:val="single"/>
    </w:rPr>
  </w:style>
  <w:style w:type="character" w:customStyle="1" w:styleId="261">
    <w:name w:val="标题 3 Char Char Char"/>
    <w:qFormat/>
    <w:uiPriority w:val="0"/>
    <w:rPr>
      <w:rFonts w:eastAsia="宋体"/>
      <w:b/>
      <w:bCs/>
      <w:kern w:val="2"/>
      <w:sz w:val="32"/>
      <w:szCs w:val="32"/>
      <w:lang w:val="en-US" w:eastAsia="zh-CN" w:bidi="ar-SA"/>
    </w:rPr>
  </w:style>
  <w:style w:type="character" w:customStyle="1" w:styleId="262">
    <w:name w:val="Char Char1"/>
    <w:qFormat/>
    <w:uiPriority w:val="0"/>
    <w:rPr>
      <w:rFonts w:eastAsia="宋体"/>
      <w:kern w:val="2"/>
      <w:sz w:val="18"/>
      <w:szCs w:val="18"/>
      <w:lang w:val="en-US" w:eastAsia="zh-CN" w:bidi="ar-SA"/>
    </w:rPr>
  </w:style>
  <w:style w:type="character" w:customStyle="1" w:styleId="263">
    <w:name w:val="para1"/>
    <w:qFormat/>
    <w:uiPriority w:val="0"/>
    <w:rPr>
      <w:rFonts w:hint="default" w:ascii="Arial" w:hAnsi="Arial" w:cs="Arial"/>
      <w:sz w:val="18"/>
      <w:szCs w:val="18"/>
    </w:rPr>
  </w:style>
  <w:style w:type="character" w:customStyle="1" w:styleId="264">
    <w:name w:val="标题 1 Char_1"/>
    <w:link w:val="265"/>
    <w:qFormat/>
    <w:uiPriority w:val="99"/>
    <w:rPr>
      <w:rFonts w:ascii="Calibri" w:hAnsi="Calibri"/>
      <w:b/>
      <w:bCs/>
      <w:kern w:val="44"/>
      <w:sz w:val="32"/>
      <w:szCs w:val="44"/>
    </w:rPr>
  </w:style>
  <w:style w:type="paragraph" w:customStyle="1" w:styleId="265">
    <w:name w:val="标题 1_1"/>
    <w:basedOn w:val="266"/>
    <w:next w:val="266"/>
    <w:link w:val="264"/>
    <w:qFormat/>
    <w:uiPriority w:val="99"/>
    <w:pPr>
      <w:keepNext/>
      <w:keepLines/>
      <w:spacing w:line="360" w:lineRule="auto"/>
      <w:outlineLvl w:val="0"/>
    </w:pPr>
    <w:rPr>
      <w:b/>
      <w:bCs/>
      <w:kern w:val="44"/>
      <w:sz w:val="32"/>
      <w:szCs w:val="44"/>
    </w:rPr>
  </w:style>
  <w:style w:type="paragraph" w:customStyle="1" w:styleId="266">
    <w:name w:val="正文_2"/>
    <w:next w:val="267"/>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7">
    <w:name w:val="页脚_0"/>
    <w:basedOn w:val="266"/>
    <w:qFormat/>
    <w:uiPriority w:val="99"/>
    <w:pPr>
      <w:tabs>
        <w:tab w:val="center" w:pos="4153"/>
        <w:tab w:val="right" w:pos="8306"/>
      </w:tabs>
      <w:snapToGrid w:val="0"/>
    </w:pPr>
    <w:rPr>
      <w:sz w:val="18"/>
      <w:szCs w:val="18"/>
    </w:rPr>
  </w:style>
  <w:style w:type="character" w:customStyle="1" w:styleId="268">
    <w:name w:val="正文文本缩进 2 Char1"/>
    <w:semiHidden/>
    <w:qFormat/>
    <w:uiPriority w:val="99"/>
    <w:rPr>
      <w:sz w:val="21"/>
    </w:rPr>
  </w:style>
  <w:style w:type="character" w:customStyle="1" w:styleId="269">
    <w:name w:val="Char Char2"/>
    <w:qFormat/>
    <w:uiPriority w:val="0"/>
    <w:rPr>
      <w:rFonts w:ascii="宋体" w:hAnsi="Courier New" w:eastAsia="宋体"/>
      <w:kern w:val="2"/>
      <w:sz w:val="21"/>
      <w:szCs w:val="24"/>
      <w:lang w:val="en-US" w:eastAsia="zh-CN" w:bidi="ar-SA"/>
    </w:rPr>
  </w:style>
  <w:style w:type="character" w:customStyle="1" w:styleId="270">
    <w:name w:val="Char Char22"/>
    <w:qFormat/>
    <w:uiPriority w:val="0"/>
    <w:rPr>
      <w:rFonts w:ascii="Times New Roman" w:hAnsi="Times New Roman" w:eastAsia="宋体" w:cs="Times New Roman"/>
      <w:b/>
      <w:bCs/>
      <w:kern w:val="44"/>
      <w:sz w:val="32"/>
      <w:szCs w:val="44"/>
    </w:rPr>
  </w:style>
  <w:style w:type="character" w:customStyle="1" w:styleId="271">
    <w:name w:val="正文文本 2 Char1"/>
    <w:qFormat/>
    <w:uiPriority w:val="0"/>
    <w:rPr>
      <w:rFonts w:ascii="Times New Roman" w:hAnsi="Times New Roman" w:eastAsia="宋体" w:cs="Times New Roman"/>
      <w:szCs w:val="24"/>
    </w:rPr>
  </w:style>
  <w:style w:type="character" w:customStyle="1" w:styleId="272">
    <w:name w:val="style6"/>
    <w:qFormat/>
    <w:uiPriority w:val="0"/>
  </w:style>
  <w:style w:type="character" w:customStyle="1" w:styleId="273">
    <w:name w:val="Char Char91"/>
    <w:qFormat/>
    <w:uiPriority w:val="0"/>
    <w:rPr>
      <w:rFonts w:eastAsia="宋体"/>
      <w:b/>
      <w:bCs/>
      <w:kern w:val="44"/>
      <w:sz w:val="32"/>
      <w:szCs w:val="44"/>
      <w:lang w:val="en-US" w:eastAsia="zh-CN" w:bidi="ar-SA"/>
    </w:rPr>
  </w:style>
  <w:style w:type="character" w:customStyle="1" w:styleId="274">
    <w:name w:val="样式 Char Char"/>
    <w:qFormat/>
    <w:uiPriority w:val="0"/>
    <w:rPr>
      <w:rFonts w:ascii="宋体" w:hAnsi="宋体" w:eastAsia="宋体" w:cs="宋体"/>
      <w:sz w:val="24"/>
      <w:szCs w:val="24"/>
      <w:lang w:val="en-US" w:eastAsia="zh-CN" w:bidi="ar-SA"/>
    </w:rPr>
  </w:style>
  <w:style w:type="character" w:customStyle="1" w:styleId="275">
    <w:name w:val="纯文本 Char1"/>
    <w:qFormat/>
    <w:uiPriority w:val="0"/>
    <w:rPr>
      <w:rFonts w:ascii="宋体" w:hAnsi="Courier New" w:eastAsia="宋体" w:cs="Courier New"/>
      <w:szCs w:val="21"/>
    </w:rPr>
  </w:style>
  <w:style w:type="character" w:customStyle="1" w:styleId="276">
    <w:name w:val="日期 Char1"/>
    <w:qFormat/>
    <w:uiPriority w:val="0"/>
    <w:rPr>
      <w:rFonts w:ascii="Times New Roman" w:hAnsi="Times New Roman" w:eastAsia="宋体" w:cs="Times New Roman"/>
      <w:szCs w:val="24"/>
    </w:rPr>
  </w:style>
  <w:style w:type="character" w:customStyle="1" w:styleId="277">
    <w:name w:val="批注文字 Char Char"/>
    <w:qFormat/>
    <w:uiPriority w:val="0"/>
    <w:rPr>
      <w:rFonts w:ascii="宋体" w:hAnsi="Times New Roman" w:eastAsia="宋体" w:cs="Times New Roman"/>
      <w:sz w:val="28"/>
      <w:szCs w:val="20"/>
    </w:rPr>
  </w:style>
  <w:style w:type="character" w:customStyle="1" w:styleId="278">
    <w:name w:val="Heading 3 Char1"/>
    <w:qFormat/>
    <w:uiPriority w:val="0"/>
    <w:rPr>
      <w:rFonts w:eastAsia="宋体"/>
      <w:b/>
      <w:bCs/>
      <w:kern w:val="2"/>
      <w:sz w:val="24"/>
      <w:szCs w:val="32"/>
      <w:lang w:val="en-US" w:eastAsia="zh-CN" w:bidi="ar-SA"/>
    </w:rPr>
  </w:style>
  <w:style w:type="character" w:customStyle="1" w:styleId="279">
    <w:name w:val="副标题 Char2"/>
    <w:qFormat/>
    <w:uiPriority w:val="0"/>
    <w:rPr>
      <w:rFonts w:ascii="Cambria" w:hAnsi="Cambria" w:cs="Times New Roman"/>
      <w:b/>
      <w:bCs/>
      <w:kern w:val="28"/>
      <w:sz w:val="32"/>
      <w:szCs w:val="32"/>
    </w:rPr>
  </w:style>
  <w:style w:type="character" w:customStyle="1" w:styleId="280">
    <w:name w:val="表格标题 (4)_"/>
    <w:link w:val="281"/>
    <w:qFormat/>
    <w:locked/>
    <w:uiPriority w:val="0"/>
    <w:rPr>
      <w:rFonts w:ascii="MingLiU" w:hAnsi="MingLiU" w:eastAsia="MingLiU"/>
      <w:b/>
      <w:bCs/>
      <w:sz w:val="22"/>
      <w:shd w:val="clear" w:color="auto" w:fill="FFFFFF"/>
    </w:rPr>
  </w:style>
  <w:style w:type="paragraph" w:customStyle="1" w:styleId="281">
    <w:name w:val="表格标题 (4)"/>
    <w:basedOn w:val="1"/>
    <w:link w:val="280"/>
    <w:qFormat/>
    <w:uiPriority w:val="0"/>
    <w:pPr>
      <w:shd w:val="clear" w:color="auto" w:fill="FFFFFF"/>
      <w:spacing w:line="240" w:lineRule="atLeast"/>
      <w:jc w:val="left"/>
    </w:pPr>
    <w:rPr>
      <w:rFonts w:ascii="MingLiU" w:hAnsi="MingLiU" w:eastAsia="MingLiU"/>
      <w:b/>
      <w:bCs/>
      <w:kern w:val="0"/>
      <w:sz w:val="22"/>
      <w:szCs w:val="20"/>
    </w:rPr>
  </w:style>
  <w:style w:type="character" w:customStyle="1" w:styleId="282">
    <w:name w:val="Heading 5 Char"/>
    <w:qFormat/>
    <w:uiPriority w:val="0"/>
    <w:rPr>
      <w:rFonts w:eastAsia="宋体"/>
      <w:b/>
      <w:bCs/>
      <w:kern w:val="2"/>
      <w:sz w:val="28"/>
      <w:szCs w:val="28"/>
      <w:lang w:val="en-US" w:eastAsia="zh-CN" w:bidi="ar-SA"/>
    </w:rPr>
  </w:style>
  <w:style w:type="character" w:customStyle="1" w:styleId="283">
    <w:name w:val="批注框文本 Char1"/>
    <w:qFormat/>
    <w:uiPriority w:val="0"/>
    <w:rPr>
      <w:sz w:val="18"/>
      <w:szCs w:val="18"/>
    </w:rPr>
  </w:style>
  <w:style w:type="character" w:customStyle="1" w:styleId="284">
    <w:name w:val="明显强调11"/>
    <w:qFormat/>
    <w:uiPriority w:val="21"/>
    <w:rPr>
      <w:b/>
      <w:bCs/>
      <w:i/>
      <w:iCs/>
      <w:color w:val="4F81BD"/>
    </w:rPr>
  </w:style>
  <w:style w:type="character" w:customStyle="1" w:styleId="285">
    <w:name w:val="正文文本 (31) + CordiaUPC"/>
    <w:qFormat/>
    <w:uiPriority w:val="0"/>
    <w:rPr>
      <w:rFonts w:ascii="CordiaUPC" w:hAnsi="CordiaUPC" w:eastAsia="Times New Roman" w:cs="CordiaUPC"/>
      <w:b/>
      <w:bCs/>
      <w:color w:val="000000"/>
      <w:spacing w:val="0"/>
      <w:w w:val="100"/>
      <w:position w:val="0"/>
      <w:sz w:val="34"/>
      <w:szCs w:val="34"/>
      <w:lang w:val="en-US" w:eastAsia="en-US" w:bidi="ar-SA"/>
    </w:rPr>
  </w:style>
  <w:style w:type="character" w:customStyle="1" w:styleId="286">
    <w:name w:val="正文文本 (19)_"/>
    <w:link w:val="287"/>
    <w:qFormat/>
    <w:uiPriority w:val="0"/>
    <w:rPr>
      <w:rFonts w:ascii="MingLiU" w:hAnsi="MingLiU" w:eastAsia="MingLiU" w:cs="MingLiU"/>
      <w:b/>
      <w:bCs/>
      <w:spacing w:val="10"/>
      <w:sz w:val="22"/>
      <w:shd w:val="clear" w:color="auto" w:fill="FFFFFF"/>
    </w:rPr>
  </w:style>
  <w:style w:type="paragraph" w:customStyle="1" w:styleId="287">
    <w:name w:val="正文文本 (19)"/>
    <w:basedOn w:val="1"/>
    <w:link w:val="286"/>
    <w:qFormat/>
    <w:uiPriority w:val="0"/>
    <w:pPr>
      <w:shd w:val="clear" w:color="auto" w:fill="FFFFFF"/>
      <w:spacing w:line="559" w:lineRule="exact"/>
      <w:jc w:val="left"/>
    </w:pPr>
    <w:rPr>
      <w:rFonts w:ascii="MingLiU" w:hAnsi="MingLiU" w:eastAsia="MingLiU"/>
      <w:b/>
      <w:bCs/>
      <w:spacing w:val="10"/>
      <w:kern w:val="0"/>
      <w:sz w:val="22"/>
      <w:szCs w:val="20"/>
    </w:rPr>
  </w:style>
  <w:style w:type="character" w:customStyle="1" w:styleId="288">
    <w:name w:val="页眉或页脚 + 间距 1 pt1"/>
    <w:qFormat/>
    <w:uiPriority w:val="0"/>
    <w:rPr>
      <w:rFonts w:ascii="MingLiU" w:hAnsi="MingLiU" w:eastAsia="MingLiU" w:cs="MingLiU"/>
      <w:color w:val="000000"/>
      <w:spacing w:val="30"/>
      <w:w w:val="100"/>
      <w:position w:val="0"/>
      <w:sz w:val="20"/>
      <w:szCs w:val="20"/>
      <w:u w:val="none"/>
      <w:lang w:val="zh-CN" w:eastAsia="zh-CN" w:bidi="ar-SA"/>
    </w:rPr>
  </w:style>
  <w:style w:type="character" w:customStyle="1" w:styleId="289">
    <w:name w:val="正文文本缩进 3 Char1"/>
    <w:semiHidden/>
    <w:qFormat/>
    <w:uiPriority w:val="99"/>
    <w:rPr>
      <w:sz w:val="16"/>
      <w:szCs w:val="16"/>
    </w:rPr>
  </w:style>
  <w:style w:type="character" w:customStyle="1" w:styleId="290">
    <w:name w:val="Footer Char"/>
    <w:qFormat/>
    <w:uiPriority w:val="0"/>
    <w:rPr>
      <w:rFonts w:eastAsia="宋体"/>
      <w:kern w:val="2"/>
      <w:sz w:val="18"/>
      <w:szCs w:val="18"/>
      <w:lang w:val="en-US" w:eastAsia="zh-CN" w:bidi="ar-SA"/>
    </w:rPr>
  </w:style>
  <w:style w:type="character" w:customStyle="1" w:styleId="291">
    <w:name w:val="Char Char Char"/>
    <w:qFormat/>
    <w:uiPriority w:val="0"/>
    <w:rPr>
      <w:rFonts w:eastAsia="宋体"/>
      <w:kern w:val="2"/>
      <w:sz w:val="18"/>
      <w:szCs w:val="18"/>
      <w:lang w:val="en-US" w:eastAsia="zh-CN" w:bidi="ar-SA"/>
    </w:rPr>
  </w:style>
  <w:style w:type="character" w:customStyle="1" w:styleId="292">
    <w:name w:val="标题 #7_"/>
    <w:link w:val="293"/>
    <w:qFormat/>
    <w:locked/>
    <w:uiPriority w:val="0"/>
    <w:rPr>
      <w:rFonts w:ascii="MingLiU" w:hAnsi="MingLiU" w:eastAsia="MingLiU"/>
      <w:spacing w:val="30"/>
      <w:sz w:val="26"/>
      <w:szCs w:val="26"/>
      <w:shd w:val="clear" w:color="auto" w:fill="FFFFFF"/>
    </w:rPr>
  </w:style>
  <w:style w:type="paragraph" w:customStyle="1" w:styleId="293">
    <w:name w:val="标题 #7"/>
    <w:basedOn w:val="1"/>
    <w:link w:val="292"/>
    <w:qFormat/>
    <w:uiPriority w:val="0"/>
    <w:pPr>
      <w:shd w:val="clear" w:color="auto" w:fill="FFFFFF"/>
      <w:spacing w:before="540" w:after="540" w:line="240" w:lineRule="atLeast"/>
      <w:jc w:val="center"/>
      <w:outlineLvl w:val="6"/>
    </w:pPr>
    <w:rPr>
      <w:rFonts w:ascii="MingLiU" w:hAnsi="MingLiU" w:eastAsia="MingLiU"/>
      <w:spacing w:val="30"/>
      <w:kern w:val="0"/>
      <w:sz w:val="26"/>
      <w:szCs w:val="26"/>
    </w:rPr>
  </w:style>
  <w:style w:type="character" w:customStyle="1" w:styleId="294">
    <w:name w:val="正文文本 (2) + 间距 0 pt6"/>
    <w:qFormat/>
    <w:uiPriority w:val="0"/>
    <w:rPr>
      <w:rFonts w:ascii="MingLiU" w:hAnsi="MingLiU" w:eastAsia="MingLiU" w:cs="MingLiU"/>
      <w:color w:val="000000"/>
      <w:spacing w:val="0"/>
      <w:w w:val="100"/>
      <w:position w:val="0"/>
      <w:sz w:val="22"/>
      <w:szCs w:val="22"/>
      <w:u w:val="single"/>
      <w:shd w:val="clear" w:color="auto" w:fill="FFFFFF"/>
      <w:lang w:val="zh-CN" w:eastAsia="zh-CN"/>
    </w:rPr>
  </w:style>
  <w:style w:type="character" w:customStyle="1" w:styleId="295">
    <w:name w:val="Char Char21"/>
    <w:qFormat/>
    <w:uiPriority w:val="0"/>
    <w:rPr>
      <w:rFonts w:ascii="Arial" w:hAnsi="Arial" w:eastAsia="黑体" w:cs="Times New Roman"/>
      <w:b/>
      <w:bCs/>
      <w:sz w:val="32"/>
      <w:szCs w:val="32"/>
    </w:rPr>
  </w:style>
  <w:style w:type="character" w:customStyle="1" w:styleId="296">
    <w:name w:val="正文文本 (30) + CordiaUPC"/>
    <w:qFormat/>
    <w:uiPriority w:val="0"/>
    <w:rPr>
      <w:rFonts w:ascii="CordiaUPC" w:hAnsi="CordiaUPC" w:eastAsia="Times New Roman" w:cs="CordiaUPC"/>
      <w:b/>
      <w:bCs/>
      <w:color w:val="000000"/>
      <w:spacing w:val="0"/>
      <w:w w:val="100"/>
      <w:position w:val="0"/>
      <w:sz w:val="34"/>
      <w:szCs w:val="34"/>
      <w:lang w:val="en-US" w:eastAsia="en-US" w:bidi="ar-SA"/>
    </w:rPr>
  </w:style>
  <w:style w:type="character" w:customStyle="1" w:styleId="297">
    <w:name w:val="Heading 2 Char"/>
    <w:qFormat/>
    <w:uiPriority w:val="0"/>
    <w:rPr>
      <w:rFonts w:ascii="Arial" w:hAnsi="Arial" w:eastAsia="黑体"/>
      <w:b/>
      <w:bCs/>
      <w:kern w:val="2"/>
      <w:sz w:val="32"/>
      <w:szCs w:val="32"/>
      <w:lang w:val="en-US" w:eastAsia="zh-CN" w:bidi="ar-SA"/>
    </w:rPr>
  </w:style>
  <w:style w:type="character" w:customStyle="1" w:styleId="298">
    <w:name w:val="明显强调3"/>
    <w:qFormat/>
    <w:uiPriority w:val="0"/>
    <w:rPr>
      <w:b/>
      <w:bCs/>
      <w:i/>
      <w:iCs/>
      <w:color w:val="4F81BD"/>
    </w:rPr>
  </w:style>
  <w:style w:type="character" w:customStyle="1" w:styleId="299">
    <w:name w:val="Title Char"/>
    <w:qFormat/>
    <w:uiPriority w:val="0"/>
    <w:rPr>
      <w:rFonts w:ascii="Cambria" w:hAnsi="Cambria"/>
      <w:b/>
      <w:sz w:val="32"/>
      <w:lang w:bidi="ar-SA"/>
    </w:rPr>
  </w:style>
  <w:style w:type="character" w:customStyle="1" w:styleId="300">
    <w:name w:val="明显引用 Char3"/>
    <w:qFormat/>
    <w:uiPriority w:val="99"/>
    <w:rPr>
      <w:b/>
      <w:bCs/>
      <w:i/>
      <w:iCs/>
      <w:color w:val="4F81BD"/>
      <w:kern w:val="2"/>
      <w:sz w:val="21"/>
      <w:szCs w:val="24"/>
    </w:rPr>
  </w:style>
  <w:style w:type="character" w:customStyle="1" w:styleId="301">
    <w:name w:val="062"/>
    <w:qFormat/>
    <w:uiPriority w:val="0"/>
    <w:rPr>
      <w:rFonts w:ascii="宋体" w:hAnsi="宋体"/>
      <w:b/>
      <w:bCs/>
      <w:sz w:val="32"/>
    </w:rPr>
  </w:style>
  <w:style w:type="character" w:customStyle="1" w:styleId="302">
    <w:name w:val="明显引用 字符"/>
    <w:link w:val="303"/>
    <w:qFormat/>
    <w:uiPriority w:val="0"/>
    <w:rPr>
      <w:b/>
      <w:bCs/>
      <w:i/>
      <w:iCs/>
      <w:color w:val="4F81BD"/>
      <w:szCs w:val="24"/>
    </w:rPr>
  </w:style>
  <w:style w:type="paragraph" w:styleId="303">
    <w:name w:val="Intense Quote"/>
    <w:basedOn w:val="1"/>
    <w:next w:val="1"/>
    <w:link w:val="302"/>
    <w:qFormat/>
    <w:uiPriority w:val="0"/>
    <w:pPr>
      <w:pBdr>
        <w:bottom w:val="single" w:color="4F81BD" w:sz="4" w:space="4"/>
      </w:pBdr>
      <w:spacing w:before="200" w:after="280" w:line="360" w:lineRule="exact"/>
      <w:ind w:left="936" w:right="936" w:firstLine="200" w:firstLineChars="200"/>
    </w:pPr>
    <w:rPr>
      <w:b/>
      <w:bCs/>
      <w:i/>
      <w:iCs/>
      <w:color w:val="4F81BD"/>
      <w:kern w:val="0"/>
      <w:sz w:val="20"/>
    </w:rPr>
  </w:style>
  <w:style w:type="character" w:customStyle="1" w:styleId="304">
    <w:name w:val="标题 3 Char1"/>
    <w:qFormat/>
    <w:uiPriority w:val="0"/>
    <w:rPr>
      <w:b/>
      <w:bCs/>
      <w:kern w:val="2"/>
      <w:sz w:val="32"/>
      <w:szCs w:val="32"/>
    </w:rPr>
  </w:style>
  <w:style w:type="character" w:customStyle="1" w:styleId="305">
    <w:name w:val="正文文本 (30)_"/>
    <w:link w:val="306"/>
    <w:qFormat/>
    <w:locked/>
    <w:uiPriority w:val="0"/>
    <w:rPr>
      <w:shd w:val="clear" w:color="auto" w:fill="FFFFFF"/>
      <w:lang w:eastAsia="en-US"/>
    </w:rPr>
  </w:style>
  <w:style w:type="paragraph" w:customStyle="1" w:styleId="306">
    <w:name w:val="正文文本 (30)"/>
    <w:basedOn w:val="1"/>
    <w:link w:val="305"/>
    <w:qFormat/>
    <w:uiPriority w:val="0"/>
    <w:pPr>
      <w:shd w:val="clear" w:color="auto" w:fill="FFFFFF"/>
      <w:spacing w:before="420" w:line="401" w:lineRule="exact"/>
      <w:ind w:firstLine="500"/>
    </w:pPr>
    <w:rPr>
      <w:kern w:val="0"/>
      <w:sz w:val="20"/>
      <w:szCs w:val="20"/>
      <w:lang w:eastAsia="en-US"/>
    </w:rPr>
  </w:style>
  <w:style w:type="character" w:customStyle="1" w:styleId="307">
    <w:name w:val="正文文本 (2) + Times New Roman"/>
    <w:qFormat/>
    <w:uiPriority w:val="0"/>
    <w:rPr>
      <w:rFonts w:ascii="Times New Roman" w:hAnsi="Times New Roman" w:eastAsia="Times New Roman" w:cs="Times New Roman"/>
      <w:color w:val="000000"/>
      <w:spacing w:val="0"/>
      <w:w w:val="100"/>
      <w:position w:val="0"/>
      <w:sz w:val="24"/>
      <w:szCs w:val="24"/>
      <w:u w:val="none"/>
      <w:shd w:val="clear" w:color="auto" w:fill="FFFFFF"/>
      <w:lang w:val="en-US" w:eastAsia="en-US" w:bidi="en-US"/>
    </w:rPr>
  </w:style>
  <w:style w:type="character" w:customStyle="1" w:styleId="308">
    <w:name w:val="引用 Char3"/>
    <w:qFormat/>
    <w:uiPriority w:val="99"/>
    <w:rPr>
      <w:i/>
      <w:iCs/>
      <w:color w:val="000000"/>
      <w:kern w:val="2"/>
      <w:sz w:val="21"/>
      <w:szCs w:val="24"/>
    </w:rPr>
  </w:style>
  <w:style w:type="character" w:customStyle="1" w:styleId="309">
    <w:name w:val="HTML 预设格式 Char1"/>
    <w:qFormat/>
    <w:uiPriority w:val="99"/>
    <w:rPr>
      <w:rFonts w:ascii="Courier New" w:hAnsi="Courier New" w:cs="Courier New"/>
      <w:kern w:val="2"/>
    </w:rPr>
  </w:style>
  <w:style w:type="character" w:customStyle="1" w:styleId="310">
    <w:name w:val="Comment Text Char"/>
    <w:qFormat/>
    <w:uiPriority w:val="0"/>
    <w:rPr>
      <w:rFonts w:cs="Times New Roman"/>
      <w:sz w:val="24"/>
      <w:szCs w:val="24"/>
    </w:rPr>
  </w:style>
  <w:style w:type="character" w:customStyle="1" w:styleId="311">
    <w:name w:val="Char Char4"/>
    <w:qFormat/>
    <w:uiPriority w:val="0"/>
    <w:rPr>
      <w:b/>
      <w:bCs/>
      <w:kern w:val="2"/>
      <w:sz w:val="21"/>
      <w:szCs w:val="24"/>
      <w:lang w:bidi="ar-SA"/>
    </w:rPr>
  </w:style>
  <w:style w:type="character" w:customStyle="1" w:styleId="312">
    <w:name w:val="Char Char7"/>
    <w:qFormat/>
    <w:uiPriority w:val="0"/>
    <w:rPr>
      <w:rFonts w:eastAsia="宋体"/>
      <w:b/>
      <w:bCs/>
      <w:kern w:val="2"/>
      <w:sz w:val="24"/>
      <w:szCs w:val="32"/>
      <w:lang w:val="en-US" w:eastAsia="zh-CN" w:bidi="ar-SA"/>
    </w:rPr>
  </w:style>
  <w:style w:type="character" w:customStyle="1" w:styleId="313">
    <w:name w:val="标题 #7 (5) + 间距 0 pt"/>
    <w:qFormat/>
    <w:uiPriority w:val="0"/>
    <w:rPr>
      <w:rFonts w:ascii="MingLiU" w:hAnsi="MingLiU" w:eastAsia="MingLiU"/>
      <w:color w:val="000000"/>
      <w:spacing w:val="0"/>
      <w:w w:val="100"/>
      <w:position w:val="0"/>
      <w:sz w:val="30"/>
      <w:szCs w:val="30"/>
      <w:lang w:val="zh-CN" w:eastAsia="zh-CN" w:bidi="ar-SA"/>
    </w:rPr>
  </w:style>
  <w:style w:type="character" w:customStyle="1" w:styleId="314">
    <w:name w:val="标题 #8 (3)_"/>
    <w:link w:val="315"/>
    <w:qFormat/>
    <w:uiPriority w:val="0"/>
    <w:rPr>
      <w:rFonts w:ascii="MingLiU" w:hAnsi="MingLiU" w:eastAsia="MingLiU" w:cs="MingLiU"/>
      <w:shd w:val="clear" w:color="auto" w:fill="FFFFFF"/>
    </w:rPr>
  </w:style>
  <w:style w:type="paragraph" w:customStyle="1" w:styleId="315">
    <w:name w:val="标题 #8 (3)"/>
    <w:basedOn w:val="1"/>
    <w:link w:val="314"/>
    <w:qFormat/>
    <w:uiPriority w:val="0"/>
    <w:pPr>
      <w:shd w:val="clear" w:color="auto" w:fill="FFFFFF"/>
      <w:spacing w:before="300" w:after="420" w:line="0" w:lineRule="atLeast"/>
      <w:jc w:val="distribute"/>
      <w:outlineLvl w:val="7"/>
    </w:pPr>
    <w:rPr>
      <w:rFonts w:ascii="MingLiU" w:hAnsi="MingLiU" w:eastAsia="MingLiU"/>
      <w:kern w:val="0"/>
      <w:sz w:val="20"/>
      <w:szCs w:val="20"/>
    </w:rPr>
  </w:style>
  <w:style w:type="character" w:customStyle="1" w:styleId="316">
    <w:name w:val="Plain Text Char"/>
    <w:qFormat/>
    <w:uiPriority w:val="0"/>
    <w:rPr>
      <w:rFonts w:ascii="宋体" w:hAnsi="Courier New" w:eastAsia="宋体"/>
      <w:sz w:val="24"/>
      <w:lang w:bidi="ar-SA"/>
    </w:rPr>
  </w:style>
  <w:style w:type="character" w:customStyle="1" w:styleId="317">
    <w:name w:val="font5 Char"/>
    <w:qFormat/>
    <w:uiPriority w:val="0"/>
    <w:rPr>
      <w:rFonts w:ascii="宋体" w:hAnsi="宋体" w:eastAsia="宋体"/>
      <w:sz w:val="24"/>
      <w:szCs w:val="24"/>
      <w:lang w:val="en-US" w:eastAsia="zh-CN" w:bidi="ar-SA"/>
    </w:rPr>
  </w:style>
  <w:style w:type="character" w:customStyle="1" w:styleId="318">
    <w:name w:val="Char Char61"/>
    <w:qFormat/>
    <w:uiPriority w:val="0"/>
    <w:rPr>
      <w:rFonts w:eastAsia="宋体"/>
      <w:b/>
      <w:bCs/>
      <w:kern w:val="44"/>
      <w:sz w:val="32"/>
      <w:szCs w:val="44"/>
      <w:lang w:val="en-US" w:eastAsia="zh-CN" w:bidi="ar-SA"/>
    </w:rPr>
  </w:style>
  <w:style w:type="character" w:customStyle="1" w:styleId="319">
    <w:name w:val="明显参考11"/>
    <w:qFormat/>
    <w:uiPriority w:val="32"/>
    <w:rPr>
      <w:b/>
      <w:bCs/>
      <w:smallCaps/>
      <w:color w:val="C0504D"/>
      <w:spacing w:val="5"/>
      <w:u w:val="single"/>
    </w:rPr>
  </w:style>
  <w:style w:type="character" w:customStyle="1" w:styleId="320">
    <w:name w:val="副标题 Char1"/>
    <w:qFormat/>
    <w:uiPriority w:val="11"/>
    <w:rPr>
      <w:rFonts w:ascii="Cambria" w:hAnsi="Cambria" w:eastAsia="宋体" w:cs="Times New Roman"/>
      <w:b/>
      <w:bCs/>
      <w:kern w:val="28"/>
      <w:sz w:val="32"/>
      <w:szCs w:val="32"/>
    </w:rPr>
  </w:style>
  <w:style w:type="character" w:customStyle="1" w:styleId="321">
    <w:name w:val="en"/>
    <w:qFormat/>
    <w:uiPriority w:val="0"/>
  </w:style>
  <w:style w:type="paragraph" w:customStyle="1" w:styleId="322">
    <w:name w:val="_Style 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3">
    <w:name w:val="WPSOffice手动目录 1"/>
    <w:qFormat/>
    <w:uiPriority w:val="0"/>
    <w:rPr>
      <w:rFonts w:ascii="Times New Roman" w:hAnsi="Times New Roman" w:eastAsia="宋体" w:cs="Times New Roman"/>
      <w:lang w:val="en-US" w:eastAsia="zh-CN" w:bidi="ar-SA"/>
    </w:rPr>
  </w:style>
  <w:style w:type="paragraph" w:customStyle="1" w:styleId="324">
    <w:name w:val="正文_3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5">
    <w:name w:val="批注文字_0"/>
    <w:basedOn w:val="326"/>
    <w:unhideWhenUsed/>
    <w:qFormat/>
    <w:uiPriority w:val="0"/>
    <w:pPr>
      <w:jc w:val="left"/>
    </w:pPr>
    <w:rPr>
      <w:rFonts w:ascii="Times New Roman" w:hAnsi="Times New Roman"/>
    </w:rPr>
  </w:style>
  <w:style w:type="paragraph" w:customStyle="1" w:styleId="326">
    <w:name w:val="正文_3"/>
    <w:basedOn w:val="327"/>
    <w:qFormat/>
    <w:uiPriority w:val="0"/>
  </w:style>
  <w:style w:type="paragraph" w:customStyle="1" w:styleId="327">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8">
    <w:name w:val="正文_2_1"/>
    <w:basedOn w:val="329"/>
    <w:qFormat/>
    <w:uiPriority w:val="0"/>
  </w:style>
  <w:style w:type="paragraph" w:customStyle="1" w:styleId="329">
    <w:name w:val="正文_2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0">
    <w:name w:val="正文_2_0_0"/>
    <w:basedOn w:val="328"/>
    <w:qFormat/>
    <w:uiPriority w:val="0"/>
  </w:style>
  <w:style w:type="paragraph" w:customStyle="1" w:styleId="331">
    <w:name w:val="标题 3_0"/>
    <w:basedOn w:val="266"/>
    <w:next w:val="332"/>
    <w:qFormat/>
    <w:uiPriority w:val="99"/>
    <w:pPr>
      <w:keepNext/>
      <w:keepLines/>
      <w:spacing w:line="360" w:lineRule="auto"/>
      <w:outlineLvl w:val="2"/>
    </w:pPr>
    <w:rPr>
      <w:rFonts w:eastAsia="黑体"/>
      <w:b/>
      <w:bCs/>
      <w:szCs w:val="32"/>
    </w:rPr>
  </w:style>
  <w:style w:type="paragraph" w:customStyle="1" w:styleId="332">
    <w:name w:val="正文_2_0"/>
    <w:basedOn w:val="326"/>
    <w:qFormat/>
    <w:uiPriority w:val="0"/>
  </w:style>
  <w:style w:type="paragraph" w:customStyle="1" w:styleId="333">
    <w:name w:val="标题 2_1"/>
    <w:basedOn w:val="332"/>
    <w:next w:val="332"/>
    <w:semiHidden/>
    <w:qFormat/>
    <w:uiPriority w:val="0"/>
    <w:pPr>
      <w:keepNext/>
      <w:keepLines/>
      <w:spacing w:before="260" w:after="260" w:line="415" w:lineRule="auto"/>
      <w:outlineLvl w:val="1"/>
    </w:pPr>
    <w:rPr>
      <w:rFonts w:ascii="Cambria" w:hAnsi="Cambria"/>
      <w:b/>
      <w:bCs/>
      <w:sz w:val="32"/>
      <w:szCs w:val="32"/>
    </w:rPr>
  </w:style>
  <w:style w:type="paragraph" w:customStyle="1" w:styleId="334">
    <w:name w:val="标题 4_0"/>
    <w:basedOn w:val="266"/>
    <w:next w:val="266"/>
    <w:qFormat/>
    <w:uiPriority w:val="0"/>
    <w:pPr>
      <w:keepNext/>
      <w:keepLines/>
      <w:spacing w:line="360" w:lineRule="auto"/>
      <w:outlineLvl w:val="3"/>
    </w:pPr>
    <w:rPr>
      <w:rFonts w:ascii="Arial" w:hAnsi="Arial"/>
      <w:b/>
      <w:bCs/>
      <w:szCs w:val="28"/>
    </w:rPr>
  </w:style>
  <w:style w:type="paragraph" w:customStyle="1" w:styleId="335">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6">
    <w:name w:val="正文文本_0"/>
    <w:basedOn w:val="335"/>
    <w:unhideWhenUsed/>
    <w:qFormat/>
    <w:uiPriority w:val="99"/>
    <w:pPr>
      <w:adjustRightInd w:val="0"/>
      <w:spacing w:after="60" w:line="360" w:lineRule="atLeast"/>
      <w:ind w:left="72" w:leftChars="30" w:right="30" w:rightChars="30"/>
      <w:jc w:val="center"/>
    </w:pPr>
    <w:rPr>
      <w:rFonts w:ascii="Calibri" w:hAnsi="Calibri"/>
      <w:kern w:val="0"/>
      <w:sz w:val="20"/>
      <w:szCs w:val="20"/>
      <w:lang w:val="zh-CN"/>
    </w:rPr>
  </w:style>
  <w:style w:type="paragraph" w:customStyle="1" w:styleId="337">
    <w:name w:val="正文_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338">
    <w:name w:val="正文2"/>
    <w:basedOn w:val="1"/>
    <w:qFormat/>
    <w:uiPriority w:val="0"/>
    <w:pPr>
      <w:adjustRightInd w:val="0"/>
      <w:spacing w:before="156" w:line="360" w:lineRule="auto"/>
      <w:ind w:firstLine="510" w:firstLineChars="200"/>
    </w:pPr>
    <w:rPr>
      <w:kern w:val="0"/>
      <w:sz w:val="24"/>
      <w:szCs w:val="20"/>
    </w:rPr>
  </w:style>
  <w:style w:type="paragraph" w:customStyle="1" w:styleId="339">
    <w:name w:val="正文呀_1"/>
    <w:basedOn w:val="335"/>
    <w:qFormat/>
    <w:uiPriority w:val="0"/>
    <w:pPr>
      <w:spacing w:line="420" w:lineRule="exact"/>
      <w:ind w:firstLine="420" w:firstLineChars="200"/>
    </w:pPr>
    <w:rPr>
      <w:rFonts w:ascii="宋体" w:hAnsi="宋体"/>
      <w:kern w:val="0"/>
      <w:sz w:val="20"/>
      <w:szCs w:val="21"/>
      <w:lang w:val="zh-CN"/>
    </w:rPr>
  </w:style>
  <w:style w:type="paragraph" w:customStyle="1" w:styleId="340">
    <w:name w:val="正文呀2_1"/>
    <w:basedOn w:val="339"/>
    <w:qFormat/>
    <w:uiPriority w:val="0"/>
    <w:rPr>
      <w:rFonts w:ascii="Times New Roman" w:hAnsi="Times New Roman"/>
      <w:kern w:val="2"/>
      <w:sz w:val="21"/>
      <w:lang w:val="en-US"/>
    </w:rPr>
  </w:style>
  <w:style w:type="paragraph" w:customStyle="1" w:styleId="341">
    <w:name w:val="正文_1_0"/>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342">
    <w:name w:val="ggbody"/>
    <w:basedOn w:val="1"/>
    <w:qFormat/>
    <w:uiPriority w:val="0"/>
    <w:pPr>
      <w:widowControl/>
      <w:spacing w:before="100" w:beforeAutospacing="1" w:after="100" w:afterAutospacing="1" w:line="400" w:lineRule="atLeast"/>
      <w:jc w:val="left"/>
    </w:pPr>
    <w:rPr>
      <w:rFonts w:ascii="_x000B__x000C_" w:hAnsi="_x000B__x000C_"/>
      <w:color w:val="000000"/>
      <w:kern w:val="0"/>
      <w:szCs w:val="21"/>
    </w:rPr>
  </w:style>
  <w:style w:type="paragraph" w:customStyle="1" w:styleId="343">
    <w:name w:val="表"/>
    <w:basedOn w:val="1"/>
    <w:qFormat/>
    <w:uiPriority w:val="0"/>
    <w:pPr>
      <w:spacing w:line="300" w:lineRule="auto"/>
    </w:pPr>
    <w:rPr>
      <w:color w:val="000000"/>
      <w:szCs w:val="21"/>
    </w:rPr>
  </w:style>
  <w:style w:type="paragraph" w:customStyle="1" w:styleId="344">
    <w:name w:val="样式 标题 4 + 小四 首行缩进:  2 字符"/>
    <w:basedOn w:val="5"/>
    <w:next w:val="6"/>
    <w:qFormat/>
    <w:uiPriority w:val="0"/>
    <w:pPr>
      <w:widowControl w:val="0"/>
      <w:spacing w:before="120" w:after="120" w:line="360" w:lineRule="exact"/>
      <w:ind w:firstLine="482"/>
    </w:pPr>
    <w:rPr>
      <w:rFonts w:ascii="Cambria" w:hAnsi="Cambria" w:eastAsia="黑体" w:cs="宋体"/>
      <w:iCs w:val="0"/>
      <w:sz w:val="24"/>
    </w:rPr>
  </w:style>
  <w:style w:type="paragraph" w:customStyle="1" w:styleId="345">
    <w:name w:val="xl34"/>
    <w:basedOn w:val="1"/>
    <w:qFormat/>
    <w:uiPriority w:val="0"/>
    <w:pPr>
      <w:widowControl/>
      <w:pBdr>
        <w:left w:val="single" w:color="auto" w:sz="4" w:space="0"/>
        <w:right w:val="single" w:color="auto" w:sz="4" w:space="0"/>
      </w:pBdr>
      <w:spacing w:before="100" w:after="100"/>
      <w:jc w:val="center"/>
    </w:pPr>
    <w:rPr>
      <w:rFonts w:ascii="宋体" w:hAnsi="宋体"/>
      <w:kern w:val="0"/>
      <w:sz w:val="24"/>
      <w:szCs w:val="20"/>
    </w:rPr>
  </w:style>
  <w:style w:type="paragraph" w:customStyle="1" w:styleId="346">
    <w:name w:val="flNote"/>
    <w:basedOn w:val="1"/>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347">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48">
    <w:name w:val="font7"/>
    <w:basedOn w:val="1"/>
    <w:qFormat/>
    <w:uiPriority w:val="0"/>
    <w:pPr>
      <w:widowControl/>
      <w:spacing w:before="100" w:beforeAutospacing="1" w:after="100" w:afterAutospacing="1"/>
      <w:jc w:val="left"/>
    </w:pPr>
    <w:rPr>
      <w:rFonts w:hint="eastAsia" w:ascii="宋体" w:hAnsi="宋体"/>
      <w:kern w:val="0"/>
      <w:sz w:val="28"/>
      <w:szCs w:val="28"/>
    </w:rPr>
  </w:style>
  <w:style w:type="paragraph" w:customStyle="1" w:styleId="349">
    <w:name w:val="菲页(卷)"/>
    <w:basedOn w:val="2"/>
    <w:next w:val="350"/>
    <w:qFormat/>
    <w:uiPriority w:val="0"/>
    <w:pPr>
      <w:keepLines w:val="0"/>
      <w:pageBreakBefore/>
      <w:widowControl/>
      <w:tabs>
        <w:tab w:val="left" w:pos="0"/>
      </w:tabs>
      <w:spacing w:before="0" w:after="0" w:line="240" w:lineRule="auto"/>
      <w:jc w:val="center"/>
      <w:outlineLvl w:val="1"/>
    </w:pPr>
    <w:rPr>
      <w:rFonts w:ascii="黑体" w:eastAsia="黑体"/>
      <w:bCs w:val="0"/>
      <w:kern w:val="0"/>
      <w:sz w:val="32"/>
      <w:szCs w:val="20"/>
    </w:rPr>
  </w:style>
  <w:style w:type="paragraph" w:customStyle="1" w:styleId="350">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51">
    <w:name w:val="2 Char Char Char Char Char Char Char Char Char Char Char Char1 Char"/>
    <w:basedOn w:val="1"/>
    <w:qFormat/>
    <w:uiPriority w:val="0"/>
    <w:pPr>
      <w:spacing w:line="360" w:lineRule="auto"/>
      <w:ind w:firstLine="200" w:firstLineChars="200"/>
    </w:pPr>
  </w:style>
  <w:style w:type="paragraph" w:customStyle="1" w:styleId="352">
    <w:name w:val="文件标题"/>
    <w:basedOn w:val="1"/>
    <w:qFormat/>
    <w:uiPriority w:val="0"/>
    <w:pPr>
      <w:jc w:val="center"/>
    </w:pPr>
    <w:rPr>
      <w:b/>
      <w:sz w:val="36"/>
      <w:szCs w:val="20"/>
    </w:rPr>
  </w:style>
  <w:style w:type="paragraph" w:customStyle="1" w:styleId="353">
    <w:name w:val="TOC 标题1"/>
    <w:basedOn w:val="2"/>
    <w:next w:val="1"/>
    <w:unhideWhenUsed/>
    <w:qFormat/>
    <w:uiPriority w:val="39"/>
    <w:pPr>
      <w:widowControl/>
      <w:spacing w:before="480" w:after="0" w:line="276" w:lineRule="auto"/>
      <w:jc w:val="left"/>
      <w:outlineLvl w:val="9"/>
    </w:pPr>
    <w:rPr>
      <w:rFonts w:ascii="Cambria" w:hAnsi="Cambria"/>
      <w:color w:val="366091"/>
      <w:kern w:val="0"/>
      <w:sz w:val="28"/>
      <w:szCs w:val="28"/>
    </w:rPr>
  </w:style>
  <w:style w:type="paragraph" w:customStyle="1" w:styleId="354">
    <w:name w:val="样式 样式 标题 3 + (中文) 黑体 小四 非加粗 段前: 7.8 磅 段后: 0 磅 行距: 固定值 20 磅 + 黑色..."/>
    <w:basedOn w:val="355"/>
    <w:next w:val="124"/>
    <w:qFormat/>
    <w:uiPriority w:val="0"/>
    <w:pPr>
      <w:ind w:firstLine="480"/>
    </w:pPr>
    <w:rPr>
      <w:color w:val="000000"/>
    </w:rPr>
  </w:style>
  <w:style w:type="paragraph" w:customStyle="1" w:styleId="355">
    <w:name w:val="样式 标题 3 + (中文) 黑体 小四 非加粗 段前: 7.8 磅 段后: 0 磅 行距: 固定值 20 磅"/>
    <w:basedOn w:val="4"/>
    <w:qFormat/>
    <w:uiPriority w:val="0"/>
    <w:pPr>
      <w:widowControl w:val="0"/>
      <w:spacing w:before="0" w:after="0" w:line="400" w:lineRule="exact"/>
    </w:pPr>
    <w:rPr>
      <w:rFonts w:ascii="黑体" w:eastAsia="黑体" w:cs="宋体"/>
      <w:b w:val="0"/>
      <w:bCs w:val="0"/>
      <w:szCs w:val="20"/>
    </w:rPr>
  </w:style>
  <w:style w:type="paragraph" w:customStyle="1" w:styleId="356">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357">
    <w:name w:val="样式 4 + 居中 段前: 0 磅 段后: 0 磅 行距: 单倍行距"/>
    <w:basedOn w:val="124"/>
    <w:next w:val="5"/>
    <w:qFormat/>
    <w:uiPriority w:val="0"/>
    <w:pPr>
      <w:spacing w:before="0" w:after="0" w:line="240" w:lineRule="auto"/>
      <w:jc w:val="center"/>
    </w:pPr>
    <w:rPr>
      <w:rFonts w:cs="宋体"/>
      <w:szCs w:val="20"/>
    </w:rPr>
  </w:style>
  <w:style w:type="paragraph" w:customStyle="1" w:styleId="358">
    <w:name w:val="Char1"/>
    <w:basedOn w:val="1"/>
    <w:qFormat/>
    <w:uiPriority w:val="0"/>
    <w:rPr>
      <w:rFonts w:ascii="仿宋_GB2312" w:eastAsia="仿宋_GB2312"/>
      <w:b/>
      <w:sz w:val="32"/>
      <w:szCs w:val="32"/>
    </w:rPr>
  </w:style>
  <w:style w:type="paragraph" w:customStyle="1" w:styleId="359">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 w:val="24"/>
    </w:rPr>
  </w:style>
  <w:style w:type="paragraph" w:customStyle="1" w:styleId="360">
    <w:name w:val="样式 标题 4 + 黑色 首行缩进:  2 字符"/>
    <w:basedOn w:val="6"/>
    <w:next w:val="6"/>
    <w:qFormat/>
    <w:uiPriority w:val="0"/>
    <w:pPr>
      <w:spacing w:beforeLines="50" w:afterLines="50" w:line="240" w:lineRule="auto"/>
      <w:ind w:firstLine="562" w:firstLineChars="200"/>
    </w:pPr>
    <w:rPr>
      <w:rFonts w:cs="宋体"/>
      <w:color w:val="000000"/>
      <w:szCs w:val="20"/>
    </w:rPr>
  </w:style>
  <w:style w:type="paragraph" w:customStyle="1" w:styleId="361">
    <w:name w:val="Char1 Char Char Char Char Char Char1"/>
    <w:basedOn w:val="1"/>
    <w:qFormat/>
    <w:uiPriority w:val="0"/>
    <w:rPr>
      <w:rFonts w:ascii="Tahoma" w:hAnsi="Tahoma"/>
      <w:sz w:val="24"/>
      <w:szCs w:val="20"/>
    </w:rPr>
  </w:style>
  <w:style w:type="paragraph" w:customStyle="1" w:styleId="362">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63">
    <w:name w:val="表头"/>
    <w:basedOn w:val="1"/>
    <w:qFormat/>
    <w:uiPriority w:val="0"/>
    <w:pPr>
      <w:adjustRightInd w:val="0"/>
      <w:spacing w:line="420" w:lineRule="atLeast"/>
      <w:ind w:firstLine="200" w:firstLineChars="200"/>
      <w:jc w:val="center"/>
      <w:textAlignment w:val="baseline"/>
    </w:pPr>
    <w:rPr>
      <w:rFonts w:ascii="黑体" w:eastAsia="黑体"/>
      <w:kern w:val="0"/>
      <w:szCs w:val="20"/>
    </w:rPr>
  </w:style>
  <w:style w:type="paragraph" w:customStyle="1" w:styleId="364">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65">
    <w:name w:val="_Style 37"/>
    <w:basedOn w:val="1"/>
    <w:next w:val="1"/>
    <w:qFormat/>
    <w:uiPriority w:val="0"/>
  </w:style>
  <w:style w:type="paragraph" w:customStyle="1" w:styleId="366">
    <w:name w:val="正文呀2_0"/>
    <w:basedOn w:val="367"/>
    <w:qFormat/>
    <w:uiPriority w:val="0"/>
    <w:rPr>
      <w:rFonts w:ascii="Times New Roman" w:hAnsi="Times New Roman"/>
    </w:rPr>
  </w:style>
  <w:style w:type="paragraph" w:customStyle="1" w:styleId="367">
    <w:name w:val="正文呀_0"/>
    <w:basedOn w:val="341"/>
    <w:qFormat/>
    <w:uiPriority w:val="0"/>
    <w:pPr>
      <w:spacing w:line="420" w:lineRule="exact"/>
      <w:ind w:firstLine="420" w:firstLineChars="200"/>
    </w:pPr>
    <w:rPr>
      <w:rFonts w:ascii="宋体" w:hAnsi="宋体"/>
      <w:szCs w:val="21"/>
    </w:rPr>
  </w:style>
  <w:style w:type="paragraph" w:customStyle="1" w:styleId="368">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69">
    <w:name w:val="默认段落字体 Para Char Char Char Char Char Char Char Char Char Char"/>
    <w:basedOn w:val="1"/>
    <w:qFormat/>
    <w:uiPriority w:val="0"/>
    <w:rPr>
      <w:rFonts w:ascii="Tahoma" w:hAnsi="Tahoma"/>
      <w:sz w:val="24"/>
      <w:u w:val="single"/>
    </w:rPr>
  </w:style>
  <w:style w:type="paragraph" w:customStyle="1" w:styleId="370">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4"/>
    </w:rPr>
  </w:style>
  <w:style w:type="paragraph" w:customStyle="1" w:styleId="371">
    <w:name w:val="空半行"/>
    <w:basedOn w:val="1"/>
    <w:qFormat/>
    <w:uiPriority w:val="0"/>
    <w:pPr>
      <w:adjustRightInd w:val="0"/>
      <w:spacing w:line="120" w:lineRule="exact"/>
      <w:textAlignment w:val="baseline"/>
    </w:pPr>
    <w:rPr>
      <w:rFonts w:eastAsia="仿宋_GB2312"/>
      <w:color w:val="FFFFFF"/>
      <w:kern w:val="0"/>
      <w:sz w:val="30"/>
      <w:szCs w:val="20"/>
    </w:rPr>
  </w:style>
  <w:style w:type="paragraph" w:customStyle="1" w:styleId="372">
    <w:name w:val="样式 4 + 居中 段前: 0 磅 段后: 0 磅 行距: 单倍行距1"/>
    <w:basedOn w:val="124"/>
    <w:next w:val="5"/>
    <w:qFormat/>
    <w:uiPriority w:val="0"/>
    <w:pPr>
      <w:spacing w:before="0" w:after="0" w:line="240" w:lineRule="auto"/>
      <w:jc w:val="center"/>
    </w:pPr>
    <w:rPr>
      <w:rFonts w:cs="宋体"/>
      <w:szCs w:val="20"/>
    </w:rPr>
  </w:style>
  <w:style w:type="paragraph" w:customStyle="1" w:styleId="373">
    <w:name w:val="纯文本1"/>
    <w:basedOn w:val="1"/>
    <w:qFormat/>
    <w:uiPriority w:val="0"/>
    <w:pPr>
      <w:adjustRightInd w:val="0"/>
      <w:jc w:val="left"/>
      <w:textAlignment w:val="baseline"/>
    </w:pPr>
    <w:rPr>
      <w:rFonts w:ascii="宋体" w:hAnsi="Courier New"/>
      <w:szCs w:val="20"/>
    </w:rPr>
  </w:style>
  <w:style w:type="paragraph" w:customStyle="1" w:styleId="374">
    <w:name w:val="样式 行距: 固定值 25 磅"/>
    <w:basedOn w:val="1"/>
    <w:qFormat/>
    <w:uiPriority w:val="0"/>
    <w:pPr>
      <w:spacing w:line="500" w:lineRule="exact"/>
    </w:pPr>
    <w:rPr>
      <w:rFonts w:cs="宋体"/>
      <w:sz w:val="28"/>
      <w:szCs w:val="20"/>
    </w:rPr>
  </w:style>
  <w:style w:type="paragraph" w:customStyle="1" w:styleId="375">
    <w:name w:val="font1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376">
    <w:name w:val="6'"/>
    <w:basedOn w:val="1"/>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377">
    <w:name w:val="(a)正文"/>
    <w:basedOn w:val="1"/>
    <w:qFormat/>
    <w:uiPriority w:val="0"/>
    <w:pPr>
      <w:widowControl/>
      <w:tabs>
        <w:tab w:val="left" w:pos="1871"/>
      </w:tabs>
      <w:spacing w:line="360" w:lineRule="exact"/>
    </w:pPr>
    <w:rPr>
      <w:szCs w:val="20"/>
    </w:rPr>
  </w:style>
  <w:style w:type="paragraph" w:customStyle="1" w:styleId="378">
    <w:name w:val="样式 样式 4 + 宋体 小三 黑色 + 左侧:  2 字符 首行缩进:  2 字符"/>
    <w:basedOn w:val="379"/>
    <w:next w:val="5"/>
    <w:qFormat/>
    <w:uiPriority w:val="0"/>
    <w:pPr>
      <w:ind w:left="420" w:firstLine="602"/>
    </w:pPr>
    <w:rPr>
      <w:rFonts w:cs="宋体"/>
      <w:szCs w:val="20"/>
    </w:rPr>
  </w:style>
  <w:style w:type="paragraph" w:customStyle="1" w:styleId="379">
    <w:name w:val="样式 4 + 宋体 小三 黑色"/>
    <w:basedOn w:val="124"/>
    <w:next w:val="5"/>
    <w:qFormat/>
    <w:uiPriority w:val="0"/>
    <w:rPr>
      <w:rFonts w:ascii="宋体" w:hAnsi="宋体"/>
      <w:color w:val="000000"/>
      <w:sz w:val="30"/>
    </w:rPr>
  </w:style>
  <w:style w:type="paragraph" w:customStyle="1" w:styleId="380">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81">
    <w:name w:val="_Style 26"/>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82">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38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384">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385">
    <w:name w:val="正文文本 21"/>
    <w:basedOn w:val="1"/>
    <w:qFormat/>
    <w:uiPriority w:val="0"/>
    <w:pPr>
      <w:adjustRightInd w:val="0"/>
      <w:spacing w:line="460" w:lineRule="exact"/>
      <w:ind w:firstLine="635"/>
      <w:jc w:val="left"/>
      <w:textAlignment w:val="baseline"/>
    </w:pPr>
    <w:rPr>
      <w:sz w:val="28"/>
      <w:szCs w:val="20"/>
    </w:rPr>
  </w:style>
  <w:style w:type="paragraph" w:customStyle="1" w:styleId="386">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87">
    <w:name w:val="样式 3 + 首行缩进:  0.31 厘米"/>
    <w:basedOn w:val="388"/>
    <w:next w:val="4"/>
    <w:qFormat/>
    <w:uiPriority w:val="0"/>
    <w:pPr>
      <w:ind w:firstLine="175"/>
    </w:pPr>
    <w:rPr>
      <w:rFonts w:cs="宋体"/>
      <w:szCs w:val="20"/>
    </w:rPr>
  </w:style>
  <w:style w:type="paragraph" w:customStyle="1" w:styleId="388">
    <w:name w:val="3"/>
    <w:basedOn w:val="4"/>
    <w:next w:val="4"/>
    <w:qFormat/>
    <w:uiPriority w:val="0"/>
    <w:pPr>
      <w:widowControl w:val="0"/>
      <w:spacing w:before="0" w:after="0" w:line="415" w:lineRule="auto"/>
    </w:pPr>
    <w:rPr>
      <w:rFonts w:ascii="黑体" w:eastAsia="黑体"/>
      <w:sz w:val="28"/>
      <w:szCs w:val="28"/>
    </w:rPr>
  </w:style>
  <w:style w:type="paragraph" w:customStyle="1" w:styleId="389">
    <w:name w:val="a"/>
    <w:basedOn w:val="390"/>
    <w:qFormat/>
    <w:uiPriority w:val="0"/>
    <w:pPr>
      <w:ind w:left="360" w:hanging="360"/>
    </w:pPr>
    <w:rPr>
      <w:rFonts w:ascii="楷体" w:eastAsia="楷体"/>
      <w:sz w:val="24"/>
    </w:rPr>
  </w:style>
  <w:style w:type="paragraph" w:customStyle="1" w:styleId="390">
    <w:name w:val="1.1"/>
    <w:basedOn w:val="1"/>
    <w:qFormat/>
    <w:uiPriority w:val="0"/>
    <w:pPr>
      <w:widowControl/>
      <w:overflowPunct w:val="0"/>
      <w:autoSpaceDE w:val="0"/>
      <w:autoSpaceDN w:val="0"/>
      <w:adjustRightInd w:val="0"/>
      <w:jc w:val="left"/>
      <w:textAlignment w:val="baseline"/>
    </w:pPr>
    <w:rPr>
      <w:rFonts w:ascii="黑体" w:eastAsia="黑体"/>
      <w:b/>
      <w:spacing w:val="-20"/>
      <w:kern w:val="28"/>
      <w:position w:val="-6"/>
      <w:sz w:val="28"/>
      <w:szCs w:val="20"/>
    </w:rPr>
  </w:style>
  <w:style w:type="paragraph" w:customStyle="1" w:styleId="391">
    <w:name w:val="样式 3 + 三号"/>
    <w:basedOn w:val="388"/>
    <w:next w:val="4"/>
    <w:qFormat/>
    <w:uiPriority w:val="0"/>
    <w:rPr>
      <w:sz w:val="32"/>
    </w:rPr>
  </w:style>
  <w:style w:type="paragraph" w:customStyle="1" w:styleId="392">
    <w:name w:val="_Style 21"/>
    <w:basedOn w:val="1"/>
    <w:next w:val="21"/>
    <w:qFormat/>
    <w:uiPriority w:val="0"/>
    <w:pPr>
      <w:spacing w:line="200" w:lineRule="exact"/>
      <w:ind w:firstLine="301"/>
    </w:pPr>
    <w:rPr>
      <w:rFonts w:ascii="宋体" w:hAnsi="Courier New"/>
      <w:spacing w:val="-4"/>
      <w:sz w:val="18"/>
      <w:szCs w:val="20"/>
    </w:rPr>
  </w:style>
  <w:style w:type="paragraph" w:customStyle="1" w:styleId="393">
    <w:name w:val="样式 标题 1 + 黑体 三号 非加粗 居中 段前: 6 磅 段后: 6 磅 行距: 固定值 20 磅"/>
    <w:basedOn w:val="2"/>
    <w:qFormat/>
    <w:uiPriority w:val="0"/>
    <w:pPr>
      <w:spacing w:before="120" w:after="120" w:line="400" w:lineRule="exact"/>
      <w:jc w:val="center"/>
    </w:pPr>
    <w:rPr>
      <w:rFonts w:ascii="黑体" w:hAnsi="黑体" w:eastAsia="黑体" w:cs="宋体"/>
      <w:b w:val="0"/>
      <w:bCs w:val="0"/>
      <w:sz w:val="32"/>
      <w:szCs w:val="20"/>
    </w:rPr>
  </w:style>
  <w:style w:type="paragraph" w:customStyle="1" w:styleId="394">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kern w:val="0"/>
      <w:sz w:val="24"/>
    </w:rPr>
  </w:style>
  <w:style w:type="paragraph" w:customStyle="1" w:styleId="395">
    <w:name w:val="Char Char Char Char Char Char Char1"/>
    <w:basedOn w:val="1"/>
    <w:qFormat/>
    <w:uiPriority w:val="0"/>
    <w:pPr>
      <w:widowControl/>
      <w:spacing w:after="160" w:line="240" w:lineRule="exact"/>
      <w:ind w:firstLine="200" w:firstLineChars="200"/>
      <w:jc w:val="left"/>
    </w:pPr>
    <w:rPr>
      <w:rFonts w:ascii="Arial" w:hAnsi="Arial" w:eastAsia="Times New Roman" w:cs="Verdana"/>
      <w:b/>
      <w:spacing w:val="2"/>
      <w:kern w:val="0"/>
      <w:sz w:val="24"/>
      <w:lang w:eastAsia="en-US"/>
    </w:rPr>
  </w:style>
  <w:style w:type="paragraph" w:customStyle="1" w:styleId="396">
    <w:name w:val="font8"/>
    <w:basedOn w:val="1"/>
    <w:qFormat/>
    <w:uiPriority w:val="0"/>
    <w:pPr>
      <w:widowControl/>
      <w:spacing w:before="100" w:beforeAutospacing="1" w:after="100" w:afterAutospacing="1"/>
      <w:jc w:val="left"/>
    </w:pPr>
    <w:rPr>
      <w:rFonts w:hint="eastAsia" w:ascii="宋体" w:hAnsi="宋体"/>
      <w:kern w:val="0"/>
      <w:sz w:val="40"/>
      <w:szCs w:val="40"/>
    </w:rPr>
  </w:style>
  <w:style w:type="paragraph" w:customStyle="1" w:styleId="397">
    <w:name w:val="修订1"/>
    <w:qFormat/>
    <w:uiPriority w:val="0"/>
    <w:rPr>
      <w:rFonts w:ascii="Times New Roman" w:hAnsi="Times New Roman" w:eastAsia="宋体" w:cs="Times New Roman"/>
      <w:sz w:val="21"/>
      <w:lang w:val="en-US" w:eastAsia="zh-CN" w:bidi="ar-SA"/>
    </w:rPr>
  </w:style>
  <w:style w:type="paragraph" w:customStyle="1" w:styleId="398">
    <w:name w:val="样式 宋体 小四 加粗 黑色 居中 左侧:  2 字符 首行缩进:  2 字符"/>
    <w:basedOn w:val="1"/>
    <w:next w:val="6"/>
    <w:qFormat/>
    <w:uiPriority w:val="0"/>
    <w:pPr>
      <w:spacing w:line="360" w:lineRule="exact"/>
      <w:ind w:left="420" w:firstLine="482" w:firstLineChars="200"/>
      <w:jc w:val="center"/>
    </w:pPr>
    <w:rPr>
      <w:rFonts w:ascii="宋体" w:hAnsi="宋体" w:cs="宋体"/>
      <w:b/>
      <w:bCs/>
      <w:color w:val="000000"/>
      <w:sz w:val="24"/>
      <w:szCs w:val="20"/>
    </w:rPr>
  </w:style>
  <w:style w:type="paragraph" w:customStyle="1" w:styleId="399">
    <w:name w:val="1"/>
    <w:basedOn w:val="3"/>
    <w:next w:val="28"/>
    <w:qFormat/>
    <w:uiPriority w:val="0"/>
    <w:pPr>
      <w:spacing w:before="360" w:after="360" w:line="360" w:lineRule="exact"/>
      <w:jc w:val="center"/>
    </w:pPr>
    <w:rPr>
      <w:rFonts w:eastAsia="黑体"/>
      <w:sz w:val="72"/>
    </w:rPr>
  </w:style>
  <w:style w:type="paragraph" w:customStyle="1" w:styleId="400">
    <w:name w:val="(i)正文"/>
    <w:basedOn w:val="1"/>
    <w:qFormat/>
    <w:uiPriority w:val="0"/>
    <w:pPr>
      <w:widowControl/>
      <w:tabs>
        <w:tab w:val="left" w:pos="0"/>
        <w:tab w:val="left" w:pos="2381"/>
      </w:tabs>
      <w:spacing w:line="360" w:lineRule="exact"/>
    </w:pPr>
    <w:rPr>
      <w:szCs w:val="20"/>
    </w:rPr>
  </w:style>
  <w:style w:type="paragraph" w:customStyle="1" w:styleId="401">
    <w:name w:val="section编号"/>
    <w:basedOn w:val="1"/>
    <w:qFormat/>
    <w:uiPriority w:val="0"/>
    <w:pPr>
      <w:widowControl/>
      <w:tabs>
        <w:tab w:val="left" w:pos="0"/>
        <w:tab w:val="left" w:pos="1260"/>
      </w:tabs>
      <w:spacing w:before="200" w:after="160" w:line="420" w:lineRule="exact"/>
      <w:jc w:val="center"/>
    </w:pPr>
    <w:rPr>
      <w:rFonts w:ascii="Arial" w:hAnsi="Arial" w:eastAsia="黑体"/>
      <w:spacing w:val="40"/>
      <w:sz w:val="28"/>
      <w:szCs w:val="20"/>
    </w:rPr>
  </w:style>
  <w:style w:type="paragraph" w:customStyle="1" w:styleId="402">
    <w:name w:val="TOC 标题2"/>
    <w:basedOn w:val="2"/>
    <w:next w:val="1"/>
    <w:qFormat/>
    <w:uiPriority w:val="39"/>
    <w:pPr>
      <w:spacing w:beforeLines="50" w:afterLines="50" w:line="240" w:lineRule="auto"/>
      <w:jc w:val="center"/>
      <w:outlineLvl w:val="9"/>
    </w:pPr>
    <w:rPr>
      <w:rFonts w:eastAsia="黑体"/>
      <w:spacing w:val="200"/>
      <w:sz w:val="72"/>
    </w:rPr>
  </w:style>
  <w:style w:type="paragraph" w:customStyle="1" w:styleId="403">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rPr>
  </w:style>
  <w:style w:type="paragraph" w:customStyle="1" w:styleId="404">
    <w:name w:val="Default Paragraph Font Para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405">
    <w:name w:val="Char Char Char 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406">
    <w:name w:val="text"/>
    <w:basedOn w:val="1"/>
    <w:qFormat/>
    <w:uiPriority w:val="0"/>
    <w:pPr>
      <w:overflowPunct w:val="0"/>
      <w:autoSpaceDE w:val="0"/>
      <w:autoSpaceDN w:val="0"/>
      <w:adjustRightInd w:val="0"/>
      <w:spacing w:before="120" w:after="120"/>
      <w:ind w:left="864"/>
      <w:textAlignment w:val="baseline"/>
    </w:pPr>
    <w:rPr>
      <w:rFonts w:ascii="宋体"/>
      <w:spacing w:val="-14"/>
      <w:kern w:val="0"/>
      <w:sz w:val="24"/>
    </w:rPr>
  </w:style>
  <w:style w:type="paragraph" w:customStyle="1" w:styleId="407">
    <w:name w:val="样式 4 + 黑色 段前: 0 磅 段后: 0 磅 行距: 单倍行距"/>
    <w:basedOn w:val="124"/>
    <w:next w:val="5"/>
    <w:qFormat/>
    <w:uiPriority w:val="0"/>
    <w:pPr>
      <w:spacing w:before="0" w:after="0" w:line="240" w:lineRule="auto"/>
    </w:pPr>
    <w:rPr>
      <w:rFonts w:cs="宋体"/>
      <w:color w:val="000000"/>
      <w:szCs w:val="20"/>
    </w:rPr>
  </w:style>
  <w:style w:type="paragraph" w:customStyle="1" w:styleId="408">
    <w:name w:val="样式 4 + 居中"/>
    <w:basedOn w:val="124"/>
    <w:next w:val="20"/>
    <w:qFormat/>
    <w:uiPriority w:val="0"/>
    <w:pPr>
      <w:jc w:val="center"/>
    </w:pPr>
    <w:rPr>
      <w:rFonts w:cs="宋体"/>
      <w:szCs w:val="20"/>
    </w:rPr>
  </w:style>
  <w:style w:type="paragraph" w:customStyle="1" w:styleId="409">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8"/>
      <w:szCs w:val="28"/>
    </w:rPr>
  </w:style>
  <w:style w:type="paragraph" w:customStyle="1" w:styleId="410">
    <w:name w:val="样式 4 + 宋体 小三 黑色 两端对齐 段前: 0 磅 段后: 0 磅 行距: 单倍行距"/>
    <w:basedOn w:val="124"/>
    <w:next w:val="5"/>
    <w:qFormat/>
    <w:uiPriority w:val="0"/>
    <w:pPr>
      <w:spacing w:before="0" w:after="0" w:line="240" w:lineRule="auto"/>
      <w:jc w:val="both"/>
    </w:pPr>
    <w:rPr>
      <w:rFonts w:ascii="宋体" w:hAnsi="宋体" w:cs="宋体"/>
      <w:color w:val="000000"/>
      <w:sz w:val="30"/>
      <w:szCs w:val="20"/>
    </w:rPr>
  </w:style>
  <w:style w:type="paragraph" w:styleId="411">
    <w:name w:val="No Spacing"/>
    <w:qFormat/>
    <w:uiPriority w:val="0"/>
    <w:pPr>
      <w:widowControl w:val="0"/>
      <w:ind w:left="200" w:leftChars="200" w:firstLine="200" w:firstLineChars="200"/>
      <w:jc w:val="both"/>
    </w:pPr>
    <w:rPr>
      <w:rFonts w:ascii="Times New Roman" w:hAnsi="Times New Roman" w:eastAsia="宋体" w:cs="Times New Roman"/>
      <w:kern w:val="2"/>
      <w:sz w:val="21"/>
      <w:szCs w:val="24"/>
      <w:lang w:val="en-US" w:eastAsia="zh-CN" w:bidi="ar-SA"/>
    </w:rPr>
  </w:style>
  <w:style w:type="paragraph" w:customStyle="1" w:styleId="412">
    <w:name w:val="样式 3 + 段前: 0 磅 段后: 0 磅 行距: 多倍行距 1.73 字行"/>
    <w:basedOn w:val="388"/>
    <w:next w:val="4"/>
    <w:qFormat/>
    <w:uiPriority w:val="0"/>
    <w:rPr>
      <w:rFonts w:cs="宋体"/>
      <w:szCs w:val="20"/>
    </w:rPr>
  </w:style>
  <w:style w:type="paragraph" w:customStyle="1" w:styleId="413">
    <w:name w:val="List Paragraph1"/>
    <w:basedOn w:val="1"/>
    <w:qFormat/>
    <w:uiPriority w:val="0"/>
    <w:pPr>
      <w:ind w:left="424" w:firstLine="480"/>
    </w:pPr>
  </w:style>
  <w:style w:type="paragraph" w:customStyle="1" w:styleId="414">
    <w:name w:val="样式 3 + 首行缩进:  0.74 厘米"/>
    <w:basedOn w:val="388"/>
    <w:next w:val="4"/>
    <w:qFormat/>
    <w:uiPriority w:val="0"/>
    <w:pPr>
      <w:ind w:firstLine="422"/>
    </w:pPr>
    <w:rPr>
      <w:rFonts w:cs="宋体"/>
      <w:szCs w:val="20"/>
    </w:rPr>
  </w:style>
  <w:style w:type="paragraph" w:customStyle="1" w:styleId="415">
    <w:name w:val="µ"/>
    <w:basedOn w:val="1"/>
    <w:qFormat/>
    <w:uiPriority w:val="0"/>
    <w:pPr>
      <w:widowControl/>
      <w:overflowPunct w:val="0"/>
      <w:autoSpaceDE w:val="0"/>
      <w:autoSpaceDN w:val="0"/>
      <w:adjustRightInd w:val="0"/>
      <w:ind w:left="360" w:hanging="360"/>
      <w:jc w:val="left"/>
      <w:textAlignment w:val="baseline"/>
    </w:pPr>
    <w:rPr>
      <w:rFonts w:ascii="宋体"/>
      <w:b/>
      <w:spacing w:val="2"/>
      <w:kern w:val="28"/>
      <w:position w:val="-6"/>
      <w:sz w:val="24"/>
      <w:szCs w:val="20"/>
    </w:rPr>
  </w:style>
  <w:style w:type="paragraph" w:customStyle="1" w:styleId="416">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kern w:val="0"/>
      <w:sz w:val="24"/>
    </w:rPr>
  </w:style>
  <w:style w:type="paragraph" w:customStyle="1" w:styleId="417">
    <w:name w:val="样式 3 + 两端对齐 段前: 0 磅 段后: 0 磅 行距: 单倍行距"/>
    <w:basedOn w:val="388"/>
    <w:next w:val="4"/>
    <w:qFormat/>
    <w:uiPriority w:val="0"/>
    <w:pPr>
      <w:spacing w:line="240" w:lineRule="auto"/>
    </w:pPr>
    <w:rPr>
      <w:rFonts w:eastAsia="宋体" w:cs="宋体"/>
      <w:sz w:val="32"/>
      <w:szCs w:val="20"/>
    </w:rPr>
  </w:style>
  <w:style w:type="paragraph" w:customStyle="1" w:styleId="418">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Arial Unicode MS" w:hAnsi="Arial Unicode MS"/>
      <w:kern w:val="0"/>
      <w:sz w:val="24"/>
    </w:rPr>
  </w:style>
  <w:style w:type="paragraph" w:customStyle="1" w:styleId="419">
    <w:name w:val="样式 样式 小四 加粗 居中 + 加粗"/>
    <w:basedOn w:val="20"/>
    <w:next w:val="1"/>
    <w:qFormat/>
    <w:uiPriority w:val="0"/>
    <w:pPr>
      <w:spacing w:line="360" w:lineRule="exact"/>
      <w:ind w:firstLine="200" w:firstLineChars="200"/>
    </w:pPr>
    <w:rPr>
      <w:b/>
      <w:bCs/>
    </w:rPr>
  </w:style>
  <w:style w:type="paragraph" w:customStyle="1" w:styleId="420">
    <w:name w:val="font9"/>
    <w:basedOn w:val="1"/>
    <w:qFormat/>
    <w:uiPriority w:val="0"/>
    <w:pPr>
      <w:widowControl/>
      <w:spacing w:before="100" w:beforeAutospacing="1" w:after="100" w:afterAutospacing="1"/>
      <w:jc w:val="left"/>
    </w:pPr>
    <w:rPr>
      <w:kern w:val="0"/>
      <w:sz w:val="40"/>
      <w:szCs w:val="40"/>
    </w:rPr>
  </w:style>
  <w:style w:type="paragraph" w:customStyle="1" w:styleId="421">
    <w:name w:val="p15"/>
    <w:basedOn w:val="1"/>
    <w:qFormat/>
    <w:uiPriority w:val="0"/>
    <w:pPr>
      <w:widowControl/>
      <w:jc w:val="left"/>
    </w:pPr>
    <w:rPr>
      <w:kern w:val="0"/>
      <w:szCs w:val="21"/>
    </w:rPr>
  </w:style>
  <w:style w:type="paragraph" w:customStyle="1" w:styleId="422">
    <w:name w:val="默认段落字体 Para Char Char Char Char Char Char Char"/>
    <w:basedOn w:val="1"/>
    <w:qFormat/>
    <w:uiPriority w:val="0"/>
    <w:pPr>
      <w:adjustRightInd w:val="0"/>
      <w:spacing w:line="360" w:lineRule="auto"/>
      <w:ind w:left="200" w:hanging="200" w:hangingChars="200"/>
    </w:pPr>
    <w:rPr>
      <w:kern w:val="0"/>
      <w:sz w:val="24"/>
      <w:szCs w:val="20"/>
    </w:rPr>
  </w:style>
  <w:style w:type="paragraph" w:customStyle="1" w:styleId="423">
    <w:name w:val="Char1 Char Char Char Char Char Char"/>
    <w:basedOn w:val="1"/>
    <w:qFormat/>
    <w:uiPriority w:val="0"/>
    <w:rPr>
      <w:rFonts w:ascii="Tahoma" w:hAnsi="Tahoma"/>
      <w:sz w:val="24"/>
      <w:szCs w:val="20"/>
    </w:rPr>
  </w:style>
  <w:style w:type="paragraph" w:customStyle="1" w:styleId="424">
    <w:name w:val="纯文本11"/>
    <w:basedOn w:val="1"/>
    <w:qFormat/>
    <w:uiPriority w:val="0"/>
    <w:rPr>
      <w:rFonts w:ascii="宋体" w:hAnsi="Courier New"/>
      <w:szCs w:val="20"/>
    </w:rPr>
  </w:style>
  <w:style w:type="paragraph" w:customStyle="1" w:styleId="425">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426">
    <w:name w:val="1.1编号"/>
    <w:basedOn w:val="1"/>
    <w:qFormat/>
    <w:uiPriority w:val="0"/>
    <w:pPr>
      <w:widowControl/>
      <w:tabs>
        <w:tab w:val="left" w:pos="1559"/>
      </w:tabs>
      <w:spacing w:before="120" w:after="80" w:line="380" w:lineRule="exact"/>
      <w:ind w:left="1559" w:hanging="1559"/>
    </w:pPr>
    <w:rPr>
      <w:b/>
      <w:spacing w:val="20"/>
      <w:szCs w:val="20"/>
    </w:rPr>
  </w:style>
  <w:style w:type="paragraph" w:customStyle="1" w:styleId="427">
    <w:name w:val="表中"/>
    <w:basedOn w:val="1"/>
    <w:qFormat/>
    <w:uiPriority w:val="0"/>
    <w:pPr>
      <w:adjustRightInd w:val="0"/>
      <w:spacing w:line="420" w:lineRule="atLeast"/>
      <w:ind w:firstLine="200" w:firstLineChars="200"/>
      <w:jc w:val="center"/>
      <w:textAlignment w:val="baseline"/>
    </w:pPr>
    <w:rPr>
      <w:kern w:val="0"/>
      <w:szCs w:val="20"/>
    </w:rPr>
  </w:style>
  <w:style w:type="paragraph" w:customStyle="1" w:styleId="428">
    <w:name w:val="表格"/>
    <w:basedOn w:val="1"/>
    <w:qFormat/>
    <w:uiPriority w:val="0"/>
    <w:pPr>
      <w:jc w:val="center"/>
      <w:textAlignment w:val="center"/>
    </w:pPr>
    <w:rPr>
      <w:rFonts w:ascii="华文细黑" w:hAnsi="华文细黑"/>
      <w:kern w:val="0"/>
      <w:szCs w:val="20"/>
    </w:rPr>
  </w:style>
  <w:style w:type="paragraph" w:customStyle="1" w:styleId="429">
    <w:name w:val="Char Char Char Char Char Char Char Char Char Char1"/>
    <w:basedOn w:val="17"/>
    <w:qFormat/>
    <w:uiPriority w:val="0"/>
    <w:pPr>
      <w:keepNext/>
      <w:spacing w:beforeLines="100" w:line="240" w:lineRule="auto"/>
      <w:ind w:firstLine="0" w:firstLineChars="0"/>
    </w:pPr>
    <w:rPr>
      <w:rFonts w:ascii="Tahoma" w:hAnsi="Tahoma"/>
      <w:sz w:val="24"/>
    </w:rPr>
  </w:style>
  <w:style w:type="paragraph" w:customStyle="1" w:styleId="430">
    <w:name w:val="Char Char Char Char Char Char Char2"/>
    <w:basedOn w:val="1"/>
    <w:qFormat/>
    <w:uiPriority w:val="0"/>
  </w:style>
  <w:style w:type="paragraph" w:customStyle="1" w:styleId="431">
    <w:name w:val="xl45"/>
    <w:basedOn w:val="1"/>
    <w:qFormat/>
    <w:uiPriority w:val="0"/>
    <w:pPr>
      <w:widowControl/>
      <w:pBdr>
        <w:bottom w:val="single" w:color="auto" w:sz="4" w:space="0"/>
      </w:pBdr>
      <w:spacing w:before="100" w:beforeAutospacing="1" w:after="100" w:afterAutospacing="1"/>
      <w:jc w:val="center"/>
    </w:pPr>
    <w:rPr>
      <w:kern w:val="0"/>
      <w:sz w:val="40"/>
      <w:szCs w:val="40"/>
    </w:rPr>
  </w:style>
  <w:style w:type="paragraph" w:customStyle="1" w:styleId="432">
    <w:name w:val="xl47"/>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43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434">
    <w:name w:val="样式 2 + 段前: 0 磅 段后: 0 磅 行距: 多倍行距 1.73 字行"/>
    <w:basedOn w:val="435"/>
    <w:next w:val="3"/>
    <w:qFormat/>
    <w:uiPriority w:val="0"/>
    <w:pPr>
      <w:spacing w:before="0" w:after="0" w:line="415" w:lineRule="auto"/>
    </w:pPr>
    <w:rPr>
      <w:rFonts w:cs="宋体"/>
      <w:szCs w:val="20"/>
    </w:rPr>
  </w:style>
  <w:style w:type="paragraph" w:customStyle="1" w:styleId="435">
    <w:name w:val="2"/>
    <w:basedOn w:val="4"/>
    <w:qFormat/>
    <w:uiPriority w:val="0"/>
    <w:pPr>
      <w:widowControl w:val="0"/>
      <w:spacing w:beforeLines="50" w:afterLines="50" w:line="240" w:lineRule="auto"/>
      <w:jc w:val="center"/>
    </w:pPr>
    <w:rPr>
      <w:rFonts w:ascii="黑体" w:eastAsia="黑体"/>
      <w:sz w:val="44"/>
      <w:szCs w:val="28"/>
    </w:rPr>
  </w:style>
  <w:style w:type="paragraph" w:customStyle="1" w:styleId="436">
    <w:name w:val="Char1 Char Char Char Char Char Char Char Char Char Char Char Char Char Char Char"/>
    <w:basedOn w:val="6"/>
    <w:qFormat/>
    <w:uiPriority w:val="0"/>
    <w:pPr>
      <w:tabs>
        <w:tab w:val="left" w:pos="0"/>
        <w:tab w:val="left" w:pos="3660"/>
      </w:tabs>
      <w:adjustRightInd w:val="0"/>
      <w:spacing w:line="240" w:lineRule="auto"/>
      <w:ind w:left="3660" w:hanging="420"/>
      <w:textAlignment w:val="baseline"/>
    </w:pPr>
    <w:rPr>
      <w:rFonts w:ascii="黑体" w:eastAsia="黑体"/>
      <w:b w:val="0"/>
    </w:rPr>
  </w:style>
  <w:style w:type="paragraph" w:customStyle="1" w:styleId="437">
    <w:name w:val="xl44"/>
    <w:basedOn w:val="1"/>
    <w:qFormat/>
    <w:uiPriority w:val="0"/>
    <w:pPr>
      <w:widowControl/>
      <w:pBdr>
        <w:bottom w:val="single" w:color="auto" w:sz="4" w:space="0"/>
      </w:pBdr>
      <w:spacing w:before="100" w:beforeAutospacing="1" w:after="100" w:afterAutospacing="1"/>
      <w:jc w:val="center"/>
    </w:pPr>
    <w:rPr>
      <w:rFonts w:ascii="Arial Unicode MS" w:hAnsi="Arial Unicode MS"/>
      <w:kern w:val="0"/>
      <w:sz w:val="24"/>
    </w:rPr>
  </w:style>
  <w:style w:type="paragraph" w:customStyle="1" w:styleId="438">
    <w:name w:val="修订11"/>
    <w:qFormat/>
    <w:uiPriority w:val="0"/>
    <w:rPr>
      <w:rFonts w:ascii="Times New Roman" w:hAnsi="Times New Roman" w:eastAsia="宋体" w:cs="Times New Roman"/>
      <w:sz w:val="21"/>
      <w:lang w:val="en-US" w:eastAsia="zh-CN" w:bidi="ar-SA"/>
    </w:rPr>
  </w:style>
  <w:style w:type="paragraph" w:customStyle="1" w:styleId="439">
    <w:name w:val="样式 4 + 宋体 小三 黑色 两端对齐 段前: 0 磅 段后: 0 磅 行距: 单倍行距1"/>
    <w:basedOn w:val="124"/>
    <w:next w:val="5"/>
    <w:qFormat/>
    <w:uiPriority w:val="0"/>
    <w:pPr>
      <w:spacing w:before="0" w:after="0" w:line="240" w:lineRule="auto"/>
      <w:ind w:firstLine="422"/>
      <w:jc w:val="both"/>
    </w:pPr>
    <w:rPr>
      <w:rFonts w:ascii="宋体" w:hAnsi="宋体" w:cs="宋体"/>
      <w:color w:val="000000"/>
      <w:sz w:val="30"/>
      <w:szCs w:val="20"/>
    </w:rPr>
  </w:style>
  <w:style w:type="paragraph" w:customStyle="1" w:styleId="440">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441">
    <w:name w:val="font6"/>
    <w:basedOn w:val="1"/>
    <w:qFormat/>
    <w:uiPriority w:val="0"/>
    <w:pPr>
      <w:widowControl/>
      <w:spacing w:before="100" w:beforeAutospacing="1" w:after="100" w:afterAutospacing="1"/>
      <w:jc w:val="left"/>
    </w:pPr>
    <w:rPr>
      <w:kern w:val="0"/>
      <w:sz w:val="24"/>
    </w:rPr>
  </w:style>
  <w:style w:type="paragraph" w:customStyle="1" w:styleId="442">
    <w:name w:val="Char"/>
    <w:basedOn w:val="1"/>
    <w:qFormat/>
    <w:uiPriority w:val="0"/>
    <w:rPr>
      <w:rFonts w:ascii="Tahoma" w:hAnsi="Tahoma"/>
      <w:sz w:val="24"/>
      <w:szCs w:val="20"/>
    </w:rPr>
  </w:style>
  <w:style w:type="paragraph" w:customStyle="1" w:styleId="443">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b/>
      <w:bCs/>
      <w:kern w:val="0"/>
      <w:sz w:val="24"/>
    </w:rPr>
  </w:style>
  <w:style w:type="paragraph" w:customStyle="1" w:styleId="444">
    <w:name w:val="head1"/>
    <w:basedOn w:val="1"/>
    <w:qFormat/>
    <w:uiPriority w:val="0"/>
    <w:pPr>
      <w:widowControl/>
      <w:tabs>
        <w:tab w:val="left" w:pos="1680"/>
      </w:tabs>
      <w:overflowPunct w:val="0"/>
      <w:autoSpaceDE w:val="0"/>
      <w:autoSpaceDN w:val="0"/>
      <w:adjustRightInd w:val="0"/>
      <w:spacing w:before="60" w:after="60"/>
      <w:ind w:left="1680"/>
      <w:jc w:val="left"/>
      <w:textAlignment w:val="baseline"/>
      <w:outlineLvl w:val="0"/>
    </w:pPr>
    <w:rPr>
      <w:rFonts w:ascii="黑体" w:hAnsi="¿¬Ìå" w:eastAsia="黑体"/>
      <w:kern w:val="0"/>
      <w:sz w:val="30"/>
      <w:szCs w:val="30"/>
    </w:rPr>
  </w:style>
  <w:style w:type="paragraph" w:customStyle="1" w:styleId="445">
    <w:name w:val="PlainText"/>
    <w:basedOn w:val="1"/>
    <w:next w:val="446"/>
    <w:qFormat/>
    <w:locked/>
    <w:uiPriority w:val="0"/>
    <w:rPr>
      <w:rFonts w:ascii="宋体" w:hAnsi="Courier New"/>
      <w:szCs w:val="20"/>
    </w:rPr>
  </w:style>
  <w:style w:type="paragraph" w:customStyle="1" w:styleId="446">
    <w:name w:val="Index8"/>
    <w:basedOn w:val="1"/>
    <w:next w:val="1"/>
    <w:qFormat/>
    <w:locked/>
    <w:uiPriority w:val="0"/>
    <w:pPr>
      <w:ind w:left="2940"/>
    </w:pPr>
  </w:style>
  <w:style w:type="paragraph" w:customStyle="1" w:styleId="447">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448">
    <w:name w:val="·"/>
    <w:basedOn w:val="1"/>
    <w:qFormat/>
    <w:uiPriority w:val="0"/>
    <w:pPr>
      <w:widowControl/>
      <w:overflowPunct w:val="0"/>
      <w:autoSpaceDE w:val="0"/>
      <w:autoSpaceDN w:val="0"/>
      <w:adjustRightInd w:val="0"/>
      <w:spacing w:before="120"/>
      <w:ind w:left="432" w:hanging="432"/>
      <w:textAlignment w:val="baseline"/>
    </w:pPr>
    <w:rPr>
      <w:rFonts w:ascii="楷体" w:eastAsia="楷体"/>
      <w:spacing w:val="-20"/>
      <w:kern w:val="28"/>
      <w:position w:val="-6"/>
      <w:sz w:val="24"/>
      <w:szCs w:val="20"/>
    </w:rPr>
  </w:style>
  <w:style w:type="paragraph" w:customStyle="1" w:styleId="449">
    <w:name w:val="Char Char Char Char Char Char Char"/>
    <w:basedOn w:val="1"/>
    <w:qFormat/>
    <w:uiPriority w:val="0"/>
    <w:pPr>
      <w:widowControl/>
      <w:spacing w:after="160" w:line="240" w:lineRule="exact"/>
      <w:ind w:firstLine="200" w:firstLineChars="200"/>
      <w:jc w:val="left"/>
    </w:pPr>
    <w:rPr>
      <w:rFonts w:ascii="Arial" w:hAnsi="Arial" w:eastAsia="Times New Roman" w:cs="Verdana"/>
      <w:b/>
      <w:spacing w:val="2"/>
      <w:kern w:val="0"/>
      <w:sz w:val="24"/>
      <w:lang w:eastAsia="en-US"/>
    </w:rPr>
  </w:style>
  <w:style w:type="paragraph" w:customStyle="1" w:styleId="450">
    <w:name w:val="tds100"/>
    <w:basedOn w:val="45"/>
    <w:qFormat/>
    <w:uiPriority w:val="0"/>
    <w:pPr>
      <w:tabs>
        <w:tab w:val="right" w:leader="dot" w:pos="9628"/>
      </w:tabs>
      <w:ind w:left="200"/>
      <w:jc w:val="center"/>
    </w:pPr>
    <w:rPr>
      <w:b/>
      <w:sz w:val="44"/>
    </w:rPr>
  </w:style>
  <w:style w:type="paragraph" w:customStyle="1" w:styleId="451">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b/>
      <w:bCs/>
      <w:kern w:val="0"/>
      <w:sz w:val="24"/>
    </w:rPr>
  </w:style>
  <w:style w:type="paragraph" w:customStyle="1" w:styleId="452">
    <w:name w:val="xl31"/>
    <w:basedOn w:val="1"/>
    <w:qFormat/>
    <w:uiPriority w:val="0"/>
    <w:pPr>
      <w:widowControl/>
      <w:pBdr>
        <w:bottom w:val="single" w:color="auto" w:sz="4" w:space="0"/>
      </w:pBdr>
      <w:spacing w:before="100" w:beforeAutospacing="1" w:after="100" w:afterAutospacing="1"/>
      <w:jc w:val="center"/>
    </w:pPr>
    <w:rPr>
      <w:rFonts w:ascii="宋体" w:hAnsi="宋体"/>
      <w:kern w:val="0"/>
      <w:sz w:val="24"/>
    </w:rPr>
  </w:style>
  <w:style w:type="paragraph" w:customStyle="1" w:styleId="453">
    <w:name w:val="head4"/>
    <w:basedOn w:val="1"/>
    <w:qFormat/>
    <w:uiPriority w:val="0"/>
    <w:pPr>
      <w:widowControl/>
      <w:overflowPunct w:val="0"/>
      <w:autoSpaceDE w:val="0"/>
      <w:autoSpaceDN w:val="0"/>
      <w:adjustRightInd w:val="0"/>
      <w:spacing w:before="120" w:line="360" w:lineRule="auto"/>
      <w:textAlignment w:val="baseline"/>
    </w:pPr>
    <w:rPr>
      <w:rFonts w:ascii="¿¬Ìå" w:hAnsi="¿¬Ìå"/>
      <w:kern w:val="0"/>
      <w:sz w:val="24"/>
    </w:rPr>
  </w:style>
  <w:style w:type="paragraph" w:customStyle="1" w:styleId="454">
    <w:name w:val="Char Char Char Char Char Char Char Char Char1 Char Char Char Char Char Char Char Char Char Char Char Char Char"/>
    <w:basedOn w:val="2"/>
    <w:qFormat/>
    <w:uiPriority w:val="0"/>
    <w:pPr>
      <w:snapToGrid w:val="0"/>
      <w:spacing w:before="240" w:after="240" w:line="348" w:lineRule="auto"/>
    </w:pPr>
    <w:rPr>
      <w:sz w:val="44"/>
    </w:rPr>
  </w:style>
  <w:style w:type="paragraph" w:customStyle="1" w:styleId="455">
    <w:name w:val="标题2"/>
    <w:basedOn w:val="3"/>
    <w:next w:val="1"/>
    <w:qFormat/>
    <w:uiPriority w:val="0"/>
    <w:pPr>
      <w:snapToGrid w:val="0"/>
      <w:spacing w:before="120" w:after="120" w:line="240" w:lineRule="auto"/>
      <w:jc w:val="left"/>
    </w:pPr>
    <w:rPr>
      <w:rFonts w:ascii="Arial" w:hAnsi="Arial" w:eastAsia="黑体"/>
      <w:b w:val="0"/>
      <w:bCs w:val="0"/>
      <w:sz w:val="21"/>
      <w:szCs w:val="21"/>
    </w:rPr>
  </w:style>
  <w:style w:type="paragraph" w:customStyle="1" w:styleId="456">
    <w:name w:val="444"/>
    <w:basedOn w:val="1"/>
    <w:qFormat/>
    <w:uiPriority w:val="0"/>
    <w:pPr>
      <w:adjustRightInd w:val="0"/>
      <w:spacing w:line="312" w:lineRule="atLeast"/>
      <w:jc w:val="center"/>
      <w:textAlignment w:val="baseline"/>
    </w:pPr>
    <w:rPr>
      <w:b/>
      <w:kern w:val="0"/>
      <w:sz w:val="36"/>
      <w:szCs w:val="36"/>
    </w:rPr>
  </w:style>
  <w:style w:type="paragraph" w:customStyle="1" w:styleId="457">
    <w:name w:val="样式 4 + 小三 两端对齐 段前: 0 磅 段后: 0 磅 行距: 单倍行距"/>
    <w:basedOn w:val="124"/>
    <w:qFormat/>
    <w:uiPriority w:val="0"/>
    <w:pPr>
      <w:spacing w:before="0" w:after="0" w:line="240" w:lineRule="auto"/>
      <w:jc w:val="both"/>
    </w:pPr>
    <w:rPr>
      <w:rFonts w:cs="宋体"/>
      <w:sz w:val="30"/>
      <w:szCs w:val="20"/>
    </w:rPr>
  </w:style>
  <w:style w:type="paragraph" w:customStyle="1" w:styleId="458">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kern w:val="0"/>
      <w:sz w:val="24"/>
    </w:rPr>
  </w:style>
  <w:style w:type="paragraph" w:customStyle="1" w:styleId="459">
    <w:name w:val="table"/>
    <w:basedOn w:val="1"/>
    <w:qFormat/>
    <w:uiPriority w:val="0"/>
    <w:pPr>
      <w:keepNext/>
      <w:widowControl/>
      <w:overflowPunct w:val="0"/>
      <w:autoSpaceDE w:val="0"/>
      <w:autoSpaceDN w:val="0"/>
      <w:adjustRightInd w:val="0"/>
      <w:jc w:val="left"/>
      <w:textAlignment w:val="baseline"/>
    </w:pPr>
    <w:rPr>
      <w:rFonts w:ascii="楷体" w:eastAsia="楷体"/>
      <w:b/>
      <w:spacing w:val="2"/>
      <w:kern w:val="28"/>
      <w:position w:val="-6"/>
      <w:sz w:val="24"/>
      <w:szCs w:val="20"/>
    </w:rPr>
  </w:style>
  <w:style w:type="paragraph" w:customStyle="1" w:styleId="460">
    <w:name w:val="批注框文本 Char Char"/>
    <w:basedOn w:val="1"/>
    <w:qFormat/>
    <w:uiPriority w:val="0"/>
    <w:rPr>
      <w:sz w:val="18"/>
      <w:szCs w:val="20"/>
    </w:rPr>
  </w:style>
  <w:style w:type="paragraph" w:customStyle="1" w:styleId="461">
    <w:name w:val="无间隔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462">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463">
    <w:name w:val="纯文本2"/>
    <w:basedOn w:val="1"/>
    <w:qFormat/>
    <w:uiPriority w:val="0"/>
    <w:rPr>
      <w:rFonts w:ascii="宋体" w:hAnsi="Courier New"/>
      <w:szCs w:val="20"/>
    </w:rPr>
  </w:style>
  <w:style w:type="paragraph" w:customStyle="1" w:styleId="464">
    <w:name w:val="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465">
    <w:name w:val="+正文"/>
    <w:basedOn w:val="1"/>
    <w:qFormat/>
    <w:uiPriority w:val="0"/>
    <w:pPr>
      <w:spacing w:line="360" w:lineRule="auto"/>
      <w:ind w:firstLine="200" w:firstLineChars="200"/>
    </w:pPr>
    <w:rPr>
      <w:sz w:val="24"/>
      <w:szCs w:val="28"/>
    </w:rPr>
  </w:style>
  <w:style w:type="paragraph" w:customStyle="1" w:styleId="466">
    <w:name w:val="1.正文"/>
    <w:basedOn w:val="1"/>
    <w:qFormat/>
    <w:uiPriority w:val="0"/>
    <w:pPr>
      <w:widowControl/>
      <w:tabs>
        <w:tab w:val="left" w:pos="840"/>
        <w:tab w:val="left" w:pos="2820"/>
      </w:tabs>
      <w:spacing w:before="40" w:after="40" w:line="300" w:lineRule="exact"/>
      <w:ind w:left="840" w:hanging="420"/>
    </w:pPr>
    <w:rPr>
      <w:szCs w:val="20"/>
    </w:rPr>
  </w:style>
  <w:style w:type="paragraph" w:customStyle="1" w:styleId="467">
    <w:name w:val="表格文字"/>
    <w:basedOn w:val="1"/>
    <w:qFormat/>
    <w:uiPriority w:val="0"/>
    <w:pPr>
      <w:adjustRightInd w:val="0"/>
      <w:spacing w:line="420" w:lineRule="atLeast"/>
      <w:ind w:firstLine="200" w:firstLineChars="200"/>
      <w:jc w:val="left"/>
      <w:textAlignment w:val="baseline"/>
    </w:pPr>
    <w:rPr>
      <w:kern w:val="0"/>
      <w:szCs w:val="20"/>
    </w:rPr>
  </w:style>
  <w:style w:type="paragraph" w:customStyle="1" w:styleId="468">
    <w:name w:val="Char Char Char Char Char Char Char Char Char Char"/>
    <w:basedOn w:val="1"/>
    <w:qFormat/>
    <w:uiPriority w:val="0"/>
  </w:style>
  <w:style w:type="paragraph" w:customStyle="1" w:styleId="469">
    <w:name w:val="font5"/>
    <w:basedOn w:val="1"/>
    <w:qFormat/>
    <w:uiPriority w:val="0"/>
    <w:pPr>
      <w:widowControl/>
      <w:spacing w:before="100" w:beforeAutospacing="1" w:after="100" w:afterAutospacing="1"/>
      <w:jc w:val="left"/>
    </w:pPr>
    <w:rPr>
      <w:rFonts w:ascii="宋体" w:hAnsi="宋体"/>
      <w:kern w:val="0"/>
      <w:sz w:val="24"/>
    </w:rPr>
  </w:style>
  <w:style w:type="paragraph" w:customStyle="1" w:styleId="470">
    <w:name w:val="TOC 标题3"/>
    <w:basedOn w:val="2"/>
    <w:next w:val="1"/>
    <w:qFormat/>
    <w:uiPriority w:val="0"/>
    <w:pPr>
      <w:widowControl/>
      <w:tabs>
        <w:tab w:val="left" w:pos="4184"/>
        <w:tab w:val="left" w:pos="6406"/>
      </w:tabs>
      <w:spacing w:before="480" w:after="0" w:line="240" w:lineRule="auto"/>
      <w:jc w:val="left"/>
      <w:outlineLvl w:val="9"/>
    </w:pPr>
    <w:rPr>
      <w:rFonts w:ascii="Cambria" w:hAnsi="Cambria"/>
      <w:b w:val="0"/>
      <w:color w:val="365F91"/>
      <w:kern w:val="0"/>
      <w:sz w:val="28"/>
      <w:szCs w:val="28"/>
    </w:rPr>
  </w:style>
  <w:style w:type="paragraph" w:customStyle="1" w:styleId="471">
    <w:name w:val="."/>
    <w:basedOn w:val="1"/>
    <w:qFormat/>
    <w:uiPriority w:val="0"/>
    <w:pPr>
      <w:widowControl/>
      <w:overflowPunct w:val="0"/>
      <w:autoSpaceDE w:val="0"/>
      <w:autoSpaceDN w:val="0"/>
      <w:adjustRightInd w:val="0"/>
      <w:spacing w:before="60" w:line="264" w:lineRule="auto"/>
      <w:ind w:left="681" w:right="-57" w:hanging="227"/>
      <w:textAlignment w:val="baseline"/>
    </w:pPr>
    <w:rPr>
      <w:rFonts w:ascii="宋体"/>
      <w:kern w:val="0"/>
      <w:sz w:val="24"/>
      <w:szCs w:val="20"/>
    </w:rPr>
  </w:style>
  <w:style w:type="paragraph" w:customStyle="1" w:styleId="472">
    <w:name w:val="5 Char Char Char Char Char Char Char Char Char Char"/>
    <w:basedOn w:val="1"/>
    <w:qFormat/>
    <w:uiPriority w:val="0"/>
  </w:style>
  <w:style w:type="paragraph" w:customStyle="1" w:styleId="473">
    <w:name w:val="p16"/>
    <w:basedOn w:val="1"/>
    <w:qFormat/>
    <w:uiPriority w:val="0"/>
    <w:pPr>
      <w:widowControl/>
    </w:pPr>
    <w:rPr>
      <w:kern w:val="0"/>
      <w:szCs w:val="21"/>
    </w:rPr>
  </w:style>
  <w:style w:type="paragraph" w:customStyle="1" w:styleId="474">
    <w:name w:val="表格2"/>
    <w:basedOn w:val="1"/>
    <w:qFormat/>
    <w:uiPriority w:val="0"/>
    <w:pPr>
      <w:adjustRightInd w:val="0"/>
      <w:spacing w:before="60" w:after="60"/>
      <w:jc w:val="center"/>
    </w:pPr>
    <w:rPr>
      <w:rFonts w:ascii="宋体"/>
      <w:color w:val="000000"/>
      <w:kern w:val="0"/>
      <w:sz w:val="24"/>
      <w:szCs w:val="20"/>
    </w:rPr>
  </w:style>
  <w:style w:type="paragraph" w:customStyle="1" w:styleId="475">
    <w:name w:val="**"/>
    <w:basedOn w:val="390"/>
    <w:qFormat/>
    <w:uiPriority w:val="0"/>
    <w:rPr>
      <w:rFonts w:ascii="楷体" w:eastAsia="楷体"/>
      <w:sz w:val="24"/>
    </w:rPr>
  </w:style>
  <w:style w:type="paragraph" w:customStyle="1" w:styleId="476">
    <w:name w:val="合同正文"/>
    <w:basedOn w:val="1"/>
    <w:qFormat/>
    <w:uiPriority w:val="0"/>
    <w:pPr>
      <w:adjustRightInd w:val="0"/>
      <w:spacing w:line="580" w:lineRule="exact"/>
    </w:pPr>
    <w:rPr>
      <w:b/>
      <w:sz w:val="24"/>
      <w:szCs w:val="20"/>
    </w:rPr>
  </w:style>
  <w:style w:type="paragraph" w:customStyle="1" w:styleId="477">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Arial Unicode MS" w:hAnsi="Arial Unicode MS"/>
      <w:kern w:val="0"/>
      <w:sz w:val="28"/>
      <w:szCs w:val="28"/>
    </w:rPr>
  </w:style>
  <w:style w:type="paragraph" w:customStyle="1" w:styleId="478">
    <w:name w:val="µ1"/>
    <w:basedOn w:val="1"/>
    <w:qFormat/>
    <w:uiPriority w:val="0"/>
    <w:pPr>
      <w:widowControl/>
      <w:overflowPunct w:val="0"/>
      <w:autoSpaceDE w:val="0"/>
      <w:autoSpaceDN w:val="0"/>
      <w:adjustRightInd w:val="0"/>
      <w:spacing w:before="120"/>
      <w:ind w:left="432" w:hanging="432"/>
      <w:textAlignment w:val="baseline"/>
    </w:pPr>
    <w:rPr>
      <w:rFonts w:ascii="楷体" w:eastAsia="楷体"/>
      <w:spacing w:val="-20"/>
      <w:kern w:val="28"/>
      <w:position w:val="-6"/>
      <w:sz w:val="24"/>
      <w:szCs w:val="20"/>
    </w:rPr>
  </w:style>
  <w:style w:type="paragraph" w:customStyle="1" w:styleId="479">
    <w:name w:val="BodyText"/>
    <w:basedOn w:val="1"/>
    <w:qFormat/>
    <w:locked/>
    <w:uiPriority w:val="0"/>
    <w:pPr>
      <w:spacing w:after="60" w:line="360" w:lineRule="atLeast"/>
      <w:ind w:left="72" w:leftChars="30" w:right="30" w:rightChars="30"/>
      <w:jc w:val="center"/>
    </w:pPr>
    <w:rPr>
      <w:kern w:val="0"/>
      <w:sz w:val="20"/>
      <w:szCs w:val="20"/>
    </w:rPr>
  </w:style>
  <w:style w:type="paragraph" w:customStyle="1" w:styleId="480">
    <w:name w:val="样式 小四 加粗 居中"/>
    <w:basedOn w:val="6"/>
    <w:next w:val="6"/>
    <w:qFormat/>
    <w:uiPriority w:val="0"/>
    <w:pPr>
      <w:spacing w:beforeLines="50" w:afterLines="50" w:line="240" w:lineRule="auto"/>
      <w:jc w:val="center"/>
    </w:pPr>
    <w:rPr>
      <w:rFonts w:cs="宋体"/>
      <w:b w:val="0"/>
      <w:bCs w:val="0"/>
      <w:sz w:val="24"/>
      <w:szCs w:val="20"/>
    </w:rPr>
  </w:style>
  <w:style w:type="paragraph" w:customStyle="1" w:styleId="481">
    <w:name w:val="样式 样式 小四 加粗 居中 + 宋体 加粗 黑色"/>
    <w:basedOn w:val="480"/>
    <w:next w:val="6"/>
    <w:qFormat/>
    <w:uiPriority w:val="0"/>
    <w:rPr>
      <w:rFonts w:ascii="宋体" w:hAnsi="宋体"/>
      <w:b/>
      <w:bCs/>
      <w:color w:val="000000"/>
    </w:rPr>
  </w:style>
  <w:style w:type="paragraph" w:customStyle="1" w:styleId="482">
    <w:name w:val="TOC 标题4"/>
    <w:basedOn w:val="2"/>
    <w:next w:val="1"/>
    <w:qFormat/>
    <w:uiPriority w:val="0"/>
    <w:pPr>
      <w:widowControl/>
      <w:tabs>
        <w:tab w:val="left" w:pos="4184"/>
        <w:tab w:val="left" w:pos="6406"/>
      </w:tabs>
      <w:spacing w:before="480" w:after="0" w:line="240" w:lineRule="auto"/>
      <w:jc w:val="left"/>
      <w:outlineLvl w:val="9"/>
    </w:pPr>
    <w:rPr>
      <w:rFonts w:ascii="Cambria" w:hAnsi="Cambria"/>
      <w:b w:val="0"/>
      <w:color w:val="365F91"/>
      <w:kern w:val="0"/>
      <w:sz w:val="28"/>
      <w:szCs w:val="28"/>
    </w:rPr>
  </w:style>
  <w:style w:type="paragraph" w:customStyle="1" w:styleId="483">
    <w:name w:val="bb"/>
    <w:basedOn w:val="1"/>
    <w:qFormat/>
    <w:uiPriority w:val="0"/>
    <w:pPr>
      <w:widowControl/>
      <w:spacing w:before="100" w:beforeAutospacing="1" w:after="100" w:afterAutospacing="1"/>
      <w:jc w:val="left"/>
    </w:pPr>
    <w:rPr>
      <w:rFonts w:ascii="宋体"/>
      <w:kern w:val="0"/>
      <w:sz w:val="24"/>
    </w:rPr>
  </w:style>
  <w:style w:type="paragraph" w:customStyle="1" w:styleId="484">
    <w:name w:val="样式 4 + 段前: 0 磅 段后: 0 磅 行距: 单倍行距"/>
    <w:basedOn w:val="124"/>
    <w:qFormat/>
    <w:uiPriority w:val="0"/>
    <w:pPr>
      <w:spacing w:before="0" w:after="0" w:line="240" w:lineRule="auto"/>
    </w:pPr>
    <w:rPr>
      <w:rFonts w:cs="宋体"/>
      <w:b w:val="0"/>
      <w:szCs w:val="20"/>
    </w:rPr>
  </w:style>
  <w:style w:type="paragraph" w:customStyle="1" w:styleId="485">
    <w:name w:val="a 正文"/>
    <w:basedOn w:val="486"/>
    <w:qFormat/>
    <w:uiPriority w:val="0"/>
    <w:pPr>
      <w:tabs>
        <w:tab w:val="left" w:pos="720"/>
        <w:tab w:val="left" w:pos="3240"/>
        <w:tab w:val="left" w:pos="3750"/>
      </w:tabs>
      <w:ind w:left="681" w:hanging="227"/>
    </w:pPr>
  </w:style>
  <w:style w:type="paragraph" w:customStyle="1" w:styleId="486">
    <w:name w:val="A.正文"/>
    <w:basedOn w:val="1"/>
    <w:qFormat/>
    <w:uiPriority w:val="0"/>
    <w:pPr>
      <w:widowControl/>
      <w:tabs>
        <w:tab w:val="left" w:pos="720"/>
        <w:tab w:val="left" w:pos="3750"/>
      </w:tabs>
      <w:spacing w:before="40" w:after="40" w:line="300" w:lineRule="exact"/>
      <w:ind w:left="720" w:firstLine="510"/>
    </w:pPr>
    <w:rPr>
      <w:szCs w:val="20"/>
    </w:rPr>
  </w:style>
  <w:style w:type="paragraph" w:customStyle="1" w:styleId="487">
    <w:name w:val="(1)"/>
    <w:basedOn w:val="390"/>
    <w:qFormat/>
    <w:uiPriority w:val="0"/>
    <w:pPr>
      <w:spacing w:before="240"/>
      <w:ind w:left="431" w:hanging="431"/>
    </w:pPr>
    <w:rPr>
      <w:b w:val="0"/>
      <w:sz w:val="24"/>
    </w:rPr>
  </w:style>
  <w:style w:type="paragraph" w:customStyle="1" w:styleId="488">
    <w:name w:val="2-2ji"/>
    <w:basedOn w:val="3"/>
    <w:qFormat/>
    <w:uiPriority w:val="0"/>
    <w:pPr>
      <w:adjustRightInd w:val="0"/>
      <w:spacing w:before="0" w:after="0" w:line="360" w:lineRule="auto"/>
      <w:jc w:val="center"/>
      <w:textAlignment w:val="baseline"/>
    </w:pPr>
    <w:rPr>
      <w:rFonts w:ascii="宋体" w:hAnsi="宋体"/>
      <w:bCs w:val="0"/>
      <w:sz w:val="36"/>
    </w:rPr>
  </w:style>
  <w:style w:type="paragraph" w:customStyle="1" w:styleId="489">
    <w:name w:val="样式 样式 4 + 宋体 小三 黑色 + 居中 左侧:  2 字符 首行缩进:  2 字符"/>
    <w:basedOn w:val="379"/>
    <w:next w:val="5"/>
    <w:qFormat/>
    <w:uiPriority w:val="0"/>
    <w:pPr>
      <w:ind w:left="420" w:firstLine="602"/>
      <w:jc w:val="center"/>
    </w:pPr>
    <w:rPr>
      <w:rFonts w:cs="宋体"/>
      <w:szCs w:val="20"/>
    </w:rPr>
  </w:style>
  <w:style w:type="paragraph" w:customStyle="1" w:styleId="490">
    <w:name w:val="Table Paragraph"/>
    <w:basedOn w:val="1"/>
    <w:qFormat/>
    <w:uiPriority w:val="0"/>
    <w:pPr>
      <w:autoSpaceDE w:val="0"/>
      <w:autoSpaceDN w:val="0"/>
      <w:jc w:val="left"/>
    </w:pPr>
    <w:rPr>
      <w:rFonts w:ascii="Noto Sans CJK JP Regular" w:hAnsi="Noto Sans CJK JP Regular" w:eastAsia="Noto Sans CJK JP Regular" w:cs="Noto Sans CJK JP Regular"/>
      <w:kern w:val="0"/>
      <w:sz w:val="22"/>
      <w:szCs w:val="22"/>
      <w:lang w:val="zh-CN" w:bidi="zh-CN"/>
    </w:rPr>
  </w:style>
  <w:style w:type="paragraph" w:customStyle="1" w:styleId="491">
    <w:name w:val="_Style 5"/>
    <w:qFormat/>
    <w:uiPriority w:val="0"/>
    <w:pPr>
      <w:widowControl w:val="0"/>
      <w:jc w:val="both"/>
    </w:pPr>
    <w:rPr>
      <w:rFonts w:ascii="Calibri" w:hAnsi="Calibri" w:eastAsia="宋体" w:cs="Times New Roman"/>
      <w:kern w:val="2"/>
      <w:sz w:val="21"/>
      <w:szCs w:val="24"/>
      <w:lang w:val="en-US" w:eastAsia="zh-CN" w:bidi="ar-SA"/>
    </w:rPr>
  </w:style>
  <w:style w:type="paragraph" w:customStyle="1" w:styleId="492">
    <w:name w:val="Char Char10"/>
    <w:basedOn w:val="1"/>
    <w:qFormat/>
    <w:uiPriority w:val="0"/>
    <w:rPr>
      <w:rFonts w:ascii="仿宋_GB2312" w:eastAsia="仿宋_GB2312"/>
      <w:b/>
      <w:sz w:val="32"/>
      <w:szCs w:val="32"/>
    </w:rPr>
  </w:style>
  <w:style w:type="paragraph" w:customStyle="1" w:styleId="493">
    <w:name w:val="p0"/>
    <w:basedOn w:val="1"/>
    <w:qFormat/>
    <w:uiPriority w:val="0"/>
    <w:pPr>
      <w:widowControl/>
    </w:pPr>
    <w:rPr>
      <w:rFonts w:ascii="Calibri" w:hAnsi="Calibri" w:cs="宋体"/>
      <w:kern w:val="0"/>
      <w:szCs w:val="21"/>
    </w:rPr>
  </w:style>
  <w:style w:type="paragraph" w:customStyle="1" w:styleId="494">
    <w:name w:val="样式 4 + 小三"/>
    <w:basedOn w:val="124"/>
    <w:next w:val="5"/>
    <w:qFormat/>
    <w:uiPriority w:val="0"/>
    <w:rPr>
      <w:sz w:val="30"/>
    </w:rPr>
  </w:style>
  <w:style w:type="paragraph" w:customStyle="1" w:styleId="49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b/>
      <w:bCs/>
      <w:kern w:val="0"/>
      <w:sz w:val="24"/>
    </w:rPr>
  </w:style>
  <w:style w:type="paragraph" w:customStyle="1" w:styleId="496">
    <w:name w:val="2ji"/>
    <w:basedOn w:val="3"/>
    <w:qFormat/>
    <w:uiPriority w:val="0"/>
    <w:pPr>
      <w:adjustRightInd w:val="0"/>
      <w:spacing w:before="0" w:after="0" w:line="360" w:lineRule="auto"/>
      <w:jc w:val="center"/>
      <w:textAlignment w:val="baseline"/>
    </w:pPr>
    <w:rPr>
      <w:rFonts w:ascii="宋体" w:hAnsi="宋体"/>
      <w:sz w:val="21"/>
      <w:szCs w:val="21"/>
    </w:rPr>
  </w:style>
  <w:style w:type="paragraph" w:customStyle="1" w:styleId="497">
    <w:name w:val="首行缩进"/>
    <w:basedOn w:val="1"/>
    <w:qFormat/>
    <w:uiPriority w:val="0"/>
    <w:pPr>
      <w:spacing w:line="360" w:lineRule="auto"/>
      <w:ind w:firstLine="480" w:firstLineChars="200"/>
    </w:pPr>
    <w:rPr>
      <w:rFonts w:ascii="宋体" w:hAnsi="宋体"/>
      <w:kern w:val="0"/>
      <w:sz w:val="24"/>
    </w:rPr>
  </w:style>
  <w:style w:type="paragraph" w:customStyle="1" w:styleId="498">
    <w:name w:val="标准正文"/>
    <w:basedOn w:val="1"/>
    <w:qFormat/>
    <w:uiPriority w:val="99"/>
    <w:pPr>
      <w:spacing w:afterLines="50"/>
      <w:ind w:firstLine="200" w:firstLineChars="200"/>
      <w:jc w:val="left"/>
    </w:pPr>
    <w:rPr>
      <w:sz w:val="24"/>
      <w:szCs w:val="21"/>
    </w:rPr>
  </w:style>
  <w:style w:type="paragraph" w:customStyle="1" w:styleId="499">
    <w:name w:val="标题 1_0"/>
    <w:basedOn w:val="335"/>
    <w:next w:val="335"/>
    <w:qFormat/>
    <w:uiPriority w:val="99"/>
    <w:pPr>
      <w:keepNext/>
      <w:keepLines/>
      <w:spacing w:line="360" w:lineRule="auto"/>
      <w:outlineLvl w:val="0"/>
    </w:pPr>
    <w:rPr>
      <w:rFonts w:eastAsia="黑体"/>
      <w:b/>
      <w:bCs/>
      <w:kern w:val="44"/>
      <w:sz w:val="32"/>
      <w:szCs w:val="44"/>
    </w:rPr>
  </w:style>
  <w:style w:type="paragraph" w:customStyle="1" w:styleId="500">
    <w:name w:val="_Style 15"/>
    <w:basedOn w:val="1"/>
    <w:next w:val="28"/>
    <w:qFormat/>
    <w:uiPriority w:val="0"/>
    <w:rPr>
      <w:rFonts w:ascii="宋体" w:hAnsi="Courier New"/>
      <w:szCs w:val="20"/>
    </w:rPr>
  </w:style>
  <w:style w:type="paragraph" w:customStyle="1" w:styleId="501">
    <w:name w:val="部分编号"/>
    <w:basedOn w:val="1"/>
    <w:qFormat/>
    <w:uiPriority w:val="0"/>
    <w:pPr>
      <w:widowControl/>
      <w:tabs>
        <w:tab w:val="left" w:pos="0"/>
        <w:tab w:val="left" w:pos="1418"/>
      </w:tabs>
      <w:spacing w:before="160" w:after="120" w:line="400" w:lineRule="exact"/>
      <w:ind w:left="1418" w:hanging="1418"/>
    </w:pPr>
    <w:rPr>
      <w:rFonts w:ascii="Arial" w:hAnsi="Arial" w:eastAsia="黑体"/>
      <w:spacing w:val="30"/>
      <w:sz w:val="24"/>
      <w:szCs w:val="20"/>
    </w:rPr>
  </w:style>
  <w:style w:type="paragraph" w:customStyle="1" w:styleId="502">
    <w:name w:val="正文小标题_0"/>
    <w:basedOn w:val="499"/>
    <w:qFormat/>
    <w:uiPriority w:val="0"/>
    <w:pPr>
      <w:spacing w:line="420" w:lineRule="exact"/>
    </w:pPr>
    <w:rPr>
      <w:rFonts w:hAnsi="宋体" w:eastAsia="宋体"/>
      <w:sz w:val="21"/>
      <w:szCs w:val="21"/>
    </w:rPr>
  </w:style>
  <w:style w:type="paragraph" w:customStyle="1" w:styleId="503">
    <w:name w:val="toc 21"/>
    <w:next w:val="1"/>
    <w:qFormat/>
    <w:uiPriority w:val="0"/>
    <w:pPr>
      <w:wordWrap w:val="0"/>
      <w:ind w:left="425"/>
      <w:jc w:val="both"/>
    </w:pPr>
    <w:rPr>
      <w:rFonts w:ascii="Times New Roman" w:hAnsi="Times New Roman" w:eastAsia="宋体" w:cs="Times New Roman"/>
      <w:sz w:val="21"/>
      <w:lang w:val="en-US" w:eastAsia="zh-CN" w:bidi="ar-SA"/>
    </w:rPr>
  </w:style>
  <w:style w:type="paragraph" w:customStyle="1" w:styleId="504">
    <w:name w:val="样式 4 + 段前: 0 磅 段后: 0 磅 行距: 单倍行距1"/>
    <w:basedOn w:val="124"/>
    <w:next w:val="5"/>
    <w:qFormat/>
    <w:uiPriority w:val="0"/>
    <w:pPr>
      <w:spacing w:before="0" w:after="0" w:line="240" w:lineRule="auto"/>
    </w:pPr>
    <w:rPr>
      <w:rFonts w:cs="宋体"/>
      <w:szCs w:val="20"/>
    </w:rPr>
  </w:style>
  <w:style w:type="paragraph" w:customStyle="1" w:styleId="505">
    <w:name w:val="**正文"/>
    <w:basedOn w:val="1"/>
    <w:qFormat/>
    <w:uiPriority w:val="0"/>
    <w:pPr>
      <w:ind w:firstLine="482"/>
    </w:pPr>
    <w:rPr>
      <w:rFonts w:ascii="宋体" w:hAnsi="宋体"/>
      <w:sz w:val="24"/>
    </w:rPr>
  </w:style>
  <w:style w:type="paragraph" w:styleId="506">
    <w:name w:val="List Paragraph"/>
    <w:basedOn w:val="1"/>
    <w:qFormat/>
    <w:uiPriority w:val="0"/>
    <w:pPr>
      <w:ind w:firstLine="420" w:firstLineChars="200"/>
    </w:pPr>
  </w:style>
  <w:style w:type="paragraph" w:customStyle="1" w:styleId="507">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b/>
      <w:bCs/>
      <w:kern w:val="0"/>
      <w:sz w:val="24"/>
    </w:rPr>
  </w:style>
  <w:style w:type="paragraph" w:customStyle="1" w:styleId="508">
    <w:name w:val="F2"/>
    <w:basedOn w:val="1"/>
    <w:qFormat/>
    <w:uiPriority w:val="0"/>
    <w:pPr>
      <w:autoSpaceDE w:val="0"/>
      <w:autoSpaceDN w:val="0"/>
      <w:adjustRightInd w:val="0"/>
      <w:ind w:firstLine="601"/>
      <w:textAlignment w:val="baseline"/>
    </w:pPr>
    <w:rPr>
      <w:kern w:val="0"/>
      <w:sz w:val="24"/>
      <w:szCs w:val="20"/>
    </w:rPr>
  </w:style>
  <w:style w:type="paragraph" w:customStyle="1" w:styleId="509">
    <w:name w:val="文件目录"/>
    <w:basedOn w:val="1"/>
    <w:qFormat/>
    <w:uiPriority w:val="0"/>
    <w:pPr>
      <w:spacing w:line="600" w:lineRule="exact"/>
      <w:jc w:val="left"/>
    </w:pPr>
    <w:rPr>
      <w:b/>
      <w:sz w:val="30"/>
      <w:szCs w:val="20"/>
    </w:rPr>
  </w:style>
  <w:style w:type="paragraph" w:customStyle="1" w:styleId="510">
    <w:name w:val="纯文本_0"/>
    <w:basedOn w:val="335"/>
    <w:unhideWhenUsed/>
    <w:qFormat/>
    <w:uiPriority w:val="0"/>
    <w:rPr>
      <w:rFonts w:ascii="宋体" w:hAnsi="Courier New"/>
    </w:rPr>
  </w:style>
  <w:style w:type="paragraph" w:customStyle="1" w:styleId="511">
    <w:name w:val="简单回函地址"/>
    <w:basedOn w:val="1"/>
    <w:qFormat/>
    <w:uiPriority w:val="0"/>
    <w:rPr>
      <w:rFonts w:ascii="仿宋_GB2312" w:hAnsi="宋体" w:eastAsia="仿宋_GB2312"/>
      <w:bCs/>
      <w:sz w:val="30"/>
      <w:szCs w:val="20"/>
    </w:rPr>
  </w:style>
  <w:style w:type="paragraph" w:customStyle="1" w:styleId="512">
    <w:name w:val="Char Char 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513">
    <w:name w:val="Char Char Char Char Char Char Char Char Char Char Char Char Char Char Char Char"/>
    <w:basedOn w:val="1"/>
    <w:qFormat/>
    <w:uiPriority w:val="0"/>
    <w:pPr>
      <w:tabs>
        <w:tab w:val="left" w:pos="360"/>
      </w:tabs>
      <w:spacing w:line="360" w:lineRule="auto"/>
      <w:ind w:left="482" w:firstLine="200" w:firstLineChars="200"/>
    </w:pPr>
    <w:rPr>
      <w:rFonts w:ascii="宋体"/>
      <w:sz w:val="24"/>
    </w:rPr>
  </w:style>
  <w:style w:type="paragraph" w:customStyle="1" w:styleId="514">
    <w:name w:val="Char2 Char Char Char"/>
    <w:basedOn w:val="1"/>
    <w:qFormat/>
    <w:uiPriority w:val="0"/>
  </w:style>
  <w:style w:type="paragraph" w:customStyle="1" w:styleId="515">
    <w:name w:val="列出段落1"/>
    <w:basedOn w:val="1"/>
    <w:qFormat/>
    <w:uiPriority w:val="0"/>
    <w:pPr>
      <w:autoSpaceDE w:val="0"/>
      <w:autoSpaceDN w:val="0"/>
      <w:ind w:left="400" w:firstLine="420"/>
      <w:jc w:val="left"/>
    </w:pPr>
    <w:rPr>
      <w:rFonts w:ascii="宋体" w:hAnsi="宋体" w:cs="宋体"/>
      <w:kern w:val="0"/>
      <w:sz w:val="22"/>
      <w:szCs w:val="22"/>
      <w:lang w:val="zh-CN" w:bidi="zh-CN"/>
    </w:rPr>
  </w:style>
  <w:style w:type="paragraph" w:customStyle="1" w:styleId="516">
    <w:name w:val="样式 标题 2 + Times New Roman 四号 非加粗 段前: 5 磅 段后: 0 磅 行距: 固定值 20..."/>
    <w:basedOn w:val="3"/>
    <w:qFormat/>
    <w:uiPriority w:val="0"/>
    <w:pPr>
      <w:spacing w:before="100" w:after="0" w:line="400" w:lineRule="exact"/>
      <w:jc w:val="center"/>
    </w:pPr>
    <w:rPr>
      <w:rFonts w:ascii="Times New Roman" w:hAnsi="Times New Roman" w:eastAsia="黑体" w:cs="宋体"/>
      <w:b w:val="0"/>
      <w:bCs w:val="0"/>
      <w:sz w:val="28"/>
      <w:szCs w:val="20"/>
    </w:rPr>
  </w:style>
  <w:style w:type="paragraph" w:customStyle="1" w:styleId="517">
    <w:name w:val="样式 样式 样式 小四 加粗 居中 + 宋体 加粗 黑色 + 左侧:  0.74 厘米"/>
    <w:basedOn w:val="481"/>
    <w:qFormat/>
    <w:uiPriority w:val="0"/>
    <w:pPr>
      <w:ind w:left="420" w:firstLine="422"/>
    </w:pPr>
  </w:style>
  <w:style w:type="paragraph" w:customStyle="1" w:styleId="518">
    <w:name w:val="_Style 1"/>
    <w:basedOn w:val="1"/>
    <w:qFormat/>
    <w:uiPriority w:val="0"/>
  </w:style>
  <w:style w:type="table" w:customStyle="1" w:styleId="519">
    <w:name w:val="Table Normal"/>
    <w:unhideWhenUsed/>
    <w:qFormat/>
    <w:uiPriority w:val="2"/>
    <w:pPr>
      <w:widowControl w:val="0"/>
      <w:autoSpaceDE w:val="0"/>
      <w:autoSpaceDN w:val="0"/>
    </w:pPr>
    <w:rPr>
      <w:rFonts w:ascii="Calibri" w:hAnsi="Calibri"/>
      <w:sz w:val="22"/>
      <w:lang w:eastAsia="en-US"/>
    </w:rPr>
    <w:tblPr>
      <w:tblCellMar>
        <w:top w:w="0" w:type="dxa"/>
        <w:left w:w="0" w:type="dxa"/>
        <w:bottom w:w="0" w:type="dxa"/>
        <w:right w:w="0" w:type="dxa"/>
      </w:tblCellMar>
    </w:tblPr>
  </w:style>
  <w:style w:type="character" w:customStyle="1" w:styleId="520">
    <w:name w:val="fontstyle01"/>
    <w:basedOn w:val="57"/>
    <w:qFormat/>
    <w:uiPriority w:val="0"/>
    <w:rPr>
      <w:rFonts w:ascii="宋体" w:hAnsi="宋体" w:eastAsia="宋体" w:cs="宋体"/>
      <w:color w:val="000000"/>
      <w:sz w:val="24"/>
      <w:szCs w:val="24"/>
    </w:rPr>
  </w:style>
  <w:style w:type="character" w:customStyle="1" w:styleId="521">
    <w:name w:val="fontstyle11"/>
    <w:basedOn w:val="57"/>
    <w:qFormat/>
    <w:uiPriority w:val="0"/>
    <w:rPr>
      <w:rFonts w:ascii="TimesNewRomanPSMT" w:hAnsi="TimesNewRomanPSMT" w:eastAsia="TimesNewRomanPSMT" w:cs="TimesNewRomanPSMT"/>
      <w:color w:val="000000"/>
      <w:sz w:val="28"/>
      <w:szCs w:val="28"/>
    </w:rPr>
  </w:style>
  <w:style w:type="character" w:customStyle="1" w:styleId="522">
    <w:name w:val="fontstyle21"/>
    <w:basedOn w:val="57"/>
    <w:qFormat/>
    <w:uiPriority w:val="0"/>
    <w:rPr>
      <w:rFonts w:ascii="宋体" w:hAnsi="宋体" w:eastAsia="宋体" w:cs="宋体"/>
      <w:color w:val="000000"/>
      <w:sz w:val="28"/>
      <w:szCs w:val="28"/>
    </w:rPr>
  </w:style>
  <w:style w:type="paragraph" w:customStyle="1" w:styleId="523">
    <w:name w:val="Body text|1"/>
    <w:basedOn w:val="1"/>
    <w:qFormat/>
    <w:uiPriority w:val="0"/>
    <w:pPr>
      <w:spacing w:line="360" w:lineRule="auto"/>
      <w:ind w:firstLine="400"/>
    </w:pPr>
    <w:rPr>
      <w:rFonts w:ascii="宋体" w:hAnsi="宋体" w:cs="宋体"/>
      <w:szCs w:val="20"/>
      <w:lang w:val="zh-CN" w:bidi="zh-CN"/>
    </w:rPr>
  </w:style>
  <w:style w:type="paragraph" w:customStyle="1" w:styleId="524">
    <w:name w:val="Body text|2"/>
    <w:basedOn w:val="1"/>
    <w:qFormat/>
    <w:uiPriority w:val="0"/>
    <w:pPr>
      <w:spacing w:after="30"/>
      <w:ind w:firstLine="420"/>
    </w:pPr>
    <w:rPr>
      <w:szCs w:val="20"/>
    </w:rPr>
  </w:style>
  <w:style w:type="paragraph" w:customStyle="1" w:styleId="525">
    <w:name w:val="Other|1"/>
    <w:basedOn w:val="1"/>
    <w:qFormat/>
    <w:uiPriority w:val="0"/>
    <w:pPr>
      <w:spacing w:line="360" w:lineRule="auto"/>
      <w:ind w:firstLine="400"/>
    </w:pPr>
    <w:rPr>
      <w:rFonts w:ascii="宋体" w:hAnsi="宋体" w:cs="宋体"/>
      <w:sz w:val="20"/>
      <w:szCs w:val="20"/>
      <w:lang w:val="zh-CN" w:bidi="zh-CN"/>
    </w:rPr>
  </w:style>
  <w:style w:type="character" w:customStyle="1" w:styleId="526">
    <w:name w:val="无"/>
    <w:qFormat/>
    <w:uiPriority w:val="0"/>
  </w:style>
  <w:style w:type="paragraph" w:customStyle="1" w:styleId="527">
    <w:name w:val="Body text|1_1"/>
    <w:basedOn w:val="266"/>
    <w:qFormat/>
    <w:uiPriority w:val="0"/>
    <w:pPr>
      <w:spacing w:line="360" w:lineRule="auto"/>
      <w:ind w:firstLine="400"/>
    </w:pPr>
    <w:rPr>
      <w:rFonts w:ascii="宋体" w:hAnsi="宋体" w:cs="宋体"/>
      <w:sz w:val="20"/>
      <w:szCs w:val="20"/>
      <w:lang w:val="zh-CN" w:bidi="zh-CN"/>
    </w:rPr>
  </w:style>
  <w:style w:type="paragraph" w:customStyle="1" w:styleId="528">
    <w:name w:val="Body text|2_0"/>
    <w:basedOn w:val="335"/>
    <w:qFormat/>
    <w:uiPriority w:val="0"/>
    <w:pPr>
      <w:spacing w:after="30"/>
      <w:ind w:firstLine="420"/>
    </w:pPr>
    <w:rPr>
      <w:sz w:val="20"/>
      <w:szCs w:val="20"/>
    </w:rPr>
  </w:style>
  <w:style w:type="paragraph" w:customStyle="1" w:styleId="529">
    <w:name w:val="正文文本_2"/>
    <w:basedOn w:val="266"/>
    <w:qFormat/>
    <w:uiPriority w:val="0"/>
    <w:pPr>
      <w:spacing w:after="120"/>
    </w:pPr>
  </w:style>
  <w:style w:type="character" w:customStyle="1" w:styleId="530">
    <w:name w:val="标题 4 字符"/>
    <w:link w:val="5"/>
    <w:qFormat/>
    <w:uiPriority w:val="9"/>
    <w:rPr>
      <w:rFonts w:ascii="等线 Light" w:hAnsi="等线 Light" w:eastAsia="宋体" w:cs="Times New Roman"/>
      <w:b/>
      <w:bCs/>
      <w:sz w:val="30"/>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wmf"/><Relationship Id="rId17" Type="http://schemas.openxmlformats.org/officeDocument/2006/relationships/oleObject" Target="embeddings/oleObject1.bin"/><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55" textRotate="1"/>
    <customShpInfo spid="_x0000_s2056" textRotate="1"/>
    <customShpInfo spid="_x0000_s2053"/>
    <customShpInfo spid="_x0000_s2057" textRotate="1"/>
    <customShpInfo spid="_x0000_s2058" textRotate="1"/>
    <customShpInfo spid="_x0000_s2059" textRotate="1"/>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zyz</Company>
  <Pages>139</Pages>
  <Words>14120</Words>
  <Characters>15253</Characters>
  <Lines>791</Lines>
  <Paragraphs>222</Paragraphs>
  <TotalTime>19</TotalTime>
  <ScaleCrop>false</ScaleCrop>
  <LinksUpToDate>false</LinksUpToDate>
  <CharactersWithSpaces>15536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2025-10-11T03:00:00Z</dcterms:created>
  <dc:creator>NTKO</dc:creator>
  <cp:lastModifiedBy>LDD</cp:lastModifiedBy>
  <cp:lastPrinted>2021-11-16T07:23:00Z</cp:lastPrinted>
  <dcterms:modified xsi:type="dcterms:W3CDTF">2025-10-30T03:04:54Z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D4058E93897D44FFBD32C3191E2DB960_13</vt:lpwstr>
  </property>
  <property fmtid="{D5CDD505-2E9C-101B-9397-08002B2CF9AE}" pid="4" name="commondata">
    <vt:lpwstr>eyJoZGlkIjoiNmI0ZWI0N2Y0ZjU5YzVjZThmOGM0OTdjZGU1NTliN2QifQ==</vt:lpwstr>
  </property>
  <property fmtid="{D5CDD505-2E9C-101B-9397-08002B2CF9AE}" pid="5" name="KSOTemplateDocerSaveRecord">
    <vt:lpwstr>eyJoZGlkIjoiZDk1ODA3NjM5M2ZmNjlmNjY4NTMwMGI5NzEyZDE3ZDkiLCJ1c2VySWQiOiI1Mjc5MDkyNzEifQ==</vt:lpwstr>
  </property>
</Properties>
</file>