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38921">
      <w:pPr>
        <w:spacing w:before="165" w:beforeLines="50" w:line="360" w:lineRule="auto"/>
        <w:jc w:val="center"/>
        <w:rPr>
          <w:rFonts w:hint="eastAsia" w:ascii="宋体" w:hAnsi="宋体" w:eastAsia="宋体" w:cs="宋体"/>
          <w:color w:val="auto"/>
          <w:sz w:val="52"/>
          <w:szCs w:val="52"/>
          <w:highlight w:val="none"/>
          <w:lang w:eastAsia="zh-CN"/>
        </w:rPr>
      </w:pPr>
      <w:r>
        <w:rPr>
          <w:rFonts w:hint="eastAsia" w:ascii="宋体" w:hAnsi="宋体" w:eastAsia="宋体" w:cs="宋体"/>
          <w:color w:val="auto"/>
          <w:sz w:val="52"/>
          <w:szCs w:val="52"/>
          <w:highlight w:val="none"/>
          <w:lang w:eastAsia="zh-CN"/>
        </w:rPr>
        <w:drawing>
          <wp:inline distT="0" distB="0" distL="114300" distR="114300">
            <wp:extent cx="6186805" cy="8509000"/>
            <wp:effectExtent l="0" t="0" r="4445" b="6350"/>
            <wp:docPr id="2" name="图片 2"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封面"/>
                    <pic:cNvPicPr>
                      <a:picLocks noChangeAspect="1"/>
                    </pic:cNvPicPr>
                  </pic:nvPicPr>
                  <pic:blipFill>
                    <a:blip r:embed="rId16"/>
                    <a:stretch>
                      <a:fillRect/>
                    </a:stretch>
                  </pic:blipFill>
                  <pic:spPr>
                    <a:xfrm>
                      <a:off x="0" y="0"/>
                      <a:ext cx="6186805" cy="8509000"/>
                    </a:xfrm>
                    <a:prstGeom prst="rect">
                      <a:avLst/>
                    </a:prstGeom>
                  </pic:spPr>
                </pic:pic>
              </a:graphicData>
            </a:graphic>
          </wp:inline>
        </w:drawing>
      </w:r>
    </w:p>
    <w:p w14:paraId="26AD24F9">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7B9DA6D1">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2CE9B980">
      <w:pPr>
        <w:spacing w:before="165" w:beforeLines="50" w:line="360" w:lineRule="auto"/>
        <w:jc w:val="center"/>
        <w:rPr>
          <w:rFonts w:hint="eastAsia" w:ascii="宋体" w:hAnsi="宋体" w:eastAsia="宋体" w:cs="宋体"/>
          <w:color w:val="auto"/>
          <w:sz w:val="36"/>
          <w:szCs w:val="36"/>
          <w:highlight w:val="none"/>
        </w:rPr>
      </w:pPr>
    </w:p>
    <w:p w14:paraId="2241115F">
      <w:pPr>
        <w:spacing w:before="165" w:beforeLines="50" w:line="360" w:lineRule="auto"/>
        <w:jc w:val="center"/>
        <w:rPr>
          <w:rFonts w:hint="eastAsia" w:ascii="宋体" w:hAnsi="宋体" w:eastAsia="宋体" w:cs="宋体"/>
          <w:color w:val="auto"/>
          <w:sz w:val="36"/>
          <w:szCs w:val="36"/>
          <w:highlight w:val="none"/>
        </w:rPr>
      </w:pPr>
    </w:p>
    <w:p w14:paraId="394C3658">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1B75677E">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4F7D2F17">
      <w:pPr>
        <w:spacing w:line="360" w:lineRule="auto"/>
        <w:rPr>
          <w:rFonts w:hint="eastAsia" w:ascii="宋体" w:hAnsi="宋体" w:eastAsia="宋体" w:cs="宋体"/>
          <w:b/>
          <w:color w:val="auto"/>
          <w:sz w:val="32"/>
          <w:szCs w:val="32"/>
          <w:highlight w:val="none"/>
        </w:rPr>
      </w:pPr>
    </w:p>
    <w:p w14:paraId="20A72DA6">
      <w:pPr>
        <w:spacing w:line="360" w:lineRule="auto"/>
        <w:jc w:val="center"/>
        <w:rPr>
          <w:rFonts w:hint="eastAsia" w:ascii="宋体" w:hAnsi="宋体" w:eastAsia="宋体" w:cs="宋体"/>
          <w:b/>
          <w:color w:val="auto"/>
          <w:sz w:val="32"/>
          <w:szCs w:val="32"/>
          <w:highlight w:val="none"/>
        </w:rPr>
      </w:pPr>
    </w:p>
    <w:p w14:paraId="2739491E">
      <w:pPr>
        <w:pStyle w:val="15"/>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pacing w:val="-6"/>
          <w:sz w:val="28"/>
          <w:szCs w:val="28"/>
          <w:highlight w:val="none"/>
          <w:lang w:eastAsia="zh-CN"/>
        </w:rPr>
        <w:t>“南宁党建”融媒体平台管理维护服务</w:t>
      </w:r>
    </w:p>
    <w:p w14:paraId="5CA9CC53">
      <w:pPr>
        <w:snapToGrid w:val="0"/>
        <w:spacing w:before="165" w:beforeLines="50" w:line="360" w:lineRule="auto"/>
        <w:ind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：NNZC202</w:t>
      </w:r>
      <w:r>
        <w:rPr>
          <w:rFonts w:hint="eastAsia" w:ascii="宋体" w:hAnsi="宋体" w:cs="宋体"/>
          <w:b/>
          <w:bCs/>
          <w:color w:val="auto"/>
          <w:w w:val="95"/>
          <w:sz w:val="30"/>
          <w:szCs w:val="30"/>
          <w:highlight w:val="none"/>
          <w:lang w:val="en-US" w:eastAsia="zh-CN"/>
        </w:rPr>
        <w:t>5-C3-990592-GXDY</w:t>
      </w:r>
    </w:p>
    <w:p w14:paraId="13E403D6">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项目所属区划：南宁市本级项目</w:t>
      </w:r>
    </w:p>
    <w:p w14:paraId="74D248DC">
      <w:pPr>
        <w:pStyle w:val="15"/>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bookmarkStart w:id="0" w:name="PO_3000001866_PM026"/>
      <w:r>
        <w:rPr>
          <w:rFonts w:hint="eastAsia" w:ascii="宋体" w:hAnsi="宋体" w:eastAsia="宋体" w:cs="宋体"/>
          <w:b/>
          <w:bCs/>
          <w:color w:val="auto"/>
          <w:w w:val="95"/>
          <w:sz w:val="30"/>
          <w:szCs w:val="30"/>
          <w:highlight w:val="none"/>
          <w:lang w:eastAsia="zh-CN"/>
        </w:rPr>
        <w:t>中国共产党南宁市委员会组织部</w:t>
      </w:r>
      <w:bookmarkEnd w:id="0"/>
    </w:p>
    <w:p w14:paraId="0478B012">
      <w:pPr>
        <w:pStyle w:val="15"/>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采购代理机构：广西德元工程项目管理有限责任公司</w:t>
      </w:r>
    </w:p>
    <w:p w14:paraId="73A83C07">
      <w:pPr>
        <w:pStyle w:val="15"/>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6" w:h="16838"/>
          <w:pgMar w:top="1440" w:right="1080" w:bottom="1440" w:left="1080" w:header="720" w:footer="720" w:gutter="0"/>
          <w:pgNumType w:start="1"/>
          <w:cols w:space="720" w:num="1"/>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ascii="宋体" w:hAnsi="宋体" w:eastAsia="宋体" w:cs="宋体"/>
          <w:b/>
          <w:bCs/>
          <w:color w:val="auto"/>
          <w:w w:val="95"/>
          <w:sz w:val="30"/>
          <w:szCs w:val="30"/>
          <w:highlight w:val="none"/>
          <w:lang w:val="en-US" w:eastAsia="zh-CN"/>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 xml:space="preserve">年 </w:t>
      </w:r>
      <w:r>
        <w:rPr>
          <w:rFonts w:hint="eastAsia" w:hAnsi="宋体" w:cs="宋体"/>
          <w:b/>
          <w:bCs/>
          <w:color w:val="auto"/>
          <w:w w:val="95"/>
          <w:sz w:val="30"/>
          <w:szCs w:val="30"/>
          <w:highlight w:val="none"/>
          <w:lang w:val="en-US" w:eastAsia="zh-CN"/>
        </w:rPr>
        <w:t>7</w:t>
      </w:r>
      <w:r>
        <w:rPr>
          <w:rFonts w:hint="eastAsia" w:ascii="宋体" w:hAnsi="宋体" w:eastAsia="宋体" w:cs="宋体"/>
          <w:b/>
          <w:bCs/>
          <w:color w:val="auto"/>
          <w:w w:val="95"/>
          <w:sz w:val="30"/>
          <w:szCs w:val="30"/>
          <w:highlight w:val="none"/>
        </w:rPr>
        <w:t>月</w:t>
      </w:r>
      <w:r>
        <w:rPr>
          <w:rFonts w:hint="eastAsia" w:ascii="宋体" w:hAnsi="宋体" w:eastAsia="宋体" w:cs="宋体"/>
          <w:color w:val="auto"/>
          <w:w w:val="95"/>
          <w:highlight w:val="none"/>
        </w:rPr>
        <w:t xml:space="preserve">  </w:t>
      </w:r>
    </w:p>
    <w:p w14:paraId="22E9C9A2">
      <w:pPr>
        <w:spacing w:line="360" w:lineRule="auto"/>
        <w:jc w:val="both"/>
        <w:rPr>
          <w:rFonts w:hint="eastAsia" w:ascii="宋体" w:hAnsi="宋体" w:eastAsia="宋体" w:cs="宋体"/>
          <w:b/>
          <w:color w:val="auto"/>
          <w:sz w:val="32"/>
          <w:szCs w:val="32"/>
          <w:highlight w:val="none"/>
        </w:rPr>
      </w:pPr>
    </w:p>
    <w:p w14:paraId="6F21236D">
      <w:pPr>
        <w:tabs>
          <w:tab w:val="center" w:pos="4935"/>
          <w:tab w:val="left" w:pos="7864"/>
        </w:tabs>
        <w:spacing w:line="360" w:lineRule="auto"/>
        <w:jc w:val="left"/>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eastAsia="zh-CN"/>
        </w:rPr>
        <w:tab/>
      </w:r>
      <w:r>
        <w:rPr>
          <w:rFonts w:hint="eastAsia" w:ascii="宋体" w:hAnsi="宋体" w:eastAsia="宋体" w:cs="宋体"/>
          <w:b/>
          <w:color w:val="auto"/>
          <w:sz w:val="44"/>
          <w:szCs w:val="44"/>
          <w:highlight w:val="none"/>
        </w:rPr>
        <w:t>目   录</w:t>
      </w:r>
      <w:r>
        <w:rPr>
          <w:rFonts w:hint="eastAsia" w:ascii="宋体" w:hAnsi="宋体" w:cs="宋体"/>
          <w:b/>
          <w:color w:val="auto"/>
          <w:sz w:val="44"/>
          <w:szCs w:val="44"/>
          <w:highlight w:val="none"/>
          <w:lang w:eastAsia="zh-CN"/>
        </w:rPr>
        <w:tab/>
      </w:r>
    </w:p>
    <w:p w14:paraId="4168A70A">
      <w:pPr>
        <w:spacing w:line="400" w:lineRule="exact"/>
        <w:jc w:val="center"/>
        <w:rPr>
          <w:rFonts w:hint="eastAsia" w:ascii="宋体" w:hAnsi="宋体" w:eastAsia="宋体" w:cs="宋体"/>
          <w:b/>
          <w:color w:val="auto"/>
          <w:sz w:val="44"/>
          <w:szCs w:val="44"/>
          <w:highlight w:val="none"/>
        </w:rPr>
      </w:pPr>
    </w:p>
    <w:p w14:paraId="237549B7">
      <w:pPr>
        <w:pStyle w:val="18"/>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lang w:val="en-US" w:eastAsia="zh-CN"/>
        </w:rPr>
        <w:t>2</w:t>
      </w:r>
    </w:p>
    <w:p w14:paraId="587A8F3A">
      <w:pPr>
        <w:pStyle w:val="18"/>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lang w:val="en-US" w:eastAsia="zh-CN"/>
        </w:rPr>
        <w:t>6</w:t>
      </w:r>
      <w:r>
        <w:rPr>
          <w:rFonts w:hint="eastAsia" w:ascii="宋体" w:hAnsi="宋体" w:cs="宋体"/>
          <w:color w:val="auto"/>
          <w:highlight w:val="none"/>
        </w:rPr>
        <w:fldChar w:fldCharType="end"/>
      </w:r>
    </w:p>
    <w:p w14:paraId="2BE0EB1E">
      <w:pPr>
        <w:pStyle w:val="18"/>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lang w:val="en-US" w:eastAsia="zh-CN"/>
        </w:rPr>
        <w:t>2</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14:paraId="1CEB65F6">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lang w:val="en-US" w:eastAsia="zh-CN"/>
        </w:rPr>
        <w:t>2</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14:paraId="36D4008B">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lang w:val="en-US" w:eastAsia="zh-CN"/>
        </w:rPr>
        <w:t>2</w:t>
      </w:r>
      <w:r>
        <w:rPr>
          <w:rFonts w:hint="eastAsia" w:ascii="宋体" w:hAnsi="宋体" w:cs="宋体"/>
          <w:color w:val="auto"/>
          <w:highlight w:val="none"/>
        </w:rPr>
        <w:fldChar w:fldCharType="end"/>
      </w:r>
      <w:r>
        <w:rPr>
          <w:rFonts w:hint="eastAsia" w:ascii="宋体" w:hAnsi="宋体" w:cs="宋体"/>
          <w:color w:val="auto"/>
          <w:highlight w:val="none"/>
          <w:lang w:val="en-US" w:eastAsia="zh-CN"/>
        </w:rPr>
        <w:t>9</w:t>
      </w:r>
    </w:p>
    <w:p w14:paraId="420F7379">
      <w:pPr>
        <w:pStyle w:val="14"/>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lang w:val="en-US" w:eastAsia="zh-CN"/>
        </w:rPr>
        <w:t>2</w:t>
      </w:r>
      <w:r>
        <w:rPr>
          <w:rFonts w:hint="eastAsia" w:ascii="宋体" w:hAnsi="宋体" w:cs="宋体"/>
          <w:color w:val="auto"/>
          <w:highlight w:val="none"/>
        </w:rPr>
        <w:fldChar w:fldCharType="end"/>
      </w:r>
      <w:r>
        <w:rPr>
          <w:rFonts w:hint="eastAsia" w:ascii="宋体" w:hAnsi="宋体" w:cs="宋体"/>
          <w:color w:val="auto"/>
          <w:highlight w:val="none"/>
          <w:lang w:val="en-US" w:eastAsia="zh-CN"/>
        </w:rPr>
        <w:t>9</w:t>
      </w:r>
    </w:p>
    <w:p w14:paraId="2773132B">
      <w:pPr>
        <w:pStyle w:val="14"/>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lang w:val="en-US" w:eastAsia="zh-CN"/>
        </w:rPr>
        <w:t>3</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528D2880">
      <w:pPr>
        <w:pStyle w:val="14"/>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lang w:val="en-US" w:eastAsia="zh-CN"/>
        </w:rPr>
        <w:t>3</w:t>
      </w:r>
      <w:r>
        <w:rPr>
          <w:rFonts w:hint="eastAsia" w:ascii="宋体" w:hAnsi="宋体" w:cs="宋体"/>
          <w:color w:val="auto"/>
          <w:highlight w:val="none"/>
        </w:rPr>
        <w:fldChar w:fldCharType="end"/>
      </w:r>
      <w:r>
        <w:rPr>
          <w:rFonts w:hint="eastAsia" w:ascii="宋体" w:hAnsi="宋体" w:cs="宋体"/>
          <w:color w:val="auto"/>
          <w:highlight w:val="none"/>
          <w:lang w:val="en-US" w:eastAsia="zh-CN"/>
        </w:rPr>
        <w:t>2</w:t>
      </w:r>
    </w:p>
    <w:p w14:paraId="02941A0A">
      <w:pPr>
        <w:pStyle w:val="14"/>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lang w:val="en-US" w:eastAsia="zh-CN"/>
        </w:rPr>
        <w:t>3</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14:paraId="76572756">
      <w:pPr>
        <w:pStyle w:val="14"/>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lang w:val="en-US" w:eastAsia="zh-CN"/>
        </w:rPr>
        <w:t>3</w:t>
      </w:r>
      <w:r>
        <w:rPr>
          <w:rFonts w:hint="eastAsia" w:ascii="宋体" w:hAnsi="宋体" w:cs="宋体"/>
          <w:color w:val="auto"/>
          <w:highlight w:val="none"/>
        </w:rPr>
        <w:fldChar w:fldCharType="end"/>
      </w:r>
      <w:r>
        <w:rPr>
          <w:rFonts w:hint="eastAsia" w:ascii="宋体" w:hAnsi="宋体" w:cs="宋体"/>
          <w:color w:val="auto"/>
          <w:highlight w:val="none"/>
          <w:lang w:val="en-US" w:eastAsia="zh-CN"/>
        </w:rPr>
        <w:t>5</w:t>
      </w:r>
    </w:p>
    <w:p w14:paraId="42C40E66">
      <w:pPr>
        <w:pStyle w:val="14"/>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lang w:val="en-US" w:eastAsia="zh-CN"/>
        </w:rPr>
        <w:t>3</w:t>
      </w:r>
      <w:r>
        <w:rPr>
          <w:rFonts w:hint="eastAsia" w:ascii="宋体" w:hAnsi="宋体" w:cs="宋体"/>
          <w:color w:val="auto"/>
          <w:highlight w:val="none"/>
        </w:rPr>
        <w:fldChar w:fldCharType="end"/>
      </w:r>
      <w:r>
        <w:rPr>
          <w:rFonts w:hint="eastAsia" w:ascii="宋体" w:hAnsi="宋体" w:cs="宋体"/>
          <w:color w:val="auto"/>
          <w:highlight w:val="none"/>
          <w:lang w:val="en-US" w:eastAsia="zh-CN"/>
        </w:rPr>
        <w:t>7</w:t>
      </w:r>
    </w:p>
    <w:p w14:paraId="26316C6E">
      <w:pPr>
        <w:pStyle w:val="14"/>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lang w:val="en-US" w:eastAsia="zh-CN"/>
        </w:rPr>
        <w:t>3</w:t>
      </w:r>
      <w:r>
        <w:rPr>
          <w:rFonts w:hint="eastAsia" w:ascii="宋体" w:hAnsi="宋体" w:cs="宋体"/>
          <w:color w:val="auto"/>
          <w:highlight w:val="none"/>
        </w:rPr>
        <w:fldChar w:fldCharType="end"/>
      </w:r>
      <w:r>
        <w:rPr>
          <w:rFonts w:hint="eastAsia" w:ascii="宋体" w:hAnsi="宋体" w:cs="宋体"/>
          <w:color w:val="auto"/>
          <w:highlight w:val="none"/>
          <w:lang w:val="en-US" w:eastAsia="zh-CN"/>
        </w:rPr>
        <w:t>8</w:t>
      </w:r>
    </w:p>
    <w:p w14:paraId="1CA25DD1">
      <w:pPr>
        <w:pStyle w:val="18"/>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lang w:val="en-US" w:eastAsia="zh-CN"/>
        </w:rPr>
        <w:t>4</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6667C4F5">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lang w:val="en-US" w:eastAsia="zh-CN"/>
        </w:rPr>
        <w:t>4</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5AE89EF0">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lang w:val="en-US" w:eastAsia="zh-CN"/>
        </w:rPr>
        <w:t>5</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4A6568C3">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lang w:val="en-US" w:eastAsia="zh-CN"/>
        </w:rPr>
        <w:t>5</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1F9E6C1B">
      <w:pPr>
        <w:pStyle w:val="18"/>
        <w:tabs>
          <w:tab w:val="right" w:leader="dot" w:pos="8879"/>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lang w:val="en-US" w:eastAsia="zh-CN"/>
        </w:rPr>
        <w:t>5</w:t>
      </w:r>
      <w:r>
        <w:rPr>
          <w:rFonts w:hint="eastAsia" w:ascii="宋体" w:hAnsi="宋体" w:cs="宋体"/>
          <w:color w:val="auto"/>
          <w:highlight w:val="none"/>
        </w:rPr>
        <w:fldChar w:fldCharType="end"/>
      </w:r>
      <w:r>
        <w:rPr>
          <w:rFonts w:hint="eastAsia" w:ascii="宋体" w:hAnsi="宋体" w:cs="宋体"/>
          <w:color w:val="auto"/>
          <w:highlight w:val="none"/>
          <w:lang w:val="en-US" w:eastAsia="zh-CN"/>
        </w:rPr>
        <w:t>2</w:t>
      </w:r>
    </w:p>
    <w:p w14:paraId="335DCF69">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lang w:val="en-US" w:eastAsia="zh-CN"/>
        </w:rPr>
        <w:t>5</w:t>
      </w:r>
      <w:r>
        <w:rPr>
          <w:rFonts w:hint="eastAsia" w:ascii="宋体" w:hAnsi="宋体" w:cs="宋体"/>
          <w:color w:val="auto"/>
          <w:highlight w:val="none"/>
        </w:rPr>
        <w:fldChar w:fldCharType="end"/>
      </w:r>
      <w:r>
        <w:rPr>
          <w:rFonts w:hint="eastAsia" w:ascii="宋体" w:hAnsi="宋体" w:cs="宋体"/>
          <w:color w:val="auto"/>
          <w:highlight w:val="none"/>
          <w:lang w:val="en-US" w:eastAsia="zh-CN"/>
        </w:rPr>
        <w:t>3</w:t>
      </w:r>
    </w:p>
    <w:p w14:paraId="4EC725A7">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lang w:val="en-US" w:eastAsia="zh-CN"/>
        </w:rPr>
        <w:t>5</w:t>
      </w:r>
      <w:r>
        <w:rPr>
          <w:rFonts w:hint="eastAsia" w:ascii="宋体" w:hAnsi="宋体" w:cs="宋体"/>
          <w:color w:val="auto"/>
          <w:highlight w:val="none"/>
        </w:rPr>
        <w:fldChar w:fldCharType="end"/>
      </w:r>
      <w:r>
        <w:rPr>
          <w:rFonts w:hint="eastAsia" w:ascii="宋体" w:hAnsi="宋体" w:cs="宋体"/>
          <w:color w:val="auto"/>
          <w:highlight w:val="none"/>
          <w:lang w:val="en-US" w:eastAsia="zh-CN"/>
        </w:rPr>
        <w:t>4</w:t>
      </w:r>
    </w:p>
    <w:p w14:paraId="79AF7020">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lang w:val="en-US" w:eastAsia="zh-CN"/>
        </w:rPr>
        <w:t>61</w:t>
      </w:r>
    </w:p>
    <w:p w14:paraId="720DEE9E">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lang w:val="en-US" w:eastAsia="zh-CN"/>
        </w:rPr>
        <w:t>7</w:t>
      </w:r>
      <w:r>
        <w:rPr>
          <w:rFonts w:hint="eastAsia" w:ascii="宋体" w:hAnsi="宋体" w:cs="宋体"/>
          <w:color w:val="auto"/>
          <w:highlight w:val="none"/>
        </w:rPr>
        <w:fldChar w:fldCharType="end"/>
      </w:r>
      <w:r>
        <w:rPr>
          <w:rFonts w:hint="eastAsia" w:ascii="宋体" w:hAnsi="宋体" w:cs="宋体"/>
          <w:color w:val="auto"/>
          <w:highlight w:val="none"/>
          <w:lang w:val="en-US" w:eastAsia="zh-CN"/>
        </w:rPr>
        <w:t>5</w:t>
      </w:r>
    </w:p>
    <w:p w14:paraId="702A0B5F">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lang w:val="en-US" w:eastAsia="zh-CN"/>
        </w:rPr>
        <w:t>8</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7C2A1A45">
      <w:pPr>
        <w:pStyle w:val="18"/>
        <w:tabs>
          <w:tab w:val="right" w:leader="dot" w:pos="8879"/>
        </w:tabs>
        <w:jc w:val="center"/>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lang w:val="en-US" w:eastAsia="zh-CN"/>
        </w:rPr>
        <w:t>8</w:t>
      </w:r>
      <w:r>
        <w:rPr>
          <w:rFonts w:hint="eastAsia" w:ascii="宋体" w:hAnsi="宋体" w:cs="宋体"/>
          <w:color w:val="auto"/>
          <w:highlight w:val="none"/>
        </w:rPr>
        <w:fldChar w:fldCharType="end"/>
      </w:r>
      <w:r>
        <w:rPr>
          <w:rFonts w:hint="eastAsia" w:ascii="宋体" w:hAnsi="宋体" w:cs="宋体"/>
          <w:color w:val="auto"/>
          <w:highlight w:val="none"/>
          <w:lang w:val="en-US" w:eastAsia="zh-CN"/>
        </w:rPr>
        <w:t>3</w:t>
      </w:r>
    </w:p>
    <w:p w14:paraId="59EAD76E">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第一部分 合同书</w:t>
      </w:r>
      <w:r>
        <w:rPr>
          <w:rFonts w:hint="eastAsia" w:ascii="宋体" w:hAnsi="宋体" w:cs="宋体"/>
          <w:color w:val="auto"/>
          <w:highlight w:val="none"/>
        </w:rPr>
        <w:tab/>
      </w:r>
      <w:r>
        <w:rPr>
          <w:rFonts w:hint="eastAsia" w:ascii="宋体" w:hAnsi="宋体" w:cs="宋体"/>
          <w:color w:val="auto"/>
          <w:highlight w:val="none"/>
          <w:lang w:val="en-US" w:eastAsia="zh-CN"/>
        </w:rPr>
        <w:t>8</w:t>
      </w:r>
      <w:r>
        <w:rPr>
          <w:rFonts w:hint="eastAsia" w:ascii="宋体" w:hAnsi="宋体" w:cs="宋体"/>
          <w:color w:val="auto"/>
          <w:highlight w:val="none"/>
        </w:rPr>
        <w:fldChar w:fldCharType="end"/>
      </w:r>
      <w:r>
        <w:rPr>
          <w:rFonts w:hint="eastAsia" w:ascii="宋体" w:hAnsi="宋体" w:cs="宋体"/>
          <w:color w:val="auto"/>
          <w:highlight w:val="none"/>
          <w:lang w:val="en-US" w:eastAsia="zh-CN"/>
        </w:rPr>
        <w:t>6</w:t>
      </w:r>
    </w:p>
    <w:p w14:paraId="39B8DE3F">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合同一般条款</w:t>
      </w:r>
      <w:r>
        <w:rPr>
          <w:rFonts w:hint="eastAsia" w:ascii="宋体" w:hAnsi="宋体" w:cs="宋体"/>
          <w:color w:val="auto"/>
          <w:highlight w:val="none"/>
        </w:rPr>
        <w:tab/>
      </w:r>
      <w:r>
        <w:rPr>
          <w:rFonts w:hint="eastAsia" w:ascii="宋体" w:hAnsi="宋体" w:cs="宋体"/>
          <w:color w:val="auto"/>
          <w:highlight w:val="none"/>
          <w:lang w:val="en-US" w:eastAsia="zh-CN"/>
        </w:rPr>
        <w:t>9</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79909BE0">
      <w:pPr>
        <w:pStyle w:val="20"/>
        <w:tabs>
          <w:tab w:val="right" w:leader="dot" w:pos="8879"/>
          <w:tab w:val="clear" w:pos="8296"/>
        </w:tabs>
        <w:jc w:val="center"/>
        <w:rPr>
          <w:rFonts w:ascii="宋体" w:hAnsi="宋体" w:cs="宋体"/>
          <w:color w:val="auto"/>
          <w:highlight w:val="none"/>
        </w:rPr>
      </w:pPr>
      <w:r>
        <w:rPr>
          <w:color w:val="auto"/>
          <w:highlight w:val="none"/>
        </w:rPr>
        <w:fldChar w:fldCharType="begin"/>
      </w:r>
      <w:r>
        <w:rPr>
          <w:color w:val="auto"/>
          <w:highlight w:val="none"/>
        </w:rPr>
        <w:instrText xml:space="preserve"> HYPERLINK \l "_Toc6407" </w:instrText>
      </w:r>
      <w:r>
        <w:rPr>
          <w:color w:val="auto"/>
          <w:highlight w:val="none"/>
        </w:rPr>
        <w:fldChar w:fldCharType="separate"/>
      </w:r>
      <w:r>
        <w:rPr>
          <w:rFonts w:hint="eastAsia" w:ascii="宋体" w:hAnsi="宋体" w:cs="宋体"/>
          <w:color w:val="auto"/>
          <w:szCs w:val="28"/>
          <w:highlight w:val="none"/>
        </w:rPr>
        <w:t>第三部分 合同专用条款</w:t>
      </w:r>
      <w:r>
        <w:rPr>
          <w:rFonts w:hint="eastAsia" w:ascii="宋体" w:hAnsi="宋体" w:cs="宋体"/>
          <w:color w:val="auto"/>
          <w:highlight w:val="none"/>
        </w:rPr>
        <w:tab/>
      </w:r>
      <w:r>
        <w:rPr>
          <w:rFonts w:hint="eastAsia" w:ascii="宋体" w:hAnsi="宋体" w:cs="宋体"/>
          <w:color w:val="auto"/>
          <w:highlight w:val="none"/>
          <w:lang w:val="en-US" w:eastAsia="zh-CN"/>
        </w:rPr>
        <w:t>9</w:t>
      </w:r>
      <w:r>
        <w:rPr>
          <w:rFonts w:hint="eastAsia" w:ascii="宋体" w:hAnsi="宋体" w:cs="宋体"/>
          <w:color w:val="auto"/>
          <w:highlight w:val="none"/>
        </w:rPr>
        <w:fldChar w:fldCharType="end"/>
      </w:r>
      <w:r>
        <w:rPr>
          <w:rFonts w:hint="eastAsia" w:ascii="宋体" w:hAnsi="宋体" w:cs="宋体"/>
          <w:color w:val="auto"/>
          <w:highlight w:val="none"/>
          <w:lang w:val="en-US" w:eastAsia="zh-CN"/>
        </w:rPr>
        <w:t>5</w:t>
      </w:r>
    </w:p>
    <w:p w14:paraId="6C0E7569">
      <w:pPr>
        <w:pStyle w:val="18"/>
        <w:tabs>
          <w:tab w:val="right" w:leader="dot" w:pos="8879"/>
        </w:tabs>
        <w:jc w:val="center"/>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第七章 质疑、投诉材料格式</w:t>
      </w:r>
      <w:r>
        <w:rPr>
          <w:rFonts w:hint="eastAsia" w:ascii="宋体" w:hAnsi="宋体" w:cs="宋体"/>
          <w:color w:val="auto"/>
          <w:highlight w:val="none"/>
        </w:rPr>
        <w:tab/>
      </w:r>
      <w:r>
        <w:rPr>
          <w:rFonts w:hint="eastAsia" w:ascii="宋体" w:hAnsi="宋体" w:cs="宋体"/>
          <w:color w:val="auto"/>
          <w:highlight w:val="none"/>
          <w:lang w:val="en-US" w:eastAsia="zh-CN"/>
        </w:rPr>
        <w:t>9</w:t>
      </w:r>
      <w:r>
        <w:rPr>
          <w:rFonts w:hint="eastAsia" w:ascii="宋体" w:hAnsi="宋体" w:cs="宋体"/>
          <w:color w:val="auto"/>
          <w:highlight w:val="none"/>
        </w:rPr>
        <w:fldChar w:fldCharType="end"/>
      </w:r>
      <w:r>
        <w:rPr>
          <w:rFonts w:hint="eastAsia" w:ascii="宋体" w:hAnsi="宋体" w:cs="宋体"/>
          <w:color w:val="auto"/>
          <w:highlight w:val="none"/>
          <w:lang w:val="en-US" w:eastAsia="zh-CN"/>
        </w:rPr>
        <w:t>8</w:t>
      </w:r>
    </w:p>
    <w:p w14:paraId="64065347">
      <w:pPr>
        <w:pStyle w:val="18"/>
        <w:tabs>
          <w:tab w:val="right" w:leader="dot" w:pos="8869"/>
        </w:tabs>
        <w:rPr>
          <w:rFonts w:hint="eastAsia" w:ascii="宋体" w:hAnsi="宋体" w:eastAsia="宋体" w:cs="宋体"/>
          <w:color w:val="auto"/>
          <w:szCs w:val="22"/>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p>
    <w:p w14:paraId="70C0CECF">
      <w:pPr>
        <w:pStyle w:val="20"/>
        <w:rPr>
          <w:rFonts w:hint="eastAsia" w:ascii="宋体" w:hAnsi="宋体" w:eastAsia="宋体" w:cs="宋体"/>
          <w:color w:val="auto"/>
          <w:sz w:val="28"/>
          <w:szCs w:val="28"/>
          <w:highlight w:val="none"/>
        </w:rPr>
      </w:pPr>
      <w:r>
        <w:rPr>
          <w:rFonts w:hint="eastAsia" w:ascii="宋体" w:hAnsi="宋体" w:eastAsia="宋体" w:cs="宋体"/>
          <w:b/>
          <w:color w:val="auto"/>
          <w:sz w:val="30"/>
          <w:szCs w:val="30"/>
          <w:highlight w:val="none"/>
        </w:rPr>
        <w:fldChar w:fldCharType="end"/>
      </w:r>
    </w:p>
    <w:p w14:paraId="345467B2">
      <w:pPr>
        <w:tabs>
          <w:tab w:val="left" w:pos="7470"/>
        </w:tabs>
        <w:spacing w:line="400" w:lineRule="exact"/>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ab/>
      </w:r>
    </w:p>
    <w:p w14:paraId="17724BF2">
      <w:pPr>
        <w:spacing w:line="400" w:lineRule="exact"/>
        <w:jc w:val="center"/>
        <w:rPr>
          <w:rFonts w:hint="eastAsia" w:ascii="宋体" w:hAnsi="宋体" w:eastAsia="宋体" w:cs="宋体"/>
          <w:b/>
          <w:color w:val="auto"/>
          <w:sz w:val="32"/>
          <w:szCs w:val="32"/>
          <w:highlight w:val="none"/>
        </w:rPr>
      </w:pPr>
    </w:p>
    <w:p w14:paraId="01DE0CD1">
      <w:pPr>
        <w:spacing w:line="400" w:lineRule="exact"/>
        <w:jc w:val="center"/>
        <w:rPr>
          <w:rFonts w:hint="eastAsia" w:ascii="宋体" w:hAnsi="宋体" w:eastAsia="宋体" w:cs="宋体"/>
          <w:b/>
          <w:color w:val="auto"/>
          <w:sz w:val="32"/>
          <w:szCs w:val="32"/>
          <w:highlight w:val="none"/>
        </w:rPr>
      </w:pPr>
    </w:p>
    <w:p w14:paraId="370F3ED3">
      <w:pPr>
        <w:spacing w:line="400" w:lineRule="exact"/>
        <w:jc w:val="center"/>
        <w:rPr>
          <w:rFonts w:hint="eastAsia" w:ascii="宋体" w:hAnsi="宋体" w:eastAsia="宋体" w:cs="宋体"/>
          <w:b/>
          <w:color w:val="auto"/>
          <w:sz w:val="32"/>
          <w:szCs w:val="32"/>
          <w:highlight w:val="none"/>
        </w:rPr>
      </w:pPr>
    </w:p>
    <w:p w14:paraId="7FD7CCD0">
      <w:pPr>
        <w:spacing w:line="400" w:lineRule="exact"/>
        <w:jc w:val="center"/>
        <w:rPr>
          <w:rFonts w:hint="eastAsia" w:ascii="宋体" w:hAnsi="宋体" w:eastAsia="宋体" w:cs="宋体"/>
          <w:b/>
          <w:color w:val="auto"/>
          <w:sz w:val="32"/>
          <w:szCs w:val="32"/>
          <w:highlight w:val="none"/>
        </w:rPr>
      </w:pPr>
    </w:p>
    <w:p w14:paraId="4786FBF5">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6" w:h="16838"/>
          <w:pgMar w:top="1440" w:right="1080" w:bottom="1440" w:left="1080" w:header="851" w:footer="992" w:gutter="0"/>
          <w:pgNumType w:fmt="decimal" w:start="1"/>
          <w:cols w:space="720" w:num="1"/>
          <w:titlePg/>
          <w:docGrid w:type="lines" w:linePitch="312" w:charSpace="0"/>
        </w:sectPr>
      </w:pPr>
    </w:p>
    <w:p w14:paraId="25C8AEF8">
      <w:pPr>
        <w:pStyle w:val="2"/>
        <w:spacing w:line="400" w:lineRule="exact"/>
        <w:jc w:val="center"/>
        <w:rPr>
          <w:rFonts w:hint="eastAsia" w:ascii="宋体" w:hAnsi="宋体" w:eastAsia="宋体" w:cs="宋体"/>
          <w:color w:val="auto"/>
          <w:highlight w:val="none"/>
        </w:rPr>
      </w:pPr>
      <w:bookmarkStart w:id="1" w:name="_Toc80886925"/>
      <w:r>
        <w:rPr>
          <w:rFonts w:hint="eastAsia" w:ascii="宋体" w:hAnsi="宋体" w:eastAsia="宋体" w:cs="宋体"/>
          <w:color w:val="auto"/>
          <w:highlight w:val="none"/>
        </w:rPr>
        <w:t>第一章 竞争性磋商公告</w:t>
      </w:r>
      <w:bookmarkEnd w:id="1"/>
      <w:bookmarkStart w:id="2" w:name="_Toc28359089"/>
      <w:bookmarkStart w:id="3" w:name="_Toc35393629"/>
      <w:bookmarkStart w:id="4" w:name="_Toc44229878"/>
      <w:bookmarkStart w:id="5" w:name="_Toc35393798"/>
      <w:bookmarkStart w:id="6" w:name="_Toc28359012"/>
      <w:bookmarkStart w:id="7" w:name="_Toc28359004"/>
      <w:bookmarkStart w:id="8" w:name="_Toc35393623"/>
      <w:bookmarkStart w:id="9" w:name="_Toc35393792"/>
      <w:bookmarkStart w:id="10" w:name="_Toc28359081"/>
    </w:p>
    <w:p w14:paraId="1D2D08FC">
      <w:pPr>
        <w:pBdr>
          <w:top w:val="single" w:color="auto" w:sz="4" w:space="1"/>
          <w:left w:val="single" w:color="auto" w:sz="4" w:space="4"/>
          <w:bottom w:val="single" w:color="auto" w:sz="4" w:space="1"/>
          <w:right w:val="single" w:color="auto" w:sz="4" w:space="4"/>
        </w:pBdr>
        <w:spacing w:line="440" w:lineRule="exact"/>
        <w:ind w:firstLine="422" w:firstLineChars="200"/>
        <w:rPr>
          <w:rFonts w:ascii="宋体" w:hAnsi="宋体"/>
          <w:b/>
          <w:color w:val="auto"/>
          <w:szCs w:val="21"/>
        </w:rPr>
      </w:pPr>
      <w:r>
        <w:rPr>
          <w:rFonts w:hint="eastAsia" w:ascii="宋体" w:hAnsi="宋体"/>
          <w:b/>
          <w:color w:val="auto"/>
          <w:szCs w:val="21"/>
        </w:rPr>
        <w:t>项目概况</w:t>
      </w:r>
    </w:p>
    <w:p w14:paraId="55ED1CB3">
      <w:pPr>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olor w:val="auto"/>
          <w:szCs w:val="21"/>
        </w:rPr>
      </w:pPr>
      <w:r>
        <w:rPr>
          <w:rFonts w:hint="eastAsia" w:ascii="宋体" w:hAnsi="宋体"/>
          <w:color w:val="auto"/>
          <w:szCs w:val="21"/>
          <w:u w:val="single"/>
          <w:lang w:eastAsia="zh-CN"/>
        </w:rPr>
        <w:t>“南宁党建”融媒体平台管理维护服务</w:t>
      </w:r>
      <w:r>
        <w:rPr>
          <w:rFonts w:hint="eastAsia" w:ascii="宋体" w:hAnsi="宋体"/>
          <w:color w:val="auto"/>
          <w:szCs w:val="21"/>
        </w:rPr>
        <w:t>采购项目的潜在供应商应在广西政府采购云平台</w:t>
      </w:r>
      <w:r>
        <w:rPr>
          <w:rFonts w:hint="eastAsia" w:ascii="宋体" w:hAnsi="宋体"/>
          <w:color w:val="auto"/>
          <w:szCs w:val="21"/>
          <w:lang w:eastAsia="zh-CN"/>
        </w:rPr>
        <w:t>（https://www.gcy.zfcg.gxzf.gov.cn/</w:t>
      </w:r>
      <w:r>
        <w:rPr>
          <w:rFonts w:hint="eastAsia" w:ascii="宋体" w:hAnsi="宋体"/>
          <w:color w:val="auto"/>
          <w:szCs w:val="21"/>
        </w:rPr>
        <w:t>）获取</w:t>
      </w:r>
      <w:r>
        <w:rPr>
          <w:rFonts w:hint="eastAsia" w:ascii="宋体" w:hAnsi="宋体"/>
          <w:color w:val="auto"/>
          <w:szCs w:val="21"/>
          <w:lang w:eastAsia="zh-CN"/>
        </w:rPr>
        <w:t>（</w:t>
      </w:r>
      <w:r>
        <w:rPr>
          <w:rFonts w:hint="eastAsia" w:ascii="宋体" w:hAnsi="宋体"/>
          <w:color w:val="auto"/>
          <w:szCs w:val="21"/>
        </w:rPr>
        <w:t>下载）获取采购文件，并于202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w:t>
      </w:r>
      <w:r>
        <w:rPr>
          <w:rFonts w:hint="eastAsia" w:ascii="宋体" w:hAnsi="宋体"/>
          <w:color w:val="auto"/>
          <w:szCs w:val="21"/>
          <w:lang w:val="en-US" w:eastAsia="zh-CN"/>
        </w:rPr>
        <w:t>9</w:t>
      </w:r>
      <w:r>
        <w:rPr>
          <w:rFonts w:hint="eastAsia" w:ascii="宋体" w:hAnsi="宋体"/>
          <w:color w:val="auto"/>
          <w:spacing w:val="-6"/>
          <w:szCs w:val="21"/>
          <w:lang w:eastAsia="zh-CN"/>
        </w:rPr>
        <w:t>点</w:t>
      </w:r>
      <w:r>
        <w:rPr>
          <w:rFonts w:hint="eastAsia" w:ascii="宋体" w:hAnsi="宋体"/>
          <w:color w:val="auto"/>
          <w:spacing w:val="-6"/>
          <w:szCs w:val="21"/>
          <w:lang w:val="en-US" w:eastAsia="zh-CN"/>
        </w:rPr>
        <w:t>30</w:t>
      </w:r>
      <w:r>
        <w:rPr>
          <w:rFonts w:hint="eastAsia" w:ascii="宋体" w:hAnsi="宋体"/>
          <w:color w:val="auto"/>
          <w:spacing w:val="-6"/>
          <w:szCs w:val="21"/>
          <w:lang w:eastAsia="zh-CN"/>
        </w:rPr>
        <w:t>分</w:t>
      </w:r>
      <w:r>
        <w:rPr>
          <w:rFonts w:hint="eastAsia" w:ascii="宋体" w:hAnsi="宋体"/>
          <w:color w:val="auto"/>
          <w:szCs w:val="21"/>
        </w:rPr>
        <w:t>（北京时间）前提交响应文件。</w:t>
      </w:r>
    </w:p>
    <w:p w14:paraId="1E77B1FF">
      <w:pPr>
        <w:spacing w:line="360" w:lineRule="auto"/>
        <w:ind w:firstLine="482" w:firstLineChars="200"/>
        <w:rPr>
          <w:rFonts w:hint="eastAsia" w:ascii="宋体" w:hAnsi="宋体" w:eastAsia="宋体" w:cs="宋体"/>
          <w:b/>
          <w:bCs w:val="0"/>
          <w:color w:val="auto"/>
          <w:sz w:val="24"/>
          <w:highlight w:val="none"/>
        </w:rPr>
      </w:pPr>
    </w:p>
    <w:p w14:paraId="730F1A9B">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val="0"/>
          <w:color w:val="auto"/>
          <w:sz w:val="24"/>
          <w:highlight w:val="none"/>
        </w:rPr>
        <w:t>一、项目基本情况</w:t>
      </w:r>
      <w:bookmarkEnd w:id="2"/>
      <w:bookmarkEnd w:id="3"/>
      <w:bookmarkEnd w:id="4"/>
      <w:bookmarkEnd w:id="5"/>
      <w:bookmarkEnd w:id="6"/>
    </w:p>
    <w:p w14:paraId="2E2B7AD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1.项目编号：NNZC202</w:t>
      </w:r>
      <w:r>
        <w:rPr>
          <w:rFonts w:hint="eastAsia" w:ascii="宋体" w:hAnsi="宋体" w:eastAsia="宋体" w:cs="宋体"/>
          <w:color w:val="auto"/>
          <w:szCs w:val="21"/>
          <w:highlight w:val="none"/>
          <w:lang w:val="en-US" w:eastAsia="zh-CN"/>
        </w:rPr>
        <w:t>5-C3-990592-GXDY</w:t>
      </w:r>
    </w:p>
    <w:p w14:paraId="7BE54C9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“南宁党建”融媒体平台管理维护服务</w:t>
      </w:r>
    </w:p>
    <w:p w14:paraId="48E6AD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22C721BD">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4.预算金额：</w:t>
      </w:r>
      <w:bookmarkStart w:id="11" w:name="PO_3000001868_PM001392"/>
      <w:r>
        <w:rPr>
          <w:rFonts w:hint="eastAsia" w:ascii="宋体" w:hAnsi="宋体" w:eastAsia="宋体" w:cs="宋体"/>
          <w:color w:val="auto"/>
          <w:szCs w:val="21"/>
          <w:highlight w:val="none"/>
          <w:lang w:eastAsia="zh-CN"/>
        </w:rPr>
        <w:t>9</w:t>
      </w:r>
      <w:r>
        <w:rPr>
          <w:rFonts w:hint="default"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000.0</w:t>
      </w:r>
      <w:bookmarkEnd w:id="11"/>
      <w:r>
        <w:rPr>
          <w:rFonts w:hint="eastAsia" w:ascii="宋体" w:hAnsi="宋体" w:eastAsia="宋体" w:cs="宋体"/>
          <w:color w:val="auto"/>
          <w:szCs w:val="21"/>
          <w:highlight w:val="none"/>
          <w:lang w:val="en-US" w:eastAsia="zh-CN"/>
        </w:rPr>
        <w:t>0</w:t>
      </w:r>
    </w:p>
    <w:p w14:paraId="594DC2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2" w:name="_Hlk66782034"/>
      <w:r>
        <w:rPr>
          <w:rFonts w:hint="eastAsia" w:ascii="宋体" w:hAnsi="宋体" w:eastAsia="宋体" w:cs="宋体"/>
          <w:color w:val="auto"/>
          <w:szCs w:val="21"/>
          <w:highlight w:val="none"/>
        </w:rPr>
        <w:t>（如有）</w:t>
      </w:r>
      <w:bookmarkEnd w:id="12"/>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9</w:t>
      </w:r>
      <w:r>
        <w:rPr>
          <w:rFonts w:hint="default"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eastAsia="zh-CN"/>
        </w:rPr>
        <w:t>000.0</w:t>
      </w:r>
      <w:r>
        <w:rPr>
          <w:rFonts w:hint="eastAsia" w:ascii="宋体" w:hAnsi="宋体" w:eastAsia="宋体" w:cs="宋体"/>
          <w:color w:val="auto"/>
          <w:szCs w:val="21"/>
          <w:highlight w:val="none"/>
          <w:lang w:val="en-US" w:eastAsia="zh-CN"/>
        </w:rPr>
        <w:t>0</w:t>
      </w:r>
    </w:p>
    <w:p w14:paraId="61470D58">
      <w:pPr>
        <w:spacing w:line="360" w:lineRule="auto"/>
        <w:ind w:firstLine="420" w:firstLineChars="200"/>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rPr>
        <w:t xml:space="preserve">6.采购需求： </w:t>
      </w:r>
      <w:bookmarkStart w:id="13" w:name="PO_3000001868_PM004"/>
      <w:r>
        <w:rPr>
          <w:rFonts w:hint="eastAsia" w:ascii="宋体" w:hAnsi="宋体" w:eastAsia="宋体" w:cs="宋体"/>
          <w:color w:val="auto"/>
          <w:szCs w:val="21"/>
          <w:highlight w:val="none"/>
          <w:lang w:eastAsia="zh-CN"/>
        </w:rPr>
        <w:t xml:space="preserve"> </w:t>
      </w:r>
    </w:p>
    <w:tbl>
      <w:tblPr>
        <w:tblStyle w:val="22"/>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111"/>
        <w:gridCol w:w="646"/>
        <w:gridCol w:w="670"/>
        <w:gridCol w:w="1100"/>
        <w:gridCol w:w="1957"/>
        <w:gridCol w:w="1708"/>
        <w:gridCol w:w="681"/>
      </w:tblGrid>
      <w:tr w14:paraId="6B94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63" w:type="dxa"/>
            <w:vAlign w:val="center"/>
          </w:tcPr>
          <w:p w14:paraId="00D589A3">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分标序号</w:t>
            </w:r>
          </w:p>
        </w:tc>
        <w:tc>
          <w:tcPr>
            <w:tcW w:w="2111" w:type="dxa"/>
            <w:vAlign w:val="center"/>
          </w:tcPr>
          <w:p w14:paraId="311BB6B4">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分标名称</w:t>
            </w:r>
          </w:p>
        </w:tc>
        <w:tc>
          <w:tcPr>
            <w:tcW w:w="646" w:type="dxa"/>
            <w:vAlign w:val="center"/>
          </w:tcPr>
          <w:p w14:paraId="587CA733">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数量</w:t>
            </w:r>
          </w:p>
        </w:tc>
        <w:tc>
          <w:tcPr>
            <w:tcW w:w="670" w:type="dxa"/>
            <w:vAlign w:val="center"/>
          </w:tcPr>
          <w:p w14:paraId="17F9FA91">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单位</w:t>
            </w:r>
          </w:p>
        </w:tc>
        <w:tc>
          <w:tcPr>
            <w:tcW w:w="1100" w:type="dxa"/>
            <w:vAlign w:val="center"/>
          </w:tcPr>
          <w:p w14:paraId="33868342">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预算金额(万元)</w:t>
            </w:r>
          </w:p>
        </w:tc>
        <w:tc>
          <w:tcPr>
            <w:tcW w:w="1957" w:type="dxa"/>
            <w:vAlign w:val="center"/>
          </w:tcPr>
          <w:p w14:paraId="5DDF8D20">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简要规格描述或分标基本概况介绍</w:t>
            </w:r>
          </w:p>
        </w:tc>
        <w:tc>
          <w:tcPr>
            <w:tcW w:w="1708" w:type="dxa"/>
            <w:vAlign w:val="center"/>
          </w:tcPr>
          <w:p w14:paraId="5E09DA41">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最高限价(万元)</w:t>
            </w:r>
          </w:p>
        </w:tc>
        <w:tc>
          <w:tcPr>
            <w:tcW w:w="681" w:type="dxa"/>
            <w:vAlign w:val="center"/>
          </w:tcPr>
          <w:p w14:paraId="1655C677">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备注</w:t>
            </w:r>
          </w:p>
        </w:tc>
      </w:tr>
      <w:tr w14:paraId="7A68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14:paraId="5ABACA2D">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1</w:t>
            </w:r>
          </w:p>
        </w:tc>
        <w:tc>
          <w:tcPr>
            <w:tcW w:w="2111" w:type="dxa"/>
            <w:vAlign w:val="center"/>
          </w:tcPr>
          <w:p w14:paraId="517AF680">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“南宁党建”融媒体平台管理维护服务</w:t>
            </w:r>
          </w:p>
        </w:tc>
        <w:tc>
          <w:tcPr>
            <w:tcW w:w="646" w:type="dxa"/>
            <w:vAlign w:val="center"/>
          </w:tcPr>
          <w:p w14:paraId="1BA6424E">
            <w:pPr>
              <w:spacing w:line="360" w:lineRule="auto"/>
              <w:jc w:val="center"/>
              <w:rPr>
                <w:rFonts w:hint="eastAsia" w:ascii="宋体" w:hAnsi="宋体" w:eastAsia="宋体" w:cs="宋体"/>
                <w:color w:val="auto"/>
                <w:szCs w:val="21"/>
                <w:highlight w:val="none"/>
                <w:vertAlign w:val="baseline"/>
                <w:lang w:eastAsia="zh-CN"/>
              </w:rPr>
            </w:pPr>
            <w:r>
              <w:rPr>
                <w:rFonts w:hint="default" w:ascii="宋体" w:hAnsi="宋体" w:eastAsia="宋体" w:cs="宋体"/>
                <w:color w:val="auto"/>
                <w:szCs w:val="21"/>
                <w:highlight w:val="none"/>
                <w:vertAlign w:val="baseline"/>
                <w:lang w:val="en-US" w:eastAsia="zh-CN"/>
              </w:rPr>
              <w:t>1</w:t>
            </w:r>
          </w:p>
        </w:tc>
        <w:tc>
          <w:tcPr>
            <w:tcW w:w="670" w:type="dxa"/>
            <w:vAlign w:val="center"/>
          </w:tcPr>
          <w:p w14:paraId="4350C88A">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cs="宋体"/>
                <w:color w:val="auto"/>
                <w:szCs w:val="21"/>
                <w:highlight w:val="none"/>
                <w:vertAlign w:val="baseline"/>
                <w:lang w:eastAsia="zh-CN"/>
              </w:rPr>
              <w:t>项</w:t>
            </w:r>
          </w:p>
        </w:tc>
        <w:tc>
          <w:tcPr>
            <w:tcW w:w="1100" w:type="dxa"/>
            <w:vAlign w:val="center"/>
          </w:tcPr>
          <w:p w14:paraId="15FA0F99">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9</w:t>
            </w:r>
            <w:r>
              <w:rPr>
                <w:rFonts w:hint="default" w:ascii="宋体" w:hAnsi="宋体" w:eastAsia="宋体" w:cs="宋体"/>
                <w:color w:val="auto"/>
                <w:szCs w:val="21"/>
                <w:highlight w:val="none"/>
                <w:vertAlign w:val="baseline"/>
                <w:lang w:val="en-US" w:eastAsia="zh-CN"/>
              </w:rPr>
              <w:t>3</w:t>
            </w:r>
          </w:p>
        </w:tc>
        <w:tc>
          <w:tcPr>
            <w:tcW w:w="1957" w:type="dxa"/>
            <w:vAlign w:val="center"/>
          </w:tcPr>
          <w:p w14:paraId="1E44EE92">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详见采购需求</w:t>
            </w:r>
          </w:p>
        </w:tc>
        <w:tc>
          <w:tcPr>
            <w:tcW w:w="1708" w:type="dxa"/>
            <w:vAlign w:val="center"/>
          </w:tcPr>
          <w:p w14:paraId="13574728">
            <w:pPr>
              <w:spacing w:line="360" w:lineRule="auto"/>
              <w:jc w:val="center"/>
              <w:rPr>
                <w:rFonts w:hint="eastAsia" w:ascii="宋体" w:hAnsi="宋体" w:eastAsia="宋体" w:cs="宋体"/>
                <w:color w:val="auto"/>
                <w:szCs w:val="21"/>
                <w:highlight w:val="none"/>
                <w:vertAlign w:val="baseline"/>
                <w:lang w:eastAsia="zh-CN"/>
              </w:rPr>
            </w:pPr>
            <w:r>
              <w:rPr>
                <w:rFonts w:hint="eastAsia" w:ascii="宋体" w:hAnsi="宋体" w:eastAsia="宋体" w:cs="宋体"/>
                <w:color w:val="auto"/>
                <w:szCs w:val="21"/>
                <w:highlight w:val="none"/>
                <w:vertAlign w:val="baseline"/>
                <w:lang w:eastAsia="zh-CN"/>
              </w:rPr>
              <w:t>9</w:t>
            </w:r>
            <w:r>
              <w:rPr>
                <w:rFonts w:hint="default" w:ascii="宋体" w:hAnsi="宋体" w:eastAsia="宋体" w:cs="宋体"/>
                <w:color w:val="auto"/>
                <w:szCs w:val="21"/>
                <w:highlight w:val="none"/>
                <w:vertAlign w:val="baseline"/>
                <w:lang w:val="en-US" w:eastAsia="zh-CN"/>
              </w:rPr>
              <w:t>3</w:t>
            </w:r>
          </w:p>
        </w:tc>
        <w:tc>
          <w:tcPr>
            <w:tcW w:w="681" w:type="dxa"/>
            <w:vAlign w:val="top"/>
          </w:tcPr>
          <w:p w14:paraId="55DC3312">
            <w:pPr>
              <w:spacing w:line="360" w:lineRule="auto"/>
              <w:jc w:val="center"/>
              <w:rPr>
                <w:rFonts w:hint="eastAsia" w:ascii="宋体" w:hAnsi="宋体" w:cs="宋体"/>
                <w:color w:val="auto"/>
                <w:szCs w:val="21"/>
                <w:highlight w:val="none"/>
                <w:vertAlign w:val="baseline"/>
                <w:lang w:val="en-US" w:eastAsia="zh-CN"/>
              </w:rPr>
            </w:pPr>
          </w:p>
          <w:p w14:paraId="43D01E15">
            <w:pPr>
              <w:spacing w:line="360" w:lineRule="auto"/>
              <w:jc w:val="center"/>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w:t>
            </w:r>
          </w:p>
        </w:tc>
      </w:tr>
      <w:bookmarkEnd w:id="13"/>
    </w:tbl>
    <w:p w14:paraId="3A3CD5FA">
      <w:pPr>
        <w:spacing w:line="360" w:lineRule="auto"/>
        <w:ind w:firstLine="420" w:firstLineChars="200"/>
        <w:rPr>
          <w:rFonts w:hint="eastAsia" w:ascii="宋体" w:hAnsi="宋体" w:eastAsia="宋体" w:cs="宋体"/>
          <w:color w:val="auto"/>
          <w:szCs w:val="21"/>
          <w:highlight w:val="none"/>
        </w:rPr>
      </w:pPr>
    </w:p>
    <w:p w14:paraId="45AABF22">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7.合同履行期限：自合同签订之日起</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年。</w:t>
      </w:r>
    </w:p>
    <w:p w14:paraId="5BAA33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78AAF800">
      <w:pPr>
        <w:spacing w:line="360" w:lineRule="auto"/>
        <w:ind w:firstLine="482" w:firstLineChars="200"/>
        <w:rPr>
          <w:rFonts w:hint="eastAsia" w:ascii="宋体" w:hAnsi="宋体" w:eastAsia="宋体" w:cs="宋体"/>
          <w:bCs/>
          <w:color w:val="auto"/>
          <w:sz w:val="24"/>
          <w:highlight w:val="none"/>
        </w:rPr>
      </w:pPr>
      <w:bookmarkStart w:id="14" w:name="_Toc28359013"/>
      <w:bookmarkStart w:id="15" w:name="_Toc35393630"/>
      <w:bookmarkStart w:id="16" w:name="_Toc44229879"/>
      <w:bookmarkStart w:id="17" w:name="_Toc35393799"/>
      <w:bookmarkStart w:id="18" w:name="_Toc28359090"/>
      <w:r>
        <w:rPr>
          <w:rFonts w:hint="eastAsia" w:ascii="宋体" w:hAnsi="宋体" w:eastAsia="宋体" w:cs="宋体"/>
          <w:b/>
          <w:color w:val="auto"/>
          <w:kern w:val="44"/>
          <w:sz w:val="24"/>
          <w:highlight w:val="none"/>
        </w:rPr>
        <w:t>二、供应商的资格条件</w:t>
      </w:r>
      <w:bookmarkEnd w:id="14"/>
      <w:bookmarkEnd w:id="15"/>
      <w:bookmarkEnd w:id="16"/>
      <w:bookmarkEnd w:id="17"/>
      <w:bookmarkEnd w:id="18"/>
    </w:p>
    <w:p w14:paraId="080D9267">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满足《中华人民共和国政府采购法》第二十二条规定；</w:t>
      </w:r>
    </w:p>
    <w:p w14:paraId="240B1727">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落实政府采购政策需满足的资格要求：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rPr>
        <w:t>；</w:t>
      </w:r>
    </w:p>
    <w:p w14:paraId="72AD21D1">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无</w:t>
      </w:r>
      <w:r>
        <w:rPr>
          <w:rFonts w:hint="eastAsia" w:ascii="宋体" w:hAnsi="宋体" w:eastAsia="宋体" w:cs="宋体"/>
          <w:color w:val="auto"/>
          <w:szCs w:val="21"/>
          <w:highlight w:val="none"/>
        </w:rPr>
        <w:t>；</w:t>
      </w:r>
    </w:p>
    <w:p w14:paraId="5FF1E0F7">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本项目的特定条件：</w:t>
      </w:r>
      <w:r>
        <w:rPr>
          <w:rFonts w:hint="eastAsia" w:ascii="宋体" w:hAnsi="宋体" w:eastAsia="宋体" w:cs="宋体"/>
          <w:color w:val="auto"/>
          <w:szCs w:val="21"/>
          <w:highlight w:val="none"/>
          <w:lang w:eastAsia="zh-CN"/>
        </w:rPr>
        <w:t>无</w:t>
      </w:r>
      <w:r>
        <w:rPr>
          <w:rFonts w:hint="eastAsia" w:ascii="宋体" w:hAnsi="宋体" w:eastAsia="宋体" w:cs="宋体"/>
          <w:color w:val="auto"/>
          <w:szCs w:val="21"/>
          <w:highlight w:val="none"/>
        </w:rPr>
        <w:t>；</w:t>
      </w:r>
    </w:p>
    <w:p w14:paraId="5E713A4A">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CD31682">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90DF7B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2826224E">
      <w:pPr>
        <w:spacing w:line="360" w:lineRule="auto"/>
        <w:ind w:firstLine="420" w:firstLineChars="200"/>
        <w:rPr>
          <w:rFonts w:hint="eastAsia" w:ascii="宋体" w:hAnsi="宋体" w:eastAsia="宋体" w:cs="宋体"/>
          <w:color w:val="auto"/>
          <w:szCs w:val="21"/>
          <w:highlight w:val="none"/>
        </w:rPr>
      </w:pPr>
      <w:bookmarkStart w:id="19" w:name="_Toc35393624"/>
      <w:bookmarkStart w:id="20" w:name="_Toc28359082"/>
      <w:bookmarkStart w:id="21" w:name="_Toc28359005"/>
      <w:bookmarkStart w:id="22" w:name="_Toc35393793"/>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时间：自公告发布之日起至</w:t>
      </w:r>
      <w:r>
        <w:rPr>
          <w:rFonts w:hint="eastAsia" w:ascii="宋体" w:hAnsi="宋体" w:cs="宋体"/>
          <w:bCs/>
          <w:color w:val="auto"/>
          <w:szCs w:val="21"/>
          <w:highlight w:val="none"/>
          <w:lang w:eastAsia="zh-CN"/>
        </w:rPr>
        <w:t>2025年7月</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lang w:eastAsia="zh-CN"/>
        </w:rPr>
        <w:t>日9点30分</w:t>
      </w:r>
      <w:r>
        <w:rPr>
          <w:rFonts w:hint="eastAsia" w:ascii="宋体" w:hAnsi="宋体" w:eastAsia="宋体" w:cs="宋体"/>
          <w:color w:val="auto"/>
          <w:szCs w:val="21"/>
          <w:highlight w:val="none"/>
        </w:rPr>
        <w:t>（北京时间）。</w:t>
      </w:r>
    </w:p>
    <w:p w14:paraId="5976161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地点：广西政府采购云平台（https://www.gcy.zfcg.gxzf.gov.cn）</w:t>
      </w:r>
    </w:p>
    <w:p w14:paraId="19E1E55B">
      <w:pPr>
        <w:spacing w:line="360" w:lineRule="auto"/>
        <w:ind w:firstLine="420" w:firstLineChars="200"/>
        <w:rPr>
          <w:rFonts w:hint="eastAsia" w:ascii="宋体" w:hAnsi="宋体" w:eastAsia="宋体" w:cs="宋体"/>
          <w:b/>
          <w:bCs/>
          <w:color w:val="auto"/>
          <w:sz w:val="24"/>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方式</w:t>
      </w:r>
      <w:r>
        <w:rPr>
          <w:rFonts w:hint="eastAsia" w:ascii="宋体" w:hAnsi="宋体" w:cs="宋体"/>
          <w:color w:val="auto"/>
          <w:szCs w:val="21"/>
          <w:highlight w:val="none"/>
          <w:lang w:eastAsia="zh-CN"/>
        </w:rPr>
        <w:t>：网上下载。本项目不发放纸质采购文件，供应商可自行在“广西政府采购云平台”下载采购文件（操作路径：登录“广西政府采购云平台”-项目采购-获取采购文件-找到本项目-点击“申请获取采购文件”），电子响应文件制作需要基于“广西政府采购云平台”获取的采购文件编制</w:t>
      </w:r>
      <w:r>
        <w:rPr>
          <w:rFonts w:hint="eastAsia" w:ascii="宋体" w:hAnsi="宋体" w:eastAsia="宋体" w:cs="宋体"/>
          <w:color w:val="auto"/>
          <w:szCs w:val="21"/>
          <w:highlight w:val="none"/>
        </w:rPr>
        <w:t>。</w:t>
      </w:r>
    </w:p>
    <w:p w14:paraId="00F1D3C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售价：0元。</w:t>
      </w:r>
    </w:p>
    <w:p w14:paraId="5F220F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9"/>
      <w:bookmarkEnd w:id="20"/>
      <w:bookmarkEnd w:id="21"/>
      <w:bookmarkEnd w:id="22"/>
      <w:r>
        <w:rPr>
          <w:rFonts w:hint="eastAsia" w:ascii="宋体" w:hAnsi="宋体" w:eastAsia="宋体" w:cs="宋体"/>
          <w:b/>
          <w:bCs/>
          <w:color w:val="auto"/>
          <w:sz w:val="24"/>
          <w:highlight w:val="none"/>
        </w:rPr>
        <w:t>响应文件提交</w:t>
      </w:r>
    </w:p>
    <w:p w14:paraId="2B49C67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首次响应文件提交截止时间</w:t>
      </w:r>
      <w:r>
        <w:rPr>
          <w:rFonts w:hint="eastAsia" w:ascii="宋体" w:hAnsi="宋体" w:eastAsia="宋体" w:cs="宋体"/>
          <w:bCs/>
          <w:color w:val="auto"/>
          <w:szCs w:val="21"/>
          <w:highlight w:val="none"/>
        </w:rPr>
        <w:t>（北京时间）：</w:t>
      </w:r>
      <w:r>
        <w:rPr>
          <w:rFonts w:hint="eastAsia" w:ascii="宋体" w:hAnsi="宋体" w:cs="宋体"/>
          <w:bCs/>
          <w:color w:val="auto"/>
          <w:szCs w:val="21"/>
          <w:highlight w:val="none"/>
          <w:lang w:eastAsia="zh-CN"/>
        </w:rPr>
        <w:t>2025年7月</w:t>
      </w:r>
      <w:r>
        <w:rPr>
          <w:rFonts w:hint="eastAsia" w:ascii="宋体" w:hAnsi="宋体" w:cs="宋体"/>
          <w:bCs/>
          <w:color w:val="auto"/>
          <w:szCs w:val="21"/>
          <w:highlight w:val="none"/>
          <w:lang w:val="en-US" w:eastAsia="zh-CN"/>
        </w:rPr>
        <w:t>16</w:t>
      </w:r>
      <w:r>
        <w:rPr>
          <w:rFonts w:hint="eastAsia" w:ascii="宋体" w:hAnsi="宋体" w:cs="宋体"/>
          <w:bCs/>
          <w:color w:val="auto"/>
          <w:szCs w:val="21"/>
          <w:highlight w:val="none"/>
          <w:lang w:eastAsia="zh-CN"/>
        </w:rPr>
        <w:t>日9点30分。</w:t>
      </w:r>
    </w:p>
    <w:p w14:paraId="6398F8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首次响应文件提交地点：</w:t>
      </w:r>
      <w:r>
        <w:rPr>
          <w:rFonts w:hint="eastAsia" w:ascii="宋体" w:hAnsi="宋体" w:cs="宋体"/>
          <w:color w:val="auto"/>
          <w:szCs w:val="21"/>
          <w:highlight w:val="none"/>
          <w:lang w:eastAsia="zh-CN"/>
        </w:rPr>
        <w:t>广西政府采购云平台（https://www.gcy.zfcg.gxzf.gov.cn）</w:t>
      </w:r>
    </w:p>
    <w:p w14:paraId="1667500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1）响应文件提交方式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本项目为南宁市全流程电子化项目，通过</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，供应商在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提交电子版响应文件时，请填写参加远程采购活动经办人联系方式，电子响应文件具体操作流程详见本公告附件2。</w:t>
      </w:r>
    </w:p>
    <w:p w14:paraId="0235A85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2）未进行网上注册并办理数字证书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CA认证）的供应商将无法参与本项目政府采购活动，潜在供应商应当在投标截止时间前，完成电子交易平台上的CA数字证书办理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申领流程见本公告附件1）及响应文件的提交。完成CA数字证书办理预计7日左右，供应商只需办理其中一家CA数字证书及签章。</w:t>
      </w:r>
    </w:p>
    <w:p w14:paraId="1FEAF0F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13B4D02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将予以拒收。</w:t>
      </w:r>
    </w:p>
    <w:p w14:paraId="59C351A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CA证书在线解密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首次响应文件开启时，须要供应商携带制作响应文件时用来加密的有效数字证书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CA认证）登录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电子开标大厅现场按规定时间对加密的响应文件进行解密，未能按要求进行解密的，由此产生的后果由供应商自行承担。</w:t>
      </w:r>
    </w:p>
    <w:p w14:paraId="086B9B00">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供应商需要在具备有摄像头及语音功能且互联网网络状况良好的电脑登录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远程开标大厅参与本次磋商，否则后果自负。</w:t>
      </w:r>
    </w:p>
    <w:p w14:paraId="0A20E59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48F5F61B">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2025年7月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日9点30分</w:t>
      </w:r>
      <w:r>
        <w:rPr>
          <w:rFonts w:hint="eastAsia" w:ascii="宋体" w:hAnsi="宋体" w:eastAsia="宋体" w:cs="宋体"/>
          <w:color w:val="auto"/>
          <w:szCs w:val="21"/>
          <w:highlight w:val="none"/>
        </w:rPr>
        <w:t>（北京时间）后</w:t>
      </w:r>
    </w:p>
    <w:p w14:paraId="2D37E372">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none"/>
          <w:lang w:val="en-US" w:eastAsia="zh-CN"/>
        </w:rPr>
        <w:t>广西</w:t>
      </w:r>
      <w:r>
        <w:rPr>
          <w:rFonts w:hint="eastAsia" w:ascii="宋体" w:hAnsi="宋体" w:eastAsia="宋体" w:cs="宋体"/>
          <w:color w:val="auto"/>
          <w:szCs w:val="21"/>
          <w:highlight w:val="none"/>
          <w:u w:val="none"/>
        </w:rPr>
        <w:t xml:space="preserve">政府采购云平台开标大厅 </w:t>
      </w:r>
    </w:p>
    <w:p w14:paraId="5E4EDE77">
      <w:pPr>
        <w:spacing w:line="360" w:lineRule="auto"/>
        <w:ind w:firstLine="482" w:firstLineChars="200"/>
        <w:rPr>
          <w:rFonts w:hint="eastAsia" w:ascii="宋体" w:hAnsi="宋体" w:eastAsia="宋体" w:cs="宋体"/>
          <w:b/>
          <w:bCs/>
          <w:color w:val="auto"/>
          <w:sz w:val="24"/>
          <w:highlight w:val="none"/>
        </w:rPr>
      </w:pPr>
      <w:bookmarkStart w:id="23" w:name="_Toc28359007"/>
      <w:bookmarkStart w:id="24" w:name="_Toc35393794"/>
      <w:bookmarkStart w:id="25" w:name="_Toc28359084"/>
      <w:bookmarkStart w:id="26" w:name="_Toc35393625"/>
      <w:r>
        <w:rPr>
          <w:rFonts w:hint="eastAsia" w:ascii="宋体" w:hAnsi="宋体" w:eastAsia="宋体" w:cs="宋体"/>
          <w:b/>
          <w:bCs/>
          <w:color w:val="auto"/>
          <w:sz w:val="24"/>
          <w:highlight w:val="none"/>
        </w:rPr>
        <w:t>六、公告期限</w:t>
      </w:r>
      <w:bookmarkEnd w:id="23"/>
      <w:bookmarkEnd w:id="24"/>
      <w:bookmarkEnd w:id="25"/>
      <w:bookmarkEnd w:id="26"/>
    </w:p>
    <w:p w14:paraId="0E2A3EA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278CECEC">
      <w:pPr>
        <w:spacing w:line="360" w:lineRule="auto"/>
        <w:ind w:firstLine="482" w:firstLineChars="200"/>
        <w:rPr>
          <w:rFonts w:hint="eastAsia"/>
        </w:rPr>
      </w:pPr>
      <w:bookmarkStart w:id="27" w:name="_Toc35393626"/>
      <w:bookmarkStart w:id="28" w:name="_Toc35393795"/>
      <w:r>
        <w:rPr>
          <w:rFonts w:hint="eastAsia" w:ascii="宋体" w:hAnsi="宋体" w:eastAsia="宋体" w:cs="宋体"/>
          <w:b/>
          <w:bCs/>
          <w:color w:val="auto"/>
          <w:sz w:val="24"/>
          <w:highlight w:val="none"/>
        </w:rPr>
        <w:t>七</w:t>
      </w:r>
      <w:r>
        <w:rPr>
          <w:rFonts w:hint="eastAsia" w:ascii="宋体" w:hAnsi="宋体" w:eastAsia="宋体" w:cs="宋体"/>
          <w:b/>
          <w:bCs/>
          <w:color w:val="auto"/>
          <w:sz w:val="24"/>
          <w:highlight w:val="none"/>
          <w:lang w:val="en-US" w:eastAsia="zh-CN"/>
        </w:rPr>
        <w:t>、其他补充事宜</w:t>
      </w:r>
      <w:bookmarkEnd w:id="27"/>
      <w:bookmarkEnd w:id="28"/>
    </w:p>
    <w:p w14:paraId="3A9424E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kern w:val="0"/>
          <w:szCs w:val="21"/>
          <w:highlight w:val="none"/>
        </w:rPr>
        <w:t>磋商保证金：本项目不收取磋商保证金</w:t>
      </w:r>
    </w:p>
    <w:p w14:paraId="742749E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kern w:val="0"/>
          <w:szCs w:val="21"/>
          <w:highlight w:val="none"/>
        </w:rPr>
        <w:t>采购意向公开链接：</w:t>
      </w:r>
      <w:bookmarkStart w:id="29" w:name="_Hlk37429585"/>
      <w:bookmarkStart w:id="30" w:name="_Hlk37429595"/>
    </w:p>
    <w:p w14:paraId="49383DB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https://zfcg.gxzf.gov.cn/luban/detail?parentId=66601&amp;articleId=ann_v6kL770NLieSMRuGTiuhodD5ndTMr3NGt5TILBJnhQo=&amp;utm=app-announcement-front.5cc075f2.0.0.3edc83b03c7311f0b16ecda3e668283a</w:t>
      </w:r>
    </w:p>
    <w:p w14:paraId="6277031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kern w:val="0"/>
          <w:szCs w:val="21"/>
          <w:highlight w:val="none"/>
        </w:rPr>
        <w:t>网上查询地址</w:t>
      </w:r>
    </w:p>
    <w:bookmarkEnd w:id="29"/>
    <w:bookmarkEnd w:id="30"/>
    <w:p w14:paraId="77465CA4">
      <w:pPr>
        <w:spacing w:line="360" w:lineRule="auto"/>
        <w:ind w:firstLine="420" w:firstLineChars="200"/>
        <w:rPr>
          <w:rFonts w:hint="eastAsia" w:ascii="宋体" w:hAnsi="宋体" w:eastAsia="宋体" w:cs="宋体"/>
          <w:color w:val="auto"/>
          <w:szCs w:val="21"/>
          <w:highlight w:val="none"/>
        </w:rPr>
      </w:pPr>
      <w:bookmarkStart w:id="31" w:name="_Hlk37429674"/>
      <w:r>
        <w:rPr>
          <w:rFonts w:hint="eastAsia" w:ascii="宋体" w:hAnsi="宋体" w:eastAsia="宋体" w:cs="宋体"/>
          <w:color w:val="auto"/>
          <w:szCs w:val="21"/>
          <w:highlight w:val="none"/>
        </w:rPr>
        <w:t>中国政府采购网（http://www.ccgp.gov.cn ）、广西壮族自治区政府采购网（http://zfcg.gxzf.gov.cn/）、全国公共资源交易平台(广西·南宁)（http://ggzy.jgswj.gxzf.gov.cn/nnggzy/）。</w:t>
      </w:r>
    </w:p>
    <w:p w14:paraId="533102C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（四）</w:t>
      </w:r>
      <w:r>
        <w:rPr>
          <w:rFonts w:hint="eastAsia" w:ascii="宋体" w:hAnsi="宋体" w:eastAsia="宋体" w:cs="宋体"/>
          <w:color w:val="auto"/>
          <w:kern w:val="0"/>
          <w:szCs w:val="21"/>
          <w:highlight w:val="none"/>
        </w:rPr>
        <w:t>本项目需要落实的政府采购政策</w:t>
      </w:r>
    </w:p>
    <w:p w14:paraId="236D689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A31AA9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（2）政府采购促进残疾人就业政策。</w:t>
      </w:r>
    </w:p>
    <w:p w14:paraId="40D3A50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（3）政府采购支持监狱企业发展。</w:t>
      </w:r>
    </w:p>
    <w:bookmarkEnd w:id="31"/>
    <w:p w14:paraId="5DA29B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）政府采购支持采用本国产品的政策。</w:t>
      </w:r>
    </w:p>
    <w:p w14:paraId="110E35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）强制采购节能产品；优先采购节能产品、环境标志产品。</w:t>
      </w:r>
    </w:p>
    <w:p w14:paraId="28B14B2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（五）</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96BF98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六）若对项目采购电子交易系统操作有疑问，可登录“广西政府采购云平台”https://www.gcy.zfcg.gxzf.gov.cn），点击右侧咨询小采，获取采小蜜智能服务管家帮助，或拨打广西政府采购云平台服务热线95763获取热线服务帮助</w:t>
      </w:r>
      <w:r>
        <w:rPr>
          <w:rFonts w:hint="eastAsia" w:ascii="宋体" w:hAnsi="宋体" w:eastAsia="宋体" w:cs="宋体"/>
          <w:color w:val="auto"/>
          <w:kern w:val="0"/>
          <w:szCs w:val="21"/>
          <w:highlight w:val="none"/>
        </w:rPr>
        <w:t xml:space="preserve">。 </w:t>
      </w:r>
    </w:p>
    <w:p w14:paraId="03DA4326">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6D545837">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60A0D19B">
      <w:pPr>
        <w:spacing w:line="360" w:lineRule="auto"/>
        <w:ind w:left="1041" w:leftChars="371" w:hanging="262" w:hangingChars="125"/>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bookmarkStart w:id="32" w:name="PO_3000001868_PM026_1"/>
      <w:r>
        <w:rPr>
          <w:rFonts w:hint="eastAsia" w:ascii="宋体" w:hAnsi="宋体" w:eastAsia="宋体" w:cs="宋体"/>
          <w:color w:val="auto"/>
          <w:szCs w:val="21"/>
          <w:highlight w:val="none"/>
          <w:u w:val="none"/>
          <w:lang w:eastAsia="zh-CN"/>
        </w:rPr>
        <w:t>中国共产党南宁市委员会组织部</w:t>
      </w:r>
      <w:bookmarkEnd w:id="32"/>
    </w:p>
    <w:p w14:paraId="1EC9AA90">
      <w:pPr>
        <w:spacing w:line="360" w:lineRule="auto"/>
        <w:ind w:left="1041" w:leftChars="371" w:hanging="262" w:hangingChars="125"/>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地</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址：</w:t>
      </w:r>
      <w:bookmarkStart w:id="33" w:name="PO_3000001868_PM030"/>
      <w:r>
        <w:rPr>
          <w:rFonts w:hint="eastAsia" w:ascii="宋体" w:hAnsi="宋体" w:eastAsia="宋体" w:cs="宋体"/>
          <w:color w:val="auto"/>
          <w:szCs w:val="21"/>
          <w:highlight w:val="none"/>
          <w:u w:val="none"/>
          <w:lang w:eastAsia="zh-CN"/>
        </w:rPr>
        <w:t>广西省南宁市青秀区嘉宾路2号7号门</w:t>
      </w:r>
      <w:bookmarkEnd w:id="33"/>
    </w:p>
    <w:p w14:paraId="41D44434">
      <w:pPr>
        <w:pStyle w:val="15"/>
        <w:spacing w:line="360" w:lineRule="auto"/>
        <w:ind w:firstLine="735" w:firstLineChars="350"/>
        <w:rPr>
          <w:rFonts w:hint="eastAsia" w:ascii="宋体" w:hAnsi="宋体" w:eastAsia="宋体" w:cs="宋体"/>
          <w:color w:val="auto"/>
          <w:highlight w:val="none"/>
          <w:u w:val="none"/>
          <w:lang w:eastAsia="zh-CN"/>
        </w:rPr>
      </w:pPr>
      <w:r>
        <w:rPr>
          <w:rFonts w:hint="eastAsia" w:ascii="宋体" w:hAnsi="宋体" w:eastAsia="宋体" w:cs="宋体"/>
          <w:color w:val="auto"/>
          <w:kern w:val="2"/>
          <w:sz w:val="21"/>
          <w:szCs w:val="21"/>
          <w:highlight w:val="none"/>
          <w:u w:val="none"/>
          <w:lang w:val="en-US" w:eastAsia="zh-CN" w:bidi="ar-SA"/>
        </w:rPr>
        <w:t>项目联系人：</w:t>
      </w:r>
      <w:r>
        <w:rPr>
          <w:rFonts w:hint="eastAsia" w:hAnsi="宋体" w:cs="宋体"/>
          <w:color w:val="auto"/>
          <w:kern w:val="2"/>
          <w:sz w:val="21"/>
          <w:szCs w:val="21"/>
          <w:highlight w:val="none"/>
          <w:u w:val="none"/>
          <w:lang w:val="en-US" w:eastAsia="zh-CN" w:bidi="ar-SA"/>
        </w:rPr>
        <w:t>黄苑</w:t>
      </w:r>
    </w:p>
    <w:p w14:paraId="6F781CBF">
      <w:pPr>
        <w:spacing w:line="360" w:lineRule="auto"/>
        <w:ind w:left="1041" w:leftChars="371" w:hanging="262" w:hangingChars="125"/>
        <w:jc w:val="lef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联系电话：</w:t>
      </w:r>
      <w:bookmarkStart w:id="34" w:name="PO_3000001868_PM028"/>
      <w:r>
        <w:rPr>
          <w:rFonts w:hint="eastAsia" w:ascii="宋体" w:hAnsi="宋体" w:eastAsia="宋体" w:cs="宋体"/>
          <w:color w:val="auto"/>
          <w:szCs w:val="21"/>
          <w:highlight w:val="none"/>
          <w:u w:val="none"/>
          <w:lang w:eastAsia="zh-CN"/>
        </w:rPr>
        <w:t>0771-</w:t>
      </w:r>
      <w:bookmarkEnd w:id="34"/>
      <w:r>
        <w:rPr>
          <w:rFonts w:hint="eastAsia" w:ascii="宋体" w:hAnsi="宋体" w:cs="宋体"/>
          <w:color w:val="auto"/>
          <w:szCs w:val="21"/>
          <w:highlight w:val="none"/>
          <w:u w:val="none"/>
          <w:lang w:val="en-US" w:eastAsia="zh-CN"/>
        </w:rPr>
        <w:t>2612660</w:t>
      </w:r>
    </w:p>
    <w:p w14:paraId="67EBE9B6">
      <w:pPr>
        <w:spacing w:line="360" w:lineRule="auto"/>
        <w:ind w:left="1041" w:leftChars="371" w:hanging="262" w:hangingChars="125"/>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2.采购代理机构信息</w:t>
      </w:r>
    </w:p>
    <w:p w14:paraId="213805AA">
      <w:pPr>
        <w:spacing w:line="360" w:lineRule="auto"/>
        <w:ind w:firstLine="735" w:firstLineChars="35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称：广西德元工程项目管理有限责任公司</w:t>
      </w:r>
    </w:p>
    <w:p w14:paraId="37194F5E">
      <w:pPr>
        <w:spacing w:line="360" w:lineRule="auto"/>
        <w:ind w:firstLine="735" w:firstLineChars="350"/>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地　址：南宁市良庆区凯旋路15号绿地中心7号楼8楼</w:t>
      </w:r>
      <w:r>
        <w:rPr>
          <w:rFonts w:hint="default" w:ascii="宋体" w:hAnsi="宋体" w:eastAsia="宋体" w:cs="宋体"/>
          <w:color w:val="auto"/>
          <w:szCs w:val="21"/>
          <w:highlight w:val="none"/>
          <w:u w:val="none"/>
          <w:lang w:val="en-US" w:eastAsia="zh-CN"/>
        </w:rPr>
        <w:t xml:space="preserve">          </w:t>
      </w:r>
    </w:p>
    <w:p w14:paraId="5E507195">
      <w:pPr>
        <w:spacing w:line="360" w:lineRule="auto"/>
        <w:ind w:firstLine="735" w:firstLineChars="350"/>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联系电话：0771-5084767</w:t>
      </w:r>
      <w:r>
        <w:rPr>
          <w:rFonts w:hint="default" w:ascii="宋体" w:hAnsi="宋体" w:eastAsia="宋体" w:cs="宋体"/>
          <w:color w:val="auto"/>
          <w:szCs w:val="21"/>
          <w:highlight w:val="none"/>
          <w:u w:val="none"/>
          <w:lang w:val="en-US" w:eastAsia="zh-CN"/>
        </w:rPr>
        <w:t xml:space="preserve">            </w:t>
      </w:r>
    </w:p>
    <w:p w14:paraId="1B8E468F">
      <w:pPr>
        <w:spacing w:line="360" w:lineRule="auto"/>
        <w:ind w:firstLine="735" w:firstLineChars="35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3.项目联系方式</w:t>
      </w:r>
    </w:p>
    <w:p w14:paraId="46889447">
      <w:pPr>
        <w:spacing w:line="360" w:lineRule="auto"/>
        <w:ind w:firstLine="735" w:firstLineChars="350"/>
        <w:rPr>
          <w:rFonts w:hint="default" w:ascii="宋体" w:hAnsi="宋体" w:eastAsia="宋体" w:cs="宋体"/>
          <w:color w:val="auto"/>
          <w:szCs w:val="21"/>
          <w:highlight w:val="none"/>
          <w:u w:val="none"/>
          <w:lang w:val="en-US"/>
        </w:rPr>
      </w:pPr>
      <w:r>
        <w:rPr>
          <w:rFonts w:hint="eastAsia" w:ascii="宋体" w:hAnsi="宋体" w:eastAsia="宋体" w:cs="宋体"/>
          <w:color w:val="auto"/>
          <w:szCs w:val="21"/>
          <w:highlight w:val="none"/>
          <w:u w:val="none"/>
        </w:rPr>
        <w:t>项目联系人：</w:t>
      </w:r>
      <w:r>
        <w:rPr>
          <w:rFonts w:hint="eastAsia" w:ascii="宋体" w:hAnsi="宋体" w:cs="宋体"/>
          <w:color w:val="auto"/>
          <w:szCs w:val="21"/>
          <w:highlight w:val="none"/>
          <w:u w:val="none"/>
          <w:lang w:eastAsia="zh-CN"/>
        </w:rPr>
        <w:t>杨明</w:t>
      </w:r>
      <w:r>
        <w:rPr>
          <w:rFonts w:hint="default" w:ascii="宋体" w:hAnsi="宋体" w:eastAsia="宋体" w:cs="宋体"/>
          <w:color w:val="auto"/>
          <w:szCs w:val="21"/>
          <w:highlight w:val="none"/>
          <w:u w:val="none"/>
          <w:lang w:val="en-US"/>
        </w:rPr>
        <w:t xml:space="preserve">      </w:t>
      </w:r>
    </w:p>
    <w:p w14:paraId="25641220">
      <w:pPr>
        <w:spacing w:line="360" w:lineRule="auto"/>
        <w:ind w:firstLine="735" w:firstLineChars="350"/>
        <w:rPr>
          <w:rFonts w:hint="default" w:ascii="宋体" w:hAnsi="宋体" w:eastAsia="宋体" w:cs="宋体"/>
          <w:color w:val="auto"/>
          <w:szCs w:val="21"/>
          <w:highlight w:val="none"/>
          <w:u w:val="none"/>
          <w:lang w:val="en-US"/>
        </w:rPr>
      </w:pPr>
      <w:r>
        <w:rPr>
          <w:rFonts w:hint="eastAsia" w:ascii="宋体" w:hAnsi="宋体" w:eastAsia="宋体" w:cs="宋体"/>
          <w:color w:val="auto"/>
          <w:szCs w:val="21"/>
          <w:highlight w:val="none"/>
          <w:u w:val="none"/>
        </w:rPr>
        <w:t>电  话：0771-5084767</w:t>
      </w:r>
      <w:r>
        <w:rPr>
          <w:rFonts w:hint="default" w:ascii="宋体" w:hAnsi="宋体" w:eastAsia="宋体" w:cs="宋体"/>
          <w:color w:val="auto"/>
          <w:szCs w:val="21"/>
          <w:highlight w:val="none"/>
          <w:u w:val="none"/>
          <w:lang w:val="en-US"/>
        </w:rPr>
        <w:t xml:space="preserve">            </w:t>
      </w:r>
    </w:p>
    <w:p w14:paraId="2FCA10D5">
      <w:pPr>
        <w:spacing w:line="360" w:lineRule="auto"/>
        <w:ind w:firstLine="420" w:firstLineChars="200"/>
        <w:rPr>
          <w:rFonts w:hint="eastAsia" w:ascii="宋体" w:hAnsi="宋体" w:eastAsia="宋体" w:cs="宋体"/>
          <w:color w:val="auto"/>
          <w:szCs w:val="21"/>
          <w:highlight w:val="none"/>
        </w:rPr>
      </w:pPr>
    </w:p>
    <w:p w14:paraId="435A4F4E">
      <w:pPr>
        <w:pStyle w:val="9"/>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1.CA证书申请方式及操作指南下载地址</w:t>
      </w:r>
      <w:r>
        <w:rPr>
          <w:rFonts w:hint="eastAsia" w:ascii="宋体" w:hAnsi="宋体" w:cs="宋体"/>
          <w:color w:val="auto"/>
          <w:szCs w:val="21"/>
          <w:highlight w:val="none"/>
          <w:lang w:eastAsia="zh-CN"/>
        </w:rPr>
        <w:t>（</w:t>
      </w:r>
      <w:r>
        <w:rPr>
          <w:rFonts w:hint="eastAsia" w:ascii="宋体" w:hAnsi="宋体" w:cs="宋体"/>
          <w:color w:val="auto"/>
          <w:szCs w:val="21"/>
          <w:highlight w:val="none"/>
        </w:rPr>
        <w:t>登陆</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5"/>
          <w:rFonts w:hint="eastAsia" w:ascii="宋体" w:hAnsi="宋体" w:cs="宋体"/>
          <w:color w:val="auto"/>
          <w:highlight w:val="none"/>
        </w:rPr>
        <w:t>http://nncz.nanning.gov.cn/</w:t>
      </w:r>
      <w:r>
        <w:rPr>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w:t>
      </w:r>
      <w:r>
        <w:rPr>
          <w:rFonts w:hint="eastAsia" w:ascii="宋体" w:hAnsi="宋体" w:cs="宋体"/>
          <w:color w:val="auto"/>
          <w:highlight w:val="none"/>
          <w:lang w:eastAsia="zh-CN"/>
        </w:rPr>
        <w:t>广西政府采购云平台</w:t>
      </w:r>
      <w:r>
        <w:rPr>
          <w:rFonts w:hint="eastAsia" w:ascii="宋体" w:hAnsi="宋体" w:cs="宋体"/>
          <w:color w:val="auto"/>
          <w:highlight w:val="none"/>
        </w:rPr>
        <w:t>西部CA办理方式”或“南宁市</w:t>
      </w:r>
      <w:r>
        <w:rPr>
          <w:rFonts w:hint="eastAsia" w:ascii="宋体" w:hAnsi="宋体" w:cs="宋体"/>
          <w:color w:val="auto"/>
          <w:highlight w:val="none"/>
          <w:lang w:eastAsia="zh-CN"/>
        </w:rPr>
        <w:t>广西政府采购云平台</w:t>
      </w:r>
      <w:r>
        <w:rPr>
          <w:rFonts w:hint="eastAsia" w:ascii="宋体" w:hAnsi="宋体" w:cs="宋体"/>
          <w:color w:val="auto"/>
          <w:highlight w:val="none"/>
        </w:rPr>
        <w:t>CA证书办理操作指南”</w:t>
      </w:r>
      <w:r>
        <w:rPr>
          <w:rFonts w:hint="eastAsia" w:ascii="宋体" w:hAnsi="宋体" w:eastAsia="宋体" w:cs="宋体"/>
          <w:color w:val="auto"/>
          <w:kern w:val="0"/>
          <w:szCs w:val="21"/>
          <w:highlight w:val="none"/>
        </w:rPr>
        <w:t>。</w:t>
      </w:r>
    </w:p>
    <w:p w14:paraId="52DD06BA">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2.电子响应文件制作与投送教程</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在此网址下载</w:t>
      </w:r>
      <w:r>
        <w:rPr>
          <w:rFonts w:hint="eastAsia" w:ascii="宋体" w:hAnsi="宋体" w:cs="宋体"/>
          <w:color w:val="auto"/>
          <w:szCs w:val="21"/>
          <w:highlight w:val="none"/>
          <w:lang w:eastAsia="zh-CN"/>
        </w:rPr>
        <w:t>：</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25"/>
          <w:rFonts w:hint="eastAsia" w:ascii="宋体" w:hAnsi="宋体" w:cs="宋体"/>
          <w:color w:val="auto"/>
          <w:highlight w:val="none"/>
        </w:rPr>
        <w:t>http://nncz.nanning.gov.cn/</w:t>
      </w:r>
      <w:r>
        <w:rPr>
          <w:rFonts w:hint="eastAsia" w:ascii="宋体" w:hAnsi="宋体" w:cs="宋体"/>
          <w:color w:val="auto"/>
          <w:highlight w:val="none"/>
        </w:rPr>
        <w:fldChar w:fldCharType="end"/>
      </w:r>
      <w:r>
        <w:rPr>
          <w:rFonts w:hint="eastAsia" w:ascii="宋体" w:hAnsi="宋体" w:cs="宋体"/>
          <w:color w:val="auto"/>
          <w:highlight w:val="none"/>
        </w:rPr>
        <w:t>南宁市财政局官网）-业务专题-政府采购监督管理-资料下载-南宁市政府采购项目全流程电子化交易操作指南</w:t>
      </w:r>
      <w:r>
        <w:rPr>
          <w:rFonts w:hint="eastAsia" w:ascii="宋体" w:hAnsi="宋体" w:eastAsia="宋体" w:cs="宋体"/>
          <w:color w:val="auto"/>
          <w:kern w:val="0"/>
          <w:szCs w:val="21"/>
          <w:highlight w:val="none"/>
        </w:rPr>
        <w:t>。</w:t>
      </w:r>
    </w:p>
    <w:p w14:paraId="55B3CB37">
      <w:pPr>
        <w:spacing w:line="360" w:lineRule="auto"/>
        <w:jc w:val="right"/>
        <w:rPr>
          <w:rFonts w:hint="eastAsia" w:ascii="宋体" w:hAnsi="宋体" w:cs="宋体"/>
          <w:color w:val="auto"/>
          <w:szCs w:val="21"/>
          <w:highlight w:val="none"/>
        </w:rPr>
      </w:pPr>
    </w:p>
    <w:p w14:paraId="78D56128">
      <w:pPr>
        <w:pStyle w:val="6"/>
        <w:rPr>
          <w:rFonts w:hint="eastAsia"/>
        </w:rPr>
      </w:pPr>
    </w:p>
    <w:p w14:paraId="3BA50786">
      <w:pPr>
        <w:widowControl/>
        <w:shd w:val="clear" w:color="auto" w:fill="FFFFFF"/>
        <w:spacing w:line="360" w:lineRule="atLeast"/>
        <w:ind w:firstLine="420"/>
        <w:jc w:val="right"/>
        <w:rPr>
          <w:rFonts w:hint="eastAsia" w:ascii="宋体" w:hAnsi="宋体" w:eastAsia="宋体" w:cs="宋体"/>
          <w:color w:val="auto"/>
          <w:szCs w:val="21"/>
          <w:highlight w:val="none"/>
          <w:u w:val="none"/>
          <w:lang w:eastAsia="zh-CN"/>
        </w:rPr>
      </w:pPr>
      <w:r>
        <w:rPr>
          <w:rFonts w:hint="eastAsia" w:ascii="宋体" w:hAnsi="宋体" w:eastAsia="宋体" w:cs="宋体"/>
          <w:color w:val="auto"/>
          <w:kern w:val="0"/>
          <w:szCs w:val="21"/>
        </w:rPr>
        <w:t>采购人：</w:t>
      </w:r>
      <w:r>
        <w:rPr>
          <w:rFonts w:hint="eastAsia" w:ascii="宋体" w:hAnsi="宋体" w:eastAsia="宋体" w:cs="宋体"/>
          <w:color w:val="auto"/>
          <w:szCs w:val="21"/>
          <w:highlight w:val="none"/>
          <w:u w:val="none"/>
          <w:lang w:eastAsia="zh-CN"/>
        </w:rPr>
        <w:t>中国共产党南宁市委员会组织部</w:t>
      </w:r>
    </w:p>
    <w:p w14:paraId="74E5DD62">
      <w:pPr>
        <w:widowControl/>
        <w:shd w:val="clear" w:color="auto" w:fill="FFFFFF"/>
        <w:spacing w:line="360" w:lineRule="atLeast"/>
        <w:ind w:firstLine="420"/>
        <w:jc w:val="right"/>
        <w:rPr>
          <w:rFonts w:hint="eastAsia" w:ascii="宋体" w:hAnsi="宋体" w:eastAsia="宋体" w:cs="宋体"/>
          <w:color w:val="auto"/>
          <w:szCs w:val="21"/>
          <w:highlight w:val="none"/>
          <w:u w:val="none"/>
          <w:lang w:eastAsia="zh-CN"/>
        </w:rPr>
      </w:pPr>
    </w:p>
    <w:p w14:paraId="6EAF60B2">
      <w:pPr>
        <w:pStyle w:val="6"/>
        <w:jc w:val="right"/>
        <w:rPr>
          <w:rFonts w:hint="eastAsia" w:ascii="宋体" w:hAnsi="宋体" w:cs="宋体"/>
          <w:color w:val="auto"/>
          <w:szCs w:val="21"/>
          <w:highlight w:val="none"/>
        </w:rPr>
      </w:pP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采购代理机构：</w:t>
      </w:r>
      <w:r>
        <w:rPr>
          <w:rFonts w:hint="eastAsia" w:ascii="宋体" w:hAnsi="宋体" w:eastAsia="宋体" w:cs="宋体"/>
          <w:color w:val="auto"/>
          <w:szCs w:val="21"/>
        </w:rPr>
        <w:t>广西德元工程项目管理有限责任公司</w:t>
      </w:r>
    </w:p>
    <w:p w14:paraId="4F432618">
      <w:pPr>
        <w:pStyle w:val="6"/>
        <w:jc w:val="right"/>
        <w:rPr>
          <w:rFonts w:hint="eastAsia" w:ascii="宋体" w:hAnsi="宋体" w:cs="宋体"/>
          <w:color w:val="auto"/>
          <w:szCs w:val="21"/>
          <w:highlight w:val="yellow"/>
        </w:rPr>
      </w:pPr>
    </w:p>
    <w:p w14:paraId="2F87151E">
      <w:pPr>
        <w:pStyle w:val="6"/>
        <w:jc w:val="right"/>
        <w:rPr>
          <w:rFonts w:hint="eastAsia" w:ascii="宋体" w:hAnsi="宋体" w:cs="宋体"/>
          <w:color w:val="auto"/>
          <w:szCs w:val="21"/>
          <w:highlight w:val="yellow"/>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日</w:t>
      </w:r>
    </w:p>
    <w:p w14:paraId="4BD1B70D"/>
    <w:p w14:paraId="2AA3CAFF">
      <w:pPr>
        <w:spacing w:line="360" w:lineRule="auto"/>
        <w:ind w:firstLine="640" w:firstLineChars="20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756460F">
      <w:pPr>
        <w:pStyle w:val="2"/>
        <w:jc w:val="center"/>
        <w:rPr>
          <w:rFonts w:hint="eastAsia" w:ascii="宋体" w:hAnsi="宋体" w:eastAsia="宋体" w:cs="宋体"/>
          <w:color w:val="auto"/>
          <w:highlight w:val="none"/>
        </w:rPr>
      </w:pPr>
      <w:bookmarkStart w:id="35" w:name="_Toc80886926"/>
      <w:r>
        <w:rPr>
          <w:rFonts w:hint="eastAsia" w:ascii="宋体" w:hAnsi="宋体" w:eastAsia="宋体" w:cs="宋体"/>
          <w:bCs w:val="0"/>
          <w:color w:val="auto"/>
          <w:sz w:val="32"/>
          <w:szCs w:val="32"/>
          <w:highlight w:val="none"/>
        </w:rPr>
        <w:t>第二章 采购需求</w:t>
      </w:r>
      <w:bookmarkEnd w:id="35"/>
    </w:p>
    <w:p w14:paraId="70F45C42">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F68EBFC">
      <w:pPr>
        <w:spacing w:line="4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1. 为落实政府采购政策需满足的要求（根据项目实际情况填写内容）</w:t>
      </w:r>
      <w:r>
        <w:rPr>
          <w:rFonts w:hint="eastAsia" w:ascii="宋体" w:hAnsi="宋体" w:cs="宋体"/>
          <w:color w:val="auto"/>
          <w:highlight w:val="none"/>
          <w:lang w:eastAsia="zh-CN"/>
        </w:rPr>
        <w:t>。</w:t>
      </w:r>
    </w:p>
    <w:p w14:paraId="013589C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（1）本竞争性磋商采购文件所称中小企业必须符合《政府采购促进中小企业发展管理办法》（财库〔2020〕46号）的规定。</w:t>
      </w:r>
    </w:p>
    <w:p w14:paraId="185E37F5">
      <w:pPr>
        <w:tabs>
          <w:tab w:val="left" w:pos="180"/>
          <w:tab w:val="left" w:pos="1620"/>
        </w:tabs>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E02FB80">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如属于《网络关键设备和网络安全专用产品目录》中“二、网络安全专用产品”内“产品类别”中的所描述的产品，但不属于所列“产品描述”情形的，应提供相应的说明及证明材料。</w:t>
      </w:r>
    </w:p>
    <w:p w14:paraId="20354498">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4E4E6D03">
      <w:pPr>
        <w:pStyle w:val="9"/>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w:t>
      </w:r>
      <w:r>
        <w:rPr>
          <w:rFonts w:hint="eastAsia" w:ascii="宋体" w:hAnsi="宋体" w:eastAsia="宋体" w:cs="宋体"/>
          <w:color w:val="auto"/>
          <w:highlight w:val="none"/>
          <w:lang w:eastAsia="zh-CN"/>
        </w:rPr>
        <w:t>如</w:t>
      </w:r>
      <w:r>
        <w:rPr>
          <w:rFonts w:hint="eastAsia" w:ascii="宋体" w:hAnsi="宋体" w:eastAsia="宋体" w:cs="宋体"/>
          <w:color w:val="auto"/>
          <w:highlight w:val="none"/>
        </w:rPr>
        <w:t>投标人投标产品</w:t>
      </w:r>
      <w:r>
        <w:rPr>
          <w:rFonts w:hint="eastAsia" w:ascii="宋体" w:hAnsi="宋体" w:eastAsia="宋体" w:cs="宋体"/>
          <w:color w:val="auto"/>
          <w:highlight w:val="none"/>
          <w:lang w:eastAsia="zh-CN"/>
        </w:rPr>
        <w:t>存在</w:t>
      </w:r>
      <w:r>
        <w:rPr>
          <w:rFonts w:hint="eastAsia" w:ascii="宋体" w:hAnsi="宋体" w:eastAsia="宋体" w:cs="宋体"/>
          <w:color w:val="auto"/>
          <w:highlight w:val="none"/>
        </w:rPr>
        <w:t>侵犯他人的知识产权或者专利成果行为</w:t>
      </w:r>
      <w:r>
        <w:rPr>
          <w:rFonts w:hint="eastAsia" w:ascii="宋体" w:hAnsi="宋体" w:eastAsia="宋体" w:cs="宋体"/>
          <w:color w:val="auto"/>
          <w:highlight w:val="none"/>
          <w:lang w:eastAsia="zh-CN"/>
        </w:rPr>
        <w:t>的，应</w:t>
      </w:r>
      <w:r>
        <w:rPr>
          <w:rFonts w:hint="eastAsia" w:ascii="宋体" w:hAnsi="宋体" w:eastAsia="宋体" w:cs="宋体"/>
          <w:color w:val="auto"/>
          <w:highlight w:val="none"/>
        </w:rPr>
        <w:t>承担相应法律责任。</w:t>
      </w:r>
    </w:p>
    <w:p w14:paraId="432C22CE">
      <w:pPr>
        <w:spacing w:line="440" w:lineRule="exact"/>
        <w:ind w:firstLine="422" w:firstLineChars="200"/>
        <w:rPr>
          <w:rFonts w:hint="eastAsia"/>
          <w:b/>
          <w:bCs/>
        </w:rPr>
      </w:pPr>
      <w:r>
        <w:rPr>
          <w:rFonts w:hint="eastAsia" w:ascii="宋体" w:hAnsi="宋体"/>
          <w:b/>
          <w:bCs/>
          <w:color w:val="auto"/>
          <w:szCs w:val="21"/>
        </w:rPr>
        <w:t>4.采购内容所属行业：</w:t>
      </w:r>
      <w:r>
        <w:rPr>
          <w:rFonts w:hint="eastAsia" w:ascii="宋体" w:hAnsi="宋体" w:eastAsia="宋体" w:cs="宋体"/>
          <w:b/>
          <w:bCs/>
          <w:color w:val="auto"/>
          <w:highlight w:val="none"/>
        </w:rPr>
        <w:t>软件和信息技术服务业</w:t>
      </w:r>
      <w:r>
        <w:rPr>
          <w:rFonts w:hint="eastAsia" w:ascii="宋体" w:hAnsi="宋体"/>
          <w:b/>
          <w:bCs/>
          <w:color w:val="auto"/>
          <w:szCs w:val="21"/>
        </w:rPr>
        <w:t>。</w:t>
      </w:r>
    </w:p>
    <w:tbl>
      <w:tblPr>
        <w:tblStyle w:val="21"/>
        <w:tblpPr w:leftFromText="180" w:rightFromText="180" w:vertAnchor="text" w:horzAnchor="page" w:tblpX="884" w:tblpY="249"/>
        <w:tblOverlap w:val="never"/>
        <w:tblW w:w="103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0"/>
        <w:gridCol w:w="750"/>
        <w:gridCol w:w="412"/>
        <w:gridCol w:w="413"/>
        <w:gridCol w:w="7542"/>
        <w:gridCol w:w="875"/>
      </w:tblGrid>
      <w:tr w14:paraId="37CB0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9"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14BA5CD2">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14:paraId="740D06FC">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标的的名称</w:t>
            </w:r>
          </w:p>
        </w:tc>
        <w:tc>
          <w:tcPr>
            <w:tcW w:w="412" w:type="dxa"/>
            <w:tcBorders>
              <w:top w:val="single" w:color="000000" w:sz="4" w:space="0"/>
              <w:left w:val="single" w:color="000000" w:sz="4" w:space="0"/>
              <w:bottom w:val="single" w:color="000000" w:sz="4" w:space="0"/>
              <w:right w:val="single" w:color="000000" w:sz="4" w:space="0"/>
            </w:tcBorders>
            <w:vAlign w:val="center"/>
          </w:tcPr>
          <w:p w14:paraId="666DA48B">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数量</w:t>
            </w:r>
          </w:p>
        </w:tc>
        <w:tc>
          <w:tcPr>
            <w:tcW w:w="413" w:type="dxa"/>
            <w:tcBorders>
              <w:top w:val="single" w:color="000000" w:sz="4" w:space="0"/>
              <w:left w:val="single" w:color="000000" w:sz="4" w:space="0"/>
              <w:bottom w:val="single" w:color="000000" w:sz="4" w:space="0"/>
              <w:right w:val="single" w:color="000000" w:sz="4" w:space="0"/>
            </w:tcBorders>
            <w:vAlign w:val="center"/>
          </w:tcPr>
          <w:p w14:paraId="5BE163A8">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单位</w:t>
            </w:r>
          </w:p>
        </w:tc>
        <w:tc>
          <w:tcPr>
            <w:tcW w:w="7542" w:type="dxa"/>
            <w:tcBorders>
              <w:top w:val="single" w:color="000000" w:sz="4" w:space="0"/>
              <w:left w:val="single" w:color="000000" w:sz="4" w:space="0"/>
              <w:bottom w:val="single" w:color="000000" w:sz="4" w:space="0"/>
              <w:right w:val="single" w:color="000000" w:sz="4" w:space="0"/>
            </w:tcBorders>
            <w:vAlign w:val="center"/>
          </w:tcPr>
          <w:p w14:paraId="6B09E30D">
            <w:pPr>
              <w:tabs>
                <w:tab w:val="left" w:pos="180"/>
                <w:tab w:val="left" w:pos="1620"/>
              </w:tabs>
              <w:spacing w:line="360" w:lineRule="auto"/>
              <w:jc w:val="center"/>
              <w:rPr>
                <w:rFonts w:hint="eastAsia" w:ascii="宋体" w:hAnsi="宋体" w:eastAsia="宋体" w:cs="宋体"/>
                <w:b w:val="0"/>
                <w:bCs/>
                <w:color w:val="auto"/>
              </w:rPr>
            </w:pPr>
          </w:p>
          <w:p w14:paraId="55AA55A4">
            <w:pPr>
              <w:tabs>
                <w:tab w:val="left" w:pos="180"/>
                <w:tab w:val="left" w:pos="1620"/>
              </w:tabs>
              <w:spacing w:line="360" w:lineRule="auto"/>
              <w:jc w:val="center"/>
              <w:rPr>
                <w:rFonts w:hint="eastAsia" w:ascii="宋体" w:hAnsi="宋体" w:eastAsia="宋体" w:cs="宋体"/>
                <w:b w:val="0"/>
                <w:bCs/>
                <w:color w:val="auto"/>
              </w:rPr>
            </w:pPr>
            <w:r>
              <w:rPr>
                <w:rFonts w:hint="eastAsia" w:ascii="宋体" w:hAnsi="宋体" w:eastAsia="宋体" w:cs="宋体"/>
                <w:b w:val="0"/>
                <w:bCs/>
                <w:color w:val="auto"/>
              </w:rPr>
              <w:t>服务参数</w:t>
            </w:r>
          </w:p>
          <w:p w14:paraId="05726EA8">
            <w:pPr>
              <w:rPr>
                <w:rFonts w:hint="eastAsia" w:ascii="宋体" w:hAnsi="宋体" w:eastAsia="宋体" w:cs="宋体"/>
                <w:b w:val="0"/>
                <w:bCs/>
                <w:color w:val="auto"/>
                <w:lang w:val="en-US" w:eastAsia="zh-CN"/>
              </w:rPr>
            </w:pPr>
          </w:p>
          <w:p w14:paraId="3994B2DE">
            <w:pPr>
              <w:rPr>
                <w:rFonts w:hint="eastAsia" w:ascii="宋体" w:hAnsi="宋体" w:eastAsia="宋体" w:cs="宋体"/>
                <w:b w:val="0"/>
                <w:bCs/>
                <w:color w:val="auto"/>
                <w:lang w:val="en-US" w:eastAsia="zh-CN"/>
              </w:rPr>
            </w:pPr>
          </w:p>
          <w:p w14:paraId="25CDF202">
            <w:pPr>
              <w:tabs>
                <w:tab w:val="left" w:pos="1237"/>
              </w:tabs>
              <w:jc w:val="left"/>
              <w:rPr>
                <w:rFonts w:hint="eastAsia" w:ascii="宋体" w:hAnsi="宋体" w:eastAsia="宋体" w:cs="宋体"/>
                <w:b w:val="0"/>
                <w:bCs/>
                <w:color w:val="auto"/>
                <w:lang w:val="en-US" w:eastAsia="zh-CN"/>
              </w:rPr>
            </w:pPr>
            <w:r>
              <w:rPr>
                <w:rFonts w:hint="eastAsia" w:ascii="宋体" w:hAnsi="宋体" w:eastAsia="宋体" w:cs="宋体"/>
                <w:b w:val="0"/>
                <w:bCs/>
                <w:color w:val="auto"/>
                <w:kern w:val="2"/>
                <w:sz w:val="21"/>
                <w:szCs w:val="24"/>
                <w:highlight w:val="none"/>
                <w:lang w:val="en-US" w:eastAsia="zh-CN" w:bidi="ar-SA"/>
              </w:rPr>
              <w:tab/>
            </w:r>
          </w:p>
        </w:tc>
        <w:tc>
          <w:tcPr>
            <w:tcW w:w="875" w:type="dxa"/>
            <w:tcBorders>
              <w:top w:val="single" w:color="000000" w:sz="4" w:space="0"/>
              <w:left w:val="single" w:color="000000" w:sz="4" w:space="0"/>
              <w:bottom w:val="single" w:color="000000" w:sz="4" w:space="0"/>
              <w:right w:val="single" w:color="000000" w:sz="4" w:space="0"/>
            </w:tcBorders>
            <w:vAlign w:val="center"/>
          </w:tcPr>
          <w:p w14:paraId="2C0DA5CB">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分项预算合计（元）</w:t>
            </w:r>
          </w:p>
        </w:tc>
      </w:tr>
      <w:tr w14:paraId="22B7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4564EC59">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p>
        </w:tc>
        <w:tc>
          <w:tcPr>
            <w:tcW w:w="750" w:type="dxa"/>
            <w:tcBorders>
              <w:top w:val="single" w:color="000000" w:sz="4" w:space="0"/>
              <w:left w:val="single" w:color="000000" w:sz="4" w:space="0"/>
              <w:bottom w:val="single" w:color="000000" w:sz="4" w:space="0"/>
              <w:right w:val="single" w:color="000000" w:sz="4" w:space="0"/>
            </w:tcBorders>
            <w:vAlign w:val="center"/>
          </w:tcPr>
          <w:p w14:paraId="4CCE63F4">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硬件维护服务</w:t>
            </w:r>
          </w:p>
        </w:tc>
        <w:tc>
          <w:tcPr>
            <w:tcW w:w="412" w:type="dxa"/>
            <w:tcBorders>
              <w:top w:val="single" w:color="000000" w:sz="4" w:space="0"/>
              <w:left w:val="single" w:color="000000" w:sz="4" w:space="0"/>
              <w:bottom w:val="single" w:color="000000" w:sz="4" w:space="0"/>
              <w:right w:val="single" w:color="000000" w:sz="4" w:space="0"/>
            </w:tcBorders>
            <w:vAlign w:val="center"/>
          </w:tcPr>
          <w:p w14:paraId="17A27897">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p>
        </w:tc>
        <w:tc>
          <w:tcPr>
            <w:tcW w:w="413" w:type="dxa"/>
            <w:tcBorders>
              <w:top w:val="single" w:color="000000" w:sz="4" w:space="0"/>
              <w:left w:val="single" w:color="000000" w:sz="4" w:space="0"/>
              <w:bottom w:val="single" w:color="000000" w:sz="4" w:space="0"/>
              <w:right w:val="single" w:color="000000" w:sz="4" w:space="0"/>
            </w:tcBorders>
            <w:vAlign w:val="center"/>
          </w:tcPr>
          <w:p w14:paraId="16189FE3">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项</w:t>
            </w:r>
          </w:p>
        </w:tc>
        <w:tc>
          <w:tcPr>
            <w:tcW w:w="7542" w:type="dxa"/>
            <w:tcBorders>
              <w:top w:val="single" w:color="000000" w:sz="4" w:space="0"/>
              <w:left w:val="single" w:color="000000" w:sz="4" w:space="0"/>
              <w:bottom w:val="single" w:color="000000" w:sz="4" w:space="0"/>
              <w:right w:val="single" w:color="000000" w:sz="4" w:space="0"/>
            </w:tcBorders>
            <w:vAlign w:val="center"/>
          </w:tcPr>
          <w:p w14:paraId="238D4063">
            <w:pPr>
              <w:spacing w:line="360" w:lineRule="exact"/>
              <w:rPr>
                <w:rFonts w:ascii="宋体" w:hAnsi="宋体" w:cs="宋体"/>
                <w:b/>
                <w:bCs/>
                <w:color w:val="auto"/>
                <w:highlight w:val="none"/>
              </w:rPr>
            </w:pPr>
            <w:r>
              <w:rPr>
                <w:rFonts w:hint="eastAsia" w:ascii="宋体" w:hAnsi="宋体" w:cs="宋体"/>
                <w:b/>
                <w:bCs/>
                <w:color w:val="auto"/>
                <w:highlight w:val="none"/>
              </w:rPr>
              <w:t>硬件维护服务</w:t>
            </w:r>
          </w:p>
          <w:p w14:paraId="1E6C27FA">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成交供应商对</w:t>
            </w:r>
            <w:r>
              <w:rPr>
                <w:rFonts w:hint="eastAsia"/>
                <w:color w:val="auto"/>
                <w:highlight w:val="none"/>
                <w:lang w:eastAsia="zh-CN"/>
              </w:rPr>
              <w:t>“南宁党建”融媒体</w:t>
            </w:r>
            <w:r>
              <w:rPr>
                <w:color w:val="auto"/>
                <w:highlight w:val="none"/>
              </w:rPr>
              <w:t>平台</w:t>
            </w:r>
            <w:r>
              <w:rPr>
                <w:rFonts w:hint="eastAsia"/>
                <w:color w:val="auto"/>
                <w:highlight w:val="none"/>
              </w:rPr>
              <w:t>（以下</w:t>
            </w:r>
            <w:r>
              <w:rPr>
                <w:color w:val="auto"/>
                <w:highlight w:val="none"/>
              </w:rPr>
              <w:t>简称平台</w:t>
            </w:r>
            <w:r>
              <w:rPr>
                <w:rFonts w:hint="eastAsia"/>
                <w:color w:val="auto"/>
                <w:highlight w:val="none"/>
              </w:rPr>
              <w:t>）</w:t>
            </w:r>
            <w:r>
              <w:rPr>
                <w:rFonts w:hint="eastAsia" w:ascii="宋体" w:hAnsi="宋体" w:cs="宋体"/>
                <w:b w:val="0"/>
                <w:bCs w:val="0"/>
                <w:color w:val="auto"/>
                <w:highlight w:val="none"/>
              </w:rPr>
              <w:t>云上</w:t>
            </w:r>
            <w:r>
              <w:rPr>
                <w:rFonts w:hint="eastAsia" w:ascii="宋体" w:hAnsi="宋体" w:cs="宋体"/>
                <w:b w:val="0"/>
                <w:bCs w:val="0"/>
                <w:color w:val="auto"/>
                <w:highlight w:val="none"/>
                <w:lang w:val="en-US" w:eastAsia="zh-CN"/>
              </w:rPr>
              <w:t>和</w:t>
            </w:r>
            <w:r>
              <w:rPr>
                <w:rFonts w:hint="eastAsia" w:ascii="宋体" w:hAnsi="宋体" w:cs="宋体"/>
                <w:b w:val="0"/>
                <w:bCs w:val="0"/>
                <w:color w:val="auto"/>
                <w:highlight w:val="none"/>
              </w:rPr>
              <w:t>云下</w:t>
            </w:r>
            <w:r>
              <w:rPr>
                <w:rFonts w:hint="eastAsia" w:ascii="宋体" w:hAnsi="宋体" w:cs="宋体"/>
                <w:color w:val="auto"/>
                <w:highlight w:val="none"/>
              </w:rPr>
              <w:t>服务器、网络设备、安全产品、存储和备份设备、平台附属设备（含南宁市基层党建成果展厅DLP、UPS，以及党建服务自助一体机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信创化</w:t>
            </w:r>
            <w:r>
              <w:rPr>
                <w:rFonts w:hint="eastAsia" w:ascii="宋体" w:hAnsi="宋体" w:cs="宋体"/>
                <w:color w:val="auto"/>
                <w:highlight w:val="none"/>
              </w:rPr>
              <w:t>等平台建设项目时采购的固定资产）进行日常维护、故障修复和必要升级，保障平台硬件设备安全稳定和及时更新。详见附件3《平台项目设备使用情况信息表》。</w:t>
            </w:r>
          </w:p>
          <w:p w14:paraId="3F084692">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1.1</w:t>
            </w:r>
            <w:r>
              <w:rPr>
                <w:rFonts w:hint="eastAsia" w:ascii="宋体" w:hAnsi="宋体" w:cs="宋体"/>
                <w:color w:val="auto"/>
                <w:highlight w:val="none"/>
                <w:lang w:val="en-US" w:eastAsia="zh-CN"/>
              </w:rPr>
              <w:t xml:space="preserve">  </w:t>
            </w:r>
            <w:r>
              <w:rPr>
                <w:rFonts w:hint="eastAsia" w:ascii="宋体" w:hAnsi="宋体" w:cs="宋体"/>
                <w:color w:val="auto"/>
                <w:highlight w:val="none"/>
              </w:rPr>
              <w:t>服务器及存储备份系统维护</w:t>
            </w:r>
          </w:p>
          <w:p w14:paraId="288064C3">
            <w:pPr>
              <w:spacing w:line="360" w:lineRule="exact"/>
              <w:rPr>
                <w:rFonts w:ascii="宋体" w:hAnsi="宋体" w:cs="宋体"/>
                <w:color w:val="auto"/>
                <w:highlight w:val="none"/>
              </w:rPr>
            </w:pPr>
            <w:r>
              <w:rPr>
                <w:rFonts w:hint="eastAsia" w:ascii="宋体" w:hAnsi="宋体" w:cs="宋体"/>
                <w:color w:val="auto"/>
                <w:highlight w:val="none"/>
              </w:rPr>
              <w:t>1.1.1日常维护服务包括检查</w:t>
            </w:r>
            <w:r>
              <w:rPr>
                <w:rFonts w:hint="eastAsia" w:ascii="宋体" w:hAnsi="宋体" w:cs="宋体"/>
                <w:color w:val="auto"/>
                <w:highlight w:val="none"/>
                <w:lang w:val="en-US" w:eastAsia="zh-CN"/>
              </w:rPr>
              <w:t>政务云上及云下本平台</w:t>
            </w:r>
            <w:r>
              <w:rPr>
                <w:rFonts w:hint="eastAsia" w:ascii="宋体" w:hAnsi="宋体" w:cs="宋体"/>
                <w:color w:val="auto"/>
                <w:highlight w:val="none"/>
              </w:rPr>
              <w:t>服务器及存储备份的“设备外观、清洁和完整性、电压、电路灯光信号、设备标签、磁带库容量、磁盘损耗情况”等，做好磁盘整理、漏洞扫描、杀毒更新和账号维护以及关注设备温湿度、声音、气味等可能潜在的问题。频率为1次/7天。除使用电子检查记录外，制作并使用现场情况检查表。</w:t>
            </w:r>
          </w:p>
          <w:p w14:paraId="178E79E9">
            <w:pPr>
              <w:spacing w:line="360" w:lineRule="exact"/>
              <w:rPr>
                <w:rFonts w:ascii="宋体" w:hAnsi="宋体" w:cs="宋体"/>
                <w:color w:val="auto"/>
                <w:highlight w:val="none"/>
              </w:rPr>
            </w:pPr>
            <w:r>
              <w:rPr>
                <w:rFonts w:hint="eastAsia" w:ascii="宋体" w:hAnsi="宋体" w:cs="宋体"/>
                <w:color w:val="auto"/>
                <w:highlight w:val="none"/>
              </w:rPr>
              <w:t>1.1.2提供完整含设备调整、系统优化、资源调配、网络拓扑调整</w:t>
            </w:r>
            <w:r>
              <w:rPr>
                <w:rFonts w:hint="eastAsia" w:ascii="宋体" w:hAnsi="宋体" w:eastAsia="宋体" w:cs="宋体"/>
                <w:color w:val="auto"/>
                <w:highlight w:val="none"/>
              </w:rPr>
              <w:t>等内容的移机方案，及时进行设备移机、更换、升级</w:t>
            </w:r>
            <w:r>
              <w:rPr>
                <w:rFonts w:hint="eastAsia" w:ascii="宋体" w:hAnsi="宋体" w:cs="宋体"/>
                <w:color w:val="auto"/>
                <w:highlight w:val="none"/>
              </w:rPr>
              <w:t>和扩容等工作，</w:t>
            </w:r>
            <w:r>
              <w:rPr>
                <w:rFonts w:hint="eastAsia" w:ascii="宋体" w:hAnsi="宋体" w:cs="宋体"/>
                <w:color w:val="auto"/>
                <w:highlight w:val="none"/>
                <w:lang w:eastAsia="zh-CN"/>
              </w:rPr>
              <w:t>同步更新机房设备机柜图、网络拓扑图，</w:t>
            </w:r>
            <w:r>
              <w:rPr>
                <w:rFonts w:hint="eastAsia" w:ascii="宋体" w:hAnsi="宋体" w:cs="宋体"/>
                <w:color w:val="auto"/>
                <w:highlight w:val="none"/>
              </w:rPr>
              <w:t>进一步提高平台运行稳定性、流畅性、安全性，以对用户透明的方式实现平稳交接。</w:t>
            </w:r>
          </w:p>
          <w:p w14:paraId="2C497785">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1.2</w:t>
            </w:r>
            <w:r>
              <w:rPr>
                <w:rFonts w:hint="eastAsia" w:ascii="宋体" w:hAnsi="宋体" w:cs="宋体"/>
                <w:color w:val="auto"/>
                <w:highlight w:val="none"/>
                <w:lang w:val="en-US" w:eastAsia="zh-CN"/>
              </w:rPr>
              <w:t xml:space="preserve">  </w:t>
            </w:r>
            <w:r>
              <w:rPr>
                <w:rFonts w:hint="eastAsia" w:ascii="宋体" w:hAnsi="宋体" w:cs="宋体"/>
                <w:color w:val="auto"/>
                <w:highlight w:val="none"/>
              </w:rPr>
              <w:t>网络及安全设备维护</w:t>
            </w:r>
          </w:p>
          <w:p w14:paraId="012942F0">
            <w:pPr>
              <w:spacing w:line="360" w:lineRule="exact"/>
              <w:rPr>
                <w:rFonts w:ascii="宋体" w:hAnsi="宋体" w:cs="宋体"/>
                <w:color w:val="auto"/>
                <w:highlight w:val="none"/>
              </w:rPr>
            </w:pPr>
            <w:r>
              <w:rPr>
                <w:rFonts w:hint="eastAsia" w:ascii="宋体" w:hAnsi="宋体" w:cs="宋体"/>
                <w:color w:val="auto"/>
                <w:highlight w:val="none"/>
              </w:rPr>
              <w:t>1.2.1日常维护服务包括检查</w:t>
            </w:r>
            <w:r>
              <w:rPr>
                <w:rFonts w:hint="eastAsia" w:ascii="宋体" w:hAnsi="宋体" w:cs="宋体"/>
                <w:color w:val="auto"/>
                <w:highlight w:val="none"/>
                <w:lang w:val="en-US" w:eastAsia="zh-CN"/>
              </w:rPr>
              <w:t>政务云上及云下本平台网络和安全设备的</w:t>
            </w:r>
            <w:r>
              <w:rPr>
                <w:rFonts w:hint="eastAsia" w:ascii="宋体" w:hAnsi="宋体" w:cs="宋体"/>
                <w:color w:val="auto"/>
                <w:highlight w:val="none"/>
              </w:rPr>
              <w:t>“设备外观、清洁和完整性、电压、电路灯光信号、设备标签”和检查“网络结构安全、访问控制、安全审计、边界完整性检查、入侵防范、恶意代码防范、网络设备防护”等内容。做好网络带宽及稳定性测试和账号维护等内容以及关注设备温湿度、声音、气味等可能潜在的问题。频率为1次/7天。对于网络“连接性、访问和攻击频率、入侵程度”等信息要做到7×24小时实时监控和触发短信报警的设置，每周统计、整理和汇报网络攻击情况和安全风险分析。每月提交网络安全情况小结，对各种攻击危害进行详细描述分析及采取的防范措施和预防措施。每个季度提交季度安全分析报告，收集统计平台在本季所遭遇的各安全事件，分析平台整体网络安全态势、攻击防护概况。</w:t>
            </w:r>
          </w:p>
          <w:p w14:paraId="710AA82A">
            <w:pPr>
              <w:spacing w:line="360" w:lineRule="exact"/>
              <w:rPr>
                <w:rFonts w:ascii="宋体" w:hAnsi="宋体" w:cs="宋体"/>
                <w:color w:val="auto"/>
                <w:highlight w:val="none"/>
              </w:rPr>
            </w:pPr>
            <w:r>
              <w:rPr>
                <w:rFonts w:hint="eastAsia" w:ascii="宋体" w:hAnsi="宋体" w:cs="宋体"/>
                <w:color w:val="auto"/>
                <w:highlight w:val="none"/>
              </w:rPr>
              <w:t>1.2.2应急维护服务包括设备故障、活动保障、攻击防护及处理结果汇报。</w:t>
            </w:r>
          </w:p>
          <w:p w14:paraId="7C33118D">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接到设备故障报告后，要求工程师必须</w:t>
            </w:r>
            <w:r>
              <w:rPr>
                <w:rFonts w:hint="eastAsia" w:ascii="宋体" w:hAnsi="宋体" w:cs="宋体"/>
                <w:color w:val="auto"/>
                <w:highlight w:val="none"/>
                <w:lang w:eastAsia="zh-CN"/>
              </w:rPr>
              <w:t>半</w:t>
            </w:r>
            <w:r>
              <w:rPr>
                <w:rFonts w:hint="eastAsia" w:ascii="宋体" w:hAnsi="宋体" w:cs="宋体"/>
                <w:color w:val="auto"/>
                <w:highlight w:val="none"/>
              </w:rPr>
              <w:t>小时内赶赴现场，采取适当的维护服务措施。主要包括：实施</w:t>
            </w:r>
            <w:r>
              <w:rPr>
                <w:rFonts w:hint="eastAsia" w:ascii="宋体" w:hAnsi="宋体" w:cs="宋体"/>
                <w:color w:val="auto"/>
                <w:highlight w:val="none"/>
                <w:lang w:val="en-US" w:eastAsia="zh-CN"/>
              </w:rPr>
              <w:t>应急响应、</w:t>
            </w:r>
            <w:r>
              <w:rPr>
                <w:rFonts w:hint="eastAsia" w:ascii="宋体" w:hAnsi="宋体" w:cs="宋体"/>
                <w:color w:val="auto"/>
                <w:highlight w:val="none"/>
              </w:rPr>
              <w:t>故障诊断、备件维修、更换、网络带宽及配置调整、维修记录报告、补丁升级等。</w:t>
            </w:r>
          </w:p>
          <w:p w14:paraId="3EC9DD93">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接到活动保障任务后，要求工程师必须</w:t>
            </w:r>
            <w:r>
              <w:rPr>
                <w:rFonts w:hint="eastAsia" w:ascii="宋体" w:hAnsi="宋体" w:cs="宋体"/>
                <w:color w:val="auto"/>
                <w:highlight w:val="none"/>
                <w:lang w:val="en-US" w:eastAsia="zh-CN"/>
              </w:rPr>
              <w:t>提前做好保障预案和值班安排，</w:t>
            </w:r>
            <w:r>
              <w:rPr>
                <w:rFonts w:hint="eastAsia" w:ascii="宋体" w:hAnsi="宋体" w:cs="宋体"/>
                <w:color w:val="auto"/>
                <w:highlight w:val="none"/>
              </w:rPr>
              <w:t>在规定时间内赶赴现场，采取适当的保障服务措施。主要包括：优化网络带宽、按要求更改配置、补丁升级、</w:t>
            </w:r>
            <w:r>
              <w:rPr>
                <w:rFonts w:hint="eastAsia" w:ascii="宋体" w:hAnsi="宋体" w:cs="宋体"/>
                <w:color w:val="auto"/>
                <w:highlight w:val="none"/>
                <w:lang w:val="en-US" w:eastAsia="zh-CN"/>
              </w:rPr>
              <w:t>提前备份、</w:t>
            </w:r>
            <w:r>
              <w:rPr>
                <w:rFonts w:hint="eastAsia" w:ascii="宋体" w:hAnsi="宋体" w:cs="宋体"/>
                <w:color w:val="auto"/>
                <w:highlight w:val="none"/>
              </w:rPr>
              <w:t>动态调整等。</w:t>
            </w:r>
          </w:p>
          <w:p w14:paraId="329AAF11">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接到攻击防护任务后，要求工程师必须半小时内赶赴现场，采取适当的维护服务措施。主要包括：实施故障诊断、配置策略调整、临时断开网络、过滤IP、日志分析</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攻击溯源、生成专报</w:t>
            </w:r>
            <w:r>
              <w:rPr>
                <w:rFonts w:hint="eastAsia" w:ascii="宋体" w:hAnsi="宋体" w:cs="宋体"/>
                <w:color w:val="auto"/>
                <w:highlight w:val="none"/>
              </w:rPr>
              <w:t>等。</w:t>
            </w:r>
          </w:p>
          <w:p w14:paraId="1E19EF36">
            <w:pPr>
              <w:spacing w:after="120" w:line="360" w:lineRule="exact"/>
              <w:rPr>
                <w:rFonts w:ascii="宋体" w:hAnsi="宋体" w:cs="宋体"/>
                <w:color w:val="auto"/>
                <w:szCs w:val="22"/>
                <w:highlight w:val="none"/>
              </w:rPr>
            </w:pPr>
            <w:r>
              <w:rPr>
                <w:rFonts w:hint="eastAsia" w:ascii="宋体" w:hAnsi="宋体" w:cs="宋体"/>
                <w:color w:val="auto"/>
                <w:szCs w:val="22"/>
                <w:highlight w:val="none"/>
              </w:rPr>
              <w:t xml:space="preserve">    </w:t>
            </w:r>
            <w:r>
              <w:rPr>
                <w:rFonts w:hint="eastAsia"/>
                <w:color w:val="auto"/>
                <w:highlight w:val="none"/>
              </w:rPr>
              <w:t>完善</w:t>
            </w:r>
            <w:r>
              <w:rPr>
                <w:color w:val="auto"/>
                <w:highlight w:val="none"/>
              </w:rPr>
              <w:t>事件</w:t>
            </w:r>
            <w:r>
              <w:rPr>
                <w:b/>
                <w:color w:val="auto"/>
                <w:highlight w:val="none"/>
              </w:rPr>
              <w:t>/</w:t>
            </w:r>
            <w:r>
              <w:rPr>
                <w:rFonts w:hint="eastAsia"/>
                <w:color w:val="auto"/>
                <w:highlight w:val="none"/>
              </w:rPr>
              <w:t>故障</w:t>
            </w:r>
            <w:r>
              <w:rPr>
                <w:color w:val="auto"/>
                <w:highlight w:val="none"/>
              </w:rPr>
              <w:t>处置报告</w:t>
            </w:r>
            <w:r>
              <w:rPr>
                <w:rFonts w:hint="eastAsia"/>
                <w:color w:val="auto"/>
                <w:highlight w:val="none"/>
              </w:rPr>
              <w:t>，</w:t>
            </w:r>
            <w:r>
              <w:rPr>
                <w:rFonts w:hint="eastAsia" w:ascii="宋体" w:hAnsi="宋体" w:cs="宋体"/>
                <w:color w:val="auto"/>
                <w:szCs w:val="22"/>
                <w:highlight w:val="none"/>
              </w:rPr>
              <w:t>应急事件处理完毕后，要求工程师</w:t>
            </w:r>
            <w:r>
              <w:rPr>
                <w:rFonts w:hint="eastAsia" w:ascii="宋体" w:hAnsi="宋体" w:cs="宋体"/>
                <w:color w:val="auto"/>
                <w:szCs w:val="22"/>
                <w:highlight w:val="none"/>
                <w:lang w:val="en-US" w:eastAsia="zh-CN"/>
              </w:rPr>
              <w:t>认真分析问题、总结经验，</w:t>
            </w:r>
            <w:r>
              <w:rPr>
                <w:rFonts w:hint="eastAsia" w:ascii="宋体" w:hAnsi="宋体" w:cs="宋体"/>
                <w:color w:val="auto"/>
                <w:szCs w:val="22"/>
                <w:highlight w:val="none"/>
              </w:rPr>
              <w:t>以书面形式详细记录并如实向采购方反馈处理过程及结果，</w:t>
            </w:r>
            <w:r>
              <w:rPr>
                <w:rFonts w:hint="eastAsia"/>
                <w:color w:val="auto"/>
                <w:highlight w:val="none"/>
              </w:rPr>
              <w:t>及时将</w:t>
            </w:r>
            <w:r>
              <w:rPr>
                <w:color w:val="auto"/>
                <w:highlight w:val="none"/>
              </w:rPr>
              <w:t>事件</w:t>
            </w:r>
            <w:r>
              <w:rPr>
                <w:b/>
                <w:color w:val="auto"/>
                <w:highlight w:val="none"/>
              </w:rPr>
              <w:t>/</w:t>
            </w:r>
            <w:r>
              <w:rPr>
                <w:rFonts w:hint="eastAsia"/>
                <w:color w:val="auto"/>
                <w:highlight w:val="none"/>
              </w:rPr>
              <w:t>故障</w:t>
            </w:r>
            <w:r>
              <w:rPr>
                <w:color w:val="auto"/>
                <w:highlight w:val="none"/>
              </w:rPr>
              <w:t>处置报告上传至</w:t>
            </w:r>
            <w:r>
              <w:rPr>
                <w:rFonts w:hint="eastAsia"/>
                <w:color w:val="auto"/>
                <w:highlight w:val="none"/>
              </w:rPr>
              <w:t>维护文档</w:t>
            </w:r>
            <w:r>
              <w:rPr>
                <w:color w:val="auto"/>
                <w:highlight w:val="none"/>
              </w:rPr>
              <w:t>管理中做好记录。</w:t>
            </w:r>
            <w:r>
              <w:rPr>
                <w:rFonts w:hint="eastAsia" w:ascii="宋体" w:hAnsi="宋体" w:cs="宋体"/>
                <w:color w:val="auto"/>
                <w:szCs w:val="22"/>
                <w:highlight w:val="none"/>
              </w:rPr>
              <w:t>同时</w:t>
            </w:r>
            <w:r>
              <w:rPr>
                <w:rFonts w:hint="eastAsia" w:ascii="宋体" w:hAnsi="宋体" w:cs="宋体"/>
                <w:color w:val="auto"/>
                <w:szCs w:val="22"/>
                <w:highlight w:val="none"/>
                <w:lang w:val="en-US" w:eastAsia="zh-CN"/>
              </w:rPr>
              <w:t>制定后续整改加固计划，</w:t>
            </w:r>
            <w:r>
              <w:rPr>
                <w:rFonts w:hint="eastAsia" w:ascii="宋体" w:hAnsi="宋体" w:cs="宋体"/>
                <w:color w:val="auto"/>
                <w:szCs w:val="22"/>
                <w:highlight w:val="none"/>
              </w:rPr>
              <w:t>确保各系统硬件设备和平台网络环境处于</w:t>
            </w:r>
            <w:r>
              <w:rPr>
                <w:rFonts w:hint="eastAsia" w:ascii="宋体" w:hAnsi="宋体" w:cs="宋体"/>
                <w:color w:val="auto"/>
                <w:szCs w:val="22"/>
                <w:highlight w:val="none"/>
                <w:lang w:val="en-US" w:eastAsia="zh-CN"/>
              </w:rPr>
              <w:t>更为</w:t>
            </w:r>
            <w:r>
              <w:rPr>
                <w:rFonts w:hint="eastAsia" w:ascii="宋体" w:hAnsi="宋体" w:cs="宋体"/>
                <w:color w:val="auto"/>
                <w:szCs w:val="22"/>
                <w:highlight w:val="none"/>
              </w:rPr>
              <w:t>安全</w:t>
            </w:r>
            <w:r>
              <w:rPr>
                <w:rFonts w:hint="eastAsia" w:ascii="宋体" w:hAnsi="宋体" w:cs="宋体"/>
                <w:color w:val="auto"/>
                <w:szCs w:val="22"/>
                <w:highlight w:val="none"/>
                <w:lang w:val="en-US" w:eastAsia="zh-CN"/>
              </w:rPr>
              <w:t>的</w:t>
            </w:r>
            <w:r>
              <w:rPr>
                <w:rFonts w:hint="eastAsia" w:ascii="宋体" w:hAnsi="宋体" w:cs="宋体"/>
                <w:color w:val="auto"/>
                <w:szCs w:val="22"/>
                <w:highlight w:val="none"/>
              </w:rPr>
              <w:t>状态下。</w:t>
            </w:r>
          </w:p>
          <w:p w14:paraId="004B65E8">
            <w:pPr>
              <w:spacing w:after="120" w:line="360" w:lineRule="exact"/>
              <w:rPr>
                <w:rFonts w:hint="eastAsia" w:ascii="宋体" w:hAnsi="宋体" w:cs="宋体"/>
                <w:color w:val="auto"/>
                <w:szCs w:val="22"/>
                <w:highlight w:val="none"/>
              </w:rPr>
            </w:pPr>
            <w:r>
              <w:rPr>
                <w:rFonts w:hint="eastAsia" w:ascii="宋体" w:hAnsi="宋体" w:cs="宋体"/>
                <w:color w:val="auto"/>
                <w:szCs w:val="22"/>
                <w:highlight w:val="none"/>
              </w:rPr>
              <w:t>1.2.3按照国家网络安全等级保护</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商用密码应用安全性评估等</w:t>
            </w:r>
            <w:r>
              <w:rPr>
                <w:rFonts w:hint="eastAsia" w:ascii="宋体" w:hAnsi="宋体" w:cs="宋体"/>
                <w:color w:val="auto"/>
                <w:szCs w:val="22"/>
                <w:highlight w:val="none"/>
              </w:rPr>
              <w:t>要求，协助</w:t>
            </w:r>
            <w:r>
              <w:rPr>
                <w:rFonts w:ascii="宋体" w:hAnsi="宋体" w:cs="宋体"/>
                <w:color w:val="auto"/>
                <w:szCs w:val="22"/>
                <w:highlight w:val="none"/>
              </w:rPr>
              <w:t>第三方</w:t>
            </w:r>
            <w:r>
              <w:rPr>
                <w:rFonts w:hint="eastAsia" w:ascii="宋体" w:hAnsi="宋体" w:cs="宋体"/>
                <w:color w:val="auto"/>
                <w:szCs w:val="22"/>
                <w:highlight w:val="none"/>
              </w:rPr>
              <w:t>对</w:t>
            </w:r>
            <w:r>
              <w:rPr>
                <w:rFonts w:ascii="宋体" w:hAnsi="宋体" w:cs="宋体"/>
                <w:color w:val="auto"/>
                <w:szCs w:val="22"/>
                <w:highlight w:val="none"/>
              </w:rPr>
              <w:t>平台进行</w:t>
            </w:r>
            <w:r>
              <w:rPr>
                <w:rFonts w:hint="eastAsia" w:ascii="宋体" w:hAnsi="宋体" w:cs="宋体"/>
                <w:color w:val="auto"/>
                <w:szCs w:val="22"/>
                <w:highlight w:val="none"/>
                <w:lang w:val="en-US" w:eastAsia="zh-CN"/>
              </w:rPr>
              <w:t>各类安全性</w:t>
            </w:r>
            <w:r>
              <w:rPr>
                <w:rFonts w:ascii="宋体" w:hAnsi="宋体" w:cs="宋体"/>
                <w:color w:val="auto"/>
                <w:szCs w:val="22"/>
                <w:highlight w:val="none"/>
              </w:rPr>
              <w:t>测评</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检查</w:t>
            </w:r>
            <w:r>
              <w:rPr>
                <w:rFonts w:ascii="宋体" w:hAnsi="宋体" w:cs="宋体"/>
                <w:color w:val="auto"/>
                <w:szCs w:val="22"/>
                <w:highlight w:val="none"/>
              </w:rPr>
              <w:t>。</w:t>
            </w:r>
            <w:r>
              <w:rPr>
                <w:rFonts w:hint="eastAsia" w:ascii="宋体" w:hAnsi="宋体" w:cs="宋体"/>
                <w:color w:val="auto"/>
                <w:szCs w:val="22"/>
                <w:highlight w:val="none"/>
              </w:rPr>
              <w:t>成交供应商</w:t>
            </w:r>
            <w:r>
              <w:rPr>
                <w:rFonts w:ascii="宋体" w:hAnsi="宋体" w:cs="宋体"/>
                <w:color w:val="auto"/>
                <w:szCs w:val="22"/>
                <w:highlight w:val="none"/>
              </w:rPr>
              <w:t>需</w:t>
            </w:r>
            <w:r>
              <w:rPr>
                <w:rFonts w:hint="eastAsia" w:ascii="宋体" w:hAnsi="宋体" w:cs="宋体"/>
                <w:color w:val="auto"/>
                <w:szCs w:val="22"/>
                <w:highlight w:val="none"/>
              </w:rPr>
              <w:t>对平台提供</w:t>
            </w:r>
            <w:r>
              <w:rPr>
                <w:rFonts w:hint="eastAsia" w:ascii="宋体" w:hAnsi="宋体" w:cs="宋体"/>
                <w:color w:val="auto"/>
                <w:szCs w:val="22"/>
                <w:highlight w:val="none"/>
                <w:lang w:val="en-US" w:eastAsia="zh-CN"/>
              </w:rPr>
              <w:t>达到</w:t>
            </w:r>
            <w:r>
              <w:rPr>
                <w:rFonts w:hint="eastAsia" w:ascii="宋体" w:hAnsi="宋体" w:cs="宋体"/>
                <w:color w:val="auto"/>
                <w:szCs w:val="22"/>
                <w:highlight w:val="none"/>
              </w:rPr>
              <w:t>三级等级保护</w:t>
            </w:r>
            <w:r>
              <w:rPr>
                <w:rFonts w:hint="eastAsia" w:ascii="宋体" w:hAnsi="宋体" w:cs="宋体"/>
                <w:color w:val="auto"/>
                <w:szCs w:val="22"/>
                <w:highlight w:val="none"/>
                <w:lang w:val="en-US" w:eastAsia="zh-CN"/>
              </w:rPr>
              <w:t>要求和通过</w:t>
            </w:r>
            <w:r>
              <w:rPr>
                <w:rFonts w:hint="eastAsia" w:ascii="宋体" w:hAnsi="宋体" w:cs="宋体"/>
                <w:color w:val="auto"/>
                <w:szCs w:val="22"/>
                <w:highlight w:val="none"/>
              </w:rPr>
              <w:t>商用密码应用安全性评估</w:t>
            </w:r>
            <w:r>
              <w:rPr>
                <w:rFonts w:hint="eastAsia" w:ascii="宋体" w:hAnsi="宋体" w:cs="宋体"/>
                <w:color w:val="auto"/>
                <w:szCs w:val="22"/>
                <w:highlight w:val="none"/>
                <w:lang w:val="en-US" w:eastAsia="zh-CN"/>
              </w:rPr>
              <w:t>的相关</w:t>
            </w:r>
            <w:r>
              <w:rPr>
                <w:rFonts w:hint="eastAsia" w:ascii="宋体" w:hAnsi="宋体" w:cs="宋体"/>
                <w:color w:val="auto"/>
                <w:szCs w:val="22"/>
                <w:highlight w:val="none"/>
              </w:rPr>
              <w:t>措施并</w:t>
            </w:r>
            <w:r>
              <w:rPr>
                <w:rFonts w:hint="eastAsia" w:ascii="宋体" w:hAnsi="宋体" w:cs="宋体"/>
                <w:color w:val="auto"/>
                <w:szCs w:val="22"/>
                <w:highlight w:val="none"/>
                <w:lang w:val="en-US" w:eastAsia="zh-CN"/>
              </w:rPr>
              <w:t>在本服务周期内</w:t>
            </w:r>
            <w:r>
              <w:rPr>
                <w:rFonts w:hint="eastAsia" w:ascii="宋体" w:hAnsi="宋体" w:cs="宋体"/>
                <w:color w:val="auto"/>
                <w:szCs w:val="22"/>
                <w:highlight w:val="none"/>
              </w:rPr>
              <w:t>做好</w:t>
            </w:r>
            <w:r>
              <w:rPr>
                <w:rFonts w:hint="eastAsia" w:ascii="宋体" w:hAnsi="宋体" w:cs="宋体"/>
                <w:color w:val="auto"/>
                <w:szCs w:val="22"/>
                <w:highlight w:val="none"/>
                <w:lang w:val="en-US" w:eastAsia="zh-CN"/>
              </w:rPr>
              <w:t>测评和评估结论中的扣分项</w:t>
            </w:r>
            <w:r>
              <w:rPr>
                <w:rFonts w:hint="eastAsia" w:ascii="宋体" w:hAnsi="宋体" w:cs="宋体"/>
                <w:color w:val="auto"/>
                <w:szCs w:val="22"/>
                <w:highlight w:val="none"/>
              </w:rPr>
              <w:t>整改工作，确保平台完整、正常运行的基础上，无中高危安全风险，第三方终测</w:t>
            </w:r>
            <w:r>
              <w:rPr>
                <w:rFonts w:hint="eastAsia" w:ascii="宋体" w:hAnsi="宋体" w:cs="宋体"/>
                <w:color w:val="auto"/>
                <w:szCs w:val="22"/>
                <w:highlight w:val="none"/>
                <w:lang w:val="en-US" w:eastAsia="zh-CN"/>
              </w:rPr>
              <w:t>和评估</w:t>
            </w:r>
            <w:r>
              <w:rPr>
                <w:rFonts w:hint="eastAsia" w:ascii="宋体" w:hAnsi="宋体" w:cs="宋体"/>
                <w:color w:val="auto"/>
                <w:szCs w:val="22"/>
                <w:highlight w:val="none"/>
              </w:rPr>
              <w:t>结论合格，整体安全达标。在进行系统改建、增建、设备移机、更换、升级和扩容等工作时，应</w:t>
            </w:r>
            <w:r>
              <w:rPr>
                <w:rFonts w:hint="eastAsia" w:ascii="宋体" w:hAnsi="宋体" w:cs="宋体"/>
                <w:color w:val="auto"/>
                <w:szCs w:val="22"/>
                <w:highlight w:val="none"/>
                <w:lang w:val="en-US" w:eastAsia="zh-CN"/>
              </w:rPr>
              <w:t>同步设计网络安全防护，</w:t>
            </w:r>
            <w:r>
              <w:rPr>
                <w:rFonts w:hint="eastAsia" w:ascii="宋体" w:hAnsi="宋体" w:cs="宋体"/>
                <w:color w:val="auto"/>
                <w:szCs w:val="22"/>
                <w:highlight w:val="none"/>
              </w:rPr>
              <w:t>及时进行网络和安全设备</w:t>
            </w:r>
            <w:r>
              <w:rPr>
                <w:rFonts w:hint="eastAsia" w:ascii="宋体" w:hAnsi="宋体" w:cs="宋体"/>
                <w:color w:val="auto"/>
                <w:szCs w:val="22"/>
                <w:highlight w:val="none"/>
                <w:lang w:val="en-US" w:eastAsia="zh-CN"/>
              </w:rPr>
              <w:t>以及定级备案</w:t>
            </w:r>
            <w:r>
              <w:rPr>
                <w:rFonts w:hint="eastAsia" w:ascii="宋体" w:hAnsi="宋体" w:cs="宋体"/>
                <w:color w:val="auto"/>
                <w:szCs w:val="22"/>
                <w:highlight w:val="none"/>
              </w:rPr>
              <w:t>的调整，配合第三方专业公司完成对平台</w:t>
            </w:r>
            <w:r>
              <w:rPr>
                <w:rFonts w:hint="eastAsia" w:ascii="宋体" w:hAnsi="宋体" w:cs="宋体"/>
                <w:color w:val="auto"/>
                <w:szCs w:val="22"/>
                <w:highlight w:val="none"/>
                <w:lang w:val="en-US" w:eastAsia="zh-CN"/>
              </w:rPr>
              <w:t>代码审计、风险评估、</w:t>
            </w:r>
            <w:r>
              <w:rPr>
                <w:rFonts w:hint="eastAsia" w:ascii="宋体" w:hAnsi="宋体" w:cs="宋体"/>
                <w:color w:val="auto"/>
                <w:szCs w:val="22"/>
                <w:highlight w:val="none"/>
              </w:rPr>
              <w:t>漏扫和渗透测试，及时更新连接图和配置文档的版本并重新设计和实施信息系统安全</w:t>
            </w:r>
            <w:r>
              <w:rPr>
                <w:rFonts w:hint="eastAsia" w:ascii="宋体" w:hAnsi="宋体" w:cs="宋体"/>
                <w:color w:val="auto"/>
                <w:szCs w:val="22"/>
                <w:highlight w:val="none"/>
                <w:lang w:val="en-US" w:eastAsia="zh-CN"/>
              </w:rPr>
              <w:t>防护</w:t>
            </w:r>
            <w:r>
              <w:rPr>
                <w:rFonts w:hint="eastAsia" w:ascii="宋体" w:hAnsi="宋体" w:cs="宋体"/>
                <w:color w:val="auto"/>
                <w:szCs w:val="22"/>
                <w:highlight w:val="none"/>
              </w:rPr>
              <w:t>措施。</w:t>
            </w:r>
          </w:p>
          <w:p w14:paraId="749E42CD">
            <w:pPr>
              <w:spacing w:after="120" w:line="360" w:lineRule="exact"/>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1.2.4按照国家密码法要求，成交供应商需对平台账号密码和数据加密的合规性、正确性和有效性进行评估，确保平台系统使用的密码算法、密码协议、密钥管理符合法律法规的规定和密码相关国家标准、行业标准的有关要求。严格遵守“涉密信息、内部敏感信息不上网”原则，采取数据分隔舱、国产算法加密、业务数据脱敏、VPN加密传输、UKEY认证+短信验证码登录等方式加固数据安全防护。</w:t>
            </w:r>
          </w:p>
          <w:p w14:paraId="16F3B7A8">
            <w:pPr>
              <w:spacing w:after="120" w:line="360" w:lineRule="exact"/>
              <w:rPr>
                <w:rFonts w:ascii="宋体" w:hAnsi="宋体" w:cs="宋体"/>
                <w:color w:val="auto"/>
                <w:szCs w:val="22"/>
                <w:highlight w:val="none"/>
              </w:rPr>
            </w:pPr>
            <w:r>
              <w:rPr>
                <w:rFonts w:hint="eastAsia" w:ascii="宋体" w:hAnsi="宋体" w:cs="宋体"/>
                <w:b/>
                <w:color w:val="auto"/>
                <w:highlight w:val="none"/>
              </w:rPr>
              <w:t>▲</w:t>
            </w:r>
            <w:r>
              <w:rPr>
                <w:rFonts w:hint="eastAsia" w:ascii="宋体" w:hAnsi="宋体" w:cs="宋体"/>
                <w:color w:val="auto"/>
                <w:szCs w:val="22"/>
                <w:highlight w:val="none"/>
              </w:rPr>
              <w:t>1.3</w:t>
            </w:r>
            <w:r>
              <w:rPr>
                <w:rFonts w:hint="eastAsia" w:ascii="宋体" w:hAnsi="宋体" w:cs="宋体"/>
                <w:color w:val="auto"/>
                <w:szCs w:val="22"/>
                <w:highlight w:val="none"/>
                <w:lang w:val="en-US" w:eastAsia="zh-CN"/>
              </w:rPr>
              <w:t xml:space="preserve">  软硬件</w:t>
            </w:r>
            <w:r>
              <w:rPr>
                <w:rFonts w:hint="eastAsia" w:ascii="宋体" w:hAnsi="宋体" w:cs="宋体"/>
                <w:color w:val="auto"/>
                <w:szCs w:val="22"/>
                <w:highlight w:val="none"/>
              </w:rPr>
              <w:t>扩容升级（非延保授权类）</w:t>
            </w:r>
          </w:p>
          <w:p w14:paraId="5F0DE820">
            <w:pPr>
              <w:spacing w:after="120" w:line="360" w:lineRule="exact"/>
              <w:rPr>
                <w:rFonts w:hint="eastAsia" w:ascii="宋体" w:hAnsi="宋体" w:eastAsia="宋体" w:cs="宋体"/>
                <w:color w:val="auto"/>
                <w:szCs w:val="22"/>
                <w:highlight w:val="none"/>
              </w:rPr>
            </w:pPr>
            <w:r>
              <w:rPr>
                <w:rFonts w:hint="eastAsia" w:ascii="宋体" w:hAnsi="宋体" w:cs="宋体"/>
                <w:color w:val="auto"/>
                <w:szCs w:val="22"/>
                <w:highlight w:val="none"/>
              </w:rPr>
              <w:t>及时对平台基础和延伸软硬件进行扩容升级，保障足够的服务性能和应用功能，不断加强平台安全防护能力和技术支撑能力。每年</w:t>
            </w:r>
            <w:r>
              <w:rPr>
                <w:rFonts w:hint="eastAsia" w:ascii="宋体" w:hAnsi="宋体" w:cs="宋体"/>
                <w:color w:val="auto"/>
                <w:szCs w:val="22"/>
                <w:highlight w:val="none"/>
                <w:lang w:val="en-US" w:eastAsia="zh-CN"/>
              </w:rPr>
              <w:t>用于扩容升级的</w:t>
            </w:r>
            <w:r>
              <w:rPr>
                <w:rFonts w:hint="eastAsia" w:ascii="宋体" w:hAnsi="宋体" w:cs="宋体"/>
                <w:color w:val="auto"/>
                <w:szCs w:val="22"/>
                <w:highlight w:val="none"/>
              </w:rPr>
              <w:t>软硬件购置投入不少于5万元（不超过10万元由成交供应商负责，超过10万元的，超出部分由采购方另行购买），具体包括备品、改造、升级、更换</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新增</w:t>
            </w:r>
            <w:r>
              <w:rPr>
                <w:rFonts w:hint="eastAsia" w:ascii="宋体" w:hAnsi="宋体" w:cs="宋体"/>
                <w:color w:val="auto"/>
                <w:szCs w:val="22"/>
                <w:highlight w:val="none"/>
              </w:rPr>
              <w:t>等操作。开展扩容升级前，需预先报采购方审核同意后方实施扩</w:t>
            </w:r>
            <w:r>
              <w:rPr>
                <w:rFonts w:hint="eastAsia" w:ascii="宋体" w:hAnsi="宋体" w:eastAsia="宋体" w:cs="宋体"/>
                <w:color w:val="auto"/>
                <w:szCs w:val="22"/>
                <w:highlight w:val="none"/>
              </w:rPr>
              <w:t>容升级计划。</w:t>
            </w:r>
          </w:p>
          <w:p w14:paraId="67EFD44C">
            <w:pPr>
              <w:spacing w:line="360" w:lineRule="exact"/>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设备的接入、调试服务</w:t>
            </w:r>
          </w:p>
          <w:p w14:paraId="0F3FB01B">
            <w:pPr>
              <w:spacing w:after="120" w:line="360" w:lineRule="exact"/>
              <w:ind w:firstLine="420" w:firstLineChars="200"/>
              <w:rPr>
                <w:rFonts w:ascii="宋体" w:hAnsi="宋体" w:cs="宋体"/>
                <w:color w:val="auto"/>
                <w:szCs w:val="22"/>
                <w:highlight w:val="none"/>
              </w:rPr>
            </w:pPr>
            <w:r>
              <w:rPr>
                <w:rFonts w:hint="eastAsia" w:ascii="宋体" w:hAnsi="宋体" w:cs="宋体"/>
                <w:color w:val="auto"/>
                <w:szCs w:val="22"/>
                <w:highlight w:val="none"/>
              </w:rPr>
              <w:t>成交供应商需对采购方提供设备的接入和调试、新设备的安装、接入、调试服务，确保其他设备或新设备的正常使用，以及设备接入或调试后，原系统依旧安全平稳运行。</w:t>
            </w:r>
          </w:p>
          <w:p w14:paraId="5D788A3F">
            <w:pPr>
              <w:spacing w:after="120" w:line="360" w:lineRule="exact"/>
              <w:rPr>
                <w:rFonts w:ascii="宋体" w:hAnsi="宋体" w:cs="宋体"/>
                <w:color w:val="auto"/>
                <w:szCs w:val="22"/>
                <w:highlight w:val="none"/>
              </w:rPr>
            </w:pPr>
            <w:r>
              <w:rPr>
                <w:rFonts w:hint="eastAsia" w:ascii="宋体" w:hAnsi="宋体" w:cs="宋体"/>
                <w:color w:val="auto"/>
                <w:szCs w:val="22"/>
                <w:highlight w:val="none"/>
                <w:lang w:val="en-US" w:eastAsia="zh-CN"/>
              </w:rPr>
              <w:t>1</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5</w:t>
            </w:r>
            <w:r>
              <w:rPr>
                <w:rFonts w:hint="eastAsia" w:ascii="宋体" w:hAnsi="宋体" w:cs="宋体"/>
                <w:color w:val="auto"/>
                <w:szCs w:val="22"/>
                <w:highlight w:val="none"/>
              </w:rPr>
              <w:tab/>
            </w:r>
            <w:r>
              <w:rPr>
                <w:rFonts w:hint="eastAsia" w:ascii="宋体" w:hAnsi="宋体" w:cs="宋体"/>
                <w:color w:val="auto"/>
                <w:szCs w:val="22"/>
                <w:highlight w:val="none"/>
                <w:lang w:val="en-US" w:eastAsia="zh-CN"/>
              </w:rPr>
              <w:t xml:space="preserve"> </w:t>
            </w:r>
            <w:r>
              <w:rPr>
                <w:rFonts w:hint="eastAsia" w:ascii="宋体" w:hAnsi="宋体" w:cs="宋体"/>
                <w:color w:val="auto"/>
                <w:szCs w:val="22"/>
                <w:highlight w:val="none"/>
              </w:rPr>
              <w:t>规范系统灾备建设</w:t>
            </w:r>
          </w:p>
          <w:p w14:paraId="547CC3BA">
            <w:pPr>
              <w:spacing w:after="120" w:line="360" w:lineRule="exact"/>
              <w:ind w:firstLine="420" w:firstLineChars="200"/>
              <w:jc w:val="left"/>
              <w:rPr>
                <w:rFonts w:ascii="宋体" w:hAnsi="宋体" w:cs="宋体"/>
                <w:color w:val="auto"/>
                <w:szCs w:val="22"/>
                <w:highlight w:val="none"/>
              </w:rPr>
            </w:pPr>
            <w:r>
              <w:rPr>
                <w:rFonts w:hint="eastAsia" w:ascii="宋体" w:hAnsi="宋体" w:cs="宋体"/>
                <w:color w:val="auto"/>
                <w:szCs w:val="22"/>
                <w:highlight w:val="none"/>
              </w:rPr>
              <w:t>成交供应商应参照《壮美广西·市云灾备建设技术规范》文件要求，结合</w:t>
            </w:r>
            <w:r>
              <w:rPr>
                <w:rFonts w:hint="eastAsia" w:ascii="宋体" w:hAnsi="宋体" w:cs="宋体"/>
                <w:color w:val="auto"/>
                <w:szCs w:val="22"/>
                <w:highlight w:val="none"/>
                <w:lang w:eastAsia="zh-CN"/>
              </w:rPr>
              <w:t>平台</w:t>
            </w:r>
            <w:r>
              <w:rPr>
                <w:rFonts w:hint="eastAsia" w:ascii="宋体" w:hAnsi="宋体" w:cs="宋体"/>
                <w:color w:val="auto"/>
                <w:szCs w:val="22"/>
                <w:highlight w:val="none"/>
              </w:rPr>
              <w:t>系统实际情况完善灾备总体框架，规范相应的灾备建设思路、技术路线以及备用数据处理系统，做好</w:t>
            </w:r>
            <w:r>
              <w:rPr>
                <w:rFonts w:hint="eastAsia" w:ascii="宋体" w:hAnsi="宋体" w:cs="宋体"/>
                <w:color w:val="auto"/>
                <w:szCs w:val="22"/>
                <w:highlight w:val="none"/>
                <w:lang w:val="en-US" w:eastAsia="zh-CN"/>
              </w:rPr>
              <w:t>本地和</w:t>
            </w:r>
            <w:r>
              <w:rPr>
                <w:rFonts w:hint="eastAsia" w:ascii="宋体" w:hAnsi="宋体" w:cs="宋体"/>
                <w:color w:val="auto"/>
                <w:szCs w:val="22"/>
                <w:highlight w:val="none"/>
              </w:rPr>
              <w:t>异地灾备建设和灾难恢复演练。</w:t>
            </w:r>
          </w:p>
          <w:p w14:paraId="1916DD3F">
            <w:pPr>
              <w:spacing w:after="120" w:line="360" w:lineRule="exact"/>
              <w:rPr>
                <w:rFonts w:ascii="宋体" w:hAnsi="宋体" w:cs="宋体"/>
                <w:color w:val="auto"/>
                <w:szCs w:val="22"/>
                <w:highlight w:val="none"/>
              </w:rPr>
            </w:pPr>
            <w:r>
              <w:rPr>
                <w:rFonts w:hint="eastAsia" w:ascii="宋体" w:hAnsi="宋体" w:cs="宋体"/>
                <w:color w:val="auto"/>
                <w:szCs w:val="22"/>
                <w:highlight w:val="none"/>
              </w:rPr>
              <w:t>1.</w:t>
            </w:r>
            <w:r>
              <w:rPr>
                <w:rFonts w:hint="eastAsia" w:ascii="宋体" w:hAnsi="宋体" w:cs="宋体"/>
                <w:color w:val="auto"/>
                <w:szCs w:val="22"/>
                <w:highlight w:val="none"/>
                <w:lang w:val="en-US" w:eastAsia="zh-CN"/>
              </w:rPr>
              <w:t>6</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szCs w:val="22"/>
                <w:highlight w:val="none"/>
              </w:rPr>
              <w:t>云平台服务</w:t>
            </w:r>
          </w:p>
          <w:p w14:paraId="07305304">
            <w:pPr>
              <w:spacing w:after="120" w:line="360" w:lineRule="exact"/>
              <w:rPr>
                <w:rFonts w:ascii="宋体" w:hAnsi="宋体" w:cs="宋体"/>
                <w:color w:val="auto"/>
                <w:szCs w:val="22"/>
                <w:highlight w:val="none"/>
              </w:rPr>
            </w:pPr>
            <w:r>
              <w:rPr>
                <w:rFonts w:hint="eastAsia" w:ascii="宋体" w:hAnsi="宋体" w:cs="宋体"/>
                <w:color w:val="auto"/>
                <w:szCs w:val="22"/>
                <w:highlight w:val="none"/>
              </w:rPr>
              <w:t>1.</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.1成交供应商负责对本系统在云平台的正常运行提供日常维保服务，</w:t>
            </w:r>
            <w:r>
              <w:rPr>
                <w:rFonts w:hint="eastAsia" w:ascii="宋体" w:hAnsi="宋体" w:cs="宋体"/>
                <w:color w:val="auto"/>
                <w:szCs w:val="22"/>
                <w:highlight w:val="none"/>
                <w:lang w:val="en-US" w:eastAsia="zh-CN"/>
              </w:rPr>
              <w:t>密切与机房网管中心的沟通合作，深入了解虚拟环境配置和系统运行情况。</w:t>
            </w:r>
            <w:r>
              <w:rPr>
                <w:rFonts w:hint="eastAsia" w:ascii="宋体" w:hAnsi="宋体" w:cs="宋体"/>
                <w:color w:val="auto"/>
                <w:szCs w:val="22"/>
                <w:highlight w:val="none"/>
              </w:rPr>
              <w:t>每日对云上各设备和软件</w:t>
            </w:r>
            <w:r>
              <w:rPr>
                <w:rFonts w:hint="eastAsia" w:ascii="宋体" w:hAnsi="宋体" w:cs="宋体"/>
                <w:color w:val="auto"/>
                <w:szCs w:val="22"/>
                <w:highlight w:val="none"/>
                <w:lang w:val="en-US" w:eastAsia="zh-CN"/>
              </w:rPr>
              <w:t>做好</w:t>
            </w:r>
            <w:r>
              <w:rPr>
                <w:rFonts w:hint="eastAsia" w:ascii="宋体" w:hAnsi="宋体" w:cs="宋体"/>
                <w:color w:val="auto"/>
                <w:szCs w:val="22"/>
                <w:highlight w:val="none"/>
              </w:rPr>
              <w:t>运行情况的监控、日志审查，对平台容量扩充、资源申请做好可预见性规划。出现故障时，在规定的时间内采取措施，在确保出现故障的设备或软件恢复运行后向采购方反馈故障原因和处理结果。</w:t>
            </w:r>
          </w:p>
          <w:p w14:paraId="1F86B131">
            <w:pPr>
              <w:spacing w:after="120" w:line="360" w:lineRule="exact"/>
              <w:rPr>
                <w:rFonts w:ascii="宋体" w:hAnsi="宋体" w:cs="宋体"/>
                <w:color w:val="auto"/>
                <w:szCs w:val="22"/>
                <w:highlight w:val="none"/>
              </w:rPr>
            </w:pPr>
            <w:r>
              <w:rPr>
                <w:rFonts w:hint="eastAsia" w:ascii="宋体" w:hAnsi="宋体" w:cs="宋体"/>
                <w:color w:val="auto"/>
                <w:szCs w:val="22"/>
                <w:highlight w:val="none"/>
              </w:rPr>
              <w:t>1.</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.2强化云上</w:t>
            </w:r>
            <w:r>
              <w:rPr>
                <w:rFonts w:hint="eastAsia" w:ascii="宋体" w:hAnsi="宋体" w:cs="宋体"/>
                <w:color w:val="auto"/>
                <w:szCs w:val="22"/>
                <w:highlight w:val="none"/>
                <w:lang w:val="en-US" w:eastAsia="zh-CN"/>
              </w:rPr>
              <w:t>云下一体化</w:t>
            </w:r>
            <w:r>
              <w:rPr>
                <w:rFonts w:hint="eastAsia" w:ascii="宋体" w:hAnsi="宋体" w:cs="宋体"/>
                <w:color w:val="auto"/>
                <w:szCs w:val="22"/>
                <w:highlight w:val="none"/>
              </w:rPr>
              <w:t>网络安全管理防护，</w:t>
            </w:r>
            <w:r>
              <w:rPr>
                <w:rFonts w:hint="eastAsia" w:ascii="宋体" w:hAnsi="宋体" w:cs="宋体"/>
                <w:color w:val="auto"/>
                <w:szCs w:val="22"/>
                <w:highlight w:val="none"/>
                <w:lang w:val="en-US" w:eastAsia="zh-CN"/>
              </w:rPr>
              <w:t>实现</w:t>
            </w:r>
            <w:r>
              <w:rPr>
                <w:rFonts w:hint="eastAsia" w:ascii="宋体" w:hAnsi="宋体" w:cs="宋体"/>
                <w:color w:val="auto"/>
                <w:szCs w:val="22"/>
                <w:highlight w:val="none"/>
              </w:rPr>
              <w:t>防火墙、漏扫</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灾备等</w:t>
            </w:r>
            <w:r>
              <w:rPr>
                <w:rFonts w:hint="eastAsia" w:ascii="宋体" w:hAnsi="宋体" w:cs="宋体"/>
                <w:color w:val="auto"/>
                <w:szCs w:val="22"/>
                <w:highlight w:val="none"/>
              </w:rPr>
              <w:t>设备与</w:t>
            </w:r>
            <w:r>
              <w:rPr>
                <w:rFonts w:hint="eastAsia" w:ascii="宋体" w:hAnsi="宋体" w:cs="宋体"/>
                <w:color w:val="auto"/>
                <w:szCs w:val="22"/>
                <w:highlight w:val="none"/>
                <w:lang w:val="en-US" w:eastAsia="zh-CN"/>
              </w:rPr>
              <w:t>平台</w:t>
            </w:r>
            <w:r>
              <w:rPr>
                <w:rFonts w:hint="eastAsia" w:ascii="宋体" w:hAnsi="宋体" w:cs="宋体"/>
                <w:color w:val="auto"/>
                <w:szCs w:val="22"/>
                <w:highlight w:val="none"/>
              </w:rPr>
              <w:t>云上云下服务器</w:t>
            </w:r>
            <w:r>
              <w:rPr>
                <w:rFonts w:hint="eastAsia" w:ascii="宋体" w:hAnsi="宋体" w:cs="宋体"/>
                <w:color w:val="auto"/>
                <w:szCs w:val="22"/>
                <w:highlight w:val="none"/>
                <w:lang w:val="en-US" w:eastAsia="zh-CN"/>
              </w:rPr>
              <w:t>的接入配置，建立“本地备份</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异地备份、移动存储备份、</w:t>
            </w:r>
            <w:r>
              <w:rPr>
                <w:rFonts w:hint="eastAsia" w:ascii="宋体" w:hAnsi="宋体" w:cs="宋体"/>
                <w:color w:val="auto"/>
                <w:szCs w:val="22"/>
                <w:highlight w:val="none"/>
              </w:rPr>
              <w:t>系统快速镜像切换服务、</w:t>
            </w:r>
            <w:r>
              <w:rPr>
                <w:rFonts w:hint="eastAsia" w:ascii="宋体" w:hAnsi="宋体" w:cs="宋体"/>
                <w:color w:val="auto"/>
                <w:szCs w:val="22"/>
                <w:highlight w:val="none"/>
                <w:lang w:val="en-US" w:eastAsia="zh-CN"/>
              </w:rPr>
              <w:t>应用功能/资源性能/安全状态的实时监测与报警服务”的多层安全防护体系</w:t>
            </w:r>
            <w:r>
              <w:rPr>
                <w:rFonts w:hint="eastAsia" w:ascii="宋体" w:hAnsi="宋体" w:cs="宋体"/>
                <w:color w:val="auto"/>
                <w:szCs w:val="22"/>
                <w:highlight w:val="none"/>
              </w:rPr>
              <w:t>。</w:t>
            </w:r>
          </w:p>
          <w:p w14:paraId="699EBE0D">
            <w:pPr>
              <w:tabs>
                <w:tab w:val="left" w:pos="180"/>
                <w:tab w:val="left" w:pos="1620"/>
              </w:tabs>
              <w:spacing w:line="380" w:lineRule="exact"/>
              <w:jc w:val="left"/>
              <w:rPr>
                <w:rFonts w:hint="eastAsia" w:ascii="宋体" w:hAnsi="宋体" w:eastAsia="宋体" w:cs="宋体"/>
                <w:b w:val="0"/>
                <w:bCs/>
                <w:color w:val="auto"/>
                <w:highlight w:val="none"/>
              </w:rPr>
            </w:pPr>
            <w:r>
              <w:rPr>
                <w:rFonts w:hint="eastAsia" w:ascii="宋体" w:hAnsi="宋体" w:cs="宋体"/>
                <w:color w:val="auto"/>
                <w:szCs w:val="22"/>
                <w:highlight w:val="none"/>
              </w:rPr>
              <w:t>1.</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rPr>
              <w:t>.3协助采购方做好平台与数字南宁、壮美广西党建云、八桂先锋</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党员/干部教育等</w:t>
            </w:r>
            <w:r>
              <w:rPr>
                <w:rFonts w:hint="eastAsia" w:ascii="宋体" w:hAnsi="宋体" w:cs="宋体"/>
                <w:color w:val="auto"/>
                <w:szCs w:val="22"/>
                <w:highlight w:val="none"/>
              </w:rPr>
              <w:t>系列平台等外部系统的数据共享、资源融合、功能互通。</w:t>
            </w:r>
          </w:p>
        </w:tc>
        <w:tc>
          <w:tcPr>
            <w:tcW w:w="875" w:type="dxa"/>
            <w:tcBorders>
              <w:top w:val="single" w:color="000000" w:sz="4" w:space="0"/>
              <w:left w:val="single" w:color="000000" w:sz="4" w:space="0"/>
              <w:bottom w:val="single" w:color="000000" w:sz="4" w:space="0"/>
              <w:right w:val="single" w:color="000000" w:sz="4" w:space="0"/>
            </w:tcBorders>
            <w:vAlign w:val="center"/>
          </w:tcPr>
          <w:p w14:paraId="111FB365">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16</w:t>
            </w:r>
            <w:r>
              <w:rPr>
                <w:rFonts w:hint="eastAsia" w:ascii="宋体" w:hAnsi="宋体" w:eastAsia="宋体" w:cs="宋体"/>
                <w:b w:val="0"/>
                <w:bCs/>
                <w:color w:val="auto"/>
                <w:highlight w:val="none"/>
              </w:rPr>
              <w:t>0000</w:t>
            </w:r>
          </w:p>
        </w:tc>
      </w:tr>
      <w:tr w14:paraId="4080F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37B413C2">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w:t>
            </w:r>
          </w:p>
        </w:tc>
        <w:tc>
          <w:tcPr>
            <w:tcW w:w="750" w:type="dxa"/>
            <w:tcBorders>
              <w:top w:val="single" w:color="000000" w:sz="4" w:space="0"/>
              <w:left w:val="single" w:color="000000" w:sz="4" w:space="0"/>
              <w:bottom w:val="single" w:color="000000" w:sz="4" w:space="0"/>
              <w:right w:val="single" w:color="000000" w:sz="4" w:space="0"/>
            </w:tcBorders>
            <w:vAlign w:val="center"/>
          </w:tcPr>
          <w:p w14:paraId="50FC6F76">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系统软件服务</w:t>
            </w:r>
          </w:p>
        </w:tc>
        <w:tc>
          <w:tcPr>
            <w:tcW w:w="412" w:type="dxa"/>
            <w:tcBorders>
              <w:top w:val="single" w:color="000000" w:sz="4" w:space="0"/>
              <w:left w:val="single" w:color="000000" w:sz="4" w:space="0"/>
              <w:bottom w:val="single" w:color="000000" w:sz="4" w:space="0"/>
              <w:right w:val="single" w:color="000000" w:sz="4" w:space="0"/>
            </w:tcBorders>
            <w:vAlign w:val="center"/>
          </w:tcPr>
          <w:p w14:paraId="5F7E0DAF">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p>
        </w:tc>
        <w:tc>
          <w:tcPr>
            <w:tcW w:w="413" w:type="dxa"/>
            <w:tcBorders>
              <w:top w:val="single" w:color="000000" w:sz="4" w:space="0"/>
              <w:left w:val="single" w:color="000000" w:sz="4" w:space="0"/>
              <w:bottom w:val="single" w:color="000000" w:sz="4" w:space="0"/>
              <w:right w:val="single" w:color="000000" w:sz="4" w:space="0"/>
            </w:tcBorders>
            <w:vAlign w:val="center"/>
          </w:tcPr>
          <w:p w14:paraId="42D54533">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项</w:t>
            </w:r>
          </w:p>
        </w:tc>
        <w:tc>
          <w:tcPr>
            <w:tcW w:w="7542" w:type="dxa"/>
            <w:tcBorders>
              <w:top w:val="single" w:color="000000" w:sz="4" w:space="0"/>
              <w:left w:val="single" w:color="000000" w:sz="4" w:space="0"/>
              <w:bottom w:val="single" w:color="000000" w:sz="4" w:space="0"/>
              <w:right w:val="single" w:color="000000" w:sz="4" w:space="0"/>
            </w:tcBorders>
            <w:vAlign w:val="center"/>
          </w:tcPr>
          <w:p w14:paraId="7BEE95A7">
            <w:pPr>
              <w:spacing w:line="360" w:lineRule="exact"/>
              <w:rPr>
                <w:rFonts w:ascii="宋体" w:hAnsi="宋体" w:cs="宋体"/>
                <w:b/>
                <w:bCs/>
                <w:color w:val="auto"/>
                <w:highlight w:val="none"/>
              </w:rPr>
            </w:pPr>
            <w:r>
              <w:rPr>
                <w:rFonts w:hint="eastAsia" w:ascii="宋体" w:hAnsi="宋体" w:cs="宋体"/>
                <w:b/>
                <w:bCs/>
                <w:color w:val="auto"/>
                <w:highlight w:val="none"/>
              </w:rPr>
              <w:t>系统软件服务</w:t>
            </w:r>
          </w:p>
          <w:p w14:paraId="092888A1">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成交供应商对平台</w:t>
            </w:r>
            <w:r>
              <w:rPr>
                <w:rFonts w:hint="eastAsia" w:ascii="宋体" w:hAnsi="宋体" w:cs="宋体"/>
                <w:b w:val="0"/>
                <w:bCs w:val="0"/>
                <w:color w:val="auto"/>
                <w:highlight w:val="none"/>
              </w:rPr>
              <w:t>云上</w:t>
            </w:r>
            <w:r>
              <w:rPr>
                <w:rFonts w:hint="eastAsia" w:ascii="宋体" w:hAnsi="宋体" w:cs="宋体"/>
                <w:b w:val="0"/>
                <w:bCs w:val="0"/>
                <w:color w:val="auto"/>
                <w:highlight w:val="none"/>
                <w:lang w:val="en-US" w:eastAsia="zh-CN"/>
              </w:rPr>
              <w:t>和</w:t>
            </w:r>
            <w:r>
              <w:rPr>
                <w:rFonts w:hint="eastAsia" w:ascii="宋体" w:hAnsi="宋体" w:cs="宋体"/>
                <w:b w:val="0"/>
                <w:bCs w:val="0"/>
                <w:color w:val="auto"/>
                <w:highlight w:val="none"/>
              </w:rPr>
              <w:t>云下</w:t>
            </w:r>
            <w:r>
              <w:rPr>
                <w:rFonts w:hint="eastAsia" w:ascii="宋体" w:hAnsi="宋体" w:cs="宋体"/>
                <w:color w:val="auto"/>
                <w:highlight w:val="none"/>
              </w:rPr>
              <w:t>服务器、网络设备、安全产品、存储及备份设备的操作系统、管理系统和数据库系统进行系统优化、日志审计、移动硬盘备份和必要升级，保障平台系统软件环境的稳定、高效、安全和及时更新，紧急情况时还需做好各系统的策略调整和实时监控等工作。</w:t>
            </w:r>
          </w:p>
          <w:p w14:paraId="11805F15">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对各类系统进行软件维护时，必须到机房现场进行操作，频率为1次/7天。</w:t>
            </w:r>
          </w:p>
          <w:p w14:paraId="0660B651">
            <w:pPr>
              <w:spacing w:line="360" w:lineRule="exact"/>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rPr>
              <w:tab/>
            </w:r>
            <w:r>
              <w:rPr>
                <w:rFonts w:hint="eastAsia" w:ascii="宋体" w:hAnsi="宋体" w:cs="宋体"/>
                <w:color w:val="auto"/>
                <w:highlight w:val="none"/>
              </w:rPr>
              <w:t>Linux AS操作系统维护</w:t>
            </w:r>
          </w:p>
          <w:p w14:paraId="269813AC">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对平台</w:t>
            </w:r>
            <w:r>
              <w:rPr>
                <w:rFonts w:hint="eastAsia" w:ascii="宋体" w:hAnsi="宋体" w:cs="宋体"/>
                <w:color w:val="auto"/>
                <w:highlight w:val="none"/>
                <w:lang w:val="en-US" w:eastAsia="zh-CN"/>
              </w:rPr>
              <w:t>服务器</w:t>
            </w:r>
            <w:r>
              <w:rPr>
                <w:rFonts w:hint="eastAsia" w:ascii="宋体" w:hAnsi="宋体" w:cs="宋体"/>
                <w:color w:val="auto"/>
                <w:highlight w:val="none"/>
              </w:rPr>
              <w:t>操作系统进行日常维护，包括：系统</w:t>
            </w:r>
            <w:r>
              <w:rPr>
                <w:rFonts w:hint="eastAsia" w:ascii="宋体" w:hAnsi="宋体" w:cs="宋体"/>
                <w:color w:val="auto"/>
                <w:highlight w:val="none"/>
                <w:lang w:val="en-US" w:eastAsia="zh-CN"/>
              </w:rPr>
              <w:t>选型更换、系统</w:t>
            </w:r>
            <w:r>
              <w:rPr>
                <w:rFonts w:hint="eastAsia" w:ascii="宋体" w:hAnsi="宋体" w:cs="宋体"/>
                <w:color w:val="auto"/>
                <w:highlight w:val="none"/>
              </w:rPr>
              <w:t>版本升级、系统优化、软件整理、日志审计、容量监控、性能监控、</w:t>
            </w:r>
            <w:r>
              <w:rPr>
                <w:rFonts w:hint="eastAsia" w:ascii="宋体" w:hAnsi="宋体" w:cs="宋体"/>
                <w:color w:val="auto"/>
                <w:highlight w:val="none"/>
                <w:lang w:val="en-US" w:eastAsia="zh-CN"/>
              </w:rPr>
              <w:t>系统</w:t>
            </w:r>
            <w:r>
              <w:rPr>
                <w:rFonts w:hint="eastAsia" w:ascii="宋体" w:hAnsi="宋体" w:cs="宋体"/>
                <w:color w:val="auto"/>
                <w:highlight w:val="none"/>
              </w:rPr>
              <w:t>备份、运行修复、病毒查杀等。</w:t>
            </w:r>
          </w:p>
          <w:p w14:paraId="49A582CB">
            <w:pPr>
              <w:spacing w:line="360" w:lineRule="exact"/>
              <w:rPr>
                <w:rFonts w:ascii="宋体" w:hAnsi="宋体" w:cs="宋体"/>
                <w:color w:val="auto"/>
                <w:highlight w:val="none"/>
              </w:rPr>
            </w:pPr>
            <w:r>
              <w:rPr>
                <w:rFonts w:hint="eastAsia" w:ascii="宋体" w:hAnsi="宋体" w:cs="宋体"/>
                <w:color w:val="auto"/>
                <w:highlight w:val="none"/>
              </w:rPr>
              <w:t>2.2数据库维护</w:t>
            </w:r>
          </w:p>
          <w:p w14:paraId="5D671464">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对平台的所有数据库系统进行日常维护，包括：系统</w:t>
            </w:r>
            <w:r>
              <w:rPr>
                <w:rFonts w:hint="eastAsia" w:ascii="宋体" w:hAnsi="宋体" w:cs="宋体"/>
                <w:color w:val="auto"/>
                <w:highlight w:val="none"/>
                <w:lang w:val="en-US" w:eastAsia="zh-CN"/>
              </w:rPr>
              <w:t>选型更换、</w:t>
            </w:r>
            <w:r>
              <w:rPr>
                <w:rFonts w:hint="eastAsia" w:ascii="宋体" w:hAnsi="宋体" w:cs="宋体"/>
                <w:color w:val="auto"/>
                <w:highlight w:val="none"/>
              </w:rPr>
              <w:t>系统版本升级、日志审计、垃圾（测试）数据清理、容量监控、性能监控、数据扩容、</w:t>
            </w:r>
            <w:r>
              <w:rPr>
                <w:rFonts w:hint="eastAsia" w:ascii="宋体" w:hAnsi="宋体" w:cs="宋体"/>
                <w:color w:val="auto"/>
                <w:highlight w:val="none"/>
                <w:lang w:val="en-US" w:eastAsia="zh-CN"/>
              </w:rPr>
              <w:t>加密、分割、</w:t>
            </w:r>
            <w:r>
              <w:rPr>
                <w:rFonts w:hint="eastAsia" w:ascii="宋体" w:hAnsi="宋体" w:cs="宋体"/>
                <w:color w:val="auto"/>
                <w:highlight w:val="none"/>
              </w:rPr>
              <w:t>配置及数据备份、运行修复等。</w:t>
            </w:r>
          </w:p>
          <w:p w14:paraId="470FA4EB">
            <w:pPr>
              <w:spacing w:line="360" w:lineRule="exact"/>
              <w:rPr>
                <w:rFonts w:ascii="宋体" w:hAnsi="宋体" w:cs="宋体"/>
                <w:color w:val="auto"/>
                <w:highlight w:val="none"/>
              </w:rPr>
            </w:pPr>
            <w:r>
              <w:rPr>
                <w:rFonts w:hint="eastAsia" w:ascii="宋体" w:hAnsi="宋体" w:cs="宋体"/>
                <w:color w:val="auto"/>
                <w:highlight w:val="none"/>
              </w:rPr>
              <w:t>2.3</w:t>
            </w:r>
            <w:r>
              <w:rPr>
                <w:rFonts w:ascii="宋体" w:hAnsi="宋体" w:cs="宋体"/>
                <w:color w:val="auto"/>
                <w:highlight w:val="none"/>
              </w:rPr>
              <w:t xml:space="preserve"> </w:t>
            </w:r>
            <w:r>
              <w:rPr>
                <w:rFonts w:hint="eastAsia" w:ascii="宋体" w:hAnsi="宋体" w:cs="宋体"/>
                <w:color w:val="auto"/>
                <w:highlight w:val="none"/>
              </w:rPr>
              <w:t>Windows系统及其余设备固件维护</w:t>
            </w:r>
          </w:p>
          <w:p w14:paraId="4736D0FB">
            <w:pPr>
              <w:spacing w:line="360" w:lineRule="exact"/>
              <w:rPr>
                <w:rFonts w:ascii="宋体" w:hAnsi="宋体" w:cs="宋体"/>
                <w:color w:val="auto"/>
                <w:highlight w:val="none"/>
              </w:rPr>
            </w:pPr>
            <w:r>
              <w:rPr>
                <w:rFonts w:hint="eastAsia" w:ascii="宋体" w:hAnsi="宋体" w:cs="宋体"/>
                <w:color w:val="auto"/>
                <w:highlight w:val="none"/>
              </w:rPr>
              <w:t>2.3.1对于已有或将有的Windows系统进行日常维护，包括：系统</w:t>
            </w:r>
            <w:r>
              <w:rPr>
                <w:rFonts w:hint="eastAsia" w:ascii="宋体" w:hAnsi="宋体" w:cs="宋体"/>
                <w:color w:val="auto"/>
                <w:highlight w:val="none"/>
                <w:lang w:val="en-US" w:eastAsia="zh-CN"/>
              </w:rPr>
              <w:t>选型更换、</w:t>
            </w:r>
            <w:r>
              <w:rPr>
                <w:rFonts w:hint="eastAsia" w:ascii="宋体" w:hAnsi="宋体" w:cs="宋体"/>
                <w:color w:val="auto"/>
                <w:highlight w:val="none"/>
              </w:rPr>
              <w:t>系统版本升级、系统优化、软件整理、日志审计、容量监控、性能监控、移动硬盘备份、运行修复等。</w:t>
            </w:r>
          </w:p>
          <w:p w14:paraId="56B17228">
            <w:pPr>
              <w:tabs>
                <w:tab w:val="left" w:pos="180"/>
                <w:tab w:val="left" w:pos="1620"/>
              </w:tabs>
              <w:spacing w:line="380" w:lineRule="exact"/>
              <w:ind w:firstLine="420" w:firstLineChars="200"/>
              <w:jc w:val="left"/>
              <w:rPr>
                <w:rFonts w:hint="eastAsia" w:ascii="宋体" w:hAnsi="宋体" w:eastAsia="宋体" w:cs="宋体"/>
                <w:b w:val="0"/>
                <w:bCs/>
                <w:color w:val="auto"/>
                <w:highlight w:val="none"/>
              </w:rPr>
            </w:pPr>
            <w:r>
              <w:rPr>
                <w:rFonts w:hint="eastAsia" w:ascii="宋体" w:hAnsi="宋体" w:cs="宋体"/>
                <w:color w:val="auto"/>
                <w:highlight w:val="none"/>
              </w:rPr>
              <w:t>2.3.2对网络产品、安全产品、储存备份产品的固件、特征库及管理平台系统进行及时更新和日常维护，包括：配置策略优化、日志审计、容量监控、性能监控、运行修复、按月报送各项数据记录等。</w:t>
            </w:r>
          </w:p>
        </w:tc>
        <w:tc>
          <w:tcPr>
            <w:tcW w:w="875" w:type="dxa"/>
            <w:tcBorders>
              <w:top w:val="single" w:color="000000" w:sz="4" w:space="0"/>
              <w:left w:val="single" w:color="000000" w:sz="4" w:space="0"/>
              <w:bottom w:val="single" w:color="000000" w:sz="4" w:space="0"/>
              <w:right w:val="single" w:color="000000" w:sz="4" w:space="0"/>
            </w:tcBorders>
            <w:vAlign w:val="center"/>
          </w:tcPr>
          <w:p w14:paraId="2755E80E">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9</w:t>
            </w:r>
            <w:r>
              <w:rPr>
                <w:rFonts w:hint="eastAsia" w:ascii="宋体" w:hAnsi="宋体" w:eastAsia="宋体" w:cs="宋体"/>
                <w:b w:val="0"/>
                <w:bCs/>
                <w:color w:val="auto"/>
                <w:highlight w:val="none"/>
              </w:rPr>
              <w:t>0000</w:t>
            </w:r>
          </w:p>
        </w:tc>
      </w:tr>
      <w:tr w14:paraId="7056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4330BDB1">
            <w:pPr>
              <w:tabs>
                <w:tab w:val="left" w:pos="180"/>
                <w:tab w:val="left" w:pos="1620"/>
              </w:tabs>
              <w:spacing w:line="360" w:lineRule="auto"/>
              <w:jc w:val="center"/>
              <w:rPr>
                <w:rFonts w:hint="eastAsia" w:ascii="宋体" w:hAnsi="宋体" w:eastAsia="宋体" w:cs="宋体"/>
                <w:b w:val="0"/>
                <w:bCs/>
                <w:color w:val="auto"/>
                <w:highlight w:val="none"/>
              </w:rPr>
            </w:pPr>
          </w:p>
          <w:p w14:paraId="45C9D796">
            <w:pPr>
              <w:tabs>
                <w:tab w:val="left" w:pos="180"/>
                <w:tab w:val="left" w:pos="1620"/>
              </w:tabs>
              <w:spacing w:line="360" w:lineRule="auto"/>
              <w:jc w:val="center"/>
              <w:rPr>
                <w:rFonts w:hint="eastAsia" w:ascii="宋体" w:hAnsi="宋体" w:eastAsia="宋体" w:cs="宋体"/>
                <w:b w:val="0"/>
                <w:bCs/>
                <w:color w:val="auto"/>
                <w:highlight w:val="none"/>
              </w:rPr>
            </w:pPr>
          </w:p>
          <w:p w14:paraId="0180C6F5">
            <w:pPr>
              <w:tabs>
                <w:tab w:val="left" w:pos="180"/>
                <w:tab w:val="left" w:pos="1620"/>
              </w:tabs>
              <w:spacing w:line="360" w:lineRule="auto"/>
              <w:jc w:val="center"/>
              <w:rPr>
                <w:rFonts w:hint="eastAsia" w:ascii="宋体" w:hAnsi="宋体" w:eastAsia="宋体" w:cs="宋体"/>
                <w:b w:val="0"/>
                <w:bCs/>
                <w:color w:val="auto"/>
                <w:highlight w:val="none"/>
              </w:rPr>
            </w:pPr>
          </w:p>
          <w:p w14:paraId="74970FD5">
            <w:pPr>
              <w:tabs>
                <w:tab w:val="left" w:pos="180"/>
                <w:tab w:val="left" w:pos="1620"/>
              </w:tabs>
              <w:spacing w:line="360" w:lineRule="auto"/>
              <w:jc w:val="center"/>
              <w:rPr>
                <w:rFonts w:hint="eastAsia" w:ascii="宋体" w:hAnsi="宋体" w:eastAsia="宋体" w:cs="宋体"/>
                <w:b w:val="0"/>
                <w:bCs/>
                <w:color w:val="auto"/>
                <w:highlight w:val="none"/>
              </w:rPr>
            </w:pPr>
          </w:p>
          <w:p w14:paraId="1BE3407A">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w:t>
            </w:r>
          </w:p>
        </w:tc>
        <w:tc>
          <w:tcPr>
            <w:tcW w:w="750" w:type="dxa"/>
            <w:tcBorders>
              <w:top w:val="single" w:color="000000" w:sz="4" w:space="0"/>
              <w:left w:val="single" w:color="000000" w:sz="4" w:space="0"/>
              <w:bottom w:val="single" w:color="000000" w:sz="4" w:space="0"/>
              <w:right w:val="single" w:color="000000" w:sz="4" w:space="0"/>
            </w:tcBorders>
            <w:vAlign w:val="center"/>
          </w:tcPr>
          <w:p w14:paraId="610D0C15">
            <w:pPr>
              <w:tabs>
                <w:tab w:val="left" w:pos="180"/>
                <w:tab w:val="left" w:pos="1620"/>
              </w:tabs>
              <w:spacing w:line="360" w:lineRule="auto"/>
              <w:jc w:val="center"/>
              <w:rPr>
                <w:rFonts w:hint="eastAsia" w:ascii="宋体" w:hAnsi="宋体" w:eastAsia="宋体" w:cs="宋体"/>
                <w:b w:val="0"/>
                <w:bCs/>
                <w:color w:val="auto"/>
                <w:highlight w:val="none"/>
              </w:rPr>
            </w:pPr>
          </w:p>
          <w:p w14:paraId="5116EC55">
            <w:pPr>
              <w:tabs>
                <w:tab w:val="left" w:pos="180"/>
                <w:tab w:val="left" w:pos="1620"/>
              </w:tabs>
              <w:spacing w:line="360" w:lineRule="auto"/>
              <w:jc w:val="center"/>
              <w:rPr>
                <w:rFonts w:hint="eastAsia" w:ascii="宋体" w:hAnsi="宋体" w:eastAsia="宋体" w:cs="宋体"/>
                <w:b w:val="0"/>
                <w:bCs/>
                <w:color w:val="auto"/>
                <w:highlight w:val="none"/>
              </w:rPr>
            </w:pPr>
          </w:p>
          <w:p w14:paraId="1F34966D">
            <w:pPr>
              <w:tabs>
                <w:tab w:val="left" w:pos="180"/>
                <w:tab w:val="left" w:pos="1620"/>
              </w:tabs>
              <w:spacing w:line="360" w:lineRule="auto"/>
              <w:jc w:val="center"/>
              <w:rPr>
                <w:rFonts w:hint="eastAsia" w:ascii="宋体" w:hAnsi="宋体" w:eastAsia="宋体" w:cs="宋体"/>
                <w:b w:val="0"/>
                <w:bCs/>
                <w:color w:val="auto"/>
                <w:highlight w:val="none"/>
              </w:rPr>
            </w:pPr>
          </w:p>
          <w:p w14:paraId="5D75557E">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应用软件维护服务</w:t>
            </w:r>
          </w:p>
        </w:tc>
        <w:tc>
          <w:tcPr>
            <w:tcW w:w="412" w:type="dxa"/>
            <w:tcBorders>
              <w:top w:val="single" w:color="000000" w:sz="4" w:space="0"/>
              <w:left w:val="single" w:color="000000" w:sz="4" w:space="0"/>
              <w:bottom w:val="single" w:color="000000" w:sz="4" w:space="0"/>
              <w:right w:val="single" w:color="000000" w:sz="4" w:space="0"/>
            </w:tcBorders>
            <w:vAlign w:val="center"/>
          </w:tcPr>
          <w:p w14:paraId="4FB7FE1F">
            <w:pPr>
              <w:tabs>
                <w:tab w:val="left" w:pos="180"/>
                <w:tab w:val="left" w:pos="1620"/>
              </w:tabs>
              <w:spacing w:line="360" w:lineRule="auto"/>
              <w:jc w:val="center"/>
              <w:rPr>
                <w:rFonts w:hint="eastAsia" w:ascii="宋体" w:hAnsi="宋体" w:eastAsia="宋体" w:cs="宋体"/>
                <w:b w:val="0"/>
                <w:bCs/>
                <w:color w:val="auto"/>
                <w:highlight w:val="none"/>
              </w:rPr>
            </w:pPr>
          </w:p>
          <w:p w14:paraId="120268FA">
            <w:pPr>
              <w:tabs>
                <w:tab w:val="left" w:pos="180"/>
                <w:tab w:val="left" w:pos="1620"/>
              </w:tabs>
              <w:spacing w:line="360" w:lineRule="auto"/>
              <w:jc w:val="center"/>
              <w:rPr>
                <w:rFonts w:hint="eastAsia" w:ascii="宋体" w:hAnsi="宋体" w:eastAsia="宋体" w:cs="宋体"/>
                <w:b w:val="0"/>
                <w:bCs/>
                <w:color w:val="auto"/>
                <w:highlight w:val="none"/>
              </w:rPr>
            </w:pPr>
          </w:p>
          <w:p w14:paraId="555D75C7">
            <w:pPr>
              <w:tabs>
                <w:tab w:val="left" w:pos="180"/>
                <w:tab w:val="left" w:pos="1620"/>
              </w:tabs>
              <w:spacing w:line="360" w:lineRule="auto"/>
              <w:jc w:val="center"/>
              <w:rPr>
                <w:rFonts w:hint="eastAsia" w:ascii="宋体" w:hAnsi="宋体" w:eastAsia="宋体" w:cs="宋体"/>
                <w:b w:val="0"/>
                <w:bCs/>
                <w:color w:val="auto"/>
                <w:highlight w:val="none"/>
              </w:rPr>
            </w:pPr>
          </w:p>
          <w:p w14:paraId="73C5DA46">
            <w:pPr>
              <w:tabs>
                <w:tab w:val="left" w:pos="180"/>
                <w:tab w:val="left" w:pos="1620"/>
              </w:tabs>
              <w:spacing w:line="360" w:lineRule="auto"/>
              <w:jc w:val="center"/>
              <w:rPr>
                <w:rFonts w:hint="eastAsia" w:ascii="宋体" w:hAnsi="宋体" w:eastAsia="宋体" w:cs="宋体"/>
                <w:b w:val="0"/>
                <w:bCs/>
                <w:color w:val="auto"/>
                <w:highlight w:val="none"/>
              </w:rPr>
            </w:pPr>
          </w:p>
          <w:p w14:paraId="0A9B400A">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p>
        </w:tc>
        <w:tc>
          <w:tcPr>
            <w:tcW w:w="413" w:type="dxa"/>
            <w:tcBorders>
              <w:top w:val="single" w:color="000000" w:sz="4" w:space="0"/>
              <w:left w:val="single" w:color="000000" w:sz="4" w:space="0"/>
              <w:bottom w:val="single" w:color="000000" w:sz="4" w:space="0"/>
              <w:right w:val="single" w:color="000000" w:sz="4" w:space="0"/>
            </w:tcBorders>
            <w:vAlign w:val="center"/>
          </w:tcPr>
          <w:p w14:paraId="44950301">
            <w:pPr>
              <w:tabs>
                <w:tab w:val="left" w:pos="180"/>
                <w:tab w:val="left" w:pos="1620"/>
              </w:tabs>
              <w:spacing w:line="360" w:lineRule="auto"/>
              <w:jc w:val="center"/>
              <w:rPr>
                <w:rFonts w:hint="eastAsia" w:ascii="宋体" w:hAnsi="宋体" w:eastAsia="宋体" w:cs="宋体"/>
                <w:b w:val="0"/>
                <w:bCs/>
                <w:color w:val="auto"/>
                <w:highlight w:val="none"/>
              </w:rPr>
            </w:pPr>
          </w:p>
          <w:p w14:paraId="38EBA755">
            <w:pPr>
              <w:tabs>
                <w:tab w:val="left" w:pos="180"/>
                <w:tab w:val="left" w:pos="1620"/>
              </w:tabs>
              <w:spacing w:line="360" w:lineRule="auto"/>
              <w:jc w:val="center"/>
              <w:rPr>
                <w:rFonts w:hint="eastAsia" w:ascii="宋体" w:hAnsi="宋体" w:eastAsia="宋体" w:cs="宋体"/>
                <w:b w:val="0"/>
                <w:bCs/>
                <w:color w:val="auto"/>
                <w:highlight w:val="none"/>
              </w:rPr>
            </w:pPr>
          </w:p>
          <w:p w14:paraId="5D14961F">
            <w:pPr>
              <w:tabs>
                <w:tab w:val="left" w:pos="180"/>
                <w:tab w:val="left" w:pos="1620"/>
              </w:tabs>
              <w:spacing w:line="360" w:lineRule="auto"/>
              <w:jc w:val="center"/>
              <w:rPr>
                <w:rFonts w:hint="eastAsia" w:ascii="宋体" w:hAnsi="宋体" w:eastAsia="宋体" w:cs="宋体"/>
                <w:b w:val="0"/>
                <w:bCs/>
                <w:color w:val="auto"/>
                <w:highlight w:val="none"/>
              </w:rPr>
            </w:pPr>
          </w:p>
          <w:p w14:paraId="4CFB13B0">
            <w:pPr>
              <w:tabs>
                <w:tab w:val="left" w:pos="180"/>
                <w:tab w:val="left" w:pos="1620"/>
              </w:tabs>
              <w:spacing w:line="360" w:lineRule="auto"/>
              <w:jc w:val="center"/>
              <w:rPr>
                <w:rFonts w:hint="eastAsia" w:ascii="宋体" w:hAnsi="宋体" w:eastAsia="宋体" w:cs="宋体"/>
                <w:b w:val="0"/>
                <w:bCs/>
                <w:color w:val="auto"/>
                <w:highlight w:val="none"/>
              </w:rPr>
            </w:pPr>
          </w:p>
          <w:p w14:paraId="1B02985C">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项</w:t>
            </w:r>
          </w:p>
        </w:tc>
        <w:tc>
          <w:tcPr>
            <w:tcW w:w="7542" w:type="dxa"/>
            <w:tcBorders>
              <w:top w:val="single" w:color="000000" w:sz="4" w:space="0"/>
              <w:left w:val="single" w:color="000000" w:sz="4" w:space="0"/>
              <w:bottom w:val="single" w:color="000000" w:sz="4" w:space="0"/>
              <w:right w:val="single" w:color="000000" w:sz="4" w:space="0"/>
            </w:tcBorders>
            <w:vAlign w:val="center"/>
          </w:tcPr>
          <w:p w14:paraId="1E8B6334">
            <w:pPr>
              <w:spacing w:line="360" w:lineRule="exact"/>
              <w:rPr>
                <w:rFonts w:ascii="宋体" w:hAnsi="宋体" w:cs="宋体"/>
                <w:b/>
                <w:bCs/>
                <w:color w:val="auto"/>
                <w:highlight w:val="none"/>
              </w:rPr>
            </w:pPr>
            <w:r>
              <w:rPr>
                <w:rFonts w:hint="eastAsia" w:ascii="宋体" w:hAnsi="宋体" w:cs="宋体"/>
                <w:b/>
                <w:bCs/>
                <w:color w:val="auto"/>
                <w:highlight w:val="none"/>
              </w:rPr>
              <w:t>应用软件维护服务</w:t>
            </w:r>
          </w:p>
          <w:p w14:paraId="2C10061E">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成交供应商对平台各子系统、各功能模块和接口、各专栏子站和第三方软件进行修改、完善、升级等维护工作。</w:t>
            </w:r>
            <w:r>
              <w:rPr>
                <w:rFonts w:hint="eastAsia"/>
                <w:color w:val="auto"/>
                <w:highlight w:val="none"/>
              </w:rPr>
              <w:t>成交供应商</w:t>
            </w:r>
            <w:r>
              <w:rPr>
                <w:color w:val="auto"/>
                <w:highlight w:val="none"/>
              </w:rPr>
              <w:t>应</w:t>
            </w:r>
            <w:r>
              <w:rPr>
                <w:rFonts w:hint="eastAsia"/>
                <w:color w:val="auto"/>
                <w:highlight w:val="none"/>
              </w:rPr>
              <w:t>按</w:t>
            </w:r>
            <w:r>
              <w:rPr>
                <w:color w:val="auto"/>
                <w:highlight w:val="none"/>
              </w:rPr>
              <w:t>业主要求更新完善</w:t>
            </w:r>
            <w:r>
              <w:rPr>
                <w:rFonts w:hint="eastAsia"/>
                <w:color w:val="auto"/>
                <w:highlight w:val="none"/>
              </w:rPr>
              <w:t>《软件</w:t>
            </w:r>
            <w:r>
              <w:rPr>
                <w:color w:val="auto"/>
                <w:highlight w:val="none"/>
              </w:rPr>
              <w:t>开发需求表</w:t>
            </w:r>
            <w:r>
              <w:rPr>
                <w:rFonts w:hint="eastAsia"/>
                <w:color w:val="auto"/>
                <w:highlight w:val="none"/>
              </w:rPr>
              <w:t>》并</w:t>
            </w:r>
            <w:r>
              <w:rPr>
                <w:color w:val="auto"/>
                <w:highlight w:val="none"/>
              </w:rPr>
              <w:t>严格落实，表中需包含但不限于问题名称、内容描述</w:t>
            </w:r>
            <w:r>
              <w:rPr>
                <w:rFonts w:hint="eastAsia"/>
                <w:color w:val="auto"/>
                <w:highlight w:val="none"/>
              </w:rPr>
              <w:t>、</w:t>
            </w:r>
            <w:r>
              <w:rPr>
                <w:color w:val="auto"/>
                <w:highlight w:val="none"/>
              </w:rPr>
              <w:t>处理步骤</w:t>
            </w:r>
            <w:r>
              <w:rPr>
                <w:rFonts w:hint="eastAsia"/>
                <w:color w:val="auto"/>
                <w:highlight w:val="none"/>
              </w:rPr>
              <w:t>、</w:t>
            </w:r>
            <w:r>
              <w:rPr>
                <w:color w:val="auto"/>
                <w:highlight w:val="none"/>
              </w:rPr>
              <w:t>处理结果</w:t>
            </w:r>
            <w:r>
              <w:rPr>
                <w:rFonts w:hint="eastAsia"/>
                <w:color w:val="auto"/>
                <w:highlight w:val="none"/>
              </w:rPr>
              <w:t>、</w:t>
            </w:r>
            <w:r>
              <w:rPr>
                <w:color w:val="auto"/>
                <w:highlight w:val="none"/>
              </w:rPr>
              <w:t>提问者、解决者</w:t>
            </w:r>
            <w:r>
              <w:rPr>
                <w:rFonts w:hint="eastAsia"/>
                <w:color w:val="auto"/>
                <w:highlight w:val="none"/>
                <w:lang w:eastAsia="zh-CN"/>
              </w:rPr>
              <w:t>、确认时间</w:t>
            </w:r>
            <w:r>
              <w:rPr>
                <w:rFonts w:hint="eastAsia"/>
                <w:color w:val="auto"/>
                <w:highlight w:val="none"/>
              </w:rPr>
              <w:t>。当业主</w:t>
            </w:r>
            <w:r>
              <w:rPr>
                <w:color w:val="auto"/>
                <w:highlight w:val="none"/>
              </w:rPr>
              <w:t>提出问题</w:t>
            </w:r>
            <w:r>
              <w:rPr>
                <w:rFonts w:hint="eastAsia"/>
                <w:color w:val="auto"/>
                <w:highlight w:val="none"/>
              </w:rPr>
              <w:t>后</w:t>
            </w:r>
            <w:r>
              <w:rPr>
                <w:color w:val="auto"/>
                <w:highlight w:val="none"/>
              </w:rPr>
              <w:t>，</w:t>
            </w:r>
            <w:r>
              <w:rPr>
                <w:rFonts w:hint="eastAsia"/>
                <w:color w:val="auto"/>
                <w:highlight w:val="none"/>
              </w:rPr>
              <w:t>供应商需及时</w:t>
            </w:r>
            <w:r>
              <w:rPr>
                <w:color w:val="auto"/>
                <w:highlight w:val="none"/>
              </w:rPr>
              <w:t>整理需求，</w:t>
            </w:r>
            <w:r>
              <w:rPr>
                <w:rFonts w:hint="eastAsia"/>
                <w:color w:val="auto"/>
                <w:highlight w:val="none"/>
              </w:rPr>
              <w:t>与</w:t>
            </w:r>
            <w:r>
              <w:rPr>
                <w:color w:val="auto"/>
                <w:highlight w:val="none"/>
              </w:rPr>
              <w:t>提问者沟通并</w:t>
            </w:r>
            <w:r>
              <w:rPr>
                <w:rFonts w:hint="eastAsia"/>
                <w:color w:val="auto"/>
                <w:highlight w:val="none"/>
              </w:rPr>
              <w:t>估算</w:t>
            </w:r>
            <w:r>
              <w:rPr>
                <w:color w:val="auto"/>
                <w:highlight w:val="none"/>
              </w:rPr>
              <w:t>工作量和用时</w:t>
            </w:r>
            <w:r>
              <w:rPr>
                <w:rFonts w:hint="eastAsia"/>
                <w:color w:val="auto"/>
                <w:highlight w:val="none"/>
              </w:rPr>
              <w:t>，承诺</w:t>
            </w:r>
            <w:r>
              <w:rPr>
                <w:color w:val="auto"/>
                <w:highlight w:val="none"/>
              </w:rPr>
              <w:t>按期完成，并将《</w:t>
            </w:r>
            <w:r>
              <w:rPr>
                <w:rFonts w:hint="eastAsia"/>
                <w:color w:val="auto"/>
                <w:highlight w:val="none"/>
              </w:rPr>
              <w:t>需求确认</w:t>
            </w:r>
            <w:r>
              <w:rPr>
                <w:color w:val="auto"/>
                <w:highlight w:val="none"/>
              </w:rPr>
              <w:t>签字表》</w:t>
            </w:r>
            <w:r>
              <w:rPr>
                <w:rFonts w:hint="eastAsia"/>
                <w:color w:val="auto"/>
                <w:highlight w:val="none"/>
              </w:rPr>
              <w:t>给</w:t>
            </w:r>
            <w:r>
              <w:rPr>
                <w:color w:val="auto"/>
                <w:highlight w:val="none"/>
              </w:rPr>
              <w:t>提</w:t>
            </w:r>
            <w:r>
              <w:rPr>
                <w:rFonts w:hint="eastAsia"/>
                <w:color w:val="auto"/>
                <w:highlight w:val="none"/>
              </w:rPr>
              <w:t>问</w:t>
            </w:r>
            <w:r>
              <w:rPr>
                <w:color w:val="auto"/>
                <w:highlight w:val="none"/>
              </w:rPr>
              <w:t>者</w:t>
            </w:r>
            <w:r>
              <w:rPr>
                <w:rFonts w:hint="eastAsia"/>
                <w:color w:val="auto"/>
                <w:highlight w:val="none"/>
              </w:rPr>
              <w:t>签字</w:t>
            </w:r>
            <w:r>
              <w:rPr>
                <w:color w:val="auto"/>
                <w:highlight w:val="none"/>
              </w:rPr>
              <w:t>以确认</w:t>
            </w:r>
            <w:r>
              <w:rPr>
                <w:rFonts w:hint="eastAsia"/>
                <w:color w:val="auto"/>
                <w:highlight w:val="none"/>
              </w:rPr>
              <w:t>需求。当</w:t>
            </w:r>
            <w:r>
              <w:rPr>
                <w:color w:val="auto"/>
                <w:highlight w:val="none"/>
              </w:rPr>
              <w:t>问题处理完成后，供应商</w:t>
            </w:r>
            <w:r>
              <w:rPr>
                <w:rFonts w:hint="eastAsia"/>
                <w:color w:val="auto"/>
                <w:highlight w:val="none"/>
              </w:rPr>
              <w:t>需</w:t>
            </w:r>
            <w:r>
              <w:rPr>
                <w:color w:val="auto"/>
                <w:highlight w:val="none"/>
              </w:rPr>
              <w:t>将《需求</w:t>
            </w:r>
            <w:r>
              <w:rPr>
                <w:rFonts w:hint="eastAsia"/>
                <w:color w:val="auto"/>
                <w:highlight w:val="none"/>
              </w:rPr>
              <w:t>完成</w:t>
            </w:r>
            <w:r>
              <w:rPr>
                <w:color w:val="auto"/>
                <w:highlight w:val="none"/>
              </w:rPr>
              <w:t>签字表》</w:t>
            </w:r>
            <w:r>
              <w:rPr>
                <w:rFonts w:hint="eastAsia"/>
                <w:color w:val="auto"/>
                <w:highlight w:val="none"/>
              </w:rPr>
              <w:t>给</w:t>
            </w:r>
            <w:r>
              <w:rPr>
                <w:color w:val="auto"/>
                <w:highlight w:val="none"/>
              </w:rPr>
              <w:t>提问者签字以及进行核验</w:t>
            </w:r>
            <w:r>
              <w:rPr>
                <w:rFonts w:hint="eastAsia"/>
                <w:color w:val="auto"/>
                <w:highlight w:val="none"/>
                <w:lang w:val="en-US" w:eastAsia="zh-CN"/>
              </w:rPr>
              <w:t>检查</w:t>
            </w:r>
            <w:r>
              <w:rPr>
                <w:color w:val="auto"/>
                <w:highlight w:val="none"/>
              </w:rPr>
              <w:t>。</w:t>
            </w:r>
            <w:r>
              <w:rPr>
                <w:rFonts w:hint="eastAsia"/>
                <w:color w:val="auto"/>
                <w:highlight w:val="none"/>
              </w:rPr>
              <w:t>供应商需实时</w:t>
            </w:r>
            <w:r>
              <w:rPr>
                <w:color w:val="auto"/>
                <w:highlight w:val="none"/>
              </w:rPr>
              <w:t>关注</w:t>
            </w:r>
            <w:r>
              <w:rPr>
                <w:rFonts w:hint="eastAsia"/>
                <w:color w:val="auto"/>
                <w:highlight w:val="none"/>
              </w:rPr>
              <w:t>业主</w:t>
            </w:r>
            <w:r>
              <w:rPr>
                <w:color w:val="auto"/>
                <w:highlight w:val="none"/>
              </w:rPr>
              <w:t>在平台后台系统</w:t>
            </w:r>
            <w:r>
              <w:rPr>
                <w:rFonts w:hint="eastAsia"/>
                <w:color w:val="auto"/>
                <w:highlight w:val="none"/>
              </w:rPr>
              <w:t>中，维护管理</w:t>
            </w:r>
            <w:r>
              <w:rPr>
                <w:color w:val="auto"/>
                <w:highlight w:val="none"/>
              </w:rPr>
              <w:t>功能模块</w:t>
            </w:r>
            <w:r>
              <w:rPr>
                <w:rFonts w:hint="eastAsia"/>
                <w:color w:val="auto"/>
                <w:highlight w:val="none"/>
              </w:rPr>
              <w:t>里</w:t>
            </w:r>
            <w:r>
              <w:rPr>
                <w:color w:val="auto"/>
                <w:highlight w:val="none"/>
              </w:rPr>
              <w:t>的</w:t>
            </w:r>
            <w:r>
              <w:rPr>
                <w:rFonts w:hint="eastAsia"/>
                <w:color w:val="auto"/>
                <w:highlight w:val="none"/>
              </w:rPr>
              <w:t>维护</w:t>
            </w:r>
            <w:r>
              <w:rPr>
                <w:color w:val="auto"/>
                <w:highlight w:val="none"/>
              </w:rPr>
              <w:t>需求</w:t>
            </w:r>
            <w:r>
              <w:rPr>
                <w:rFonts w:hint="eastAsia"/>
                <w:color w:val="auto"/>
                <w:highlight w:val="none"/>
              </w:rPr>
              <w:t>留言</w:t>
            </w:r>
            <w:r>
              <w:rPr>
                <w:color w:val="auto"/>
                <w:highlight w:val="none"/>
              </w:rPr>
              <w:t>管理</w:t>
            </w:r>
            <w:r>
              <w:rPr>
                <w:rFonts w:hint="eastAsia"/>
                <w:color w:val="auto"/>
                <w:highlight w:val="none"/>
              </w:rPr>
              <w:t>中</w:t>
            </w:r>
            <w:r>
              <w:rPr>
                <w:color w:val="auto"/>
                <w:highlight w:val="none"/>
              </w:rPr>
              <w:t>提出的</w:t>
            </w:r>
            <w:r>
              <w:rPr>
                <w:rFonts w:hint="eastAsia"/>
                <w:color w:val="auto"/>
                <w:highlight w:val="none"/>
              </w:rPr>
              <w:t>需求</w:t>
            </w:r>
            <w:r>
              <w:rPr>
                <w:color w:val="auto"/>
                <w:highlight w:val="none"/>
              </w:rPr>
              <w:t>，</w:t>
            </w:r>
            <w:r>
              <w:rPr>
                <w:rFonts w:hint="eastAsia"/>
                <w:color w:val="auto"/>
                <w:highlight w:val="none"/>
              </w:rPr>
              <w:t>及时</w:t>
            </w:r>
            <w:r>
              <w:rPr>
                <w:color w:val="auto"/>
                <w:highlight w:val="none"/>
              </w:rPr>
              <w:t>处理并完善</w:t>
            </w:r>
            <w:r>
              <w:rPr>
                <w:rFonts w:hint="eastAsia"/>
                <w:color w:val="auto"/>
                <w:highlight w:val="none"/>
              </w:rPr>
              <w:t>留言</w:t>
            </w:r>
            <w:r>
              <w:rPr>
                <w:color w:val="auto"/>
                <w:highlight w:val="none"/>
              </w:rPr>
              <w:t>相关</w:t>
            </w:r>
            <w:r>
              <w:rPr>
                <w:rFonts w:hint="eastAsia"/>
                <w:color w:val="auto"/>
                <w:highlight w:val="none"/>
              </w:rPr>
              <w:t>内容，完成后</w:t>
            </w:r>
            <w:r>
              <w:rPr>
                <w:color w:val="auto"/>
                <w:highlight w:val="none"/>
              </w:rPr>
              <w:t>将</w:t>
            </w:r>
            <w:r>
              <w:rPr>
                <w:rFonts w:hint="eastAsia"/>
                <w:color w:val="auto"/>
                <w:highlight w:val="none"/>
              </w:rPr>
              <w:t>与平台维保</w:t>
            </w:r>
            <w:r>
              <w:rPr>
                <w:color w:val="auto"/>
                <w:highlight w:val="none"/>
              </w:rPr>
              <w:t>相关的</w:t>
            </w:r>
            <w:r>
              <w:rPr>
                <w:rFonts w:hint="eastAsia"/>
                <w:color w:val="auto"/>
                <w:highlight w:val="none"/>
              </w:rPr>
              <w:t>所有材料</w:t>
            </w:r>
            <w:r>
              <w:rPr>
                <w:color w:val="auto"/>
                <w:highlight w:val="none"/>
              </w:rPr>
              <w:t>，包括但不限于</w:t>
            </w:r>
            <w:r>
              <w:rPr>
                <w:rFonts w:hint="eastAsia"/>
                <w:color w:val="auto"/>
                <w:highlight w:val="none"/>
              </w:rPr>
              <w:t>软件</w:t>
            </w:r>
            <w:r>
              <w:rPr>
                <w:color w:val="auto"/>
                <w:highlight w:val="none"/>
              </w:rPr>
              <w:t>开发需求表</w:t>
            </w:r>
            <w:r>
              <w:rPr>
                <w:rFonts w:hint="eastAsia"/>
                <w:color w:val="auto"/>
                <w:highlight w:val="none"/>
              </w:rPr>
              <w:t>、每周</w:t>
            </w:r>
            <w:r>
              <w:rPr>
                <w:color w:val="auto"/>
                <w:highlight w:val="none"/>
              </w:rPr>
              <w:t>安全分析报告、更新</w:t>
            </w:r>
            <w:r>
              <w:rPr>
                <w:rFonts w:hint="eastAsia"/>
                <w:color w:val="auto"/>
                <w:highlight w:val="none"/>
              </w:rPr>
              <w:t>申请表</w:t>
            </w:r>
            <w:r>
              <w:rPr>
                <w:color w:val="auto"/>
                <w:highlight w:val="none"/>
              </w:rPr>
              <w:t>、</w:t>
            </w:r>
            <w:r>
              <w:rPr>
                <w:rFonts w:hint="eastAsia"/>
                <w:color w:val="auto"/>
                <w:highlight w:val="none"/>
              </w:rPr>
              <w:t>云上</w:t>
            </w:r>
            <w:r>
              <w:rPr>
                <w:color w:val="auto"/>
                <w:highlight w:val="none"/>
              </w:rPr>
              <w:t>云下服务器巡检表</w:t>
            </w:r>
            <w:r>
              <w:rPr>
                <w:rFonts w:hint="eastAsia"/>
                <w:color w:val="auto"/>
                <w:highlight w:val="none"/>
              </w:rPr>
              <w:t>、</w:t>
            </w:r>
            <w:r>
              <w:rPr>
                <w:color w:val="auto"/>
                <w:highlight w:val="none"/>
              </w:rPr>
              <w:t>需求</w:t>
            </w:r>
            <w:r>
              <w:rPr>
                <w:rFonts w:hint="eastAsia"/>
                <w:color w:val="auto"/>
                <w:highlight w:val="none"/>
              </w:rPr>
              <w:t>确认签字表等上传</w:t>
            </w:r>
            <w:r>
              <w:rPr>
                <w:color w:val="auto"/>
                <w:highlight w:val="none"/>
              </w:rPr>
              <w:t>至</w:t>
            </w:r>
            <w:r>
              <w:rPr>
                <w:rFonts w:hint="eastAsia"/>
                <w:color w:val="auto"/>
                <w:highlight w:val="none"/>
              </w:rPr>
              <w:t>维护文档</w:t>
            </w:r>
            <w:r>
              <w:rPr>
                <w:color w:val="auto"/>
                <w:highlight w:val="none"/>
              </w:rPr>
              <w:t>管理中</w:t>
            </w:r>
            <w:r>
              <w:rPr>
                <w:rFonts w:hint="eastAsia"/>
                <w:color w:val="auto"/>
                <w:highlight w:val="none"/>
              </w:rPr>
              <w:t>，</w:t>
            </w:r>
            <w:r>
              <w:rPr>
                <w:color w:val="auto"/>
                <w:highlight w:val="none"/>
              </w:rPr>
              <w:t>纸质版材料需妥善保管存档。</w:t>
            </w:r>
            <w:r>
              <w:rPr>
                <w:rFonts w:hint="eastAsia"/>
                <w:color w:val="auto"/>
                <w:highlight w:val="none"/>
              </w:rPr>
              <w:t>采购方</w:t>
            </w:r>
            <w:r>
              <w:rPr>
                <w:color w:val="auto"/>
                <w:highlight w:val="none"/>
              </w:rPr>
              <w:t>提出修改建议后，</w:t>
            </w:r>
            <w:r>
              <w:rPr>
                <w:rFonts w:hint="eastAsia"/>
                <w:color w:val="auto"/>
                <w:highlight w:val="none"/>
              </w:rPr>
              <w:t>成交</w:t>
            </w:r>
            <w:r>
              <w:rPr>
                <w:color w:val="auto"/>
                <w:highlight w:val="none"/>
              </w:rPr>
              <w:t>供应商应加强技术沟通，</w:t>
            </w:r>
            <w:r>
              <w:rPr>
                <w:rFonts w:hint="eastAsia"/>
                <w:color w:val="auto"/>
                <w:highlight w:val="none"/>
              </w:rPr>
              <w:t>必要时增加</w:t>
            </w:r>
            <w:r>
              <w:rPr>
                <w:color w:val="auto"/>
                <w:highlight w:val="none"/>
              </w:rPr>
              <w:t>技术人员进行修改开发</w:t>
            </w:r>
            <w:r>
              <w:rPr>
                <w:rFonts w:hint="eastAsia"/>
                <w:color w:val="auto"/>
                <w:highlight w:val="none"/>
              </w:rPr>
              <w:t>，</w:t>
            </w:r>
            <w:r>
              <w:rPr>
                <w:color w:val="auto"/>
                <w:highlight w:val="none"/>
              </w:rPr>
              <w:t>以便及时处理出现问题。</w:t>
            </w:r>
            <w:r>
              <w:rPr>
                <w:rFonts w:hint="eastAsia"/>
                <w:color w:val="auto"/>
                <w:highlight w:val="none"/>
              </w:rPr>
              <w:t>对于</w:t>
            </w:r>
            <w:r>
              <w:rPr>
                <w:color w:val="auto"/>
                <w:highlight w:val="none"/>
              </w:rPr>
              <w:t>采购方提出的修改建议，</w:t>
            </w:r>
            <w:r>
              <w:rPr>
                <w:rFonts w:hint="eastAsia"/>
                <w:color w:val="auto"/>
                <w:highlight w:val="none"/>
              </w:rPr>
              <w:t>不能在7—14天内</w:t>
            </w:r>
            <w:r>
              <w:rPr>
                <w:color w:val="auto"/>
                <w:highlight w:val="none"/>
              </w:rPr>
              <w:t>调整完善的，</w:t>
            </w:r>
            <w:r>
              <w:rPr>
                <w:rFonts w:hint="eastAsia"/>
                <w:color w:val="auto"/>
                <w:highlight w:val="none"/>
              </w:rPr>
              <w:t>应</w:t>
            </w:r>
            <w:r>
              <w:rPr>
                <w:color w:val="auto"/>
                <w:highlight w:val="none"/>
              </w:rPr>
              <w:t>按照急缓程度</w:t>
            </w:r>
            <w:r>
              <w:rPr>
                <w:rFonts w:hint="eastAsia"/>
                <w:color w:val="auto"/>
                <w:highlight w:val="none"/>
              </w:rPr>
              <w:t>进行</w:t>
            </w:r>
            <w:r>
              <w:rPr>
                <w:color w:val="auto"/>
                <w:highlight w:val="none"/>
              </w:rPr>
              <w:t>修改，并将其写入</w:t>
            </w:r>
            <w:r>
              <w:rPr>
                <w:rFonts w:hint="eastAsia"/>
                <w:color w:val="auto"/>
                <w:highlight w:val="none"/>
              </w:rPr>
              <w:t>每月</w:t>
            </w:r>
            <w:r>
              <w:rPr>
                <w:color w:val="auto"/>
                <w:highlight w:val="none"/>
              </w:rPr>
              <w:t>工作汇报</w:t>
            </w:r>
            <w:r>
              <w:rPr>
                <w:rFonts w:hint="eastAsia"/>
                <w:color w:val="auto"/>
                <w:highlight w:val="none"/>
              </w:rPr>
              <w:t>中</w:t>
            </w:r>
            <w:r>
              <w:rPr>
                <w:color w:val="auto"/>
                <w:highlight w:val="none"/>
              </w:rPr>
              <w:t>，</w:t>
            </w:r>
            <w:r>
              <w:rPr>
                <w:rFonts w:hint="eastAsia"/>
                <w:color w:val="auto"/>
                <w:highlight w:val="none"/>
              </w:rPr>
              <w:t>在每月例会</w:t>
            </w:r>
            <w:r>
              <w:rPr>
                <w:color w:val="auto"/>
                <w:highlight w:val="none"/>
              </w:rPr>
              <w:t>上将具体安排</w:t>
            </w:r>
            <w:r>
              <w:rPr>
                <w:rFonts w:hint="eastAsia"/>
                <w:color w:val="auto"/>
                <w:highlight w:val="none"/>
              </w:rPr>
              <w:t>对</w:t>
            </w:r>
            <w:r>
              <w:rPr>
                <w:color w:val="auto"/>
                <w:highlight w:val="none"/>
              </w:rPr>
              <w:t>采购方进行</w:t>
            </w:r>
            <w:r>
              <w:rPr>
                <w:rFonts w:hint="eastAsia"/>
                <w:color w:val="auto"/>
                <w:highlight w:val="none"/>
              </w:rPr>
              <w:t>汇报</w:t>
            </w:r>
            <w:r>
              <w:rPr>
                <w:color w:val="auto"/>
                <w:highlight w:val="none"/>
              </w:rPr>
              <w:t>。</w:t>
            </w:r>
            <w:r>
              <w:rPr>
                <w:rFonts w:hint="eastAsia" w:ascii="宋体" w:hAnsi="宋体" w:cs="宋体"/>
                <w:color w:val="auto"/>
                <w:highlight w:val="none"/>
              </w:rPr>
              <w:t>涉及到外购软件的修改时，应主动积极与原厂商进行联系沟通和修改。</w:t>
            </w:r>
          </w:p>
          <w:p w14:paraId="5FB5F1B7">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对各类应用进行软件维护时，为保证其便捷性，可选择“现场操作、离线导入和远程连接”等方式，但需做好“U盘杀毒防护、常用</w:t>
            </w:r>
            <w:r>
              <w:rPr>
                <w:rFonts w:hint="eastAsia" w:ascii="宋体" w:hAnsi="宋体" w:cs="宋体"/>
                <w:color w:val="auto"/>
                <w:highlight w:val="none"/>
                <w:lang w:eastAsia="zh-CN"/>
              </w:rPr>
              <w:t>高危</w:t>
            </w:r>
            <w:r>
              <w:rPr>
                <w:rFonts w:hint="eastAsia" w:ascii="宋体" w:hAnsi="宋体" w:cs="宋体"/>
                <w:color w:val="auto"/>
                <w:highlight w:val="none"/>
              </w:rPr>
              <w:t>端口屏蔽及VPN认证登陆”等工作。由于软件修改要求和软件问题发现的不定期性决定此类服务的频率为随时，按需而定。</w:t>
            </w:r>
          </w:p>
          <w:p w14:paraId="0B42EAF1">
            <w:pPr>
              <w:spacing w:line="360" w:lineRule="exact"/>
              <w:rPr>
                <w:rFonts w:ascii="宋体" w:hAnsi="宋体" w:cs="宋体"/>
                <w:color w:val="auto"/>
                <w:highlight w:val="none"/>
              </w:rPr>
            </w:pPr>
            <w:r>
              <w:rPr>
                <w:rFonts w:hint="eastAsia" w:ascii="宋体" w:hAnsi="宋体" w:cs="宋体"/>
                <w:color w:val="auto"/>
                <w:highlight w:val="none"/>
              </w:rPr>
              <w:t>3.1  紧急修改任务</w:t>
            </w:r>
          </w:p>
          <w:p w14:paraId="7954D3C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在接到紧急任务时，应立即了解任务要求并估算工作量和用时，承诺按期完成。任务内容主要包括：专栏、问卷和子站的建设和改版，各子系统功能修改，数据的清理和统计，横幅、图片、文字、风格等网站元素的修改。</w:t>
            </w:r>
          </w:p>
          <w:p w14:paraId="39530679">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3.2  软件BUG修改和数据纠错</w:t>
            </w:r>
          </w:p>
          <w:p w14:paraId="5CA9CF4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发现或被告知有软件BUG和数据出错时，及时查明原因并在</w:t>
            </w:r>
            <w:r>
              <w:rPr>
                <w:rFonts w:hint="eastAsia" w:ascii="宋体" w:hAnsi="宋体" w:cs="宋体"/>
                <w:color w:val="auto"/>
                <w:highlight w:val="none"/>
                <w:lang w:val="en-US" w:eastAsia="zh-CN"/>
              </w:rPr>
              <w:t>3</w:t>
            </w:r>
            <w:r>
              <w:rPr>
                <w:rFonts w:hint="eastAsia" w:ascii="宋体" w:hAnsi="宋体" w:cs="宋体"/>
                <w:color w:val="auto"/>
                <w:highlight w:val="none"/>
              </w:rPr>
              <w:t>天内完成修复工作，若无法在</w:t>
            </w:r>
            <w:r>
              <w:rPr>
                <w:rFonts w:hint="eastAsia" w:ascii="宋体" w:hAnsi="宋体" w:cs="宋体"/>
                <w:color w:val="auto"/>
                <w:highlight w:val="none"/>
                <w:lang w:val="en-US" w:eastAsia="zh-CN"/>
              </w:rPr>
              <w:t>3</w:t>
            </w:r>
            <w:r>
              <w:rPr>
                <w:rFonts w:hint="eastAsia" w:ascii="宋体" w:hAnsi="宋体" w:cs="宋体"/>
                <w:color w:val="auto"/>
                <w:highlight w:val="none"/>
              </w:rPr>
              <w:t>天内完成，则需以书面形式详细反馈其原因和下一步整改计划。</w:t>
            </w:r>
            <w:r>
              <w:rPr>
                <w:rFonts w:hint="eastAsia"/>
                <w:color w:val="auto"/>
                <w:highlight w:val="none"/>
              </w:rPr>
              <w:t>服务</w:t>
            </w:r>
            <w:r>
              <w:rPr>
                <w:color w:val="auto"/>
                <w:highlight w:val="none"/>
              </w:rPr>
              <w:t>响应</w:t>
            </w:r>
            <w:r>
              <w:rPr>
                <w:rFonts w:hint="eastAsia"/>
                <w:color w:val="auto"/>
                <w:highlight w:val="none"/>
              </w:rPr>
              <w:t>和</w:t>
            </w:r>
            <w:r>
              <w:rPr>
                <w:color w:val="auto"/>
                <w:highlight w:val="none"/>
              </w:rPr>
              <w:t>处理时间</w:t>
            </w:r>
            <w:r>
              <w:rPr>
                <w:rFonts w:hint="eastAsia"/>
                <w:color w:val="auto"/>
                <w:highlight w:val="none"/>
              </w:rPr>
              <w:t>不能</w:t>
            </w:r>
            <w:r>
              <w:rPr>
                <w:color w:val="auto"/>
                <w:highlight w:val="none"/>
              </w:rPr>
              <w:t>过长，当出现简单的页面问题时，</w:t>
            </w:r>
            <w:r>
              <w:rPr>
                <w:rFonts w:hint="eastAsia"/>
                <w:color w:val="auto"/>
                <w:highlight w:val="none"/>
              </w:rPr>
              <w:t>应及时</w:t>
            </w:r>
            <w:r>
              <w:rPr>
                <w:color w:val="auto"/>
                <w:highlight w:val="none"/>
              </w:rPr>
              <w:t>与</w:t>
            </w:r>
            <w:r>
              <w:rPr>
                <w:rFonts w:hint="eastAsia"/>
                <w:color w:val="auto"/>
                <w:highlight w:val="none"/>
              </w:rPr>
              <w:t>提出者</w:t>
            </w:r>
            <w:r>
              <w:rPr>
                <w:color w:val="auto"/>
                <w:highlight w:val="none"/>
              </w:rPr>
              <w:t>沟通，</w:t>
            </w:r>
            <w:r>
              <w:rPr>
                <w:rFonts w:hint="eastAsia"/>
                <w:color w:val="auto"/>
                <w:highlight w:val="none"/>
              </w:rPr>
              <w:t>确认需求</w:t>
            </w:r>
            <w:r>
              <w:rPr>
                <w:color w:val="auto"/>
                <w:highlight w:val="none"/>
              </w:rPr>
              <w:t>后立即进行处理</w:t>
            </w:r>
            <w:r>
              <w:rPr>
                <w:rFonts w:hint="eastAsia"/>
                <w:color w:val="auto"/>
                <w:highlight w:val="none"/>
              </w:rPr>
              <w:t>。</w:t>
            </w:r>
            <w:r>
              <w:rPr>
                <w:color w:val="auto"/>
                <w:highlight w:val="none"/>
              </w:rPr>
              <w:t>能快速</w:t>
            </w:r>
            <w:r>
              <w:rPr>
                <w:rFonts w:hint="eastAsia"/>
                <w:color w:val="auto"/>
                <w:highlight w:val="none"/>
              </w:rPr>
              <w:t>解决</w:t>
            </w:r>
            <w:r>
              <w:rPr>
                <w:color w:val="auto"/>
                <w:highlight w:val="none"/>
              </w:rPr>
              <w:t>的问题应在当天处理完成并告知</w:t>
            </w:r>
            <w:r>
              <w:rPr>
                <w:rFonts w:hint="eastAsia"/>
                <w:color w:val="auto"/>
                <w:highlight w:val="none"/>
              </w:rPr>
              <w:t>提出者</w:t>
            </w:r>
            <w:r>
              <w:rPr>
                <w:color w:val="auto"/>
                <w:highlight w:val="none"/>
              </w:rPr>
              <w:t>。</w:t>
            </w:r>
            <w:r>
              <w:rPr>
                <w:rFonts w:hint="eastAsia" w:ascii="宋体" w:hAnsi="宋体" w:cs="宋体"/>
                <w:color w:val="auto"/>
                <w:highlight w:val="none"/>
              </w:rPr>
              <w:t>服务期内解决平台浏览器兼容性问题，建立完整、易懂、交互式的平台操作指南、常见问题解答和功能简介栏目。</w:t>
            </w:r>
          </w:p>
          <w:p w14:paraId="1938B4A4">
            <w:pPr>
              <w:spacing w:line="360" w:lineRule="exact"/>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ab/>
            </w:r>
            <w:r>
              <w:rPr>
                <w:rFonts w:hint="eastAsia" w:ascii="宋体" w:hAnsi="宋体" w:cs="宋体"/>
                <w:color w:val="auto"/>
                <w:highlight w:val="none"/>
              </w:rPr>
              <w:t>平台检查与监控</w:t>
            </w:r>
          </w:p>
          <w:p w14:paraId="58ED5AAB">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为提高服务质量、规范维护操作、加强监督管理，成交供应商应持续完善后台运维支持系统。具体包括以下</w:t>
            </w:r>
            <w:r>
              <w:rPr>
                <w:rFonts w:ascii="宋体" w:hAnsi="宋体" w:cs="宋体"/>
                <w:color w:val="auto"/>
                <w:highlight w:val="none"/>
              </w:rPr>
              <w:t>3</w:t>
            </w:r>
            <w:r>
              <w:rPr>
                <w:rFonts w:hint="eastAsia" w:ascii="宋体" w:hAnsi="宋体" w:cs="宋体"/>
                <w:color w:val="auto"/>
                <w:highlight w:val="none"/>
              </w:rPr>
              <w:t>个子系统：平台运维管理</w:t>
            </w:r>
            <w:r>
              <w:rPr>
                <w:rFonts w:ascii="宋体" w:hAnsi="宋体" w:cs="宋体"/>
                <w:color w:val="auto"/>
                <w:highlight w:val="none"/>
              </w:rPr>
              <w:t>系统、</w:t>
            </w:r>
            <w:r>
              <w:rPr>
                <w:rFonts w:hint="eastAsia" w:ascii="宋体" w:hAnsi="宋体" w:cs="宋体"/>
                <w:color w:val="auto"/>
                <w:highlight w:val="none"/>
              </w:rPr>
              <w:t>监控统计系统、平台数据统计展示系统的持续完善。</w:t>
            </w:r>
          </w:p>
          <w:p w14:paraId="2BEF45BF">
            <w:pPr>
              <w:spacing w:line="360" w:lineRule="exact"/>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平台运维管理</w:t>
            </w:r>
            <w:r>
              <w:rPr>
                <w:rFonts w:ascii="宋体" w:hAnsi="宋体" w:cs="宋体"/>
                <w:color w:val="auto"/>
                <w:highlight w:val="none"/>
              </w:rPr>
              <w:t>系统</w:t>
            </w:r>
            <w:r>
              <w:rPr>
                <w:rFonts w:hint="eastAsia" w:ascii="宋体" w:hAnsi="宋体" w:cs="宋体"/>
                <w:color w:val="auto"/>
                <w:highlight w:val="none"/>
              </w:rPr>
              <w:t>包括维护</w:t>
            </w:r>
            <w:r>
              <w:rPr>
                <w:rFonts w:ascii="宋体" w:hAnsi="宋体" w:cs="宋体"/>
                <w:color w:val="auto"/>
                <w:highlight w:val="none"/>
              </w:rPr>
              <w:t>需求留言记录与处置、</w:t>
            </w:r>
            <w:r>
              <w:rPr>
                <w:rFonts w:hint="eastAsia" w:ascii="宋体" w:hAnsi="宋体" w:cs="宋体"/>
                <w:color w:val="auto"/>
                <w:highlight w:val="none"/>
              </w:rPr>
              <w:t>维护</w:t>
            </w:r>
            <w:r>
              <w:rPr>
                <w:rFonts w:ascii="宋体" w:hAnsi="宋体" w:cs="宋体"/>
                <w:color w:val="auto"/>
                <w:highlight w:val="none"/>
              </w:rPr>
              <w:t>文档管理等功能，</w:t>
            </w:r>
            <w:r>
              <w:rPr>
                <w:rFonts w:hint="eastAsia" w:ascii="宋体" w:hAnsi="宋体" w:cs="宋体"/>
                <w:color w:val="auto"/>
                <w:highlight w:val="none"/>
              </w:rPr>
              <w:t>能够</w:t>
            </w:r>
            <w:r>
              <w:rPr>
                <w:rFonts w:ascii="宋体" w:hAnsi="宋体" w:cs="宋体"/>
                <w:color w:val="auto"/>
                <w:highlight w:val="none"/>
              </w:rPr>
              <w:t>对项目服务过程中产生的各类（</w:t>
            </w:r>
            <w:r>
              <w:rPr>
                <w:rFonts w:hint="eastAsia" w:ascii="宋体" w:hAnsi="宋体" w:cs="宋体"/>
                <w:color w:val="auto"/>
                <w:highlight w:val="none"/>
              </w:rPr>
              <w:t>非</w:t>
            </w:r>
            <w:r>
              <w:rPr>
                <w:rFonts w:ascii="宋体" w:hAnsi="宋体" w:cs="宋体"/>
                <w:color w:val="auto"/>
                <w:highlight w:val="none"/>
              </w:rPr>
              <w:t>涉密）维护文档</w:t>
            </w:r>
            <w:r>
              <w:rPr>
                <w:rFonts w:hint="eastAsia" w:ascii="宋体" w:hAnsi="宋体" w:cs="宋体"/>
                <w:color w:val="auto"/>
                <w:highlight w:val="none"/>
              </w:rPr>
              <w:t>进行</w:t>
            </w:r>
            <w:r>
              <w:rPr>
                <w:rFonts w:ascii="宋体" w:hAnsi="宋体" w:cs="宋体"/>
                <w:color w:val="auto"/>
                <w:highlight w:val="none"/>
              </w:rPr>
              <w:t>电子化记录</w:t>
            </w:r>
            <w:r>
              <w:rPr>
                <w:rFonts w:hint="eastAsia" w:ascii="宋体" w:hAnsi="宋体" w:cs="宋体"/>
                <w:color w:val="auto"/>
                <w:highlight w:val="none"/>
              </w:rPr>
              <w:t>、</w:t>
            </w:r>
            <w:r>
              <w:rPr>
                <w:rFonts w:ascii="宋体" w:hAnsi="宋体" w:cs="宋体"/>
                <w:color w:val="auto"/>
                <w:highlight w:val="none"/>
              </w:rPr>
              <w:t>审</w:t>
            </w:r>
            <w:r>
              <w:rPr>
                <w:rFonts w:hint="eastAsia" w:ascii="宋体" w:hAnsi="宋体" w:cs="宋体"/>
                <w:color w:val="auto"/>
                <w:highlight w:val="none"/>
              </w:rPr>
              <w:t>批</w:t>
            </w:r>
            <w:r>
              <w:rPr>
                <w:rFonts w:ascii="宋体" w:hAnsi="宋体" w:cs="宋体"/>
                <w:color w:val="auto"/>
                <w:highlight w:val="none"/>
              </w:rPr>
              <w:t>流转</w:t>
            </w:r>
            <w:r>
              <w:rPr>
                <w:rFonts w:hint="eastAsia" w:ascii="宋体" w:hAnsi="宋体" w:cs="宋体"/>
                <w:color w:val="auto"/>
                <w:highlight w:val="none"/>
              </w:rPr>
              <w:t>、</w:t>
            </w:r>
            <w:r>
              <w:rPr>
                <w:rFonts w:ascii="宋体" w:hAnsi="宋体" w:cs="宋体"/>
                <w:color w:val="auto"/>
                <w:highlight w:val="none"/>
              </w:rPr>
              <w:t>限时提醒、</w:t>
            </w:r>
            <w:r>
              <w:rPr>
                <w:rFonts w:hint="eastAsia" w:ascii="宋体" w:hAnsi="宋体" w:cs="宋体"/>
                <w:color w:val="auto"/>
                <w:highlight w:val="none"/>
              </w:rPr>
              <w:t>查询</w:t>
            </w:r>
            <w:r>
              <w:rPr>
                <w:rFonts w:ascii="宋体" w:hAnsi="宋体" w:cs="宋体"/>
                <w:color w:val="auto"/>
                <w:highlight w:val="none"/>
              </w:rPr>
              <w:t>统计分析</w:t>
            </w:r>
            <w:r>
              <w:rPr>
                <w:rFonts w:hint="eastAsia" w:ascii="宋体" w:hAnsi="宋体" w:cs="宋体"/>
                <w:color w:val="auto"/>
                <w:highlight w:val="none"/>
              </w:rPr>
              <w:t>、</w:t>
            </w:r>
            <w:r>
              <w:rPr>
                <w:rFonts w:ascii="宋体" w:hAnsi="宋体" w:cs="宋体"/>
                <w:color w:val="auto"/>
                <w:highlight w:val="none"/>
              </w:rPr>
              <w:t>导入导出及打印等</w:t>
            </w:r>
            <w:r>
              <w:rPr>
                <w:rFonts w:hint="eastAsia" w:ascii="宋体" w:hAnsi="宋体" w:cs="宋体"/>
                <w:color w:val="auto"/>
                <w:highlight w:val="none"/>
              </w:rPr>
              <w:t>操作</w:t>
            </w:r>
            <w:r>
              <w:rPr>
                <w:rFonts w:ascii="宋体" w:hAnsi="宋体" w:cs="宋体"/>
                <w:color w:val="auto"/>
                <w:highlight w:val="none"/>
              </w:rPr>
              <w:t>功能。</w:t>
            </w:r>
          </w:p>
          <w:p w14:paraId="113749E8">
            <w:pPr>
              <w:spacing w:line="360" w:lineRule="exact"/>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平台监控统计系统包括：对平台各项软硬件及网络资源的承载性、可用性、安全性7×24小时的自动监控、触发报警、集中化展示（如网络通信情况、资源消耗状态图、资源满溢提示等）；实现对平台前后台各主要栏目、页面、模块、应用功能的可用性、稳定性的自动监控并</w:t>
            </w:r>
            <w:r>
              <w:rPr>
                <w:rFonts w:hint="eastAsia" w:ascii="宋体" w:hAnsi="宋体" w:cs="宋体"/>
                <w:color w:val="auto"/>
                <w:kern w:val="0"/>
                <w:sz w:val="21"/>
                <w:szCs w:val="21"/>
                <w:highlight w:val="none"/>
              </w:rPr>
              <w:t>对业务系统进行监测，实现应用进程、组件状态、数据库性能监控，提供业务及流程可用性、接口可用性监控，业务访问流量、行为统计分析与展示。</w:t>
            </w:r>
            <w:r>
              <w:rPr>
                <w:rFonts w:hint="eastAsia" w:ascii="宋体" w:hAnsi="宋体" w:cs="宋体"/>
                <w:color w:val="auto"/>
                <w:highlight w:val="none"/>
              </w:rPr>
              <w:t>一旦发现无法访问或出错时能够自动报警并进行问题分析和处理方法的简单描述，将故障自动记录汇总成历史表格。</w:t>
            </w:r>
          </w:p>
          <w:p w14:paraId="1D1E9813">
            <w:pPr>
              <w:spacing w:line="360" w:lineRule="exact"/>
              <w:rPr>
                <w:rFonts w:ascii="宋体" w:hAnsi="宋体" w:cs="宋体"/>
                <w:color w:val="auto"/>
                <w:highlight w:val="none"/>
              </w:rPr>
            </w:pP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w:t>
            </w:r>
            <w:r>
              <w:rPr>
                <w:rFonts w:ascii="宋体" w:hAnsi="宋体" w:cs="宋体"/>
                <w:color w:val="auto"/>
                <w:szCs w:val="22"/>
                <w:highlight w:val="none"/>
              </w:rPr>
              <w:t>3</w:t>
            </w:r>
            <w:r>
              <w:rPr>
                <w:rFonts w:hint="eastAsia" w:ascii="宋体" w:hAnsi="宋体" w:cs="宋体"/>
                <w:color w:val="auto"/>
                <w:szCs w:val="22"/>
                <w:highlight w:val="none"/>
              </w:rPr>
              <w:t xml:space="preserve"> 平台数据统计展示系统内容主要包括：对平台各类业务应用数据进行科学化、直观化、智能化的统计、分析、展示，以数据挖掘和数据分析的形式，为采购方提供决策参考。</w:t>
            </w: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 xml:space="preserve">  软件修改建议</w:t>
            </w:r>
          </w:p>
          <w:p w14:paraId="529E213C">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highlight w:val="none"/>
              </w:rPr>
            </w:pPr>
            <w:r>
              <w:rPr>
                <w:rFonts w:hint="eastAsia" w:ascii="宋体" w:hAnsi="宋体" w:cs="宋体"/>
                <w:color w:val="auto"/>
                <w:highlight w:val="none"/>
              </w:rPr>
              <w:t>对于采购方在平台使用过程中提出的便于“使用、监管和统计”方面的修改建议，成交供应商应在评估其修改所涉及范围、技术难度和复杂性后，于7—14天以内进行调整完善，经成交</w:t>
            </w:r>
            <w:r>
              <w:rPr>
                <w:rFonts w:ascii="宋体" w:hAnsi="宋体" w:cs="宋体"/>
                <w:color w:val="auto"/>
                <w:highlight w:val="none"/>
              </w:rPr>
              <w:t>供应商</w:t>
            </w:r>
            <w:r>
              <w:rPr>
                <w:rFonts w:hint="eastAsia" w:ascii="宋体" w:hAnsi="宋体" w:cs="宋体"/>
                <w:color w:val="auto"/>
                <w:highlight w:val="none"/>
              </w:rPr>
              <w:t>评估后确需延期</w:t>
            </w:r>
            <w:r>
              <w:rPr>
                <w:rFonts w:ascii="宋体" w:hAnsi="宋体" w:cs="宋体"/>
                <w:color w:val="auto"/>
                <w:highlight w:val="none"/>
              </w:rPr>
              <w:t>完成的，</w:t>
            </w:r>
            <w:r>
              <w:rPr>
                <w:rFonts w:hint="eastAsia" w:ascii="宋体" w:hAnsi="宋体" w:cs="宋体"/>
                <w:color w:val="auto"/>
                <w:highlight w:val="none"/>
              </w:rPr>
              <w:t>需以书面形式详细反馈其原因，与</w:t>
            </w:r>
            <w:r>
              <w:rPr>
                <w:rFonts w:ascii="宋体" w:hAnsi="宋体" w:cs="宋体"/>
                <w:color w:val="auto"/>
                <w:highlight w:val="none"/>
              </w:rPr>
              <w:t>甲方沟通，双方协商</w:t>
            </w:r>
            <w:r>
              <w:rPr>
                <w:rFonts w:hint="eastAsia" w:ascii="宋体" w:hAnsi="宋体" w:cs="宋体"/>
                <w:color w:val="auto"/>
                <w:highlight w:val="none"/>
              </w:rPr>
              <w:t>后</w:t>
            </w:r>
            <w:r>
              <w:rPr>
                <w:rFonts w:ascii="宋体" w:hAnsi="宋体" w:cs="宋体"/>
                <w:color w:val="auto"/>
                <w:highlight w:val="none"/>
              </w:rPr>
              <w:t>在</w:t>
            </w:r>
            <w:r>
              <w:rPr>
                <w:rFonts w:hint="eastAsia" w:ascii="宋体" w:hAnsi="宋体" w:cs="宋体"/>
                <w:color w:val="auto"/>
                <w:highlight w:val="none"/>
              </w:rPr>
              <w:t>商定</w:t>
            </w:r>
            <w:r>
              <w:rPr>
                <w:rFonts w:ascii="宋体" w:hAnsi="宋体" w:cs="宋体"/>
                <w:color w:val="auto"/>
                <w:highlight w:val="none"/>
              </w:rPr>
              <w:t>时间内完成</w:t>
            </w:r>
            <w:r>
              <w:rPr>
                <w:rFonts w:hint="eastAsia" w:ascii="宋体" w:hAnsi="宋体" w:cs="宋体"/>
                <w:color w:val="auto"/>
                <w:highlight w:val="none"/>
              </w:rPr>
              <w:t>。</w:t>
            </w:r>
          </w:p>
        </w:tc>
        <w:tc>
          <w:tcPr>
            <w:tcW w:w="875" w:type="dxa"/>
            <w:tcBorders>
              <w:top w:val="single" w:color="000000" w:sz="4" w:space="0"/>
              <w:left w:val="single" w:color="000000" w:sz="4" w:space="0"/>
              <w:bottom w:val="single" w:color="000000" w:sz="4" w:space="0"/>
              <w:right w:val="single" w:color="000000" w:sz="4" w:space="0"/>
            </w:tcBorders>
            <w:vAlign w:val="center"/>
          </w:tcPr>
          <w:p w14:paraId="1D21020B">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7</w:t>
            </w:r>
            <w:r>
              <w:rPr>
                <w:rFonts w:hint="eastAsia" w:ascii="宋体" w:hAnsi="宋体" w:eastAsia="宋体" w:cs="宋体"/>
                <w:b w:val="0"/>
                <w:bCs/>
                <w:color w:val="auto"/>
                <w:highlight w:val="none"/>
              </w:rPr>
              <w:t>0000</w:t>
            </w:r>
          </w:p>
        </w:tc>
      </w:tr>
      <w:tr w14:paraId="04108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725EFAA0">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4</w:t>
            </w:r>
          </w:p>
        </w:tc>
        <w:tc>
          <w:tcPr>
            <w:tcW w:w="750" w:type="dxa"/>
            <w:tcBorders>
              <w:top w:val="single" w:color="000000" w:sz="4" w:space="0"/>
              <w:left w:val="single" w:color="000000" w:sz="4" w:space="0"/>
              <w:bottom w:val="single" w:color="000000" w:sz="4" w:space="0"/>
              <w:right w:val="single" w:color="000000" w:sz="4" w:space="0"/>
            </w:tcBorders>
            <w:vAlign w:val="center"/>
          </w:tcPr>
          <w:p w14:paraId="5FB58097">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软件开发服务</w:t>
            </w:r>
          </w:p>
        </w:tc>
        <w:tc>
          <w:tcPr>
            <w:tcW w:w="412" w:type="dxa"/>
            <w:tcBorders>
              <w:top w:val="single" w:color="000000" w:sz="4" w:space="0"/>
              <w:left w:val="single" w:color="000000" w:sz="4" w:space="0"/>
              <w:bottom w:val="single" w:color="000000" w:sz="4" w:space="0"/>
              <w:right w:val="single" w:color="000000" w:sz="4" w:space="0"/>
            </w:tcBorders>
            <w:vAlign w:val="center"/>
          </w:tcPr>
          <w:p w14:paraId="147B29A7">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p>
        </w:tc>
        <w:tc>
          <w:tcPr>
            <w:tcW w:w="413" w:type="dxa"/>
            <w:tcBorders>
              <w:top w:val="single" w:color="000000" w:sz="4" w:space="0"/>
              <w:left w:val="single" w:color="000000" w:sz="4" w:space="0"/>
              <w:bottom w:val="single" w:color="000000" w:sz="4" w:space="0"/>
              <w:right w:val="single" w:color="000000" w:sz="4" w:space="0"/>
            </w:tcBorders>
            <w:vAlign w:val="center"/>
          </w:tcPr>
          <w:p w14:paraId="6B82246C">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项</w:t>
            </w:r>
          </w:p>
        </w:tc>
        <w:tc>
          <w:tcPr>
            <w:tcW w:w="7542" w:type="dxa"/>
            <w:tcBorders>
              <w:top w:val="single" w:color="000000" w:sz="4" w:space="0"/>
              <w:left w:val="single" w:color="000000" w:sz="4" w:space="0"/>
              <w:bottom w:val="single" w:color="000000" w:sz="4" w:space="0"/>
              <w:right w:val="single" w:color="000000" w:sz="4" w:space="0"/>
            </w:tcBorders>
            <w:vAlign w:val="center"/>
          </w:tcPr>
          <w:p w14:paraId="797AC881">
            <w:pPr>
              <w:spacing w:line="360" w:lineRule="exact"/>
              <w:rPr>
                <w:rFonts w:ascii="宋体" w:hAnsi="宋体" w:cs="宋体"/>
                <w:b/>
                <w:bCs/>
                <w:color w:val="auto"/>
                <w:highlight w:val="none"/>
              </w:rPr>
            </w:pPr>
            <w:r>
              <w:rPr>
                <w:rFonts w:hint="eastAsia" w:ascii="宋体" w:hAnsi="宋体" w:cs="宋体"/>
                <w:b/>
                <w:bCs/>
                <w:color w:val="auto"/>
                <w:highlight w:val="none"/>
              </w:rPr>
              <w:t>软件开发服务</w:t>
            </w:r>
          </w:p>
          <w:p w14:paraId="5CDBFB92">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 xml:space="preserve">4.1 </w:t>
            </w:r>
            <w:r>
              <w:rPr>
                <w:rFonts w:hint="eastAsia" w:ascii="宋体" w:hAnsi="宋体" w:cs="宋体"/>
                <w:color w:val="auto"/>
                <w:highlight w:val="none"/>
                <w:lang w:val="en-US" w:eastAsia="zh-CN"/>
              </w:rPr>
              <w:t xml:space="preserve"> </w:t>
            </w:r>
            <w:r>
              <w:rPr>
                <w:rFonts w:hint="eastAsia" w:ascii="宋体" w:hAnsi="宋体" w:cs="宋体"/>
                <w:color w:val="auto"/>
                <w:highlight w:val="none"/>
              </w:rPr>
              <w:t>新功能开发</w:t>
            </w:r>
          </w:p>
          <w:p w14:paraId="125681E2">
            <w:pPr>
              <w:spacing w:line="360" w:lineRule="exact"/>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平台</w:t>
            </w:r>
            <w:r>
              <w:rPr>
                <w:rFonts w:hint="eastAsia" w:ascii="宋体" w:hAnsi="宋体" w:eastAsia="宋体" w:cs="宋体"/>
                <w:color w:val="auto"/>
                <w:highlight w:val="none"/>
                <w:lang w:val="en-US" w:eastAsia="zh-CN"/>
              </w:rPr>
              <w:t>网站、公众号、小程序等各端</w:t>
            </w:r>
            <w:r>
              <w:rPr>
                <w:rFonts w:hint="eastAsia" w:ascii="宋体" w:hAnsi="宋体" w:eastAsia="宋体" w:cs="宋体"/>
                <w:color w:val="auto"/>
                <w:highlight w:val="none"/>
              </w:rPr>
              <w:t>因不</w:t>
            </w:r>
            <w:r>
              <w:rPr>
                <w:rFonts w:hint="eastAsia" w:ascii="宋体" w:hAnsi="宋体" w:cs="宋体"/>
                <w:color w:val="auto"/>
                <w:highlight w:val="none"/>
              </w:rPr>
              <w:t>断推广和业务改革需升级原有功能或产生新功能、新建专题专栏、开发子系统时，成交供应商要及时进行软件开发所需“时间、人力、软硬件资源”等方面的评估，制定科学的开发计划，按照各单项开发的复杂程度分别在1-6个月内完成。同时，配合做好采购方其他临时性、小规模需求的开发处理。</w:t>
            </w:r>
            <w:r>
              <w:rPr>
                <w:rFonts w:hint="eastAsia" w:ascii="宋体" w:hAnsi="宋体" w:cs="宋体"/>
                <w:color w:val="auto"/>
                <w:highlight w:val="none"/>
                <w:lang w:val="en-US" w:eastAsia="zh-CN"/>
              </w:rPr>
              <w:t>考虑到目前平台构架刚迁入新框架,成交供应商在进行软件开发时应采用主流构架，并做好配合将平台整体迁移至主流框架的规划。</w:t>
            </w:r>
            <w:r>
              <w:rPr>
                <w:rFonts w:hint="eastAsia" w:ascii="宋体" w:hAnsi="宋体" w:cs="宋体"/>
                <w:color w:val="auto"/>
                <w:highlight w:val="none"/>
              </w:rPr>
              <w:t>本期软件开发的主要计划包含但不限于：</w:t>
            </w:r>
            <w:r>
              <w:rPr>
                <w:rFonts w:hint="eastAsia" w:ascii="宋体" w:hAnsi="宋体" w:cs="宋体"/>
                <w:color w:val="auto"/>
                <w:highlight w:val="none"/>
                <w:lang w:val="en-US" w:eastAsia="zh-CN"/>
              </w:rPr>
              <w:t>平台框架优化完善、专题专栏建设、小程序功能拓展完善、党员教育“中央厨房”升级（含手机端页面适配）、</w:t>
            </w:r>
            <w:r>
              <w:rPr>
                <w:rFonts w:hint="eastAsia" w:ascii="宋体" w:hAnsi="宋体" w:eastAsia="宋体" w:cs="宋体"/>
                <w:color w:val="auto"/>
                <w:highlight w:val="none"/>
                <w:lang w:val="en-US" w:eastAsia="zh-CN"/>
              </w:rPr>
              <w:t>党教干教信息管理子系统、</w:t>
            </w:r>
            <w:r>
              <w:rPr>
                <w:rFonts w:hint="eastAsia" w:ascii="宋体" w:hAnsi="宋体" w:cs="宋体"/>
                <w:color w:val="auto"/>
                <w:highlight w:val="none"/>
                <w:lang w:val="en-US" w:eastAsia="zh-CN"/>
              </w:rPr>
              <w:t>节目视频直播、AI导学员等功能开发</w:t>
            </w:r>
            <w:r>
              <w:rPr>
                <w:rFonts w:hint="eastAsia" w:ascii="宋体" w:hAnsi="宋体" w:cs="宋体"/>
                <w:color w:val="auto"/>
                <w:highlight w:val="none"/>
              </w:rPr>
              <w:t>等。成交供应商</w:t>
            </w:r>
            <w:r>
              <w:rPr>
                <w:rFonts w:hint="eastAsia" w:ascii="宋体" w:hAnsi="宋体" w:cs="宋体"/>
                <w:color w:val="auto"/>
                <w:highlight w:val="none"/>
                <w:lang w:val="en-US" w:eastAsia="zh-CN"/>
              </w:rPr>
              <w:t>自行开发的软件部分应向甲方完整移交源代码版权，采购的第三方支持软件由</w:t>
            </w:r>
            <w:r>
              <w:rPr>
                <w:rFonts w:hint="eastAsia" w:ascii="宋体" w:hAnsi="宋体" w:cs="宋体"/>
                <w:color w:val="auto"/>
                <w:highlight w:val="none"/>
              </w:rPr>
              <w:t>成交供应商</w:t>
            </w:r>
            <w:r>
              <w:rPr>
                <w:rFonts w:hint="eastAsia" w:ascii="宋体" w:hAnsi="宋体" w:cs="宋体"/>
                <w:color w:val="auto"/>
                <w:highlight w:val="none"/>
                <w:lang w:val="en-US" w:eastAsia="zh-CN"/>
              </w:rPr>
              <w:t>做好每年续费延保工作。</w:t>
            </w:r>
          </w:p>
          <w:p w14:paraId="77F38B45">
            <w:pPr>
              <w:spacing w:line="360" w:lineRule="exact"/>
              <w:rPr>
                <w:rFonts w:ascii="宋体" w:hAnsi="宋体" w:cs="宋体"/>
                <w:color w:val="auto"/>
                <w:highlight w:val="none"/>
              </w:rPr>
            </w:pPr>
            <w:r>
              <w:rPr>
                <w:rFonts w:hint="eastAsia" w:ascii="宋体" w:hAnsi="宋体" w:cs="宋体"/>
                <w:color w:val="auto"/>
                <w:highlight w:val="none"/>
              </w:rPr>
              <w:t>4.2</w:t>
            </w:r>
            <w:r>
              <w:rPr>
                <w:rFonts w:hint="eastAsia" w:ascii="宋体" w:hAnsi="宋体" w:cs="宋体"/>
                <w:color w:val="auto"/>
                <w:highlight w:val="none"/>
              </w:rPr>
              <w:tab/>
            </w:r>
            <w:r>
              <w:rPr>
                <w:rFonts w:hint="eastAsia" w:ascii="宋体" w:hAnsi="宋体" w:cs="宋体"/>
                <w:color w:val="auto"/>
                <w:highlight w:val="none"/>
              </w:rPr>
              <w:t>系统接口维护</w:t>
            </w:r>
          </w:p>
          <w:p w14:paraId="7F840EA7">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作为一个多系统整合的综合性平台，各子系统之间存在多个接口程序。成交供应商在进行软件修改、开发、耦合时，要及时做好系统接口的维护。主要包括：</w:t>
            </w:r>
            <w:r>
              <w:rPr>
                <w:rFonts w:hint="eastAsia" w:ascii="宋体" w:hAnsi="宋体" w:cs="宋体"/>
                <w:color w:val="auto"/>
                <w:highlight w:val="none"/>
                <w:lang w:eastAsia="zh-CN"/>
              </w:rPr>
              <w:t>“南宁党建”微信小程序接口、</w:t>
            </w:r>
            <w:r>
              <w:rPr>
                <w:rFonts w:hint="eastAsia" w:ascii="宋体" w:hAnsi="宋体" w:cs="宋体"/>
                <w:color w:val="auto"/>
                <w:highlight w:val="none"/>
              </w:rPr>
              <w:t>手机短信接口、视频会议接口、触摸屏终端接口、电视直播接口、壮美广西党建云及</w:t>
            </w:r>
            <w:r>
              <w:rPr>
                <w:rFonts w:hint="eastAsia" w:ascii="宋体" w:hAnsi="宋体" w:cs="宋体"/>
                <w:color w:val="auto"/>
                <w:highlight w:val="none"/>
                <w:lang w:val="en-US" w:eastAsia="zh-CN"/>
              </w:rPr>
              <w:t>党教系统和干教系统</w:t>
            </w:r>
            <w:r>
              <w:rPr>
                <w:rFonts w:hint="eastAsia" w:ascii="宋体" w:hAnsi="宋体" w:cs="宋体"/>
                <w:color w:val="auto"/>
                <w:highlight w:val="none"/>
              </w:rPr>
              <w:t>的数据接口、聚通用和政务共享云平台数据接口、全国党员数据库接口等（多网融合）。接口维护时间由软件开发过程所定。</w:t>
            </w:r>
          </w:p>
          <w:p w14:paraId="453476FC">
            <w:pPr>
              <w:spacing w:line="360" w:lineRule="exact"/>
              <w:rPr>
                <w:rFonts w:ascii="宋体" w:hAnsi="宋体" w:cs="宋体"/>
                <w:color w:val="auto"/>
                <w:highlight w:val="none"/>
              </w:rPr>
            </w:pPr>
            <w:r>
              <w:rPr>
                <w:rFonts w:hint="eastAsia" w:ascii="宋体" w:hAnsi="宋体" w:cs="宋体"/>
                <w:color w:val="auto"/>
                <w:highlight w:val="none"/>
              </w:rPr>
              <w:t>4.3</w:t>
            </w:r>
            <w:r>
              <w:rPr>
                <w:rFonts w:hint="eastAsia" w:ascii="宋体" w:hAnsi="宋体" w:cs="宋体"/>
                <w:color w:val="auto"/>
                <w:highlight w:val="none"/>
              </w:rPr>
              <w:tab/>
            </w:r>
            <w:r>
              <w:rPr>
                <w:rFonts w:hint="eastAsia" w:ascii="宋体" w:hAnsi="宋体" w:cs="宋体"/>
                <w:color w:val="auto"/>
                <w:highlight w:val="none"/>
              </w:rPr>
              <w:t>基础数据导出导入</w:t>
            </w:r>
          </w:p>
          <w:p w14:paraId="6A95622E">
            <w:pPr>
              <w:spacing w:line="36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除对数据库进行日常备份外，对平台任何基础数据的导入导出均需有严格的操作程序。防止平台数据出现不可控和非法的异地存储行为和侵犯个人信息隐私行为。对于数据的导入，必须要求采购方提供纸质盖章申请文件并存档；对于数据的导出和分析统计，必须得到至少科长以上级别的认可并做好记录。数据的导入工作要求在1天时间内完成，数据的导出工作要求在2小时内完成，经成交</w:t>
            </w:r>
            <w:r>
              <w:rPr>
                <w:rFonts w:ascii="宋体" w:hAnsi="宋体" w:cs="宋体"/>
                <w:color w:val="auto"/>
                <w:highlight w:val="none"/>
              </w:rPr>
              <w:t>供应商</w:t>
            </w:r>
            <w:r>
              <w:rPr>
                <w:rFonts w:hint="eastAsia" w:ascii="宋体" w:hAnsi="宋体" w:cs="宋体"/>
                <w:color w:val="auto"/>
                <w:highlight w:val="none"/>
              </w:rPr>
              <w:t>评估后确需延期</w:t>
            </w:r>
            <w:r>
              <w:rPr>
                <w:rFonts w:ascii="宋体" w:hAnsi="宋体" w:cs="宋体"/>
                <w:color w:val="auto"/>
                <w:highlight w:val="none"/>
              </w:rPr>
              <w:t>完成的，</w:t>
            </w:r>
            <w:r>
              <w:rPr>
                <w:rFonts w:hint="eastAsia" w:ascii="宋体" w:hAnsi="宋体" w:cs="宋体"/>
                <w:color w:val="auto"/>
                <w:highlight w:val="none"/>
              </w:rPr>
              <w:t>需以书面形式详细反馈其原因，与</w:t>
            </w:r>
            <w:r>
              <w:rPr>
                <w:rFonts w:ascii="宋体" w:hAnsi="宋体" w:cs="宋体"/>
                <w:color w:val="auto"/>
                <w:highlight w:val="none"/>
              </w:rPr>
              <w:t>甲方沟通，双方协商</w:t>
            </w:r>
            <w:r>
              <w:rPr>
                <w:rFonts w:hint="eastAsia" w:ascii="宋体" w:hAnsi="宋体" w:cs="宋体"/>
                <w:color w:val="auto"/>
                <w:highlight w:val="none"/>
              </w:rPr>
              <w:t>后</w:t>
            </w:r>
            <w:r>
              <w:rPr>
                <w:rFonts w:ascii="宋体" w:hAnsi="宋体" w:cs="宋体"/>
                <w:color w:val="auto"/>
                <w:highlight w:val="none"/>
              </w:rPr>
              <w:t>在</w:t>
            </w:r>
            <w:r>
              <w:rPr>
                <w:rFonts w:hint="eastAsia" w:ascii="宋体" w:hAnsi="宋体" w:cs="宋体"/>
                <w:color w:val="auto"/>
                <w:highlight w:val="none"/>
              </w:rPr>
              <w:t>商定</w:t>
            </w:r>
            <w:r>
              <w:rPr>
                <w:rFonts w:ascii="宋体" w:hAnsi="宋体" w:cs="宋体"/>
                <w:color w:val="auto"/>
                <w:highlight w:val="none"/>
              </w:rPr>
              <w:t>时间内完成</w:t>
            </w:r>
            <w:r>
              <w:rPr>
                <w:rFonts w:hint="eastAsia" w:ascii="宋体" w:hAnsi="宋体" w:cs="宋体"/>
                <w:color w:val="auto"/>
                <w:highlight w:val="none"/>
              </w:rPr>
              <w:t>。</w:t>
            </w:r>
            <w:r>
              <w:rPr>
                <w:rFonts w:hint="eastAsia" w:ascii="宋体" w:hAnsi="宋体" w:cs="宋体"/>
                <w:color w:val="auto"/>
                <w:highlight w:val="none"/>
                <w:lang w:val="en-US" w:eastAsia="zh-CN"/>
              </w:rPr>
              <w:t>乙方不得随意读取、传输、存储平台基础数据，未经甲方允许不得另行搭建、复制平台系统框架和测试环境。</w:t>
            </w:r>
          </w:p>
          <w:p w14:paraId="39445B5B">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4.4</w:t>
            </w:r>
            <w:r>
              <w:rPr>
                <w:rFonts w:hint="eastAsia" w:ascii="宋体" w:hAnsi="宋体" w:cs="宋体"/>
                <w:color w:val="auto"/>
                <w:highlight w:val="none"/>
                <w:lang w:val="en-US" w:eastAsia="zh-CN"/>
              </w:rPr>
              <w:t xml:space="preserve">  </w:t>
            </w:r>
            <w:r>
              <w:rPr>
                <w:rFonts w:hint="eastAsia" w:ascii="宋体" w:hAnsi="宋体" w:cs="宋体"/>
                <w:color w:val="auto"/>
                <w:highlight w:val="none"/>
              </w:rPr>
              <w:t>软件文档更新</w:t>
            </w:r>
          </w:p>
          <w:p w14:paraId="42ACC083">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color w:val="auto"/>
                <w:highlight w:val="none"/>
                <w:lang w:val="en-US" w:eastAsia="zh-CN"/>
              </w:rPr>
            </w:pPr>
            <w:r>
              <w:rPr>
                <w:rFonts w:hint="eastAsia" w:ascii="宋体" w:hAnsi="宋体" w:cs="宋体"/>
                <w:color w:val="auto"/>
                <w:highlight w:val="none"/>
              </w:rPr>
              <w:t>对应用软件的任何修改都要形成完整的记录表格备份，记录内容至少包括“修改原因、时间、工作量（人数×小时）、产生费用、完成结果、备注说明”等项，同时系统相关的设计文档、维护文档等文字资料必须随之更新。文档更新要求在软件更新后一周内完成。</w:t>
            </w:r>
          </w:p>
        </w:tc>
        <w:tc>
          <w:tcPr>
            <w:tcW w:w="875" w:type="dxa"/>
            <w:tcBorders>
              <w:top w:val="single" w:color="000000" w:sz="4" w:space="0"/>
              <w:left w:val="single" w:color="000000" w:sz="4" w:space="0"/>
              <w:bottom w:val="single" w:color="000000" w:sz="4" w:space="0"/>
              <w:right w:val="single" w:color="000000" w:sz="4" w:space="0"/>
            </w:tcBorders>
            <w:vAlign w:val="center"/>
          </w:tcPr>
          <w:p w14:paraId="41FB56AD">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170000</w:t>
            </w:r>
          </w:p>
        </w:tc>
      </w:tr>
      <w:tr w14:paraId="6F118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0C67070E">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5</w:t>
            </w:r>
          </w:p>
        </w:tc>
        <w:tc>
          <w:tcPr>
            <w:tcW w:w="750" w:type="dxa"/>
            <w:tcBorders>
              <w:top w:val="single" w:color="000000" w:sz="4" w:space="0"/>
              <w:left w:val="single" w:color="000000" w:sz="4" w:space="0"/>
              <w:bottom w:val="single" w:color="000000" w:sz="4" w:space="0"/>
              <w:right w:val="single" w:color="000000" w:sz="4" w:space="0"/>
            </w:tcBorders>
            <w:vAlign w:val="center"/>
          </w:tcPr>
          <w:p w14:paraId="25A3CA1A">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团队</w:t>
            </w:r>
            <w:r>
              <w:rPr>
                <w:rFonts w:hint="eastAsia" w:ascii="宋体" w:hAnsi="宋体" w:eastAsia="宋体" w:cs="宋体"/>
                <w:b w:val="0"/>
                <w:bCs/>
                <w:color w:val="auto"/>
                <w:highlight w:val="none"/>
              </w:rPr>
              <w:t>管理服务</w:t>
            </w:r>
          </w:p>
        </w:tc>
        <w:tc>
          <w:tcPr>
            <w:tcW w:w="412" w:type="dxa"/>
            <w:tcBorders>
              <w:top w:val="single" w:color="000000" w:sz="4" w:space="0"/>
              <w:left w:val="single" w:color="000000" w:sz="4" w:space="0"/>
              <w:bottom w:val="single" w:color="000000" w:sz="4" w:space="0"/>
              <w:right w:val="single" w:color="000000" w:sz="4" w:space="0"/>
            </w:tcBorders>
            <w:vAlign w:val="center"/>
          </w:tcPr>
          <w:p w14:paraId="0CD449F5">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p>
        </w:tc>
        <w:tc>
          <w:tcPr>
            <w:tcW w:w="413" w:type="dxa"/>
            <w:tcBorders>
              <w:top w:val="single" w:color="000000" w:sz="4" w:space="0"/>
              <w:left w:val="single" w:color="000000" w:sz="4" w:space="0"/>
              <w:bottom w:val="single" w:color="000000" w:sz="4" w:space="0"/>
              <w:right w:val="single" w:color="000000" w:sz="4" w:space="0"/>
            </w:tcBorders>
            <w:vAlign w:val="center"/>
          </w:tcPr>
          <w:p w14:paraId="35F7D355">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项</w:t>
            </w:r>
          </w:p>
        </w:tc>
        <w:tc>
          <w:tcPr>
            <w:tcW w:w="7542" w:type="dxa"/>
            <w:tcBorders>
              <w:top w:val="single" w:color="000000" w:sz="4" w:space="0"/>
              <w:left w:val="single" w:color="000000" w:sz="4" w:space="0"/>
              <w:bottom w:val="single" w:color="000000" w:sz="4" w:space="0"/>
              <w:right w:val="single" w:color="000000" w:sz="4" w:space="0"/>
            </w:tcBorders>
            <w:vAlign w:val="center"/>
          </w:tcPr>
          <w:p w14:paraId="3D87B681">
            <w:pPr>
              <w:spacing w:line="360" w:lineRule="exact"/>
              <w:rPr>
                <w:rFonts w:ascii="宋体" w:hAnsi="宋体" w:cs="宋体"/>
                <w:b/>
                <w:bCs/>
                <w:color w:val="auto"/>
                <w:highlight w:val="none"/>
              </w:rPr>
            </w:pPr>
            <w:r>
              <w:rPr>
                <w:rFonts w:hint="eastAsia" w:ascii="宋体" w:hAnsi="宋体" w:cs="宋体"/>
                <w:b/>
                <w:bCs/>
                <w:color w:val="auto"/>
                <w:highlight w:val="none"/>
                <w:lang w:val="en-US" w:eastAsia="zh-CN"/>
              </w:rPr>
              <w:t>团队</w:t>
            </w:r>
            <w:r>
              <w:rPr>
                <w:rFonts w:hint="eastAsia" w:ascii="宋体" w:hAnsi="宋体" w:cs="宋体"/>
                <w:b/>
                <w:bCs/>
                <w:color w:val="auto"/>
                <w:highlight w:val="none"/>
              </w:rPr>
              <w:t>管理服务</w:t>
            </w:r>
          </w:p>
          <w:p w14:paraId="7935B333">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5.1  成立平台专项技术服务小组</w:t>
            </w:r>
          </w:p>
          <w:p w14:paraId="000483A5">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为保障服务质量，成交供应商应严格</w:t>
            </w:r>
            <w:r>
              <w:rPr>
                <w:rFonts w:ascii="宋体" w:hAnsi="宋体" w:cs="宋体"/>
                <w:color w:val="auto"/>
                <w:highlight w:val="none"/>
              </w:rPr>
              <w:t>按照</w:t>
            </w:r>
            <w:r>
              <w:rPr>
                <w:rFonts w:hint="eastAsia" w:ascii="宋体" w:hAnsi="宋体" w:cs="宋体"/>
                <w:color w:val="auto"/>
                <w:highlight w:val="none"/>
              </w:rPr>
              <w:t>竞标</w:t>
            </w:r>
            <w:r>
              <w:rPr>
                <w:rFonts w:ascii="宋体" w:hAnsi="宋体" w:cs="宋体"/>
                <w:color w:val="auto"/>
                <w:highlight w:val="none"/>
              </w:rPr>
              <w:t>文件中</w:t>
            </w:r>
            <w:r>
              <w:rPr>
                <w:rFonts w:hint="eastAsia" w:ascii="宋体" w:hAnsi="宋体" w:cs="宋体"/>
                <w:color w:val="auto"/>
                <w:highlight w:val="none"/>
              </w:rPr>
              <w:t>人员</w:t>
            </w:r>
            <w:r>
              <w:rPr>
                <w:rFonts w:ascii="宋体" w:hAnsi="宋体" w:cs="宋体"/>
                <w:color w:val="auto"/>
                <w:highlight w:val="none"/>
              </w:rPr>
              <w:t>资质标准，</w:t>
            </w:r>
            <w:r>
              <w:rPr>
                <w:rFonts w:hint="eastAsia" w:ascii="宋体" w:hAnsi="宋体" w:cs="宋体"/>
                <w:color w:val="auto"/>
                <w:highlight w:val="none"/>
              </w:rPr>
              <w:t>以</w:t>
            </w:r>
            <w:r>
              <w:rPr>
                <w:rFonts w:hint="eastAsia" w:ascii="宋体" w:hAnsi="宋体" w:cs="宋体"/>
                <w:color w:val="auto"/>
                <w:highlight w:val="none"/>
                <w:lang w:val="en-US" w:eastAsia="zh-CN"/>
              </w:rPr>
              <w:t>盖章承诺</w:t>
            </w:r>
            <w:r>
              <w:rPr>
                <w:rFonts w:hint="eastAsia" w:ascii="宋体" w:hAnsi="宋体" w:cs="宋体"/>
                <w:color w:val="auto"/>
                <w:highlight w:val="none"/>
              </w:rPr>
              <w:t>文件的形式成立并注明含“</w:t>
            </w:r>
            <w:r>
              <w:rPr>
                <w:rFonts w:hint="eastAsia" w:ascii="宋体" w:hAnsi="宋体" w:cs="宋体"/>
                <w:color w:val="auto"/>
                <w:highlight w:val="none"/>
                <w:lang w:val="en-US" w:eastAsia="zh-CN"/>
              </w:rPr>
              <w:t>项目（含商务及售后）</w:t>
            </w:r>
            <w:r>
              <w:rPr>
                <w:rFonts w:hint="eastAsia" w:ascii="宋体" w:hAnsi="宋体" w:cs="宋体"/>
                <w:color w:val="auto"/>
                <w:highlight w:val="none"/>
              </w:rPr>
              <w:t>经理、</w:t>
            </w:r>
            <w:r>
              <w:rPr>
                <w:rFonts w:hint="eastAsia" w:ascii="宋体" w:hAnsi="宋体" w:cs="宋体"/>
                <w:color w:val="auto"/>
                <w:highlight w:val="none"/>
                <w:lang w:val="en-US" w:eastAsia="zh-CN"/>
              </w:rPr>
              <w:t>技术总监</w:t>
            </w:r>
            <w:r>
              <w:rPr>
                <w:rFonts w:hint="eastAsia" w:ascii="宋体" w:hAnsi="宋体" w:cs="宋体"/>
                <w:color w:val="auto"/>
                <w:highlight w:val="none"/>
              </w:rPr>
              <w:t>、软件</w:t>
            </w:r>
            <w:r>
              <w:rPr>
                <w:rFonts w:hint="eastAsia" w:ascii="宋体" w:hAnsi="宋体" w:cs="宋体"/>
                <w:color w:val="auto"/>
                <w:highlight w:val="none"/>
                <w:lang w:eastAsia="zh-CN"/>
              </w:rPr>
              <w:t>开发</w:t>
            </w:r>
            <w:r>
              <w:rPr>
                <w:rFonts w:hint="eastAsia" w:ascii="宋体" w:hAnsi="宋体" w:cs="宋体"/>
                <w:color w:val="auto"/>
                <w:highlight w:val="none"/>
              </w:rPr>
              <w:t>工程师、硬件工程师、网络安全工程师、密码管理员、资料管理员”在内的7人以上专项服务于本平台</w:t>
            </w:r>
            <w:r>
              <w:rPr>
                <w:rFonts w:ascii="宋体" w:hAnsi="宋体" w:cs="宋体"/>
                <w:color w:val="auto"/>
                <w:highlight w:val="none"/>
              </w:rPr>
              <w:t>的</w:t>
            </w:r>
            <w:r>
              <w:rPr>
                <w:rFonts w:hint="eastAsia" w:ascii="宋体" w:hAnsi="宋体" w:cs="宋体"/>
                <w:color w:val="auto"/>
                <w:highlight w:val="none"/>
              </w:rPr>
              <w:t>维护小组及角色分工名单，同时成交供应商对于系统软件、硬件和网络等各方面的维护应遵循AB角互换原则，对任意一项业务的维护需安排两位及以上的专业人员，以确保在无法联系主要负责人时有备用人选顶替。</w:t>
            </w:r>
          </w:p>
          <w:p w14:paraId="15CEBAE9">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维护小组成员（含外派常驻技术员）必须为</w:t>
            </w:r>
            <w:r>
              <w:rPr>
                <w:rFonts w:hint="eastAsia" w:ascii="宋体" w:hAnsi="宋体" w:cs="宋体"/>
                <w:color w:val="auto"/>
                <w:highlight w:val="none"/>
                <w:lang w:val="en-US" w:eastAsia="zh-CN"/>
              </w:rPr>
              <w:t>中标方本部员工，</w:t>
            </w:r>
            <w:r>
              <w:rPr>
                <w:rFonts w:ascii="宋体" w:hAnsi="宋体" w:cs="宋体"/>
                <w:color w:val="auto"/>
                <w:highlight w:val="none"/>
              </w:rPr>
              <w:t>本科</w:t>
            </w:r>
            <w:r>
              <w:rPr>
                <w:rFonts w:hint="eastAsia" w:ascii="宋体" w:hAnsi="宋体" w:cs="宋体"/>
                <w:color w:val="auto"/>
                <w:highlight w:val="none"/>
              </w:rPr>
              <w:t>及</w:t>
            </w:r>
            <w:r>
              <w:rPr>
                <w:rFonts w:ascii="宋体" w:hAnsi="宋体" w:cs="宋体"/>
                <w:color w:val="auto"/>
                <w:highlight w:val="none"/>
              </w:rPr>
              <w:t>以上学历，</w:t>
            </w:r>
            <w:r>
              <w:rPr>
                <w:rFonts w:hint="eastAsia" w:ascii="宋体" w:hAnsi="宋体" w:cs="宋体"/>
                <w:color w:val="auto"/>
                <w:highlight w:val="none"/>
                <w:lang w:val="en-US" w:eastAsia="zh-CN"/>
              </w:rPr>
              <w:t>具备相当于计算机相关专业中级以上工程师同等资历或经验</w:t>
            </w:r>
            <w:r>
              <w:rPr>
                <w:rFonts w:ascii="宋体" w:hAnsi="宋体" w:cs="宋体"/>
                <w:color w:val="auto"/>
                <w:highlight w:val="none"/>
              </w:rPr>
              <w:t>，长期居住于南宁本地且稳定工作</w:t>
            </w:r>
            <w:r>
              <w:rPr>
                <w:rFonts w:hint="eastAsia" w:ascii="宋体" w:hAnsi="宋体" w:cs="宋体"/>
                <w:color w:val="auto"/>
                <w:highlight w:val="none"/>
              </w:rPr>
              <w:t>一年</w:t>
            </w:r>
            <w:r>
              <w:rPr>
                <w:rFonts w:ascii="宋体" w:hAnsi="宋体" w:cs="宋体"/>
                <w:color w:val="auto"/>
                <w:highlight w:val="none"/>
              </w:rPr>
              <w:t>以上</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经采购方综合审查过关</w:t>
            </w:r>
            <w:r>
              <w:rPr>
                <w:rFonts w:hint="eastAsia" w:ascii="宋体" w:hAnsi="宋体" w:cs="宋体"/>
                <w:color w:val="auto"/>
                <w:highlight w:val="none"/>
              </w:rPr>
              <w:t>。项目</w:t>
            </w:r>
            <w:r>
              <w:rPr>
                <w:rFonts w:ascii="宋体" w:hAnsi="宋体" w:cs="宋体"/>
                <w:color w:val="auto"/>
                <w:highlight w:val="none"/>
              </w:rPr>
              <w:t>经理须</w:t>
            </w:r>
            <w:r>
              <w:rPr>
                <w:rFonts w:hint="eastAsia" w:ascii="宋体" w:hAnsi="宋体" w:cs="宋体"/>
                <w:color w:val="auto"/>
                <w:highlight w:val="none"/>
              </w:rPr>
              <w:t>有</w:t>
            </w:r>
            <w:r>
              <w:rPr>
                <w:rFonts w:ascii="宋体" w:hAnsi="宋体" w:cs="宋体"/>
                <w:color w:val="auto"/>
                <w:highlight w:val="none"/>
              </w:rPr>
              <w:t>较为丰富的管理维护项目经验及</w:t>
            </w:r>
            <w:r>
              <w:rPr>
                <w:rFonts w:hint="eastAsia" w:ascii="宋体" w:hAnsi="宋体" w:cs="宋体"/>
                <w:color w:val="auto"/>
                <w:highlight w:val="none"/>
              </w:rPr>
              <w:t>计算机</w:t>
            </w:r>
            <w:r>
              <w:rPr>
                <w:rFonts w:ascii="宋体" w:hAnsi="宋体" w:cs="宋体"/>
                <w:color w:val="auto"/>
                <w:highlight w:val="none"/>
              </w:rPr>
              <w:t>专业技术水平，</w:t>
            </w:r>
            <w:r>
              <w:rPr>
                <w:rFonts w:hint="eastAsia" w:ascii="宋体" w:hAnsi="宋体" w:cs="宋体"/>
                <w:color w:val="auto"/>
                <w:highlight w:val="none"/>
              </w:rPr>
              <w:t>负责对整体</w:t>
            </w:r>
            <w:r>
              <w:rPr>
                <w:rFonts w:ascii="宋体" w:hAnsi="宋体" w:cs="宋体"/>
                <w:color w:val="auto"/>
                <w:highlight w:val="none"/>
              </w:rPr>
              <w:t>项目进度、</w:t>
            </w:r>
            <w:r>
              <w:rPr>
                <w:rFonts w:hint="eastAsia" w:ascii="宋体" w:hAnsi="宋体" w:cs="宋体"/>
                <w:color w:val="auto"/>
                <w:highlight w:val="none"/>
              </w:rPr>
              <w:t>质量</w:t>
            </w:r>
            <w:r>
              <w:rPr>
                <w:rFonts w:ascii="宋体" w:hAnsi="宋体" w:cs="宋体"/>
                <w:color w:val="auto"/>
                <w:highlight w:val="none"/>
              </w:rPr>
              <w:t>、文档、人员、</w:t>
            </w:r>
            <w:r>
              <w:rPr>
                <w:rFonts w:hint="eastAsia" w:ascii="宋体" w:hAnsi="宋体" w:cs="宋体"/>
                <w:color w:val="auto"/>
                <w:highlight w:val="none"/>
              </w:rPr>
              <w:t>沟通</w:t>
            </w:r>
            <w:r>
              <w:rPr>
                <w:rFonts w:ascii="宋体" w:hAnsi="宋体" w:cs="宋体"/>
                <w:color w:val="auto"/>
                <w:highlight w:val="none"/>
              </w:rPr>
              <w:t>、服务等方面进行有效管理</w:t>
            </w:r>
            <w:r>
              <w:rPr>
                <w:rFonts w:hint="eastAsia" w:ascii="宋体" w:hAnsi="宋体" w:cs="宋体"/>
                <w:color w:val="auto"/>
                <w:highlight w:val="none"/>
              </w:rPr>
              <w:t>，</w:t>
            </w:r>
            <w:r>
              <w:rPr>
                <w:rFonts w:hint="eastAsia" w:ascii="宋体" w:hAnsi="宋体" w:cs="宋体"/>
                <w:color w:val="auto"/>
                <w:highlight w:val="none"/>
                <w:lang w:val="en-US" w:eastAsia="zh-CN"/>
              </w:rPr>
              <w:t>出席每月项目会议及重大活动。技术总监</w:t>
            </w:r>
            <w:r>
              <w:rPr>
                <w:rFonts w:ascii="宋体" w:hAnsi="宋体" w:cs="宋体"/>
                <w:color w:val="auto"/>
                <w:highlight w:val="none"/>
              </w:rPr>
              <w:t>每周</w:t>
            </w:r>
            <w:r>
              <w:rPr>
                <w:rFonts w:hint="eastAsia" w:ascii="宋体" w:hAnsi="宋体" w:cs="宋体"/>
                <w:color w:val="auto"/>
                <w:highlight w:val="none"/>
              </w:rPr>
              <w:t>到</w:t>
            </w:r>
            <w:r>
              <w:rPr>
                <w:rFonts w:ascii="宋体" w:hAnsi="宋体" w:cs="宋体"/>
                <w:color w:val="auto"/>
                <w:highlight w:val="none"/>
              </w:rPr>
              <w:t>业主方进行走访汇报和了解情况。</w:t>
            </w:r>
            <w:r>
              <w:rPr>
                <w:rFonts w:hint="eastAsia" w:ascii="宋体" w:hAnsi="宋体" w:cs="宋体"/>
                <w:color w:val="auto"/>
                <w:highlight w:val="none"/>
              </w:rPr>
              <w:t>上述维护</w:t>
            </w:r>
            <w:r>
              <w:rPr>
                <w:rFonts w:ascii="宋体" w:hAnsi="宋体" w:cs="宋体"/>
                <w:color w:val="auto"/>
                <w:highlight w:val="none"/>
              </w:rPr>
              <w:t>小组人员</w:t>
            </w:r>
            <w:r>
              <w:rPr>
                <w:rFonts w:hint="eastAsia" w:ascii="宋体" w:hAnsi="宋体" w:cs="宋体"/>
                <w:color w:val="auto"/>
                <w:highlight w:val="none"/>
              </w:rPr>
              <w:t>确定</w:t>
            </w:r>
            <w:r>
              <w:rPr>
                <w:rFonts w:hint="eastAsia" w:ascii="宋体" w:hAnsi="宋体" w:cs="宋体"/>
                <w:color w:val="auto"/>
                <w:highlight w:val="none"/>
                <w:lang w:val="en-US" w:eastAsia="zh-CN"/>
              </w:rPr>
              <w:t>后</w:t>
            </w:r>
            <w:r>
              <w:rPr>
                <w:rFonts w:hint="eastAsia" w:ascii="宋体" w:hAnsi="宋体" w:cs="宋体"/>
                <w:color w:val="auto"/>
                <w:highlight w:val="none"/>
              </w:rPr>
              <w:t>禁止随意更换，确有不可抗力原因要更换时需提前申请，待采购方审核其“专业技术能力（证书）、业务熟悉程度、个人性格品质”等方面情况是否等于或优于原被替换者，采购方同意后方能更换。更换</w:t>
            </w:r>
            <w:r>
              <w:rPr>
                <w:rFonts w:ascii="宋体" w:hAnsi="宋体" w:cs="宋体"/>
                <w:color w:val="auto"/>
                <w:highlight w:val="none"/>
              </w:rPr>
              <w:t>人员必须由</w:t>
            </w:r>
            <w:r>
              <w:rPr>
                <w:rFonts w:hint="eastAsia" w:ascii="宋体" w:hAnsi="宋体" w:cs="宋体"/>
                <w:color w:val="auto"/>
                <w:highlight w:val="none"/>
              </w:rPr>
              <w:t>原</w:t>
            </w:r>
            <w:r>
              <w:rPr>
                <w:rFonts w:ascii="宋体" w:hAnsi="宋体" w:cs="宋体"/>
                <w:color w:val="auto"/>
                <w:highlight w:val="none"/>
              </w:rPr>
              <w:t>成员带培至少半个月，每日进行工作进度汇报，离职前</w:t>
            </w:r>
            <w:r>
              <w:rPr>
                <w:rFonts w:hint="eastAsia" w:ascii="宋体" w:hAnsi="宋体" w:cs="宋体"/>
                <w:color w:val="auto"/>
                <w:highlight w:val="none"/>
              </w:rPr>
              <w:t>做好</w:t>
            </w:r>
            <w:r>
              <w:rPr>
                <w:rFonts w:ascii="宋体" w:hAnsi="宋体" w:cs="宋体"/>
                <w:color w:val="auto"/>
                <w:highlight w:val="none"/>
              </w:rPr>
              <w:t>工作交接，以确保新成员能够</w:t>
            </w:r>
            <w:r>
              <w:rPr>
                <w:rFonts w:hint="eastAsia" w:ascii="宋体" w:hAnsi="宋体" w:cs="宋体"/>
                <w:color w:val="auto"/>
                <w:highlight w:val="none"/>
                <w:lang w:val="en-US" w:eastAsia="zh-CN"/>
              </w:rPr>
              <w:t>完整交接和</w:t>
            </w:r>
            <w:r>
              <w:rPr>
                <w:rFonts w:hint="eastAsia" w:ascii="宋体" w:hAnsi="宋体" w:cs="宋体"/>
                <w:color w:val="auto"/>
                <w:highlight w:val="none"/>
              </w:rPr>
              <w:t>胜任</w:t>
            </w:r>
            <w:r>
              <w:rPr>
                <w:rFonts w:ascii="宋体" w:hAnsi="宋体" w:cs="宋体"/>
                <w:color w:val="auto"/>
                <w:highlight w:val="none"/>
              </w:rPr>
              <w:t>工作。</w:t>
            </w:r>
          </w:p>
          <w:p w14:paraId="312E73DA">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hint="eastAsia" w:ascii="宋体" w:hAnsi="宋体" w:cs="宋体"/>
                <w:color w:val="auto"/>
                <w:highlight w:val="none"/>
                <w:lang w:val="en-US" w:eastAsia="zh-CN"/>
              </w:rPr>
              <w:t>2  派出</w:t>
            </w:r>
            <w:r>
              <w:rPr>
                <w:rFonts w:hint="eastAsia" w:ascii="宋体" w:hAnsi="宋体" w:cs="宋体"/>
                <w:color w:val="auto"/>
                <w:highlight w:val="none"/>
              </w:rPr>
              <w:t>现场</w:t>
            </w:r>
            <w:r>
              <w:rPr>
                <w:rFonts w:hint="eastAsia" w:ascii="宋体" w:hAnsi="宋体" w:cs="宋体"/>
                <w:color w:val="auto"/>
                <w:highlight w:val="none"/>
                <w:lang w:val="en-US" w:eastAsia="zh-CN"/>
              </w:rPr>
              <w:t>驻点</w:t>
            </w:r>
            <w:r>
              <w:rPr>
                <w:rFonts w:hint="eastAsia" w:ascii="宋体" w:hAnsi="宋体" w:cs="宋体"/>
                <w:color w:val="auto"/>
                <w:highlight w:val="none"/>
              </w:rPr>
              <w:t>技术员</w:t>
            </w:r>
          </w:p>
          <w:p w14:paraId="46786E2A">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成交供应商应外派包括软件</w:t>
            </w:r>
            <w:r>
              <w:rPr>
                <w:rFonts w:ascii="宋体" w:hAnsi="宋体" w:cs="宋体"/>
                <w:color w:val="auto"/>
                <w:highlight w:val="none"/>
              </w:rPr>
              <w:t>开发工程师</w:t>
            </w:r>
            <w:r>
              <w:rPr>
                <w:rFonts w:hint="eastAsia" w:ascii="宋体" w:hAnsi="宋体" w:cs="宋体"/>
                <w:color w:val="auto"/>
                <w:highlight w:val="none"/>
              </w:rPr>
              <w:t>、网络</w:t>
            </w:r>
            <w:r>
              <w:rPr>
                <w:rFonts w:ascii="宋体" w:hAnsi="宋体" w:cs="宋体"/>
                <w:color w:val="auto"/>
                <w:highlight w:val="none"/>
              </w:rPr>
              <w:t>硬件安全工程师、</w:t>
            </w:r>
            <w:r>
              <w:rPr>
                <w:rFonts w:hint="eastAsia" w:ascii="宋体" w:hAnsi="宋体" w:cs="宋体"/>
                <w:color w:val="auto"/>
                <w:highlight w:val="none"/>
              </w:rPr>
              <w:t>驻点组长</w:t>
            </w:r>
            <w:r>
              <w:rPr>
                <w:rFonts w:ascii="宋体" w:hAnsi="宋体" w:cs="宋体"/>
                <w:color w:val="auto"/>
                <w:highlight w:val="none"/>
              </w:rPr>
              <w:t>在内的</w:t>
            </w:r>
            <w:r>
              <w:rPr>
                <w:rFonts w:hint="eastAsia" w:ascii="宋体" w:hAnsi="宋体" w:cs="宋体"/>
                <w:color w:val="auto"/>
                <w:highlight w:val="none"/>
                <w:lang w:val="en-US" w:eastAsia="zh-CN"/>
              </w:rPr>
              <w:t>2</w:t>
            </w:r>
            <w:bookmarkStart w:id="284" w:name="_GoBack"/>
            <w:bookmarkEnd w:id="284"/>
            <w:r>
              <w:rPr>
                <w:rFonts w:hint="eastAsia" w:ascii="宋体" w:hAnsi="宋体" w:cs="宋体"/>
                <w:color w:val="auto"/>
                <w:highlight w:val="none"/>
              </w:rPr>
              <w:t>名（及以上）的工程师常驻市远程办承担软件需求开发与技术咨询、硬件维护与网络安全防护、沟通联络与资产管理等，具体开展平台软硬件日常检查管理、需求与故障处理、错情处理、软件开发、技术解答、项目文档制作、</w:t>
            </w:r>
            <w:r>
              <w:rPr>
                <w:rFonts w:hint="eastAsia" w:ascii="宋体" w:hAnsi="宋体" w:cs="宋体"/>
                <w:color w:val="auto"/>
                <w:highlight w:val="none"/>
                <w:lang w:val="en-US" w:eastAsia="zh-CN"/>
              </w:rPr>
              <w:t>美工设计、</w:t>
            </w:r>
            <w:r>
              <w:rPr>
                <w:rFonts w:hint="eastAsia" w:ascii="宋体" w:hAnsi="宋体" w:cs="宋体"/>
                <w:color w:val="auto"/>
                <w:highlight w:val="none"/>
              </w:rPr>
              <w:t>资产协助整理、业务培训、对接双方沟通反馈等工作内容。驻点</w:t>
            </w:r>
            <w:r>
              <w:rPr>
                <w:rFonts w:ascii="宋体" w:hAnsi="宋体" w:cs="宋体"/>
                <w:color w:val="auto"/>
                <w:highlight w:val="none"/>
              </w:rPr>
              <w:t>组</w:t>
            </w:r>
            <w:r>
              <w:rPr>
                <w:rFonts w:hint="eastAsia" w:ascii="宋体" w:hAnsi="宋体" w:cs="宋体"/>
                <w:color w:val="auto"/>
                <w:highlight w:val="none"/>
              </w:rPr>
              <w:t>长</w:t>
            </w:r>
            <w:r>
              <w:rPr>
                <w:rFonts w:ascii="宋体" w:hAnsi="宋体" w:cs="宋体"/>
                <w:color w:val="auto"/>
                <w:highlight w:val="none"/>
              </w:rPr>
              <w:t>每日</w:t>
            </w:r>
            <w:r>
              <w:rPr>
                <w:rFonts w:hint="eastAsia" w:ascii="宋体" w:hAnsi="宋体" w:cs="宋体"/>
                <w:color w:val="auto"/>
                <w:highlight w:val="none"/>
              </w:rPr>
              <w:t>汇报</w:t>
            </w:r>
            <w:r>
              <w:rPr>
                <w:rFonts w:ascii="宋体" w:hAnsi="宋体" w:cs="宋体"/>
                <w:color w:val="auto"/>
                <w:highlight w:val="none"/>
              </w:rPr>
              <w:t>当日</w:t>
            </w:r>
            <w:r>
              <w:rPr>
                <w:rFonts w:hint="eastAsia" w:ascii="宋体" w:hAnsi="宋体" w:cs="宋体"/>
                <w:color w:val="auto"/>
                <w:highlight w:val="none"/>
              </w:rPr>
              <w:t>驻点</w:t>
            </w:r>
            <w:r>
              <w:rPr>
                <w:rFonts w:ascii="宋体" w:hAnsi="宋体" w:cs="宋体"/>
                <w:color w:val="auto"/>
                <w:highlight w:val="none"/>
              </w:rPr>
              <w:t>人员工作完成情况</w:t>
            </w:r>
            <w:r>
              <w:rPr>
                <w:rFonts w:hint="eastAsia" w:ascii="宋体" w:hAnsi="宋体" w:cs="宋体"/>
                <w:color w:val="auto"/>
                <w:highlight w:val="none"/>
              </w:rPr>
              <w:t>。</w:t>
            </w:r>
          </w:p>
          <w:p w14:paraId="2C64EEF6">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5.</w:t>
            </w:r>
            <w:r>
              <w:rPr>
                <w:rFonts w:hint="eastAsia" w:ascii="宋体" w:hAnsi="宋体" w:cs="宋体"/>
                <w:color w:val="auto"/>
                <w:highlight w:val="none"/>
                <w:lang w:val="en-US" w:eastAsia="zh-CN"/>
              </w:rPr>
              <w:t xml:space="preserve">3  </w:t>
            </w:r>
            <w:r>
              <w:rPr>
                <w:rFonts w:hint="eastAsia" w:ascii="宋体" w:hAnsi="宋体" w:cs="宋体"/>
                <w:color w:val="auto"/>
                <w:highlight w:val="none"/>
              </w:rPr>
              <w:t>成立平台专职运维管理队伍</w:t>
            </w:r>
          </w:p>
          <w:p w14:paraId="0899F169">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为做好平台信息发布、推广应用、舆情监控、日常管理维护工作，需建立1支5人以上专职运维管理队伍。由采购方面向社会招聘符合条件的人员组成专职运维管理员队伍，成交供应商需提供必要的业务操作与安全意识培训，承担平台运维监控管理中心专职队伍的机构运转与成本开支，承诺做好专项技术服务小组与专职运维管理队伍的沟通合作，为采购方提供运维管理队伍的日常量化考核参考数据。</w:t>
            </w:r>
          </w:p>
          <w:p w14:paraId="191CC1CD">
            <w:pPr>
              <w:spacing w:line="360" w:lineRule="exact"/>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管理员培训服务</w:t>
            </w:r>
          </w:p>
          <w:p w14:paraId="1638EB67">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对</w:t>
            </w:r>
            <w:r>
              <w:rPr>
                <w:rFonts w:hint="eastAsia" w:ascii="宋体" w:hAnsi="宋体" w:cs="宋体"/>
                <w:color w:val="auto"/>
                <w:highlight w:val="none"/>
                <w:lang w:val="en-US" w:eastAsia="zh-CN"/>
              </w:rPr>
              <w:t>甲方单位人员和平台</w:t>
            </w:r>
            <w:r>
              <w:rPr>
                <w:rFonts w:hint="eastAsia" w:ascii="宋体" w:hAnsi="宋体" w:cs="宋体"/>
                <w:color w:val="auto"/>
                <w:highlight w:val="none"/>
              </w:rPr>
              <w:t>基层管理员提供培训，培训内容主要包括：新管理员上岗之前的指导培训，平台各级操作员的</w:t>
            </w:r>
            <w:r>
              <w:rPr>
                <w:rFonts w:hint="eastAsia" w:ascii="宋体" w:hAnsi="宋体" w:cs="宋体"/>
                <w:color w:val="auto"/>
                <w:highlight w:val="none"/>
                <w:lang w:val="en-US" w:eastAsia="zh-CN"/>
              </w:rPr>
              <w:t>定期</w:t>
            </w:r>
            <w:r>
              <w:rPr>
                <w:rFonts w:hint="eastAsia" w:ascii="宋体" w:hAnsi="宋体" w:cs="宋体"/>
                <w:color w:val="auto"/>
                <w:highlight w:val="none"/>
              </w:rPr>
              <w:t>培训，新功能和系统的操作演示培训，</w:t>
            </w:r>
            <w:r>
              <w:rPr>
                <w:rFonts w:hint="eastAsia" w:ascii="宋体" w:hAnsi="宋体" w:cs="宋体"/>
                <w:color w:val="auto"/>
                <w:highlight w:val="none"/>
                <w:lang w:val="en-US" w:eastAsia="zh-CN"/>
              </w:rPr>
              <w:t>网络</w:t>
            </w:r>
            <w:r>
              <w:rPr>
                <w:rFonts w:hint="eastAsia" w:ascii="宋体" w:hAnsi="宋体" w:cs="宋体"/>
                <w:color w:val="auto"/>
                <w:highlight w:val="none"/>
              </w:rPr>
              <w:t>安全</w:t>
            </w:r>
            <w:r>
              <w:rPr>
                <w:rFonts w:hint="eastAsia" w:ascii="宋体" w:hAnsi="宋体" w:cs="宋体"/>
                <w:color w:val="auto"/>
                <w:highlight w:val="none"/>
                <w:lang w:val="en-US" w:eastAsia="zh-CN"/>
              </w:rPr>
              <w:t>及保密</w:t>
            </w:r>
            <w:r>
              <w:rPr>
                <w:rFonts w:hint="eastAsia" w:ascii="宋体" w:hAnsi="宋体" w:cs="宋体"/>
                <w:color w:val="auto"/>
                <w:highlight w:val="none"/>
              </w:rPr>
              <w:t>相关</w:t>
            </w:r>
            <w:r>
              <w:rPr>
                <w:rFonts w:hint="eastAsia" w:ascii="宋体" w:hAnsi="宋体" w:cs="宋体"/>
                <w:color w:val="auto"/>
                <w:highlight w:val="none"/>
                <w:lang w:val="en-US" w:eastAsia="zh-CN"/>
              </w:rPr>
              <w:t>知识</w:t>
            </w:r>
            <w:r>
              <w:rPr>
                <w:rFonts w:hint="eastAsia" w:ascii="宋体" w:hAnsi="宋体" w:cs="宋体"/>
                <w:color w:val="auto"/>
                <w:highlight w:val="none"/>
              </w:rPr>
              <w:t>的学习培训，平台相关制度学习培训，</w:t>
            </w:r>
            <w:r>
              <w:rPr>
                <w:rFonts w:hint="eastAsia"/>
                <w:color w:val="auto"/>
                <w:highlight w:val="none"/>
                <w:lang w:val="en-US" w:eastAsia="zh-CN"/>
              </w:rPr>
              <w:t>当前技术发展趋势和相关重点政策培训，</w:t>
            </w:r>
            <w:r>
              <w:rPr>
                <w:rFonts w:hint="eastAsia" w:ascii="宋体" w:hAnsi="宋体" w:cs="宋体"/>
                <w:color w:val="auto"/>
                <w:highlight w:val="none"/>
              </w:rPr>
              <w:t>临时指定的培训任务等。</w:t>
            </w:r>
          </w:p>
          <w:p w14:paraId="3547033A">
            <w:pPr>
              <w:spacing w:line="360" w:lineRule="exact"/>
              <w:ind w:firstLine="420" w:firstLineChars="200"/>
              <w:rPr>
                <w:rFonts w:hint="eastAsia" w:ascii="宋体" w:hAnsi="宋体" w:eastAsia="宋体" w:cs="宋体"/>
                <w:b w:val="0"/>
                <w:bCs/>
                <w:color w:val="auto"/>
                <w:szCs w:val="22"/>
                <w:highlight w:val="none"/>
                <w:lang w:val="en-US" w:eastAsia="zh-CN"/>
              </w:rPr>
            </w:pPr>
            <w:r>
              <w:rPr>
                <w:rFonts w:hint="eastAsia"/>
                <w:color w:val="auto"/>
                <w:highlight w:val="none"/>
              </w:rPr>
              <w:t>成交供应商每年对</w:t>
            </w:r>
            <w:r>
              <w:rPr>
                <w:color w:val="auto"/>
                <w:highlight w:val="none"/>
              </w:rPr>
              <w:t>平台专职运维管理员</w:t>
            </w:r>
            <w:r>
              <w:rPr>
                <w:rFonts w:hint="eastAsia"/>
                <w:color w:val="auto"/>
                <w:highlight w:val="none"/>
              </w:rPr>
              <w:t>主动</w:t>
            </w:r>
            <w:r>
              <w:rPr>
                <w:color w:val="auto"/>
                <w:highlight w:val="none"/>
              </w:rPr>
              <w:t>开展2</w:t>
            </w:r>
            <w:r>
              <w:rPr>
                <w:rFonts w:hint="eastAsia"/>
                <w:color w:val="auto"/>
                <w:highlight w:val="none"/>
              </w:rPr>
              <w:t>次</w:t>
            </w:r>
            <w:r>
              <w:rPr>
                <w:color w:val="auto"/>
                <w:highlight w:val="none"/>
              </w:rPr>
              <w:t>以上</w:t>
            </w:r>
            <w:r>
              <w:rPr>
                <w:rFonts w:hint="eastAsia"/>
                <w:color w:val="auto"/>
                <w:highlight w:val="none"/>
              </w:rPr>
              <w:t>的业务操作</w:t>
            </w:r>
            <w:r>
              <w:rPr>
                <w:color w:val="auto"/>
                <w:highlight w:val="none"/>
              </w:rPr>
              <w:t>与安全意识</w:t>
            </w:r>
            <w:r>
              <w:rPr>
                <w:rFonts w:hint="eastAsia"/>
                <w:color w:val="auto"/>
                <w:highlight w:val="none"/>
              </w:rPr>
              <w:t>培训</w:t>
            </w:r>
            <w:r>
              <w:rPr>
                <w:color w:val="auto"/>
                <w:highlight w:val="none"/>
              </w:rPr>
              <w:t>，</w:t>
            </w:r>
            <w:r>
              <w:rPr>
                <w:rFonts w:hint="eastAsia" w:ascii="宋体" w:hAnsi="宋体" w:cs="宋体"/>
                <w:b w:val="0"/>
                <w:bCs/>
                <w:color w:val="auto"/>
                <w:highlight w:val="none"/>
                <w:lang w:val="en-US" w:eastAsia="zh-CN"/>
              </w:rPr>
              <w:t>以及2次以上的技术发展与重点政策培训。</w:t>
            </w:r>
            <w:r>
              <w:rPr>
                <w:rFonts w:hint="eastAsia"/>
                <w:color w:val="auto"/>
                <w:highlight w:val="none"/>
              </w:rPr>
              <w:t>业务</w:t>
            </w:r>
            <w:r>
              <w:rPr>
                <w:color w:val="auto"/>
                <w:highlight w:val="none"/>
              </w:rPr>
              <w:t>操作</w:t>
            </w:r>
            <w:r>
              <w:rPr>
                <w:rFonts w:hint="eastAsia"/>
                <w:color w:val="auto"/>
                <w:highlight w:val="none"/>
              </w:rPr>
              <w:t>培训内容</w:t>
            </w:r>
            <w:r>
              <w:rPr>
                <w:color w:val="auto"/>
                <w:highlight w:val="none"/>
              </w:rPr>
              <w:t>由</w:t>
            </w:r>
            <w:r>
              <w:rPr>
                <w:rFonts w:hint="eastAsia"/>
                <w:color w:val="auto"/>
                <w:highlight w:val="none"/>
              </w:rPr>
              <w:t>开发</w:t>
            </w:r>
            <w:r>
              <w:rPr>
                <w:color w:val="auto"/>
                <w:highlight w:val="none"/>
              </w:rPr>
              <w:t>工程师针对</w:t>
            </w:r>
            <w:r>
              <w:rPr>
                <w:rFonts w:hint="eastAsia"/>
                <w:color w:val="auto"/>
                <w:highlight w:val="none"/>
              </w:rPr>
              <w:t>平台的</w:t>
            </w:r>
            <w:r>
              <w:rPr>
                <w:color w:val="auto"/>
                <w:highlight w:val="none"/>
              </w:rPr>
              <w:t>最新升级以及新增功能制定。安全意识培训内容</w:t>
            </w:r>
            <w:r>
              <w:rPr>
                <w:rFonts w:hint="eastAsia"/>
                <w:color w:val="auto"/>
                <w:highlight w:val="none"/>
              </w:rPr>
              <w:t>由</w:t>
            </w:r>
            <w:r>
              <w:rPr>
                <w:color w:val="auto"/>
                <w:highlight w:val="none"/>
              </w:rPr>
              <w:t>成交供应商根据</w:t>
            </w:r>
            <w:r>
              <w:rPr>
                <w:rFonts w:hint="eastAsia"/>
                <w:color w:val="auto"/>
                <w:highlight w:val="none"/>
              </w:rPr>
              <w:t>日常维护</w:t>
            </w:r>
            <w:r>
              <w:rPr>
                <w:color w:val="auto"/>
                <w:highlight w:val="none"/>
              </w:rPr>
              <w:t>中产生的事件</w:t>
            </w:r>
            <w:r>
              <w:rPr>
                <w:b/>
                <w:color w:val="auto"/>
                <w:highlight w:val="none"/>
              </w:rPr>
              <w:t>/</w:t>
            </w:r>
            <w:r>
              <w:rPr>
                <w:rFonts w:hint="eastAsia"/>
                <w:color w:val="auto"/>
                <w:highlight w:val="none"/>
              </w:rPr>
              <w:t>故障</w:t>
            </w:r>
            <w:r>
              <w:rPr>
                <w:color w:val="auto"/>
                <w:highlight w:val="none"/>
              </w:rPr>
              <w:t>处置报告</w:t>
            </w:r>
            <w:r>
              <w:rPr>
                <w:rFonts w:hint="eastAsia"/>
                <w:color w:val="auto"/>
                <w:highlight w:val="none"/>
              </w:rPr>
              <w:t>、往期网络</w:t>
            </w:r>
            <w:r>
              <w:rPr>
                <w:color w:val="auto"/>
                <w:highlight w:val="none"/>
              </w:rPr>
              <w:t>安全</w:t>
            </w:r>
            <w:r>
              <w:rPr>
                <w:rFonts w:hint="eastAsia"/>
                <w:color w:val="auto"/>
                <w:highlight w:val="none"/>
              </w:rPr>
              <w:t>事件</w:t>
            </w:r>
            <w:r>
              <w:rPr>
                <w:color w:val="auto"/>
                <w:highlight w:val="none"/>
              </w:rPr>
              <w:t>通报</w:t>
            </w:r>
            <w:r>
              <w:rPr>
                <w:rFonts w:hint="eastAsia"/>
                <w:color w:val="auto"/>
                <w:highlight w:val="none"/>
              </w:rPr>
              <w:t>或</w:t>
            </w:r>
            <w:r>
              <w:rPr>
                <w:color w:val="auto"/>
                <w:highlight w:val="none"/>
              </w:rPr>
              <w:t>其他单位</w:t>
            </w:r>
            <w:r>
              <w:rPr>
                <w:rFonts w:hint="eastAsia"/>
                <w:color w:val="auto"/>
                <w:highlight w:val="none"/>
              </w:rPr>
              <w:t>网络安全事件通报</w:t>
            </w:r>
            <w:r>
              <w:rPr>
                <w:color w:val="auto"/>
                <w:highlight w:val="none"/>
              </w:rPr>
              <w:t>相关内容制定。</w:t>
            </w:r>
            <w:r>
              <w:rPr>
                <w:rFonts w:hint="eastAsia" w:ascii="宋体" w:hAnsi="宋体" w:cs="宋体"/>
                <w:color w:val="auto"/>
                <w:highlight w:val="none"/>
              </w:rPr>
              <w:t>培训方案报采购方审核后开展培训，确保培训质量较往期有明显提升。培训形式</w:t>
            </w:r>
            <w:r>
              <w:rPr>
                <w:rFonts w:ascii="宋体" w:hAnsi="宋体" w:cs="宋体"/>
                <w:color w:val="auto"/>
                <w:highlight w:val="none"/>
              </w:rPr>
              <w:t>主要以线下培训为主，</w:t>
            </w:r>
            <w:r>
              <w:rPr>
                <w:rFonts w:hint="eastAsia" w:ascii="宋体" w:hAnsi="宋体" w:cs="宋体"/>
                <w:color w:val="auto"/>
                <w:highlight w:val="none"/>
              </w:rPr>
              <w:t>有</w:t>
            </w:r>
            <w:r>
              <w:rPr>
                <w:rFonts w:ascii="宋体" w:hAnsi="宋体" w:cs="宋体"/>
                <w:color w:val="auto"/>
                <w:highlight w:val="none"/>
              </w:rPr>
              <w:t>特殊情况的</w:t>
            </w:r>
            <w:r>
              <w:rPr>
                <w:rFonts w:hint="eastAsia" w:ascii="宋体" w:hAnsi="宋体" w:cs="宋体"/>
                <w:color w:val="auto"/>
                <w:highlight w:val="none"/>
              </w:rPr>
              <w:t>经</w:t>
            </w:r>
            <w:r>
              <w:rPr>
                <w:rFonts w:ascii="宋体" w:hAnsi="宋体" w:cs="宋体"/>
                <w:color w:val="auto"/>
                <w:highlight w:val="none"/>
              </w:rPr>
              <w:t>双方沟通确认后</w:t>
            </w:r>
            <w:r>
              <w:rPr>
                <w:rFonts w:hint="eastAsia" w:ascii="宋体" w:hAnsi="宋体" w:cs="宋体"/>
                <w:color w:val="auto"/>
                <w:highlight w:val="none"/>
              </w:rPr>
              <w:t>可</w:t>
            </w:r>
            <w:r>
              <w:rPr>
                <w:rFonts w:ascii="宋体" w:hAnsi="宋体" w:cs="宋体"/>
                <w:color w:val="auto"/>
                <w:highlight w:val="none"/>
              </w:rPr>
              <w:t>采用线上</w:t>
            </w:r>
            <w:r>
              <w:rPr>
                <w:rFonts w:hint="eastAsia" w:ascii="宋体" w:hAnsi="宋体" w:cs="宋体"/>
                <w:color w:val="auto"/>
                <w:highlight w:val="none"/>
              </w:rPr>
              <w:t>形式</w:t>
            </w:r>
            <w:r>
              <w:rPr>
                <w:rFonts w:ascii="宋体" w:hAnsi="宋体" w:cs="宋体"/>
                <w:color w:val="auto"/>
                <w:highlight w:val="none"/>
              </w:rPr>
              <w:t>培训</w:t>
            </w:r>
            <w:r>
              <w:rPr>
                <w:rFonts w:hint="eastAsia" w:ascii="宋体" w:hAnsi="宋体" w:cs="宋体"/>
                <w:color w:val="auto"/>
                <w:highlight w:val="none"/>
              </w:rPr>
              <w:t>。</w:t>
            </w:r>
          </w:p>
        </w:tc>
        <w:tc>
          <w:tcPr>
            <w:tcW w:w="875" w:type="dxa"/>
            <w:tcBorders>
              <w:top w:val="single" w:color="000000" w:sz="4" w:space="0"/>
              <w:left w:val="single" w:color="000000" w:sz="4" w:space="0"/>
              <w:bottom w:val="single" w:color="000000" w:sz="4" w:space="0"/>
              <w:right w:val="single" w:color="000000" w:sz="4" w:space="0"/>
            </w:tcBorders>
            <w:vAlign w:val="center"/>
          </w:tcPr>
          <w:p w14:paraId="5DD15308">
            <w:pPr>
              <w:tabs>
                <w:tab w:val="left" w:pos="180"/>
                <w:tab w:val="left" w:pos="1620"/>
              </w:tabs>
              <w:spacing w:line="360" w:lineRule="auto"/>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280000</w:t>
            </w:r>
          </w:p>
        </w:tc>
      </w:tr>
      <w:tr w14:paraId="0540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615C4ECA">
            <w:pPr>
              <w:tabs>
                <w:tab w:val="left" w:pos="180"/>
                <w:tab w:val="left" w:pos="1620"/>
              </w:tabs>
              <w:spacing w:line="360" w:lineRule="auto"/>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6</w:t>
            </w:r>
          </w:p>
        </w:tc>
        <w:tc>
          <w:tcPr>
            <w:tcW w:w="750" w:type="dxa"/>
            <w:tcBorders>
              <w:top w:val="single" w:color="000000" w:sz="4" w:space="0"/>
              <w:left w:val="single" w:color="000000" w:sz="4" w:space="0"/>
              <w:bottom w:val="single" w:color="000000" w:sz="4" w:space="0"/>
              <w:right w:val="single" w:color="000000" w:sz="4" w:space="0"/>
            </w:tcBorders>
            <w:vAlign w:val="center"/>
          </w:tcPr>
          <w:p w14:paraId="3D5B04EA">
            <w:pPr>
              <w:tabs>
                <w:tab w:val="left" w:pos="180"/>
                <w:tab w:val="left" w:pos="1620"/>
              </w:tabs>
              <w:spacing w:line="360" w:lineRule="auto"/>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文件管理服务</w:t>
            </w:r>
          </w:p>
        </w:tc>
        <w:tc>
          <w:tcPr>
            <w:tcW w:w="412" w:type="dxa"/>
            <w:tcBorders>
              <w:top w:val="single" w:color="000000" w:sz="4" w:space="0"/>
              <w:left w:val="single" w:color="000000" w:sz="4" w:space="0"/>
              <w:bottom w:val="single" w:color="000000" w:sz="4" w:space="0"/>
              <w:right w:val="single" w:color="000000" w:sz="4" w:space="0"/>
            </w:tcBorders>
            <w:vAlign w:val="center"/>
          </w:tcPr>
          <w:p w14:paraId="52DB4E3E">
            <w:pPr>
              <w:tabs>
                <w:tab w:val="left" w:pos="180"/>
                <w:tab w:val="left" w:pos="1620"/>
              </w:tabs>
              <w:spacing w:line="360" w:lineRule="auto"/>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highlight w:val="none"/>
              </w:rPr>
              <w:t>1</w:t>
            </w:r>
          </w:p>
        </w:tc>
        <w:tc>
          <w:tcPr>
            <w:tcW w:w="413" w:type="dxa"/>
            <w:tcBorders>
              <w:top w:val="single" w:color="000000" w:sz="4" w:space="0"/>
              <w:left w:val="single" w:color="000000" w:sz="4" w:space="0"/>
              <w:bottom w:val="single" w:color="000000" w:sz="4" w:space="0"/>
              <w:right w:val="single" w:color="000000" w:sz="4" w:space="0"/>
            </w:tcBorders>
            <w:vAlign w:val="center"/>
          </w:tcPr>
          <w:p w14:paraId="52115DA3">
            <w:pPr>
              <w:tabs>
                <w:tab w:val="left" w:pos="180"/>
                <w:tab w:val="left" w:pos="1620"/>
              </w:tabs>
              <w:spacing w:line="360" w:lineRule="auto"/>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highlight w:val="none"/>
              </w:rPr>
              <w:t>项</w:t>
            </w:r>
          </w:p>
        </w:tc>
        <w:tc>
          <w:tcPr>
            <w:tcW w:w="7542" w:type="dxa"/>
            <w:tcBorders>
              <w:top w:val="single" w:color="000000" w:sz="4" w:space="0"/>
              <w:left w:val="single" w:color="000000" w:sz="4" w:space="0"/>
              <w:bottom w:val="single" w:color="000000" w:sz="4" w:space="0"/>
              <w:right w:val="single" w:color="000000" w:sz="4" w:space="0"/>
            </w:tcBorders>
            <w:vAlign w:val="top"/>
          </w:tcPr>
          <w:p w14:paraId="5DE12BEA">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both"/>
              <w:textAlignment w:val="auto"/>
              <w:rPr>
                <w:rFonts w:hint="eastAsia" w:ascii="宋体" w:hAnsi="宋体" w:cs="宋体"/>
                <w:b/>
                <w:bCs/>
                <w:color w:val="auto"/>
                <w:szCs w:val="22"/>
                <w:highlight w:val="none"/>
                <w:lang w:val="en-US" w:eastAsia="zh-CN"/>
              </w:rPr>
            </w:pPr>
            <w:r>
              <w:rPr>
                <w:rFonts w:hint="eastAsia" w:ascii="宋体" w:hAnsi="宋体" w:cs="宋体"/>
                <w:b/>
                <w:bCs/>
                <w:color w:val="auto"/>
                <w:szCs w:val="22"/>
                <w:highlight w:val="none"/>
                <w:lang w:val="en-US" w:eastAsia="zh-CN"/>
              </w:rPr>
              <w:t>文件管理服务</w:t>
            </w:r>
          </w:p>
          <w:p w14:paraId="16C31673">
            <w:pPr>
              <w:spacing w:line="360" w:lineRule="exact"/>
              <w:rPr>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1</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color w:val="auto"/>
                <w:highlight w:val="none"/>
              </w:rPr>
              <w:t>人员管理制度</w:t>
            </w:r>
          </w:p>
          <w:p w14:paraId="7D3EE874">
            <w:pPr>
              <w:spacing w:line="360" w:lineRule="exact"/>
              <w:rPr>
                <w:color w:val="auto"/>
                <w:highlight w:val="none"/>
              </w:rPr>
            </w:pPr>
            <w:r>
              <w:rPr>
                <w:rFonts w:hint="eastAsia"/>
                <w:color w:val="auto"/>
                <w:highlight w:val="none"/>
              </w:rPr>
              <w:t>成交</w:t>
            </w:r>
            <w:r>
              <w:rPr>
                <w:color w:val="auto"/>
                <w:highlight w:val="none"/>
              </w:rPr>
              <w:t>供应商应</w:t>
            </w:r>
            <w:r>
              <w:rPr>
                <w:rFonts w:hint="eastAsia"/>
                <w:color w:val="auto"/>
                <w:highlight w:val="none"/>
              </w:rPr>
              <w:t>制定</w:t>
            </w:r>
            <w:r>
              <w:rPr>
                <w:color w:val="auto"/>
                <w:highlight w:val="none"/>
              </w:rPr>
              <w:t>运维人员管理制度，包括但不限于</w:t>
            </w:r>
            <w:r>
              <w:rPr>
                <w:rFonts w:hint="eastAsia"/>
                <w:color w:val="auto"/>
                <w:highlight w:val="none"/>
              </w:rPr>
              <w:t>考勤</w:t>
            </w:r>
            <w:r>
              <w:rPr>
                <w:color w:val="auto"/>
                <w:highlight w:val="none"/>
              </w:rPr>
              <w:t>、请</w:t>
            </w:r>
            <w:r>
              <w:rPr>
                <w:rFonts w:hint="eastAsia"/>
                <w:b/>
                <w:color w:val="auto"/>
                <w:highlight w:val="none"/>
              </w:rPr>
              <w:t>/</w:t>
            </w:r>
            <w:r>
              <w:rPr>
                <w:color w:val="auto"/>
                <w:highlight w:val="none"/>
              </w:rPr>
              <w:t>销假</w:t>
            </w:r>
            <w:r>
              <w:rPr>
                <w:rFonts w:hint="eastAsia"/>
                <w:color w:val="auto"/>
                <w:highlight w:val="none"/>
              </w:rPr>
              <w:t>、</w:t>
            </w:r>
            <w:r>
              <w:rPr>
                <w:color w:val="auto"/>
                <w:highlight w:val="none"/>
              </w:rPr>
              <w:t>保密协议签署</w:t>
            </w:r>
            <w:r>
              <w:rPr>
                <w:rFonts w:hint="eastAsia"/>
                <w:color w:val="auto"/>
                <w:highlight w:val="none"/>
              </w:rPr>
              <w:t>、</w:t>
            </w:r>
            <w:r>
              <w:rPr>
                <w:color w:val="auto"/>
                <w:highlight w:val="none"/>
              </w:rPr>
              <w:t>工作交接</w:t>
            </w:r>
            <w:r>
              <w:rPr>
                <w:rFonts w:hint="eastAsia"/>
                <w:color w:val="auto"/>
                <w:highlight w:val="none"/>
              </w:rPr>
              <w:t>、任务</w:t>
            </w:r>
            <w:r>
              <w:rPr>
                <w:color w:val="auto"/>
                <w:highlight w:val="none"/>
              </w:rPr>
              <w:t>指标量化</w:t>
            </w:r>
            <w:r>
              <w:rPr>
                <w:rFonts w:hint="eastAsia"/>
                <w:color w:val="auto"/>
                <w:highlight w:val="none"/>
              </w:rPr>
              <w:t>及</w:t>
            </w:r>
            <w:r>
              <w:rPr>
                <w:color w:val="auto"/>
                <w:highlight w:val="none"/>
              </w:rPr>
              <w:t>限时、绩效</w:t>
            </w:r>
            <w:r>
              <w:rPr>
                <w:rFonts w:hint="eastAsia"/>
                <w:color w:val="auto"/>
                <w:highlight w:val="none"/>
              </w:rPr>
              <w:t>及</w:t>
            </w:r>
            <w:r>
              <w:rPr>
                <w:color w:val="auto"/>
                <w:highlight w:val="none"/>
              </w:rPr>
              <w:t>服务质量考核等内容</w:t>
            </w:r>
            <w:r>
              <w:rPr>
                <w:rFonts w:hint="eastAsia"/>
                <w:color w:val="auto"/>
                <w:highlight w:val="none"/>
              </w:rPr>
              <w:t>，</w:t>
            </w:r>
            <w:r>
              <w:rPr>
                <w:color w:val="auto"/>
                <w:highlight w:val="none"/>
              </w:rPr>
              <w:t>并</w:t>
            </w:r>
            <w:r>
              <w:rPr>
                <w:rFonts w:hint="eastAsia"/>
                <w:color w:val="auto"/>
                <w:highlight w:val="none"/>
              </w:rPr>
              <w:t>根据</w:t>
            </w:r>
            <w:r>
              <w:rPr>
                <w:color w:val="auto"/>
                <w:highlight w:val="none"/>
              </w:rPr>
              <w:t>采购方日常工作需求不断完善</w:t>
            </w:r>
            <w:r>
              <w:rPr>
                <w:rFonts w:hint="eastAsia"/>
                <w:color w:val="auto"/>
                <w:highlight w:val="none"/>
              </w:rPr>
              <w:t>该制度</w:t>
            </w:r>
            <w:r>
              <w:rPr>
                <w:color w:val="auto"/>
                <w:highlight w:val="none"/>
              </w:rPr>
              <w:t>，</w:t>
            </w:r>
            <w:r>
              <w:rPr>
                <w:rFonts w:hint="eastAsia"/>
                <w:color w:val="auto"/>
                <w:highlight w:val="none"/>
              </w:rPr>
              <w:t>对运维人员</w:t>
            </w:r>
            <w:r>
              <w:rPr>
                <w:color w:val="auto"/>
                <w:highlight w:val="none"/>
              </w:rPr>
              <w:t>进行标准化</w:t>
            </w:r>
            <w:r>
              <w:rPr>
                <w:rFonts w:hint="eastAsia"/>
                <w:color w:val="auto"/>
                <w:highlight w:val="none"/>
              </w:rPr>
              <w:t>管理</w:t>
            </w:r>
            <w:r>
              <w:rPr>
                <w:color w:val="auto"/>
                <w:highlight w:val="none"/>
              </w:rPr>
              <w:t>。</w:t>
            </w:r>
          </w:p>
          <w:p w14:paraId="0075B23E">
            <w:pPr>
              <w:spacing w:line="360" w:lineRule="exac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2</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软件开发规划</w:t>
            </w:r>
          </w:p>
          <w:p w14:paraId="11BC53A5">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both"/>
              <w:textAlignment w:val="auto"/>
              <w:rPr>
                <w:rFonts w:hint="eastAsia" w:ascii="宋体" w:hAnsi="宋体" w:cs="宋体"/>
                <w:color w:val="auto"/>
                <w:highlight w:val="none"/>
              </w:rPr>
            </w:pPr>
            <w:r>
              <w:rPr>
                <w:rFonts w:hint="eastAsia" w:ascii="宋体" w:hAnsi="宋体" w:cs="宋体"/>
                <w:color w:val="auto"/>
                <w:highlight w:val="none"/>
              </w:rPr>
              <w:t>根据用户在日常使用中提出需求和想法以及软件技术人员对党务工作深入了解，成交供应商每年应制定平台分析报告和发展规划供采购方做决策参考。开发规划内容主要包括：平台存在问题与需求分析、尚未完善的功能设计，平台下一步发展思路和具体规划。</w:t>
            </w:r>
          </w:p>
          <w:p w14:paraId="15EF1578">
            <w:pPr>
              <w:spacing w:line="360" w:lineRule="exact"/>
              <w:rPr>
                <w:rFonts w:hint="default" w:ascii="宋体" w:hAnsi="宋体" w:eastAsia="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3</w:t>
            </w:r>
            <w:r>
              <w:rPr>
                <w:rFonts w:hint="eastAsia" w:ascii="宋体" w:hAnsi="宋体" w:cs="宋体"/>
                <w:color w:val="auto"/>
                <w:highlight w:val="none"/>
              </w:rPr>
              <w:tab/>
            </w:r>
            <w:r>
              <w:rPr>
                <w:rFonts w:hint="eastAsia" w:ascii="宋体" w:hAnsi="宋体" w:cs="宋体"/>
                <w:color w:val="auto"/>
                <w:highlight w:val="none"/>
                <w:lang w:val="en-US" w:eastAsia="zh-CN"/>
              </w:rPr>
              <w:t xml:space="preserve"> 平台制度汇编</w:t>
            </w:r>
          </w:p>
          <w:p w14:paraId="388CA40C">
            <w:pPr>
              <w:spacing w:line="36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国家信息化项目建设管理有关政策和网络安全有关标准和要求，制定并不断完善平台制度汇编。确保各类制度、记录文档符合网络安全等保三级测评和商用密码应用安全性评估等有关标准要求和平台管理实际，在政策、人员、软硬件及系统结构发生变化时及时做好制度汇编内容的更新工作。</w:t>
            </w:r>
          </w:p>
          <w:p w14:paraId="74CACE89">
            <w:pPr>
              <w:spacing w:line="360" w:lineRule="exact"/>
              <w:rPr>
                <w:rFonts w:ascii="宋体" w:hAnsi="宋体" w:cs="宋体"/>
                <w:color w:val="auto"/>
                <w:highlight w:val="none"/>
              </w:rPr>
            </w:pPr>
            <w:r>
              <w:rPr>
                <w:rFonts w:hint="eastAsia" w:ascii="宋体" w:hAnsi="宋体" w:cs="宋体"/>
                <w:b/>
                <w:color w:val="auto"/>
                <w:highlight w:val="none"/>
              </w:rPr>
              <w:t>▲</w:t>
            </w:r>
            <w:r>
              <w:rPr>
                <w:rFonts w:hint="eastAsia" w:ascii="宋体" w:hAnsi="宋体" w:cs="宋体"/>
                <w:color w:val="auto"/>
                <w:highlight w:val="none"/>
              </w:rPr>
              <w:t>6.</w:t>
            </w:r>
            <w:r>
              <w:rPr>
                <w:rFonts w:hint="eastAsia" w:ascii="宋体" w:hAnsi="宋体" w:cs="宋体"/>
                <w:color w:val="auto"/>
                <w:highlight w:val="none"/>
                <w:lang w:val="en-US" w:eastAsia="zh-CN"/>
              </w:rPr>
              <w:t xml:space="preserve">4  </w:t>
            </w:r>
            <w:r>
              <w:rPr>
                <w:rFonts w:hint="eastAsia" w:ascii="宋体" w:hAnsi="宋体" w:cs="宋体"/>
                <w:color w:val="auto"/>
                <w:highlight w:val="none"/>
              </w:rPr>
              <w:t>文档资料管理</w:t>
            </w:r>
          </w:p>
          <w:p w14:paraId="4F2C4EF0">
            <w:pPr>
              <w:spacing w:line="360" w:lineRule="exact"/>
              <w:rPr>
                <w:rFonts w:hint="eastAsia" w:ascii="宋体" w:hAnsi="宋体" w:eastAsia="宋体" w:cs="宋体"/>
                <w:color w:val="auto"/>
                <w:highlight w:val="none"/>
                <w:lang w:val="en-US" w:eastAsia="zh-CN"/>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1成交供应商应妥善保管安装光碟、驱动、授权证明、密钥序列号、交接表等涉及平台历史资产的材料，并建立索引目录。当软硬件资产发生变化时，应及时更新资产统计全表和设备存放位置表并报双方存档，每年</w:t>
            </w:r>
            <w:r>
              <w:rPr>
                <w:rFonts w:ascii="宋体" w:hAnsi="宋体" w:cs="宋体"/>
                <w:color w:val="auto"/>
                <w:highlight w:val="none"/>
              </w:rPr>
              <w:t>至少</w:t>
            </w:r>
            <w:r>
              <w:rPr>
                <w:rFonts w:hint="eastAsia" w:ascii="宋体" w:hAnsi="宋体" w:cs="宋体"/>
                <w:color w:val="auto"/>
                <w:highlight w:val="none"/>
              </w:rPr>
              <w:t>进行</w:t>
            </w:r>
            <w:r>
              <w:rPr>
                <w:rFonts w:ascii="宋体" w:hAnsi="宋体" w:cs="宋体"/>
                <w:color w:val="auto"/>
                <w:highlight w:val="none"/>
              </w:rPr>
              <w:t>一次</w:t>
            </w:r>
            <w:r>
              <w:rPr>
                <w:rFonts w:hint="eastAsia" w:ascii="宋体" w:hAnsi="宋体" w:cs="宋体"/>
                <w:color w:val="auto"/>
                <w:highlight w:val="none"/>
              </w:rPr>
              <w:t>平台软硬件</w:t>
            </w:r>
            <w:r>
              <w:rPr>
                <w:rFonts w:ascii="宋体" w:hAnsi="宋体" w:cs="宋体"/>
                <w:color w:val="auto"/>
                <w:highlight w:val="none"/>
              </w:rPr>
              <w:t>完整</w:t>
            </w:r>
            <w:r>
              <w:rPr>
                <w:rFonts w:hint="eastAsia" w:ascii="宋体" w:hAnsi="宋体" w:cs="宋体"/>
                <w:color w:val="auto"/>
                <w:highlight w:val="none"/>
              </w:rPr>
              <w:t>资产</w:t>
            </w:r>
            <w:r>
              <w:rPr>
                <w:rFonts w:ascii="宋体" w:hAnsi="宋体" w:cs="宋体"/>
                <w:color w:val="auto"/>
                <w:highlight w:val="none"/>
              </w:rPr>
              <w:t>的</w:t>
            </w:r>
            <w:r>
              <w:rPr>
                <w:rFonts w:hint="eastAsia" w:ascii="宋体" w:hAnsi="宋体" w:cs="宋体"/>
                <w:color w:val="auto"/>
                <w:highlight w:val="none"/>
              </w:rPr>
              <w:t>清理和</w:t>
            </w:r>
            <w:r>
              <w:rPr>
                <w:rFonts w:ascii="宋体" w:hAnsi="宋体" w:cs="宋体"/>
                <w:color w:val="auto"/>
                <w:highlight w:val="none"/>
              </w:rPr>
              <w:t>盘点，详细记录</w:t>
            </w:r>
            <w:r>
              <w:rPr>
                <w:rFonts w:hint="eastAsia" w:ascii="宋体" w:hAnsi="宋体" w:cs="宋体"/>
                <w:color w:val="auto"/>
                <w:highlight w:val="none"/>
              </w:rPr>
              <w:t>设备的使用、</w:t>
            </w:r>
            <w:r>
              <w:rPr>
                <w:rFonts w:ascii="宋体" w:hAnsi="宋体" w:cs="宋体"/>
                <w:color w:val="auto"/>
                <w:highlight w:val="none"/>
              </w:rPr>
              <w:t>更新、下架</w:t>
            </w:r>
            <w:r>
              <w:rPr>
                <w:rFonts w:hint="eastAsia" w:ascii="宋体" w:hAnsi="宋体" w:cs="宋体"/>
                <w:color w:val="auto"/>
                <w:highlight w:val="none"/>
              </w:rPr>
              <w:t>等情况，并同步</w:t>
            </w:r>
            <w:r>
              <w:rPr>
                <w:rFonts w:ascii="宋体" w:hAnsi="宋体" w:cs="宋体"/>
                <w:color w:val="auto"/>
                <w:highlight w:val="none"/>
              </w:rPr>
              <w:t>更新至资产清单中</w:t>
            </w:r>
            <w:r>
              <w:rPr>
                <w:rFonts w:hint="eastAsia" w:ascii="宋体" w:hAnsi="宋体" w:cs="宋体"/>
                <w:color w:val="auto"/>
                <w:highlight w:val="none"/>
                <w:lang w:eastAsia="zh-CN"/>
              </w:rPr>
              <w:t>。</w:t>
            </w:r>
          </w:p>
          <w:p w14:paraId="4F528274">
            <w:pPr>
              <w:spacing w:line="360" w:lineRule="exact"/>
              <w:rPr>
                <w:rFonts w:hint="eastAsia" w:ascii="宋体" w:hAnsi="宋体" w:cs="宋体"/>
                <w:color w:val="auto"/>
                <w:highlight w:val="none"/>
                <w:lang w:eastAsia="zh-CN"/>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.2进行软件、硬件、网络及其他影响平台实时正常运行的调整（如关机、重启、断网、</w:t>
            </w:r>
            <w:r>
              <w:rPr>
                <w:rFonts w:hint="eastAsia" w:ascii="宋体" w:hAnsi="宋体" w:cs="宋体"/>
                <w:color w:val="auto"/>
                <w:highlight w:val="none"/>
                <w:lang w:eastAsia="zh-CN"/>
              </w:rPr>
              <w:t>配置服务器、</w:t>
            </w:r>
            <w:r>
              <w:rPr>
                <w:rFonts w:hint="eastAsia" w:ascii="宋体" w:hAnsi="宋体" w:cs="宋体"/>
                <w:color w:val="auto"/>
                <w:highlight w:val="none"/>
              </w:rPr>
              <w:t>更新</w:t>
            </w:r>
            <w:r>
              <w:rPr>
                <w:rFonts w:hint="eastAsia" w:ascii="宋体" w:hAnsi="宋体" w:cs="宋体"/>
                <w:color w:val="auto"/>
                <w:highlight w:val="none"/>
                <w:lang w:val="en-US" w:eastAsia="zh-CN"/>
              </w:rPr>
              <w:t>软硬件</w:t>
            </w:r>
            <w:r>
              <w:rPr>
                <w:rFonts w:hint="eastAsia" w:ascii="宋体" w:hAnsi="宋体" w:cs="宋体"/>
                <w:color w:val="auto"/>
                <w:highlight w:val="none"/>
              </w:rPr>
              <w:t>等）前必须提交需求处理申请表，</w:t>
            </w:r>
            <w:r>
              <w:rPr>
                <w:rFonts w:hint="eastAsia" w:ascii="宋体" w:hAnsi="宋体" w:cs="宋体"/>
                <w:color w:val="auto"/>
                <w:highlight w:val="none"/>
                <w:lang w:eastAsia="zh-CN"/>
              </w:rPr>
              <w:t>在获得甲方允许后方可进行调整，</w:t>
            </w:r>
            <w:r>
              <w:rPr>
                <w:rFonts w:hint="eastAsia" w:ascii="宋体" w:hAnsi="宋体" w:cs="宋体"/>
                <w:color w:val="auto"/>
                <w:highlight w:val="none"/>
                <w:lang w:val="en-US" w:eastAsia="zh-CN"/>
              </w:rPr>
              <w:t>实施后还应核验效果并再报甲方签字确认，并</w:t>
            </w:r>
            <w:r>
              <w:rPr>
                <w:rFonts w:hint="eastAsia" w:ascii="宋体" w:hAnsi="宋体" w:cs="宋体"/>
                <w:color w:val="auto"/>
                <w:highlight w:val="none"/>
              </w:rPr>
              <w:t>双方签字存档</w:t>
            </w:r>
            <w:r>
              <w:rPr>
                <w:rFonts w:hint="eastAsia" w:ascii="宋体" w:hAnsi="宋体" w:cs="宋体"/>
                <w:color w:val="auto"/>
                <w:highlight w:val="none"/>
                <w:lang w:eastAsia="zh-CN"/>
              </w:rPr>
              <w:t>。</w:t>
            </w:r>
          </w:p>
          <w:p w14:paraId="68996FB7">
            <w:pPr>
              <w:spacing w:line="360" w:lineRule="exac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.3每周提交维护含“软硬件巡检、安全防范、需求处理”等内容汇总与分析的工作周报和本周驻点技术员（每日）工作日志，由双方签字存档；</w:t>
            </w:r>
          </w:p>
          <w:p w14:paraId="366196D3">
            <w:pPr>
              <w:spacing w:line="360" w:lineRule="exac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.4 每月</w:t>
            </w:r>
            <w:r>
              <w:rPr>
                <w:rFonts w:hint="eastAsia" w:ascii="宋体" w:hAnsi="宋体" w:cs="宋体"/>
                <w:color w:val="auto"/>
                <w:highlight w:val="none"/>
                <w:lang w:val="en-US" w:eastAsia="zh-CN"/>
              </w:rPr>
              <w:t>下</w:t>
            </w:r>
            <w:r>
              <w:rPr>
                <w:rFonts w:hint="eastAsia" w:ascii="宋体" w:hAnsi="宋体" w:cs="宋体"/>
                <w:color w:val="auto"/>
                <w:highlight w:val="none"/>
              </w:rPr>
              <w:t>旬双方组织召开项目开展情况月例会，会后3天内提交会议纪要，由双方签字存档；</w:t>
            </w:r>
          </w:p>
          <w:p w14:paraId="01638FC0">
            <w:pPr>
              <w:spacing w:line="360" w:lineRule="exac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.5每月提交1份平台维护情况分析报告，分别对平台硬件、软件和运维情况进行统计和分析，包括系统的安全性、稳定性、服务状态、硬件情况、隐患情况、应用效果、更新建议等，由双方签字存档；</w:t>
            </w:r>
          </w:p>
          <w:p w14:paraId="66AE7DF7">
            <w:pPr>
              <w:spacing w:line="360" w:lineRule="exac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.6合同到期前1个月提交1份总结性报告，对平台维护情况进行全面分析总结，由双方签字存档；</w:t>
            </w:r>
          </w:p>
          <w:p w14:paraId="278E2CD7">
            <w:pPr>
              <w:spacing w:line="360" w:lineRule="exact"/>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.7在项目开展验收前，成交供应商应按采购方要求完整提交平台相关专业化管理维护资料——包括（但不限于）系统源代码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含</w:t>
            </w:r>
            <w:r>
              <w:rPr>
                <w:rFonts w:hint="eastAsia" w:ascii="宋体" w:hAnsi="宋体" w:cs="宋体"/>
                <w:color w:val="auto"/>
                <w:highlight w:val="none"/>
                <w:lang w:eastAsia="zh-CN"/>
              </w:rPr>
              <w:t>平台部署的编译版和开发人员编写的开发版）、</w:t>
            </w:r>
            <w:r>
              <w:rPr>
                <w:rFonts w:hint="eastAsia" w:ascii="宋体" w:hAnsi="宋体" w:cs="宋体"/>
                <w:color w:val="auto"/>
                <w:highlight w:val="none"/>
                <w:lang w:val="en-US" w:eastAsia="zh-CN"/>
              </w:rPr>
              <w:t>源代码安全检测报告</w:t>
            </w:r>
            <w:r>
              <w:rPr>
                <w:rFonts w:hint="eastAsia" w:ascii="宋体" w:hAnsi="宋体" w:cs="宋体"/>
                <w:color w:val="auto"/>
                <w:highlight w:val="none"/>
              </w:rPr>
              <w:t>、部署环境、操作流程、账号密码、管理界面、图表资料、厂商联系渠道、需求处理完成情况汇总表等信息资料。</w:t>
            </w:r>
          </w:p>
          <w:p w14:paraId="07E52EC9">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auto"/>
                <w:highlight w:val="none"/>
                <w:lang w:val="en-US" w:eastAsia="zh-CN"/>
              </w:rPr>
            </w:pPr>
            <w:r>
              <w:rPr>
                <w:rFonts w:hint="eastAsia" w:ascii="宋体" w:hAnsi="宋体" w:cs="宋体"/>
                <w:color w:val="auto"/>
                <w:highlight w:val="none"/>
              </w:rPr>
              <w:t>上述文档及采购方对维护技术组成员打分表共同纳入项目验收必需材料，核查文档资料的完整性、准确性和日常工作完成效果，作为项目整体服务质量是否达标和是否支付剩余合同款的重要参考依据。</w:t>
            </w:r>
          </w:p>
        </w:tc>
        <w:tc>
          <w:tcPr>
            <w:tcW w:w="875" w:type="dxa"/>
            <w:tcBorders>
              <w:top w:val="single" w:color="000000" w:sz="4" w:space="0"/>
              <w:left w:val="single" w:color="000000" w:sz="4" w:space="0"/>
              <w:bottom w:val="single" w:color="000000" w:sz="4" w:space="0"/>
              <w:right w:val="single" w:color="000000" w:sz="4" w:space="0"/>
            </w:tcBorders>
            <w:vAlign w:val="center"/>
          </w:tcPr>
          <w:p w14:paraId="37F53623">
            <w:pPr>
              <w:tabs>
                <w:tab w:val="left" w:pos="180"/>
                <w:tab w:val="left" w:pos="1620"/>
              </w:tabs>
              <w:spacing w:line="360" w:lineRule="auto"/>
              <w:jc w:val="center"/>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0000</w:t>
            </w:r>
          </w:p>
        </w:tc>
      </w:tr>
      <w:tr w14:paraId="5D52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400" w:type="dxa"/>
            <w:tcBorders>
              <w:top w:val="single" w:color="000000" w:sz="4" w:space="0"/>
              <w:left w:val="single" w:color="000000" w:sz="4" w:space="0"/>
              <w:bottom w:val="single" w:color="000000" w:sz="4" w:space="0"/>
              <w:right w:val="single" w:color="000000" w:sz="4" w:space="0"/>
            </w:tcBorders>
            <w:vAlign w:val="center"/>
          </w:tcPr>
          <w:p w14:paraId="0BD2C323">
            <w:pPr>
              <w:tabs>
                <w:tab w:val="left" w:pos="180"/>
                <w:tab w:val="left" w:pos="1620"/>
              </w:tabs>
              <w:spacing w:line="360" w:lineRule="auto"/>
              <w:jc w:val="center"/>
              <w:rPr>
                <w:rFonts w:hint="eastAsia" w:ascii="宋体" w:hAnsi="宋体" w:eastAsia="宋体" w:cs="宋体"/>
                <w:b w:val="0"/>
                <w:bCs/>
                <w:color w:val="auto"/>
                <w:highlight w:val="none"/>
                <w:lang w:val="en-US" w:eastAsia="zh-CN"/>
              </w:rPr>
            </w:pPr>
          </w:p>
          <w:p w14:paraId="2C70A00B">
            <w:pPr>
              <w:tabs>
                <w:tab w:val="left" w:pos="180"/>
                <w:tab w:val="left" w:pos="1620"/>
              </w:tabs>
              <w:spacing w:line="360" w:lineRule="auto"/>
              <w:jc w:val="center"/>
              <w:rPr>
                <w:rFonts w:hint="eastAsia" w:ascii="宋体" w:hAnsi="宋体" w:eastAsia="宋体" w:cs="宋体"/>
                <w:b w:val="0"/>
                <w:bCs/>
                <w:color w:val="auto"/>
                <w:highlight w:val="none"/>
                <w:lang w:val="en-US" w:eastAsia="zh-CN"/>
              </w:rPr>
            </w:pPr>
          </w:p>
          <w:p w14:paraId="7D4E6895">
            <w:pPr>
              <w:tabs>
                <w:tab w:val="left" w:pos="180"/>
                <w:tab w:val="left" w:pos="1620"/>
              </w:tabs>
              <w:spacing w:line="360" w:lineRule="auto"/>
              <w:jc w:val="center"/>
              <w:rPr>
                <w:rFonts w:hint="eastAsia" w:ascii="宋体" w:hAnsi="宋体" w:eastAsia="宋体" w:cs="宋体"/>
                <w:b w:val="0"/>
                <w:bCs/>
                <w:color w:val="auto"/>
                <w:highlight w:val="none"/>
                <w:lang w:val="en-US" w:eastAsia="zh-CN"/>
              </w:rPr>
            </w:pPr>
          </w:p>
          <w:p w14:paraId="4FDB5155">
            <w:pPr>
              <w:tabs>
                <w:tab w:val="left" w:pos="180"/>
                <w:tab w:val="left" w:pos="1620"/>
              </w:tabs>
              <w:spacing w:line="360" w:lineRule="auto"/>
              <w:jc w:val="center"/>
              <w:rPr>
                <w:rFonts w:hint="eastAsia" w:ascii="宋体" w:hAnsi="宋体" w:eastAsia="宋体" w:cs="宋体"/>
                <w:b w:val="0"/>
                <w:bCs/>
                <w:color w:val="auto"/>
                <w:highlight w:val="none"/>
                <w:lang w:val="en-US" w:eastAsia="zh-CN"/>
              </w:rPr>
            </w:pPr>
          </w:p>
          <w:p w14:paraId="7B60422F">
            <w:pPr>
              <w:tabs>
                <w:tab w:val="left" w:pos="180"/>
                <w:tab w:val="left" w:pos="1620"/>
              </w:tabs>
              <w:spacing w:line="360" w:lineRule="auto"/>
              <w:jc w:val="center"/>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7</w:t>
            </w:r>
          </w:p>
        </w:tc>
        <w:tc>
          <w:tcPr>
            <w:tcW w:w="750" w:type="dxa"/>
            <w:tcBorders>
              <w:top w:val="single" w:color="000000" w:sz="4" w:space="0"/>
              <w:left w:val="single" w:color="000000" w:sz="4" w:space="0"/>
              <w:bottom w:val="single" w:color="000000" w:sz="4" w:space="0"/>
              <w:right w:val="single" w:color="000000" w:sz="4" w:space="0"/>
            </w:tcBorders>
            <w:vAlign w:val="center"/>
          </w:tcPr>
          <w:p w14:paraId="3595F0DE">
            <w:pPr>
              <w:tabs>
                <w:tab w:val="left" w:pos="180"/>
                <w:tab w:val="left" w:pos="1620"/>
              </w:tabs>
              <w:spacing w:line="360" w:lineRule="auto"/>
              <w:jc w:val="center"/>
              <w:rPr>
                <w:rFonts w:hint="eastAsia" w:ascii="宋体" w:hAnsi="宋体" w:eastAsia="宋体" w:cs="宋体"/>
                <w:b w:val="0"/>
                <w:bCs/>
                <w:color w:val="auto"/>
                <w:highlight w:val="none"/>
                <w:lang w:eastAsia="zh-CN"/>
              </w:rPr>
            </w:pPr>
          </w:p>
          <w:p w14:paraId="0CE23674">
            <w:pPr>
              <w:tabs>
                <w:tab w:val="left" w:pos="180"/>
                <w:tab w:val="left" w:pos="1620"/>
              </w:tabs>
              <w:spacing w:line="360" w:lineRule="auto"/>
              <w:jc w:val="center"/>
              <w:rPr>
                <w:rFonts w:hint="eastAsia" w:ascii="宋体" w:hAnsi="宋体" w:eastAsia="宋体" w:cs="宋体"/>
                <w:b w:val="0"/>
                <w:bCs/>
                <w:color w:val="auto"/>
                <w:highlight w:val="none"/>
                <w:lang w:eastAsia="zh-CN"/>
              </w:rPr>
            </w:pPr>
          </w:p>
          <w:p w14:paraId="7250C7D9">
            <w:pPr>
              <w:tabs>
                <w:tab w:val="left" w:pos="180"/>
                <w:tab w:val="left" w:pos="1620"/>
              </w:tabs>
              <w:spacing w:line="360" w:lineRule="auto"/>
              <w:jc w:val="center"/>
              <w:rPr>
                <w:rFonts w:hint="eastAsia" w:ascii="宋体" w:hAnsi="宋体" w:eastAsia="宋体" w:cs="宋体"/>
                <w:b w:val="0"/>
                <w:bCs/>
                <w:color w:val="auto"/>
                <w:highlight w:val="none"/>
                <w:lang w:eastAsia="zh-CN"/>
              </w:rPr>
            </w:pPr>
          </w:p>
          <w:p w14:paraId="65955213">
            <w:pPr>
              <w:tabs>
                <w:tab w:val="left" w:pos="180"/>
                <w:tab w:val="left" w:pos="1620"/>
              </w:tabs>
              <w:spacing w:line="360" w:lineRule="auto"/>
              <w:jc w:val="center"/>
              <w:rPr>
                <w:rFonts w:hint="eastAsia" w:ascii="宋体" w:hAnsi="宋体" w:eastAsia="宋体" w:cs="宋体"/>
                <w:b w:val="0"/>
                <w:bCs/>
                <w:color w:val="auto"/>
                <w:highlight w:val="none"/>
                <w:lang w:eastAsia="zh-CN"/>
              </w:rPr>
            </w:pPr>
          </w:p>
          <w:p w14:paraId="678FC01D">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eastAsia="zh-CN"/>
              </w:rPr>
              <w:t>综合</w:t>
            </w:r>
            <w:r>
              <w:rPr>
                <w:rFonts w:hint="eastAsia" w:ascii="宋体" w:hAnsi="宋体" w:eastAsia="宋体" w:cs="宋体"/>
                <w:b w:val="0"/>
                <w:bCs/>
                <w:color w:val="auto"/>
                <w:highlight w:val="none"/>
              </w:rPr>
              <w:t>服务</w:t>
            </w:r>
          </w:p>
        </w:tc>
        <w:tc>
          <w:tcPr>
            <w:tcW w:w="412" w:type="dxa"/>
            <w:tcBorders>
              <w:top w:val="single" w:color="000000" w:sz="4" w:space="0"/>
              <w:left w:val="single" w:color="000000" w:sz="4" w:space="0"/>
              <w:bottom w:val="single" w:color="000000" w:sz="4" w:space="0"/>
              <w:right w:val="single" w:color="000000" w:sz="4" w:space="0"/>
            </w:tcBorders>
            <w:vAlign w:val="center"/>
          </w:tcPr>
          <w:p w14:paraId="62AF09A2">
            <w:pPr>
              <w:tabs>
                <w:tab w:val="left" w:pos="180"/>
                <w:tab w:val="left" w:pos="1620"/>
              </w:tabs>
              <w:spacing w:line="360" w:lineRule="auto"/>
              <w:jc w:val="center"/>
              <w:rPr>
                <w:rFonts w:hint="eastAsia" w:ascii="宋体" w:hAnsi="宋体" w:eastAsia="宋体" w:cs="宋体"/>
                <w:b w:val="0"/>
                <w:bCs/>
                <w:color w:val="auto"/>
                <w:highlight w:val="none"/>
              </w:rPr>
            </w:pPr>
          </w:p>
          <w:p w14:paraId="56B3B661">
            <w:pPr>
              <w:tabs>
                <w:tab w:val="left" w:pos="180"/>
                <w:tab w:val="left" w:pos="1620"/>
              </w:tabs>
              <w:spacing w:line="360" w:lineRule="auto"/>
              <w:jc w:val="center"/>
              <w:rPr>
                <w:rFonts w:hint="eastAsia" w:ascii="宋体" w:hAnsi="宋体" w:eastAsia="宋体" w:cs="宋体"/>
                <w:b w:val="0"/>
                <w:bCs/>
                <w:color w:val="auto"/>
                <w:highlight w:val="none"/>
              </w:rPr>
            </w:pPr>
          </w:p>
          <w:p w14:paraId="763980F5">
            <w:pPr>
              <w:tabs>
                <w:tab w:val="left" w:pos="180"/>
                <w:tab w:val="left" w:pos="1620"/>
              </w:tabs>
              <w:spacing w:line="360" w:lineRule="auto"/>
              <w:jc w:val="center"/>
              <w:rPr>
                <w:rFonts w:hint="eastAsia" w:ascii="宋体" w:hAnsi="宋体" w:eastAsia="宋体" w:cs="宋体"/>
                <w:b w:val="0"/>
                <w:bCs/>
                <w:color w:val="auto"/>
                <w:highlight w:val="none"/>
              </w:rPr>
            </w:pPr>
          </w:p>
          <w:p w14:paraId="22BA12E3">
            <w:pPr>
              <w:tabs>
                <w:tab w:val="left" w:pos="180"/>
                <w:tab w:val="left" w:pos="1620"/>
              </w:tabs>
              <w:spacing w:line="360" w:lineRule="auto"/>
              <w:jc w:val="center"/>
              <w:rPr>
                <w:rFonts w:hint="eastAsia" w:ascii="宋体" w:hAnsi="宋体" w:eastAsia="宋体" w:cs="宋体"/>
                <w:b w:val="0"/>
                <w:bCs/>
                <w:color w:val="auto"/>
                <w:highlight w:val="none"/>
              </w:rPr>
            </w:pPr>
          </w:p>
          <w:p w14:paraId="1A20E811">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w:t>
            </w:r>
          </w:p>
        </w:tc>
        <w:tc>
          <w:tcPr>
            <w:tcW w:w="413" w:type="dxa"/>
            <w:tcBorders>
              <w:top w:val="single" w:color="000000" w:sz="4" w:space="0"/>
              <w:left w:val="single" w:color="000000" w:sz="4" w:space="0"/>
              <w:bottom w:val="single" w:color="000000" w:sz="4" w:space="0"/>
              <w:right w:val="single" w:color="000000" w:sz="4" w:space="0"/>
            </w:tcBorders>
            <w:vAlign w:val="center"/>
          </w:tcPr>
          <w:p w14:paraId="0B23E249">
            <w:pPr>
              <w:tabs>
                <w:tab w:val="left" w:pos="180"/>
                <w:tab w:val="left" w:pos="1620"/>
              </w:tabs>
              <w:spacing w:line="360" w:lineRule="auto"/>
              <w:jc w:val="center"/>
              <w:rPr>
                <w:rFonts w:hint="eastAsia" w:ascii="宋体" w:hAnsi="宋体" w:eastAsia="宋体" w:cs="宋体"/>
                <w:b w:val="0"/>
                <w:bCs/>
                <w:color w:val="auto"/>
                <w:highlight w:val="none"/>
              </w:rPr>
            </w:pPr>
          </w:p>
          <w:p w14:paraId="66F91422">
            <w:pPr>
              <w:tabs>
                <w:tab w:val="left" w:pos="180"/>
                <w:tab w:val="left" w:pos="1620"/>
              </w:tabs>
              <w:spacing w:line="360" w:lineRule="auto"/>
              <w:jc w:val="center"/>
              <w:rPr>
                <w:rFonts w:hint="eastAsia" w:ascii="宋体" w:hAnsi="宋体" w:eastAsia="宋体" w:cs="宋体"/>
                <w:b w:val="0"/>
                <w:bCs/>
                <w:color w:val="auto"/>
                <w:highlight w:val="none"/>
              </w:rPr>
            </w:pPr>
          </w:p>
          <w:p w14:paraId="602D5C3F">
            <w:pPr>
              <w:tabs>
                <w:tab w:val="left" w:pos="180"/>
                <w:tab w:val="left" w:pos="1620"/>
              </w:tabs>
              <w:spacing w:line="360" w:lineRule="auto"/>
              <w:jc w:val="center"/>
              <w:rPr>
                <w:rFonts w:hint="eastAsia" w:ascii="宋体" w:hAnsi="宋体" w:eastAsia="宋体" w:cs="宋体"/>
                <w:b w:val="0"/>
                <w:bCs/>
                <w:color w:val="auto"/>
                <w:highlight w:val="none"/>
              </w:rPr>
            </w:pPr>
          </w:p>
          <w:p w14:paraId="28AB4CBE">
            <w:pPr>
              <w:tabs>
                <w:tab w:val="left" w:pos="180"/>
                <w:tab w:val="left" w:pos="1620"/>
              </w:tabs>
              <w:spacing w:line="360" w:lineRule="auto"/>
              <w:jc w:val="center"/>
              <w:rPr>
                <w:rFonts w:hint="eastAsia" w:ascii="宋体" w:hAnsi="宋体" w:eastAsia="宋体" w:cs="宋体"/>
                <w:b w:val="0"/>
                <w:bCs/>
                <w:color w:val="auto"/>
                <w:highlight w:val="none"/>
              </w:rPr>
            </w:pPr>
          </w:p>
          <w:p w14:paraId="461E1058">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项</w:t>
            </w:r>
          </w:p>
        </w:tc>
        <w:tc>
          <w:tcPr>
            <w:tcW w:w="7542" w:type="dxa"/>
            <w:tcBorders>
              <w:top w:val="single" w:color="000000" w:sz="4" w:space="0"/>
              <w:left w:val="single" w:color="000000" w:sz="4" w:space="0"/>
              <w:bottom w:val="single" w:color="000000" w:sz="4" w:space="0"/>
              <w:right w:val="single" w:color="000000" w:sz="4" w:space="0"/>
            </w:tcBorders>
            <w:vAlign w:val="center"/>
          </w:tcPr>
          <w:p w14:paraId="78BB0499">
            <w:pPr>
              <w:spacing w:line="360" w:lineRule="exact"/>
              <w:rPr>
                <w:rFonts w:ascii="宋体" w:hAnsi="宋体" w:cs="宋体"/>
                <w:b/>
                <w:bCs/>
                <w:color w:val="auto"/>
                <w:highlight w:val="none"/>
              </w:rPr>
            </w:pPr>
            <w:r>
              <w:rPr>
                <w:rFonts w:hint="eastAsia" w:ascii="宋体" w:hAnsi="宋体" w:cs="宋体"/>
                <w:b/>
                <w:bCs/>
                <w:color w:val="auto"/>
                <w:highlight w:val="none"/>
                <w:lang w:eastAsia="zh-CN"/>
              </w:rPr>
              <w:t>综合</w:t>
            </w:r>
            <w:r>
              <w:rPr>
                <w:rFonts w:hint="eastAsia" w:ascii="宋体" w:hAnsi="宋体" w:cs="宋体"/>
                <w:b/>
                <w:bCs/>
                <w:color w:val="auto"/>
                <w:highlight w:val="none"/>
              </w:rPr>
              <w:t>服务</w:t>
            </w:r>
          </w:p>
          <w:p w14:paraId="26FF6148">
            <w:pPr>
              <w:spacing w:line="360" w:lineRule="exact"/>
              <w:rPr>
                <w:rFonts w:hint="eastAsia" w:ascii="宋体" w:hAnsi="宋体" w:eastAsia="宋体" w:cs="宋体"/>
                <w:color w:val="auto"/>
                <w:highlight w:val="none"/>
                <w:lang w:eastAsia="zh-CN"/>
              </w:rPr>
            </w:pPr>
            <w:r>
              <w:rPr>
                <w:rFonts w:hint="eastAsia" w:ascii="宋体" w:hAnsi="宋体" w:cs="宋体"/>
                <w:b/>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 xml:space="preserve">1  </w:t>
            </w:r>
            <w:r>
              <w:rPr>
                <w:rFonts w:hint="eastAsia" w:ascii="宋体" w:hAnsi="宋体" w:cs="宋体"/>
                <w:color w:val="auto"/>
                <w:highlight w:val="none"/>
              </w:rPr>
              <w:t>软硬件授权延</w:t>
            </w:r>
            <w:r>
              <w:rPr>
                <w:rFonts w:hint="eastAsia" w:ascii="宋体" w:hAnsi="宋体" w:cs="宋体"/>
                <w:color w:val="auto"/>
                <w:highlight w:val="none"/>
                <w:lang w:eastAsia="zh-CN"/>
              </w:rPr>
              <w:t>保（</w:t>
            </w:r>
            <w:r>
              <w:rPr>
                <w:rFonts w:hint="eastAsia" w:ascii="宋体" w:hAnsi="宋体" w:cs="宋体"/>
                <w:color w:val="auto"/>
                <w:highlight w:val="none"/>
                <w:lang w:val="en-US" w:eastAsia="zh-CN"/>
              </w:rPr>
              <w:t>非</w:t>
            </w:r>
            <w:r>
              <w:rPr>
                <w:rFonts w:hint="eastAsia" w:ascii="宋体" w:hAnsi="宋体" w:cs="宋体"/>
                <w:color w:val="auto"/>
                <w:szCs w:val="22"/>
                <w:highlight w:val="none"/>
                <w:lang w:val="en-US" w:eastAsia="zh-CN"/>
              </w:rPr>
              <w:t>软硬件</w:t>
            </w:r>
            <w:r>
              <w:rPr>
                <w:rFonts w:hint="eastAsia" w:ascii="宋体" w:hAnsi="宋体" w:cs="宋体"/>
                <w:color w:val="auto"/>
                <w:szCs w:val="22"/>
                <w:highlight w:val="none"/>
              </w:rPr>
              <w:t>扩容升级</w:t>
            </w:r>
            <w:r>
              <w:rPr>
                <w:rFonts w:hint="eastAsia" w:ascii="宋体" w:hAnsi="宋体" w:cs="宋体"/>
                <w:color w:val="auto"/>
                <w:szCs w:val="22"/>
                <w:highlight w:val="none"/>
                <w:lang w:val="en-US" w:eastAsia="zh-CN"/>
              </w:rPr>
              <w:t>类</w:t>
            </w:r>
            <w:r>
              <w:rPr>
                <w:rFonts w:hint="eastAsia" w:ascii="宋体" w:hAnsi="宋体" w:cs="宋体"/>
                <w:color w:val="auto"/>
                <w:highlight w:val="none"/>
                <w:lang w:eastAsia="zh-CN"/>
              </w:rPr>
              <w:t>）</w:t>
            </w:r>
          </w:p>
          <w:p w14:paraId="2B614AD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由于平台结构复杂，含有较多</w:t>
            </w:r>
            <w:r>
              <w:rPr>
                <w:rFonts w:hint="eastAsia" w:ascii="宋体" w:hAnsi="宋体" w:eastAsia="宋体" w:cs="宋体"/>
                <w:color w:val="auto"/>
                <w:highlight w:val="none"/>
              </w:rPr>
              <w:t>第三方</w:t>
            </w:r>
            <w:r>
              <w:rPr>
                <w:rFonts w:hint="eastAsia" w:ascii="宋体" w:hAnsi="宋体" w:cs="宋体"/>
                <w:color w:val="auto"/>
                <w:highlight w:val="none"/>
                <w:lang w:val="en-US" w:eastAsia="zh-CN"/>
              </w:rPr>
              <w:t>设备、</w:t>
            </w:r>
            <w:r>
              <w:rPr>
                <w:rFonts w:hint="eastAsia" w:ascii="宋体" w:hAnsi="宋体" w:cs="宋体"/>
                <w:color w:val="auto"/>
                <w:highlight w:val="none"/>
              </w:rPr>
              <w:t>软件和子系统，成交供应商应提前做好各项软硬件设备和系统的授权延保工作，含线上线下、主备链路所有硬件设备</w:t>
            </w:r>
            <w:r>
              <w:rPr>
                <w:rFonts w:hint="eastAsia" w:ascii="宋体" w:hAnsi="宋体" w:cs="宋体"/>
                <w:color w:val="auto"/>
                <w:highlight w:val="none"/>
                <w:lang w:eastAsia="zh-CN"/>
              </w:rPr>
              <w:t>、</w:t>
            </w:r>
            <w:r>
              <w:rPr>
                <w:rFonts w:hint="eastAsia" w:ascii="宋体" w:hAnsi="宋体" w:cs="宋体"/>
                <w:color w:val="auto"/>
                <w:highlight w:val="none"/>
              </w:rPr>
              <w:t>软件和系统</w:t>
            </w:r>
            <w:r>
              <w:rPr>
                <w:rFonts w:hint="eastAsia" w:ascii="宋体" w:hAnsi="宋体" w:cs="宋体"/>
                <w:color w:val="auto"/>
                <w:highlight w:val="none"/>
                <w:lang w:val="en-US" w:eastAsia="zh-CN"/>
              </w:rPr>
              <w:t>的延长使用许可和厂家售后服务</w:t>
            </w:r>
            <w:r>
              <w:rPr>
                <w:rFonts w:hint="eastAsia" w:ascii="宋体" w:hAnsi="宋体" w:cs="宋体"/>
                <w:color w:val="auto"/>
                <w:highlight w:val="none"/>
              </w:rPr>
              <w:t>。本期应做好续费和授权延保包括</w:t>
            </w:r>
            <w:r>
              <w:rPr>
                <w:rFonts w:hint="eastAsia" w:ascii="宋体" w:hAnsi="宋体" w:cs="宋体"/>
                <w:color w:val="auto"/>
                <w:highlight w:val="none"/>
                <w:lang w:eastAsia="zh-CN"/>
              </w:rPr>
              <w:t>（但不限于）</w:t>
            </w:r>
            <w:r>
              <w:rPr>
                <w:rFonts w:hint="eastAsia" w:ascii="宋体" w:hAnsi="宋体" w:cs="宋体"/>
                <w:color w:val="auto"/>
                <w:highlight w:val="none"/>
              </w:rPr>
              <w:t>：数据库、</w:t>
            </w:r>
            <w:r>
              <w:rPr>
                <w:rFonts w:hint="eastAsia" w:ascii="宋体" w:hAnsi="宋体" w:cs="宋体"/>
                <w:color w:val="auto"/>
                <w:highlight w:val="none"/>
                <w:lang w:val="en-US" w:eastAsia="zh-CN"/>
              </w:rPr>
              <w:t>科力锐</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信创设备、</w:t>
            </w:r>
            <w:r>
              <w:rPr>
                <w:rFonts w:hint="eastAsia" w:ascii="宋体" w:hAnsi="宋体" w:cs="宋体"/>
                <w:color w:val="auto"/>
                <w:highlight w:val="none"/>
              </w:rPr>
              <w:t>漏扫设备、防火墙、CMS信息发布系统、</w:t>
            </w:r>
            <w:r>
              <w:rPr>
                <w:rFonts w:hint="eastAsia" w:ascii="宋体" w:hAnsi="宋体" w:cs="宋体"/>
                <w:color w:val="auto"/>
                <w:highlight w:val="none"/>
                <w:lang w:val="en-US" w:eastAsia="zh-CN"/>
              </w:rPr>
              <w:t>第三方</w:t>
            </w:r>
            <w:r>
              <w:rPr>
                <w:rFonts w:hint="eastAsia" w:ascii="宋体" w:hAnsi="宋体" w:cs="宋体"/>
                <w:color w:val="auto"/>
                <w:highlight w:val="none"/>
                <w:lang w:eastAsia="zh-CN"/>
              </w:rPr>
              <w:t>云防护</w:t>
            </w:r>
            <w:r>
              <w:rPr>
                <w:rFonts w:hint="eastAsia" w:ascii="宋体" w:hAnsi="宋体" w:cs="宋体"/>
                <w:color w:val="auto"/>
                <w:highlight w:val="none"/>
                <w:lang w:val="en-US" w:eastAsia="zh-CN"/>
              </w:rPr>
              <w:t>和</w:t>
            </w:r>
            <w:r>
              <w:rPr>
                <w:rFonts w:hint="eastAsia" w:ascii="宋体" w:hAnsi="宋体" w:cs="宋体"/>
                <w:color w:val="auto"/>
                <w:highlight w:val="none"/>
                <w:lang w:eastAsia="zh-CN"/>
              </w:rPr>
              <w:t>云监控</w:t>
            </w:r>
            <w:r>
              <w:rPr>
                <w:rFonts w:hint="eastAsia" w:ascii="宋体" w:hAnsi="宋体" w:cs="宋体"/>
                <w:color w:val="auto"/>
                <w:highlight w:val="none"/>
              </w:rPr>
              <w:t>、舆情错情监控服务</w:t>
            </w:r>
            <w:r>
              <w:rPr>
                <w:rFonts w:hint="eastAsia" w:ascii="宋体" w:hAnsi="宋体" w:cs="宋体"/>
                <w:color w:val="auto"/>
                <w:highlight w:val="none"/>
                <w:lang w:eastAsia="zh-CN"/>
              </w:rPr>
              <w:t>、网站域名</w:t>
            </w:r>
            <w:r>
              <w:rPr>
                <w:rFonts w:hint="eastAsia" w:ascii="宋体" w:hAnsi="宋体" w:cs="宋体"/>
                <w:color w:val="auto"/>
                <w:highlight w:val="none"/>
                <w:lang w:val="en-US" w:eastAsia="zh-CN"/>
              </w:rPr>
              <w:t>及加密</w:t>
            </w:r>
            <w:r>
              <w:rPr>
                <w:rFonts w:hint="eastAsia" w:ascii="宋体" w:hAnsi="宋体" w:cs="宋体"/>
                <w:color w:val="auto"/>
                <w:highlight w:val="none"/>
                <w:lang w:eastAsia="zh-CN"/>
              </w:rPr>
              <w:t>、</w:t>
            </w:r>
            <w:r>
              <w:rPr>
                <w:rFonts w:hint="eastAsia" w:ascii="宋体" w:hAnsi="宋体" w:cs="宋体"/>
                <w:color w:val="auto"/>
                <w:highlight w:val="none"/>
                <w:lang w:val="en-US" w:eastAsia="zh-CN"/>
              </w:rPr>
              <w:t>Ukey数字证书、媒体设计工具</w:t>
            </w:r>
            <w:r>
              <w:rPr>
                <w:rFonts w:hint="eastAsia" w:ascii="宋体" w:hAnsi="宋体" w:cs="宋体"/>
                <w:color w:val="auto"/>
                <w:highlight w:val="none"/>
                <w:lang w:eastAsia="zh-CN"/>
              </w:rPr>
              <w:t>等</w:t>
            </w:r>
            <w:r>
              <w:rPr>
                <w:rFonts w:hint="eastAsia" w:ascii="宋体" w:hAnsi="宋体" w:cs="宋体"/>
                <w:color w:val="auto"/>
                <w:highlight w:val="none"/>
                <w:lang w:val="en-US" w:eastAsia="zh-CN"/>
              </w:rPr>
              <w:t>其他第三方软硬件授权服务</w:t>
            </w:r>
            <w:r>
              <w:rPr>
                <w:rFonts w:hint="eastAsia" w:ascii="宋体" w:hAnsi="宋体" w:cs="宋体"/>
                <w:color w:val="auto"/>
                <w:highlight w:val="none"/>
              </w:rPr>
              <w:t>，以确保平台各项功能的完整有效</w:t>
            </w:r>
            <w:r>
              <w:rPr>
                <w:rFonts w:hint="eastAsia" w:ascii="宋体" w:hAnsi="宋体" w:cs="宋体"/>
                <w:color w:val="auto"/>
                <w:highlight w:val="none"/>
                <w:lang w:val="en-US" w:eastAsia="zh-CN"/>
              </w:rPr>
              <w:t>使用</w:t>
            </w:r>
            <w:r>
              <w:rPr>
                <w:rFonts w:hint="eastAsia" w:ascii="宋体" w:hAnsi="宋体" w:cs="宋体"/>
                <w:color w:val="auto"/>
                <w:highlight w:val="none"/>
              </w:rPr>
              <w:t>和在本次项目服务有效期内享受“质保延长、版本升级、安全加固、客户服务”等第三方售后服务。</w:t>
            </w:r>
          </w:p>
          <w:p w14:paraId="5D1E5C22">
            <w:pPr>
              <w:spacing w:line="360" w:lineRule="exact"/>
              <w:ind w:firstLine="420" w:firstLineChars="200"/>
              <w:rPr>
                <w:rFonts w:hint="eastAsia" w:ascii="宋体" w:hAnsi="宋体" w:cs="宋体"/>
                <w:color w:val="auto"/>
                <w:szCs w:val="22"/>
                <w:highlight w:val="none"/>
                <w:lang w:eastAsia="zh-CN"/>
              </w:rPr>
            </w:pPr>
            <w:r>
              <w:rPr>
                <w:rFonts w:hint="eastAsia" w:ascii="宋体" w:hAnsi="宋体" w:cs="宋体"/>
                <w:color w:val="auto"/>
                <w:szCs w:val="22"/>
                <w:highlight w:val="none"/>
                <w:lang w:eastAsia="zh-CN"/>
              </w:rPr>
              <w:t>如</w:t>
            </w:r>
            <w:r>
              <w:rPr>
                <w:rFonts w:hint="eastAsia" w:ascii="宋体" w:hAnsi="宋体" w:cs="宋体"/>
                <w:color w:val="auto"/>
                <w:szCs w:val="22"/>
                <w:highlight w:val="none"/>
                <w:lang w:val="en-US" w:eastAsia="zh-CN"/>
              </w:rPr>
              <w:t>出现</w:t>
            </w:r>
            <w:r>
              <w:rPr>
                <w:rFonts w:hint="eastAsia" w:ascii="宋体" w:hAnsi="宋体" w:cs="宋体"/>
                <w:color w:val="auto"/>
                <w:szCs w:val="22"/>
                <w:highlight w:val="none"/>
                <w:lang w:eastAsia="zh-CN"/>
              </w:rPr>
              <w:t>原软硬件型号停产停服、因系统更新现实需要等情况，</w:t>
            </w:r>
            <w:r>
              <w:rPr>
                <w:rFonts w:hint="eastAsia" w:ascii="宋体" w:hAnsi="宋体" w:cs="宋体"/>
                <w:color w:val="auto"/>
                <w:szCs w:val="22"/>
                <w:highlight w:val="none"/>
                <w:lang w:val="en-US" w:eastAsia="zh-CN"/>
              </w:rPr>
              <w:t>由维保</w:t>
            </w:r>
            <w:r>
              <w:rPr>
                <w:rFonts w:hint="eastAsia" w:ascii="宋体" w:hAnsi="宋体" w:cs="宋体"/>
                <w:color w:val="auto"/>
                <w:szCs w:val="22"/>
                <w:highlight w:val="none"/>
                <w:lang w:eastAsia="zh-CN"/>
              </w:rPr>
              <w:t>方</w:t>
            </w:r>
            <w:r>
              <w:rPr>
                <w:rFonts w:hint="eastAsia" w:ascii="宋体" w:hAnsi="宋体" w:cs="宋体"/>
                <w:color w:val="auto"/>
                <w:szCs w:val="22"/>
                <w:highlight w:val="none"/>
                <w:lang w:val="en-US" w:eastAsia="zh-CN"/>
              </w:rPr>
              <w:t>提出</w:t>
            </w:r>
            <w:r>
              <w:rPr>
                <w:rFonts w:hint="eastAsia" w:ascii="宋体" w:hAnsi="宋体" w:cs="宋体"/>
                <w:color w:val="auto"/>
                <w:szCs w:val="22"/>
                <w:highlight w:val="none"/>
                <w:lang w:eastAsia="zh-CN"/>
              </w:rPr>
              <w:t>替代</w:t>
            </w:r>
            <w:r>
              <w:rPr>
                <w:rFonts w:hint="eastAsia" w:ascii="宋体" w:hAnsi="宋体" w:cs="宋体"/>
                <w:color w:val="auto"/>
                <w:szCs w:val="22"/>
                <w:highlight w:val="none"/>
                <w:lang w:val="en-US" w:eastAsia="zh-CN"/>
              </w:rPr>
              <w:t>方案和更新申请</w:t>
            </w:r>
            <w:r>
              <w:rPr>
                <w:rFonts w:hint="eastAsia" w:ascii="宋体" w:hAnsi="宋体" w:cs="宋体"/>
                <w:color w:val="auto"/>
                <w:szCs w:val="22"/>
                <w:highlight w:val="none"/>
                <w:lang w:eastAsia="zh-CN"/>
              </w:rPr>
              <w:t>，由采购方（或</w:t>
            </w:r>
            <w:r>
              <w:rPr>
                <w:rFonts w:hint="eastAsia" w:ascii="宋体" w:hAnsi="宋体" w:cs="宋体"/>
                <w:color w:val="auto"/>
                <w:szCs w:val="22"/>
                <w:highlight w:val="none"/>
                <w:lang w:val="en-US" w:eastAsia="zh-CN"/>
              </w:rPr>
              <w:t>由采购方</w:t>
            </w:r>
            <w:r>
              <w:rPr>
                <w:rFonts w:hint="eastAsia" w:ascii="宋体" w:hAnsi="宋体" w:cs="宋体"/>
                <w:color w:val="auto"/>
                <w:szCs w:val="22"/>
                <w:highlight w:val="none"/>
                <w:lang w:eastAsia="zh-CN"/>
              </w:rPr>
              <w:t>邀请第三方）</w:t>
            </w:r>
            <w:r>
              <w:rPr>
                <w:rFonts w:hint="eastAsia" w:ascii="宋体" w:hAnsi="宋体" w:cs="宋体"/>
                <w:color w:val="auto"/>
                <w:szCs w:val="22"/>
                <w:highlight w:val="none"/>
                <w:lang w:val="en-US" w:eastAsia="zh-CN"/>
              </w:rPr>
              <w:t>进行</w:t>
            </w:r>
            <w:r>
              <w:rPr>
                <w:rFonts w:hint="eastAsia" w:ascii="宋体" w:hAnsi="宋体" w:cs="宋体"/>
                <w:color w:val="auto"/>
                <w:szCs w:val="22"/>
                <w:highlight w:val="none"/>
                <w:lang w:eastAsia="zh-CN"/>
              </w:rPr>
              <w:t>更换影响</w:t>
            </w:r>
            <w:r>
              <w:rPr>
                <w:rFonts w:hint="eastAsia" w:ascii="宋体" w:hAnsi="宋体" w:cs="宋体"/>
                <w:color w:val="auto"/>
                <w:szCs w:val="22"/>
                <w:highlight w:val="none"/>
                <w:lang w:val="en-US" w:eastAsia="zh-CN"/>
              </w:rPr>
              <w:t>评估，通过后方可进行替换。替换后严格开展专项</w:t>
            </w:r>
            <w:r>
              <w:rPr>
                <w:rFonts w:hint="eastAsia" w:ascii="宋体" w:hAnsi="宋体" w:cs="宋体"/>
                <w:color w:val="auto"/>
                <w:szCs w:val="22"/>
                <w:highlight w:val="none"/>
                <w:lang w:eastAsia="zh-CN"/>
              </w:rPr>
              <w:t>验收，以确保软硬件的作用和效果不被削弱（即应完全达到或优于原</w:t>
            </w:r>
            <w:r>
              <w:rPr>
                <w:rFonts w:hint="eastAsia" w:ascii="宋体" w:hAnsi="宋体" w:cs="宋体"/>
                <w:color w:val="auto"/>
                <w:szCs w:val="22"/>
                <w:highlight w:val="none"/>
                <w:lang w:val="en-US" w:eastAsia="zh-CN"/>
              </w:rPr>
              <w:t>被替换的</w:t>
            </w:r>
            <w:r>
              <w:rPr>
                <w:rFonts w:hint="eastAsia" w:ascii="宋体" w:hAnsi="宋体" w:cs="宋体"/>
                <w:color w:val="auto"/>
                <w:szCs w:val="22"/>
                <w:highlight w:val="none"/>
                <w:lang w:eastAsia="zh-CN"/>
              </w:rPr>
              <w:t>软硬件效果）。</w:t>
            </w:r>
          </w:p>
          <w:p w14:paraId="2F6F297D">
            <w:pPr>
              <w:keepNext w:val="0"/>
              <w:keepLines w:val="0"/>
              <w:pageBreakBefore w:val="0"/>
              <w:widowControl w:val="0"/>
              <w:tabs>
                <w:tab w:val="left" w:pos="180"/>
                <w:tab w:val="left" w:pos="1620"/>
              </w:tabs>
              <w:kinsoku/>
              <w:wordWrap/>
              <w:overflowPunct/>
              <w:topLinePunct w:val="0"/>
              <w:autoSpaceDE/>
              <w:autoSpaceDN/>
              <w:bidi w:val="0"/>
              <w:adjustRightInd/>
              <w:snapToGrid/>
              <w:spacing w:line="380" w:lineRule="exact"/>
              <w:jc w:val="both"/>
              <w:textAlignment w:val="auto"/>
              <w:rPr>
                <w:rFonts w:hint="eastAsia" w:ascii="宋体" w:hAnsi="宋体" w:cs="宋体"/>
                <w:color w:val="auto"/>
                <w:szCs w:val="22"/>
                <w:highlight w:val="none"/>
                <w:lang w:val="en-US" w:eastAsia="zh-CN"/>
              </w:rPr>
            </w:pPr>
            <w:r>
              <w:rPr>
                <w:rFonts w:hint="eastAsia" w:ascii="宋体" w:hAnsi="宋体" w:cs="宋体"/>
                <w:b/>
                <w:color w:val="auto"/>
                <w:highlight w:val="none"/>
              </w:rPr>
              <w:t>▲</w:t>
            </w:r>
            <w:r>
              <w:rPr>
                <w:rFonts w:hint="eastAsia" w:ascii="宋体" w:hAnsi="宋体" w:cs="宋体"/>
                <w:color w:val="auto"/>
                <w:szCs w:val="22"/>
                <w:highlight w:val="none"/>
                <w:lang w:val="en-US" w:eastAsia="zh-CN"/>
              </w:rPr>
              <w:t>7.2  媒体运行支持服务</w:t>
            </w:r>
          </w:p>
          <w:p w14:paraId="719231AC">
            <w:pPr>
              <w:spacing w:line="360" w:lineRule="exact"/>
              <w:ind w:firstLine="420" w:firstLineChars="200"/>
              <w:rPr>
                <w:rFonts w:hint="eastAsia" w:ascii="宋体" w:hAnsi="宋体" w:cs="宋体"/>
                <w:color w:val="auto"/>
                <w:szCs w:val="22"/>
                <w:highlight w:val="none"/>
                <w:lang w:eastAsia="zh-CN"/>
              </w:rPr>
            </w:pPr>
            <w:r>
              <w:rPr>
                <w:rFonts w:hint="eastAsia" w:ascii="宋体" w:hAnsi="宋体" w:cs="宋体"/>
                <w:color w:val="auto"/>
                <w:szCs w:val="22"/>
                <w:highlight w:val="none"/>
                <w:lang w:val="en-US" w:eastAsia="zh-CN"/>
              </w:rPr>
              <w:t>为充分发挥平台党建宣传作用和提高平台新闻舆论的传播力、引导力、影响力、公信力，成交供应商应通过组建自身团队或联系第三方专业团队为采购方提供平台网站及媒体号运作服务支持，包括（但不限于）：参与平台新媒体作品制作，提供文字、图片、视频等专业素材库及开发工具、技术培训，联合各方媒体策划“南宁党建”和组织工作有关专题报道、视频直播、线上展播等活动，联系各大媒体品牌对平台重点信息和品牌文化提供宣传渠道与推介方法等。选择第三方公司时必须将公司资质实力、经验案例、服务质量、口碑声誉等材料交由采购方审核，经采购方认可后方可选择建立合作</w:t>
            </w:r>
          </w:p>
          <w:p w14:paraId="1417D410">
            <w:pPr>
              <w:spacing w:after="120" w:line="360" w:lineRule="exact"/>
              <w:rPr>
                <w:rFonts w:ascii="宋体" w:hAnsi="宋体" w:cs="宋体"/>
                <w:color w:val="auto"/>
                <w:szCs w:val="22"/>
                <w:highlight w:val="none"/>
              </w:rPr>
            </w:pPr>
            <w:r>
              <w:rPr>
                <w:rFonts w:hint="eastAsia" w:ascii="宋体" w:hAnsi="宋体" w:cs="宋体"/>
                <w:color w:val="auto"/>
                <w:szCs w:val="22"/>
                <w:highlight w:val="none"/>
                <w:lang w:val="en-US" w:eastAsia="zh-CN"/>
              </w:rPr>
              <w:t>7</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ab/>
            </w:r>
            <w:r>
              <w:rPr>
                <w:rFonts w:hint="eastAsia" w:ascii="宋体" w:hAnsi="宋体" w:cs="宋体"/>
                <w:color w:val="auto"/>
                <w:szCs w:val="22"/>
                <w:highlight w:val="none"/>
                <w:lang w:val="en-US" w:eastAsia="zh-CN"/>
              </w:rPr>
              <w:t xml:space="preserve"> </w:t>
            </w:r>
            <w:r>
              <w:rPr>
                <w:rFonts w:hint="eastAsia" w:ascii="宋体" w:hAnsi="宋体" w:cs="宋体"/>
                <w:color w:val="auto"/>
                <w:szCs w:val="22"/>
                <w:highlight w:val="none"/>
              </w:rPr>
              <w:t xml:space="preserve">沟通协调服务  </w:t>
            </w:r>
          </w:p>
          <w:p w14:paraId="4A61C97C">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沟通协调服务主要包括开发设计需求沟通、调研沟通、故障处理沟通、服务质量沟通、临时应急事件沟通等。成交供应商应随时配合采购方进行平台开发、使用、推广和有关党建信息化工作方面的需求调研。双方技术组全体成员应每月召开1次例会研讨工作开展情况，并详细</w:t>
            </w:r>
            <w:r>
              <w:rPr>
                <w:rFonts w:ascii="宋体" w:hAnsi="宋体" w:cs="宋体"/>
                <w:color w:val="auto"/>
                <w:highlight w:val="none"/>
              </w:rPr>
              <w:t>汇报</w:t>
            </w:r>
            <w:r>
              <w:rPr>
                <w:rFonts w:hint="eastAsia" w:ascii="宋体" w:hAnsi="宋体" w:cs="宋体"/>
                <w:color w:val="auto"/>
                <w:highlight w:val="none"/>
              </w:rPr>
              <w:t>每一位维护小组</w:t>
            </w:r>
            <w:r>
              <w:rPr>
                <w:rFonts w:ascii="宋体" w:hAnsi="宋体" w:cs="宋体"/>
                <w:color w:val="auto"/>
                <w:highlight w:val="none"/>
              </w:rPr>
              <w:t>成员</w:t>
            </w:r>
            <w:r>
              <w:rPr>
                <w:rFonts w:hint="eastAsia" w:ascii="宋体" w:hAnsi="宋体" w:cs="宋体"/>
                <w:color w:val="auto"/>
                <w:highlight w:val="none"/>
              </w:rPr>
              <w:t>当月的</w:t>
            </w:r>
            <w:r>
              <w:rPr>
                <w:rFonts w:ascii="宋体" w:hAnsi="宋体" w:cs="宋体"/>
                <w:color w:val="auto"/>
                <w:highlight w:val="none"/>
              </w:rPr>
              <w:t>工作完成情况</w:t>
            </w:r>
            <w:r>
              <w:rPr>
                <w:rFonts w:hint="eastAsia" w:ascii="宋体" w:hAnsi="宋体" w:cs="宋体"/>
                <w:color w:val="auto"/>
                <w:highlight w:val="none"/>
              </w:rPr>
              <w:t>。成交供应商至少每3个月邀请采购方听取1次阶段性工作总结和计划的汇报，向采购方了解并填写服务质量季表。</w:t>
            </w:r>
          </w:p>
          <w:p w14:paraId="02058A6F">
            <w:pPr>
              <w:spacing w:line="360" w:lineRule="exact"/>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.1成交供应商针对本项目建立项目专项工作联系群，所有相关项目人员入群并实名标识，通过即时通讯工具提高项目沟通的效率和效果；</w:t>
            </w:r>
          </w:p>
          <w:p w14:paraId="090ED7AD">
            <w:pPr>
              <w:spacing w:line="360" w:lineRule="exac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.2成交供应商针对本项目建立紧急联系通讯录，相关项目成员在项目实施期间保持紧急联系电话7*24小时开机。</w:t>
            </w:r>
          </w:p>
          <w:p w14:paraId="01883258">
            <w:pPr>
              <w:spacing w:line="360" w:lineRule="exac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用户临时应急响应</w:t>
            </w:r>
            <w:r>
              <w:rPr>
                <w:rFonts w:hint="eastAsia" w:ascii="宋体" w:hAnsi="宋体" w:cs="宋体"/>
                <w:color w:val="auto"/>
                <w:highlight w:val="none"/>
                <w:lang w:val="en-US" w:eastAsia="zh-CN"/>
              </w:rPr>
              <w:t>和年度应急演练</w:t>
            </w:r>
          </w:p>
          <w:p w14:paraId="0BFB1C4E">
            <w:pPr>
              <w:spacing w:line="360" w:lineRule="exact"/>
              <w:ind w:firstLine="420" w:firstLineChars="200"/>
              <w:rPr>
                <w:rFonts w:hint="eastAsia" w:ascii="宋体" w:hAnsi="宋体" w:eastAsia="宋体" w:cs="宋体"/>
                <w:b w:val="0"/>
                <w:bCs/>
                <w:color w:val="auto"/>
                <w:szCs w:val="22"/>
                <w:highlight w:val="none"/>
              </w:rPr>
            </w:pPr>
            <w:r>
              <w:rPr>
                <w:rFonts w:hint="eastAsia" w:ascii="宋体" w:hAnsi="宋体" w:cs="宋体"/>
                <w:color w:val="auto"/>
                <w:highlight w:val="none"/>
              </w:rPr>
              <w:t>当遇到“工作检查应急部署、重要会议现场技术保障和防御突发网络攻击”等临时应急情况时，通过应急响应小组的方式保障系统平台各环节的正常运转。由成交供应商及时增派1-3名工程技术人员提供现场技术服务。应急事件处理完毕后，应形成工作汇报递交采购方。同时，每年应设计和</w:t>
            </w:r>
            <w:r>
              <w:rPr>
                <w:rFonts w:hint="eastAsia" w:ascii="宋体" w:hAnsi="宋体" w:cs="宋体"/>
                <w:color w:val="auto"/>
                <w:highlight w:val="none"/>
                <w:lang w:val="en-US" w:eastAsia="zh-CN"/>
              </w:rPr>
              <w:t>组织开展至少</w:t>
            </w:r>
            <w:r>
              <w:rPr>
                <w:rFonts w:hint="eastAsia" w:ascii="宋体" w:hAnsi="宋体" w:cs="宋体"/>
                <w:color w:val="auto"/>
                <w:highlight w:val="none"/>
              </w:rPr>
              <w:t>1次网络安全事件应急演练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积极参与各级管理部门组织的网络安全攻防实战演练</w:t>
            </w:r>
            <w:r>
              <w:rPr>
                <w:rFonts w:hint="eastAsia" w:ascii="宋体" w:hAnsi="宋体" w:cs="宋体"/>
                <w:color w:val="auto"/>
                <w:highlight w:val="none"/>
              </w:rPr>
              <w:t>。</w:t>
            </w:r>
          </w:p>
        </w:tc>
        <w:tc>
          <w:tcPr>
            <w:tcW w:w="875" w:type="dxa"/>
            <w:tcBorders>
              <w:top w:val="single" w:color="000000" w:sz="4" w:space="0"/>
              <w:left w:val="single" w:color="000000" w:sz="4" w:space="0"/>
              <w:bottom w:val="single" w:color="000000" w:sz="4" w:space="0"/>
              <w:right w:val="single" w:color="000000" w:sz="4" w:space="0"/>
            </w:tcBorders>
            <w:vAlign w:val="center"/>
          </w:tcPr>
          <w:p w14:paraId="5DA79C28">
            <w:pPr>
              <w:tabs>
                <w:tab w:val="left" w:pos="180"/>
                <w:tab w:val="left" w:pos="1620"/>
              </w:tabs>
              <w:spacing w:line="360" w:lineRule="auto"/>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13</w:t>
            </w:r>
            <w:r>
              <w:rPr>
                <w:rFonts w:hint="eastAsia" w:ascii="宋体" w:hAnsi="宋体" w:eastAsia="宋体" w:cs="宋体"/>
                <w:b w:val="0"/>
                <w:bCs/>
                <w:color w:val="auto"/>
                <w:highlight w:val="none"/>
              </w:rPr>
              <w:t>0000</w:t>
            </w:r>
          </w:p>
        </w:tc>
      </w:tr>
      <w:tr w14:paraId="313C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0392" w:type="dxa"/>
            <w:gridSpan w:val="6"/>
            <w:tcBorders>
              <w:top w:val="single" w:color="000000" w:sz="4" w:space="0"/>
              <w:left w:val="single" w:color="000000" w:sz="4" w:space="0"/>
              <w:bottom w:val="single" w:color="000000" w:sz="4" w:space="0"/>
              <w:right w:val="single" w:color="000000" w:sz="4" w:space="0"/>
            </w:tcBorders>
            <w:vAlign w:val="center"/>
          </w:tcPr>
          <w:p w14:paraId="756BBB6A">
            <w:pPr>
              <w:spacing w:line="360" w:lineRule="auto"/>
              <w:rPr>
                <w:rFonts w:hint="eastAsia" w:ascii="宋体" w:hAnsi="宋体" w:eastAsia="宋体" w:cs="宋体"/>
                <w:b/>
                <w:bCs w:val="0"/>
                <w:color w:val="auto"/>
                <w:highlight w:val="none"/>
              </w:rPr>
            </w:pPr>
            <w:r>
              <w:rPr>
                <w:rFonts w:hint="eastAsia" w:ascii="宋体" w:hAnsi="宋体" w:cs="宋体"/>
                <w:b/>
                <w:bCs w:val="0"/>
                <w:color w:val="auto"/>
                <w:highlight w:val="none"/>
                <w:lang w:eastAsia="zh-CN"/>
              </w:rPr>
              <w:t>商务</w:t>
            </w:r>
            <w:r>
              <w:rPr>
                <w:rFonts w:hint="eastAsia" w:ascii="宋体" w:hAnsi="宋体" w:eastAsia="宋体" w:cs="宋体"/>
                <w:b/>
                <w:bCs w:val="0"/>
                <w:color w:val="auto"/>
                <w:highlight w:val="none"/>
              </w:rPr>
              <w:t>条款</w:t>
            </w:r>
          </w:p>
          <w:p w14:paraId="084CA274">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一、合同签订期：自中标通知书发出之日起7个工作日内</w:t>
            </w:r>
          </w:p>
          <w:p w14:paraId="74F050C5">
            <w:pPr>
              <w:widowControl/>
              <w:spacing w:line="360" w:lineRule="auto"/>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▲二、服务</w:t>
            </w:r>
            <w:r>
              <w:rPr>
                <w:rFonts w:hint="eastAsia" w:ascii="宋体" w:hAnsi="宋体" w:cs="宋体"/>
                <w:b w:val="0"/>
                <w:bCs/>
                <w:color w:val="auto"/>
                <w:highlight w:val="none"/>
                <w:lang w:eastAsia="zh-CN"/>
              </w:rPr>
              <w:t>期限</w:t>
            </w:r>
            <w:r>
              <w:rPr>
                <w:rFonts w:hint="eastAsia" w:ascii="宋体" w:hAnsi="宋体" w:eastAsia="宋体" w:cs="宋体"/>
                <w:b w:val="0"/>
                <w:bCs/>
                <w:color w:val="auto"/>
                <w:highlight w:val="none"/>
              </w:rPr>
              <w:t>：</w:t>
            </w: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年（自签订合同之日起计）</w:t>
            </w:r>
          </w:p>
          <w:p w14:paraId="58D9C390">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▲三、服务地点：南宁市</w:t>
            </w:r>
            <w:r>
              <w:rPr>
                <w:rFonts w:hint="eastAsia" w:ascii="宋体" w:hAnsi="宋体" w:eastAsia="宋体" w:cs="宋体"/>
                <w:b w:val="0"/>
                <w:bCs/>
                <w:color w:val="auto"/>
                <w:highlight w:val="none"/>
                <w:lang w:eastAsia="zh-CN"/>
              </w:rPr>
              <w:t>内</w:t>
            </w:r>
            <w:r>
              <w:rPr>
                <w:rFonts w:hint="eastAsia" w:ascii="宋体" w:hAnsi="宋体" w:eastAsia="宋体" w:cs="宋体"/>
                <w:b w:val="0"/>
                <w:bCs/>
                <w:color w:val="auto"/>
                <w:highlight w:val="none"/>
              </w:rPr>
              <w:t xml:space="preserve">采购人指定地点 </w:t>
            </w:r>
          </w:p>
          <w:p w14:paraId="1252826A">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▲四、售后服务要求：</w:t>
            </w:r>
          </w:p>
          <w:p w14:paraId="65450CF5">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1、接故障通知10分钟反馈，30分钟内到达现场，一般性问题解决时间和需求满足时间要求不超过1个工作日，能提供7×24小时现场保障服务；</w:t>
            </w:r>
          </w:p>
          <w:p w14:paraId="19AFABE2">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2、合同到期后义务配合采购方</w:t>
            </w:r>
            <w:r>
              <w:rPr>
                <w:rFonts w:hint="eastAsia" w:ascii="宋体" w:hAnsi="宋体" w:eastAsia="宋体" w:cs="宋体"/>
                <w:b w:val="0"/>
                <w:bCs/>
                <w:color w:val="auto"/>
                <w:highlight w:val="none"/>
                <w:lang w:val="en-US" w:eastAsia="zh-CN"/>
              </w:rPr>
              <w:t>免费</w:t>
            </w:r>
            <w:r>
              <w:rPr>
                <w:rFonts w:hint="eastAsia" w:ascii="宋体" w:hAnsi="宋体" w:eastAsia="宋体" w:cs="宋体"/>
                <w:b w:val="0"/>
                <w:bCs/>
                <w:color w:val="auto"/>
                <w:highlight w:val="none"/>
              </w:rPr>
              <w:t>做好协议空档期的平台维护管理至新合同签订之日（不超过6个月）；</w:t>
            </w:r>
          </w:p>
          <w:p w14:paraId="2818F8FA">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3、合同签订后双方签署信息安全保密协议，建立外包服务管理制度</w:t>
            </w:r>
            <w:r>
              <w:rPr>
                <w:rFonts w:hint="eastAsia" w:ascii="宋体" w:hAnsi="宋体" w:eastAsia="宋体" w:cs="宋体"/>
                <w:b w:val="0"/>
                <w:bCs/>
                <w:color w:val="auto"/>
                <w:highlight w:val="none"/>
                <w:lang w:val="en-US" w:eastAsia="zh-CN"/>
              </w:rPr>
              <w:t>和人员审查制度</w:t>
            </w:r>
            <w:r>
              <w:rPr>
                <w:rFonts w:hint="eastAsia" w:ascii="宋体" w:hAnsi="宋体" w:eastAsia="宋体" w:cs="宋体"/>
                <w:b w:val="0"/>
                <w:bCs/>
                <w:color w:val="auto"/>
                <w:highlight w:val="none"/>
              </w:rPr>
              <w:t>；</w:t>
            </w:r>
          </w:p>
          <w:p w14:paraId="7BC7EC15">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4、因合同到期或双方协议退出等情况导致服务终止时，成交供应商应按采购方要求完整提交平台相关专业化管理维护资料——包括（但不限于）系统源代码</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lang w:val="en-US" w:eastAsia="zh-CN"/>
              </w:rPr>
              <w:t>含</w:t>
            </w:r>
            <w:r>
              <w:rPr>
                <w:rFonts w:hint="eastAsia" w:ascii="宋体" w:hAnsi="宋体" w:eastAsia="宋体" w:cs="宋体"/>
                <w:b w:val="0"/>
                <w:bCs/>
                <w:color w:val="auto"/>
                <w:highlight w:val="none"/>
                <w:lang w:eastAsia="zh-CN"/>
              </w:rPr>
              <w:t>平台部署的编译版和开发人员编写的开发版）</w:t>
            </w:r>
            <w:r>
              <w:rPr>
                <w:rFonts w:hint="eastAsia" w:ascii="宋体" w:hAnsi="宋体" w:eastAsia="宋体" w:cs="宋体"/>
                <w:b w:val="0"/>
                <w:bCs/>
                <w:color w:val="auto"/>
                <w:highlight w:val="none"/>
              </w:rPr>
              <w:t>、部署环境、操作流程、账号密码、管理界面、图表资料、厂商联系渠道等信息并承诺不泄露相关管理服务期间所涉及到平台的数据和信息，同时在</w:t>
            </w:r>
            <w:r>
              <w:rPr>
                <w:rFonts w:hint="eastAsia" w:ascii="宋体" w:hAnsi="宋体" w:eastAsia="宋体" w:cs="宋体"/>
                <w:b w:val="0"/>
                <w:bCs/>
                <w:color w:val="auto"/>
                <w:highlight w:val="none"/>
                <w:lang w:val="en-US" w:eastAsia="zh-CN"/>
              </w:rPr>
              <w:t>合同结束后的</w:t>
            </w:r>
            <w:r>
              <w:rPr>
                <w:rFonts w:hint="eastAsia" w:ascii="宋体" w:hAnsi="宋体" w:eastAsia="宋体" w:cs="宋体"/>
                <w:b w:val="0"/>
                <w:bCs/>
                <w:color w:val="auto"/>
                <w:highlight w:val="none"/>
              </w:rPr>
              <w:t>1年质保期内做好售后技术支持和对下一期维护方人员的操作培训。</w:t>
            </w:r>
          </w:p>
          <w:p w14:paraId="6FBD0E09">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5、如出现故障处理不及时（超过24小时无法修复）、需求处理不及时（超过</w:t>
            </w:r>
            <w:r>
              <w:rPr>
                <w:rFonts w:hint="eastAsia" w:ascii="宋体" w:hAnsi="宋体" w:cs="宋体"/>
                <w:b w:val="0"/>
                <w:bCs/>
                <w:color w:val="auto"/>
                <w:highlight w:val="none"/>
                <w:lang w:val="en-US" w:eastAsia="zh-CN"/>
              </w:rPr>
              <w:t>合同</w:t>
            </w:r>
            <w:r>
              <w:rPr>
                <w:rFonts w:hint="eastAsia" w:ascii="宋体" w:hAnsi="宋体" w:eastAsia="宋体" w:cs="宋体"/>
                <w:b w:val="0"/>
                <w:bCs/>
                <w:color w:val="auto"/>
                <w:highlight w:val="none"/>
              </w:rPr>
              <w:t>约定时间无法完成开发）、</w:t>
            </w:r>
            <w:r>
              <w:rPr>
                <w:rFonts w:hint="eastAsia" w:ascii="宋体" w:hAnsi="宋体" w:eastAsia="宋体" w:cs="宋体"/>
                <w:b w:val="0"/>
                <w:bCs/>
                <w:color w:val="auto"/>
                <w:highlight w:val="none"/>
                <w:lang w:eastAsia="zh-CN"/>
              </w:rPr>
              <w:t>实际开发效果与用户需求差异过大、硬件故障或缺失、</w:t>
            </w:r>
            <w:r>
              <w:rPr>
                <w:rFonts w:hint="eastAsia" w:ascii="宋体" w:hAnsi="宋体" w:eastAsia="宋体" w:cs="宋体"/>
                <w:b w:val="0"/>
                <w:bCs/>
                <w:color w:val="auto"/>
                <w:highlight w:val="none"/>
              </w:rPr>
              <w:t>平台出现无法访问、安全事件等对采购方业务开展造成严重实质性影响或被管理部门公开通报、扣分或下达安全整改通知书等情况，应按每发生一次超期/安全事件则扣减1%合同总款的惩罚方式计算</w:t>
            </w:r>
            <w:r>
              <w:rPr>
                <w:rFonts w:hint="eastAsia" w:ascii="宋体" w:hAnsi="宋体" w:eastAsia="宋体" w:cs="宋体"/>
                <w:b w:val="0"/>
                <w:bCs/>
                <w:color w:val="auto"/>
                <w:highlight w:val="none"/>
                <w:lang w:eastAsia="zh-CN"/>
              </w:rPr>
              <w:t>，对平台造成较严重影响或损失的</w:t>
            </w:r>
            <w:r>
              <w:rPr>
                <w:rFonts w:hint="eastAsia" w:ascii="宋体" w:hAnsi="宋体" w:eastAsia="宋体" w:cs="宋体"/>
                <w:b w:val="0"/>
                <w:bCs/>
                <w:color w:val="auto"/>
                <w:highlight w:val="none"/>
                <w:lang w:val="en-US" w:eastAsia="zh-CN"/>
              </w:rPr>
              <w:t>还</w:t>
            </w:r>
            <w:r>
              <w:rPr>
                <w:rFonts w:hint="eastAsia" w:ascii="宋体" w:hAnsi="宋体" w:eastAsia="宋体" w:cs="宋体"/>
                <w:b w:val="0"/>
                <w:bCs/>
                <w:color w:val="auto"/>
                <w:highlight w:val="none"/>
                <w:lang w:eastAsia="zh-CN"/>
              </w:rPr>
              <w:t>将按实际情况向成交供应商追加赔偿</w:t>
            </w:r>
            <w:r>
              <w:rPr>
                <w:rFonts w:hint="eastAsia" w:ascii="宋体" w:hAnsi="宋体" w:eastAsia="宋体" w:cs="宋体"/>
                <w:b w:val="0"/>
                <w:bCs/>
                <w:color w:val="auto"/>
                <w:highlight w:val="none"/>
              </w:rPr>
              <w:t>。</w:t>
            </w:r>
          </w:p>
          <w:p w14:paraId="25D55F09">
            <w:pPr>
              <w:spacing w:line="360" w:lineRule="auto"/>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▲五、实质性要求和条件：</w:t>
            </w:r>
          </w:p>
          <w:p w14:paraId="026FE3E0">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1、对平台有深入了解能保证后续服务的兼容性、连接性和可扩展性；</w:t>
            </w:r>
          </w:p>
          <w:p w14:paraId="6DEC72D3">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2、按科学规范的方式对平台软硬件实施每日检查、每周维护和实时监控；</w:t>
            </w:r>
          </w:p>
          <w:p w14:paraId="0942FB0B">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3、确保项目开发建设及管理维护文档的完整性和条理性，及时做好相关资产清理和记录；</w:t>
            </w:r>
          </w:p>
          <w:p w14:paraId="3BBD887D">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4、未经采购方允许和核验，成交供应商不得更换平台任何软硬件。在符合国家政策和上级管理制度的前提下，经采购方认可的更换和替代行为，需根据更换的影响规模或复杂程度由采购方或邀请第三方进行验收合格后方能认可更换，以确保软硬件的作用和效果不被削弱（即应完全达到或优于原软硬件效果）。</w:t>
            </w:r>
          </w:p>
          <w:p w14:paraId="3E651329">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5、在服务期内确保平台的安全稳定运行和持续拓展提升，如因技术不达标、措施不完整、不及时响应、服务不到位等原因造成网络不通不顺、数据的破坏丢失篡改，业务系统不能提供稳定完整服务及泄密安全事故等情况时，供应商须承担由此造成的后果，并承担相应的责任。</w:t>
            </w:r>
          </w:p>
          <w:p w14:paraId="17888434">
            <w:pPr>
              <w:tabs>
                <w:tab w:val="left" w:pos="3580"/>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6、供应商中标后，禁止分包、转包，项目组人员要求固定且为本公司正式员工，原则上不得更换，确有不可抗力原因要更换时必需提前提出申请，得到采购方同意后才能更换，供应商需提供项目组人员本公司社保证明资料给采购方，备查确认人员非挂靠</w:t>
            </w:r>
            <w:r>
              <w:rPr>
                <w:rFonts w:hint="eastAsia" w:ascii="宋体" w:hAnsi="宋体" w:cs="宋体"/>
                <w:b w:val="0"/>
                <w:bCs/>
                <w:color w:val="auto"/>
                <w:highlight w:val="none"/>
                <w:lang w:val="en-US" w:eastAsia="zh-CN"/>
              </w:rPr>
              <w:t>或转包</w:t>
            </w:r>
            <w:r>
              <w:rPr>
                <w:rFonts w:hint="eastAsia" w:ascii="宋体" w:hAnsi="宋体" w:eastAsia="宋体" w:cs="宋体"/>
                <w:b w:val="0"/>
                <w:bCs/>
                <w:color w:val="auto"/>
                <w:highlight w:val="none"/>
              </w:rPr>
              <w:t>。</w:t>
            </w:r>
          </w:p>
          <w:p w14:paraId="39E61769">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六、其他要求：</w:t>
            </w:r>
          </w:p>
          <w:p w14:paraId="4F867FEF">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1、报价必须包含以下部分：</w:t>
            </w:r>
          </w:p>
          <w:p w14:paraId="21DF6C74">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（1）服务的价格；</w:t>
            </w:r>
          </w:p>
          <w:p w14:paraId="4CE8293D">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（2）必要的保险费用和各项税金；</w:t>
            </w:r>
          </w:p>
          <w:p w14:paraId="2D6A2548">
            <w:pPr>
              <w:tabs>
                <w:tab w:val="left" w:pos="3490"/>
                <w:tab w:val="left" w:pos="3670"/>
                <w:tab w:val="left" w:pos="3895"/>
              </w:tabs>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（3）运输、装卸、安装、调试、维修、检测、培训、技术支持、售后服务等费用；</w:t>
            </w:r>
          </w:p>
          <w:p w14:paraId="2EF4908D">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2、付款方式：合同款额以实际</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金额为准，合同款分三期支付</w:t>
            </w:r>
            <w:r>
              <w:rPr>
                <w:rFonts w:hint="eastAsia" w:ascii="宋体" w:hAnsi="宋体" w:eastAsia="宋体" w:cs="宋体"/>
                <w:b w:val="0"/>
                <w:bCs/>
                <w:color w:val="auto"/>
                <w:highlight w:val="none"/>
                <w:lang w:eastAsia="zh-CN"/>
              </w:rPr>
              <w:t>（第2、3阶段验收合格标准均为单项评分在</w:t>
            </w:r>
            <w:r>
              <w:rPr>
                <w:rFonts w:hint="eastAsia" w:ascii="宋体" w:hAnsi="宋体" w:eastAsia="宋体" w:cs="宋体"/>
                <w:b w:val="0"/>
                <w:bCs/>
                <w:color w:val="auto"/>
                <w:highlight w:val="none"/>
                <w:lang w:val="en-US" w:eastAsia="zh-CN"/>
              </w:rPr>
              <w:t xml:space="preserve"> 70% 以上</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：合同签订</w:t>
            </w:r>
            <w:r>
              <w:rPr>
                <w:rFonts w:hint="eastAsia" w:ascii="宋体" w:hAnsi="宋体" w:eastAsia="宋体" w:cs="宋体"/>
                <w:b w:val="0"/>
                <w:bCs/>
                <w:color w:val="auto"/>
                <w:highlight w:val="none"/>
                <w:lang w:val="en-US" w:eastAsia="zh-CN"/>
              </w:rPr>
              <w:t>3</w:t>
            </w:r>
            <w:r>
              <w:rPr>
                <w:rFonts w:hint="eastAsia" w:ascii="宋体" w:hAnsi="宋体" w:eastAsia="宋体" w:cs="宋体"/>
                <w:b w:val="0"/>
                <w:bCs/>
                <w:color w:val="auto"/>
                <w:highlight w:val="none"/>
              </w:rPr>
              <w:t>个月内支付合同全款的30%作为准备金款，该款项必须优先用于支付专职运维管理队伍</w:t>
            </w:r>
            <w:r>
              <w:rPr>
                <w:rFonts w:hint="eastAsia" w:ascii="宋体" w:hAnsi="宋体" w:eastAsia="宋体" w:cs="宋体"/>
                <w:b w:val="0"/>
                <w:bCs/>
                <w:color w:val="auto"/>
                <w:highlight w:val="none"/>
                <w:lang w:eastAsia="zh-CN"/>
              </w:rPr>
              <w:t>、平台</w:t>
            </w:r>
            <w:r>
              <w:rPr>
                <w:rFonts w:hint="eastAsia" w:ascii="宋体" w:hAnsi="宋体" w:eastAsia="宋体" w:cs="宋体"/>
                <w:b w:val="0"/>
                <w:bCs/>
                <w:color w:val="auto"/>
                <w:highlight w:val="none"/>
                <w:lang w:val="en-US" w:eastAsia="zh-CN"/>
              </w:rPr>
              <w:t>软硬件</w:t>
            </w:r>
            <w:r>
              <w:rPr>
                <w:rFonts w:hint="eastAsia" w:ascii="宋体" w:hAnsi="宋体" w:eastAsia="宋体" w:cs="宋体"/>
                <w:b w:val="0"/>
                <w:bCs/>
                <w:color w:val="auto"/>
                <w:highlight w:val="none"/>
                <w:lang w:eastAsia="zh-CN"/>
              </w:rPr>
              <w:t>扩容升级</w:t>
            </w:r>
            <w:r>
              <w:rPr>
                <w:rFonts w:hint="eastAsia" w:ascii="宋体" w:hAnsi="宋体" w:eastAsia="宋体" w:cs="宋体"/>
                <w:b w:val="0"/>
                <w:bCs/>
                <w:color w:val="auto"/>
                <w:highlight w:val="none"/>
              </w:rPr>
              <w:t>及</w:t>
            </w:r>
            <w:r>
              <w:rPr>
                <w:rFonts w:hint="eastAsia" w:ascii="宋体" w:hAnsi="宋体" w:eastAsia="宋体" w:cs="宋体"/>
                <w:b w:val="0"/>
                <w:bCs/>
                <w:color w:val="auto"/>
                <w:highlight w:val="none"/>
                <w:lang w:val="en-US" w:eastAsia="zh-CN"/>
              </w:rPr>
              <w:t>第三方</w:t>
            </w:r>
            <w:r>
              <w:rPr>
                <w:rFonts w:hint="eastAsia" w:ascii="宋体" w:hAnsi="宋体" w:eastAsia="宋体" w:cs="宋体"/>
                <w:b w:val="0"/>
                <w:bCs/>
                <w:color w:val="auto"/>
                <w:highlight w:val="none"/>
              </w:rPr>
              <w:t>软硬件授权延保，合同签订6个月后开展项目阶段性验收，验收合格则支付项目阶段款（即合同全款的30%），合同到期前1个月内进行整体验收，各单项评分在70%以上，支付剩余合同款（即合同全款的</w:t>
            </w:r>
            <w:r>
              <w:rPr>
                <w:rFonts w:hint="eastAsia" w:ascii="宋体" w:hAnsi="宋体" w:eastAsia="宋体" w:cs="宋体"/>
                <w:b w:val="0"/>
                <w:bCs/>
                <w:color w:val="auto"/>
                <w:highlight w:val="none"/>
                <w:lang w:val="en-US" w:eastAsia="zh-CN"/>
              </w:rPr>
              <w:t>4</w:t>
            </w:r>
            <w:r>
              <w:rPr>
                <w:rFonts w:hint="eastAsia" w:ascii="宋体" w:hAnsi="宋体" w:eastAsia="宋体" w:cs="宋体"/>
                <w:b w:val="0"/>
                <w:bCs/>
                <w:color w:val="auto"/>
                <w:highlight w:val="none"/>
              </w:rPr>
              <w:t>0%）。</w:t>
            </w:r>
          </w:p>
          <w:p w14:paraId="5905C9C7">
            <w:pPr>
              <w:tabs>
                <w:tab w:val="left" w:pos="180"/>
                <w:tab w:val="left" w:pos="1620"/>
              </w:tabs>
              <w:spacing w:line="360" w:lineRule="auto"/>
              <w:jc w:val="lef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3、风险说明：本项目资金来源于市财政专项预算，如因政策原因等非抗力因素导致中标后项目资金不到位或延期到位，采购方和成交供应商可根据实际情况采用终止合同或延迟付款方式</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rPr>
              <w:t>前期已投入成本由中标方自行承担。</w:t>
            </w:r>
          </w:p>
        </w:tc>
      </w:tr>
      <w:tr w14:paraId="6D2A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1" w:hRule="atLeast"/>
        </w:trPr>
        <w:tc>
          <w:tcPr>
            <w:tcW w:w="10392" w:type="dxa"/>
            <w:gridSpan w:val="6"/>
            <w:tcBorders>
              <w:top w:val="single" w:color="000000" w:sz="4" w:space="0"/>
              <w:left w:val="single" w:color="000000" w:sz="4" w:space="0"/>
              <w:bottom w:val="single" w:color="000000" w:sz="4" w:space="0"/>
              <w:right w:val="single" w:color="000000" w:sz="4" w:space="0"/>
            </w:tcBorders>
            <w:vAlign w:val="center"/>
          </w:tcPr>
          <w:p w14:paraId="1742A5DC">
            <w:pPr>
              <w:keepNext w:val="0"/>
              <w:keepLines w:val="0"/>
              <w:widowControl/>
              <w:suppressLineNumbers w:val="0"/>
              <w:jc w:val="left"/>
              <w:rPr>
                <w:rFonts w:hint="eastAsia"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验收条件及标准</w:t>
            </w:r>
          </w:p>
          <w:p w14:paraId="05A65C8B">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 xml:space="preserve">（1）采购人对中标人提交的服务依据招标文件的服务要求和国家有关质量标准进行现场签收，各项服务符合招标文件要求的，给予签收，不合格的不予签收。 </w:t>
            </w:r>
          </w:p>
          <w:p w14:paraId="01C135F6">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 xml:space="preserve">（2）验收工作由采购人组织，包括但不限于以下形式：中标人维修、保养完毕后，向采购人提供维修、保养报告单，采购人派人进行验收，并在维修工单上签字确认；其他技术服务的验收按照招标文件、中标人的全保修方案及相应的质量标准要求执行。 </w:t>
            </w:r>
          </w:p>
          <w:p w14:paraId="7AD19F74">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 xml:space="preserve">（3）验收不通过的，根据采购人意见进行整改，直到验收通过为止，期间产生相关费用由中标人承担。 </w:t>
            </w:r>
          </w:p>
          <w:p w14:paraId="7C800B83">
            <w:pPr>
              <w:spacing w:line="360" w:lineRule="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（4）其他未尽事宜应严格按照《关于印发广西壮族自治区政府采购项目履约验收管理办法的通知》[桂财采〔2015〕22 号]以及《财政部关于进一步加强政府采购需求和履约验收管理的指导意见》[财库〔2016〕205 号]规定执行。 </w:t>
            </w:r>
          </w:p>
          <w:p w14:paraId="724E9843">
            <w:pPr>
              <w:spacing w:line="360" w:lineRule="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（5）验收产生的费用由中标人负责。</w:t>
            </w:r>
          </w:p>
        </w:tc>
      </w:tr>
    </w:tbl>
    <w:p w14:paraId="3C91517E">
      <w:pPr>
        <w:pStyle w:val="9"/>
        <w:spacing w:line="420" w:lineRule="exact"/>
        <w:ind w:firstLine="420" w:firstLineChars="200"/>
        <w:rPr>
          <w:rFonts w:hint="eastAsia" w:ascii="宋体" w:hAnsi="宋体" w:eastAsia="宋体" w:cs="宋体"/>
          <w:color w:val="auto"/>
          <w:highlight w:val="none"/>
        </w:rPr>
      </w:pPr>
    </w:p>
    <w:p w14:paraId="76A4B3F9">
      <w:pPr>
        <w:pStyle w:val="9"/>
        <w:spacing w:line="420" w:lineRule="exact"/>
        <w:ind w:firstLine="420" w:firstLineChars="200"/>
        <w:rPr>
          <w:rFonts w:hint="eastAsia" w:ascii="宋体" w:hAnsi="宋体" w:eastAsia="宋体" w:cs="宋体"/>
          <w:color w:val="auto"/>
          <w:highlight w:val="none"/>
        </w:rPr>
      </w:pPr>
    </w:p>
    <w:p w14:paraId="6B54C20F">
      <w:pPr>
        <w:pStyle w:val="9"/>
        <w:spacing w:line="420" w:lineRule="exact"/>
        <w:ind w:firstLine="0" w:firstLineChars="0"/>
        <w:rPr>
          <w:rFonts w:hint="eastAsia" w:ascii="宋体" w:hAnsi="宋体" w:eastAsia="宋体" w:cs="宋体"/>
          <w:color w:val="auto"/>
          <w:highlight w:val="none"/>
        </w:rPr>
      </w:pPr>
    </w:p>
    <w:p w14:paraId="41F7AB7F">
      <w:pPr>
        <w:spacing w:line="428" w:lineRule="exact"/>
        <w:rPr>
          <w:rFonts w:hint="eastAsia" w:ascii="宋体" w:hAnsi="宋体" w:eastAsia="宋体" w:cs="宋体"/>
          <w:sz w:val="17"/>
          <w:szCs w:val="17"/>
          <w:highlight w:val="none"/>
        </w:rPr>
      </w:pPr>
      <w:r>
        <w:rPr>
          <w:rFonts w:hint="eastAsia" w:ascii="宋体" w:hAnsi="宋体" w:eastAsia="宋体" w:cs="宋体"/>
          <w:sz w:val="32"/>
          <w:szCs w:val="32"/>
          <w:highlight w:val="none"/>
        </w:rPr>
        <w:t>附件1：</w:t>
      </w:r>
    </w:p>
    <w:p w14:paraId="61392628">
      <w:pPr>
        <w:spacing w:line="528" w:lineRule="exact"/>
        <w:jc w:val="center"/>
        <w:rPr>
          <w:rFonts w:hint="eastAsia" w:ascii="宋体" w:hAnsi="宋体" w:eastAsia="宋体" w:cs="宋体"/>
          <w:sz w:val="40"/>
          <w:szCs w:val="40"/>
          <w:highlight w:val="none"/>
        </w:rPr>
      </w:pPr>
      <w:r>
        <w:rPr>
          <w:rFonts w:hint="eastAsia" w:ascii="宋体" w:hAnsi="宋体" w:eastAsia="宋体" w:cs="宋体"/>
          <w:sz w:val="40"/>
          <w:szCs w:val="40"/>
          <w:highlight w:val="none"/>
        </w:rPr>
        <w:t>节能产品政府采购品目清单</w:t>
      </w:r>
    </w:p>
    <w:tbl>
      <w:tblPr>
        <w:tblStyle w:val="21"/>
        <w:tblW w:w="9962" w:type="dxa"/>
        <w:tblInd w:w="0" w:type="dxa"/>
        <w:tblLayout w:type="fixed"/>
        <w:tblCellMar>
          <w:top w:w="0" w:type="dxa"/>
          <w:left w:w="108" w:type="dxa"/>
          <w:bottom w:w="0" w:type="dxa"/>
          <w:right w:w="108" w:type="dxa"/>
        </w:tblCellMar>
      </w:tblPr>
      <w:tblGrid>
        <w:gridCol w:w="691"/>
        <w:gridCol w:w="1204"/>
        <w:gridCol w:w="1636"/>
        <w:gridCol w:w="1746"/>
        <w:gridCol w:w="4685"/>
      </w:tblGrid>
      <w:tr w14:paraId="50439C4A">
        <w:tblPrEx>
          <w:tblCellMar>
            <w:top w:w="0" w:type="dxa"/>
            <w:left w:w="108" w:type="dxa"/>
            <w:bottom w:w="0" w:type="dxa"/>
            <w:right w:w="108" w:type="dxa"/>
          </w:tblCellMar>
        </w:tblPrEx>
        <w:trPr>
          <w:trHeight w:val="555" w:hRule="atLeast"/>
        </w:trPr>
        <w:tc>
          <w:tcPr>
            <w:tcW w:w="691" w:type="dxa"/>
            <w:tcBorders>
              <w:top w:val="single" w:color="000000" w:sz="8" w:space="0"/>
              <w:left w:val="single" w:color="000000" w:sz="8" w:space="0"/>
              <w:bottom w:val="single" w:color="000000" w:sz="8" w:space="0"/>
              <w:right w:val="single" w:color="000000" w:sz="8" w:space="0"/>
            </w:tcBorders>
            <w:vAlign w:val="top"/>
          </w:tcPr>
          <w:p w14:paraId="7692F273">
            <w:pPr>
              <w:widowControl/>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品目序号</w:t>
            </w:r>
          </w:p>
        </w:tc>
        <w:tc>
          <w:tcPr>
            <w:tcW w:w="4586" w:type="dxa"/>
            <w:gridSpan w:val="3"/>
            <w:tcBorders>
              <w:top w:val="single" w:color="000000" w:sz="8" w:space="0"/>
              <w:left w:val="nil"/>
              <w:bottom w:val="single" w:color="000000" w:sz="8" w:space="0"/>
              <w:right w:val="single" w:color="000000" w:sz="8" w:space="0"/>
            </w:tcBorders>
            <w:vAlign w:val="center"/>
          </w:tcPr>
          <w:p w14:paraId="36D73CE6">
            <w:pPr>
              <w:widowControl/>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名称</w:t>
            </w:r>
          </w:p>
        </w:tc>
        <w:tc>
          <w:tcPr>
            <w:tcW w:w="4685" w:type="dxa"/>
            <w:tcBorders>
              <w:top w:val="single" w:color="000000" w:sz="8" w:space="0"/>
              <w:left w:val="nil"/>
              <w:bottom w:val="single" w:color="000000" w:sz="8" w:space="0"/>
              <w:right w:val="single" w:color="000000" w:sz="8" w:space="0"/>
            </w:tcBorders>
            <w:vAlign w:val="center"/>
          </w:tcPr>
          <w:p w14:paraId="704587FB">
            <w:pPr>
              <w:widowControl/>
              <w:jc w:val="center"/>
              <w:rPr>
                <w:rFonts w:hint="eastAsia" w:ascii="宋体" w:hAnsi="宋体" w:eastAsia="宋体" w:cs="宋体"/>
                <w:b/>
                <w:bCs/>
                <w:kern w:val="0"/>
                <w:sz w:val="22"/>
                <w:szCs w:val="22"/>
                <w:highlight w:val="none"/>
              </w:rPr>
            </w:pPr>
            <w:r>
              <w:rPr>
                <w:rFonts w:hint="eastAsia" w:ascii="宋体" w:hAnsi="宋体" w:eastAsia="宋体" w:cs="宋体"/>
                <w:b/>
                <w:bCs/>
                <w:kern w:val="0"/>
                <w:sz w:val="22"/>
                <w:szCs w:val="22"/>
                <w:highlight w:val="none"/>
              </w:rPr>
              <w:t>依据的标准</w:t>
            </w:r>
          </w:p>
        </w:tc>
      </w:tr>
      <w:tr w14:paraId="486A9A05">
        <w:tblPrEx>
          <w:tblCellMar>
            <w:top w:w="0" w:type="dxa"/>
            <w:left w:w="108" w:type="dxa"/>
            <w:bottom w:w="0" w:type="dxa"/>
            <w:right w:w="108" w:type="dxa"/>
          </w:tblCellMar>
        </w:tblPrEx>
        <w:trPr>
          <w:trHeight w:val="495" w:hRule="atLeast"/>
        </w:trPr>
        <w:tc>
          <w:tcPr>
            <w:tcW w:w="691" w:type="dxa"/>
            <w:vMerge w:val="restart"/>
            <w:tcBorders>
              <w:top w:val="nil"/>
              <w:left w:val="single" w:color="000000" w:sz="8" w:space="0"/>
              <w:bottom w:val="single" w:color="000000" w:sz="8" w:space="0"/>
              <w:right w:val="single" w:color="000000" w:sz="8" w:space="0"/>
            </w:tcBorders>
            <w:vAlign w:val="center"/>
          </w:tcPr>
          <w:p w14:paraId="3AFE0271">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204" w:type="dxa"/>
            <w:vMerge w:val="restart"/>
            <w:tcBorders>
              <w:top w:val="nil"/>
              <w:left w:val="single" w:color="000000" w:sz="8" w:space="0"/>
              <w:bottom w:val="single" w:color="000000" w:sz="8" w:space="0"/>
              <w:right w:val="single" w:color="000000" w:sz="8" w:space="0"/>
            </w:tcBorders>
            <w:vAlign w:val="center"/>
          </w:tcPr>
          <w:p w14:paraId="75D3C4A3">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A020101计算机设备</w:t>
            </w:r>
          </w:p>
        </w:tc>
        <w:tc>
          <w:tcPr>
            <w:tcW w:w="1636" w:type="dxa"/>
            <w:tcBorders>
              <w:top w:val="nil"/>
              <w:left w:val="nil"/>
              <w:bottom w:val="single" w:color="000000" w:sz="8" w:space="0"/>
              <w:right w:val="single" w:color="000000" w:sz="8" w:space="0"/>
            </w:tcBorders>
            <w:vAlign w:val="center"/>
          </w:tcPr>
          <w:p w14:paraId="70B50E3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★A02010104台式计算机</w:t>
            </w:r>
          </w:p>
        </w:tc>
        <w:tc>
          <w:tcPr>
            <w:tcW w:w="1746" w:type="dxa"/>
            <w:tcBorders>
              <w:top w:val="nil"/>
              <w:left w:val="nil"/>
              <w:bottom w:val="single" w:color="000000" w:sz="8" w:space="0"/>
              <w:right w:val="single" w:color="000000" w:sz="8" w:space="0"/>
            </w:tcBorders>
            <w:vAlign w:val="center"/>
          </w:tcPr>
          <w:p w14:paraId="6C15ADA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0ED6632E">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《微型计算机能效限定值及能效等级》（GB28380）</w:t>
            </w:r>
          </w:p>
        </w:tc>
      </w:tr>
      <w:tr w14:paraId="4DDA4C9A">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0B3C4F12">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20FAFCB1">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57DBD62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★A02010105便携式计算机</w:t>
            </w:r>
          </w:p>
        </w:tc>
        <w:tc>
          <w:tcPr>
            <w:tcW w:w="1746" w:type="dxa"/>
            <w:tcBorders>
              <w:top w:val="nil"/>
              <w:left w:val="nil"/>
              <w:bottom w:val="single" w:color="000000" w:sz="8" w:space="0"/>
              <w:right w:val="single" w:color="000000" w:sz="8" w:space="0"/>
            </w:tcBorders>
            <w:vAlign w:val="center"/>
          </w:tcPr>
          <w:p w14:paraId="287F6441">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5D7E8D43">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《微型计算机能效限定值及能效等级》（GB28380）</w:t>
            </w:r>
          </w:p>
        </w:tc>
      </w:tr>
      <w:tr w14:paraId="7B572270">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55E1F615">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26D6443A">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6D48170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★A02010107平板式微型计算机</w:t>
            </w:r>
          </w:p>
        </w:tc>
        <w:tc>
          <w:tcPr>
            <w:tcW w:w="1746" w:type="dxa"/>
            <w:tcBorders>
              <w:top w:val="nil"/>
              <w:left w:val="nil"/>
              <w:bottom w:val="single" w:color="000000" w:sz="8" w:space="0"/>
              <w:right w:val="single" w:color="000000" w:sz="8" w:space="0"/>
            </w:tcBorders>
            <w:vAlign w:val="center"/>
          </w:tcPr>
          <w:p w14:paraId="152A0FB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0656767D">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《微型计算机能效限定值及能效等级》（GB28380）</w:t>
            </w:r>
          </w:p>
        </w:tc>
      </w:tr>
      <w:tr w14:paraId="1991C724">
        <w:tblPrEx>
          <w:tblCellMar>
            <w:top w:w="0" w:type="dxa"/>
            <w:left w:w="108" w:type="dxa"/>
            <w:bottom w:w="0" w:type="dxa"/>
            <w:right w:w="108" w:type="dxa"/>
          </w:tblCellMar>
        </w:tblPrEx>
        <w:trPr>
          <w:trHeight w:val="495" w:hRule="atLeast"/>
        </w:trPr>
        <w:tc>
          <w:tcPr>
            <w:tcW w:w="691" w:type="dxa"/>
            <w:vMerge w:val="restart"/>
            <w:tcBorders>
              <w:top w:val="nil"/>
              <w:left w:val="single" w:color="000000" w:sz="8" w:space="0"/>
              <w:bottom w:val="single" w:color="000000" w:sz="8" w:space="0"/>
              <w:right w:val="single" w:color="000000" w:sz="8" w:space="0"/>
            </w:tcBorders>
            <w:vAlign w:val="center"/>
          </w:tcPr>
          <w:p w14:paraId="6A3FD74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w:t>
            </w:r>
          </w:p>
        </w:tc>
        <w:tc>
          <w:tcPr>
            <w:tcW w:w="1204" w:type="dxa"/>
            <w:vMerge w:val="restart"/>
            <w:tcBorders>
              <w:top w:val="nil"/>
              <w:left w:val="single" w:color="000000" w:sz="8" w:space="0"/>
              <w:bottom w:val="single" w:color="000000" w:sz="8" w:space="0"/>
              <w:right w:val="single" w:color="000000" w:sz="8" w:space="0"/>
            </w:tcBorders>
            <w:vAlign w:val="center"/>
          </w:tcPr>
          <w:p w14:paraId="43E459D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A020106输入输出设备</w:t>
            </w:r>
          </w:p>
        </w:tc>
        <w:tc>
          <w:tcPr>
            <w:tcW w:w="1636" w:type="dxa"/>
            <w:vMerge w:val="restart"/>
            <w:tcBorders>
              <w:top w:val="nil"/>
              <w:left w:val="single" w:color="000000" w:sz="8" w:space="0"/>
              <w:bottom w:val="single" w:color="000000" w:sz="8" w:space="0"/>
              <w:right w:val="single" w:color="000000" w:sz="8" w:space="0"/>
            </w:tcBorders>
            <w:vAlign w:val="center"/>
          </w:tcPr>
          <w:p w14:paraId="02D6A85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A02010601打印设备</w:t>
            </w:r>
          </w:p>
        </w:tc>
        <w:tc>
          <w:tcPr>
            <w:tcW w:w="1746" w:type="dxa"/>
            <w:tcBorders>
              <w:top w:val="nil"/>
              <w:left w:val="nil"/>
              <w:bottom w:val="single" w:color="000000" w:sz="8" w:space="0"/>
              <w:right w:val="single" w:color="000000" w:sz="8" w:space="0"/>
            </w:tcBorders>
            <w:vAlign w:val="center"/>
          </w:tcPr>
          <w:p w14:paraId="0B9BF05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A0201060101喷墨打印机</w:t>
            </w:r>
          </w:p>
        </w:tc>
        <w:tc>
          <w:tcPr>
            <w:tcW w:w="4685" w:type="dxa"/>
            <w:tcBorders>
              <w:top w:val="nil"/>
              <w:left w:val="nil"/>
              <w:bottom w:val="single" w:color="000000" w:sz="8" w:space="0"/>
              <w:right w:val="single" w:color="000000" w:sz="8" w:space="0"/>
            </w:tcBorders>
            <w:vAlign w:val="center"/>
          </w:tcPr>
          <w:p w14:paraId="73E105FA">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《复印机、打印机和传真机能效限定值及能效等级》（GB21521）</w:t>
            </w:r>
          </w:p>
        </w:tc>
      </w:tr>
      <w:tr w14:paraId="33C0CF6D">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7E52794D">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1AE7090E">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7366315B">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45A271D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★A0201060102激光打印机</w:t>
            </w:r>
          </w:p>
        </w:tc>
        <w:tc>
          <w:tcPr>
            <w:tcW w:w="4685" w:type="dxa"/>
            <w:tcBorders>
              <w:top w:val="nil"/>
              <w:left w:val="nil"/>
              <w:bottom w:val="single" w:color="000000" w:sz="8" w:space="0"/>
              <w:right w:val="single" w:color="000000" w:sz="8" w:space="0"/>
            </w:tcBorders>
            <w:vAlign w:val="center"/>
          </w:tcPr>
          <w:p w14:paraId="7AF94E73">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《复印机、打印机和传真机能效限定值及能效等级》（GB21521）</w:t>
            </w:r>
          </w:p>
        </w:tc>
      </w:tr>
      <w:tr w14:paraId="6E29B1D6">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6081F1B3">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1428465C">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186BCB7E">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50A432C3">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★A0201060104针式打印机</w:t>
            </w:r>
          </w:p>
        </w:tc>
        <w:tc>
          <w:tcPr>
            <w:tcW w:w="4685" w:type="dxa"/>
            <w:tcBorders>
              <w:top w:val="nil"/>
              <w:left w:val="nil"/>
              <w:bottom w:val="single" w:color="000000" w:sz="8" w:space="0"/>
              <w:right w:val="single" w:color="000000" w:sz="8" w:space="0"/>
            </w:tcBorders>
            <w:vAlign w:val="center"/>
          </w:tcPr>
          <w:p w14:paraId="63A5159E">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《复印机、打印机和传真机能效限定值及能效等级》（GB21521）</w:t>
            </w:r>
          </w:p>
        </w:tc>
      </w:tr>
      <w:tr w14:paraId="07A0CC3C">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7BA966D0">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463BB83A">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399C97E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A02010604显示设备</w:t>
            </w:r>
          </w:p>
        </w:tc>
        <w:tc>
          <w:tcPr>
            <w:tcW w:w="1746" w:type="dxa"/>
            <w:tcBorders>
              <w:top w:val="nil"/>
              <w:left w:val="nil"/>
              <w:bottom w:val="single" w:color="000000" w:sz="8" w:space="0"/>
              <w:right w:val="single" w:color="000000" w:sz="8" w:space="0"/>
            </w:tcBorders>
            <w:vAlign w:val="center"/>
          </w:tcPr>
          <w:p w14:paraId="49F8216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★A0201060401液晶显示器</w:t>
            </w:r>
          </w:p>
        </w:tc>
        <w:tc>
          <w:tcPr>
            <w:tcW w:w="4685" w:type="dxa"/>
            <w:tcBorders>
              <w:top w:val="nil"/>
              <w:left w:val="nil"/>
              <w:bottom w:val="single" w:color="000000" w:sz="8" w:space="0"/>
              <w:right w:val="single" w:color="000000" w:sz="8" w:space="0"/>
            </w:tcBorders>
            <w:vAlign w:val="center"/>
          </w:tcPr>
          <w:p w14:paraId="0A56AAC1">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《计算机显示器能效限定值及能效等级》（GB21520）</w:t>
            </w:r>
          </w:p>
        </w:tc>
      </w:tr>
      <w:tr w14:paraId="54F2A785">
        <w:tblPrEx>
          <w:tblCellMar>
            <w:top w:w="0" w:type="dxa"/>
            <w:left w:w="108" w:type="dxa"/>
            <w:bottom w:w="0" w:type="dxa"/>
            <w:right w:w="108" w:type="dxa"/>
          </w:tblCellMar>
        </w:tblPrEx>
        <w:trPr>
          <w:trHeight w:val="975" w:hRule="atLeast"/>
        </w:trPr>
        <w:tc>
          <w:tcPr>
            <w:tcW w:w="691" w:type="dxa"/>
            <w:vMerge w:val="continue"/>
            <w:tcBorders>
              <w:top w:val="nil"/>
              <w:left w:val="single" w:color="000000" w:sz="8" w:space="0"/>
              <w:bottom w:val="single" w:color="000000" w:sz="8" w:space="0"/>
              <w:right w:val="single" w:color="000000" w:sz="8" w:space="0"/>
            </w:tcBorders>
            <w:vAlign w:val="center"/>
          </w:tcPr>
          <w:p w14:paraId="13D47000">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7AAF3441">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3D81E56A">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A02010609图形图像输入设备</w:t>
            </w:r>
          </w:p>
        </w:tc>
        <w:tc>
          <w:tcPr>
            <w:tcW w:w="1746" w:type="dxa"/>
            <w:tcBorders>
              <w:top w:val="nil"/>
              <w:left w:val="nil"/>
              <w:bottom w:val="single" w:color="000000" w:sz="8" w:space="0"/>
              <w:right w:val="single" w:color="000000" w:sz="8" w:space="0"/>
            </w:tcBorders>
            <w:vAlign w:val="center"/>
          </w:tcPr>
          <w:p w14:paraId="53595C0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A0201060901扫描仪</w:t>
            </w:r>
          </w:p>
        </w:tc>
        <w:tc>
          <w:tcPr>
            <w:tcW w:w="4685" w:type="dxa"/>
            <w:tcBorders>
              <w:top w:val="nil"/>
              <w:left w:val="nil"/>
              <w:bottom w:val="single" w:color="000000" w:sz="8" w:space="0"/>
              <w:right w:val="single" w:color="000000" w:sz="8" w:space="0"/>
            </w:tcBorders>
            <w:vAlign w:val="center"/>
          </w:tcPr>
          <w:p w14:paraId="7DDC6AFA">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参照《复印机、打印机和传真机能效限定值及能效等级》（GB21521中打印速度为15页/分的针式打印机相关要求中打印速度为15页/分的针式打印机相关要求</w:t>
            </w:r>
          </w:p>
        </w:tc>
      </w:tr>
      <w:tr w14:paraId="2A857029">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1BEE8BED">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3</w:t>
            </w:r>
          </w:p>
        </w:tc>
        <w:tc>
          <w:tcPr>
            <w:tcW w:w="1204" w:type="dxa"/>
            <w:tcBorders>
              <w:top w:val="nil"/>
              <w:left w:val="nil"/>
              <w:bottom w:val="single" w:color="000000" w:sz="8" w:space="0"/>
              <w:right w:val="single" w:color="000000" w:sz="8" w:space="0"/>
            </w:tcBorders>
            <w:vAlign w:val="center"/>
          </w:tcPr>
          <w:p w14:paraId="0829BBAD">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A020202投影仪</w:t>
            </w:r>
          </w:p>
        </w:tc>
        <w:tc>
          <w:tcPr>
            <w:tcW w:w="1636" w:type="dxa"/>
            <w:tcBorders>
              <w:top w:val="nil"/>
              <w:left w:val="nil"/>
              <w:bottom w:val="single" w:color="000000" w:sz="8" w:space="0"/>
              <w:right w:val="single" w:color="000000" w:sz="8" w:space="0"/>
            </w:tcBorders>
            <w:vAlign w:val="center"/>
          </w:tcPr>
          <w:p w14:paraId="7E9F3A0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746" w:type="dxa"/>
            <w:tcBorders>
              <w:top w:val="nil"/>
              <w:left w:val="nil"/>
              <w:bottom w:val="single" w:color="000000" w:sz="8" w:space="0"/>
              <w:right w:val="single" w:color="000000" w:sz="8" w:space="0"/>
            </w:tcBorders>
            <w:vAlign w:val="center"/>
          </w:tcPr>
          <w:p w14:paraId="648B9ABD">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3D427679">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《投影机能效限定值及能效等级》（GB32028）</w:t>
            </w:r>
          </w:p>
        </w:tc>
      </w:tr>
      <w:tr w14:paraId="15162CF9">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4B0FED26">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4</w:t>
            </w:r>
          </w:p>
        </w:tc>
        <w:tc>
          <w:tcPr>
            <w:tcW w:w="1204" w:type="dxa"/>
            <w:tcBorders>
              <w:top w:val="nil"/>
              <w:left w:val="nil"/>
              <w:bottom w:val="single" w:color="000000" w:sz="8" w:space="0"/>
              <w:right w:val="single" w:color="000000" w:sz="8" w:space="0"/>
            </w:tcBorders>
            <w:vAlign w:val="center"/>
          </w:tcPr>
          <w:p w14:paraId="0B989BD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A020204多功能一体机</w:t>
            </w:r>
          </w:p>
        </w:tc>
        <w:tc>
          <w:tcPr>
            <w:tcW w:w="1636" w:type="dxa"/>
            <w:tcBorders>
              <w:top w:val="nil"/>
              <w:left w:val="nil"/>
              <w:bottom w:val="single" w:color="000000" w:sz="8" w:space="0"/>
              <w:right w:val="single" w:color="000000" w:sz="8" w:space="0"/>
            </w:tcBorders>
            <w:vAlign w:val="center"/>
          </w:tcPr>
          <w:p w14:paraId="7DBA0303">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746" w:type="dxa"/>
            <w:tcBorders>
              <w:top w:val="nil"/>
              <w:left w:val="nil"/>
              <w:bottom w:val="single" w:color="000000" w:sz="8" w:space="0"/>
              <w:right w:val="single" w:color="000000" w:sz="8" w:space="0"/>
            </w:tcBorders>
            <w:vAlign w:val="center"/>
          </w:tcPr>
          <w:p w14:paraId="7DF6662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47BD68DB">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《复印机、打印机和传真机能效限定值及能效等级》（GB21521）</w:t>
            </w:r>
          </w:p>
        </w:tc>
      </w:tr>
      <w:tr w14:paraId="3BECE846">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682712D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5</w:t>
            </w:r>
          </w:p>
        </w:tc>
        <w:tc>
          <w:tcPr>
            <w:tcW w:w="1204" w:type="dxa"/>
            <w:tcBorders>
              <w:top w:val="nil"/>
              <w:left w:val="nil"/>
              <w:bottom w:val="single" w:color="000000" w:sz="8" w:space="0"/>
              <w:right w:val="single" w:color="000000" w:sz="8" w:space="0"/>
            </w:tcBorders>
            <w:vAlign w:val="center"/>
          </w:tcPr>
          <w:p w14:paraId="43EB8EC0">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A020519泵</w:t>
            </w:r>
          </w:p>
        </w:tc>
        <w:tc>
          <w:tcPr>
            <w:tcW w:w="1636" w:type="dxa"/>
            <w:tcBorders>
              <w:top w:val="nil"/>
              <w:left w:val="nil"/>
              <w:bottom w:val="single" w:color="000000" w:sz="8" w:space="0"/>
              <w:right w:val="single" w:color="000000" w:sz="8" w:space="0"/>
            </w:tcBorders>
            <w:vAlign w:val="center"/>
          </w:tcPr>
          <w:p w14:paraId="65ACAAE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A02051901离心泵</w:t>
            </w:r>
          </w:p>
        </w:tc>
        <w:tc>
          <w:tcPr>
            <w:tcW w:w="1746" w:type="dxa"/>
            <w:tcBorders>
              <w:top w:val="nil"/>
              <w:left w:val="nil"/>
              <w:bottom w:val="single" w:color="000000" w:sz="8" w:space="0"/>
              <w:right w:val="single" w:color="000000" w:sz="8" w:space="0"/>
            </w:tcBorders>
            <w:vAlign w:val="center"/>
          </w:tcPr>
          <w:p w14:paraId="3CA7934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73BD501C">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《清水离心泵能效限定值及节能评价值》（GB19762）</w:t>
            </w:r>
          </w:p>
        </w:tc>
      </w:tr>
      <w:tr w14:paraId="6C495A2B">
        <w:tblPrEx>
          <w:tblCellMar>
            <w:top w:w="0" w:type="dxa"/>
            <w:left w:w="108" w:type="dxa"/>
            <w:bottom w:w="0" w:type="dxa"/>
            <w:right w:w="108" w:type="dxa"/>
          </w:tblCellMar>
        </w:tblPrEx>
        <w:trPr>
          <w:trHeight w:val="735" w:hRule="atLeast"/>
        </w:trPr>
        <w:tc>
          <w:tcPr>
            <w:tcW w:w="691" w:type="dxa"/>
            <w:vMerge w:val="restart"/>
            <w:tcBorders>
              <w:top w:val="nil"/>
              <w:left w:val="single" w:color="000000" w:sz="8" w:space="0"/>
              <w:bottom w:val="single" w:color="000000" w:sz="8" w:space="0"/>
              <w:right w:val="single" w:color="000000" w:sz="8" w:space="0"/>
            </w:tcBorders>
            <w:vAlign w:val="center"/>
          </w:tcPr>
          <w:p w14:paraId="11C3D28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6</w:t>
            </w:r>
          </w:p>
        </w:tc>
        <w:tc>
          <w:tcPr>
            <w:tcW w:w="1204" w:type="dxa"/>
            <w:vMerge w:val="restart"/>
            <w:tcBorders>
              <w:top w:val="nil"/>
              <w:left w:val="single" w:color="000000" w:sz="8" w:space="0"/>
              <w:bottom w:val="single" w:color="000000" w:sz="8" w:space="0"/>
              <w:right w:val="single" w:color="000000" w:sz="8" w:space="0"/>
            </w:tcBorders>
            <w:vAlign w:val="center"/>
          </w:tcPr>
          <w:p w14:paraId="1DD8F411">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A020523制冷空调设备</w:t>
            </w:r>
          </w:p>
        </w:tc>
        <w:tc>
          <w:tcPr>
            <w:tcW w:w="1636" w:type="dxa"/>
            <w:vMerge w:val="restart"/>
            <w:tcBorders>
              <w:top w:val="nil"/>
              <w:left w:val="single" w:color="000000" w:sz="8" w:space="0"/>
              <w:bottom w:val="single" w:color="000000" w:sz="8" w:space="0"/>
              <w:right w:val="single" w:color="000000" w:sz="8" w:space="0"/>
            </w:tcBorders>
            <w:vAlign w:val="center"/>
          </w:tcPr>
          <w:p w14:paraId="33A942B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★A02052301制冷压缩机</w:t>
            </w:r>
          </w:p>
        </w:tc>
        <w:tc>
          <w:tcPr>
            <w:tcW w:w="1746" w:type="dxa"/>
            <w:tcBorders>
              <w:top w:val="nil"/>
              <w:left w:val="nil"/>
              <w:bottom w:val="single" w:color="000000" w:sz="8" w:space="0"/>
              <w:right w:val="single" w:color="000000" w:sz="8" w:space="0"/>
            </w:tcBorders>
            <w:vAlign w:val="center"/>
          </w:tcPr>
          <w:p w14:paraId="32D9F027">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冷水机组</w:t>
            </w:r>
          </w:p>
        </w:tc>
        <w:tc>
          <w:tcPr>
            <w:tcW w:w="4685" w:type="dxa"/>
            <w:tcBorders>
              <w:top w:val="nil"/>
              <w:left w:val="nil"/>
              <w:bottom w:val="single" w:color="000000" w:sz="8" w:space="0"/>
              <w:right w:val="single" w:color="000000" w:sz="8" w:space="0"/>
            </w:tcBorders>
            <w:vAlign w:val="center"/>
          </w:tcPr>
          <w:p w14:paraId="5F0AC18E">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《冷水机组能效限定值及能效等级》（GB19577），《低环境温度空气源热泵（冷水）机组能效限定值及能效等级》（GB37480）</w:t>
            </w:r>
          </w:p>
        </w:tc>
      </w:tr>
      <w:tr w14:paraId="04BEF2DE">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75455CBC">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24FE65B7">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221D638D">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0341D855">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水源热泵机组</w:t>
            </w:r>
          </w:p>
        </w:tc>
        <w:tc>
          <w:tcPr>
            <w:tcW w:w="4685" w:type="dxa"/>
            <w:tcBorders>
              <w:top w:val="nil"/>
              <w:left w:val="nil"/>
              <w:bottom w:val="single" w:color="000000" w:sz="8" w:space="0"/>
              <w:right w:val="single" w:color="000000" w:sz="8" w:space="0"/>
            </w:tcBorders>
            <w:vAlign w:val="center"/>
          </w:tcPr>
          <w:p w14:paraId="7CD92718">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《水（地）源热泵机组能效限定值及能效等级》（GB30721）</w:t>
            </w:r>
          </w:p>
        </w:tc>
      </w:tr>
      <w:tr w14:paraId="58416621">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2AF41E7C">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145574F5">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3EA5C1D1">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5980CB73">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溴化锂吸收式冷水机组</w:t>
            </w:r>
          </w:p>
        </w:tc>
        <w:tc>
          <w:tcPr>
            <w:tcW w:w="4685" w:type="dxa"/>
            <w:tcBorders>
              <w:top w:val="nil"/>
              <w:left w:val="nil"/>
              <w:bottom w:val="single" w:color="000000" w:sz="8" w:space="0"/>
              <w:right w:val="single" w:color="000000" w:sz="8" w:space="0"/>
            </w:tcBorders>
            <w:vAlign w:val="center"/>
          </w:tcPr>
          <w:p w14:paraId="083E5F09">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《溴化锂吸收式冷水机组能效限定值及能效等级》（GB29540）</w:t>
            </w:r>
          </w:p>
        </w:tc>
      </w:tr>
      <w:tr w14:paraId="029D81AC">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14FFADDE">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4F90A50A">
            <w:pPr>
              <w:widowControl/>
              <w:jc w:val="left"/>
              <w:rPr>
                <w:rFonts w:hint="eastAsia" w:ascii="宋体" w:hAnsi="宋体" w:eastAsia="宋体" w:cs="宋体"/>
                <w:kern w:val="0"/>
                <w:sz w:val="20"/>
                <w:szCs w:val="20"/>
                <w:highlight w:val="none"/>
              </w:rPr>
            </w:pPr>
          </w:p>
        </w:tc>
        <w:tc>
          <w:tcPr>
            <w:tcW w:w="1636" w:type="dxa"/>
            <w:vMerge w:val="restart"/>
            <w:tcBorders>
              <w:top w:val="nil"/>
              <w:left w:val="single" w:color="000000" w:sz="8" w:space="0"/>
              <w:bottom w:val="single" w:color="000000" w:sz="8" w:space="0"/>
              <w:right w:val="single" w:color="000000" w:sz="8" w:space="0"/>
            </w:tcBorders>
            <w:vAlign w:val="center"/>
          </w:tcPr>
          <w:p w14:paraId="74E411C0">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★A02052305空调机组</w:t>
            </w:r>
          </w:p>
        </w:tc>
        <w:tc>
          <w:tcPr>
            <w:tcW w:w="1746" w:type="dxa"/>
            <w:tcBorders>
              <w:top w:val="nil"/>
              <w:left w:val="nil"/>
              <w:bottom w:val="single" w:color="000000" w:sz="8" w:space="0"/>
              <w:right w:val="single" w:color="000000" w:sz="8" w:space="0"/>
            </w:tcBorders>
            <w:vAlign w:val="center"/>
          </w:tcPr>
          <w:p w14:paraId="45CBECB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多联式空调（热泵）机组(制冷量&gt;14000W)</w:t>
            </w:r>
          </w:p>
        </w:tc>
        <w:tc>
          <w:tcPr>
            <w:tcW w:w="4685" w:type="dxa"/>
            <w:tcBorders>
              <w:top w:val="nil"/>
              <w:left w:val="nil"/>
              <w:bottom w:val="single" w:color="000000" w:sz="8" w:space="0"/>
              <w:right w:val="single" w:color="000000" w:sz="8" w:space="0"/>
            </w:tcBorders>
            <w:vAlign w:val="center"/>
          </w:tcPr>
          <w:p w14:paraId="49C09F4D">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《多联式空调（热泵）机组能效限定值及能源效率等级》（GB21454）</w:t>
            </w:r>
          </w:p>
        </w:tc>
      </w:tr>
      <w:tr w14:paraId="51B9055D">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1936A501">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50AA4E08">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2EAC6941">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6ECDE2A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单元式空气调节机(制冷量&gt;14000W</w:t>
            </w:r>
          </w:p>
        </w:tc>
        <w:tc>
          <w:tcPr>
            <w:tcW w:w="4685" w:type="dxa"/>
            <w:tcBorders>
              <w:top w:val="nil"/>
              <w:left w:val="nil"/>
              <w:bottom w:val="single" w:color="000000" w:sz="8" w:space="0"/>
              <w:right w:val="single" w:color="000000" w:sz="8" w:space="0"/>
            </w:tcBorders>
            <w:vAlign w:val="center"/>
          </w:tcPr>
          <w:p w14:paraId="33637719">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《单元式空气调节机能效限定值及能效等级》（GB19576）《风管送风式空调机组能效限定值及能效等级》（GB37479）</w:t>
            </w:r>
          </w:p>
        </w:tc>
      </w:tr>
      <w:tr w14:paraId="2F33C6C6">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68C22D67">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25CB5CAB">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678669A1">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★A02052309专用制冷、空调设备</w:t>
            </w:r>
          </w:p>
        </w:tc>
        <w:tc>
          <w:tcPr>
            <w:tcW w:w="1746" w:type="dxa"/>
            <w:tcBorders>
              <w:top w:val="nil"/>
              <w:left w:val="nil"/>
              <w:bottom w:val="single" w:color="000000" w:sz="8" w:space="0"/>
              <w:right w:val="single" w:color="000000" w:sz="8" w:space="0"/>
            </w:tcBorders>
            <w:vAlign w:val="center"/>
          </w:tcPr>
          <w:p w14:paraId="2CCB22D7">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机房空调</w:t>
            </w:r>
          </w:p>
        </w:tc>
        <w:tc>
          <w:tcPr>
            <w:tcW w:w="4685" w:type="dxa"/>
            <w:tcBorders>
              <w:top w:val="nil"/>
              <w:left w:val="nil"/>
              <w:bottom w:val="single" w:color="000000" w:sz="8" w:space="0"/>
              <w:right w:val="single" w:color="000000" w:sz="8" w:space="0"/>
            </w:tcBorders>
            <w:vAlign w:val="center"/>
          </w:tcPr>
          <w:p w14:paraId="46E24C0E">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《单元式空气调节机能效限定值及能效等级》（GB19576）</w:t>
            </w:r>
          </w:p>
        </w:tc>
      </w:tr>
      <w:tr w14:paraId="2B4D60C7">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1E85DD25">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0391CE28">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31C4873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A02052399其他制冷空调设备</w:t>
            </w:r>
          </w:p>
        </w:tc>
        <w:tc>
          <w:tcPr>
            <w:tcW w:w="1746" w:type="dxa"/>
            <w:tcBorders>
              <w:top w:val="nil"/>
              <w:left w:val="nil"/>
              <w:bottom w:val="single" w:color="000000" w:sz="8" w:space="0"/>
              <w:right w:val="single" w:color="000000" w:sz="8" w:space="0"/>
            </w:tcBorders>
            <w:vAlign w:val="center"/>
          </w:tcPr>
          <w:p w14:paraId="6AA8E58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冷却塔</w:t>
            </w:r>
          </w:p>
        </w:tc>
        <w:tc>
          <w:tcPr>
            <w:tcW w:w="4685" w:type="dxa"/>
            <w:tcBorders>
              <w:top w:val="nil"/>
              <w:left w:val="nil"/>
              <w:bottom w:val="single" w:color="000000" w:sz="8" w:space="0"/>
              <w:right w:val="single" w:color="000000" w:sz="8" w:space="0"/>
            </w:tcBorders>
            <w:vAlign w:val="center"/>
          </w:tcPr>
          <w:p w14:paraId="29A88AAC">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《机械通风冷却塔第1部分：中小型开式冷却塔》（GB/T7190.1）；《机械通风冷却塔第2部分：大型开式冷却塔》（GB/T7190.2）</w:t>
            </w:r>
          </w:p>
        </w:tc>
      </w:tr>
      <w:tr w14:paraId="177B45AD">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4BC2BFC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7</w:t>
            </w:r>
          </w:p>
        </w:tc>
        <w:tc>
          <w:tcPr>
            <w:tcW w:w="1204" w:type="dxa"/>
            <w:tcBorders>
              <w:top w:val="nil"/>
              <w:left w:val="nil"/>
              <w:bottom w:val="single" w:color="000000" w:sz="8" w:space="0"/>
              <w:right w:val="single" w:color="000000" w:sz="8" w:space="0"/>
            </w:tcBorders>
            <w:vAlign w:val="center"/>
          </w:tcPr>
          <w:p w14:paraId="19ECE0BE">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A020601电机</w:t>
            </w:r>
          </w:p>
        </w:tc>
        <w:tc>
          <w:tcPr>
            <w:tcW w:w="1636" w:type="dxa"/>
            <w:tcBorders>
              <w:top w:val="nil"/>
              <w:left w:val="nil"/>
              <w:bottom w:val="single" w:color="000000" w:sz="8" w:space="0"/>
              <w:right w:val="single" w:color="000000" w:sz="8" w:space="0"/>
            </w:tcBorders>
            <w:vAlign w:val="center"/>
          </w:tcPr>
          <w:p w14:paraId="1C49DA2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746" w:type="dxa"/>
            <w:tcBorders>
              <w:top w:val="nil"/>
              <w:left w:val="nil"/>
              <w:bottom w:val="single" w:color="000000" w:sz="8" w:space="0"/>
              <w:right w:val="single" w:color="000000" w:sz="8" w:space="0"/>
            </w:tcBorders>
            <w:vAlign w:val="center"/>
          </w:tcPr>
          <w:p w14:paraId="559ECE3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2B65DC1A">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《中小型三相异步电动机能效限定值及能效等级》（GB18613）</w:t>
            </w:r>
          </w:p>
        </w:tc>
      </w:tr>
      <w:tr w14:paraId="69E4FA3C">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1C897963">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8</w:t>
            </w:r>
          </w:p>
        </w:tc>
        <w:tc>
          <w:tcPr>
            <w:tcW w:w="1204" w:type="dxa"/>
            <w:tcBorders>
              <w:top w:val="nil"/>
              <w:left w:val="nil"/>
              <w:bottom w:val="single" w:color="000000" w:sz="8" w:space="0"/>
              <w:right w:val="single" w:color="000000" w:sz="8" w:space="0"/>
            </w:tcBorders>
            <w:vAlign w:val="center"/>
          </w:tcPr>
          <w:p w14:paraId="44F50BE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A020602变压器</w:t>
            </w:r>
          </w:p>
        </w:tc>
        <w:tc>
          <w:tcPr>
            <w:tcW w:w="1636" w:type="dxa"/>
            <w:tcBorders>
              <w:top w:val="nil"/>
              <w:left w:val="nil"/>
              <w:bottom w:val="single" w:color="000000" w:sz="8" w:space="0"/>
              <w:right w:val="single" w:color="000000" w:sz="8" w:space="0"/>
            </w:tcBorders>
            <w:vAlign w:val="center"/>
          </w:tcPr>
          <w:p w14:paraId="520B037E">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配电变压器</w:t>
            </w:r>
          </w:p>
        </w:tc>
        <w:tc>
          <w:tcPr>
            <w:tcW w:w="1746" w:type="dxa"/>
            <w:tcBorders>
              <w:top w:val="nil"/>
              <w:left w:val="nil"/>
              <w:bottom w:val="single" w:color="000000" w:sz="8" w:space="0"/>
              <w:right w:val="single" w:color="000000" w:sz="8" w:space="0"/>
            </w:tcBorders>
            <w:vAlign w:val="center"/>
          </w:tcPr>
          <w:p w14:paraId="5081A63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3C8CAA46">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《三相配电变压器能效限定值及能效等级》（GB20052）</w:t>
            </w:r>
          </w:p>
        </w:tc>
      </w:tr>
      <w:tr w14:paraId="3E5BBE0C">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57330015">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9</w:t>
            </w:r>
          </w:p>
        </w:tc>
        <w:tc>
          <w:tcPr>
            <w:tcW w:w="1204" w:type="dxa"/>
            <w:tcBorders>
              <w:top w:val="nil"/>
              <w:left w:val="nil"/>
              <w:bottom w:val="single" w:color="000000" w:sz="8" w:space="0"/>
              <w:right w:val="single" w:color="000000" w:sz="8" w:space="0"/>
            </w:tcBorders>
            <w:vAlign w:val="center"/>
          </w:tcPr>
          <w:p w14:paraId="48FAA80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★A020609镇流器</w:t>
            </w:r>
          </w:p>
        </w:tc>
        <w:tc>
          <w:tcPr>
            <w:tcW w:w="1636" w:type="dxa"/>
            <w:tcBorders>
              <w:top w:val="nil"/>
              <w:left w:val="nil"/>
              <w:bottom w:val="single" w:color="000000" w:sz="8" w:space="0"/>
              <w:right w:val="single" w:color="000000" w:sz="8" w:space="0"/>
            </w:tcBorders>
            <w:vAlign w:val="center"/>
          </w:tcPr>
          <w:p w14:paraId="5373FFDA">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管型荧光灯镇流器</w:t>
            </w:r>
          </w:p>
        </w:tc>
        <w:tc>
          <w:tcPr>
            <w:tcW w:w="1746" w:type="dxa"/>
            <w:tcBorders>
              <w:top w:val="nil"/>
              <w:left w:val="nil"/>
              <w:bottom w:val="single" w:color="000000" w:sz="8" w:space="0"/>
              <w:right w:val="single" w:color="000000" w:sz="8" w:space="0"/>
            </w:tcBorders>
            <w:vAlign w:val="center"/>
          </w:tcPr>
          <w:p w14:paraId="1C90E23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53A14D7C">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《管形荧光灯镇流器能效限定值及能效等级》（GB17896）</w:t>
            </w:r>
          </w:p>
        </w:tc>
      </w:tr>
      <w:tr w14:paraId="7A4CF30C">
        <w:tblPrEx>
          <w:tblCellMar>
            <w:top w:w="0" w:type="dxa"/>
            <w:left w:w="108" w:type="dxa"/>
            <w:bottom w:w="0" w:type="dxa"/>
            <w:right w:w="108" w:type="dxa"/>
          </w:tblCellMar>
        </w:tblPrEx>
        <w:trPr>
          <w:trHeight w:val="495" w:hRule="atLeast"/>
        </w:trPr>
        <w:tc>
          <w:tcPr>
            <w:tcW w:w="691" w:type="dxa"/>
            <w:vMerge w:val="restart"/>
            <w:tcBorders>
              <w:top w:val="nil"/>
              <w:left w:val="single" w:color="000000" w:sz="8" w:space="0"/>
              <w:bottom w:val="single" w:color="000000" w:sz="8" w:space="0"/>
              <w:right w:val="single" w:color="000000" w:sz="8" w:space="0"/>
            </w:tcBorders>
            <w:vAlign w:val="center"/>
          </w:tcPr>
          <w:p w14:paraId="1B6A1335">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10</w:t>
            </w:r>
          </w:p>
        </w:tc>
        <w:tc>
          <w:tcPr>
            <w:tcW w:w="1204" w:type="dxa"/>
            <w:vMerge w:val="restart"/>
            <w:tcBorders>
              <w:top w:val="nil"/>
              <w:left w:val="single" w:color="000000" w:sz="8" w:space="0"/>
              <w:bottom w:val="single" w:color="000000" w:sz="8" w:space="0"/>
              <w:right w:val="single" w:color="000000" w:sz="8" w:space="0"/>
            </w:tcBorders>
            <w:vAlign w:val="center"/>
          </w:tcPr>
          <w:p w14:paraId="10AE656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A020618生活用电器</w:t>
            </w:r>
          </w:p>
        </w:tc>
        <w:tc>
          <w:tcPr>
            <w:tcW w:w="1636" w:type="dxa"/>
            <w:tcBorders>
              <w:top w:val="nil"/>
              <w:left w:val="nil"/>
              <w:bottom w:val="single" w:color="000000" w:sz="8" w:space="0"/>
              <w:right w:val="single" w:color="000000" w:sz="8" w:space="0"/>
            </w:tcBorders>
            <w:vAlign w:val="center"/>
          </w:tcPr>
          <w:p w14:paraId="24A6C04B">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A0206180101电冰箱</w:t>
            </w:r>
          </w:p>
        </w:tc>
        <w:tc>
          <w:tcPr>
            <w:tcW w:w="1746" w:type="dxa"/>
            <w:tcBorders>
              <w:top w:val="nil"/>
              <w:left w:val="nil"/>
              <w:bottom w:val="single" w:color="000000" w:sz="8" w:space="0"/>
              <w:right w:val="single" w:color="000000" w:sz="8" w:space="0"/>
            </w:tcBorders>
            <w:vAlign w:val="center"/>
          </w:tcPr>
          <w:p w14:paraId="5A7EA3A0">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64FAFBE7">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《家用电冰箱耗电量限定值及能效等级》（GB 12021.2）</w:t>
            </w:r>
          </w:p>
        </w:tc>
      </w:tr>
      <w:tr w14:paraId="7B1A4D0E">
        <w:tblPrEx>
          <w:tblCellMar>
            <w:top w:w="0" w:type="dxa"/>
            <w:left w:w="108" w:type="dxa"/>
            <w:bottom w:w="0" w:type="dxa"/>
            <w:right w:w="108" w:type="dxa"/>
          </w:tblCellMar>
        </w:tblPrEx>
        <w:trPr>
          <w:trHeight w:val="975" w:hRule="atLeast"/>
        </w:trPr>
        <w:tc>
          <w:tcPr>
            <w:tcW w:w="691" w:type="dxa"/>
            <w:vMerge w:val="continue"/>
            <w:tcBorders>
              <w:top w:val="nil"/>
              <w:left w:val="single" w:color="000000" w:sz="8" w:space="0"/>
              <w:bottom w:val="single" w:color="000000" w:sz="8" w:space="0"/>
              <w:right w:val="single" w:color="000000" w:sz="8" w:space="0"/>
            </w:tcBorders>
            <w:vAlign w:val="center"/>
          </w:tcPr>
          <w:p w14:paraId="7854F5DA">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1C46FA88">
            <w:pPr>
              <w:widowControl/>
              <w:jc w:val="left"/>
              <w:rPr>
                <w:rFonts w:hint="eastAsia" w:ascii="宋体" w:hAnsi="宋体" w:eastAsia="宋体" w:cs="宋体"/>
                <w:kern w:val="0"/>
                <w:sz w:val="20"/>
                <w:szCs w:val="20"/>
                <w:highlight w:val="none"/>
              </w:rPr>
            </w:pPr>
          </w:p>
        </w:tc>
        <w:tc>
          <w:tcPr>
            <w:tcW w:w="1636" w:type="dxa"/>
            <w:vMerge w:val="restart"/>
            <w:tcBorders>
              <w:top w:val="nil"/>
              <w:left w:val="single" w:color="000000" w:sz="8" w:space="0"/>
              <w:bottom w:val="single" w:color="000000" w:sz="8" w:space="0"/>
              <w:right w:val="single" w:color="000000" w:sz="8" w:space="0"/>
            </w:tcBorders>
            <w:vAlign w:val="center"/>
          </w:tcPr>
          <w:p w14:paraId="61E3D58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★A0206180203空调机</w:t>
            </w:r>
          </w:p>
        </w:tc>
        <w:tc>
          <w:tcPr>
            <w:tcW w:w="1746" w:type="dxa"/>
            <w:tcBorders>
              <w:top w:val="nil"/>
              <w:left w:val="nil"/>
              <w:bottom w:val="single" w:color="000000" w:sz="8" w:space="0"/>
              <w:right w:val="single" w:color="000000" w:sz="8" w:space="0"/>
            </w:tcBorders>
            <w:vAlign w:val="center"/>
          </w:tcPr>
          <w:p w14:paraId="4206C41E">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房间空气调节器</w:t>
            </w:r>
          </w:p>
        </w:tc>
        <w:tc>
          <w:tcPr>
            <w:tcW w:w="4685" w:type="dxa"/>
            <w:tcBorders>
              <w:top w:val="nil"/>
              <w:left w:val="nil"/>
              <w:bottom w:val="single" w:color="000000" w:sz="8" w:space="0"/>
              <w:right w:val="single" w:color="000000" w:sz="8" w:space="0"/>
            </w:tcBorders>
            <w:vAlign w:val="center"/>
          </w:tcPr>
          <w:p w14:paraId="557BD5B0">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《转速可控型房间空气调节器能效限定值及能效等级》（GB21455-2013），待2019年修订发布后，按《房间空气调节器能效限定值及能效等级》（GB21455-2019实施。</w:t>
            </w:r>
          </w:p>
        </w:tc>
      </w:tr>
      <w:tr w14:paraId="133DC875">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1215E677">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5F9D415A">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4CE66C98">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3F32B4FB">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多联式空调（热泵）机组（制冷量≤ 14000W）</w:t>
            </w:r>
          </w:p>
        </w:tc>
        <w:tc>
          <w:tcPr>
            <w:tcW w:w="4685" w:type="dxa"/>
            <w:tcBorders>
              <w:top w:val="nil"/>
              <w:left w:val="nil"/>
              <w:bottom w:val="single" w:color="000000" w:sz="8" w:space="0"/>
              <w:right w:val="single" w:color="000000" w:sz="8" w:space="0"/>
            </w:tcBorders>
            <w:vAlign w:val="center"/>
          </w:tcPr>
          <w:p w14:paraId="44BEE7A9">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《多联式空调（热泵）机组能效限定值及能源效率等级》（GB21454）</w:t>
            </w:r>
          </w:p>
        </w:tc>
      </w:tr>
      <w:tr w14:paraId="3803939C">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11A3FEBB">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48F15610">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640B487D">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7868519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单元式空气调节机(制冷量≤14000W)</w:t>
            </w:r>
          </w:p>
        </w:tc>
        <w:tc>
          <w:tcPr>
            <w:tcW w:w="4685" w:type="dxa"/>
            <w:tcBorders>
              <w:top w:val="nil"/>
              <w:left w:val="nil"/>
              <w:bottom w:val="single" w:color="000000" w:sz="8" w:space="0"/>
              <w:right w:val="single" w:color="000000" w:sz="8" w:space="0"/>
            </w:tcBorders>
            <w:vAlign w:val="center"/>
          </w:tcPr>
          <w:p w14:paraId="2F5A2CEC">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《单元式空气调节机能效限定值及能源效率等级》（GB19576）《风管送风式空调机组能效限定值及能效等级》（GB37479）</w:t>
            </w:r>
          </w:p>
        </w:tc>
      </w:tr>
      <w:tr w14:paraId="422483AA">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70768698">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7CD3413C">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39597AF5">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A0206180301洗衣机</w:t>
            </w:r>
          </w:p>
        </w:tc>
        <w:tc>
          <w:tcPr>
            <w:tcW w:w="1746" w:type="dxa"/>
            <w:tcBorders>
              <w:top w:val="nil"/>
              <w:left w:val="nil"/>
              <w:bottom w:val="single" w:color="000000" w:sz="8" w:space="0"/>
              <w:right w:val="single" w:color="000000" w:sz="8" w:space="0"/>
            </w:tcBorders>
            <w:vAlign w:val="center"/>
          </w:tcPr>
          <w:p w14:paraId="44D9C95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35A28034">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《电动洗衣机能效水效限定值及等级》（GB12021.4）</w:t>
            </w:r>
          </w:p>
        </w:tc>
      </w:tr>
      <w:tr w14:paraId="71B44A12">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39B5A586">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1BC7B180">
            <w:pPr>
              <w:widowControl/>
              <w:jc w:val="left"/>
              <w:rPr>
                <w:rFonts w:hint="eastAsia" w:ascii="宋体" w:hAnsi="宋体" w:eastAsia="宋体" w:cs="宋体"/>
                <w:kern w:val="0"/>
                <w:sz w:val="20"/>
                <w:szCs w:val="20"/>
                <w:highlight w:val="none"/>
              </w:rPr>
            </w:pPr>
          </w:p>
        </w:tc>
        <w:tc>
          <w:tcPr>
            <w:tcW w:w="1636" w:type="dxa"/>
            <w:vMerge w:val="restart"/>
            <w:tcBorders>
              <w:top w:val="nil"/>
              <w:left w:val="single" w:color="000000" w:sz="8" w:space="0"/>
              <w:bottom w:val="single" w:color="000000" w:sz="8" w:space="0"/>
              <w:right w:val="single" w:color="000000" w:sz="8" w:space="0"/>
            </w:tcBorders>
            <w:vAlign w:val="center"/>
          </w:tcPr>
          <w:p w14:paraId="564FB7B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A02061808热水器</w:t>
            </w:r>
          </w:p>
        </w:tc>
        <w:tc>
          <w:tcPr>
            <w:tcW w:w="1746" w:type="dxa"/>
            <w:tcBorders>
              <w:top w:val="nil"/>
              <w:left w:val="nil"/>
              <w:bottom w:val="single" w:color="000000" w:sz="8" w:space="0"/>
              <w:right w:val="single" w:color="000000" w:sz="8" w:space="0"/>
            </w:tcBorders>
            <w:vAlign w:val="center"/>
          </w:tcPr>
          <w:p w14:paraId="64B74D73">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★电热水器</w:t>
            </w:r>
          </w:p>
        </w:tc>
        <w:tc>
          <w:tcPr>
            <w:tcW w:w="4685" w:type="dxa"/>
            <w:tcBorders>
              <w:top w:val="nil"/>
              <w:left w:val="nil"/>
              <w:bottom w:val="single" w:color="000000" w:sz="8" w:space="0"/>
              <w:right w:val="single" w:color="000000" w:sz="8" w:space="0"/>
            </w:tcBorders>
            <w:vAlign w:val="center"/>
          </w:tcPr>
          <w:p w14:paraId="4A35BD4D">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《储水式电热水器能效限定值及能效等级》（GB21519）</w:t>
            </w:r>
          </w:p>
        </w:tc>
      </w:tr>
      <w:tr w14:paraId="1E03CFA0">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0ECBBE65">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34E0822B">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68C8F39B">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5A92F2BC">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燃气热水器</w:t>
            </w:r>
          </w:p>
        </w:tc>
        <w:tc>
          <w:tcPr>
            <w:tcW w:w="4685" w:type="dxa"/>
            <w:tcBorders>
              <w:top w:val="nil"/>
              <w:left w:val="nil"/>
              <w:bottom w:val="single" w:color="000000" w:sz="8" w:space="0"/>
              <w:right w:val="single" w:color="000000" w:sz="8" w:space="0"/>
            </w:tcBorders>
            <w:vAlign w:val="center"/>
          </w:tcPr>
          <w:p w14:paraId="12CDCEAF">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《家用燃气快速热水器和燃气采暖热水炉能效限定值及能效等级》（GB20665）</w:t>
            </w:r>
          </w:p>
        </w:tc>
      </w:tr>
      <w:tr w14:paraId="25D849AC">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109976EB">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3E1D9865">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20F6A300">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2DDC021B">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热泵热水器</w:t>
            </w:r>
          </w:p>
        </w:tc>
        <w:tc>
          <w:tcPr>
            <w:tcW w:w="4685" w:type="dxa"/>
            <w:tcBorders>
              <w:top w:val="nil"/>
              <w:left w:val="nil"/>
              <w:bottom w:val="single" w:color="000000" w:sz="8" w:space="0"/>
              <w:right w:val="single" w:color="000000" w:sz="8" w:space="0"/>
            </w:tcBorders>
            <w:vAlign w:val="center"/>
          </w:tcPr>
          <w:p w14:paraId="0721AA8E">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《热泵热水机（器）能效限定值及能效等级》（GB29541）</w:t>
            </w:r>
          </w:p>
        </w:tc>
      </w:tr>
      <w:tr w14:paraId="275756AB">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17665F0C">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57EF8B58">
            <w:pPr>
              <w:widowControl/>
              <w:jc w:val="left"/>
              <w:rPr>
                <w:rFonts w:hint="eastAsia" w:ascii="宋体" w:hAnsi="宋体" w:eastAsia="宋体" w:cs="宋体"/>
                <w:kern w:val="0"/>
                <w:sz w:val="20"/>
                <w:szCs w:val="20"/>
                <w:highlight w:val="none"/>
              </w:rPr>
            </w:pPr>
          </w:p>
        </w:tc>
        <w:tc>
          <w:tcPr>
            <w:tcW w:w="1636" w:type="dxa"/>
            <w:vMerge w:val="continue"/>
            <w:tcBorders>
              <w:top w:val="nil"/>
              <w:left w:val="single" w:color="000000" w:sz="8" w:space="0"/>
              <w:bottom w:val="single" w:color="000000" w:sz="8" w:space="0"/>
              <w:right w:val="single" w:color="000000" w:sz="8" w:space="0"/>
            </w:tcBorders>
            <w:vAlign w:val="center"/>
          </w:tcPr>
          <w:p w14:paraId="711C7877">
            <w:pPr>
              <w:widowControl/>
              <w:jc w:val="left"/>
              <w:rPr>
                <w:rFonts w:hint="eastAsia" w:ascii="宋体" w:hAnsi="宋体" w:eastAsia="宋体" w:cs="宋体"/>
                <w:kern w:val="0"/>
                <w:sz w:val="20"/>
                <w:szCs w:val="20"/>
                <w:highlight w:val="none"/>
              </w:rPr>
            </w:pPr>
          </w:p>
        </w:tc>
        <w:tc>
          <w:tcPr>
            <w:tcW w:w="1746" w:type="dxa"/>
            <w:tcBorders>
              <w:top w:val="nil"/>
              <w:left w:val="nil"/>
              <w:bottom w:val="single" w:color="000000" w:sz="8" w:space="0"/>
              <w:right w:val="single" w:color="000000" w:sz="8" w:space="0"/>
            </w:tcBorders>
            <w:vAlign w:val="center"/>
          </w:tcPr>
          <w:p w14:paraId="1548132B">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太阳能热水系统</w:t>
            </w:r>
          </w:p>
        </w:tc>
        <w:tc>
          <w:tcPr>
            <w:tcW w:w="4685" w:type="dxa"/>
            <w:tcBorders>
              <w:top w:val="nil"/>
              <w:left w:val="nil"/>
              <w:bottom w:val="single" w:color="000000" w:sz="8" w:space="0"/>
              <w:right w:val="single" w:color="000000" w:sz="8" w:space="0"/>
            </w:tcBorders>
            <w:vAlign w:val="center"/>
          </w:tcPr>
          <w:p w14:paraId="54FEEF15">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《家用太阳能热水系统能效限定值及能效等级》（GB26969）</w:t>
            </w:r>
          </w:p>
        </w:tc>
      </w:tr>
      <w:tr w14:paraId="150BAE50">
        <w:tblPrEx>
          <w:tblCellMar>
            <w:top w:w="0" w:type="dxa"/>
            <w:left w:w="108" w:type="dxa"/>
            <w:bottom w:w="0" w:type="dxa"/>
            <w:right w:w="108" w:type="dxa"/>
          </w:tblCellMar>
        </w:tblPrEx>
        <w:trPr>
          <w:trHeight w:val="495" w:hRule="atLeast"/>
        </w:trPr>
        <w:tc>
          <w:tcPr>
            <w:tcW w:w="691" w:type="dxa"/>
            <w:vMerge w:val="restart"/>
            <w:tcBorders>
              <w:top w:val="nil"/>
              <w:left w:val="single" w:color="000000" w:sz="8" w:space="0"/>
              <w:bottom w:val="single" w:color="000000" w:sz="8" w:space="0"/>
              <w:right w:val="single" w:color="000000" w:sz="8" w:space="0"/>
            </w:tcBorders>
            <w:vAlign w:val="center"/>
          </w:tcPr>
          <w:p w14:paraId="5B40EB9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11</w:t>
            </w:r>
          </w:p>
        </w:tc>
        <w:tc>
          <w:tcPr>
            <w:tcW w:w="1204" w:type="dxa"/>
            <w:vMerge w:val="restart"/>
            <w:tcBorders>
              <w:top w:val="nil"/>
              <w:left w:val="single" w:color="000000" w:sz="8" w:space="0"/>
              <w:bottom w:val="single" w:color="000000" w:sz="8" w:space="0"/>
              <w:right w:val="single" w:color="000000" w:sz="8" w:space="0"/>
            </w:tcBorders>
            <w:vAlign w:val="center"/>
          </w:tcPr>
          <w:p w14:paraId="3ABE8E1E">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A020619照明设备</w:t>
            </w:r>
          </w:p>
        </w:tc>
        <w:tc>
          <w:tcPr>
            <w:tcW w:w="1636" w:type="dxa"/>
            <w:tcBorders>
              <w:top w:val="nil"/>
              <w:left w:val="nil"/>
              <w:bottom w:val="single" w:color="000000" w:sz="8" w:space="0"/>
              <w:right w:val="single" w:color="000000" w:sz="8" w:space="0"/>
            </w:tcBorders>
            <w:vAlign w:val="center"/>
          </w:tcPr>
          <w:p w14:paraId="1C2910A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★普通照明用双端荧光灯</w:t>
            </w:r>
          </w:p>
        </w:tc>
        <w:tc>
          <w:tcPr>
            <w:tcW w:w="1746" w:type="dxa"/>
            <w:tcBorders>
              <w:top w:val="nil"/>
              <w:left w:val="nil"/>
              <w:bottom w:val="single" w:color="000000" w:sz="8" w:space="0"/>
              <w:right w:val="single" w:color="000000" w:sz="8" w:space="0"/>
            </w:tcBorders>
            <w:vAlign w:val="center"/>
          </w:tcPr>
          <w:p w14:paraId="44E12A57">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7A7A93F5">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《普通照明用双端荧光灯能效限定值及能效等级》（GB19043）</w:t>
            </w:r>
          </w:p>
        </w:tc>
      </w:tr>
      <w:tr w14:paraId="306D084B">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0B3121DB">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5D716DE2">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399D2DD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LED道路/隧道照明产品</w:t>
            </w:r>
          </w:p>
        </w:tc>
        <w:tc>
          <w:tcPr>
            <w:tcW w:w="1746" w:type="dxa"/>
            <w:tcBorders>
              <w:top w:val="nil"/>
              <w:left w:val="nil"/>
              <w:bottom w:val="single" w:color="000000" w:sz="8" w:space="0"/>
              <w:right w:val="single" w:color="000000" w:sz="8" w:space="0"/>
            </w:tcBorders>
            <w:vAlign w:val="center"/>
          </w:tcPr>
          <w:p w14:paraId="035DF5A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095E1385">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《道路和隧道照明用LED灯具能效限定值及能效等级》（GB37478）</w:t>
            </w:r>
          </w:p>
        </w:tc>
      </w:tr>
      <w:tr w14:paraId="497C0C5E">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7025445C">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0CFFECD3">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69F5CABD">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LED筒灯</w:t>
            </w:r>
          </w:p>
        </w:tc>
        <w:tc>
          <w:tcPr>
            <w:tcW w:w="1746" w:type="dxa"/>
            <w:tcBorders>
              <w:top w:val="nil"/>
              <w:left w:val="nil"/>
              <w:bottom w:val="single" w:color="000000" w:sz="8" w:space="0"/>
              <w:right w:val="single" w:color="000000" w:sz="8" w:space="0"/>
            </w:tcBorders>
            <w:vAlign w:val="center"/>
          </w:tcPr>
          <w:p w14:paraId="6C73A2D5">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4D44A561">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《室内照明用LED产品能效限定值及能效等级》（GB30255）</w:t>
            </w:r>
          </w:p>
        </w:tc>
      </w:tr>
      <w:tr w14:paraId="5F7A117C">
        <w:tblPrEx>
          <w:tblCellMar>
            <w:top w:w="0" w:type="dxa"/>
            <w:left w:w="108" w:type="dxa"/>
            <w:bottom w:w="0" w:type="dxa"/>
            <w:right w:w="108" w:type="dxa"/>
          </w:tblCellMar>
        </w:tblPrEx>
        <w:trPr>
          <w:trHeight w:val="735" w:hRule="atLeast"/>
        </w:trPr>
        <w:tc>
          <w:tcPr>
            <w:tcW w:w="691" w:type="dxa"/>
            <w:vMerge w:val="continue"/>
            <w:tcBorders>
              <w:top w:val="nil"/>
              <w:left w:val="single" w:color="000000" w:sz="8" w:space="0"/>
              <w:bottom w:val="single" w:color="000000" w:sz="8" w:space="0"/>
              <w:right w:val="single" w:color="000000" w:sz="8" w:space="0"/>
            </w:tcBorders>
            <w:vAlign w:val="center"/>
          </w:tcPr>
          <w:p w14:paraId="5BFCCEE1">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6DC144A7">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312D2CF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普通照明用非定向自镇流LED灯</w:t>
            </w:r>
          </w:p>
        </w:tc>
        <w:tc>
          <w:tcPr>
            <w:tcW w:w="1746" w:type="dxa"/>
            <w:tcBorders>
              <w:top w:val="nil"/>
              <w:left w:val="nil"/>
              <w:bottom w:val="single" w:color="000000" w:sz="8" w:space="0"/>
              <w:right w:val="single" w:color="000000" w:sz="8" w:space="0"/>
            </w:tcBorders>
            <w:vAlign w:val="center"/>
          </w:tcPr>
          <w:p w14:paraId="027A2B90">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48DC8CC2">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《室内照明用LED产品能效限定值及能效等级》（GB30255）</w:t>
            </w:r>
          </w:p>
        </w:tc>
      </w:tr>
      <w:tr w14:paraId="750A3B76">
        <w:tblPrEx>
          <w:tblCellMar>
            <w:top w:w="0" w:type="dxa"/>
            <w:left w:w="108" w:type="dxa"/>
            <w:bottom w:w="0" w:type="dxa"/>
            <w:right w:w="108" w:type="dxa"/>
          </w:tblCellMar>
        </w:tblPrEx>
        <w:trPr>
          <w:trHeight w:val="735" w:hRule="atLeast"/>
        </w:trPr>
        <w:tc>
          <w:tcPr>
            <w:tcW w:w="691" w:type="dxa"/>
            <w:tcBorders>
              <w:top w:val="nil"/>
              <w:left w:val="single" w:color="000000" w:sz="8" w:space="0"/>
              <w:bottom w:val="single" w:color="000000" w:sz="8" w:space="0"/>
              <w:right w:val="single" w:color="000000" w:sz="8" w:space="0"/>
            </w:tcBorders>
            <w:vAlign w:val="center"/>
          </w:tcPr>
          <w:p w14:paraId="393E702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12</w:t>
            </w:r>
          </w:p>
        </w:tc>
        <w:tc>
          <w:tcPr>
            <w:tcW w:w="1204" w:type="dxa"/>
            <w:tcBorders>
              <w:top w:val="nil"/>
              <w:left w:val="nil"/>
              <w:bottom w:val="single" w:color="000000" w:sz="8" w:space="0"/>
              <w:right w:val="single" w:color="000000" w:sz="8" w:space="0"/>
            </w:tcBorders>
            <w:vAlign w:val="center"/>
          </w:tcPr>
          <w:p w14:paraId="7C9E51C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★A020910电视设备</w:t>
            </w:r>
          </w:p>
        </w:tc>
        <w:tc>
          <w:tcPr>
            <w:tcW w:w="1636" w:type="dxa"/>
            <w:tcBorders>
              <w:top w:val="nil"/>
              <w:left w:val="nil"/>
              <w:bottom w:val="single" w:color="000000" w:sz="8" w:space="0"/>
              <w:right w:val="single" w:color="000000" w:sz="8" w:space="0"/>
            </w:tcBorders>
            <w:vAlign w:val="center"/>
          </w:tcPr>
          <w:p w14:paraId="30F327C9">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A02091001普通电视设备（电视机）</w:t>
            </w:r>
          </w:p>
        </w:tc>
        <w:tc>
          <w:tcPr>
            <w:tcW w:w="1746" w:type="dxa"/>
            <w:tcBorders>
              <w:top w:val="nil"/>
              <w:left w:val="nil"/>
              <w:bottom w:val="single" w:color="000000" w:sz="8" w:space="0"/>
              <w:right w:val="single" w:color="000000" w:sz="8" w:space="0"/>
            </w:tcBorders>
            <w:vAlign w:val="center"/>
          </w:tcPr>
          <w:p w14:paraId="21FE326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2648D0E2">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《平板电视能效限定值及能效等级》（GB24850）</w:t>
            </w:r>
          </w:p>
        </w:tc>
      </w:tr>
      <w:tr w14:paraId="30A73B54">
        <w:tblPrEx>
          <w:tblCellMar>
            <w:top w:w="0" w:type="dxa"/>
            <w:left w:w="108" w:type="dxa"/>
            <w:bottom w:w="0" w:type="dxa"/>
            <w:right w:w="108" w:type="dxa"/>
          </w:tblCellMar>
        </w:tblPrEx>
        <w:trPr>
          <w:trHeight w:val="975" w:hRule="atLeast"/>
        </w:trPr>
        <w:tc>
          <w:tcPr>
            <w:tcW w:w="691" w:type="dxa"/>
            <w:tcBorders>
              <w:top w:val="nil"/>
              <w:left w:val="single" w:color="000000" w:sz="8" w:space="0"/>
              <w:bottom w:val="single" w:color="000000" w:sz="8" w:space="0"/>
              <w:right w:val="single" w:color="000000" w:sz="8" w:space="0"/>
            </w:tcBorders>
            <w:vAlign w:val="center"/>
          </w:tcPr>
          <w:p w14:paraId="229D0271">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13</w:t>
            </w:r>
          </w:p>
        </w:tc>
        <w:tc>
          <w:tcPr>
            <w:tcW w:w="1204" w:type="dxa"/>
            <w:tcBorders>
              <w:top w:val="nil"/>
              <w:left w:val="nil"/>
              <w:bottom w:val="single" w:color="000000" w:sz="8" w:space="0"/>
              <w:right w:val="single" w:color="000000" w:sz="8" w:space="0"/>
            </w:tcBorders>
            <w:vAlign w:val="center"/>
          </w:tcPr>
          <w:p w14:paraId="609E456A">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★A020911视频设备</w:t>
            </w:r>
          </w:p>
        </w:tc>
        <w:tc>
          <w:tcPr>
            <w:tcW w:w="1636" w:type="dxa"/>
            <w:tcBorders>
              <w:top w:val="nil"/>
              <w:left w:val="nil"/>
              <w:bottom w:val="single" w:color="000000" w:sz="8" w:space="0"/>
              <w:right w:val="single" w:color="000000" w:sz="8" w:space="0"/>
            </w:tcBorders>
            <w:vAlign w:val="center"/>
          </w:tcPr>
          <w:p w14:paraId="7E332A9B">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A02091107视频监控设备</w:t>
            </w:r>
          </w:p>
        </w:tc>
        <w:tc>
          <w:tcPr>
            <w:tcW w:w="1746" w:type="dxa"/>
            <w:tcBorders>
              <w:top w:val="nil"/>
              <w:left w:val="nil"/>
              <w:bottom w:val="single" w:color="000000" w:sz="8" w:space="0"/>
              <w:right w:val="single" w:color="000000" w:sz="8" w:space="0"/>
            </w:tcBorders>
            <w:vAlign w:val="center"/>
          </w:tcPr>
          <w:p w14:paraId="3375E8F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监视器</w:t>
            </w:r>
          </w:p>
        </w:tc>
        <w:tc>
          <w:tcPr>
            <w:tcW w:w="4685" w:type="dxa"/>
            <w:tcBorders>
              <w:top w:val="nil"/>
              <w:left w:val="nil"/>
              <w:bottom w:val="single" w:color="000000" w:sz="8" w:space="0"/>
              <w:right w:val="single" w:color="000000" w:sz="8" w:space="0"/>
            </w:tcBorders>
            <w:vAlign w:val="center"/>
          </w:tcPr>
          <w:p w14:paraId="69118DB3">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BCD1383">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2948001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14</w:t>
            </w:r>
          </w:p>
        </w:tc>
        <w:tc>
          <w:tcPr>
            <w:tcW w:w="1204" w:type="dxa"/>
            <w:tcBorders>
              <w:top w:val="nil"/>
              <w:left w:val="nil"/>
              <w:bottom w:val="single" w:color="000000" w:sz="8" w:space="0"/>
              <w:right w:val="single" w:color="000000" w:sz="8" w:space="0"/>
            </w:tcBorders>
            <w:vAlign w:val="center"/>
          </w:tcPr>
          <w:p w14:paraId="6E41AB54">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A031210饮食炊事机械</w:t>
            </w:r>
          </w:p>
        </w:tc>
        <w:tc>
          <w:tcPr>
            <w:tcW w:w="1636" w:type="dxa"/>
            <w:tcBorders>
              <w:top w:val="nil"/>
              <w:left w:val="nil"/>
              <w:bottom w:val="single" w:color="000000" w:sz="8" w:space="0"/>
              <w:right w:val="single" w:color="000000" w:sz="8" w:space="0"/>
            </w:tcBorders>
            <w:vAlign w:val="center"/>
          </w:tcPr>
          <w:p w14:paraId="1DF1AFA5">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商用燃气灶具</w:t>
            </w:r>
          </w:p>
        </w:tc>
        <w:tc>
          <w:tcPr>
            <w:tcW w:w="1746" w:type="dxa"/>
            <w:tcBorders>
              <w:top w:val="nil"/>
              <w:left w:val="nil"/>
              <w:bottom w:val="single" w:color="000000" w:sz="8" w:space="0"/>
              <w:right w:val="single" w:color="000000" w:sz="8" w:space="0"/>
            </w:tcBorders>
            <w:vAlign w:val="center"/>
          </w:tcPr>
          <w:p w14:paraId="41E782BD">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3F9AFD53">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《商用燃气灶具能效限定值及能效等级》（GB30531）</w:t>
            </w:r>
          </w:p>
        </w:tc>
      </w:tr>
      <w:tr w14:paraId="1CD84020">
        <w:tblPrEx>
          <w:tblCellMar>
            <w:top w:w="0" w:type="dxa"/>
            <w:left w:w="108" w:type="dxa"/>
            <w:bottom w:w="0" w:type="dxa"/>
            <w:right w:w="108" w:type="dxa"/>
          </w:tblCellMar>
        </w:tblPrEx>
        <w:trPr>
          <w:trHeight w:val="285" w:hRule="atLeast"/>
        </w:trPr>
        <w:tc>
          <w:tcPr>
            <w:tcW w:w="691" w:type="dxa"/>
            <w:vMerge w:val="restart"/>
            <w:tcBorders>
              <w:top w:val="nil"/>
              <w:left w:val="single" w:color="000000" w:sz="8" w:space="0"/>
              <w:bottom w:val="single" w:color="000000" w:sz="8" w:space="0"/>
              <w:right w:val="single" w:color="000000" w:sz="8" w:space="0"/>
            </w:tcBorders>
            <w:vAlign w:val="center"/>
          </w:tcPr>
          <w:p w14:paraId="7992B8B6">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15</w:t>
            </w:r>
          </w:p>
        </w:tc>
        <w:tc>
          <w:tcPr>
            <w:tcW w:w="1204" w:type="dxa"/>
            <w:vMerge w:val="restart"/>
            <w:tcBorders>
              <w:top w:val="nil"/>
              <w:left w:val="single" w:color="000000" w:sz="8" w:space="0"/>
              <w:bottom w:val="single" w:color="000000" w:sz="8" w:space="0"/>
              <w:right w:val="single" w:color="000000" w:sz="8" w:space="0"/>
            </w:tcBorders>
            <w:vAlign w:val="center"/>
          </w:tcPr>
          <w:p w14:paraId="79B8091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★A060805便器</w:t>
            </w:r>
          </w:p>
        </w:tc>
        <w:tc>
          <w:tcPr>
            <w:tcW w:w="1636" w:type="dxa"/>
            <w:tcBorders>
              <w:top w:val="nil"/>
              <w:left w:val="nil"/>
              <w:bottom w:val="single" w:color="000000" w:sz="8" w:space="0"/>
              <w:right w:val="single" w:color="000000" w:sz="8" w:space="0"/>
            </w:tcBorders>
            <w:vAlign w:val="center"/>
          </w:tcPr>
          <w:p w14:paraId="0CD8507E">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坐便器</w:t>
            </w:r>
          </w:p>
        </w:tc>
        <w:tc>
          <w:tcPr>
            <w:tcW w:w="1746" w:type="dxa"/>
            <w:tcBorders>
              <w:top w:val="nil"/>
              <w:left w:val="nil"/>
              <w:bottom w:val="single" w:color="000000" w:sz="8" w:space="0"/>
              <w:right w:val="single" w:color="000000" w:sz="8" w:space="0"/>
            </w:tcBorders>
            <w:vAlign w:val="center"/>
          </w:tcPr>
          <w:p w14:paraId="13656DA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76454589">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《坐便器水效限定值及水效等级》（GB25502）</w:t>
            </w:r>
          </w:p>
        </w:tc>
      </w:tr>
      <w:tr w14:paraId="3B2A18AB">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79F55926">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1810F6DE">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020C27A7">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蹲便器</w:t>
            </w:r>
          </w:p>
        </w:tc>
        <w:tc>
          <w:tcPr>
            <w:tcW w:w="1746" w:type="dxa"/>
            <w:tcBorders>
              <w:top w:val="nil"/>
              <w:left w:val="nil"/>
              <w:bottom w:val="single" w:color="000000" w:sz="8" w:space="0"/>
              <w:right w:val="single" w:color="000000" w:sz="8" w:space="0"/>
            </w:tcBorders>
            <w:vAlign w:val="center"/>
          </w:tcPr>
          <w:p w14:paraId="6F5E7127">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0822F667">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《蹲便器用水效率限定值及用水效率等级》（GB30717）</w:t>
            </w:r>
          </w:p>
        </w:tc>
      </w:tr>
      <w:tr w14:paraId="47466CB9">
        <w:tblPrEx>
          <w:tblCellMar>
            <w:top w:w="0" w:type="dxa"/>
            <w:left w:w="108" w:type="dxa"/>
            <w:bottom w:w="0" w:type="dxa"/>
            <w:right w:w="108" w:type="dxa"/>
          </w:tblCellMar>
        </w:tblPrEx>
        <w:trPr>
          <w:trHeight w:val="495" w:hRule="atLeast"/>
        </w:trPr>
        <w:tc>
          <w:tcPr>
            <w:tcW w:w="691" w:type="dxa"/>
            <w:vMerge w:val="continue"/>
            <w:tcBorders>
              <w:top w:val="nil"/>
              <w:left w:val="single" w:color="000000" w:sz="8" w:space="0"/>
              <w:bottom w:val="single" w:color="000000" w:sz="8" w:space="0"/>
              <w:right w:val="single" w:color="000000" w:sz="8" w:space="0"/>
            </w:tcBorders>
            <w:vAlign w:val="center"/>
          </w:tcPr>
          <w:p w14:paraId="4C583918">
            <w:pPr>
              <w:widowControl/>
              <w:jc w:val="left"/>
              <w:rPr>
                <w:rFonts w:hint="eastAsia" w:ascii="宋体" w:hAnsi="宋体" w:eastAsia="宋体" w:cs="宋体"/>
                <w:kern w:val="0"/>
                <w:sz w:val="20"/>
                <w:szCs w:val="20"/>
                <w:highlight w:val="none"/>
              </w:rPr>
            </w:pPr>
          </w:p>
        </w:tc>
        <w:tc>
          <w:tcPr>
            <w:tcW w:w="1204" w:type="dxa"/>
            <w:vMerge w:val="continue"/>
            <w:tcBorders>
              <w:top w:val="nil"/>
              <w:left w:val="single" w:color="000000" w:sz="8" w:space="0"/>
              <w:bottom w:val="single" w:color="000000" w:sz="8" w:space="0"/>
              <w:right w:val="single" w:color="000000" w:sz="8" w:space="0"/>
            </w:tcBorders>
            <w:vAlign w:val="center"/>
          </w:tcPr>
          <w:p w14:paraId="0DC63685">
            <w:pPr>
              <w:widowControl/>
              <w:jc w:val="left"/>
              <w:rPr>
                <w:rFonts w:hint="eastAsia" w:ascii="宋体" w:hAnsi="宋体" w:eastAsia="宋体" w:cs="宋体"/>
                <w:kern w:val="0"/>
                <w:sz w:val="20"/>
                <w:szCs w:val="20"/>
                <w:highlight w:val="none"/>
              </w:rPr>
            </w:pPr>
          </w:p>
        </w:tc>
        <w:tc>
          <w:tcPr>
            <w:tcW w:w="1636" w:type="dxa"/>
            <w:tcBorders>
              <w:top w:val="nil"/>
              <w:left w:val="nil"/>
              <w:bottom w:val="single" w:color="000000" w:sz="8" w:space="0"/>
              <w:right w:val="single" w:color="000000" w:sz="8" w:space="0"/>
            </w:tcBorders>
            <w:vAlign w:val="center"/>
          </w:tcPr>
          <w:p w14:paraId="22411F78">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小便器</w:t>
            </w:r>
          </w:p>
        </w:tc>
        <w:tc>
          <w:tcPr>
            <w:tcW w:w="1746" w:type="dxa"/>
            <w:tcBorders>
              <w:top w:val="nil"/>
              <w:left w:val="nil"/>
              <w:bottom w:val="single" w:color="000000" w:sz="8" w:space="0"/>
              <w:right w:val="single" w:color="000000" w:sz="8" w:space="0"/>
            </w:tcBorders>
            <w:vAlign w:val="center"/>
          </w:tcPr>
          <w:p w14:paraId="6DFDA9F6">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7878CA87">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《小便器用水效率限定值及用水效率等级》（GB28377）</w:t>
            </w:r>
          </w:p>
        </w:tc>
      </w:tr>
      <w:tr w14:paraId="094EA9A9">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32CAFBCF">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16</w:t>
            </w:r>
          </w:p>
        </w:tc>
        <w:tc>
          <w:tcPr>
            <w:tcW w:w="1204" w:type="dxa"/>
            <w:tcBorders>
              <w:top w:val="nil"/>
              <w:left w:val="nil"/>
              <w:bottom w:val="single" w:color="000000" w:sz="8" w:space="0"/>
              <w:right w:val="single" w:color="000000" w:sz="8" w:space="0"/>
            </w:tcBorders>
            <w:vAlign w:val="center"/>
          </w:tcPr>
          <w:p w14:paraId="5FA19111">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★A060806水嘴</w:t>
            </w:r>
          </w:p>
        </w:tc>
        <w:tc>
          <w:tcPr>
            <w:tcW w:w="1636" w:type="dxa"/>
            <w:tcBorders>
              <w:top w:val="nil"/>
              <w:left w:val="nil"/>
              <w:bottom w:val="single" w:color="000000" w:sz="8" w:space="0"/>
              <w:right w:val="single" w:color="000000" w:sz="8" w:space="0"/>
            </w:tcBorders>
            <w:vAlign w:val="center"/>
          </w:tcPr>
          <w:p w14:paraId="73D154D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746" w:type="dxa"/>
            <w:tcBorders>
              <w:top w:val="nil"/>
              <w:left w:val="nil"/>
              <w:bottom w:val="single" w:color="000000" w:sz="8" w:space="0"/>
              <w:right w:val="single" w:color="000000" w:sz="8" w:space="0"/>
            </w:tcBorders>
            <w:vAlign w:val="center"/>
          </w:tcPr>
          <w:p w14:paraId="759D139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27FB5A55">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《水嘴用水效率限定值及用水效率等级》（GB 25501）</w:t>
            </w:r>
          </w:p>
        </w:tc>
      </w:tr>
      <w:tr w14:paraId="7EB9B7BB">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75858036">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17</w:t>
            </w:r>
          </w:p>
        </w:tc>
        <w:tc>
          <w:tcPr>
            <w:tcW w:w="1204" w:type="dxa"/>
            <w:tcBorders>
              <w:top w:val="nil"/>
              <w:left w:val="nil"/>
              <w:bottom w:val="single" w:color="000000" w:sz="8" w:space="0"/>
              <w:right w:val="single" w:color="000000" w:sz="8" w:space="0"/>
            </w:tcBorders>
            <w:vAlign w:val="center"/>
          </w:tcPr>
          <w:p w14:paraId="200A463B">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A060807便器冲洗阀</w:t>
            </w:r>
          </w:p>
        </w:tc>
        <w:tc>
          <w:tcPr>
            <w:tcW w:w="1636" w:type="dxa"/>
            <w:tcBorders>
              <w:top w:val="nil"/>
              <w:left w:val="nil"/>
              <w:bottom w:val="single" w:color="000000" w:sz="8" w:space="0"/>
              <w:right w:val="single" w:color="000000" w:sz="8" w:space="0"/>
            </w:tcBorders>
            <w:vAlign w:val="center"/>
          </w:tcPr>
          <w:p w14:paraId="245B6566">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746" w:type="dxa"/>
            <w:tcBorders>
              <w:top w:val="nil"/>
              <w:left w:val="nil"/>
              <w:bottom w:val="single" w:color="000000" w:sz="8" w:space="0"/>
              <w:right w:val="single" w:color="000000" w:sz="8" w:space="0"/>
            </w:tcBorders>
            <w:vAlign w:val="center"/>
          </w:tcPr>
          <w:p w14:paraId="0F625C1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4C61591C">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《便器冲洗阀用水效率限定值及用水效率等级》（GB28379）</w:t>
            </w:r>
          </w:p>
        </w:tc>
      </w:tr>
      <w:tr w14:paraId="632D3DFF">
        <w:tblPrEx>
          <w:tblCellMar>
            <w:top w:w="0" w:type="dxa"/>
            <w:left w:w="108" w:type="dxa"/>
            <w:bottom w:w="0" w:type="dxa"/>
            <w:right w:w="108" w:type="dxa"/>
          </w:tblCellMar>
        </w:tblPrEx>
        <w:trPr>
          <w:trHeight w:val="495" w:hRule="atLeast"/>
        </w:trPr>
        <w:tc>
          <w:tcPr>
            <w:tcW w:w="691" w:type="dxa"/>
            <w:tcBorders>
              <w:top w:val="nil"/>
              <w:left w:val="single" w:color="000000" w:sz="8" w:space="0"/>
              <w:bottom w:val="single" w:color="000000" w:sz="8" w:space="0"/>
              <w:right w:val="single" w:color="000000" w:sz="8" w:space="0"/>
            </w:tcBorders>
            <w:vAlign w:val="center"/>
          </w:tcPr>
          <w:p w14:paraId="55164637">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18</w:t>
            </w:r>
          </w:p>
        </w:tc>
        <w:tc>
          <w:tcPr>
            <w:tcW w:w="1204" w:type="dxa"/>
            <w:tcBorders>
              <w:top w:val="nil"/>
              <w:left w:val="nil"/>
              <w:bottom w:val="single" w:color="000000" w:sz="8" w:space="0"/>
              <w:right w:val="single" w:color="000000" w:sz="8" w:space="0"/>
            </w:tcBorders>
            <w:vAlign w:val="center"/>
          </w:tcPr>
          <w:p w14:paraId="53DEDFEE">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A060810淋浴器</w:t>
            </w:r>
          </w:p>
        </w:tc>
        <w:tc>
          <w:tcPr>
            <w:tcW w:w="1636" w:type="dxa"/>
            <w:tcBorders>
              <w:top w:val="nil"/>
              <w:left w:val="nil"/>
              <w:bottom w:val="single" w:color="000000" w:sz="8" w:space="0"/>
              <w:right w:val="single" w:color="000000" w:sz="8" w:space="0"/>
            </w:tcBorders>
            <w:vAlign w:val="center"/>
          </w:tcPr>
          <w:p w14:paraId="1E14AA12">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1746" w:type="dxa"/>
            <w:tcBorders>
              <w:top w:val="nil"/>
              <w:left w:val="nil"/>
              <w:bottom w:val="single" w:color="000000" w:sz="8" w:space="0"/>
              <w:right w:val="single" w:color="000000" w:sz="8" w:space="0"/>
            </w:tcBorders>
            <w:vAlign w:val="center"/>
          </w:tcPr>
          <w:p w14:paraId="10A7A84E">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4685" w:type="dxa"/>
            <w:tcBorders>
              <w:top w:val="nil"/>
              <w:left w:val="nil"/>
              <w:bottom w:val="single" w:color="000000" w:sz="8" w:space="0"/>
              <w:right w:val="single" w:color="000000" w:sz="8" w:space="0"/>
            </w:tcBorders>
            <w:vAlign w:val="center"/>
          </w:tcPr>
          <w:p w14:paraId="4149E092">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《淋浴器用水效率限定值及用水效率等级》（GB28378）</w:t>
            </w:r>
          </w:p>
        </w:tc>
      </w:tr>
    </w:tbl>
    <w:p w14:paraId="0B51ECA9">
      <w:pPr>
        <w:pStyle w:val="11"/>
        <w:spacing w:line="360" w:lineRule="auto"/>
        <w:rPr>
          <w:rFonts w:hint="eastAsia" w:ascii="宋体" w:hAnsi="宋体" w:eastAsia="宋体" w:cs="宋体"/>
          <w:szCs w:val="21"/>
          <w:highlight w:val="none"/>
        </w:rPr>
      </w:pPr>
      <w:r>
        <w:rPr>
          <w:rFonts w:hint="eastAsia" w:ascii="宋体" w:hAnsi="宋体" w:eastAsia="宋体" w:cs="宋体"/>
          <w:spacing w:val="-3"/>
          <w:szCs w:val="21"/>
          <w:highlight w:val="none"/>
        </w:rPr>
        <w:t>注：1.节能产品认证应依据相关国家标准的最新版本，依据国家标准中二级能效（水效）</w:t>
      </w:r>
      <w:r>
        <w:rPr>
          <w:rFonts w:hint="eastAsia" w:ascii="宋体" w:hAnsi="宋体" w:eastAsia="宋体" w:cs="宋体"/>
          <w:szCs w:val="21"/>
          <w:highlight w:val="none"/>
        </w:rPr>
        <w:t>指标。</w:t>
      </w:r>
    </w:p>
    <w:p w14:paraId="0A4BB0CA">
      <w:pPr>
        <w:pStyle w:val="9"/>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highlight w:val="none"/>
        </w:rPr>
        <w:t xml:space="preserve"> 2.以“★”标注的为政府强制采购产品。</w:t>
      </w:r>
      <w:r>
        <w:rPr>
          <w:rFonts w:hint="eastAsia" w:ascii="宋体" w:hAnsi="宋体" w:eastAsia="宋体" w:cs="宋体"/>
          <w:highlight w:val="none"/>
        </w:rPr>
        <w:br w:type="page"/>
      </w:r>
    </w:p>
    <w:p w14:paraId="6256036B">
      <w:pPr>
        <w:spacing w:line="320" w:lineRule="exact"/>
        <w:rPr>
          <w:rFonts w:hint="eastAsia" w:ascii="宋体" w:hAnsi="宋体" w:eastAsia="宋体" w:cs="宋体"/>
          <w:color w:val="auto"/>
          <w:highlight w:val="none"/>
        </w:rPr>
      </w:pPr>
    </w:p>
    <w:p w14:paraId="0B8F0F9B">
      <w:pPr>
        <w:pStyle w:val="15"/>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附件2：</w:t>
      </w:r>
    </w:p>
    <w:p w14:paraId="3E3C6653">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1"/>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202ABADB">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3F799791">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3B9B470B">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49CFEEB3">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6A2DDB3A">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035A2FFA">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0274B27C">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05457B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6759C2E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7275EF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7BD23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AE2C3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42D75B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4705D8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589C6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36F264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6AF2A0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6715E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733CD1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4545AEA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EE9F0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922EF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8D3ABF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75FAA6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204732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A7752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3518173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0DFA3B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35AEC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89E646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2396A1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45ECD3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4215B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107241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2B45C43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3205E9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E38854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A07D2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D03A2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8F874D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24B902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730010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AF1C75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0FE217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2CA3F4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7424F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8ABC30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085A376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28A798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77F94CD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05BEB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190ED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EE8630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BD820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34AAA7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78F6A5D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35CBE53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962BA4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6382ACF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C3B7F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68048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29CE5E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11004B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E5E88F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7FD1F9A">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AC344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C0D951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C177AE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48BA2B3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3F3BF4D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BC8AC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6D03FF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1BE63B5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DBBEBF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BB70D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3BC40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72594E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7C413A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61E4EC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414C63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FEE3B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11931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55FDCFD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7DDFF32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2AA0A7F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F7757B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2F54E1E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F562B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09D09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03AA67E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7FFB6D3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79BB854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43457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12656A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29436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53F23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019B15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5AE6074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7CB02E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42432B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7EFA4E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F4F8B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E38A6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7AB839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171A2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0883F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4B8CBB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65BED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993FAC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50DB0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6EC2DBF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993B2D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F2FDEC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B7537F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169A75D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7BCC5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D71529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691C24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4550B7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EFCB1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7D2D160">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C16151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99BF97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FDA0C9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1A01514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459184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377F3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5EC39F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45FD9E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13BE09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B053C8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7B0BF9A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4F87B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BC9F5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8DC5BD4">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898FC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A54BE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22CF66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6C00B6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66978DD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96FBB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0E9869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40C3C7F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469BA1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287930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6FA0D7E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C4E8F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A0409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041FBC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5563F9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1AE82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24F12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2C162E6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93FCE5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D685F6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BFE68F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687CEC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1DBDFB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3A5DC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2522F6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252A5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19B612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F0E474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059167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AE235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7B983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555F0D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1E1E6B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4E643F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775E2C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616486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025C5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BF006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1CF4E2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CC943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761581A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3496AC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49AD8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AB4E4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59448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354C315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0117CB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0252652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BFDC8B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6AFEB8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D76AD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3A9D7A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287ECF6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6E0818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C9EF70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9532B0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6A02C2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D0AD48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E6CF44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1A302D6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0E33836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FEA26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FAEC4A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6CF644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0EEDB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6801F6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FEC8D2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C60AEB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7C6C38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00C5EAE">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7F6ECC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96315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FB771B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3DA56E1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123F79D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E2394FD">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37C7BA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60C8F9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8A8049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CB366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87A98C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1C53E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7359DFCF">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2A86052">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footerReference r:id="rId10" w:type="default"/>
          <w:pgSz w:w="11910" w:h="16840"/>
          <w:pgMar w:top="1440" w:right="1080" w:bottom="1440" w:left="1080" w:header="720" w:footer="720" w:gutter="0"/>
          <w:pgNumType w:fmt="decimal"/>
          <w:cols w:space="720" w:num="1"/>
        </w:sectPr>
      </w:pPr>
    </w:p>
    <w:p w14:paraId="6FBEB029">
      <w:pPr>
        <w:pStyle w:val="2"/>
        <w:spacing w:line="360" w:lineRule="auto"/>
        <w:rPr>
          <w:rFonts w:hint="eastAsia" w:ascii="宋体" w:hAnsi="宋体" w:eastAsia="宋体" w:cs="宋体"/>
          <w:sz w:val="32"/>
          <w:szCs w:val="32"/>
          <w:highlight w:val="none"/>
        </w:rPr>
      </w:pPr>
      <w:bookmarkStart w:id="36" w:name="_Toc8433"/>
      <w:bookmarkStart w:id="37" w:name="_Toc80886927"/>
      <w:r>
        <w:rPr>
          <w:rFonts w:hint="eastAsia" w:ascii="宋体" w:hAnsi="宋体" w:eastAsia="宋体" w:cs="宋体"/>
          <w:sz w:val="32"/>
          <w:szCs w:val="32"/>
          <w:highlight w:val="none"/>
        </w:rPr>
        <w:t>附件</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w:t>
      </w:r>
      <w:bookmarkEnd w:id="36"/>
    </w:p>
    <w:p w14:paraId="27299AF1">
      <w:pPr>
        <w:pStyle w:val="2"/>
        <w:spacing w:line="360" w:lineRule="auto"/>
        <w:jc w:val="center"/>
        <w:rPr>
          <w:rFonts w:hint="eastAsia" w:ascii="宋体" w:hAnsi="宋体" w:eastAsia="宋体" w:cs="宋体"/>
          <w:b/>
          <w:sz w:val="30"/>
          <w:szCs w:val="30"/>
          <w:highlight w:val="none"/>
        </w:rPr>
      </w:pPr>
      <w:bookmarkStart w:id="38" w:name="_Toc28601"/>
      <w:r>
        <w:rPr>
          <w:rFonts w:hint="eastAsia" w:ascii="宋体" w:hAnsi="宋体" w:eastAsia="宋体" w:cs="宋体"/>
          <w:b/>
          <w:sz w:val="30"/>
          <w:szCs w:val="30"/>
          <w:highlight w:val="none"/>
        </w:rPr>
        <w:t>平台项目设备使用情况信息表</w:t>
      </w:r>
      <w:bookmarkEnd w:id="38"/>
    </w:p>
    <w:p w14:paraId="44321200">
      <w:pPr>
        <w:widowControl/>
        <w:spacing w:line="360" w:lineRule="auto"/>
        <w:ind w:firstLine="420"/>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平台项目目前处于使用中的设备具体包括云下机房、云上机房、展厅机房三部分：</w:t>
      </w:r>
    </w:p>
    <w:p w14:paraId="27E27138">
      <w:pPr>
        <w:spacing w:line="360" w:lineRule="auto"/>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1.云下机房设备信息表</w:t>
      </w:r>
    </w:p>
    <w:tbl>
      <w:tblPr>
        <w:tblStyle w:val="21"/>
        <w:tblpPr w:leftFromText="180" w:rightFromText="180" w:vertAnchor="text" w:horzAnchor="page" w:tblpX="1821" w:tblpY="413"/>
        <w:tblOverlap w:val="never"/>
        <w:tblW w:w="8222" w:type="dxa"/>
        <w:tblInd w:w="0" w:type="dxa"/>
        <w:tblLayout w:type="fixed"/>
        <w:tblCellMar>
          <w:top w:w="0" w:type="dxa"/>
          <w:left w:w="0" w:type="dxa"/>
          <w:bottom w:w="0" w:type="dxa"/>
          <w:right w:w="0" w:type="dxa"/>
        </w:tblCellMar>
      </w:tblPr>
      <w:tblGrid>
        <w:gridCol w:w="851"/>
        <w:gridCol w:w="1559"/>
        <w:gridCol w:w="1985"/>
        <w:gridCol w:w="3827"/>
      </w:tblGrid>
      <w:tr w14:paraId="1B58B4F1">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5B3F0">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167AF">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设备类型</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8F169">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业务用途</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E77B3">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设备厂商及型号</w:t>
            </w:r>
          </w:p>
        </w:tc>
      </w:tr>
      <w:tr w14:paraId="682E6759">
        <w:tblPrEx>
          <w:tblCellMar>
            <w:top w:w="0" w:type="dxa"/>
            <w:left w:w="0" w:type="dxa"/>
            <w:bottom w:w="0" w:type="dxa"/>
            <w:right w:w="0" w:type="dxa"/>
          </w:tblCellMar>
        </w:tblPrEx>
        <w:trPr>
          <w:trHeight w:val="5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FD29F">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2880F">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szCs w:val="21"/>
                <w:highlight w:val="none"/>
                <w:shd w:val="clear" w:color="auto" w:fill="FFFFFF"/>
              </w:rPr>
              <w:t>网络设备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584DC">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交换机</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BBDD3">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H3C S5500V2-28C-E1</w:t>
            </w:r>
          </w:p>
        </w:tc>
      </w:tr>
      <w:tr w14:paraId="0597CB82">
        <w:tblPrEx>
          <w:tblCellMar>
            <w:top w:w="0" w:type="dxa"/>
            <w:left w:w="0" w:type="dxa"/>
            <w:bottom w:w="0" w:type="dxa"/>
            <w:right w:w="0" w:type="dxa"/>
          </w:tblCellMar>
        </w:tblPrEx>
        <w:trPr>
          <w:trHeight w:val="533"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073EB">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330E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灾备设备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8BD9C">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灾备设备</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B152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科力锐灾备一体机DRS308</w:t>
            </w:r>
          </w:p>
        </w:tc>
      </w:tr>
      <w:tr w14:paraId="57C437F2">
        <w:tblPrEx>
          <w:tblCellMar>
            <w:top w:w="0" w:type="dxa"/>
            <w:left w:w="0" w:type="dxa"/>
            <w:bottom w:w="0" w:type="dxa"/>
            <w:right w:w="0" w:type="dxa"/>
          </w:tblCellMar>
        </w:tblPrEx>
        <w:trPr>
          <w:trHeight w:val="593"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EC9BE">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1D7C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管理设备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1D928">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IT运维监控平台</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84873">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网利友联 PIGOSS BSM</w:t>
            </w:r>
          </w:p>
        </w:tc>
      </w:tr>
      <w:tr w14:paraId="5B3AD650">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2CC149">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F75D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安全设备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47319">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漏洞扫描</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4AC2A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迪普Scanner1000-MS</w:t>
            </w:r>
          </w:p>
        </w:tc>
      </w:tr>
      <w:tr w14:paraId="074CAB79">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C592C">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2521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安全设备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FA7D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防火墙</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2F72E">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深信服NGAF-1000-B400</w:t>
            </w:r>
          </w:p>
        </w:tc>
      </w:tr>
      <w:tr w14:paraId="03DD45E7">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B2761B">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E219F">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管理设备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DDB30">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设备管理</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A0DF1A">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HP10642折叠显示操作台</w:t>
            </w:r>
          </w:p>
        </w:tc>
      </w:tr>
      <w:tr w14:paraId="5390D05B">
        <w:tblPrEx>
          <w:tblCellMar>
            <w:top w:w="0" w:type="dxa"/>
            <w:left w:w="0" w:type="dxa"/>
            <w:bottom w:w="0" w:type="dxa"/>
            <w:right w:w="0" w:type="dxa"/>
          </w:tblCellMar>
        </w:tblPrEx>
        <w:trPr>
          <w:trHeight w:val="857" w:hRule="atLeast"/>
        </w:trPr>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F067BA">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7</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99FE8">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主机设备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F1EE8">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网站服务器（备）</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243CF">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HP Proliant DL180 G6</w:t>
            </w:r>
          </w:p>
        </w:tc>
      </w:tr>
      <w:tr w14:paraId="622B1394">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575D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A9E5B">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主机设备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F7D43">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umc安全网管服务器</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E088D">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IBM System X3650 M3</w:t>
            </w:r>
          </w:p>
        </w:tc>
      </w:tr>
      <w:tr w14:paraId="784EDF8F">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B424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ADF35">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主机设备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DBE7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应用服务器（主）</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15719">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IBM System X3650 M3</w:t>
            </w:r>
          </w:p>
        </w:tc>
      </w:tr>
      <w:tr w14:paraId="7AB0D8B8">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EBB7C">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40C3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主机设备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32C40">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web服务器（备）</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791F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HP</w:t>
            </w:r>
          </w:p>
          <w:p w14:paraId="46A1221E">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ProLianf DL580 G5</w:t>
            </w:r>
          </w:p>
        </w:tc>
      </w:tr>
      <w:tr w14:paraId="4393BCDF">
        <w:tblPrEx>
          <w:tblCellMar>
            <w:top w:w="0" w:type="dxa"/>
            <w:left w:w="0" w:type="dxa"/>
            <w:bottom w:w="0" w:type="dxa"/>
            <w:right w:w="0" w:type="dxa"/>
          </w:tblCellMar>
        </w:tblPrEx>
        <w:trPr>
          <w:trHeight w:val="749" w:hRule="atLeast"/>
        </w:trPr>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A687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CFF1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主机设备</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FDE0A">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网站服务器（主）</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61945">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IBM X3850-X5</w:t>
            </w:r>
          </w:p>
        </w:tc>
      </w:tr>
      <w:tr w14:paraId="0AA8CB55">
        <w:tblPrEx>
          <w:tblCellMar>
            <w:top w:w="0" w:type="dxa"/>
            <w:left w:w="0" w:type="dxa"/>
            <w:bottom w:w="0" w:type="dxa"/>
            <w:right w:w="0" w:type="dxa"/>
          </w:tblCellMar>
        </w:tblPrEx>
        <w:trPr>
          <w:trHeight w:val="749" w:hRule="atLeast"/>
        </w:trPr>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9322F">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7FC1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省外短信系统</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296EE">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省外短信服务器</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4F38A">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拓扑龙工控</w:t>
            </w:r>
          </w:p>
        </w:tc>
      </w:tr>
      <w:tr w14:paraId="5FE249B6">
        <w:tblPrEx>
          <w:tblCellMar>
            <w:top w:w="0" w:type="dxa"/>
            <w:left w:w="0" w:type="dxa"/>
            <w:bottom w:w="0" w:type="dxa"/>
            <w:right w:w="0" w:type="dxa"/>
          </w:tblCellMar>
        </w:tblPrEx>
        <w:trPr>
          <w:trHeight w:val="747" w:hRule="atLeast"/>
        </w:trPr>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D1AC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13</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95F5B">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省内短信系统</w:t>
            </w:r>
          </w:p>
        </w:tc>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0B539">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省内短信服务器</w:t>
            </w:r>
          </w:p>
        </w:tc>
        <w:tc>
          <w:tcPr>
            <w:tcW w:w="38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546F4A">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DELL EMC PowerEdge R203</w:t>
            </w:r>
          </w:p>
        </w:tc>
      </w:tr>
    </w:tbl>
    <w:p w14:paraId="04DAF8A5">
      <w:pPr>
        <w:jc w:val="both"/>
        <w:rPr>
          <w:rFonts w:hint="eastAsia" w:ascii="宋体" w:hAnsi="宋体" w:eastAsia="宋体" w:cs="宋体"/>
          <w:sz w:val="30"/>
          <w:szCs w:val="30"/>
          <w:highlight w:val="none"/>
        </w:rPr>
      </w:pPr>
    </w:p>
    <w:p w14:paraId="3A8BDCDA">
      <w:pPr>
        <w:jc w:val="center"/>
        <w:rPr>
          <w:rFonts w:hint="eastAsia" w:ascii="宋体" w:hAnsi="宋体" w:eastAsia="宋体" w:cs="宋体"/>
          <w:sz w:val="30"/>
          <w:szCs w:val="30"/>
          <w:highlight w:val="none"/>
        </w:rPr>
      </w:pPr>
    </w:p>
    <w:p w14:paraId="3A36EDB8">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br w:type="page"/>
      </w:r>
      <w:r>
        <w:rPr>
          <w:rFonts w:hint="eastAsia" w:ascii="宋体" w:hAnsi="宋体" w:eastAsia="宋体" w:cs="宋体"/>
          <w:sz w:val="30"/>
          <w:szCs w:val="30"/>
          <w:highlight w:val="none"/>
        </w:rPr>
        <w:t>2.云上设备信息表</w:t>
      </w:r>
    </w:p>
    <w:tbl>
      <w:tblPr>
        <w:tblStyle w:val="21"/>
        <w:tblpPr w:leftFromText="180" w:rightFromText="180" w:vertAnchor="text" w:horzAnchor="page" w:tblpX="1926" w:tblpY="400"/>
        <w:tblOverlap w:val="never"/>
        <w:tblW w:w="8319" w:type="dxa"/>
        <w:tblInd w:w="0" w:type="dxa"/>
        <w:tblLayout w:type="fixed"/>
        <w:tblCellMar>
          <w:top w:w="0" w:type="dxa"/>
          <w:left w:w="0" w:type="dxa"/>
          <w:bottom w:w="0" w:type="dxa"/>
          <w:right w:w="0" w:type="dxa"/>
        </w:tblCellMar>
      </w:tblPr>
      <w:tblGrid>
        <w:gridCol w:w="952"/>
        <w:gridCol w:w="2471"/>
        <w:gridCol w:w="4896"/>
      </w:tblGrid>
      <w:tr w14:paraId="73DB9614">
        <w:tblPrEx>
          <w:tblCellMar>
            <w:top w:w="0" w:type="dxa"/>
            <w:left w:w="0" w:type="dxa"/>
            <w:bottom w:w="0" w:type="dxa"/>
            <w:right w:w="0" w:type="dxa"/>
          </w:tblCellMar>
        </w:tblPrEx>
        <w:trPr>
          <w:trHeight w:val="50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58D2C5">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DA3C46">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设备类型</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7DD3B8">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业务用途</w:t>
            </w:r>
          </w:p>
        </w:tc>
      </w:tr>
      <w:tr w14:paraId="588AD601">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1D6C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0AFE9">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C3C94">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门户网站服务器</w:t>
            </w:r>
          </w:p>
        </w:tc>
      </w:tr>
      <w:tr w14:paraId="1D7F5FA0">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4F7C2">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7838A">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E1985">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内容网站服务器</w:t>
            </w:r>
          </w:p>
        </w:tc>
      </w:tr>
      <w:tr w14:paraId="4CE0425B">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25CD4">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3</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D6E36">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A7CE5">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后台管理服务器</w:t>
            </w:r>
          </w:p>
        </w:tc>
      </w:tr>
      <w:tr w14:paraId="13967C91">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16309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4</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AF3C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58B010">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APP服务器</w:t>
            </w:r>
          </w:p>
        </w:tc>
      </w:tr>
      <w:tr w14:paraId="2AA122F3">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B44F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5</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BE9F5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14666">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管理平台</w:t>
            </w:r>
          </w:p>
        </w:tc>
      </w:tr>
      <w:tr w14:paraId="19D796FB">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EE8B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6</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09798">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62AB0">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邮件服务器</w:t>
            </w:r>
          </w:p>
        </w:tc>
      </w:tr>
      <w:tr w14:paraId="62CA00FB">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1D7F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7</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544B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0CA90">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在线考评系统服务器</w:t>
            </w:r>
          </w:p>
        </w:tc>
      </w:tr>
      <w:tr w14:paraId="1E4F47C0">
        <w:tblPrEx>
          <w:tblCellMar>
            <w:top w:w="0" w:type="dxa"/>
            <w:left w:w="0" w:type="dxa"/>
            <w:bottom w:w="0" w:type="dxa"/>
            <w:right w:w="0" w:type="dxa"/>
          </w:tblCellMar>
        </w:tblPrEx>
        <w:trPr>
          <w:trHeight w:val="720"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E5386">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23A1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虚拟主机设备</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43139">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数据库服务器</w:t>
            </w:r>
          </w:p>
        </w:tc>
      </w:tr>
    </w:tbl>
    <w:p w14:paraId="3DA6A947">
      <w:pPr>
        <w:jc w:val="center"/>
        <w:rPr>
          <w:rFonts w:hint="eastAsia" w:ascii="宋体" w:hAnsi="宋体" w:eastAsia="宋体" w:cs="宋体"/>
          <w:sz w:val="30"/>
          <w:szCs w:val="30"/>
          <w:highlight w:val="none"/>
        </w:rPr>
      </w:pPr>
    </w:p>
    <w:p w14:paraId="6E5D90A4">
      <w:pPr>
        <w:jc w:val="both"/>
        <w:rPr>
          <w:rFonts w:hint="eastAsia" w:ascii="宋体" w:hAnsi="宋体" w:eastAsia="宋体" w:cs="宋体"/>
          <w:sz w:val="30"/>
          <w:szCs w:val="30"/>
          <w:highlight w:val="none"/>
        </w:rPr>
      </w:pPr>
    </w:p>
    <w:p w14:paraId="187A75E2">
      <w:pPr>
        <w:jc w:val="both"/>
        <w:rPr>
          <w:rFonts w:hint="eastAsia" w:ascii="宋体" w:hAnsi="宋体" w:eastAsia="宋体" w:cs="宋体"/>
          <w:sz w:val="30"/>
          <w:szCs w:val="30"/>
          <w:highlight w:val="none"/>
        </w:rPr>
      </w:pPr>
    </w:p>
    <w:p w14:paraId="770AFF0D">
      <w:pPr>
        <w:jc w:val="center"/>
        <w:rPr>
          <w:rFonts w:hint="eastAsia" w:ascii="宋体" w:hAnsi="宋体" w:eastAsia="宋体" w:cs="宋体"/>
          <w:sz w:val="30"/>
          <w:szCs w:val="30"/>
          <w:highlight w:val="none"/>
        </w:rPr>
      </w:pPr>
    </w:p>
    <w:p w14:paraId="3119F089">
      <w:pPr>
        <w:jc w:val="center"/>
        <w:rPr>
          <w:rFonts w:hint="eastAsia" w:ascii="宋体" w:hAnsi="宋体" w:eastAsia="宋体" w:cs="宋体"/>
          <w:sz w:val="30"/>
          <w:szCs w:val="30"/>
          <w:highlight w:val="none"/>
        </w:rPr>
      </w:pPr>
    </w:p>
    <w:p w14:paraId="577D174D">
      <w:pPr>
        <w:jc w:val="center"/>
        <w:rPr>
          <w:rFonts w:hint="eastAsia" w:ascii="宋体" w:hAnsi="宋体" w:eastAsia="宋体" w:cs="宋体"/>
          <w:sz w:val="30"/>
          <w:szCs w:val="30"/>
          <w:highlight w:val="none"/>
        </w:rPr>
      </w:pPr>
    </w:p>
    <w:p w14:paraId="61EED58F">
      <w:pPr>
        <w:jc w:val="center"/>
        <w:rPr>
          <w:rFonts w:hint="eastAsia" w:ascii="宋体" w:hAnsi="宋体" w:eastAsia="宋体" w:cs="宋体"/>
          <w:sz w:val="30"/>
          <w:szCs w:val="30"/>
          <w:highlight w:val="none"/>
        </w:rPr>
      </w:pPr>
    </w:p>
    <w:p w14:paraId="7D1C166E">
      <w:pPr>
        <w:jc w:val="center"/>
        <w:rPr>
          <w:rFonts w:hint="eastAsia" w:ascii="宋体" w:hAnsi="宋体" w:eastAsia="宋体" w:cs="宋体"/>
          <w:sz w:val="30"/>
          <w:szCs w:val="30"/>
          <w:highlight w:val="none"/>
        </w:rPr>
      </w:pPr>
    </w:p>
    <w:p w14:paraId="12B97649">
      <w:pPr>
        <w:jc w:val="center"/>
        <w:rPr>
          <w:rFonts w:hint="eastAsia" w:ascii="宋体" w:hAnsi="宋体" w:eastAsia="宋体" w:cs="宋体"/>
          <w:sz w:val="30"/>
          <w:szCs w:val="30"/>
          <w:highlight w:val="none"/>
        </w:rPr>
      </w:pPr>
    </w:p>
    <w:p w14:paraId="0B547A4A">
      <w:pPr>
        <w:jc w:val="center"/>
        <w:rPr>
          <w:rFonts w:hint="eastAsia" w:ascii="宋体" w:hAnsi="宋体" w:eastAsia="宋体" w:cs="宋体"/>
          <w:sz w:val="30"/>
          <w:szCs w:val="30"/>
          <w:highlight w:val="none"/>
        </w:rPr>
      </w:pPr>
    </w:p>
    <w:p w14:paraId="0122F1DE">
      <w:pPr>
        <w:jc w:val="center"/>
        <w:rPr>
          <w:rFonts w:hint="eastAsia" w:ascii="宋体" w:hAnsi="宋体" w:eastAsia="宋体" w:cs="宋体"/>
          <w:sz w:val="30"/>
          <w:szCs w:val="30"/>
          <w:highlight w:val="none"/>
        </w:rPr>
      </w:pPr>
    </w:p>
    <w:p w14:paraId="657E97E7">
      <w:pPr>
        <w:jc w:val="center"/>
        <w:rPr>
          <w:rFonts w:hint="eastAsia" w:ascii="宋体" w:hAnsi="宋体" w:eastAsia="宋体" w:cs="宋体"/>
          <w:sz w:val="30"/>
          <w:szCs w:val="30"/>
          <w:highlight w:val="none"/>
        </w:rPr>
      </w:pPr>
    </w:p>
    <w:p w14:paraId="71DCC10D">
      <w:pPr>
        <w:jc w:val="center"/>
        <w:rPr>
          <w:rFonts w:hint="eastAsia" w:ascii="宋体" w:hAnsi="宋体" w:eastAsia="宋体" w:cs="宋体"/>
          <w:sz w:val="30"/>
          <w:szCs w:val="30"/>
          <w:highlight w:val="none"/>
        </w:rPr>
      </w:pPr>
    </w:p>
    <w:p w14:paraId="25D0C833">
      <w:pPr>
        <w:jc w:val="center"/>
        <w:rPr>
          <w:rFonts w:hint="eastAsia" w:ascii="宋体" w:hAnsi="宋体" w:eastAsia="宋体" w:cs="宋体"/>
          <w:sz w:val="30"/>
          <w:szCs w:val="30"/>
          <w:highlight w:val="none"/>
        </w:rPr>
      </w:pPr>
    </w:p>
    <w:p w14:paraId="4DDB8473">
      <w:pPr>
        <w:jc w:val="center"/>
        <w:rPr>
          <w:rFonts w:hint="eastAsia" w:ascii="宋体" w:hAnsi="宋体" w:eastAsia="宋体" w:cs="宋体"/>
          <w:sz w:val="30"/>
          <w:szCs w:val="30"/>
          <w:highlight w:val="none"/>
        </w:rPr>
      </w:pPr>
    </w:p>
    <w:p w14:paraId="0159F647">
      <w:pPr>
        <w:jc w:val="center"/>
        <w:rPr>
          <w:rFonts w:hint="eastAsia" w:ascii="宋体" w:hAnsi="宋体" w:eastAsia="宋体" w:cs="宋体"/>
          <w:sz w:val="30"/>
          <w:szCs w:val="30"/>
          <w:highlight w:val="none"/>
        </w:rPr>
      </w:pPr>
    </w:p>
    <w:p w14:paraId="07A7EEAD">
      <w:pPr>
        <w:jc w:val="center"/>
        <w:rPr>
          <w:rFonts w:hint="eastAsia" w:ascii="宋体" w:hAnsi="宋体" w:eastAsia="宋体" w:cs="宋体"/>
          <w:sz w:val="30"/>
          <w:szCs w:val="30"/>
          <w:highlight w:val="none"/>
        </w:rPr>
      </w:pPr>
    </w:p>
    <w:p w14:paraId="5C3FF41E">
      <w:pPr>
        <w:jc w:val="center"/>
        <w:rPr>
          <w:rFonts w:hint="eastAsia" w:ascii="宋体" w:hAnsi="宋体" w:eastAsia="宋体" w:cs="宋体"/>
          <w:sz w:val="30"/>
          <w:szCs w:val="30"/>
          <w:highlight w:val="none"/>
        </w:rPr>
      </w:pPr>
    </w:p>
    <w:p w14:paraId="3792517E">
      <w:pPr>
        <w:jc w:val="center"/>
        <w:rPr>
          <w:rFonts w:hint="eastAsia" w:ascii="宋体" w:hAnsi="宋体" w:eastAsia="宋体" w:cs="宋体"/>
          <w:sz w:val="30"/>
          <w:szCs w:val="30"/>
          <w:highlight w:val="none"/>
        </w:rPr>
      </w:pPr>
    </w:p>
    <w:p w14:paraId="129E72CD">
      <w:pPr>
        <w:jc w:val="center"/>
        <w:rPr>
          <w:rFonts w:hint="eastAsia" w:ascii="宋体" w:hAnsi="宋体" w:eastAsia="宋体" w:cs="宋体"/>
          <w:sz w:val="30"/>
          <w:szCs w:val="30"/>
          <w:highlight w:val="none"/>
        </w:rPr>
      </w:pPr>
    </w:p>
    <w:p w14:paraId="258F5C4B">
      <w:pPr>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3.展厅机房设备信息表</w:t>
      </w:r>
    </w:p>
    <w:tbl>
      <w:tblPr>
        <w:tblStyle w:val="21"/>
        <w:tblpPr w:leftFromText="180" w:rightFromText="180" w:vertAnchor="text" w:horzAnchor="page" w:tblpX="1896" w:tblpY="606"/>
        <w:tblOverlap w:val="never"/>
        <w:tblW w:w="8222" w:type="dxa"/>
        <w:tblInd w:w="0" w:type="dxa"/>
        <w:tblLayout w:type="fixed"/>
        <w:tblCellMar>
          <w:top w:w="0" w:type="dxa"/>
          <w:left w:w="0" w:type="dxa"/>
          <w:bottom w:w="0" w:type="dxa"/>
          <w:right w:w="0" w:type="dxa"/>
        </w:tblCellMar>
      </w:tblPr>
      <w:tblGrid>
        <w:gridCol w:w="851"/>
        <w:gridCol w:w="1559"/>
        <w:gridCol w:w="1985"/>
        <w:gridCol w:w="3827"/>
      </w:tblGrid>
      <w:tr w14:paraId="130FEC71">
        <w:tblPrEx>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B35FB">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91F32">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设备类型</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DABF8">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业务用途</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5BA99">
            <w:pPr>
              <w:widowControl/>
              <w:jc w:val="center"/>
              <w:textAlignment w:val="center"/>
              <w:rPr>
                <w:rFonts w:hint="eastAsia" w:ascii="宋体" w:hAnsi="宋体" w:eastAsia="宋体" w:cs="宋体"/>
                <w:b/>
                <w:bCs/>
                <w:kern w:val="0"/>
                <w:sz w:val="20"/>
                <w:szCs w:val="20"/>
                <w:highlight w:val="none"/>
              </w:rPr>
            </w:pPr>
            <w:r>
              <w:rPr>
                <w:rFonts w:hint="eastAsia" w:ascii="宋体" w:hAnsi="宋体" w:eastAsia="宋体" w:cs="宋体"/>
                <w:b/>
                <w:bCs/>
                <w:kern w:val="0"/>
                <w:sz w:val="20"/>
                <w:szCs w:val="20"/>
                <w:highlight w:val="none"/>
              </w:rPr>
              <w:t>设备厂商及型号</w:t>
            </w:r>
          </w:p>
        </w:tc>
      </w:tr>
      <w:tr w14:paraId="24E28C5A">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098F95">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725FE">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管理设备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9630D">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大屏服务主机</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2622B">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组装及VTRON专用，8台</w:t>
            </w:r>
          </w:p>
        </w:tc>
      </w:tr>
      <w:tr w14:paraId="54ACD9CC">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FC147">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F2D81">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显示设备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D7538">
            <w:pPr>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DLP大屏幕显示系统</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643D5">
            <w:pP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广东威创DLP大屏 3X3拼接墙（50寸/单元），9块模组</w:t>
            </w:r>
          </w:p>
        </w:tc>
      </w:tr>
      <w:tr w14:paraId="4778C0DB">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AD76B">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B72EC">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管理设备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B6638F">
            <w:pPr>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UPS机柜式电源</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A957AD">
            <w:pPr>
              <w:widowControl/>
              <w:jc w:val="left"/>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UPS机柜式电源/格纬尔/广州格纬尔电子有限公司/中国，型号：原厂定制</w:t>
            </w:r>
          </w:p>
          <w:p w14:paraId="03D7B0A4">
            <w:pPr>
              <w:widowControl/>
              <w:jc w:val="left"/>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12V100AH电池，/20只；一体柜单价（包含5个电池柜、电池内部连接线电池直流空开、UPS输入输出空开、配1个电柜，1台</w:t>
            </w:r>
          </w:p>
        </w:tc>
      </w:tr>
      <w:tr w14:paraId="5BA0F885">
        <w:tblPrEx>
          <w:tblCellMar>
            <w:top w:w="0" w:type="dxa"/>
            <w:left w:w="0" w:type="dxa"/>
            <w:bottom w:w="0" w:type="dxa"/>
            <w:right w:w="0" w:type="dxa"/>
          </w:tblCellMar>
        </w:tblPrEx>
        <w:trPr>
          <w:trHeight w:val="72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CA6DC">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0B9E4">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终端设备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A2919C">
            <w:pPr>
              <w:widowControl/>
              <w:jc w:val="center"/>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自助业务办理</w:t>
            </w:r>
          </w:p>
        </w:tc>
        <w:tc>
          <w:tcPr>
            <w:tcW w:w="3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C1EBF">
            <w:pPr>
              <w:widowControl/>
              <w:jc w:val="left"/>
              <w:textAlignment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定制党建服务自助一体机，1台</w:t>
            </w:r>
          </w:p>
        </w:tc>
      </w:tr>
    </w:tbl>
    <w:p w14:paraId="6F4BACC6">
      <w:pPr>
        <w:pStyle w:val="2"/>
        <w:jc w:val="both"/>
        <w:rPr>
          <w:rFonts w:hint="eastAsia" w:ascii="宋体" w:hAnsi="宋体" w:eastAsia="宋体" w:cs="宋体"/>
          <w:bCs w:val="0"/>
          <w:sz w:val="32"/>
          <w:szCs w:val="32"/>
          <w:highlight w:val="none"/>
        </w:rPr>
      </w:pPr>
    </w:p>
    <w:p w14:paraId="087C98CF">
      <w:pPr>
        <w:pStyle w:val="2"/>
        <w:jc w:val="center"/>
        <w:rPr>
          <w:rFonts w:hint="eastAsia" w:ascii="宋体" w:hAnsi="宋体" w:eastAsia="宋体" w:cs="宋体"/>
          <w:bCs w:val="0"/>
          <w:sz w:val="32"/>
          <w:szCs w:val="32"/>
          <w:highlight w:val="none"/>
        </w:rPr>
      </w:pPr>
    </w:p>
    <w:p w14:paraId="47324555">
      <w:pPr>
        <w:pStyle w:val="2"/>
        <w:jc w:val="center"/>
        <w:rPr>
          <w:rFonts w:hint="eastAsia" w:ascii="宋体" w:hAnsi="宋体" w:eastAsia="宋体" w:cs="宋体"/>
          <w:bCs w:val="0"/>
          <w:sz w:val="32"/>
          <w:szCs w:val="32"/>
          <w:highlight w:val="none"/>
        </w:rPr>
      </w:pPr>
    </w:p>
    <w:p w14:paraId="6C16B720">
      <w:pPr>
        <w:pStyle w:val="2"/>
        <w:jc w:val="center"/>
        <w:rPr>
          <w:rFonts w:hint="eastAsia" w:ascii="宋体" w:hAnsi="宋体" w:eastAsia="宋体" w:cs="宋体"/>
          <w:color w:val="auto"/>
          <w:highlight w:val="none"/>
        </w:rPr>
      </w:pPr>
      <w:r>
        <w:rPr>
          <w:rFonts w:hint="eastAsia" w:ascii="宋体" w:hAnsi="宋体" w:eastAsia="宋体" w:cs="宋体"/>
          <w:bCs w:val="0"/>
          <w:sz w:val="32"/>
          <w:szCs w:val="32"/>
          <w:highlight w:val="none"/>
        </w:rPr>
        <w:br w:type="page"/>
      </w:r>
      <w:r>
        <w:rPr>
          <w:rFonts w:hint="eastAsia" w:ascii="宋体" w:hAnsi="宋体" w:eastAsia="宋体" w:cs="宋体"/>
          <w:bCs w:val="0"/>
          <w:color w:val="auto"/>
          <w:sz w:val="32"/>
          <w:szCs w:val="32"/>
          <w:highlight w:val="none"/>
        </w:rPr>
        <w:t>第三章 供应商须知</w:t>
      </w:r>
      <w:bookmarkEnd w:id="37"/>
    </w:p>
    <w:p w14:paraId="634DEEDD">
      <w:pPr>
        <w:pStyle w:val="3"/>
        <w:jc w:val="center"/>
        <w:rPr>
          <w:rFonts w:hint="eastAsia" w:ascii="宋体" w:hAnsi="宋体" w:eastAsia="宋体" w:cs="宋体"/>
          <w:b/>
          <w:color w:val="auto"/>
          <w:sz w:val="32"/>
          <w:szCs w:val="32"/>
          <w:highlight w:val="none"/>
        </w:rPr>
      </w:pPr>
      <w:bookmarkStart w:id="39" w:name="_Toc8088692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p>
    <w:tbl>
      <w:tblPr>
        <w:tblStyle w:val="21"/>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474B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vAlign w:val="top"/>
          </w:tcPr>
          <w:p w14:paraId="52B9AC8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786" w:type="dxa"/>
            <w:vAlign w:val="center"/>
          </w:tcPr>
          <w:p w14:paraId="72F5BB7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53" w:type="dxa"/>
            <w:vAlign w:val="top"/>
          </w:tcPr>
          <w:p w14:paraId="3044CD5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6996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88634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786" w:type="dxa"/>
            <w:vAlign w:val="center"/>
          </w:tcPr>
          <w:p w14:paraId="7217F9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53" w:type="dxa"/>
            <w:vAlign w:val="top"/>
          </w:tcPr>
          <w:p w14:paraId="191193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2DE9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3FCB8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786" w:type="dxa"/>
            <w:vAlign w:val="center"/>
          </w:tcPr>
          <w:p w14:paraId="5DCC29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853" w:type="dxa"/>
            <w:vAlign w:val="center"/>
          </w:tcPr>
          <w:p w14:paraId="52E2A228">
            <w:pPr>
              <w:spacing w:line="360" w:lineRule="auto"/>
              <w:rPr>
                <w:rFonts w:hint="eastAsia" w:ascii="宋体" w:hAnsi="宋体" w:eastAsia="宋体" w:cs="宋体"/>
                <w:color w:val="auto"/>
                <w:szCs w:val="21"/>
                <w:highlight w:val="none"/>
                <w:lang w:eastAsia="zh-CN"/>
              </w:rPr>
            </w:pPr>
            <w:bookmarkStart w:id="40" w:name="PO_3000001868_PM007"/>
            <w:r>
              <w:rPr>
                <w:rFonts w:hint="eastAsia" w:ascii="宋体" w:hAnsi="宋体" w:eastAsia="宋体" w:cs="宋体"/>
                <w:color w:val="auto"/>
                <w:szCs w:val="21"/>
                <w:highlight w:val="none"/>
                <w:lang w:eastAsia="zh-CN"/>
              </w:rPr>
              <w:t>分标1:不允许联合体投标</w:t>
            </w:r>
            <w:bookmarkEnd w:id="40"/>
          </w:p>
        </w:tc>
      </w:tr>
      <w:tr w14:paraId="1D623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7E321B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786" w:type="dxa"/>
            <w:vAlign w:val="center"/>
          </w:tcPr>
          <w:p w14:paraId="3C25B40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53" w:type="dxa"/>
            <w:vAlign w:val="center"/>
          </w:tcPr>
          <w:p w14:paraId="2F38A005">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无</w:t>
            </w:r>
          </w:p>
        </w:tc>
      </w:tr>
      <w:tr w14:paraId="392BC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32A14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786" w:type="dxa"/>
            <w:vAlign w:val="center"/>
          </w:tcPr>
          <w:p w14:paraId="387C57E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53" w:type="dxa"/>
            <w:vAlign w:val="center"/>
          </w:tcPr>
          <w:p w14:paraId="3062F716">
            <w:pPr>
              <w:pStyle w:val="9"/>
              <w:spacing w:line="360" w:lineRule="auto"/>
              <w:rPr>
                <w:rFonts w:hint="eastAsia" w:ascii="宋体" w:hAnsi="宋体" w:eastAsia="宋体" w:cs="宋体"/>
                <w:color w:val="auto"/>
                <w:szCs w:val="21"/>
                <w:highlight w:val="none"/>
                <w:lang w:val="en-US" w:eastAsia="zh-CN"/>
              </w:rPr>
            </w:pPr>
            <w:bookmarkStart w:id="41" w:name="PO_3000001868_PM044"/>
            <w:r>
              <w:rPr>
                <w:rFonts w:hint="eastAsia" w:ascii="宋体" w:hAnsi="宋体" w:eastAsia="宋体" w:cs="宋体"/>
                <w:color w:val="auto"/>
                <w:szCs w:val="21"/>
                <w:highlight w:val="none"/>
                <w:lang w:val="en-US" w:eastAsia="zh-CN"/>
              </w:rPr>
              <w:t>不允许分包</w:t>
            </w:r>
            <w:bookmarkEnd w:id="41"/>
          </w:p>
          <w:p w14:paraId="70DC5280">
            <w:pPr>
              <w:pStyle w:val="9"/>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p>
          <w:p w14:paraId="5ACEB9C5">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 xml:space="preserve">      。</w:t>
            </w:r>
          </w:p>
        </w:tc>
      </w:tr>
      <w:tr w14:paraId="1311A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75D5336">
            <w:pPr>
              <w:spacing w:line="360" w:lineRule="auto"/>
              <w:jc w:val="center"/>
              <w:rPr>
                <w:rFonts w:hint="eastAsia" w:ascii="宋体" w:hAnsi="宋体" w:eastAsia="宋体" w:cs="宋体"/>
                <w:color w:val="auto"/>
                <w:szCs w:val="21"/>
                <w:highlight w:val="none"/>
              </w:rPr>
            </w:pPr>
          </w:p>
        </w:tc>
        <w:tc>
          <w:tcPr>
            <w:tcW w:w="2786" w:type="dxa"/>
            <w:vAlign w:val="center"/>
          </w:tcPr>
          <w:p w14:paraId="43B0DE27">
            <w:pPr>
              <w:spacing w:line="360" w:lineRule="auto"/>
              <w:jc w:val="center"/>
              <w:rPr>
                <w:rFonts w:hint="eastAsia" w:ascii="宋体" w:hAnsi="宋体" w:eastAsia="宋体" w:cs="宋体"/>
                <w:color w:val="auto"/>
                <w:szCs w:val="21"/>
                <w:highlight w:val="none"/>
              </w:rPr>
            </w:pPr>
          </w:p>
        </w:tc>
        <w:tc>
          <w:tcPr>
            <w:tcW w:w="6853" w:type="dxa"/>
            <w:vAlign w:val="center"/>
          </w:tcPr>
          <w:p w14:paraId="24EB35DC">
            <w:pPr>
              <w:pStyle w:val="9"/>
              <w:spacing w:line="360" w:lineRule="auto"/>
              <w:rPr>
                <w:rFonts w:hint="eastAsia" w:ascii="宋体" w:hAnsi="宋体" w:eastAsia="宋体" w:cs="宋体"/>
                <w:color w:val="auto"/>
                <w:szCs w:val="21"/>
                <w:highlight w:val="none"/>
                <w:lang w:val="en-US" w:eastAsia="zh-CN"/>
              </w:rPr>
            </w:pPr>
          </w:p>
        </w:tc>
      </w:tr>
      <w:tr w14:paraId="59F2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62B1C0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786" w:type="dxa"/>
            <w:vAlign w:val="center"/>
          </w:tcPr>
          <w:p w14:paraId="084D269E">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7E207083">
            <w:pPr>
              <w:spacing w:line="360" w:lineRule="auto"/>
              <w:jc w:val="center"/>
              <w:rPr>
                <w:rFonts w:hint="eastAsia" w:ascii="宋体" w:hAnsi="宋体" w:eastAsia="宋体" w:cs="宋体"/>
                <w:color w:val="auto"/>
                <w:szCs w:val="21"/>
                <w:highlight w:val="none"/>
              </w:rPr>
            </w:pPr>
          </w:p>
        </w:tc>
        <w:tc>
          <w:tcPr>
            <w:tcW w:w="6853" w:type="dxa"/>
            <w:vAlign w:val="center"/>
          </w:tcPr>
          <w:p w14:paraId="5CCF073A">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49F7BA24">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6 </w:t>
            </w:r>
            <w:r>
              <w:rPr>
                <w:rFonts w:hint="eastAsia" w:ascii="宋体" w:hAnsi="宋体" w:eastAsia="宋体" w:cs="宋体"/>
                <w:color w:val="auto"/>
                <w:szCs w:val="21"/>
                <w:highlight w:val="none"/>
              </w:rPr>
              <w:t>月]</w:t>
            </w:r>
            <w:r>
              <w:rPr>
                <w:rFonts w:hint="eastAsia" w:ascii="宋体" w:hAnsi="宋体" w:cs="宋体"/>
                <w:color w:val="auto"/>
                <w:szCs w:val="21"/>
                <w:highlight w:val="none"/>
                <w:lang w:eastAsia="zh-CN"/>
              </w:rPr>
              <w:t>内任意</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3A7D186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6 </w:t>
            </w:r>
            <w:r>
              <w:rPr>
                <w:rFonts w:hint="eastAsia" w:ascii="宋体" w:hAnsi="宋体" w:eastAsia="宋体" w:cs="宋体"/>
                <w:color w:val="auto"/>
                <w:szCs w:val="21"/>
                <w:highlight w:val="none"/>
              </w:rPr>
              <w:t>月]</w:t>
            </w:r>
            <w:r>
              <w:rPr>
                <w:rFonts w:hint="eastAsia" w:ascii="宋体" w:hAnsi="宋体" w:cs="宋体"/>
                <w:color w:val="auto"/>
                <w:szCs w:val="21"/>
                <w:highlight w:val="none"/>
                <w:lang w:eastAsia="zh-CN"/>
              </w:rPr>
              <w:t>内任意</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36A99C7D">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4.供应商财务状况报告：[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lang w:eastAsia="zh-CN"/>
              </w:rPr>
              <w:t>度</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6D93D09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B6FB9F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1389BE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cs="宋体"/>
                <w:b/>
                <w:bCs/>
                <w:color w:val="auto"/>
                <w:szCs w:val="21"/>
                <w:highlight w:val="none"/>
                <w:lang w:eastAsia="zh-CN"/>
              </w:rPr>
              <w:t>如</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14:paraId="0A112A9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8.（采购人或采购代理机构根据竞争性磋商公告对应的特定资格要求及特定条件设置供应商提供的资格证明材料）；（</w:t>
            </w:r>
            <w:r>
              <w:rPr>
                <w:rFonts w:hint="eastAsia" w:ascii="宋体" w:hAnsi="宋体" w:eastAsia="宋体" w:cs="宋体"/>
                <w:b/>
                <w:bCs/>
                <w:color w:val="auto"/>
                <w:szCs w:val="21"/>
                <w:highlight w:val="none"/>
              </w:rPr>
              <w:t>如有要求</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B254B2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9.除磋商文件规定必须提供以外，供应商认为需要提供的其他证明材料；</w:t>
            </w:r>
          </w:p>
          <w:p w14:paraId="282960C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06DBC48">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779278D0">
            <w:pPr>
              <w:pStyle w:val="9"/>
              <w:spacing w:line="360" w:lineRule="auto"/>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eastAsia="zh-CN"/>
              </w:rPr>
              <w:t>2.</w:t>
            </w:r>
            <w:r>
              <w:rPr>
                <w:rFonts w:hint="eastAsia" w:ascii="宋体" w:hAnsi="宋体" w:eastAsia="宋体" w:cs="宋体"/>
                <w:b/>
                <w:color w:val="auto"/>
                <w:szCs w:val="21"/>
                <w:highlight w:val="none"/>
                <w:lang w:val="en-US" w:eastAsia="zh-CN"/>
              </w:rPr>
              <w:t>联合体竞标时，第1-5项资格证明文件联合体各方均必须分别提供，联合体各方分别盖章和签字，否则响应文件按无效响应处理。</w:t>
            </w:r>
          </w:p>
        </w:tc>
      </w:tr>
      <w:tr w14:paraId="39EF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5F27577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786" w:type="dxa"/>
            <w:vAlign w:val="center"/>
          </w:tcPr>
          <w:p w14:paraId="3EE906BD">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853" w:type="dxa"/>
            <w:vAlign w:val="center"/>
          </w:tcPr>
          <w:p w14:paraId="4ADC63A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8543B7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661F805">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47B9C29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01231D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14:paraId="576F37F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22A14C53">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37E6E93E">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2F8F1365">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4BFD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1BF8A2B9">
            <w:pPr>
              <w:spacing w:line="360" w:lineRule="auto"/>
              <w:jc w:val="center"/>
              <w:rPr>
                <w:rFonts w:hint="eastAsia" w:ascii="宋体" w:hAnsi="宋体" w:eastAsia="宋体" w:cs="宋体"/>
                <w:color w:val="auto"/>
                <w:szCs w:val="21"/>
                <w:highlight w:val="none"/>
              </w:rPr>
            </w:pPr>
          </w:p>
        </w:tc>
        <w:tc>
          <w:tcPr>
            <w:tcW w:w="2786" w:type="dxa"/>
            <w:vAlign w:val="center"/>
          </w:tcPr>
          <w:p w14:paraId="65F47E39">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853" w:type="dxa"/>
            <w:vAlign w:val="center"/>
          </w:tcPr>
          <w:p w14:paraId="779054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8641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rPr>
              <w:t>服务方案；（</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33B06E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5.售后服务承诺；（</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8B037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 xml:space="preserve">） </w:t>
            </w:r>
          </w:p>
          <w:p w14:paraId="47B03F4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w:t>
            </w:r>
            <w:r>
              <w:rPr>
                <w:rFonts w:hint="eastAsia" w:ascii="宋体" w:hAnsi="宋体" w:cs="宋体"/>
                <w:color w:val="auto"/>
                <w:szCs w:val="21"/>
                <w:highlight w:val="none"/>
                <w:lang w:val="en-US" w:eastAsia="zh-CN"/>
              </w:rPr>
              <w:t>商务技术</w:t>
            </w:r>
            <w:r>
              <w:rPr>
                <w:rFonts w:hint="eastAsia" w:ascii="宋体" w:hAnsi="宋体" w:eastAsia="宋体" w:cs="宋体"/>
                <w:color w:val="auto"/>
                <w:szCs w:val="21"/>
                <w:highlight w:val="none"/>
              </w:rPr>
              <w:t>条款提供的其他文件资料；</w:t>
            </w:r>
          </w:p>
          <w:p w14:paraId="7B3B4A1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p>
          <w:p w14:paraId="522D049C">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注：以上标明“必须提供”的材料属于复印件的扫描件的，必须加盖供应商电子公章，否则响应文件按无效响应处理。</w:t>
            </w:r>
          </w:p>
        </w:tc>
      </w:tr>
      <w:tr w14:paraId="3B2D6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E7213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786" w:type="dxa"/>
            <w:vAlign w:val="center"/>
          </w:tcPr>
          <w:p w14:paraId="4A33FB17">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53" w:type="dxa"/>
            <w:vAlign w:val="center"/>
          </w:tcPr>
          <w:p w14:paraId="28A0F0C6">
            <w:pPr>
              <w:tabs>
                <w:tab w:val="left" w:pos="459"/>
              </w:tabs>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val="0"/>
                <w:bCs/>
                <w:color w:val="auto"/>
                <w:szCs w:val="21"/>
                <w:highlight w:val="none"/>
              </w:rPr>
              <w:t>（</w:t>
            </w:r>
            <w:r>
              <w:rPr>
                <w:rFonts w:hint="eastAsia" w:ascii="宋体" w:hAnsi="宋体" w:eastAsia="宋体" w:cs="宋体"/>
                <w:b/>
                <w:color w:val="auto"/>
                <w:szCs w:val="21"/>
                <w:highlight w:val="none"/>
              </w:rPr>
              <w:t>必须提供，否则作无效响应处理</w:t>
            </w:r>
            <w:r>
              <w:rPr>
                <w:rFonts w:hint="eastAsia" w:ascii="宋体" w:hAnsi="宋体" w:eastAsia="宋体" w:cs="宋体"/>
                <w:b w:val="0"/>
                <w:bCs/>
                <w:color w:val="auto"/>
                <w:szCs w:val="21"/>
                <w:highlight w:val="none"/>
              </w:rPr>
              <w:t>）</w:t>
            </w:r>
          </w:p>
          <w:p w14:paraId="7C625CE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D738D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3.中小企业声明函。</w:t>
            </w:r>
          </w:p>
        </w:tc>
      </w:tr>
      <w:tr w14:paraId="131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48CF1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786" w:type="dxa"/>
            <w:vAlign w:val="center"/>
          </w:tcPr>
          <w:p w14:paraId="6EC257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853" w:type="dxa"/>
            <w:vAlign w:val="center"/>
          </w:tcPr>
          <w:p w14:paraId="013D8A1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1DFFF42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2.响应文件电子版密封方式：电子响应文件通过平台有效CA加密后在“政采云”平台投送。（操作方式见公告附件“电子响应文件制作与投送教程” ）</w:t>
            </w:r>
          </w:p>
        </w:tc>
      </w:tr>
      <w:tr w14:paraId="3E651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EC2E2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786" w:type="dxa"/>
            <w:vAlign w:val="center"/>
          </w:tcPr>
          <w:p w14:paraId="7CB715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53" w:type="dxa"/>
            <w:vAlign w:val="center"/>
          </w:tcPr>
          <w:p w14:paraId="0C1703A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color w:val="auto"/>
                <w:szCs w:val="21"/>
                <w:highlight w:val="none"/>
              </w:rPr>
              <w:t>（采购需求另有约定的，从其约定。）</w:t>
            </w:r>
          </w:p>
        </w:tc>
      </w:tr>
      <w:tr w14:paraId="5BEC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57C012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786" w:type="dxa"/>
            <w:vAlign w:val="center"/>
          </w:tcPr>
          <w:p w14:paraId="3103CBC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53" w:type="dxa"/>
            <w:vAlign w:val="center"/>
          </w:tcPr>
          <w:p w14:paraId="19100D2F">
            <w:pPr>
              <w:pStyle w:val="7"/>
              <w:widowControl w:val="0"/>
              <w:numPr>
                <w:ilvl w:val="0"/>
                <w:numId w:val="0"/>
              </w:numPr>
              <w:tabs>
                <w:tab w:val="left" w:pos="720"/>
                <w:tab w:val="left" w:pos="840"/>
                <w:tab w:val="clear" w:pos="360"/>
              </w:tabs>
              <w:snapToGrid w:val="0"/>
              <w:spacing w:afterLines="0" w:line="360" w:lineRule="auto"/>
              <w:ind w:leftChars="-135"/>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bookmarkStart w:id="42" w:name="PO_3000001868_PM046"/>
            <w:r>
              <w:rPr>
                <w:rFonts w:hint="eastAsia" w:ascii="宋体" w:hAnsi="宋体" w:eastAsia="宋体" w:cs="宋体"/>
                <w:color w:val="auto"/>
                <w:kern w:val="2"/>
                <w:sz w:val="21"/>
                <w:szCs w:val="21"/>
                <w:highlight w:val="none"/>
                <w:u w:val="single"/>
                <w:lang w:eastAsia="zh-CN"/>
              </w:rPr>
              <w:t>60</w:t>
            </w:r>
            <w:r>
              <w:rPr>
                <w:rFonts w:hint="eastAsia" w:ascii="宋体" w:hAnsi="宋体" w:eastAsia="宋体" w:cs="宋体"/>
                <w:color w:val="auto"/>
                <w:kern w:val="2"/>
                <w:sz w:val="21"/>
                <w:szCs w:val="21"/>
                <w:highlight w:val="none"/>
                <w:u w:val="none"/>
                <w:lang w:eastAsia="zh-CN"/>
              </w:rPr>
              <w:t>日历天</w:t>
            </w:r>
            <w:bookmarkEnd w:id="42"/>
            <w:r>
              <w:rPr>
                <w:rFonts w:hint="eastAsia" w:ascii="宋体" w:hAnsi="宋体" w:eastAsia="宋体" w:cs="宋体"/>
                <w:color w:val="auto"/>
                <w:kern w:val="2"/>
                <w:sz w:val="21"/>
                <w:szCs w:val="21"/>
                <w:highlight w:val="none"/>
              </w:rPr>
              <w:t>。</w:t>
            </w:r>
          </w:p>
        </w:tc>
      </w:tr>
      <w:tr w14:paraId="7001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296C8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786" w:type="dxa"/>
            <w:vAlign w:val="center"/>
          </w:tcPr>
          <w:p w14:paraId="19F8085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53" w:type="dxa"/>
            <w:vAlign w:val="center"/>
          </w:tcPr>
          <w:p w14:paraId="375A5A9B">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5C438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507AB9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786" w:type="dxa"/>
            <w:vAlign w:val="center"/>
          </w:tcPr>
          <w:p w14:paraId="528C963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853" w:type="dxa"/>
            <w:vAlign w:val="center"/>
          </w:tcPr>
          <w:p w14:paraId="7C5CC735">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8BA0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4926AC70">
            <w:pPr>
              <w:spacing w:line="360" w:lineRule="auto"/>
              <w:jc w:val="center"/>
              <w:rPr>
                <w:rFonts w:hint="eastAsia" w:ascii="宋体" w:hAnsi="宋体" w:eastAsia="宋体" w:cs="宋体"/>
                <w:color w:val="auto"/>
                <w:szCs w:val="21"/>
                <w:highlight w:val="none"/>
              </w:rPr>
            </w:pPr>
          </w:p>
        </w:tc>
        <w:tc>
          <w:tcPr>
            <w:tcW w:w="2786" w:type="dxa"/>
            <w:vAlign w:val="center"/>
          </w:tcPr>
          <w:p w14:paraId="64CEA3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853" w:type="dxa"/>
            <w:vAlign w:val="center"/>
          </w:tcPr>
          <w:p w14:paraId="240E88A9">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74937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5BA35F5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786" w:type="dxa"/>
            <w:vAlign w:val="center"/>
          </w:tcPr>
          <w:p w14:paraId="505B123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53" w:type="dxa"/>
            <w:vAlign w:val="center"/>
          </w:tcPr>
          <w:p w14:paraId="6CB2048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40E3C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0E0E91D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786" w:type="dxa"/>
            <w:vAlign w:val="center"/>
          </w:tcPr>
          <w:p w14:paraId="6D07DC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853" w:type="dxa"/>
            <w:vAlign w:val="center"/>
          </w:tcPr>
          <w:p w14:paraId="79C18CB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590BB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5908F9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786" w:type="dxa"/>
            <w:vAlign w:val="center"/>
          </w:tcPr>
          <w:p w14:paraId="424006A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53" w:type="dxa"/>
            <w:vAlign w:val="center"/>
          </w:tcPr>
          <w:p w14:paraId="0A28E9F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380E225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3C05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1F08723">
            <w:pPr>
              <w:spacing w:line="360" w:lineRule="auto"/>
              <w:jc w:val="center"/>
              <w:rPr>
                <w:rFonts w:hint="eastAsia" w:ascii="宋体" w:hAnsi="宋体" w:eastAsia="宋体" w:cs="宋体"/>
                <w:color w:val="auto"/>
                <w:szCs w:val="21"/>
                <w:highlight w:val="none"/>
              </w:rPr>
            </w:pPr>
          </w:p>
        </w:tc>
        <w:tc>
          <w:tcPr>
            <w:tcW w:w="2786" w:type="dxa"/>
            <w:vAlign w:val="center"/>
          </w:tcPr>
          <w:p w14:paraId="572E7353">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78AEED8A">
            <w:pPr>
              <w:spacing w:line="360" w:lineRule="auto"/>
              <w:jc w:val="center"/>
              <w:rPr>
                <w:rFonts w:hint="eastAsia" w:ascii="宋体" w:hAnsi="宋体" w:eastAsia="宋体" w:cs="宋体"/>
                <w:color w:val="auto"/>
                <w:szCs w:val="21"/>
                <w:highlight w:val="none"/>
              </w:rPr>
            </w:pPr>
          </w:p>
        </w:tc>
        <w:tc>
          <w:tcPr>
            <w:tcW w:w="6853" w:type="dxa"/>
            <w:vAlign w:val="center"/>
          </w:tcPr>
          <w:p w14:paraId="3515D3F7">
            <w:pPr>
              <w:pStyle w:val="9"/>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5F53349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□随机排序。</w:t>
            </w:r>
          </w:p>
          <w:p w14:paraId="4945F3F6">
            <w:pPr>
              <w:pStyle w:val="9"/>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F7F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B6C21A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786" w:type="dxa"/>
            <w:vAlign w:val="center"/>
          </w:tcPr>
          <w:p w14:paraId="28CB2B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53" w:type="dxa"/>
            <w:vAlign w:val="center"/>
          </w:tcPr>
          <w:p w14:paraId="1585AF1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4949C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F8289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786" w:type="dxa"/>
            <w:vAlign w:val="center"/>
          </w:tcPr>
          <w:p w14:paraId="676CA6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853" w:type="dxa"/>
            <w:vAlign w:val="center"/>
          </w:tcPr>
          <w:p w14:paraId="146A74F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2030D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48C17A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786" w:type="dxa"/>
            <w:vAlign w:val="center"/>
          </w:tcPr>
          <w:p w14:paraId="01A1B87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53" w:type="dxa"/>
            <w:vAlign w:val="center"/>
          </w:tcPr>
          <w:p w14:paraId="01AF772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D18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4CE586D5">
            <w:pPr>
              <w:spacing w:line="360" w:lineRule="auto"/>
              <w:jc w:val="center"/>
              <w:rPr>
                <w:rFonts w:hint="eastAsia" w:ascii="宋体" w:hAnsi="宋体" w:eastAsia="宋体" w:cs="宋体"/>
                <w:color w:val="auto"/>
                <w:szCs w:val="21"/>
                <w:highlight w:val="none"/>
              </w:rPr>
            </w:pPr>
          </w:p>
        </w:tc>
        <w:tc>
          <w:tcPr>
            <w:tcW w:w="2786" w:type="dxa"/>
            <w:vAlign w:val="center"/>
          </w:tcPr>
          <w:p w14:paraId="5545870B">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853" w:type="dxa"/>
            <w:vAlign w:val="center"/>
          </w:tcPr>
          <w:p w14:paraId="7B1EF65A">
            <w:pPr>
              <w:snapToGrid w:val="0"/>
              <w:spacing w:line="380" w:lineRule="exac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中国共产党南宁市委员会组织部</w:t>
            </w:r>
          </w:p>
          <w:p w14:paraId="22DAB9B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广西省南宁市青秀区嘉宾路2号</w:t>
            </w:r>
            <w:r>
              <w:rPr>
                <w:rFonts w:hint="eastAsia" w:ascii="宋体" w:hAnsi="宋体" w:cs="宋体"/>
                <w:color w:val="auto"/>
                <w:szCs w:val="21"/>
                <w:highlight w:val="none"/>
                <w:lang w:val="en-US" w:eastAsia="zh-CN"/>
              </w:rPr>
              <w:t>7号门</w:t>
            </w:r>
          </w:p>
          <w:p w14:paraId="6B956C91">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w:t>
            </w:r>
            <w:r>
              <w:rPr>
                <w:rFonts w:hint="eastAsia" w:ascii="宋体" w:hAnsi="宋体" w:eastAsia="宋体" w:cs="宋体"/>
                <w:color w:val="auto"/>
                <w:szCs w:val="21"/>
                <w:highlight w:val="none"/>
                <w:lang w:val="en-US" w:eastAsia="zh-CN"/>
              </w:rPr>
              <w:t>2612660</w:t>
            </w:r>
          </w:p>
          <w:p w14:paraId="7D39C74C">
            <w:pPr>
              <w:snapToGrid w:val="0"/>
              <w:spacing w:line="380" w:lineRule="exac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广西德元工程项目管理有限责任公司</w:t>
            </w:r>
          </w:p>
          <w:p w14:paraId="62B5C48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地址：南宁市良庆区凯旋路15号绿地中心7号楼8楼</w:t>
            </w:r>
          </w:p>
          <w:p w14:paraId="76ABDD05">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联系电话：0771-5084767</w:t>
            </w:r>
          </w:p>
        </w:tc>
      </w:tr>
      <w:tr w14:paraId="416D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186BCD34">
            <w:pPr>
              <w:spacing w:line="360" w:lineRule="auto"/>
              <w:jc w:val="center"/>
              <w:rPr>
                <w:rFonts w:hint="eastAsia" w:ascii="宋体" w:hAnsi="宋体" w:eastAsia="宋体" w:cs="宋体"/>
                <w:color w:val="auto"/>
                <w:szCs w:val="21"/>
                <w:highlight w:val="none"/>
              </w:rPr>
            </w:pPr>
          </w:p>
        </w:tc>
        <w:tc>
          <w:tcPr>
            <w:tcW w:w="2786" w:type="dxa"/>
            <w:vAlign w:val="center"/>
          </w:tcPr>
          <w:p w14:paraId="179D87D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853" w:type="dxa"/>
            <w:vAlign w:val="center"/>
          </w:tcPr>
          <w:p w14:paraId="3E13F7B2">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00</w:t>
            </w:r>
            <w:r>
              <w:rPr>
                <w:rFonts w:hint="eastAsia" w:ascii="宋体" w:hAnsi="宋体" w:eastAsia="宋体" w:cs="宋体"/>
                <w:color w:val="auto"/>
                <w:highlight w:val="none"/>
              </w:rPr>
              <w:t>分</w:t>
            </w:r>
            <w:r>
              <w:rPr>
                <w:rFonts w:hint="eastAsia" w:ascii="宋体" w:hAnsi="宋体" w:cs="宋体"/>
                <w:color w:val="auto"/>
                <w:highlight w:val="none"/>
                <w:lang w:eastAsia="zh-CN"/>
              </w:rPr>
              <w:t>。</w:t>
            </w:r>
          </w:p>
        </w:tc>
      </w:tr>
      <w:tr w14:paraId="6715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3B248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786" w:type="dxa"/>
            <w:vAlign w:val="center"/>
          </w:tcPr>
          <w:p w14:paraId="6969E9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53" w:type="dxa"/>
            <w:vAlign w:val="center"/>
          </w:tcPr>
          <w:p w14:paraId="015C76E8">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59FC292A">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4816238A">
            <w:pPr>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bookmarkStart w:id="43" w:name="PO_3000001868_PM036"/>
            <w:r>
              <w:rPr>
                <w:rFonts w:hint="eastAsia" w:ascii="宋体" w:hAnsi="宋体" w:eastAsia="宋体" w:cs="宋体"/>
                <w:color w:val="auto"/>
                <w:highlight w:val="none"/>
                <w:lang w:eastAsia="zh-CN"/>
              </w:rPr>
              <w:t>南宁市财政局政府采购监督管理科</w:t>
            </w:r>
            <w:bookmarkEnd w:id="43"/>
          </w:p>
          <w:p w14:paraId="50AE62B3">
            <w:pPr>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地址：南宁市青秀区东葛路129号</w:t>
            </w:r>
          </w:p>
          <w:p w14:paraId="34153386">
            <w:pPr>
              <w:snapToGrid w:val="0"/>
              <w:spacing w:line="3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bookmarkStart w:id="44" w:name="PO_3000001868_PM038"/>
            <w:r>
              <w:rPr>
                <w:rFonts w:hint="eastAsia" w:ascii="宋体" w:hAnsi="宋体" w:eastAsia="宋体" w:cs="宋体"/>
                <w:color w:val="auto"/>
                <w:highlight w:val="none"/>
                <w:lang w:eastAsia="zh-CN"/>
              </w:rPr>
              <w:t>0771-2189091</w:t>
            </w:r>
            <w:bookmarkEnd w:id="44"/>
          </w:p>
        </w:tc>
      </w:tr>
      <w:tr w14:paraId="3BCBD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86462B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786" w:type="dxa"/>
            <w:vAlign w:val="center"/>
          </w:tcPr>
          <w:p w14:paraId="475A199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53" w:type="dxa"/>
            <w:vAlign w:val="center"/>
          </w:tcPr>
          <w:p w14:paraId="719D55CB">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 是否收取采购代理费：</w:t>
            </w:r>
          </w:p>
          <w:p w14:paraId="4B097022">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☑是</w:t>
            </w:r>
          </w:p>
          <w:p w14:paraId="40383706">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438F0F5F">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w:t>
            </w:r>
            <w:r>
              <w:rPr>
                <w:rFonts w:hint="eastAsia" w:hAnsi="宋体" w:cs="宋体"/>
                <w:color w:val="auto"/>
                <w:sz w:val="21"/>
                <w:highlight w:val="none"/>
                <w:lang w:val="en-US" w:eastAsia="zh-CN"/>
              </w:rPr>
              <w:t>时</w:t>
            </w:r>
            <w:r>
              <w:rPr>
                <w:rFonts w:hint="eastAsia" w:ascii="宋体" w:hAnsi="宋体" w:eastAsia="宋体" w:cs="宋体"/>
                <w:color w:val="auto"/>
                <w:sz w:val="21"/>
                <w:highlight w:val="none"/>
                <w:lang w:val="en-US" w:eastAsia="zh-CN"/>
              </w:rPr>
              <w:t>，一次性向采购代理机构支付。</w:t>
            </w:r>
          </w:p>
          <w:p w14:paraId="63D3F534">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4B65AF16">
            <w:pPr>
              <w:pStyle w:val="15"/>
              <w:snapToGrid w:val="0"/>
              <w:spacing w:line="360" w:lineRule="auto"/>
              <w:rPr>
                <w:rFonts w:hint="eastAsia" w:ascii="宋体" w:hAnsi="宋体" w:eastAsia="宋体" w:cs="宋体"/>
                <w:color w:val="auto"/>
                <w:sz w:val="21"/>
                <w:highlight w:val="none"/>
                <w:lang w:val="en-US" w:eastAsia="zh-CN"/>
              </w:rPr>
            </w:pPr>
            <w:bookmarkStart w:id="45" w:name="PO_3000001868_PM025"/>
            <w:r>
              <w:rPr>
                <w:rFonts w:hint="eastAsia" w:ascii="宋体" w:hAnsi="宋体" w:eastAsia="宋体" w:cs="宋体"/>
                <w:color w:val="auto"/>
                <w:sz w:val="21"/>
                <w:highlight w:val="none"/>
                <w:lang w:val="en-US" w:eastAsia="zh-CN"/>
              </w:rPr>
              <w:t>参照原国家发展计划委员会计价格[2002]1980号《招标代理服务费管理暂行办法》收费标准，以成交金额为计费额，按服务类采用差额定率累进法计算出收费基准价格收取。</w:t>
            </w:r>
            <w:bookmarkEnd w:id="45"/>
          </w:p>
        </w:tc>
      </w:tr>
      <w:tr w14:paraId="703E2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D0119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786" w:type="dxa"/>
            <w:vAlign w:val="center"/>
          </w:tcPr>
          <w:p w14:paraId="2CBB3B0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53" w:type="dxa"/>
            <w:vAlign w:val="center"/>
          </w:tcPr>
          <w:p w14:paraId="62BDFF88">
            <w:pPr>
              <w:pStyle w:val="15"/>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6D8748B7">
            <w:pPr>
              <w:pStyle w:val="15"/>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785B286B">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081E70BF">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 xml:space="preserve"> 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23A94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A9C4A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786" w:type="dxa"/>
            <w:vAlign w:val="center"/>
          </w:tcPr>
          <w:p w14:paraId="14EC87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53" w:type="dxa"/>
            <w:vAlign w:val="center"/>
          </w:tcPr>
          <w:p w14:paraId="4C077398">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49A89BD">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7FB622B">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7FE04554">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7B77317C">
            <w:pPr>
              <w:pStyle w:val="15"/>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2CE3633D">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6" w:name="_Toc80886929"/>
      <w:r>
        <w:rPr>
          <w:rFonts w:hint="eastAsia" w:ascii="宋体" w:hAnsi="宋体" w:eastAsia="宋体" w:cs="宋体"/>
          <w:b w:val="0"/>
          <w:color w:val="auto"/>
          <w:highlight w:val="none"/>
        </w:rPr>
        <w:t>第二节 供应商须知正文</w:t>
      </w:r>
      <w:bookmarkEnd w:id="46"/>
    </w:p>
    <w:p w14:paraId="7F0E99AB">
      <w:pPr>
        <w:pStyle w:val="4"/>
        <w:spacing w:before="0" w:after="0" w:line="360" w:lineRule="auto"/>
        <w:ind w:firstLine="640" w:firstLineChars="200"/>
        <w:rPr>
          <w:rFonts w:hint="eastAsia" w:ascii="宋体" w:hAnsi="宋体" w:eastAsia="宋体" w:cs="宋体"/>
          <w:b w:val="0"/>
          <w:color w:val="auto"/>
          <w:highlight w:val="none"/>
        </w:rPr>
      </w:pPr>
      <w:bookmarkStart w:id="47" w:name="_Toc80886930"/>
      <w:r>
        <w:rPr>
          <w:rFonts w:hint="eastAsia" w:ascii="宋体" w:hAnsi="宋体" w:eastAsia="宋体" w:cs="宋体"/>
          <w:b w:val="0"/>
          <w:color w:val="auto"/>
          <w:highlight w:val="none"/>
        </w:rPr>
        <w:t>一、总则</w:t>
      </w:r>
      <w:bookmarkEnd w:id="47"/>
    </w:p>
    <w:p w14:paraId="0B5E10B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7D68B6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5BE25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4D7C2B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4B0E6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255D778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51C98F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5B6ADB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021E3F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7B12C1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14B7E5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16A1B9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058F3F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099504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180AB7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60AA6C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28A39F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0BFE666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423D44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3D563AC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65E3D0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4E6B186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007DE3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2C46E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6DEA4B75">
      <w:pPr>
        <w:spacing w:line="360" w:lineRule="auto"/>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w:t>
      </w:r>
      <w:r>
        <w:rPr>
          <w:rFonts w:hint="eastAsia" w:ascii="宋体" w:hAnsi="宋体" w:eastAsia="宋体" w:cs="宋体"/>
          <w:bCs/>
          <w:color w:val="000000" w:themeColor="text1"/>
          <w:szCs w:val="21"/>
          <w:highlight w:val="none"/>
          <w14:textFill>
            <w14:solidFill>
              <w14:schemeClr w14:val="tx1"/>
            </w14:solidFill>
          </w14:textFill>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15C5042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12C514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5EAC5E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E46DDA5">
      <w:pPr>
        <w:spacing w:line="360" w:lineRule="auto"/>
        <w:ind w:firstLine="482" w:firstLineChars="200"/>
        <w:rPr>
          <w:rFonts w:hint="eastAsia" w:ascii="宋体" w:hAnsi="宋体" w:eastAsia="宋体" w:cs="宋体"/>
          <w:b/>
          <w:bCs/>
          <w:color w:val="auto"/>
          <w:sz w:val="24"/>
          <w:highlight w:val="none"/>
        </w:rPr>
      </w:pPr>
      <w:bookmarkStart w:id="48" w:name="_Toc254970532"/>
      <w:bookmarkStart w:id="49" w:name="_Toc254970673"/>
      <w:r>
        <w:rPr>
          <w:rFonts w:hint="eastAsia" w:ascii="宋体" w:hAnsi="宋体" w:eastAsia="宋体" w:cs="宋体"/>
          <w:b/>
          <w:bCs/>
          <w:color w:val="auto"/>
          <w:sz w:val="24"/>
          <w:highlight w:val="none"/>
        </w:rPr>
        <w:t>7.特别说明</w:t>
      </w:r>
      <w:bookmarkEnd w:id="48"/>
      <w:bookmarkEnd w:id="49"/>
    </w:p>
    <w:p w14:paraId="4300F9E3">
      <w:pPr>
        <w:spacing w:line="360" w:lineRule="auto"/>
        <w:ind w:firstLine="420" w:firstLineChars="200"/>
        <w:rPr>
          <w:rFonts w:hint="eastAsia" w:ascii="宋体" w:hAnsi="宋体" w:eastAsia="宋体" w:cs="宋体"/>
          <w:color w:val="auto"/>
          <w:szCs w:val="21"/>
          <w:highlight w:val="none"/>
        </w:rPr>
      </w:pPr>
      <w:bookmarkStart w:id="50" w:name="_8.1提供相同品牌产品且通过资格审查、符合性审查的不同投标人参加同一合"/>
      <w:bookmarkEnd w:id="50"/>
      <w:r>
        <w:rPr>
          <w:rFonts w:hint="eastAsia" w:ascii="宋体" w:hAnsi="宋体" w:eastAsia="宋体" w:cs="宋体"/>
          <w:color w:val="auto"/>
          <w:szCs w:val="21"/>
          <w:highlight w:val="none"/>
        </w:rPr>
        <w:t>7.1</w:t>
      </w:r>
      <w:bookmarkStart w:id="51"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1"/>
    <w:p w14:paraId="3E2549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2ACA84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1033B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81E6A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596A8B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696DC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048C4F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2D7F95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5DC738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6F941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DF5FB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633E56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6EE90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B8108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5BFCEF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F4166ED">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68514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1979ED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294667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34995A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7197B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608EA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A718F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18F523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B6D0C64">
      <w:pPr>
        <w:pStyle w:val="4"/>
        <w:spacing w:before="0" w:after="0" w:line="360" w:lineRule="auto"/>
        <w:ind w:firstLine="640" w:firstLineChars="200"/>
        <w:rPr>
          <w:rFonts w:hint="eastAsia" w:ascii="宋体" w:hAnsi="宋体" w:eastAsia="宋体" w:cs="宋体"/>
          <w:b w:val="0"/>
          <w:bCs w:val="0"/>
          <w:color w:val="auto"/>
          <w:highlight w:val="none"/>
        </w:rPr>
      </w:pPr>
      <w:bookmarkStart w:id="52" w:name="_Toc80886931"/>
      <w:bookmarkStart w:id="53" w:name="_Toc254970675"/>
      <w:bookmarkStart w:id="54" w:name="_Toc254970534"/>
      <w:r>
        <w:rPr>
          <w:rFonts w:hint="eastAsia" w:ascii="宋体" w:hAnsi="宋体" w:eastAsia="宋体" w:cs="宋体"/>
          <w:b w:val="0"/>
          <w:bCs w:val="0"/>
          <w:color w:val="auto"/>
          <w:highlight w:val="none"/>
        </w:rPr>
        <w:t>二、磋商文件</w:t>
      </w:r>
      <w:bookmarkEnd w:id="52"/>
      <w:bookmarkEnd w:id="53"/>
      <w:bookmarkEnd w:id="54"/>
    </w:p>
    <w:p w14:paraId="79363AD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4B1648A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08F5796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37A20DA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2BEA99B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18C3D5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7C40D42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0EC595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45CDC5A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2A6F48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1D3A36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5BB49D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E055F0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6EA247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537B9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2E0B54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574AD61B">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78766C52">
      <w:pPr>
        <w:pStyle w:val="4"/>
        <w:spacing w:before="0" w:after="0" w:line="360" w:lineRule="auto"/>
        <w:ind w:firstLine="320" w:firstLineChars="100"/>
        <w:rPr>
          <w:rFonts w:hint="eastAsia" w:ascii="宋体" w:hAnsi="宋体" w:eastAsia="宋体" w:cs="宋体"/>
          <w:b w:val="0"/>
          <w:bCs w:val="0"/>
          <w:color w:val="auto"/>
          <w:highlight w:val="none"/>
        </w:rPr>
      </w:pPr>
      <w:bookmarkStart w:id="55" w:name="_Toc80886932"/>
      <w:r>
        <w:rPr>
          <w:rFonts w:hint="eastAsia" w:ascii="宋体" w:hAnsi="宋体" w:eastAsia="宋体" w:cs="宋体"/>
          <w:b w:val="0"/>
          <w:bCs w:val="0"/>
          <w:color w:val="auto"/>
          <w:highlight w:val="none"/>
        </w:rPr>
        <w:t>三、响应文件的编制</w:t>
      </w:r>
      <w:bookmarkEnd w:id="55"/>
    </w:p>
    <w:p w14:paraId="3262FAA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8B96E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7755835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60C937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4DFCE57B">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6A119C1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74AB2FF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2F7389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6D6B69A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3348D8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DFA4A7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59B2E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3A2E28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7D75550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58E8890">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186F12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435D92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733416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936DF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49B809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5A7570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6"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56"/>
    <w:p w14:paraId="416A513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51A93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A991D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090B8D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54A3BA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4C1635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636E970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5E2DF1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8A1D3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203DB6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7"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7"/>
      <w:r>
        <w:rPr>
          <w:rFonts w:hint="eastAsia" w:ascii="宋体" w:hAnsi="宋体" w:eastAsia="宋体" w:cs="宋体"/>
          <w:color w:val="auto"/>
          <w:szCs w:val="21"/>
          <w:highlight w:val="none"/>
        </w:rPr>
        <w:t>，否则其响应文件按无效响应处理。骑缝盖公章不视为在规定位置盖章。</w:t>
      </w:r>
    </w:p>
    <w:p w14:paraId="76EE06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0C7699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56E61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63032D4A">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2494EA30">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448DC062">
      <w:pPr>
        <w:pStyle w:val="15"/>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6C8D687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4CB86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24DCC9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5C02D4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01D424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57B39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3D693AE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56B6F7C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0F31EC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4B1E4CD">
      <w:pPr>
        <w:spacing w:line="360" w:lineRule="auto"/>
        <w:ind w:firstLine="482" w:firstLineChars="200"/>
        <w:rPr>
          <w:rFonts w:hint="eastAsia" w:ascii="宋体" w:hAnsi="宋体" w:eastAsia="宋体" w:cs="宋体"/>
          <w:b/>
          <w:bCs/>
          <w:color w:val="auto"/>
          <w:sz w:val="24"/>
          <w:highlight w:val="none"/>
        </w:rPr>
      </w:pPr>
      <w:bookmarkStart w:id="58" w:name="_Hlk45702405"/>
      <w:r>
        <w:rPr>
          <w:rFonts w:hint="eastAsia" w:ascii="宋体" w:hAnsi="宋体" w:eastAsia="宋体" w:cs="宋体"/>
          <w:b/>
          <w:bCs/>
          <w:color w:val="auto"/>
          <w:sz w:val="24"/>
          <w:highlight w:val="none"/>
        </w:rPr>
        <w:t>22. 首次响应文件的退回</w:t>
      </w:r>
    </w:p>
    <w:p w14:paraId="264228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2003449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5A7A53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58"/>
    </w:p>
    <w:p w14:paraId="471C4020">
      <w:pPr>
        <w:pStyle w:val="4"/>
        <w:spacing w:before="0" w:after="0" w:line="360" w:lineRule="auto"/>
        <w:ind w:firstLine="320" w:firstLineChars="100"/>
        <w:rPr>
          <w:rFonts w:hint="eastAsia" w:ascii="宋体" w:hAnsi="宋体" w:eastAsia="宋体" w:cs="宋体"/>
          <w:b w:val="0"/>
          <w:bCs w:val="0"/>
          <w:color w:val="auto"/>
          <w:highlight w:val="none"/>
        </w:rPr>
      </w:pPr>
      <w:bookmarkStart w:id="59" w:name="_Toc80886933"/>
      <w:r>
        <w:rPr>
          <w:rFonts w:hint="eastAsia" w:ascii="宋体" w:hAnsi="宋体" w:eastAsia="宋体" w:cs="宋体"/>
          <w:b w:val="0"/>
          <w:bCs w:val="0"/>
          <w:color w:val="auto"/>
          <w:highlight w:val="none"/>
        </w:rPr>
        <w:t>四、评审及磋商</w:t>
      </w:r>
      <w:bookmarkEnd w:id="59"/>
    </w:p>
    <w:p w14:paraId="0F6E2CC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3B573A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单数组成。</w:t>
      </w:r>
    </w:p>
    <w:p w14:paraId="2AF336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0C27BC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16508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7003C35">
      <w:pPr>
        <w:pStyle w:val="15"/>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1459328C">
      <w:pPr>
        <w:pStyle w:val="15"/>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28A7BB5E">
      <w:pPr>
        <w:pStyle w:val="15"/>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78A3BC5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BC1E9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001D48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1AFD36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081903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20253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F0C09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B1A10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67095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245041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EE862E5">
      <w:pPr>
        <w:pStyle w:val="4"/>
        <w:spacing w:before="0" w:after="0" w:line="360" w:lineRule="auto"/>
        <w:ind w:firstLine="480" w:firstLineChars="150"/>
        <w:rPr>
          <w:rFonts w:hint="eastAsia" w:ascii="宋体" w:hAnsi="宋体" w:eastAsia="宋体" w:cs="宋体"/>
          <w:b w:val="0"/>
          <w:bCs w:val="0"/>
          <w:color w:val="auto"/>
          <w:highlight w:val="none"/>
        </w:rPr>
      </w:pPr>
      <w:bookmarkStart w:id="60" w:name="_Toc80886934"/>
      <w:r>
        <w:rPr>
          <w:rFonts w:hint="eastAsia" w:ascii="宋体" w:hAnsi="宋体" w:eastAsia="宋体" w:cs="宋体"/>
          <w:b w:val="0"/>
          <w:bCs w:val="0"/>
          <w:color w:val="auto"/>
          <w:highlight w:val="none"/>
        </w:rPr>
        <w:t>五、成交及合同</w:t>
      </w:r>
      <w:bookmarkEnd w:id="60"/>
    </w:p>
    <w:p w14:paraId="2865B96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17FB97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36EFB9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7805C4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5E46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59AE90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或重新组织采购。</w:t>
      </w:r>
    </w:p>
    <w:p w14:paraId="5EF032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4250B8C7">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788586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3E996DA1">
      <w:pPr>
        <w:pStyle w:val="26"/>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CAEA4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24E27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4AB3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494AA9D1">
      <w:pPr>
        <w:pStyle w:val="26"/>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420A749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1A81A6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0B4368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165B3E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030553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4EA61C3E">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4A6C84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40F4A5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0290ED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B5FCF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10A2C2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D8A0A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07234E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1D2255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C4B1D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B65D5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26AA3ED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671E02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25154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3008EB5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BC3F3A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10466B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4D5B7FF0">
      <w:pPr>
        <w:pStyle w:val="4"/>
        <w:spacing w:before="0" w:after="0" w:line="360" w:lineRule="auto"/>
        <w:ind w:firstLine="315" w:firstLineChars="98"/>
        <w:rPr>
          <w:rFonts w:hint="eastAsia" w:ascii="宋体" w:hAnsi="宋体" w:eastAsia="宋体" w:cs="宋体"/>
          <w:b w:val="0"/>
          <w:color w:val="auto"/>
          <w:highlight w:val="none"/>
        </w:rPr>
      </w:pPr>
      <w:bookmarkStart w:id="62" w:name="_Toc80886935"/>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p>
    <w:p w14:paraId="49CBE49C">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57599612">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ECEF987">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72E4920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902B8E">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BA596A">
      <w:pPr>
        <w:pStyle w:val="4"/>
        <w:spacing w:before="0" w:after="0" w:line="360" w:lineRule="auto"/>
        <w:ind w:firstLine="320" w:firstLineChars="100"/>
        <w:rPr>
          <w:rFonts w:hint="eastAsia" w:ascii="宋体" w:hAnsi="宋体" w:eastAsia="宋体" w:cs="宋体"/>
          <w:b w:val="0"/>
          <w:bCs w:val="0"/>
          <w:color w:val="auto"/>
          <w:highlight w:val="none"/>
        </w:rPr>
      </w:pPr>
      <w:bookmarkStart w:id="63" w:name="_Toc80886936"/>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3"/>
    </w:p>
    <w:p w14:paraId="3D1C7D1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584F8D28">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630E401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7132127A">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73366D1">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5E46A50E">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49018755">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55025B34">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0FA3169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35.政采贷相关说明</w:t>
      </w:r>
    </w:p>
    <w:p w14:paraId="462C45F1">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为优化政府采购营商环境，缓解供应商资金难题，南宁市政府采购试行政府采购信用融资制度，成交供应商如有融资需求，可凭政府采购合同通过以下方式申请政府采购信用融资贷款：</w:t>
      </w:r>
    </w:p>
    <w:p w14:paraId="1F8342CD">
      <w:pPr>
        <w:pStyle w:val="15"/>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（1）在“南宁市公共资源交易中心”官网</w:t>
      </w:r>
      <w:r>
        <w:rPr>
          <w:rFonts w:hint="eastAsia" w:ascii="宋体" w:hAnsi="宋体" w:eastAsia="宋体" w:cs="宋体"/>
          <w:color w:val="auto"/>
          <w:kern w:val="2"/>
          <w:sz w:val="21"/>
          <w:highlight w:val="none"/>
          <w:lang w:val="en-US" w:eastAsia="zh-CN"/>
        </w:rPr>
        <w:fldChar w:fldCharType="begin"/>
      </w:r>
      <w:r>
        <w:rPr>
          <w:rFonts w:hint="eastAsia" w:ascii="宋体" w:hAnsi="宋体" w:eastAsia="宋体" w:cs="宋体"/>
          <w:color w:val="auto"/>
          <w:kern w:val="2"/>
          <w:sz w:val="21"/>
          <w:highlight w:val="none"/>
          <w:lang w:val="en-US" w:eastAsia="zh-CN"/>
        </w:rPr>
        <w:instrText xml:space="preserve"> HYPERLINK "http://www.nnggzy.org.cn）“交易信息-政府采购-政府采购信用融资”中融资银行和南宁市企业融资服务中心专栏信息申请政府采购信用融资。" </w:instrText>
      </w:r>
      <w:r>
        <w:rPr>
          <w:rFonts w:hint="eastAsia" w:ascii="宋体" w:hAnsi="宋体" w:eastAsia="宋体" w:cs="宋体"/>
          <w:color w:val="auto"/>
          <w:kern w:val="2"/>
          <w:sz w:val="21"/>
          <w:highlight w:val="none"/>
          <w:lang w:val="en-US" w:eastAsia="zh-CN"/>
        </w:rPr>
        <w:fldChar w:fldCharType="separate"/>
      </w:r>
      <w:r>
        <w:rPr>
          <w:rFonts w:hint="eastAsia" w:ascii="宋体" w:hAnsi="宋体" w:eastAsia="宋体" w:cs="宋体"/>
          <w:color w:val="auto"/>
          <w:kern w:val="2"/>
          <w:sz w:val="21"/>
          <w:highlight w:val="none"/>
          <w:lang w:val="en-US" w:eastAsia="zh-CN"/>
        </w:rPr>
        <w:t>“交易信息-政府采购-政府采购信用融资”中融资银行和南宁市企业融资服务中心专栏信息申请政府采购信用融资。</w:t>
      </w:r>
      <w:r>
        <w:rPr>
          <w:rFonts w:hint="eastAsia" w:ascii="宋体" w:hAnsi="宋体" w:eastAsia="宋体" w:cs="宋体"/>
          <w:color w:val="auto"/>
          <w:kern w:val="2"/>
          <w:sz w:val="21"/>
          <w:highlight w:val="none"/>
          <w:lang w:val="en-US" w:eastAsia="zh-CN"/>
        </w:rPr>
        <w:fldChar w:fldCharType="end"/>
      </w:r>
    </w:p>
    <w:p w14:paraId="1A15B026">
      <w:pPr>
        <w:pStyle w:val="15"/>
        <w:spacing w:line="360" w:lineRule="auto"/>
        <w:ind w:firstLine="420" w:firstLineChars="200"/>
        <w:textAlignment w:val="center"/>
        <w:rPr>
          <w:rFonts w:hint="eastAsia" w:ascii="宋体" w:hAnsi="宋体" w:eastAsia="宋体" w:cs="宋体"/>
          <w:color w:val="auto"/>
          <w:highlight w:val="none"/>
        </w:rPr>
      </w:pPr>
      <w:r>
        <w:rPr>
          <w:rFonts w:hint="eastAsia" w:ascii="宋体" w:hAnsi="宋体" w:eastAsia="宋体" w:cs="宋体"/>
          <w:color w:val="auto"/>
          <w:kern w:val="2"/>
          <w:sz w:val="21"/>
          <w:highlight w:val="none"/>
          <w:lang w:val="en-US" w:eastAsia="zh-CN"/>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w:t>
      </w:r>
      <w:r>
        <w:rPr>
          <w:rFonts w:hint="eastAsia" w:ascii="宋体" w:hAnsi="宋体" w:eastAsia="宋体" w:cs="宋体"/>
          <w:b/>
          <w:color w:val="auto"/>
          <w:highlight w:val="none"/>
        </w:rPr>
        <w:br w:type="page"/>
      </w:r>
    </w:p>
    <w:p w14:paraId="0A004F28">
      <w:pPr>
        <w:pStyle w:val="2"/>
        <w:jc w:val="center"/>
        <w:rPr>
          <w:rFonts w:hint="eastAsia" w:ascii="宋体" w:hAnsi="宋体" w:eastAsia="宋体" w:cs="宋体"/>
          <w:color w:val="auto"/>
          <w:highlight w:val="none"/>
        </w:rPr>
      </w:pPr>
      <w:bookmarkStart w:id="64" w:name="_Toc80886937"/>
      <w:r>
        <w:rPr>
          <w:rFonts w:hint="eastAsia" w:ascii="宋体" w:hAnsi="宋体" w:eastAsia="宋体" w:cs="宋体"/>
          <w:color w:val="auto"/>
          <w:highlight w:val="none"/>
        </w:rPr>
        <w:t>第四章  评审程序、评审方法和评审标准</w:t>
      </w:r>
      <w:bookmarkEnd w:id="64"/>
    </w:p>
    <w:p w14:paraId="6B2F1F96">
      <w:pPr>
        <w:pStyle w:val="3"/>
        <w:jc w:val="center"/>
        <w:rPr>
          <w:rFonts w:hint="eastAsia" w:ascii="宋体" w:hAnsi="宋体" w:eastAsia="宋体" w:cs="宋体"/>
          <w:b w:val="0"/>
          <w:color w:val="auto"/>
          <w:highlight w:val="none"/>
        </w:rPr>
      </w:pPr>
      <w:bookmarkStart w:id="65" w:name="_Toc80886938"/>
      <w:r>
        <w:rPr>
          <w:rFonts w:hint="eastAsia" w:ascii="宋体" w:hAnsi="宋体" w:eastAsia="宋体" w:cs="宋体"/>
          <w:b w:val="0"/>
          <w:color w:val="auto"/>
          <w:highlight w:val="none"/>
        </w:rPr>
        <w:t>第一节 评审程序和评审方法</w:t>
      </w:r>
      <w:bookmarkEnd w:id="65"/>
    </w:p>
    <w:p w14:paraId="304A5F3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1B6737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146AC9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10540EE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3CCD64F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50C34C2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67D7317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4497A23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6BC5D9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C155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7F3C2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0980A18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0B24B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006B39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2107F4D">
      <w:pPr>
        <w:spacing w:line="360" w:lineRule="auto"/>
        <w:ind w:firstLine="420" w:firstLineChars="200"/>
        <w:rPr>
          <w:rFonts w:hint="eastAsia" w:ascii="宋体" w:hAnsi="宋体" w:eastAsia="宋体" w:cs="宋体"/>
          <w:color w:val="auto"/>
          <w:szCs w:val="21"/>
          <w:highlight w:val="none"/>
        </w:rPr>
      </w:pPr>
      <w:bookmarkStart w:id="66"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6"/>
    </w:p>
    <w:p w14:paraId="3BA6BC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6B6BA27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4125E0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4DD06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C261A0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71030055">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4F00F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2ACE72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283C6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7AB29B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264537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55423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25FA20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EEEF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E7825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77F2D5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54E1A6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F1E1C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F73C4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6E161A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34ABE7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7E397D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0596B9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4E5409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246BFF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7E5794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081933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6179F0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CFDFD6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66FE8C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F38D5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104E9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78849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C8979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B92D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5D23A2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2E498B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5C444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351488DA">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3D6525C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3A18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0CDF1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F719E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B16F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545F057">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6B9AC392">
      <w:pPr>
        <w:pStyle w:val="26"/>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29F882E8">
      <w:pPr>
        <w:pStyle w:val="26"/>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4466C315">
      <w:pPr>
        <w:pStyle w:val="26"/>
        <w:spacing w:before="0"/>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79365725">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905BDD3">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6F23FE5">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030DA0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500D8D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B57F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60400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754D6F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2CC4CA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736EED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694D19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3D557F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1AC8A9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6025EE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EF9D6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40366D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1FDD5D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4A23EE05">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665469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19B1AF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51D05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46C73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16BDBF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85BFF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31481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77C2C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E687F3">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720ACD9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49B32DC5">
      <w:pPr>
        <w:spacing w:line="360" w:lineRule="auto"/>
        <w:ind w:firstLine="420" w:firstLineChars="200"/>
        <w:rPr>
          <w:rFonts w:hint="eastAsia" w:ascii="宋体" w:hAnsi="宋体" w:eastAsia="宋体" w:cs="宋体"/>
          <w:bCs/>
          <w:color w:val="auto"/>
          <w:szCs w:val="21"/>
          <w:highlight w:val="none"/>
        </w:rPr>
      </w:pPr>
      <w:bookmarkStart w:id="67" w:name="PO_TDCUS_ITEM_SM_TABLE_1"/>
      <w:r>
        <w:rPr>
          <w:rFonts w:hint="eastAsia" w:ascii="宋体" w:hAnsi="宋体" w:eastAsia="宋体" w:cs="宋体"/>
          <w:bCs/>
          <w:color w:val="auto"/>
          <w:szCs w:val="21"/>
          <w:highlight w:val="none"/>
        </w:rPr>
        <w:br w:type="page"/>
      </w:r>
    </w:p>
    <w:tbl>
      <w:tblPr>
        <w:tblStyle w:val="2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54"/>
        <w:gridCol w:w="6309"/>
        <w:gridCol w:w="841"/>
      </w:tblGrid>
      <w:tr w14:paraId="541E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61036441">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1154" w:type="dxa"/>
            <w:tcBorders>
              <w:top w:val="single" w:color="auto" w:sz="4" w:space="0"/>
              <w:left w:val="single" w:color="auto" w:sz="4" w:space="0"/>
              <w:bottom w:val="single" w:color="auto" w:sz="4" w:space="0"/>
              <w:right w:val="single" w:color="auto" w:sz="4" w:space="0"/>
            </w:tcBorders>
            <w:vAlign w:val="center"/>
          </w:tcPr>
          <w:p w14:paraId="67F62651">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评审因素</w:t>
            </w:r>
          </w:p>
        </w:tc>
        <w:tc>
          <w:tcPr>
            <w:tcW w:w="6309" w:type="dxa"/>
            <w:tcBorders>
              <w:top w:val="single" w:color="auto" w:sz="4" w:space="0"/>
              <w:left w:val="single" w:color="auto" w:sz="4" w:space="0"/>
              <w:bottom w:val="single" w:color="auto" w:sz="4" w:space="0"/>
              <w:right w:val="single" w:color="auto" w:sz="4" w:space="0"/>
            </w:tcBorders>
            <w:vAlign w:val="center"/>
          </w:tcPr>
          <w:p w14:paraId="1CA7F19F">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评审因素具体内容</w:t>
            </w:r>
          </w:p>
        </w:tc>
        <w:tc>
          <w:tcPr>
            <w:tcW w:w="841" w:type="dxa"/>
            <w:tcBorders>
              <w:top w:val="single" w:color="auto" w:sz="4" w:space="0"/>
              <w:left w:val="single" w:color="auto" w:sz="4" w:space="0"/>
              <w:bottom w:val="single" w:color="auto" w:sz="4" w:space="0"/>
              <w:right w:val="single" w:color="auto" w:sz="4" w:space="0"/>
            </w:tcBorders>
            <w:vAlign w:val="center"/>
          </w:tcPr>
          <w:p w14:paraId="4E34A6F8">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分值</w:t>
            </w:r>
          </w:p>
        </w:tc>
      </w:tr>
      <w:tr w14:paraId="5A55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7879C8FA">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1154" w:type="dxa"/>
            <w:tcBorders>
              <w:top w:val="single" w:color="auto" w:sz="4" w:space="0"/>
              <w:left w:val="single" w:color="auto" w:sz="4" w:space="0"/>
              <w:bottom w:val="single" w:color="auto" w:sz="4" w:space="0"/>
              <w:right w:val="single" w:color="auto" w:sz="4" w:space="0"/>
            </w:tcBorders>
            <w:vAlign w:val="center"/>
          </w:tcPr>
          <w:p w14:paraId="74EE089E">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价格分</w:t>
            </w:r>
          </w:p>
        </w:tc>
        <w:tc>
          <w:tcPr>
            <w:tcW w:w="6309" w:type="dxa"/>
            <w:tcBorders>
              <w:top w:val="single" w:color="auto" w:sz="4" w:space="0"/>
              <w:left w:val="single" w:color="auto" w:sz="4" w:space="0"/>
              <w:bottom w:val="single" w:color="auto" w:sz="4" w:space="0"/>
              <w:right w:val="single" w:color="auto" w:sz="4" w:space="0"/>
            </w:tcBorders>
            <w:vAlign w:val="top"/>
          </w:tcPr>
          <w:p w14:paraId="0B7E2387">
            <w:pPr>
              <w:spacing w:line="364" w:lineRule="exact"/>
              <w:ind w:firstLine="384" w:firstLineChars="183"/>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38271D4F">
            <w:pPr>
              <w:spacing w:line="364" w:lineRule="exact"/>
              <w:ind w:firstLine="384" w:firstLineChars="183"/>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bCs/>
                <w:color w:val="auto"/>
                <w:szCs w:val="21"/>
                <w:highlight w:val="none"/>
              </w:rPr>
              <w:t>.磋商小组在磋商过程中发现供应商的报价过低，有可能不能诚信履约的，需在规定的时间内提供相关预算依据材料。供应商不能证明其磋商报价合理性的，评标委员会应当将其作为无效磋商处理。(书面说明包含但不限于以下内容：供应商所需人力工资成本、企业税赋和财务成本、风险准备、验收费、差旅费、利润及参与政府采购所需费用说明等，应列表详细说明，并提供相关证明材料。不能按上述在规定时间内要求提供说明和证明材料的，视为低于成本报价，报价无效。</w:t>
            </w:r>
          </w:p>
          <w:p w14:paraId="19D9BAA6">
            <w:pPr>
              <w:spacing w:line="364" w:lineRule="exact"/>
              <w:ind w:firstLine="384" w:firstLineChars="183"/>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.政府采购政策性扣除计算方法</w:t>
            </w:r>
          </w:p>
          <w:p w14:paraId="6E8CA2F9">
            <w:pPr>
              <w:spacing w:line="364"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政府采购促进中小企业发展管理办法》（财库〔2020〕46号）、桂财采〔2022〕31号《广西壮族自治区财政厅关于贯彻落实政府采购支持中小企业发展政策的通知》的规定，响应文件中提供《中小企业声明函》，且服务全部由符合政策要求的小型、微型企业承接的，对其最后报价给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0%的扣除。</w:t>
            </w:r>
          </w:p>
          <w:p w14:paraId="59DDD7F5">
            <w:pPr>
              <w:spacing w:line="364"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A8650CB">
            <w:pPr>
              <w:spacing w:line="364"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75796FB">
            <w:pPr>
              <w:spacing w:line="364"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（4）政策性扣除计算方法。</w:t>
            </w:r>
          </w:p>
          <w:p w14:paraId="7D6C6073">
            <w:pPr>
              <w:spacing w:line="364"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供应商被评定为监狱企业或者残疾人福利性单位或者其服务全部由符合政策要求的小型、微型企业承接的，该供应商的最后报价给予</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0%的扣除，扣除后的价格为评审价，即评审价=最后报价×（1-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3%的扣除，用扣除后的价格参加评审，扣除后的价格为评审价，即评审价=最后报价×（1-3%）。</w:t>
            </w:r>
          </w:p>
          <w:p w14:paraId="6E13A39B">
            <w:pPr>
              <w:snapToGrid w:val="0"/>
              <w:spacing w:line="364" w:lineRule="exact"/>
              <w:ind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（5）除上述情况外，评审价＝最后报价。</w:t>
            </w:r>
          </w:p>
          <w:p w14:paraId="3EDDDC1D">
            <w:pPr>
              <w:spacing w:line="364"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（6）以进入比较与评价环节的最低的评审价为基准价，基准价得分为</w:t>
            </w:r>
            <w:r>
              <w:rPr>
                <w:rFonts w:hint="eastAsia" w:ascii="宋体" w:hAnsi="宋体" w:eastAsia="宋体" w:cs="宋体"/>
                <w:bCs/>
                <w:color w:val="auto"/>
                <w:szCs w:val="21"/>
                <w:highlight w:val="none"/>
                <w:u w:val="single"/>
              </w:rPr>
              <w:t>10分</w:t>
            </w:r>
            <w:r>
              <w:rPr>
                <w:rFonts w:hint="eastAsia" w:ascii="宋体" w:hAnsi="宋体" w:eastAsia="宋体" w:cs="宋体"/>
                <w:bCs/>
                <w:color w:val="auto"/>
                <w:szCs w:val="21"/>
                <w:highlight w:val="none"/>
              </w:rPr>
              <w:t>。</w:t>
            </w:r>
          </w:p>
          <w:p w14:paraId="2B3ECC28">
            <w:pPr>
              <w:spacing w:line="364"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（7）价格分计算公式：</w:t>
            </w:r>
          </w:p>
          <w:p w14:paraId="778F1E72">
            <w:pPr>
              <w:spacing w:line="440" w:lineRule="exact"/>
              <w:rPr>
                <w:rFonts w:hint="eastAsia" w:ascii="宋体" w:hAnsi="宋体" w:eastAsia="宋体" w:cs="宋体"/>
                <w:bCs/>
                <w:color w:val="auto"/>
                <w:highlight w:val="none"/>
              </w:rPr>
            </w:pPr>
            <w:r>
              <w:rPr>
                <w:rFonts w:hint="eastAsia" w:ascii="宋体" w:hAnsi="宋体" w:eastAsia="宋体" w:cs="宋体"/>
                <w:bCs/>
                <w:color w:val="auto"/>
                <w:szCs w:val="21"/>
                <w:highlight w:val="none"/>
              </w:rPr>
              <w:t>报价得分=（基准价/</w:t>
            </w:r>
            <w:r>
              <w:rPr>
                <w:rFonts w:hint="eastAsia" w:ascii="宋体" w:hAnsi="宋体" w:eastAsia="宋体" w:cs="宋体"/>
                <w:color w:val="auto"/>
                <w:kern w:val="0"/>
                <w:szCs w:val="21"/>
                <w:highlight w:val="none"/>
              </w:rPr>
              <w:t>评审价</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u w:val="single"/>
              </w:rPr>
              <w:t>10分</w:t>
            </w:r>
          </w:p>
        </w:tc>
        <w:tc>
          <w:tcPr>
            <w:tcW w:w="841" w:type="dxa"/>
            <w:tcBorders>
              <w:top w:val="single" w:color="auto" w:sz="4" w:space="0"/>
              <w:left w:val="single" w:color="auto" w:sz="4" w:space="0"/>
              <w:bottom w:val="single" w:color="auto" w:sz="4" w:space="0"/>
              <w:right w:val="single" w:color="auto" w:sz="4" w:space="0"/>
            </w:tcBorders>
            <w:vAlign w:val="center"/>
          </w:tcPr>
          <w:p w14:paraId="52655561">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10分</w:t>
            </w:r>
          </w:p>
        </w:tc>
      </w:tr>
      <w:tr w14:paraId="1349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7B425357">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1154" w:type="dxa"/>
            <w:tcBorders>
              <w:top w:val="single" w:color="auto" w:sz="4" w:space="0"/>
              <w:left w:val="single" w:color="auto" w:sz="4" w:space="0"/>
              <w:bottom w:val="single" w:color="auto" w:sz="4" w:space="0"/>
              <w:right w:val="single" w:color="auto" w:sz="4" w:space="0"/>
            </w:tcBorders>
            <w:vAlign w:val="center"/>
          </w:tcPr>
          <w:p w14:paraId="3E78DBEB">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技术分</w:t>
            </w:r>
          </w:p>
        </w:tc>
        <w:tc>
          <w:tcPr>
            <w:tcW w:w="7150" w:type="dxa"/>
            <w:gridSpan w:val="2"/>
            <w:tcBorders>
              <w:top w:val="single" w:color="auto" w:sz="4" w:space="0"/>
              <w:left w:val="single" w:color="auto" w:sz="4" w:space="0"/>
              <w:bottom w:val="single" w:color="auto" w:sz="4" w:space="0"/>
              <w:right w:val="single" w:color="auto" w:sz="4" w:space="0"/>
            </w:tcBorders>
            <w:vAlign w:val="center"/>
          </w:tcPr>
          <w:p w14:paraId="19AC2699">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评审因素</w:t>
            </w:r>
          </w:p>
        </w:tc>
      </w:tr>
      <w:tr w14:paraId="4E5A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14:paraId="49AE76F6">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2.1</w:t>
            </w:r>
          </w:p>
        </w:tc>
        <w:tc>
          <w:tcPr>
            <w:tcW w:w="1154" w:type="dxa"/>
            <w:vMerge w:val="restart"/>
            <w:tcBorders>
              <w:top w:val="single" w:color="auto" w:sz="4" w:space="0"/>
              <w:left w:val="single" w:color="auto" w:sz="4" w:space="0"/>
              <w:bottom w:val="single" w:color="auto" w:sz="4" w:space="0"/>
              <w:right w:val="single" w:color="auto" w:sz="4" w:space="0"/>
            </w:tcBorders>
            <w:vAlign w:val="center"/>
          </w:tcPr>
          <w:p w14:paraId="296DE564">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质量保证措施分</w:t>
            </w:r>
          </w:p>
        </w:tc>
        <w:tc>
          <w:tcPr>
            <w:tcW w:w="6309" w:type="dxa"/>
            <w:tcBorders>
              <w:top w:val="single" w:color="auto" w:sz="4" w:space="0"/>
              <w:left w:val="single" w:color="auto" w:sz="4" w:space="0"/>
              <w:bottom w:val="single" w:color="auto" w:sz="4" w:space="0"/>
              <w:right w:val="single" w:color="auto" w:sz="4" w:space="0"/>
            </w:tcBorders>
            <w:vAlign w:val="center"/>
          </w:tcPr>
          <w:p w14:paraId="700796E1">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（1）定时管理维护方案</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对平台服务器、网络设备、安全产品、存储备份设备、附属终端设备（如展厅DLP、UPS，以及党建服务自助一体机等）进行配置优化、日常检查监测，维护保养，固定资产统计年检，故障修复和移机升级；对平台各类设备操作系统及数据库进行版本更新、优化清理、备份恢复和加固升级</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提供信息安全等级防护技术措施，满分16分</w:t>
            </w:r>
            <w:r>
              <w:rPr>
                <w:rFonts w:hint="eastAsia" w:ascii="宋体" w:hAnsi="宋体" w:cs="宋体"/>
                <w:bCs/>
                <w:color w:val="auto"/>
                <w:highlight w:val="none"/>
                <w:lang w:eastAsia="zh-CN"/>
              </w:rPr>
              <w:t>。</w:t>
            </w:r>
          </w:p>
          <w:p w14:paraId="003F23C0">
            <w:pPr>
              <w:spacing w:line="440" w:lineRule="exact"/>
              <w:rPr>
                <w:rFonts w:hint="eastAsia" w:ascii="宋体" w:hAnsi="宋体" w:eastAsia="宋体" w:cs="宋体"/>
                <w:bCs/>
                <w:color w:val="auto"/>
                <w:highlight w:val="none"/>
              </w:rPr>
            </w:pPr>
            <w:bookmarkStart w:id="68" w:name="_Toc394394587"/>
            <w:bookmarkStart w:id="69" w:name="_Toc90880255"/>
            <w:r>
              <w:rPr>
                <w:rFonts w:hint="eastAsia" w:ascii="宋体" w:hAnsi="宋体" w:eastAsia="宋体" w:cs="宋体"/>
                <w:bCs/>
                <w:color w:val="auto"/>
                <w:highlight w:val="none"/>
                <w:lang w:val="en-US" w:eastAsia="zh-CN"/>
              </w:rPr>
              <w:t>一档（4分）：</w:t>
            </w:r>
            <w:r>
              <w:rPr>
                <w:rFonts w:hint="eastAsia" w:ascii="宋体" w:hAnsi="宋体" w:eastAsia="宋体" w:cs="宋体"/>
                <w:bCs/>
                <w:color w:val="auto"/>
                <w:highlight w:val="none"/>
              </w:rPr>
              <w:t>服务方案满足竞争性磋商文件采购需求的要求；</w:t>
            </w:r>
            <w:bookmarkEnd w:id="68"/>
            <w:bookmarkEnd w:id="69"/>
          </w:p>
          <w:p w14:paraId="5F3C2F0A">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二档（8分）：</w:t>
            </w:r>
            <w:r>
              <w:rPr>
                <w:rFonts w:hint="eastAsia" w:ascii="宋体" w:hAnsi="宋体" w:eastAsia="宋体" w:cs="宋体"/>
                <w:bCs/>
                <w:color w:val="auto"/>
                <w:highlight w:val="none"/>
              </w:rPr>
              <w:t>服务方案满足竞争性磋商文件采购需求的要求，且服务内容比采购需求的要求更为详细；</w:t>
            </w:r>
          </w:p>
          <w:p w14:paraId="3567EC09">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三档（12分）：</w:t>
            </w:r>
            <w:r>
              <w:rPr>
                <w:rFonts w:hint="eastAsia" w:ascii="宋体" w:hAnsi="宋体" w:eastAsia="宋体" w:cs="宋体"/>
                <w:bCs/>
                <w:color w:val="auto"/>
                <w:highlight w:val="none"/>
              </w:rPr>
              <w:t>服务方案满足竞争性磋商文件采购需求的要求，且服务内容更细、标准更高；</w:t>
            </w:r>
          </w:p>
          <w:p w14:paraId="282B2398">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四档（16分）：</w:t>
            </w:r>
            <w:r>
              <w:rPr>
                <w:rFonts w:hint="eastAsia" w:ascii="宋体" w:hAnsi="宋体" w:eastAsia="宋体" w:cs="宋体"/>
                <w:bCs/>
                <w:color w:val="auto"/>
                <w:highlight w:val="none"/>
              </w:rPr>
              <w:t>服务方案满足竞争性磋商文件采购需求的要求，且服务内容更细、标准更高、范围更大。</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14:paraId="20F1619A">
            <w:pPr>
              <w:spacing w:line="440" w:lineRule="exact"/>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30</w:t>
            </w:r>
            <w:r>
              <w:rPr>
                <w:rFonts w:hint="eastAsia" w:ascii="宋体" w:hAnsi="宋体" w:eastAsia="宋体" w:cs="宋体"/>
                <w:bCs/>
                <w:color w:val="auto"/>
                <w:highlight w:val="none"/>
                <w:lang w:eastAsia="zh-CN"/>
              </w:rPr>
              <w:t>分</w:t>
            </w:r>
          </w:p>
        </w:tc>
      </w:tr>
      <w:tr w14:paraId="419F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115C885C">
            <w:pPr>
              <w:spacing w:line="440" w:lineRule="exact"/>
              <w:rPr>
                <w:rFonts w:hint="eastAsia" w:ascii="宋体" w:hAnsi="宋体" w:eastAsia="宋体" w:cs="宋体"/>
                <w:bCs/>
                <w:color w:val="auto"/>
                <w:highlight w:val="none"/>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3F69A203">
            <w:pPr>
              <w:spacing w:line="440" w:lineRule="exact"/>
              <w:rPr>
                <w:rFonts w:hint="eastAsia" w:ascii="宋体" w:hAnsi="宋体" w:eastAsia="宋体" w:cs="宋体"/>
                <w:bCs/>
                <w:color w:val="auto"/>
                <w:highlight w:val="none"/>
              </w:rPr>
            </w:pPr>
          </w:p>
        </w:tc>
        <w:tc>
          <w:tcPr>
            <w:tcW w:w="6309" w:type="dxa"/>
            <w:tcBorders>
              <w:top w:val="single" w:color="auto" w:sz="4" w:space="0"/>
              <w:left w:val="single" w:color="auto" w:sz="4" w:space="0"/>
              <w:bottom w:val="single" w:color="auto" w:sz="4" w:space="0"/>
              <w:right w:val="single" w:color="auto" w:sz="4" w:space="0"/>
            </w:tcBorders>
            <w:vAlign w:val="center"/>
          </w:tcPr>
          <w:p w14:paraId="489DA452">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（2）功能完善升级方案</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对平台应用系统进行日常监控检测和故障维护；优化完善原有功能流程；制定升级、信创、灾备等内容的平台改进</w:t>
            </w:r>
            <w:r>
              <w:rPr>
                <w:rFonts w:hint="eastAsia" w:ascii="宋体" w:hAnsi="宋体" w:eastAsia="宋体" w:cs="宋体"/>
                <w:bCs/>
                <w:color w:val="auto"/>
                <w:highlight w:val="none"/>
                <w:lang w:val="en-US" w:eastAsia="zh-CN"/>
              </w:rPr>
              <w:t>方案</w:t>
            </w:r>
            <w:r>
              <w:rPr>
                <w:rFonts w:hint="eastAsia" w:ascii="宋体" w:hAnsi="宋体" w:eastAsia="宋体" w:cs="宋体"/>
                <w:bCs/>
                <w:color w:val="auto"/>
                <w:highlight w:val="none"/>
              </w:rPr>
              <w:t>，满分8分</w:t>
            </w:r>
            <w:r>
              <w:rPr>
                <w:rFonts w:hint="eastAsia" w:ascii="宋体" w:hAnsi="宋体" w:cs="宋体"/>
                <w:bCs/>
                <w:color w:val="auto"/>
                <w:highlight w:val="none"/>
                <w:lang w:eastAsia="zh-CN"/>
              </w:rPr>
              <w:t>。</w:t>
            </w:r>
          </w:p>
          <w:p w14:paraId="0ABDB1CE">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一档（3分）：</w:t>
            </w:r>
            <w:r>
              <w:rPr>
                <w:rFonts w:hint="eastAsia" w:ascii="宋体" w:hAnsi="宋体" w:eastAsia="宋体" w:cs="宋体"/>
                <w:bCs/>
                <w:color w:val="auto"/>
                <w:highlight w:val="none"/>
              </w:rPr>
              <w:t>方案简单描述了对平台原有功能和流程的优化完善措施；明确对BUG、错误和故障的响应处理方式和时限；对新功能有简单的开发设计思路；有简单的数据互导记录、接口维护记录和软件文档更新；</w:t>
            </w:r>
          </w:p>
          <w:p w14:paraId="111A7F06">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二档（6分）：</w:t>
            </w:r>
            <w:r>
              <w:rPr>
                <w:rFonts w:hint="eastAsia" w:ascii="宋体" w:hAnsi="宋体" w:eastAsia="宋体" w:cs="宋体"/>
                <w:bCs/>
                <w:color w:val="auto"/>
                <w:highlight w:val="none"/>
              </w:rPr>
              <w:t>方案较为深入的分析了平台原有功能和流程所存在的问题并提出详细可行的优化完善措施；有成熟高效的问题反馈与处理机制；有较为详细的</w:t>
            </w:r>
            <w:r>
              <w:rPr>
                <w:rFonts w:hint="eastAsia" w:ascii="宋体" w:hAnsi="宋体" w:eastAsia="宋体" w:cs="宋体"/>
                <w:bCs/>
                <w:color w:val="auto"/>
                <w:highlight w:val="none"/>
                <w:lang w:val="en-US" w:eastAsia="zh-CN"/>
              </w:rPr>
              <w:t>党务管理、线上培训等</w:t>
            </w:r>
            <w:r>
              <w:rPr>
                <w:rFonts w:hint="eastAsia" w:ascii="宋体" w:hAnsi="宋体" w:eastAsia="宋体" w:cs="宋体"/>
                <w:bCs/>
                <w:color w:val="auto"/>
                <w:highlight w:val="none"/>
              </w:rPr>
              <w:t>功能与子系统开发方案及步骤；</w:t>
            </w:r>
            <w:r>
              <w:rPr>
                <w:rFonts w:hint="eastAsia" w:ascii="宋体" w:hAnsi="宋体" w:eastAsia="宋体" w:cs="宋体"/>
                <w:bCs/>
                <w:color w:val="auto"/>
                <w:highlight w:val="none"/>
                <w:lang w:val="en-US" w:eastAsia="zh-CN"/>
              </w:rPr>
              <w:t>承诺开展</w:t>
            </w:r>
            <w:r>
              <w:rPr>
                <w:rFonts w:hint="eastAsia" w:ascii="宋体" w:hAnsi="宋体" w:eastAsia="宋体" w:cs="宋体"/>
                <w:bCs/>
                <w:color w:val="auto"/>
                <w:highlight w:val="none"/>
              </w:rPr>
              <w:t>系统升级扩容计划、</w:t>
            </w:r>
            <w:r>
              <w:rPr>
                <w:rFonts w:hint="eastAsia" w:ascii="宋体" w:hAnsi="宋体" w:eastAsia="宋体" w:cs="宋体"/>
                <w:bCs/>
                <w:color w:val="auto"/>
                <w:highlight w:val="none"/>
                <w:lang w:val="en-US" w:eastAsia="zh-CN"/>
              </w:rPr>
              <w:t>数据库</w:t>
            </w:r>
            <w:r>
              <w:rPr>
                <w:rFonts w:hint="eastAsia" w:ascii="宋体" w:hAnsi="宋体" w:eastAsia="宋体" w:cs="宋体"/>
                <w:bCs/>
                <w:color w:val="auto"/>
                <w:highlight w:val="none"/>
              </w:rPr>
              <w:t>信创、异地灾备</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应急演练；有较为规范、完整的操作记录和技术文档管理体系；</w:t>
            </w:r>
          </w:p>
          <w:p w14:paraId="32AF53C8">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三档（8分）：</w:t>
            </w:r>
            <w:r>
              <w:rPr>
                <w:rFonts w:hint="eastAsia" w:ascii="宋体" w:hAnsi="宋体" w:eastAsia="宋体" w:cs="宋体"/>
                <w:bCs/>
                <w:color w:val="auto"/>
                <w:highlight w:val="none"/>
              </w:rPr>
              <w:t>方案详细而准确的描述了平台现状、存在问题和迫切需求，有完整的原有功能优化完善计划和具体</w:t>
            </w:r>
            <w:r>
              <w:rPr>
                <w:rFonts w:hint="eastAsia" w:ascii="宋体" w:hAnsi="宋体" w:eastAsia="宋体" w:cs="宋体"/>
                <w:bCs/>
                <w:color w:val="auto"/>
                <w:highlight w:val="none"/>
                <w:lang w:val="en-US" w:eastAsia="zh-CN"/>
              </w:rPr>
              <w:t>党务管理、线上培训、电子地图、视频会议等</w:t>
            </w:r>
            <w:r>
              <w:rPr>
                <w:rFonts w:hint="eastAsia" w:ascii="宋体" w:hAnsi="宋体" w:eastAsia="宋体" w:cs="宋体"/>
                <w:bCs/>
                <w:color w:val="auto"/>
                <w:highlight w:val="none"/>
              </w:rPr>
              <w:t>新功能开发设计方案；提供详细的系统升级扩容计划</w:t>
            </w:r>
            <w:r>
              <w:rPr>
                <w:rFonts w:hint="eastAsia" w:ascii="宋体" w:hAnsi="宋体" w:eastAsia="宋体" w:cs="宋体"/>
                <w:bCs/>
                <w:color w:val="auto"/>
                <w:highlight w:val="none"/>
                <w:lang w:val="en-US" w:eastAsia="zh-CN"/>
              </w:rPr>
              <w:t>和媒体运行方案</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承诺开展数据库及服务器操作系统</w:t>
            </w:r>
            <w:r>
              <w:rPr>
                <w:rFonts w:hint="eastAsia" w:ascii="宋体" w:hAnsi="宋体" w:eastAsia="宋体" w:cs="宋体"/>
                <w:bCs/>
                <w:color w:val="auto"/>
                <w:highlight w:val="none"/>
              </w:rPr>
              <w:t>信创、</w:t>
            </w:r>
            <w:r>
              <w:rPr>
                <w:rFonts w:hint="eastAsia" w:ascii="宋体" w:hAnsi="宋体" w:eastAsia="宋体" w:cs="宋体"/>
                <w:bCs/>
                <w:color w:val="auto"/>
                <w:highlight w:val="none"/>
                <w:lang w:val="en-US" w:eastAsia="zh-CN"/>
              </w:rPr>
              <w:t>提供详细的</w:t>
            </w:r>
            <w:r>
              <w:rPr>
                <w:rFonts w:hint="eastAsia" w:ascii="宋体" w:hAnsi="宋体" w:eastAsia="宋体" w:cs="宋体"/>
                <w:bCs/>
                <w:color w:val="auto"/>
                <w:highlight w:val="none"/>
              </w:rPr>
              <w:t>灾备建设规划、异地灾备建设、应急演练方案；对显现或隐藏的问题能做到主动发现、及时响应、妥善处理、跟踪分析、总结提高；技术部署合理而先进，确保平台兼容性和延续性，具有良好的可行性和可扩展性；提供详细合理的过程记录表和软件开发文档模板；具有详细的设计图并能提供完善的施工组织保障和进度计划；能保证按时、按质、按量完成项目。</w:t>
            </w:r>
          </w:p>
        </w:tc>
        <w:tc>
          <w:tcPr>
            <w:tcW w:w="841" w:type="dxa"/>
            <w:vMerge w:val="continue"/>
            <w:tcBorders>
              <w:top w:val="single" w:color="auto" w:sz="4" w:space="0"/>
              <w:left w:val="single" w:color="auto" w:sz="4" w:space="0"/>
              <w:bottom w:val="single" w:color="auto" w:sz="4" w:space="0"/>
              <w:right w:val="single" w:color="auto" w:sz="4" w:space="0"/>
            </w:tcBorders>
            <w:vAlign w:val="center"/>
          </w:tcPr>
          <w:p w14:paraId="623785C8">
            <w:pPr>
              <w:spacing w:line="440" w:lineRule="exact"/>
              <w:rPr>
                <w:rFonts w:hint="eastAsia" w:ascii="宋体" w:hAnsi="宋体" w:eastAsia="宋体" w:cs="宋体"/>
                <w:bCs/>
                <w:color w:val="auto"/>
                <w:highlight w:val="none"/>
              </w:rPr>
            </w:pPr>
          </w:p>
        </w:tc>
      </w:tr>
      <w:tr w14:paraId="01BB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39692203">
            <w:pPr>
              <w:spacing w:line="440" w:lineRule="exact"/>
              <w:rPr>
                <w:rFonts w:hint="eastAsia" w:ascii="宋体" w:hAnsi="宋体" w:eastAsia="宋体" w:cs="宋体"/>
                <w:bCs/>
                <w:color w:val="auto"/>
                <w:highlight w:val="none"/>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04489BFD">
            <w:pPr>
              <w:spacing w:line="440" w:lineRule="exact"/>
              <w:rPr>
                <w:rFonts w:hint="eastAsia" w:ascii="宋体" w:hAnsi="宋体" w:eastAsia="宋体" w:cs="宋体"/>
                <w:bCs/>
                <w:color w:val="auto"/>
                <w:highlight w:val="none"/>
              </w:rPr>
            </w:pPr>
          </w:p>
        </w:tc>
        <w:tc>
          <w:tcPr>
            <w:tcW w:w="6309" w:type="dxa"/>
            <w:tcBorders>
              <w:top w:val="single" w:color="auto" w:sz="4" w:space="0"/>
              <w:left w:val="single" w:color="auto" w:sz="4" w:space="0"/>
              <w:bottom w:val="single" w:color="auto" w:sz="4" w:space="0"/>
              <w:right w:val="single" w:color="auto" w:sz="4" w:space="0"/>
            </w:tcBorders>
            <w:vAlign w:val="center"/>
          </w:tcPr>
          <w:p w14:paraId="0008705C">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（3）工作难点和关键点分析</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满分6分</w:t>
            </w:r>
            <w:r>
              <w:rPr>
                <w:rFonts w:hint="eastAsia" w:ascii="宋体" w:hAnsi="宋体" w:cs="宋体"/>
                <w:bCs/>
                <w:color w:val="auto"/>
                <w:highlight w:val="none"/>
                <w:lang w:eastAsia="zh-CN"/>
              </w:rPr>
              <w:t>。</w:t>
            </w:r>
          </w:p>
          <w:p w14:paraId="33337F20">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一档（2分）：</w:t>
            </w:r>
            <w:r>
              <w:rPr>
                <w:rFonts w:hint="eastAsia" w:ascii="宋体" w:hAnsi="宋体" w:eastAsia="宋体" w:cs="宋体"/>
                <w:bCs/>
                <w:color w:val="auto"/>
                <w:highlight w:val="none"/>
              </w:rPr>
              <w:t>对项目日常维护工作的重点、难点及对策有基本阐述。</w:t>
            </w:r>
          </w:p>
          <w:p w14:paraId="06301BE6">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二档（4分）：</w:t>
            </w:r>
            <w:r>
              <w:rPr>
                <w:rFonts w:hint="eastAsia" w:ascii="宋体" w:hAnsi="宋体" w:eastAsia="宋体" w:cs="宋体"/>
                <w:bCs/>
                <w:color w:val="auto"/>
                <w:highlight w:val="none"/>
              </w:rPr>
              <w:t>对项目日常维护工作的重点、难点及对策有基本阐述，重难点的识别与提炼基本合理，能针对重难点能提出一般性对策建议。</w:t>
            </w:r>
          </w:p>
          <w:p w14:paraId="7FEBDFB6">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三档（6分）：</w:t>
            </w:r>
            <w:r>
              <w:rPr>
                <w:rFonts w:hint="eastAsia" w:ascii="宋体" w:hAnsi="宋体" w:eastAsia="宋体" w:cs="宋体"/>
                <w:bCs/>
                <w:color w:val="auto"/>
                <w:highlight w:val="none"/>
              </w:rPr>
              <w:t>对项目日常维护工作的重点、难点及对策有详细阐述，能结合以往类似项目维护经验的对重难点进行准确、合理的识别与提炼，能针对重难点提出针对性强、可操作性强的建议。</w:t>
            </w:r>
          </w:p>
        </w:tc>
        <w:tc>
          <w:tcPr>
            <w:tcW w:w="841" w:type="dxa"/>
            <w:vMerge w:val="continue"/>
            <w:tcBorders>
              <w:top w:val="single" w:color="auto" w:sz="4" w:space="0"/>
              <w:left w:val="single" w:color="auto" w:sz="4" w:space="0"/>
              <w:bottom w:val="single" w:color="auto" w:sz="4" w:space="0"/>
              <w:right w:val="single" w:color="auto" w:sz="4" w:space="0"/>
            </w:tcBorders>
            <w:vAlign w:val="center"/>
          </w:tcPr>
          <w:p w14:paraId="603A19FB">
            <w:pPr>
              <w:spacing w:line="440" w:lineRule="exact"/>
              <w:rPr>
                <w:rFonts w:hint="eastAsia" w:ascii="宋体" w:hAnsi="宋体" w:eastAsia="宋体" w:cs="宋体"/>
                <w:bCs/>
                <w:color w:val="auto"/>
                <w:highlight w:val="none"/>
              </w:rPr>
            </w:pPr>
          </w:p>
        </w:tc>
      </w:tr>
      <w:tr w14:paraId="73D7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2" w:type="dxa"/>
            <w:vMerge w:val="restart"/>
            <w:tcBorders>
              <w:top w:val="single" w:color="auto" w:sz="4" w:space="0"/>
              <w:left w:val="single" w:color="auto" w:sz="4" w:space="0"/>
              <w:bottom w:val="single" w:color="auto" w:sz="4" w:space="0"/>
              <w:right w:val="single" w:color="auto" w:sz="4" w:space="0"/>
            </w:tcBorders>
            <w:vAlign w:val="center"/>
          </w:tcPr>
          <w:p w14:paraId="06A295E5">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2.2</w:t>
            </w:r>
          </w:p>
        </w:tc>
        <w:tc>
          <w:tcPr>
            <w:tcW w:w="1154" w:type="dxa"/>
            <w:vMerge w:val="restart"/>
            <w:tcBorders>
              <w:top w:val="single" w:color="auto" w:sz="4" w:space="0"/>
              <w:left w:val="single" w:color="auto" w:sz="4" w:space="0"/>
              <w:bottom w:val="single" w:color="auto" w:sz="4" w:space="0"/>
              <w:right w:val="single" w:color="auto" w:sz="4" w:space="0"/>
            </w:tcBorders>
            <w:vAlign w:val="center"/>
          </w:tcPr>
          <w:p w14:paraId="1E18E8A3">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服务保证措施分</w:t>
            </w:r>
          </w:p>
        </w:tc>
        <w:tc>
          <w:tcPr>
            <w:tcW w:w="6309" w:type="dxa"/>
            <w:tcBorders>
              <w:top w:val="single" w:color="auto" w:sz="4" w:space="0"/>
              <w:left w:val="single" w:color="auto" w:sz="4" w:space="0"/>
              <w:bottom w:val="single" w:color="auto" w:sz="4" w:space="0"/>
              <w:right w:val="single" w:color="auto" w:sz="4" w:space="0"/>
            </w:tcBorders>
            <w:vAlign w:val="center"/>
          </w:tcPr>
          <w:p w14:paraId="02DBF328">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en-US" w:eastAsia="zh-CN"/>
              </w:rPr>
              <w:t>团队</w:t>
            </w:r>
            <w:r>
              <w:rPr>
                <w:rFonts w:hint="eastAsia" w:ascii="宋体" w:hAnsi="宋体" w:eastAsia="宋体" w:cs="宋体"/>
                <w:bCs/>
                <w:color w:val="auto"/>
                <w:highlight w:val="none"/>
              </w:rPr>
              <w:t>管理服务方案</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组建分级运维队伍，提供定期技术培训，重要活动现场保障，满分</w:t>
            </w:r>
            <w:r>
              <w:rPr>
                <w:rFonts w:hint="eastAsia" w:ascii="宋体" w:hAnsi="宋体" w:eastAsia="宋体" w:cs="宋体"/>
                <w:bCs/>
                <w:color w:val="auto"/>
                <w:highlight w:val="none"/>
                <w:lang w:val="en-US" w:eastAsia="zh-CN"/>
              </w:rPr>
              <w:t>15</w:t>
            </w:r>
            <w:r>
              <w:rPr>
                <w:rFonts w:hint="eastAsia" w:ascii="宋体" w:hAnsi="宋体" w:eastAsia="宋体" w:cs="宋体"/>
                <w:bCs/>
                <w:color w:val="auto"/>
                <w:highlight w:val="none"/>
              </w:rPr>
              <w:t>分</w:t>
            </w:r>
            <w:r>
              <w:rPr>
                <w:rFonts w:hint="eastAsia" w:ascii="宋体" w:hAnsi="宋体" w:cs="宋体"/>
                <w:bCs/>
                <w:color w:val="auto"/>
                <w:highlight w:val="none"/>
                <w:lang w:eastAsia="zh-CN"/>
              </w:rPr>
              <w:t>。</w:t>
            </w:r>
          </w:p>
          <w:p w14:paraId="39466B09">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一档（5分）：</w:t>
            </w:r>
            <w:r>
              <w:rPr>
                <w:rFonts w:hint="eastAsia" w:ascii="宋体" w:hAnsi="宋体" w:eastAsia="宋体" w:cs="宋体"/>
                <w:bCs/>
                <w:color w:val="auto"/>
                <w:highlight w:val="none"/>
              </w:rPr>
              <w:t>满足竞争性磋商文件采购需求的要求，有7人</w:t>
            </w:r>
            <w:r>
              <w:rPr>
                <w:rFonts w:hint="eastAsia" w:ascii="宋体" w:hAnsi="宋体" w:cs="宋体"/>
                <w:bCs/>
                <w:color w:val="auto"/>
                <w:highlight w:val="none"/>
                <w:lang w:val="en-US" w:eastAsia="zh-CN"/>
              </w:rPr>
              <w:t>及</w:t>
            </w:r>
            <w:r>
              <w:rPr>
                <w:rFonts w:hint="eastAsia" w:ascii="宋体" w:hAnsi="宋体" w:eastAsia="宋体" w:cs="宋体"/>
                <w:bCs/>
                <w:color w:val="auto"/>
                <w:highlight w:val="none"/>
              </w:rPr>
              <w:t>以上</w:t>
            </w:r>
            <w:r>
              <w:rPr>
                <w:rFonts w:hint="eastAsia" w:ascii="宋体" w:hAnsi="宋体" w:cs="宋体"/>
                <w:bCs/>
                <w:color w:val="auto"/>
                <w:highlight w:val="none"/>
                <w:lang w:val="en-US" w:eastAsia="zh-CN"/>
              </w:rPr>
              <w:t>(含7人)</w:t>
            </w:r>
            <w:r>
              <w:rPr>
                <w:rFonts w:hint="eastAsia" w:ascii="宋体" w:hAnsi="宋体" w:eastAsia="宋体" w:cs="宋体"/>
                <w:bCs/>
                <w:color w:val="auto"/>
                <w:highlight w:val="none"/>
              </w:rPr>
              <w:t>的远程支撑技术组，能派出</w:t>
            </w:r>
            <w:r>
              <w:rPr>
                <w:rFonts w:hint="eastAsia" w:ascii="宋体" w:hAnsi="宋体" w:cs="宋体"/>
                <w:bCs/>
                <w:color w:val="auto"/>
                <w:highlight w:val="none"/>
                <w:lang w:val="en-US" w:eastAsia="zh-CN"/>
              </w:rPr>
              <w:t>2名</w:t>
            </w:r>
            <w:r>
              <w:rPr>
                <w:rFonts w:hint="eastAsia" w:ascii="宋体" w:hAnsi="宋体" w:eastAsia="宋体" w:cs="宋体"/>
                <w:bCs/>
                <w:color w:val="auto"/>
                <w:highlight w:val="none"/>
              </w:rPr>
              <w:t>工程师现场驻点服务，承诺提供</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rPr>
              <w:t>人平台监控运维中心专职队伍建设与管理服务；能提供简单业务培训、简单应急预案和现场技术服务；</w:t>
            </w:r>
          </w:p>
          <w:p w14:paraId="2F00EC5A">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二档（10分）：</w:t>
            </w:r>
            <w:r>
              <w:rPr>
                <w:rFonts w:hint="eastAsia" w:ascii="宋体" w:hAnsi="宋体" w:eastAsia="宋体" w:cs="宋体"/>
                <w:bCs/>
                <w:color w:val="auto"/>
                <w:highlight w:val="none"/>
              </w:rPr>
              <w:t>满足竞争性磋商文件采购需求的要求，有</w:t>
            </w:r>
            <w:r>
              <w:rPr>
                <w:rFonts w:hint="eastAsia" w:ascii="宋体" w:hAnsi="宋体" w:cs="宋体"/>
                <w:bCs/>
                <w:color w:val="auto"/>
                <w:highlight w:val="none"/>
                <w:lang w:val="en-US" w:eastAsia="zh-CN"/>
              </w:rPr>
              <w:t>8</w:t>
            </w:r>
            <w:r>
              <w:rPr>
                <w:rFonts w:hint="eastAsia" w:ascii="宋体" w:hAnsi="宋体" w:eastAsia="宋体" w:cs="宋体"/>
                <w:bCs/>
                <w:color w:val="auto"/>
                <w:highlight w:val="none"/>
              </w:rPr>
              <w:t>人</w:t>
            </w:r>
            <w:r>
              <w:rPr>
                <w:rFonts w:hint="eastAsia" w:ascii="宋体" w:hAnsi="宋体" w:cs="宋体"/>
                <w:bCs/>
                <w:color w:val="auto"/>
                <w:highlight w:val="none"/>
                <w:lang w:val="en-US" w:eastAsia="zh-CN"/>
              </w:rPr>
              <w:t>及</w:t>
            </w:r>
            <w:r>
              <w:rPr>
                <w:rFonts w:hint="eastAsia" w:ascii="宋体" w:hAnsi="宋体" w:eastAsia="宋体" w:cs="宋体"/>
                <w:bCs/>
                <w:color w:val="auto"/>
                <w:highlight w:val="none"/>
              </w:rPr>
              <w:t>以上</w:t>
            </w:r>
            <w:r>
              <w:rPr>
                <w:rFonts w:hint="eastAsia" w:ascii="宋体" w:hAnsi="宋体" w:cs="宋体"/>
                <w:bCs/>
                <w:color w:val="auto"/>
                <w:highlight w:val="none"/>
                <w:lang w:val="en-US" w:eastAsia="zh-CN"/>
              </w:rPr>
              <w:t>(含8人)</w:t>
            </w:r>
            <w:r>
              <w:rPr>
                <w:rFonts w:hint="eastAsia" w:ascii="宋体" w:hAnsi="宋体" w:eastAsia="宋体" w:cs="宋体"/>
                <w:bCs/>
                <w:color w:val="auto"/>
                <w:highlight w:val="none"/>
              </w:rPr>
              <w:t>的远程支撑技术组且分工明确合理，能派出</w:t>
            </w:r>
            <w:r>
              <w:rPr>
                <w:rFonts w:hint="eastAsia" w:ascii="宋体" w:hAnsi="宋体" w:cs="宋体"/>
                <w:bCs/>
                <w:color w:val="auto"/>
                <w:highlight w:val="none"/>
                <w:lang w:val="en-US" w:eastAsia="zh-CN"/>
              </w:rPr>
              <w:t>3</w:t>
            </w:r>
            <w:r>
              <w:rPr>
                <w:rFonts w:hint="eastAsia" w:ascii="宋体" w:hAnsi="宋体" w:cs="宋体"/>
                <w:bCs/>
                <w:color w:val="auto"/>
                <w:highlight w:val="none"/>
                <w:lang w:eastAsia="zh-CN"/>
              </w:rPr>
              <w:t>名</w:t>
            </w:r>
            <w:r>
              <w:rPr>
                <w:rFonts w:hint="eastAsia" w:ascii="宋体" w:hAnsi="宋体" w:eastAsia="宋体" w:cs="宋体"/>
                <w:bCs/>
                <w:color w:val="auto"/>
                <w:highlight w:val="none"/>
              </w:rPr>
              <w:t>工程师现场驻点服务，承诺提供</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rPr>
              <w:t>人平台监控运维中心专职队伍建设与管理服务；能响应培训要求和制定主动培训计划；能提供简单应急预案及演练方案；承诺提供软硬件（含第三方）原厂售后延保计划；</w:t>
            </w:r>
          </w:p>
          <w:p w14:paraId="477CD69B">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三档（15分）：</w:t>
            </w:r>
            <w:r>
              <w:rPr>
                <w:rFonts w:hint="eastAsia" w:ascii="宋体" w:hAnsi="宋体" w:eastAsia="宋体" w:cs="宋体"/>
                <w:bCs/>
                <w:color w:val="auto"/>
                <w:highlight w:val="none"/>
              </w:rPr>
              <w:t>满足竞争性磋商文件采购需求的要求，有</w:t>
            </w:r>
            <w:r>
              <w:rPr>
                <w:rFonts w:hint="eastAsia" w:ascii="宋体" w:hAnsi="宋体" w:cs="宋体"/>
                <w:bCs/>
                <w:color w:val="auto"/>
                <w:highlight w:val="none"/>
                <w:lang w:val="en-US" w:eastAsia="zh-CN"/>
              </w:rPr>
              <w:t>9</w:t>
            </w:r>
            <w:r>
              <w:rPr>
                <w:rFonts w:hint="eastAsia" w:ascii="宋体" w:hAnsi="宋体" w:eastAsia="宋体" w:cs="宋体"/>
                <w:bCs/>
                <w:color w:val="auto"/>
                <w:highlight w:val="none"/>
              </w:rPr>
              <w:t>人</w:t>
            </w:r>
            <w:r>
              <w:rPr>
                <w:rFonts w:hint="eastAsia" w:ascii="宋体" w:hAnsi="宋体" w:cs="宋体"/>
                <w:bCs/>
                <w:color w:val="auto"/>
                <w:highlight w:val="none"/>
                <w:lang w:val="en-US" w:eastAsia="zh-CN"/>
              </w:rPr>
              <w:t>及</w:t>
            </w:r>
            <w:r>
              <w:rPr>
                <w:rFonts w:hint="eastAsia" w:ascii="宋体" w:hAnsi="宋体" w:eastAsia="宋体" w:cs="宋体"/>
                <w:bCs/>
                <w:color w:val="auto"/>
                <w:highlight w:val="none"/>
              </w:rPr>
              <w:t>以上</w:t>
            </w:r>
            <w:r>
              <w:rPr>
                <w:rFonts w:hint="eastAsia" w:ascii="宋体" w:hAnsi="宋体" w:cs="宋体"/>
                <w:bCs/>
                <w:color w:val="auto"/>
                <w:highlight w:val="none"/>
                <w:lang w:val="en-US" w:eastAsia="zh-CN"/>
              </w:rPr>
              <w:t>(含9人)</w:t>
            </w:r>
            <w:r>
              <w:rPr>
                <w:rFonts w:hint="eastAsia" w:ascii="宋体" w:hAnsi="宋体" w:eastAsia="宋体" w:cs="宋体"/>
                <w:bCs/>
                <w:color w:val="auto"/>
                <w:highlight w:val="none"/>
              </w:rPr>
              <w:t>的远程支撑技术组专职负责维护且分工明确合理，能派出</w:t>
            </w:r>
            <w:r>
              <w:rPr>
                <w:rFonts w:hint="eastAsia" w:ascii="宋体" w:hAnsi="宋体" w:cs="宋体"/>
                <w:bCs/>
                <w:color w:val="auto"/>
                <w:highlight w:val="none"/>
                <w:lang w:val="en-US" w:eastAsia="zh-CN"/>
              </w:rPr>
              <w:t>3</w:t>
            </w:r>
            <w:r>
              <w:rPr>
                <w:rFonts w:hint="eastAsia" w:ascii="宋体" w:hAnsi="宋体" w:cs="宋体"/>
                <w:bCs/>
                <w:color w:val="auto"/>
                <w:highlight w:val="none"/>
                <w:lang w:eastAsia="zh-CN"/>
              </w:rPr>
              <w:t>名</w:t>
            </w:r>
            <w:r>
              <w:rPr>
                <w:rFonts w:hint="eastAsia" w:ascii="宋体" w:hAnsi="宋体" w:eastAsia="宋体" w:cs="宋体"/>
                <w:bCs/>
                <w:color w:val="auto"/>
                <w:highlight w:val="none"/>
              </w:rPr>
              <w:t>工程师现场驻点</w:t>
            </w:r>
            <w:r>
              <w:rPr>
                <w:rFonts w:hint="eastAsia" w:ascii="宋体" w:hAnsi="宋体" w:cs="宋体"/>
                <w:bCs/>
                <w:color w:val="auto"/>
                <w:highlight w:val="none"/>
              </w:rPr>
              <w:t>提供软件开发、硬件和网络安全维护、文档制作与管理、网页及多媒体设计</w:t>
            </w:r>
            <w:r>
              <w:rPr>
                <w:rFonts w:hint="eastAsia" w:ascii="宋体" w:hAnsi="宋体" w:eastAsia="宋体" w:cs="宋体"/>
                <w:bCs/>
                <w:color w:val="auto"/>
                <w:highlight w:val="none"/>
              </w:rPr>
              <w:t>服务，承诺提供5人</w:t>
            </w:r>
            <w:r>
              <w:rPr>
                <w:rFonts w:hint="eastAsia" w:ascii="宋体" w:hAnsi="宋体" w:cs="宋体"/>
                <w:bCs/>
                <w:color w:val="auto"/>
                <w:highlight w:val="none"/>
                <w:lang w:eastAsia="zh-CN"/>
              </w:rPr>
              <w:t>及</w:t>
            </w:r>
            <w:r>
              <w:rPr>
                <w:rFonts w:hint="eastAsia" w:ascii="宋体" w:hAnsi="宋体" w:cs="宋体"/>
                <w:bCs/>
                <w:color w:val="auto"/>
                <w:highlight w:val="none"/>
                <w:lang w:val="en-US" w:eastAsia="zh-CN"/>
              </w:rPr>
              <w:t>以上(含5人)</w:t>
            </w:r>
            <w:r>
              <w:rPr>
                <w:rFonts w:hint="eastAsia" w:ascii="宋体" w:hAnsi="宋体" w:eastAsia="宋体" w:cs="宋体"/>
                <w:bCs/>
                <w:color w:val="auto"/>
                <w:highlight w:val="none"/>
              </w:rPr>
              <w:t>平台监控运维中心专职队伍建设与管理服务；能够迅速响应要求，A/B角互替人员快速到场，提供详细完善的应急预案及演练方案和阶段式培训方案；能实现对平台软硬件的7×24小时自动监控和触发报警；能承诺提供软硬件（含第三方）原厂售后延保计划；具有完整详细的</w:t>
            </w:r>
            <w:r>
              <w:rPr>
                <w:rFonts w:hint="eastAsia" w:ascii="宋体" w:hAnsi="宋体" w:eastAsia="宋体" w:cs="宋体"/>
                <w:bCs/>
                <w:color w:val="auto"/>
                <w:highlight w:val="none"/>
                <w:lang w:val="en-US" w:eastAsia="zh-CN"/>
              </w:rPr>
              <w:t>人员、进度、质量管控制度</w:t>
            </w:r>
            <w:r>
              <w:rPr>
                <w:rFonts w:hint="eastAsia" w:ascii="宋体" w:hAnsi="宋体" w:eastAsia="宋体" w:cs="宋体"/>
                <w:bCs/>
                <w:color w:val="auto"/>
                <w:highlight w:val="none"/>
              </w:rPr>
              <w:t>。</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14:paraId="1AF5A524">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31分</w:t>
            </w:r>
          </w:p>
        </w:tc>
      </w:tr>
      <w:tr w14:paraId="3D29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6F2147FA">
            <w:pPr>
              <w:spacing w:line="440" w:lineRule="exact"/>
              <w:rPr>
                <w:rFonts w:hint="eastAsia" w:ascii="宋体" w:hAnsi="宋体" w:eastAsia="宋体" w:cs="宋体"/>
                <w:bCs/>
                <w:color w:val="auto"/>
                <w:highlight w:val="none"/>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42146CDB">
            <w:pPr>
              <w:spacing w:line="440" w:lineRule="exact"/>
              <w:rPr>
                <w:rFonts w:hint="eastAsia" w:ascii="宋体" w:hAnsi="宋体" w:eastAsia="宋体" w:cs="宋体"/>
                <w:bCs/>
                <w:color w:val="auto"/>
                <w:highlight w:val="none"/>
              </w:rPr>
            </w:pPr>
          </w:p>
        </w:tc>
        <w:tc>
          <w:tcPr>
            <w:tcW w:w="6309" w:type="dxa"/>
            <w:tcBorders>
              <w:top w:val="single" w:color="auto" w:sz="4" w:space="0"/>
              <w:left w:val="single" w:color="auto" w:sz="4" w:space="0"/>
              <w:bottom w:val="single" w:color="auto" w:sz="4" w:space="0"/>
              <w:right w:val="single" w:color="auto" w:sz="4" w:space="0"/>
            </w:tcBorders>
            <w:vAlign w:val="center"/>
          </w:tcPr>
          <w:p w14:paraId="6D5E2187">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bCs/>
                <w:color w:val="auto"/>
                <w:highlight w:val="none"/>
                <w:lang w:val="en-US" w:eastAsia="zh-CN"/>
              </w:rPr>
              <w:t>综合</w:t>
            </w:r>
            <w:r>
              <w:rPr>
                <w:rFonts w:hint="eastAsia" w:ascii="宋体" w:hAnsi="宋体" w:eastAsia="宋体" w:cs="宋体"/>
                <w:bCs/>
                <w:color w:val="auto"/>
                <w:highlight w:val="none"/>
              </w:rPr>
              <w:t>服务方案</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提供临时事件应急响应</w:t>
            </w:r>
            <w:r>
              <w:rPr>
                <w:rFonts w:hint="eastAsia" w:ascii="宋体" w:hAnsi="宋体" w:eastAsia="宋体" w:cs="宋体"/>
                <w:bCs/>
                <w:color w:val="auto"/>
                <w:highlight w:val="none"/>
                <w:lang w:val="en-US" w:eastAsia="zh-CN"/>
              </w:rPr>
              <w:t>；</w:t>
            </w:r>
            <w:r>
              <w:rPr>
                <w:rFonts w:hint="eastAsia" w:ascii="宋体" w:hAnsi="宋体" w:eastAsia="宋体" w:cs="宋体"/>
                <w:bCs/>
                <w:color w:val="auto"/>
                <w:highlight w:val="none"/>
              </w:rPr>
              <w:t>对平台各硬件设备和软件系统（含第三方）提供兼容性升级</w:t>
            </w:r>
            <w:r>
              <w:rPr>
                <w:rFonts w:hint="eastAsia" w:ascii="宋体" w:hAnsi="宋体" w:eastAsia="宋体" w:cs="宋体"/>
                <w:bCs/>
                <w:color w:val="auto"/>
                <w:highlight w:val="none"/>
                <w:lang w:val="en-US" w:eastAsia="zh-CN"/>
              </w:rPr>
              <w:t>和延保售后</w:t>
            </w:r>
            <w:r>
              <w:rPr>
                <w:rFonts w:hint="eastAsia" w:ascii="宋体" w:hAnsi="宋体" w:eastAsia="宋体" w:cs="宋体"/>
                <w:bCs/>
                <w:color w:val="auto"/>
                <w:highlight w:val="none"/>
              </w:rPr>
              <w:t>服务</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媒体运行服务；</w:t>
            </w:r>
            <w:r>
              <w:rPr>
                <w:rFonts w:hint="eastAsia" w:ascii="宋体" w:hAnsi="宋体" w:eastAsia="宋体" w:cs="宋体"/>
                <w:bCs/>
                <w:color w:val="auto"/>
                <w:highlight w:val="none"/>
              </w:rPr>
              <w:t>提供设备的接入、调试服务；沟通协调服务；文档资产整理</w:t>
            </w:r>
            <w:bookmarkStart w:id="70" w:name="_Toc394394590"/>
            <w:bookmarkStart w:id="71" w:name="_Toc90880258"/>
            <w:r>
              <w:rPr>
                <w:rFonts w:hint="eastAsia" w:ascii="宋体" w:hAnsi="宋体" w:eastAsia="宋体" w:cs="宋体"/>
                <w:bCs/>
                <w:color w:val="auto"/>
                <w:highlight w:val="none"/>
              </w:rPr>
              <w:t>，满分</w:t>
            </w:r>
            <w:r>
              <w:rPr>
                <w:rFonts w:hint="eastAsia" w:ascii="宋体" w:hAnsi="宋体" w:eastAsia="宋体" w:cs="宋体"/>
                <w:bCs/>
                <w:color w:val="auto"/>
                <w:highlight w:val="none"/>
                <w:lang w:val="en-US" w:eastAsia="zh-CN"/>
              </w:rPr>
              <w:t>11</w:t>
            </w:r>
            <w:r>
              <w:rPr>
                <w:rFonts w:hint="eastAsia" w:ascii="宋体" w:hAnsi="宋体" w:eastAsia="宋体" w:cs="宋体"/>
                <w:bCs/>
                <w:color w:val="auto"/>
                <w:highlight w:val="none"/>
              </w:rPr>
              <w:t>分</w:t>
            </w:r>
            <w:r>
              <w:rPr>
                <w:rFonts w:hint="eastAsia" w:ascii="宋体" w:hAnsi="宋体" w:cs="宋体"/>
                <w:bCs/>
                <w:color w:val="auto"/>
                <w:highlight w:val="none"/>
                <w:lang w:eastAsia="zh-CN"/>
              </w:rPr>
              <w:t>。</w:t>
            </w:r>
          </w:p>
          <w:p w14:paraId="0D8D4F0E">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一档（4分）：</w:t>
            </w:r>
            <w:r>
              <w:rPr>
                <w:rFonts w:hint="eastAsia" w:ascii="宋体" w:hAnsi="宋体" w:eastAsia="宋体" w:cs="宋体"/>
                <w:bCs/>
                <w:color w:val="auto"/>
                <w:highlight w:val="none"/>
              </w:rPr>
              <w:t>满足竞争性磋商文件采购需求的要求，提供相应简单</w:t>
            </w:r>
            <w:r>
              <w:rPr>
                <w:rFonts w:hint="eastAsia" w:ascii="宋体" w:hAnsi="宋体" w:eastAsia="宋体" w:cs="宋体"/>
                <w:bCs/>
                <w:color w:val="auto"/>
                <w:highlight w:val="none"/>
                <w:lang w:val="en-US" w:eastAsia="zh-CN"/>
              </w:rPr>
              <w:t>软硬件售后延保</w:t>
            </w:r>
            <w:r>
              <w:rPr>
                <w:rFonts w:hint="eastAsia" w:ascii="宋体" w:hAnsi="宋体" w:eastAsia="宋体" w:cs="宋体"/>
                <w:bCs/>
                <w:color w:val="auto"/>
                <w:highlight w:val="none"/>
              </w:rPr>
              <w:t>服务和升级、</w:t>
            </w:r>
            <w:r>
              <w:rPr>
                <w:rFonts w:hint="eastAsia" w:ascii="宋体" w:hAnsi="宋体" w:eastAsia="宋体" w:cs="宋体"/>
                <w:bCs/>
                <w:color w:val="auto"/>
                <w:highlight w:val="none"/>
                <w:lang w:val="en-US" w:eastAsia="zh-CN"/>
              </w:rPr>
              <w:t>媒体号运营</w:t>
            </w:r>
            <w:r>
              <w:rPr>
                <w:rFonts w:hint="eastAsia" w:ascii="宋体" w:hAnsi="宋体" w:eastAsia="宋体" w:cs="宋体"/>
                <w:bCs/>
                <w:color w:val="auto"/>
                <w:highlight w:val="none"/>
              </w:rPr>
              <w:t>等内容建设方案，有</w:t>
            </w:r>
            <w:r>
              <w:rPr>
                <w:rFonts w:hint="eastAsia" w:ascii="宋体" w:hAnsi="宋体" w:eastAsia="宋体" w:cs="宋体"/>
                <w:bCs/>
                <w:color w:val="auto"/>
                <w:highlight w:val="none"/>
                <w:lang w:val="en-US" w:eastAsia="zh-CN"/>
              </w:rPr>
              <w:t>沟通协调机制和</w:t>
            </w:r>
            <w:r>
              <w:rPr>
                <w:rFonts w:hint="eastAsia" w:ascii="宋体" w:hAnsi="宋体" w:eastAsia="宋体" w:cs="宋体"/>
                <w:bCs/>
                <w:color w:val="auto"/>
                <w:highlight w:val="none"/>
              </w:rPr>
              <w:t>项目文档协助整理方案，提供完整沟通方案；</w:t>
            </w:r>
            <w:bookmarkEnd w:id="70"/>
            <w:bookmarkEnd w:id="71"/>
            <w:bookmarkStart w:id="72" w:name="_Toc394394591"/>
            <w:bookmarkStart w:id="73" w:name="_Toc90880259"/>
          </w:p>
          <w:p w14:paraId="4A17B36E">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二档（8分）：</w:t>
            </w:r>
            <w:r>
              <w:rPr>
                <w:rFonts w:hint="eastAsia" w:ascii="宋体" w:hAnsi="宋体" w:eastAsia="宋体" w:cs="宋体"/>
                <w:bCs/>
                <w:color w:val="auto"/>
                <w:highlight w:val="none"/>
              </w:rPr>
              <w:t>满足竞争性磋商文件采购需求的要求，能对平台数据进行定期分析总结，根据设备的属性、特征，提供详细的设备接入计划和接入服务，承诺提供</w:t>
            </w:r>
            <w:r>
              <w:rPr>
                <w:rFonts w:hint="eastAsia" w:ascii="宋体" w:hAnsi="宋体" w:eastAsia="宋体" w:cs="宋体"/>
                <w:bCs/>
                <w:color w:val="auto"/>
                <w:highlight w:val="none"/>
                <w:lang w:val="en-US" w:eastAsia="zh-CN"/>
              </w:rPr>
              <w:t>错情监测服务等</w:t>
            </w:r>
            <w:r>
              <w:rPr>
                <w:rFonts w:hint="eastAsia" w:ascii="宋体" w:hAnsi="宋体" w:eastAsia="宋体" w:cs="宋体"/>
                <w:bCs/>
                <w:color w:val="auto"/>
                <w:highlight w:val="none"/>
              </w:rPr>
              <w:t>软硬件（含第三方）原厂售后延保计划，有详细规范的项目文档协助整理方案，建立客户回访机制和服务质量改进机制；</w:t>
            </w:r>
            <w:bookmarkEnd w:id="72"/>
            <w:bookmarkEnd w:id="73"/>
          </w:p>
          <w:p w14:paraId="74A4A224">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三档（11分）：</w:t>
            </w:r>
            <w:r>
              <w:rPr>
                <w:rFonts w:hint="eastAsia" w:ascii="宋体" w:hAnsi="宋体" w:eastAsia="宋体" w:cs="宋体"/>
                <w:bCs/>
                <w:color w:val="auto"/>
                <w:highlight w:val="none"/>
              </w:rPr>
              <w:t>满足竞争性磋商文件采购需求的要求，能根据设备的属性、特征，提供详细的设备接入计划和接入服务，以及设备接入后的调试服务，提供</w:t>
            </w:r>
            <w:r>
              <w:rPr>
                <w:rFonts w:hint="eastAsia" w:ascii="宋体" w:hAnsi="宋体" w:eastAsia="宋体" w:cs="宋体"/>
                <w:bCs/>
                <w:color w:val="auto"/>
                <w:highlight w:val="none"/>
                <w:lang w:val="en-US" w:eastAsia="zh-CN"/>
              </w:rPr>
              <w:t>错情监测服务、媒体设计工具等详细</w:t>
            </w:r>
            <w:r>
              <w:rPr>
                <w:rFonts w:hint="eastAsia" w:ascii="宋体" w:hAnsi="宋体" w:eastAsia="宋体" w:cs="宋体"/>
                <w:bCs/>
                <w:color w:val="auto"/>
                <w:highlight w:val="none"/>
              </w:rPr>
              <w:t>软硬件（含第三方）原厂售后延保计划，每年提前分析党建信息化发展形势并主动规划发展思路供甲方决策参考，提供项目文档整理方案和相关设备并协助甲方每年完成一次资产清理登记，提供详细的经理每月回访计划和邀请甲方听取服务情况每季度汇报会议。</w:t>
            </w:r>
          </w:p>
        </w:tc>
        <w:tc>
          <w:tcPr>
            <w:tcW w:w="841" w:type="dxa"/>
            <w:vMerge w:val="continue"/>
            <w:tcBorders>
              <w:top w:val="single" w:color="auto" w:sz="4" w:space="0"/>
              <w:left w:val="single" w:color="auto" w:sz="4" w:space="0"/>
              <w:bottom w:val="single" w:color="auto" w:sz="4" w:space="0"/>
              <w:right w:val="single" w:color="auto" w:sz="4" w:space="0"/>
            </w:tcBorders>
            <w:vAlign w:val="center"/>
          </w:tcPr>
          <w:p w14:paraId="7323FE54">
            <w:pPr>
              <w:spacing w:line="440" w:lineRule="exact"/>
              <w:rPr>
                <w:rFonts w:hint="eastAsia" w:ascii="宋体" w:hAnsi="宋体" w:eastAsia="宋体" w:cs="宋体"/>
                <w:bCs/>
                <w:color w:val="auto"/>
                <w:highlight w:val="none"/>
              </w:rPr>
            </w:pPr>
          </w:p>
        </w:tc>
      </w:tr>
      <w:tr w14:paraId="5818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642" w:type="dxa"/>
            <w:vMerge w:val="continue"/>
            <w:tcBorders>
              <w:top w:val="single" w:color="auto" w:sz="4" w:space="0"/>
              <w:left w:val="single" w:color="auto" w:sz="4" w:space="0"/>
              <w:bottom w:val="single" w:color="auto" w:sz="4" w:space="0"/>
              <w:right w:val="single" w:color="auto" w:sz="4" w:space="0"/>
            </w:tcBorders>
            <w:vAlign w:val="center"/>
          </w:tcPr>
          <w:p w14:paraId="606E7559">
            <w:pPr>
              <w:spacing w:line="440" w:lineRule="exact"/>
              <w:rPr>
                <w:rFonts w:hint="eastAsia" w:ascii="宋体" w:hAnsi="宋体" w:eastAsia="宋体" w:cs="宋体"/>
                <w:bCs/>
                <w:color w:val="auto"/>
                <w:highlight w:val="none"/>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14:paraId="0720473D">
            <w:pPr>
              <w:spacing w:line="440" w:lineRule="exact"/>
              <w:rPr>
                <w:rFonts w:hint="eastAsia" w:ascii="宋体" w:hAnsi="宋体" w:eastAsia="宋体" w:cs="宋体"/>
                <w:bCs/>
                <w:color w:val="auto"/>
                <w:highlight w:val="none"/>
              </w:rPr>
            </w:pPr>
          </w:p>
        </w:tc>
        <w:tc>
          <w:tcPr>
            <w:tcW w:w="6309" w:type="dxa"/>
            <w:tcBorders>
              <w:top w:val="single" w:color="auto" w:sz="4" w:space="0"/>
              <w:left w:val="single" w:color="auto" w:sz="4" w:space="0"/>
              <w:bottom w:val="single" w:color="auto" w:sz="4" w:space="0"/>
              <w:right w:val="single" w:color="auto" w:sz="4" w:space="0"/>
            </w:tcBorders>
            <w:vAlign w:val="center"/>
          </w:tcPr>
          <w:p w14:paraId="3A450830">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（3）保密管理制度和措施</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满分5分</w:t>
            </w:r>
            <w:r>
              <w:rPr>
                <w:rFonts w:hint="eastAsia" w:ascii="宋体" w:hAnsi="宋体" w:cs="宋体"/>
                <w:bCs/>
                <w:color w:val="auto"/>
                <w:highlight w:val="none"/>
                <w:lang w:eastAsia="zh-CN"/>
              </w:rPr>
              <w:t>。</w:t>
            </w:r>
          </w:p>
          <w:p w14:paraId="260DF347">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一档（1分）：</w:t>
            </w:r>
            <w:r>
              <w:rPr>
                <w:rFonts w:hint="eastAsia" w:ascii="宋体" w:hAnsi="宋体" w:eastAsia="宋体" w:cs="宋体"/>
                <w:bCs/>
                <w:color w:val="auto"/>
                <w:highlight w:val="none"/>
              </w:rPr>
              <w:t>建立有</w:t>
            </w:r>
            <w:r>
              <w:rPr>
                <w:rFonts w:hint="eastAsia" w:ascii="宋体" w:hAnsi="宋体" w:eastAsia="宋体" w:cs="宋体"/>
                <w:bCs/>
                <w:color w:val="auto"/>
                <w:highlight w:val="none"/>
                <w:lang w:val="en-US" w:eastAsia="zh-CN"/>
              </w:rPr>
              <w:t>针对本项目的</w:t>
            </w:r>
            <w:r>
              <w:rPr>
                <w:rFonts w:hint="eastAsia" w:ascii="宋体" w:hAnsi="宋体" w:eastAsia="宋体" w:cs="宋体"/>
                <w:bCs/>
                <w:color w:val="auto"/>
                <w:highlight w:val="none"/>
              </w:rPr>
              <w:t>保密管理制度，措施基本可行；</w:t>
            </w:r>
          </w:p>
          <w:p w14:paraId="3B419BA4">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二档（3分）：</w:t>
            </w:r>
            <w:r>
              <w:rPr>
                <w:rFonts w:hint="eastAsia" w:ascii="宋体" w:hAnsi="宋体" w:eastAsia="宋体" w:cs="宋体"/>
                <w:bCs/>
                <w:color w:val="auto"/>
                <w:highlight w:val="none"/>
              </w:rPr>
              <w:t>建立有</w:t>
            </w:r>
            <w:r>
              <w:rPr>
                <w:rFonts w:hint="eastAsia" w:ascii="宋体" w:hAnsi="宋体" w:eastAsia="宋体" w:cs="宋体"/>
                <w:bCs/>
                <w:color w:val="auto"/>
                <w:highlight w:val="none"/>
                <w:lang w:val="en-US" w:eastAsia="zh-CN"/>
              </w:rPr>
              <w:t>针对本项目的</w:t>
            </w:r>
            <w:r>
              <w:rPr>
                <w:rFonts w:hint="eastAsia" w:ascii="宋体" w:hAnsi="宋体" w:eastAsia="宋体" w:cs="宋体"/>
                <w:bCs/>
                <w:color w:val="auto"/>
                <w:highlight w:val="none"/>
              </w:rPr>
              <w:t>较完善的保密管理制度和措施，</w:t>
            </w:r>
            <w:r>
              <w:rPr>
                <w:rFonts w:hint="eastAsia" w:ascii="宋体" w:hAnsi="宋体" w:eastAsia="宋体" w:cs="宋体"/>
                <w:bCs/>
                <w:color w:val="auto"/>
                <w:highlight w:val="none"/>
                <w:lang w:val="en-US" w:eastAsia="zh-CN"/>
              </w:rPr>
              <w:t>提供数据存储、传输、读取的国产算法加密计划，</w:t>
            </w:r>
            <w:r>
              <w:rPr>
                <w:rFonts w:hint="eastAsia" w:ascii="宋体" w:hAnsi="宋体" w:eastAsia="宋体" w:cs="宋体"/>
                <w:bCs/>
                <w:color w:val="auto"/>
                <w:highlight w:val="none"/>
              </w:rPr>
              <w:t>承诺与采购人签署保密协议，</w:t>
            </w:r>
            <w:r>
              <w:rPr>
                <w:rFonts w:hint="eastAsia" w:ascii="宋体" w:hAnsi="宋体" w:eastAsia="宋体" w:cs="宋体"/>
                <w:bCs/>
                <w:color w:val="auto"/>
                <w:highlight w:val="none"/>
                <w:lang w:val="en-US" w:eastAsia="zh-CN"/>
              </w:rPr>
              <w:t>对技术组人员的信用和社会关系进行审查，</w:t>
            </w:r>
            <w:r>
              <w:rPr>
                <w:rFonts w:hint="eastAsia" w:ascii="宋体" w:hAnsi="宋体" w:eastAsia="宋体" w:cs="宋体"/>
                <w:bCs/>
                <w:color w:val="auto"/>
                <w:highlight w:val="none"/>
              </w:rPr>
              <w:t>在服务期间严格保密，不泄露平台数据和信息；</w:t>
            </w:r>
          </w:p>
          <w:p w14:paraId="2F58A7CD">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lang w:val="en-US" w:eastAsia="zh-CN"/>
              </w:rPr>
              <w:t>三档（5分）：</w:t>
            </w:r>
            <w:r>
              <w:rPr>
                <w:rFonts w:hint="eastAsia" w:ascii="宋体" w:hAnsi="宋体" w:eastAsia="宋体" w:cs="宋体"/>
                <w:bCs/>
                <w:color w:val="auto"/>
                <w:highlight w:val="none"/>
              </w:rPr>
              <w:t>建立有</w:t>
            </w:r>
            <w:r>
              <w:rPr>
                <w:rFonts w:hint="eastAsia" w:ascii="宋体" w:hAnsi="宋体" w:eastAsia="宋体" w:cs="宋体"/>
                <w:bCs/>
                <w:color w:val="auto"/>
                <w:highlight w:val="none"/>
                <w:lang w:val="en-US" w:eastAsia="zh-CN"/>
              </w:rPr>
              <w:t>针对本项目的</w:t>
            </w:r>
            <w:r>
              <w:rPr>
                <w:rFonts w:hint="eastAsia" w:ascii="宋体" w:hAnsi="宋体" w:eastAsia="宋体" w:cs="宋体"/>
                <w:bCs/>
                <w:color w:val="auto"/>
                <w:highlight w:val="none"/>
              </w:rPr>
              <w:t>完善的保密管理制度，承诺与采购人签署保密协议，在服务期间严格保密，</w:t>
            </w:r>
            <w:r>
              <w:rPr>
                <w:rFonts w:hint="eastAsia" w:ascii="宋体" w:hAnsi="宋体" w:eastAsia="宋体" w:cs="宋体"/>
                <w:bCs/>
                <w:color w:val="auto"/>
                <w:highlight w:val="none"/>
                <w:lang w:val="en-US" w:eastAsia="zh-CN"/>
              </w:rPr>
              <w:t>对技术组人员的品德、能力、信用和社会关系等信息进行全面审查把关，</w:t>
            </w:r>
            <w:r>
              <w:rPr>
                <w:rFonts w:hint="eastAsia" w:ascii="宋体" w:hAnsi="宋体" w:eastAsia="宋体" w:cs="宋体"/>
                <w:bCs/>
                <w:color w:val="auto"/>
                <w:highlight w:val="none"/>
              </w:rPr>
              <w:t>不泄露平台数据和信息的</w:t>
            </w:r>
            <w:r>
              <w:rPr>
                <w:rFonts w:hint="eastAsia" w:ascii="宋体" w:hAnsi="宋体" w:eastAsia="宋体" w:cs="宋体"/>
                <w:bCs/>
                <w:color w:val="auto"/>
                <w:highlight w:val="none"/>
                <w:lang w:val="en-US" w:eastAsia="zh-CN"/>
              </w:rPr>
              <w:t>防范</w:t>
            </w:r>
            <w:r>
              <w:rPr>
                <w:rFonts w:hint="eastAsia" w:ascii="宋体" w:hAnsi="宋体" w:eastAsia="宋体" w:cs="宋体"/>
                <w:bCs/>
                <w:color w:val="auto"/>
                <w:highlight w:val="none"/>
              </w:rPr>
              <w:t>措施有效到位，</w:t>
            </w:r>
            <w:r>
              <w:rPr>
                <w:rFonts w:hint="eastAsia" w:ascii="宋体" w:hAnsi="宋体" w:eastAsia="宋体" w:cs="宋体"/>
                <w:bCs/>
                <w:color w:val="auto"/>
                <w:highlight w:val="none"/>
                <w:lang w:val="en-US" w:eastAsia="zh-CN"/>
              </w:rPr>
              <w:t>提供数据存储、传输、读取的国产算法加密与权限分级管理计划，有实体密钥等多重登录验证机制，始终确保平台代码和数据只存储在政务云机房和政务云异地灾备中心的范围内不外溢，</w:t>
            </w:r>
            <w:r>
              <w:rPr>
                <w:rFonts w:hint="eastAsia" w:ascii="宋体" w:hAnsi="宋体" w:eastAsia="宋体" w:cs="宋体"/>
                <w:bCs/>
                <w:color w:val="auto"/>
                <w:highlight w:val="none"/>
              </w:rPr>
              <w:t>措施具体得力。</w:t>
            </w:r>
          </w:p>
        </w:tc>
        <w:tc>
          <w:tcPr>
            <w:tcW w:w="841" w:type="dxa"/>
            <w:vMerge w:val="continue"/>
            <w:tcBorders>
              <w:top w:val="single" w:color="auto" w:sz="4" w:space="0"/>
              <w:left w:val="single" w:color="auto" w:sz="4" w:space="0"/>
              <w:bottom w:val="single" w:color="auto" w:sz="4" w:space="0"/>
              <w:right w:val="single" w:color="auto" w:sz="4" w:space="0"/>
            </w:tcBorders>
            <w:vAlign w:val="center"/>
          </w:tcPr>
          <w:p w14:paraId="7C39D1ED">
            <w:pPr>
              <w:spacing w:line="440" w:lineRule="exact"/>
              <w:rPr>
                <w:rFonts w:hint="eastAsia" w:ascii="宋体" w:hAnsi="宋体" w:eastAsia="宋体" w:cs="宋体"/>
                <w:bCs/>
                <w:color w:val="auto"/>
                <w:highlight w:val="none"/>
              </w:rPr>
            </w:pPr>
          </w:p>
        </w:tc>
      </w:tr>
      <w:tr w14:paraId="3BAB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4319DEA">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1154" w:type="dxa"/>
            <w:tcBorders>
              <w:top w:val="single" w:color="auto" w:sz="4" w:space="0"/>
              <w:left w:val="single" w:color="auto" w:sz="4" w:space="0"/>
              <w:bottom w:val="single" w:color="auto" w:sz="4" w:space="0"/>
              <w:right w:val="single" w:color="auto" w:sz="4" w:space="0"/>
            </w:tcBorders>
            <w:vAlign w:val="center"/>
          </w:tcPr>
          <w:p w14:paraId="785ACFBD">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商务分</w:t>
            </w:r>
          </w:p>
        </w:tc>
        <w:tc>
          <w:tcPr>
            <w:tcW w:w="6309" w:type="dxa"/>
            <w:tcBorders>
              <w:top w:val="single" w:color="auto" w:sz="4" w:space="0"/>
              <w:left w:val="single" w:color="auto" w:sz="4" w:space="0"/>
              <w:bottom w:val="single" w:color="auto" w:sz="4" w:space="0"/>
              <w:right w:val="single" w:color="auto" w:sz="4" w:space="0"/>
            </w:tcBorders>
            <w:vAlign w:val="center"/>
          </w:tcPr>
          <w:p w14:paraId="4B238232">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评审因素</w:t>
            </w:r>
          </w:p>
        </w:tc>
        <w:tc>
          <w:tcPr>
            <w:tcW w:w="841" w:type="dxa"/>
            <w:tcBorders>
              <w:top w:val="single" w:color="auto" w:sz="4" w:space="0"/>
              <w:left w:val="single" w:color="auto" w:sz="4" w:space="0"/>
              <w:bottom w:val="single" w:color="auto" w:sz="4" w:space="0"/>
              <w:right w:val="single" w:color="auto" w:sz="4" w:space="0"/>
            </w:tcBorders>
            <w:vAlign w:val="center"/>
          </w:tcPr>
          <w:p w14:paraId="0B6329F6">
            <w:pPr>
              <w:spacing w:line="440" w:lineRule="exact"/>
              <w:rPr>
                <w:rFonts w:hint="eastAsia" w:ascii="宋体" w:hAnsi="宋体" w:eastAsia="宋体" w:cs="宋体"/>
                <w:bCs/>
                <w:color w:val="auto"/>
                <w:highlight w:val="none"/>
              </w:rPr>
            </w:pPr>
          </w:p>
        </w:tc>
      </w:tr>
      <w:tr w14:paraId="5DF4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8" w:hRule="atLeast"/>
          <w:jc w:val="center"/>
        </w:trPr>
        <w:tc>
          <w:tcPr>
            <w:tcW w:w="642" w:type="dxa"/>
            <w:tcBorders>
              <w:top w:val="single" w:color="auto" w:sz="4" w:space="0"/>
              <w:left w:val="single" w:color="auto" w:sz="4" w:space="0"/>
              <w:right w:val="single" w:color="auto" w:sz="4" w:space="0"/>
            </w:tcBorders>
            <w:vAlign w:val="center"/>
          </w:tcPr>
          <w:p w14:paraId="72F773B8">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3.1</w:t>
            </w:r>
          </w:p>
        </w:tc>
        <w:tc>
          <w:tcPr>
            <w:tcW w:w="1154" w:type="dxa"/>
            <w:tcBorders>
              <w:top w:val="single" w:color="auto" w:sz="4" w:space="0"/>
              <w:left w:val="single" w:color="auto" w:sz="4" w:space="0"/>
              <w:right w:val="single" w:color="auto" w:sz="4" w:space="0"/>
            </w:tcBorders>
            <w:vAlign w:val="center"/>
          </w:tcPr>
          <w:p w14:paraId="79CE627D">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供应商的履约能力分</w:t>
            </w:r>
          </w:p>
        </w:tc>
        <w:tc>
          <w:tcPr>
            <w:tcW w:w="6309" w:type="dxa"/>
            <w:tcBorders>
              <w:top w:val="single" w:color="auto" w:sz="4" w:space="0"/>
              <w:left w:val="single" w:color="auto" w:sz="4" w:space="0"/>
              <w:right w:val="single" w:color="auto" w:sz="4" w:space="0"/>
            </w:tcBorders>
            <w:vAlign w:val="top"/>
          </w:tcPr>
          <w:p w14:paraId="392BEC83">
            <w:pPr>
              <w:spacing w:line="44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（1）供应商通过ISO9001质量管理体系认证的得1分，通过ISO27001信息安全管理体系认证的得1分。（提供证书复印件）（此项满分2分）</w:t>
            </w:r>
          </w:p>
          <w:p w14:paraId="10EC2913">
            <w:pPr>
              <w:spacing w:line="44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（2）供应商获得ITSS信息技术服务证书运行维护</w:t>
            </w:r>
            <w:r>
              <w:rPr>
                <w:rFonts w:hint="eastAsia" w:ascii="宋体" w:hAnsi="宋体" w:eastAsia="宋体" w:cs="宋体"/>
                <w:bCs/>
                <w:color w:val="000000" w:themeColor="text1"/>
                <w:highlight w:val="none"/>
                <w:lang w:val="en-US" w:eastAsia="zh-CN"/>
                <w14:textFill>
                  <w14:solidFill>
                    <w14:schemeClr w14:val="tx1"/>
                  </w14:solidFill>
                </w14:textFill>
              </w:rPr>
              <w:t>资质</w:t>
            </w:r>
            <w:r>
              <w:rPr>
                <w:rFonts w:hint="eastAsia" w:ascii="宋体" w:hAnsi="宋体" w:eastAsia="宋体" w:cs="宋体"/>
                <w:bCs/>
                <w:color w:val="000000" w:themeColor="text1"/>
                <w:highlight w:val="none"/>
                <w14:textFill>
                  <w14:solidFill>
                    <w14:schemeClr w14:val="tx1"/>
                  </w14:solidFill>
                </w14:textFill>
              </w:rPr>
              <w:t>的，得</w:t>
            </w:r>
            <w:r>
              <w:rPr>
                <w:rFonts w:hint="eastAsia" w:ascii="宋体" w:hAnsi="宋体" w:eastAsia="宋体" w:cs="宋体"/>
                <w:bCs/>
                <w:color w:val="000000" w:themeColor="text1"/>
                <w:highlight w:val="none"/>
                <w:lang w:val="en-US" w:eastAsia="zh-CN"/>
                <w14:textFill>
                  <w14:solidFill>
                    <w14:schemeClr w14:val="tx1"/>
                  </w14:solidFill>
                </w14:textFill>
              </w:rPr>
              <w:t>1</w:t>
            </w:r>
            <w:r>
              <w:rPr>
                <w:rFonts w:hint="eastAsia" w:ascii="宋体" w:hAnsi="宋体" w:eastAsia="宋体" w:cs="宋体"/>
                <w:bCs/>
                <w:color w:val="000000" w:themeColor="text1"/>
                <w:highlight w:val="none"/>
                <w14:textFill>
                  <w14:solidFill>
                    <w14:schemeClr w14:val="tx1"/>
                  </w14:solidFill>
                </w14:textFill>
              </w:rPr>
              <w:t>分；获得ITSS信息技术服务证书</w:t>
            </w:r>
            <w:r>
              <w:rPr>
                <w:rFonts w:hint="eastAsia" w:ascii="宋体" w:hAnsi="宋体" w:cs="宋体"/>
                <w:bCs/>
                <w:color w:val="000000" w:themeColor="text1"/>
                <w:highlight w:val="none"/>
                <w:lang w:val="en-US" w:eastAsia="zh-CN"/>
                <w14:textFill>
                  <w14:solidFill>
                    <w14:schemeClr w14:val="tx1"/>
                  </w14:solidFill>
                </w14:textFill>
              </w:rPr>
              <w:t>数据中心</w:t>
            </w:r>
            <w:r>
              <w:rPr>
                <w:rFonts w:hint="eastAsia" w:ascii="宋体" w:hAnsi="宋体" w:eastAsia="宋体" w:cs="宋体"/>
                <w:bCs/>
                <w:color w:val="000000" w:themeColor="text1"/>
                <w:highlight w:val="none"/>
                <w:lang w:val="en-US" w:eastAsia="zh-CN"/>
                <w14:textFill>
                  <w14:solidFill>
                    <w14:schemeClr w14:val="tx1"/>
                  </w14:solidFill>
                </w14:textFill>
              </w:rPr>
              <w:t>资质</w:t>
            </w:r>
            <w:r>
              <w:rPr>
                <w:rFonts w:hint="eastAsia" w:ascii="宋体" w:hAnsi="宋体" w:eastAsia="宋体" w:cs="宋体"/>
                <w:bCs/>
                <w:color w:val="000000" w:themeColor="text1"/>
                <w:highlight w:val="none"/>
                <w14:textFill>
                  <w14:solidFill>
                    <w14:schemeClr w14:val="tx1"/>
                  </w14:solidFill>
                </w14:textFill>
              </w:rPr>
              <w:t>的，得1分</w:t>
            </w:r>
            <w:r>
              <w:rPr>
                <w:rFonts w:hint="eastAsia" w:ascii="宋体" w:hAnsi="宋体" w:eastAsia="宋体" w:cs="宋体"/>
                <w:bCs/>
                <w:color w:val="000000" w:themeColor="text1"/>
                <w:highlight w:val="none"/>
                <w:lang w:eastAsia="zh-CN"/>
                <w14:textFill>
                  <w14:solidFill>
                    <w14:schemeClr w14:val="tx1"/>
                  </w14:solidFill>
                </w14:textFill>
              </w:rPr>
              <w:t>；</w:t>
            </w:r>
            <w:r>
              <w:rPr>
                <w:rFonts w:hint="eastAsia" w:ascii="宋体" w:hAnsi="宋体" w:eastAsia="宋体" w:cs="宋体"/>
                <w:bCs/>
                <w:color w:val="000000" w:themeColor="text1"/>
                <w:highlight w:val="none"/>
                <w14:textFill>
                  <w14:solidFill>
                    <w14:schemeClr w14:val="tx1"/>
                  </w14:solidFill>
                </w14:textFill>
              </w:rPr>
              <w:t>获得ITSS信息技术服务证书</w:t>
            </w:r>
            <w:r>
              <w:rPr>
                <w:rFonts w:hint="eastAsia" w:ascii="宋体" w:hAnsi="宋体" w:cs="宋体"/>
                <w:bCs/>
                <w:color w:val="000000" w:themeColor="text1"/>
                <w:highlight w:val="none"/>
                <w:lang w:val="en-US" w:eastAsia="zh-CN"/>
                <w14:textFill>
                  <w14:solidFill>
                    <w14:schemeClr w14:val="tx1"/>
                  </w14:solidFill>
                </w14:textFill>
              </w:rPr>
              <w:t>云服务</w:t>
            </w:r>
            <w:r>
              <w:rPr>
                <w:rFonts w:hint="eastAsia" w:ascii="宋体" w:hAnsi="宋体" w:eastAsia="宋体" w:cs="宋体"/>
                <w:bCs/>
                <w:color w:val="000000" w:themeColor="text1"/>
                <w:highlight w:val="none"/>
                <w:lang w:val="en-US" w:eastAsia="zh-CN"/>
                <w14:textFill>
                  <w14:solidFill>
                    <w14:schemeClr w14:val="tx1"/>
                  </w14:solidFill>
                </w14:textFill>
              </w:rPr>
              <w:t>资质</w:t>
            </w:r>
            <w:r>
              <w:rPr>
                <w:rFonts w:hint="eastAsia" w:ascii="宋体" w:hAnsi="宋体" w:eastAsia="宋体" w:cs="宋体"/>
                <w:bCs/>
                <w:color w:val="000000" w:themeColor="text1"/>
                <w:highlight w:val="none"/>
                <w14:textFill>
                  <w14:solidFill>
                    <w14:schemeClr w14:val="tx1"/>
                  </w14:solidFill>
                </w14:textFill>
              </w:rPr>
              <w:t>的，得</w:t>
            </w:r>
            <w:r>
              <w:rPr>
                <w:rFonts w:hint="eastAsia" w:ascii="宋体" w:hAnsi="宋体" w:eastAsia="宋体" w:cs="宋体"/>
                <w:bCs/>
                <w:color w:val="000000" w:themeColor="text1"/>
                <w:highlight w:val="none"/>
                <w:lang w:val="en-US" w:eastAsia="zh-CN"/>
                <w14:textFill>
                  <w14:solidFill>
                    <w14:schemeClr w14:val="tx1"/>
                  </w14:solidFill>
                </w14:textFill>
              </w:rPr>
              <w:t>1</w:t>
            </w:r>
            <w:r>
              <w:rPr>
                <w:rFonts w:hint="eastAsia" w:ascii="宋体" w:hAnsi="宋体" w:eastAsia="宋体" w:cs="宋体"/>
                <w:bCs/>
                <w:color w:val="000000" w:themeColor="text1"/>
                <w:highlight w:val="none"/>
                <w14:textFill>
                  <w14:solidFill>
                    <w14:schemeClr w14:val="tx1"/>
                  </w14:solidFill>
                </w14:textFill>
              </w:rPr>
              <w:t>分。（提供证书复印件）（此项满分3分）</w:t>
            </w:r>
          </w:p>
          <w:p w14:paraId="699770D4">
            <w:pPr>
              <w:spacing w:line="440" w:lineRule="exact"/>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（3）供应商具备CCRC软件安全开发服务资质的，得</w:t>
            </w:r>
            <w:r>
              <w:rPr>
                <w:rFonts w:hint="eastAsia" w:ascii="宋体" w:hAnsi="宋体" w:eastAsia="宋体" w:cs="宋体"/>
                <w:bCs/>
                <w:color w:val="000000" w:themeColor="text1"/>
                <w:highlight w:val="none"/>
                <w:lang w:val="en-US" w:eastAsia="zh-CN"/>
                <w14:textFill>
                  <w14:solidFill>
                    <w14:schemeClr w14:val="tx1"/>
                  </w14:solidFill>
                </w14:textFill>
              </w:rPr>
              <w:t>1</w:t>
            </w:r>
            <w:r>
              <w:rPr>
                <w:rFonts w:hint="eastAsia" w:ascii="宋体" w:hAnsi="宋体" w:eastAsia="宋体" w:cs="宋体"/>
                <w:bCs/>
                <w:color w:val="000000" w:themeColor="text1"/>
                <w:highlight w:val="none"/>
                <w14:textFill>
                  <w14:solidFill>
                    <w14:schemeClr w14:val="tx1"/>
                  </w14:solidFill>
                </w14:textFill>
              </w:rPr>
              <w:t>分；具备CCRC</w:t>
            </w:r>
            <w:r>
              <w:rPr>
                <w:rFonts w:hint="eastAsia" w:ascii="宋体" w:hAnsi="宋体" w:eastAsia="宋体" w:cs="宋体"/>
                <w:bCs/>
                <w:color w:val="000000" w:themeColor="text1"/>
                <w:highlight w:val="none"/>
                <w:lang w:val="en-US" w:eastAsia="zh-CN"/>
                <w14:textFill>
                  <w14:solidFill>
                    <w14:schemeClr w14:val="tx1"/>
                  </w14:solidFill>
                </w14:textFill>
              </w:rPr>
              <w:t>信息系统安全运维服务资</w:t>
            </w:r>
            <w:r>
              <w:rPr>
                <w:rFonts w:hint="eastAsia" w:ascii="宋体" w:hAnsi="宋体" w:eastAsia="宋体" w:cs="宋体"/>
                <w:bCs/>
                <w:color w:val="000000" w:themeColor="text1"/>
                <w:highlight w:val="none"/>
                <w14:textFill>
                  <w14:solidFill>
                    <w14:schemeClr w14:val="tx1"/>
                  </w14:solidFill>
                </w14:textFill>
              </w:rPr>
              <w:t>质的，得</w:t>
            </w:r>
            <w:r>
              <w:rPr>
                <w:rFonts w:hint="eastAsia" w:ascii="宋体" w:hAnsi="宋体" w:eastAsia="宋体" w:cs="宋体"/>
                <w:bCs/>
                <w:color w:val="000000" w:themeColor="text1"/>
                <w:highlight w:val="none"/>
                <w:lang w:val="en-US" w:eastAsia="zh-CN"/>
                <w14:textFill>
                  <w14:solidFill>
                    <w14:schemeClr w14:val="tx1"/>
                  </w14:solidFill>
                </w14:textFill>
              </w:rPr>
              <w:t>1</w:t>
            </w:r>
            <w:r>
              <w:rPr>
                <w:rFonts w:hint="eastAsia" w:ascii="宋体" w:hAnsi="宋体" w:eastAsia="宋体" w:cs="宋体"/>
                <w:bCs/>
                <w:color w:val="000000" w:themeColor="text1"/>
                <w:highlight w:val="none"/>
                <w14:textFill>
                  <w14:solidFill>
                    <w14:schemeClr w14:val="tx1"/>
                  </w14:solidFill>
                </w14:textFill>
              </w:rPr>
              <w:t>分；具备CCRC</w:t>
            </w:r>
            <w:r>
              <w:rPr>
                <w:rFonts w:hint="eastAsia" w:ascii="宋体" w:hAnsi="宋体" w:eastAsia="宋体" w:cs="宋体"/>
                <w:bCs/>
                <w:color w:val="000000" w:themeColor="text1"/>
                <w:highlight w:val="none"/>
                <w:lang w:val="en-US" w:eastAsia="zh-CN"/>
                <w14:textFill>
                  <w14:solidFill>
                    <w14:schemeClr w14:val="tx1"/>
                  </w14:solidFill>
                </w14:textFill>
              </w:rPr>
              <w:t>信息系统安全集成服务</w:t>
            </w:r>
            <w:r>
              <w:rPr>
                <w:rFonts w:hint="eastAsia" w:ascii="宋体" w:hAnsi="宋体" w:eastAsia="宋体" w:cs="宋体"/>
                <w:bCs/>
                <w:color w:val="000000" w:themeColor="text1"/>
                <w:highlight w:val="none"/>
                <w14:textFill>
                  <w14:solidFill>
                    <w14:schemeClr w14:val="tx1"/>
                  </w14:solidFill>
                </w14:textFill>
              </w:rPr>
              <w:t>资质的，得1分。（提供证书复印件）（此项满分3分）</w:t>
            </w:r>
          </w:p>
          <w:p w14:paraId="5F8EBF03">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（4）供应商20</w:t>
            </w:r>
            <w:r>
              <w:rPr>
                <w:rFonts w:hint="eastAsia" w:ascii="宋体" w:hAnsi="宋体" w:cs="宋体"/>
                <w:bCs/>
                <w:color w:val="auto"/>
                <w:highlight w:val="none"/>
                <w:lang w:val="en-US" w:eastAsia="zh-CN"/>
              </w:rPr>
              <w:t>22</w:t>
            </w:r>
            <w:r>
              <w:rPr>
                <w:rFonts w:hint="eastAsia" w:ascii="宋体" w:hAnsi="宋体" w:eastAsia="宋体" w:cs="宋体"/>
                <w:bCs/>
                <w:color w:val="auto"/>
                <w:highlight w:val="none"/>
              </w:rPr>
              <w:t>年以来具有</w:t>
            </w:r>
            <w:r>
              <w:rPr>
                <w:rFonts w:hint="eastAsia" w:ascii="宋体" w:hAnsi="宋体" w:cs="宋体"/>
                <w:bCs/>
                <w:color w:val="auto"/>
                <w:highlight w:val="none"/>
                <w:lang w:val="en-US" w:eastAsia="zh-CN"/>
              </w:rPr>
              <w:t>软件</w:t>
            </w:r>
            <w:r>
              <w:rPr>
                <w:rFonts w:hint="eastAsia" w:ascii="宋体" w:hAnsi="宋体" w:eastAsia="宋体" w:cs="宋体"/>
                <w:bCs/>
                <w:color w:val="auto"/>
                <w:highlight w:val="none"/>
              </w:rPr>
              <w:t>系统</w:t>
            </w:r>
            <w:r>
              <w:rPr>
                <w:rFonts w:hint="eastAsia" w:ascii="宋体" w:hAnsi="宋体" w:cs="宋体"/>
                <w:bCs/>
                <w:color w:val="auto"/>
                <w:highlight w:val="none"/>
                <w:lang w:val="en-US" w:eastAsia="zh-CN"/>
              </w:rPr>
              <w:t>开发</w:t>
            </w:r>
            <w:r>
              <w:rPr>
                <w:rFonts w:hint="eastAsia" w:ascii="宋体" w:hAnsi="宋体" w:eastAsia="宋体" w:cs="宋体"/>
                <w:bCs/>
                <w:color w:val="auto"/>
                <w:highlight w:val="none"/>
              </w:rPr>
              <w:t>项目</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含运维</w:t>
            </w:r>
            <w:r>
              <w:rPr>
                <w:rFonts w:hint="eastAsia" w:ascii="宋体" w:hAnsi="宋体" w:cs="宋体"/>
                <w:bCs/>
                <w:color w:val="auto"/>
                <w:highlight w:val="none"/>
                <w:lang w:eastAsia="zh-CN"/>
              </w:rPr>
              <w:t>）</w:t>
            </w:r>
            <w:r>
              <w:rPr>
                <w:rFonts w:hint="eastAsia" w:ascii="宋体" w:hAnsi="宋体" w:eastAsia="宋体" w:cs="宋体"/>
                <w:bCs/>
                <w:color w:val="auto"/>
                <w:highlight w:val="none"/>
              </w:rPr>
              <w:t>的业绩分【以中标（或成交）通知书或合同复印件为准】，每项得</w:t>
            </w:r>
            <w:r>
              <w:rPr>
                <w:rFonts w:hint="eastAsia" w:ascii="宋体" w:hAnsi="宋体" w:cs="宋体"/>
                <w:bCs/>
                <w:color w:val="auto"/>
                <w:highlight w:val="none"/>
                <w:lang w:val="en-US" w:eastAsia="zh-CN"/>
              </w:rPr>
              <w:t>1.5</w:t>
            </w:r>
            <w:r>
              <w:rPr>
                <w:rFonts w:hint="eastAsia" w:ascii="宋体" w:hAnsi="宋体" w:eastAsia="宋体" w:cs="宋体"/>
                <w:bCs/>
                <w:color w:val="auto"/>
                <w:highlight w:val="none"/>
              </w:rPr>
              <w:t>分。（此项满分6分）</w:t>
            </w:r>
          </w:p>
        </w:tc>
        <w:tc>
          <w:tcPr>
            <w:tcW w:w="841" w:type="dxa"/>
            <w:tcBorders>
              <w:top w:val="single" w:color="auto" w:sz="4" w:space="0"/>
              <w:left w:val="single" w:color="auto" w:sz="4" w:space="0"/>
              <w:bottom w:val="single" w:color="auto" w:sz="4" w:space="0"/>
              <w:right w:val="single" w:color="auto" w:sz="4" w:space="0"/>
            </w:tcBorders>
            <w:vAlign w:val="center"/>
          </w:tcPr>
          <w:p w14:paraId="4C6D4248">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14分</w:t>
            </w:r>
          </w:p>
        </w:tc>
      </w:tr>
      <w:tr w14:paraId="711F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42" w:type="dxa"/>
            <w:tcBorders>
              <w:left w:val="single" w:color="auto" w:sz="4" w:space="0"/>
              <w:right w:val="single" w:color="auto" w:sz="4" w:space="0"/>
            </w:tcBorders>
            <w:vAlign w:val="center"/>
          </w:tcPr>
          <w:p w14:paraId="3A9F389E">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3.2</w:t>
            </w:r>
          </w:p>
        </w:tc>
        <w:tc>
          <w:tcPr>
            <w:tcW w:w="1154" w:type="dxa"/>
            <w:tcBorders>
              <w:left w:val="single" w:color="auto" w:sz="4" w:space="0"/>
              <w:right w:val="single" w:color="auto" w:sz="4" w:space="0"/>
            </w:tcBorders>
            <w:vAlign w:val="center"/>
          </w:tcPr>
          <w:p w14:paraId="36D1B005">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供应商拟投入该项目的人员实力分</w:t>
            </w:r>
          </w:p>
        </w:tc>
        <w:tc>
          <w:tcPr>
            <w:tcW w:w="6309" w:type="dxa"/>
            <w:tcBorders>
              <w:top w:val="single" w:color="auto" w:sz="4" w:space="0"/>
              <w:left w:val="single" w:color="auto" w:sz="4" w:space="0"/>
              <w:right w:val="single" w:color="auto" w:sz="4" w:space="0"/>
            </w:tcBorders>
            <w:vAlign w:val="top"/>
          </w:tcPr>
          <w:p w14:paraId="761E9BC7">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供应商拟投入该项目的人员实力（成立</w:t>
            </w:r>
            <w:r>
              <w:rPr>
                <w:rFonts w:hint="eastAsia" w:ascii="宋体" w:hAnsi="宋体" w:cs="宋体"/>
                <w:bCs/>
                <w:color w:val="auto"/>
                <w:highlight w:val="none"/>
                <w:lang w:val="en-US" w:eastAsia="zh-CN"/>
              </w:rPr>
              <w:t>平台专项技术服务小组</w:t>
            </w:r>
            <w:r>
              <w:rPr>
                <w:rFonts w:hint="eastAsia" w:ascii="宋体" w:hAnsi="宋体" w:eastAsia="宋体" w:cs="宋体"/>
                <w:bCs/>
                <w:color w:val="auto"/>
                <w:highlight w:val="none"/>
              </w:rPr>
              <w:t>并配备以下技术人员：需提供</w:t>
            </w:r>
            <w:r>
              <w:rPr>
                <w:rFonts w:hint="eastAsia" w:ascii="宋体" w:hAnsi="宋体" w:cs="宋体"/>
                <w:bCs/>
                <w:color w:val="auto"/>
                <w:highlight w:val="none"/>
                <w:lang w:val="en-US" w:eastAsia="zh-CN"/>
              </w:rPr>
              <w:t>拟投入服务团队人员花名册，标明团队职责，同时提供人员身份证明、学历证明、职称证明（如需）、资格证书（如需）</w:t>
            </w:r>
            <w:r>
              <w:rPr>
                <w:rFonts w:hint="eastAsia" w:ascii="宋体" w:hAnsi="宋体" w:eastAsia="宋体" w:cs="宋体"/>
                <w:bCs/>
                <w:color w:val="auto"/>
                <w:highlight w:val="none"/>
              </w:rPr>
              <w:t>及</w:t>
            </w:r>
            <w:r>
              <w:rPr>
                <w:rFonts w:hint="eastAsia" w:ascii="宋体" w:hAnsi="宋体" w:cs="宋体"/>
                <w:bCs/>
                <w:color w:val="auto"/>
                <w:highlight w:val="none"/>
                <w:lang w:val="en-US" w:eastAsia="zh-CN"/>
              </w:rPr>
              <w:t>供应商为其缴纳的</w:t>
            </w:r>
            <w:r>
              <w:rPr>
                <w:rFonts w:hint="eastAsia" w:ascii="宋体" w:hAnsi="宋体" w:eastAsia="宋体" w:cs="宋体"/>
                <w:bCs/>
                <w:color w:val="auto"/>
                <w:highlight w:val="none"/>
              </w:rPr>
              <w:t>近3个月内任意1个月社保记录</w:t>
            </w:r>
            <w:r>
              <w:rPr>
                <w:rFonts w:hint="eastAsia" w:ascii="宋体" w:hAnsi="宋体" w:cs="宋体"/>
                <w:bCs/>
                <w:color w:val="auto"/>
                <w:highlight w:val="none"/>
                <w:lang w:val="en-US" w:eastAsia="zh-CN"/>
              </w:rPr>
              <w:t>证明</w:t>
            </w:r>
            <w:r>
              <w:rPr>
                <w:rFonts w:hint="eastAsia" w:ascii="宋体" w:hAnsi="宋体" w:eastAsia="宋体" w:cs="宋体"/>
                <w:bCs/>
                <w:color w:val="auto"/>
                <w:highlight w:val="none"/>
              </w:rPr>
              <w:t>（供应商属事业单位的，人员提供在编人员证明复印件。）</w:t>
            </w:r>
          </w:p>
          <w:p w14:paraId="2EC176DA">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（1）</w:t>
            </w:r>
            <w:r>
              <w:rPr>
                <w:rFonts w:hint="eastAsia" w:ascii="宋体" w:hAnsi="宋体" w:cs="宋体"/>
                <w:bCs/>
                <w:color w:val="auto"/>
                <w:highlight w:val="none"/>
                <w:lang w:val="en-US" w:eastAsia="zh-CN"/>
              </w:rPr>
              <w:t>平台专项技术服务小组</w:t>
            </w:r>
            <w:r>
              <w:rPr>
                <w:rFonts w:hint="eastAsia" w:ascii="宋体" w:hAnsi="宋体" w:eastAsia="宋体" w:cs="宋体"/>
                <w:bCs/>
                <w:color w:val="auto"/>
                <w:highlight w:val="none"/>
              </w:rPr>
              <w:t>人员7人的得1分；每超出1人，加1分。（此项满分</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分）</w:t>
            </w:r>
          </w:p>
          <w:p w14:paraId="6B87FC7D">
            <w:pPr>
              <w:spacing w:line="440" w:lineRule="exact"/>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（2）拟投入本项目的</w:t>
            </w:r>
            <w:r>
              <w:rPr>
                <w:rFonts w:hint="eastAsia" w:ascii="宋体" w:hAnsi="宋体" w:eastAsia="宋体" w:cs="宋体"/>
                <w:bCs/>
                <w:color w:val="auto"/>
                <w:highlight w:val="none"/>
                <w:lang w:val="en-US" w:eastAsia="zh-CN"/>
              </w:rPr>
              <w:t>技术总监</w:t>
            </w:r>
            <w:r>
              <w:rPr>
                <w:rFonts w:hint="eastAsia" w:ascii="宋体" w:hAnsi="宋体" w:eastAsia="宋体" w:cs="宋体"/>
                <w:bCs/>
                <w:color w:val="auto"/>
                <w:highlight w:val="none"/>
              </w:rPr>
              <w:t>同时具有</w:t>
            </w:r>
            <w:r>
              <w:rPr>
                <w:rFonts w:hint="eastAsia" w:ascii="宋体" w:hAnsi="宋体" w:cs="宋体"/>
                <w:bCs/>
                <w:color w:val="auto"/>
                <w:highlight w:val="none"/>
                <w:lang w:val="en-US" w:eastAsia="zh-CN"/>
              </w:rPr>
              <w:t>硕士及</w:t>
            </w:r>
            <w:r>
              <w:rPr>
                <w:rFonts w:hint="eastAsia" w:ascii="宋体" w:hAnsi="宋体" w:eastAsia="宋体" w:cs="宋体"/>
                <w:bCs/>
                <w:color w:val="auto"/>
                <w:highlight w:val="none"/>
                <w:lang w:val="en-US" w:eastAsia="zh-CN"/>
              </w:rPr>
              <w:t>以上学历、高级工程师或以上职称、信息系统项目管理师</w:t>
            </w:r>
            <w:r>
              <w:rPr>
                <w:rFonts w:hint="eastAsia" w:ascii="宋体" w:hAnsi="宋体" w:cs="宋体"/>
                <w:bCs/>
                <w:color w:val="auto"/>
                <w:highlight w:val="none"/>
                <w:lang w:val="en-US" w:eastAsia="zh-CN"/>
              </w:rPr>
              <w:t>（高级）</w:t>
            </w:r>
            <w:r>
              <w:rPr>
                <w:rFonts w:hint="eastAsia" w:ascii="宋体" w:hAnsi="宋体" w:eastAsia="宋体" w:cs="宋体"/>
                <w:bCs/>
                <w:color w:val="auto"/>
                <w:highlight w:val="none"/>
              </w:rPr>
              <w:t>的得</w:t>
            </w:r>
            <w:r>
              <w:rPr>
                <w:rFonts w:hint="eastAsia" w:ascii="宋体" w:hAnsi="宋体" w:cs="宋体"/>
                <w:bCs/>
                <w:color w:val="auto"/>
                <w:highlight w:val="none"/>
                <w:lang w:val="en-US" w:eastAsia="zh-CN"/>
              </w:rPr>
              <w:t>2分。</w:t>
            </w:r>
            <w:r>
              <w:rPr>
                <w:rFonts w:hint="eastAsia" w:ascii="宋体" w:hAnsi="宋体" w:eastAsia="宋体" w:cs="宋体"/>
                <w:bCs/>
                <w:color w:val="auto"/>
                <w:highlight w:val="none"/>
              </w:rPr>
              <w:t>（此项满分</w:t>
            </w:r>
            <w:r>
              <w:rPr>
                <w:rFonts w:hint="eastAsia" w:ascii="宋体" w:hAnsi="宋体" w:cs="宋体"/>
                <w:bCs/>
                <w:color w:val="auto"/>
                <w:highlight w:val="none"/>
                <w:lang w:val="en-US" w:eastAsia="zh-CN"/>
              </w:rPr>
              <w:t>2</w:t>
            </w:r>
            <w:r>
              <w:rPr>
                <w:rFonts w:hint="eastAsia" w:ascii="宋体" w:hAnsi="宋体" w:eastAsia="宋体" w:cs="宋体"/>
                <w:bCs/>
                <w:color w:val="auto"/>
                <w:highlight w:val="none"/>
              </w:rPr>
              <w:t>分）</w:t>
            </w:r>
          </w:p>
          <w:p w14:paraId="7FDEA88B">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en-US" w:eastAsia="zh-CN"/>
              </w:rPr>
              <w:t>派出驻点</w:t>
            </w:r>
            <w:r>
              <w:rPr>
                <w:rFonts w:hint="eastAsia" w:ascii="宋体" w:hAnsi="宋体" w:eastAsia="宋体" w:cs="宋体"/>
                <w:bCs/>
                <w:color w:val="auto"/>
                <w:highlight w:val="none"/>
              </w:rPr>
              <w:t>人员中配备1名持有</w:t>
            </w:r>
            <w:r>
              <w:rPr>
                <w:rFonts w:hint="eastAsia" w:ascii="宋体" w:hAnsi="宋体" w:cs="宋体"/>
                <w:bCs/>
                <w:color w:val="auto"/>
                <w:highlight w:val="none"/>
                <w:lang w:val="en-US" w:eastAsia="zh-CN"/>
              </w:rPr>
              <w:t>高级软件工程师</w:t>
            </w:r>
            <w:r>
              <w:rPr>
                <w:rFonts w:hint="eastAsia" w:ascii="宋体" w:hAnsi="宋体" w:eastAsia="宋体" w:cs="宋体"/>
                <w:bCs/>
                <w:color w:val="auto"/>
                <w:highlight w:val="none"/>
              </w:rPr>
              <w:t>证书的</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得2</w:t>
            </w:r>
            <w:r>
              <w:rPr>
                <w:rFonts w:hint="eastAsia" w:ascii="宋体" w:hAnsi="宋体" w:eastAsia="宋体" w:cs="宋体"/>
                <w:bCs/>
                <w:color w:val="auto"/>
                <w:highlight w:val="none"/>
              </w:rPr>
              <w:t>分</w:t>
            </w:r>
            <w:r>
              <w:rPr>
                <w:rFonts w:hint="eastAsia" w:ascii="宋体" w:hAnsi="宋体" w:cs="宋体"/>
                <w:bCs/>
                <w:color w:val="auto"/>
                <w:highlight w:val="none"/>
                <w:lang w:eastAsia="zh-CN"/>
              </w:rPr>
              <w:t>，并</w:t>
            </w:r>
            <w:r>
              <w:rPr>
                <w:rFonts w:hint="eastAsia" w:ascii="宋体" w:hAnsi="宋体" w:cs="宋体"/>
                <w:bCs/>
                <w:color w:val="auto"/>
                <w:highlight w:val="none"/>
                <w:lang w:val="en-US" w:eastAsia="zh-CN"/>
              </w:rPr>
              <w:t>同时持有系统架构师（高级）证书的再加2分</w:t>
            </w:r>
            <w:r>
              <w:rPr>
                <w:rFonts w:hint="eastAsia" w:ascii="宋体" w:hAnsi="宋体" w:eastAsia="宋体" w:cs="宋体"/>
                <w:bCs/>
                <w:color w:val="auto"/>
                <w:highlight w:val="none"/>
              </w:rPr>
              <w:t>。（此项满分</w:t>
            </w:r>
            <w:r>
              <w:rPr>
                <w:rFonts w:hint="eastAsia" w:ascii="宋体" w:hAnsi="宋体" w:cs="宋体"/>
                <w:bCs/>
                <w:color w:val="auto"/>
                <w:highlight w:val="none"/>
                <w:lang w:val="en-US" w:eastAsia="zh-CN"/>
              </w:rPr>
              <w:t>4</w:t>
            </w:r>
            <w:r>
              <w:rPr>
                <w:rFonts w:hint="eastAsia" w:ascii="宋体" w:hAnsi="宋体" w:eastAsia="宋体" w:cs="宋体"/>
                <w:bCs/>
                <w:color w:val="auto"/>
                <w:highlight w:val="none"/>
              </w:rPr>
              <w:t>分。）</w:t>
            </w:r>
          </w:p>
          <w:p w14:paraId="49F1EB97">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宋体"/>
                <w:bCs/>
                <w:color w:val="auto"/>
                <w:highlight w:val="none"/>
                <w:lang w:val="en-US" w:eastAsia="zh-CN"/>
              </w:rPr>
              <w:t>派出驻点</w:t>
            </w:r>
            <w:r>
              <w:rPr>
                <w:rFonts w:hint="eastAsia" w:ascii="宋体" w:hAnsi="宋体" w:eastAsia="宋体" w:cs="宋体"/>
                <w:bCs/>
                <w:color w:val="auto"/>
                <w:highlight w:val="none"/>
              </w:rPr>
              <w:t>人员中配备1名</w:t>
            </w:r>
            <w:r>
              <w:rPr>
                <w:rFonts w:hint="eastAsia" w:ascii="宋体" w:hAnsi="宋体" w:cs="宋体"/>
                <w:bCs/>
                <w:color w:val="auto"/>
                <w:highlight w:val="none"/>
                <w:lang w:val="en-US" w:eastAsia="zh-CN"/>
              </w:rPr>
              <w:t>持有</w:t>
            </w:r>
            <w:r>
              <w:rPr>
                <w:rFonts w:hint="eastAsia" w:ascii="宋体" w:hAnsi="宋体" w:eastAsia="宋体" w:cs="宋体"/>
                <w:bCs/>
                <w:color w:val="auto"/>
                <w:highlight w:val="none"/>
                <w:lang w:val="en-US" w:eastAsia="zh-CN"/>
              </w:rPr>
              <w:t>信息安全管理工程师</w:t>
            </w:r>
            <w:r>
              <w:rPr>
                <w:rFonts w:hint="eastAsia" w:ascii="宋体" w:hAnsi="宋体" w:eastAsia="宋体" w:cs="宋体"/>
                <w:bCs/>
                <w:color w:val="auto"/>
                <w:highlight w:val="none"/>
              </w:rPr>
              <w:t>证书的得1分</w:t>
            </w:r>
            <w:r>
              <w:rPr>
                <w:rFonts w:hint="eastAsia" w:ascii="宋体" w:hAnsi="宋体" w:eastAsia="宋体" w:cs="宋体"/>
                <w:bCs/>
                <w:color w:val="auto"/>
                <w:highlight w:val="none"/>
                <w:lang w:eastAsia="zh-CN"/>
              </w:rPr>
              <w:t>，</w:t>
            </w:r>
            <w:r>
              <w:rPr>
                <w:rFonts w:hint="eastAsia" w:ascii="宋体" w:hAnsi="宋体" w:cs="宋体"/>
                <w:bCs/>
                <w:color w:val="auto"/>
                <w:highlight w:val="none"/>
                <w:lang w:eastAsia="zh-CN"/>
              </w:rPr>
              <w:t>并</w:t>
            </w:r>
            <w:r>
              <w:rPr>
                <w:rFonts w:hint="eastAsia" w:ascii="宋体" w:hAnsi="宋体" w:eastAsia="宋体" w:cs="宋体"/>
                <w:bCs/>
                <w:color w:val="auto"/>
                <w:highlight w:val="none"/>
                <w:lang w:val="en-US" w:eastAsia="zh-CN"/>
              </w:rPr>
              <w:t>同时持有</w:t>
            </w:r>
            <w:r>
              <w:rPr>
                <w:rFonts w:hint="eastAsia" w:ascii="宋体" w:hAnsi="宋体" w:eastAsia="宋体" w:cs="宋体"/>
                <w:bCs/>
                <w:color w:val="auto"/>
                <w:highlight w:val="none"/>
              </w:rPr>
              <w:t>CISP证书</w:t>
            </w:r>
            <w:r>
              <w:rPr>
                <w:rFonts w:hint="eastAsia" w:ascii="宋体" w:hAnsi="宋体" w:cs="宋体"/>
                <w:bCs/>
                <w:color w:val="auto"/>
                <w:highlight w:val="none"/>
                <w:lang w:eastAsia="zh-CN"/>
              </w:rPr>
              <w:t>、信息安全保障人员认证证书</w:t>
            </w:r>
            <w:r>
              <w:rPr>
                <w:rFonts w:hint="eastAsia" w:ascii="宋体" w:hAnsi="宋体" w:eastAsia="宋体" w:cs="宋体"/>
                <w:bCs/>
                <w:color w:val="auto"/>
                <w:highlight w:val="none"/>
              </w:rPr>
              <w:t>的</w:t>
            </w:r>
            <w:r>
              <w:rPr>
                <w:rFonts w:hint="eastAsia" w:ascii="宋体" w:hAnsi="宋体" w:cs="宋体"/>
                <w:bCs/>
                <w:color w:val="auto"/>
                <w:highlight w:val="none"/>
                <w:lang w:val="en-US" w:eastAsia="zh-CN"/>
              </w:rPr>
              <w:t>每项证书</w:t>
            </w:r>
            <w:r>
              <w:rPr>
                <w:rFonts w:hint="eastAsia" w:ascii="宋体" w:hAnsi="宋体" w:eastAsia="宋体" w:cs="宋体"/>
                <w:bCs/>
                <w:color w:val="auto"/>
                <w:highlight w:val="none"/>
                <w:lang w:val="en-US" w:eastAsia="zh-CN"/>
              </w:rPr>
              <w:t>加</w:t>
            </w:r>
            <w:r>
              <w:rPr>
                <w:rFonts w:hint="eastAsia" w:ascii="宋体" w:hAnsi="宋体" w:eastAsia="宋体" w:cs="宋体"/>
                <w:bCs/>
                <w:color w:val="auto"/>
                <w:highlight w:val="none"/>
              </w:rPr>
              <w:t>1分。（此项满分</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rPr>
              <w:t>分。）</w:t>
            </w:r>
          </w:p>
          <w:p w14:paraId="11C66EC0">
            <w:pPr>
              <w:spacing w:line="440" w:lineRule="exact"/>
              <w:rPr>
                <w:rFonts w:hint="default" w:ascii="宋体" w:hAnsi="宋体" w:eastAsia="宋体" w:cs="宋体"/>
                <w:bCs/>
                <w:color w:val="auto"/>
                <w:highlight w:val="none"/>
                <w:lang w:val="en-US" w:eastAsia="zh-CN"/>
              </w:rPr>
            </w:pP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5</w:t>
            </w:r>
            <w:r>
              <w:rPr>
                <w:rFonts w:hint="eastAsia" w:ascii="宋体" w:hAnsi="宋体" w:eastAsia="宋体" w:cs="宋体"/>
                <w:bCs/>
                <w:color w:val="auto"/>
                <w:highlight w:val="none"/>
              </w:rPr>
              <w:t>）</w:t>
            </w:r>
            <w:r>
              <w:rPr>
                <w:rFonts w:hint="eastAsia" w:ascii="宋体" w:hAnsi="宋体" w:cs="宋体"/>
                <w:bCs/>
                <w:color w:val="auto"/>
                <w:highlight w:val="none"/>
                <w:lang w:val="en-US" w:eastAsia="zh-CN"/>
              </w:rPr>
              <w:t>平台专项技术服务小组</w:t>
            </w:r>
            <w:r>
              <w:rPr>
                <w:rFonts w:hint="eastAsia" w:ascii="宋体" w:hAnsi="宋体" w:eastAsia="宋体" w:cs="宋体"/>
                <w:bCs/>
                <w:color w:val="auto"/>
                <w:highlight w:val="none"/>
              </w:rPr>
              <w:t>人员配备3名</w:t>
            </w:r>
            <w:r>
              <w:rPr>
                <w:rFonts w:hint="eastAsia" w:ascii="宋体" w:hAnsi="宋体" w:cs="宋体"/>
                <w:bCs/>
                <w:color w:val="auto"/>
                <w:highlight w:val="none"/>
                <w:lang w:val="en-US" w:eastAsia="zh-CN"/>
              </w:rPr>
              <w:t>软件开发工程师</w:t>
            </w:r>
            <w:r>
              <w:rPr>
                <w:rFonts w:hint="eastAsia" w:ascii="宋体" w:hAnsi="宋体" w:eastAsia="宋体" w:cs="宋体"/>
                <w:bCs/>
                <w:color w:val="auto"/>
                <w:highlight w:val="none"/>
              </w:rPr>
              <w:t>的得1</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分；分别持有</w:t>
            </w:r>
            <w:r>
              <w:rPr>
                <w:rFonts w:hint="eastAsia" w:ascii="宋体" w:hAnsi="宋体" w:eastAsia="宋体" w:cs="宋体"/>
                <w:bCs/>
                <w:color w:val="auto"/>
                <w:highlight w:val="none"/>
                <w:lang w:val="en-US" w:eastAsia="zh-CN"/>
              </w:rPr>
              <w:t>信息系统管理工程</w:t>
            </w:r>
            <w:r>
              <w:rPr>
                <w:rFonts w:hint="eastAsia" w:ascii="宋体" w:hAnsi="宋体" w:eastAsia="宋体" w:cs="宋体"/>
                <w:bCs/>
                <w:color w:val="auto"/>
                <w:highlight w:val="none"/>
              </w:rPr>
              <w:t>师、软件设计师、</w:t>
            </w:r>
            <w:r>
              <w:rPr>
                <w:rFonts w:hint="eastAsia" w:ascii="宋体" w:hAnsi="宋体" w:eastAsia="宋体" w:cs="宋体"/>
                <w:bCs/>
                <w:color w:val="auto"/>
                <w:highlight w:val="none"/>
                <w:lang w:val="en-US" w:eastAsia="zh-CN"/>
              </w:rPr>
              <w:t>系统架构设计</w:t>
            </w:r>
            <w:r>
              <w:rPr>
                <w:rFonts w:hint="eastAsia" w:ascii="宋体" w:hAnsi="宋体" w:eastAsia="宋体" w:cs="宋体"/>
                <w:bCs/>
                <w:color w:val="auto"/>
                <w:highlight w:val="none"/>
              </w:rPr>
              <w:t>师</w:t>
            </w:r>
            <w:r>
              <w:rPr>
                <w:rFonts w:hint="eastAsia" w:ascii="宋体" w:hAnsi="宋体" w:cs="宋体"/>
                <w:bCs/>
                <w:color w:val="auto"/>
                <w:highlight w:val="none"/>
                <w:lang w:val="en-US" w:eastAsia="zh-CN"/>
              </w:rPr>
              <w:t>中级或以上证书</w:t>
            </w:r>
            <w:r>
              <w:rPr>
                <w:rFonts w:hint="eastAsia" w:ascii="宋体" w:hAnsi="宋体" w:eastAsia="宋体" w:cs="宋体"/>
                <w:bCs/>
                <w:color w:val="auto"/>
                <w:highlight w:val="none"/>
              </w:rPr>
              <w:t>的，每人得</w:t>
            </w:r>
            <w:r>
              <w:rPr>
                <w:rFonts w:hint="eastAsia" w:ascii="宋体" w:hAnsi="宋体" w:eastAsia="宋体" w:cs="宋体"/>
                <w:bCs/>
                <w:color w:val="auto"/>
                <w:highlight w:val="none"/>
                <w:lang w:val="en-US" w:eastAsia="zh-CN"/>
              </w:rPr>
              <w:t>0.5</w:t>
            </w:r>
            <w:r>
              <w:rPr>
                <w:rFonts w:hint="eastAsia" w:ascii="宋体" w:hAnsi="宋体" w:eastAsia="宋体" w:cs="宋体"/>
                <w:bCs/>
                <w:color w:val="auto"/>
                <w:highlight w:val="none"/>
              </w:rPr>
              <w:t>分（1人同时持有多个证书不重复加分）。（此项满分</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分）</w:t>
            </w:r>
          </w:p>
        </w:tc>
        <w:tc>
          <w:tcPr>
            <w:tcW w:w="841" w:type="dxa"/>
            <w:tcBorders>
              <w:top w:val="single" w:color="auto" w:sz="4" w:space="0"/>
              <w:left w:val="single" w:color="auto" w:sz="4" w:space="0"/>
              <w:bottom w:val="single" w:color="auto" w:sz="4" w:space="0"/>
              <w:right w:val="single" w:color="auto" w:sz="4" w:space="0"/>
            </w:tcBorders>
            <w:vAlign w:val="center"/>
          </w:tcPr>
          <w:p w14:paraId="43985466">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15分</w:t>
            </w:r>
          </w:p>
        </w:tc>
      </w:tr>
      <w:tr w14:paraId="242C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028736E7">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1154" w:type="dxa"/>
            <w:tcBorders>
              <w:top w:val="single" w:color="auto" w:sz="4" w:space="0"/>
              <w:left w:val="single" w:color="auto" w:sz="4" w:space="0"/>
              <w:bottom w:val="single" w:color="auto" w:sz="4" w:space="0"/>
              <w:right w:val="single" w:color="auto" w:sz="4" w:space="0"/>
            </w:tcBorders>
            <w:vAlign w:val="center"/>
          </w:tcPr>
          <w:p w14:paraId="1324AC8F">
            <w:pPr>
              <w:spacing w:line="440" w:lineRule="exact"/>
              <w:jc w:val="center"/>
              <w:rPr>
                <w:rFonts w:hint="eastAsia" w:ascii="宋体" w:hAnsi="宋体" w:eastAsia="宋体" w:cs="宋体"/>
                <w:bCs/>
                <w:color w:val="auto"/>
                <w:highlight w:val="none"/>
              </w:rPr>
            </w:pPr>
            <w:r>
              <w:rPr>
                <w:rFonts w:hint="eastAsia" w:ascii="宋体" w:hAnsi="宋体" w:eastAsia="宋体" w:cs="宋体"/>
                <w:bCs/>
                <w:color w:val="auto"/>
                <w:highlight w:val="none"/>
              </w:rPr>
              <w:t>诚信分</w:t>
            </w:r>
          </w:p>
        </w:tc>
        <w:tc>
          <w:tcPr>
            <w:tcW w:w="6309" w:type="dxa"/>
            <w:tcBorders>
              <w:top w:val="single" w:color="auto" w:sz="4" w:space="0"/>
              <w:left w:val="single" w:color="auto" w:sz="4" w:space="0"/>
              <w:bottom w:val="single" w:color="auto" w:sz="4" w:space="0"/>
              <w:right w:val="single" w:color="auto" w:sz="4" w:space="0"/>
            </w:tcBorders>
            <w:vAlign w:val="top"/>
          </w:tcPr>
          <w:p w14:paraId="45A17F77">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供应商在磋商时间前一年内在政府采购活动中存在违约情况的，每次扣除3分，最高扣6分。（供应商提供出具书面说明或承诺书或其他有效证明材料作为评分依据，成交后由采购人进行核查，如核查后发现未如实提供的，按提供虚假材料处理。）</w:t>
            </w:r>
          </w:p>
        </w:tc>
        <w:tc>
          <w:tcPr>
            <w:tcW w:w="841" w:type="dxa"/>
            <w:tcBorders>
              <w:top w:val="single" w:color="auto" w:sz="4" w:space="0"/>
              <w:left w:val="single" w:color="auto" w:sz="4" w:space="0"/>
              <w:bottom w:val="single" w:color="auto" w:sz="4" w:space="0"/>
              <w:right w:val="single" w:color="auto" w:sz="4" w:space="0"/>
            </w:tcBorders>
            <w:vAlign w:val="center"/>
          </w:tcPr>
          <w:p w14:paraId="1BE99ACF">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最高扣6分</w:t>
            </w:r>
          </w:p>
        </w:tc>
      </w:tr>
      <w:tr w14:paraId="2AFA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6" w:type="dxa"/>
            <w:gridSpan w:val="4"/>
            <w:tcBorders>
              <w:top w:val="single" w:color="auto" w:sz="4" w:space="0"/>
              <w:left w:val="single" w:color="auto" w:sz="4" w:space="0"/>
              <w:bottom w:val="single" w:color="auto" w:sz="4" w:space="0"/>
              <w:right w:val="single" w:color="auto" w:sz="4" w:space="0"/>
            </w:tcBorders>
            <w:vAlign w:val="center"/>
          </w:tcPr>
          <w:p w14:paraId="5D08AC7F">
            <w:pPr>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总得分＝1＋2＋3+4</w:t>
            </w:r>
          </w:p>
        </w:tc>
      </w:tr>
    </w:tbl>
    <w:p w14:paraId="5FDEA220">
      <w:pPr>
        <w:spacing w:line="360" w:lineRule="auto"/>
        <w:ind w:firstLine="420" w:firstLineChars="200"/>
        <w:rPr>
          <w:rFonts w:hint="eastAsia" w:ascii="宋体" w:hAnsi="宋体" w:eastAsia="宋体" w:cs="宋体"/>
          <w:bCs/>
          <w:color w:val="auto"/>
          <w:szCs w:val="21"/>
          <w:highlight w:val="none"/>
          <w:lang w:eastAsia="zh-CN"/>
        </w:rPr>
      </w:pPr>
    </w:p>
    <w:p w14:paraId="7095E6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szCs w:val="21"/>
          <w:highlight w:val="none"/>
          <w:lang w:eastAsia="zh-CN"/>
        </w:rPr>
        <w:t xml:space="preserve"> </w:t>
      </w:r>
      <w:bookmarkEnd w:id="67"/>
      <w:bookmarkStart w:id="74" w:name="_Toc80205935"/>
      <w:r>
        <w:rPr>
          <w:rFonts w:hint="eastAsia" w:ascii="宋体" w:hAnsi="宋体" w:eastAsia="宋体" w:cs="宋体"/>
          <w:color w:val="auto"/>
          <w:highlight w:val="none"/>
        </w:rPr>
        <w:t>7.2.终止竞争性磋商采购活动</w:t>
      </w:r>
    </w:p>
    <w:p w14:paraId="4355AFF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恶意低价</w:t>
      </w:r>
      <w:r>
        <w:rPr>
          <w:rFonts w:hint="eastAsia" w:ascii="宋体" w:hAnsi="宋体" w:eastAsia="宋体" w:cs="宋体"/>
          <w:color w:val="auto"/>
          <w:highlight w:val="none"/>
        </w:rPr>
        <w:t>等违法违规行为的，要及时向采购人或采购代理机构报告。</w:t>
      </w:r>
    </w:p>
    <w:p w14:paraId="3ED40C32">
      <w:pPr>
        <w:pStyle w:val="6"/>
        <w:ind w:left="0" w:leftChars="0"/>
        <w:rPr>
          <w:rFonts w:hint="eastAsia" w:ascii="宋体" w:hAnsi="宋体" w:eastAsia="宋体" w:cs="宋体"/>
          <w:b w:val="0"/>
          <w:color w:val="auto"/>
          <w:highlight w:val="none"/>
          <w:lang w:eastAsia="zh-CN"/>
        </w:rPr>
      </w:pPr>
    </w:p>
    <w:p w14:paraId="2954FF3B">
      <w:pPr>
        <w:rPr>
          <w:rFonts w:hint="eastAsia" w:ascii="宋体" w:hAnsi="宋体" w:eastAsia="宋体" w:cs="宋体"/>
          <w:b w:val="0"/>
          <w:color w:val="auto"/>
          <w:highlight w:val="none"/>
          <w:lang w:eastAsia="zh-CN"/>
        </w:rPr>
      </w:pPr>
    </w:p>
    <w:p w14:paraId="37E06E82">
      <w:pPr>
        <w:pStyle w:val="6"/>
        <w:rPr>
          <w:rFonts w:hint="eastAsia"/>
          <w:lang w:eastAsia="zh-CN"/>
        </w:rPr>
      </w:pPr>
    </w:p>
    <w:p w14:paraId="4FD00DD3">
      <w:pPr>
        <w:pStyle w:val="3"/>
        <w:spacing w:before="0" w:after="0" w:line="360" w:lineRule="auto"/>
        <w:ind w:firstLine="640" w:firstLineChars="200"/>
        <w:jc w:val="center"/>
        <w:rPr>
          <w:rFonts w:hint="eastAsia" w:ascii="宋体" w:hAnsi="宋体" w:eastAsia="宋体" w:cs="宋体"/>
          <w:b w:val="0"/>
          <w:color w:val="auto"/>
          <w:highlight w:val="none"/>
          <w:lang w:eastAsia="zh-CN"/>
        </w:rPr>
      </w:pPr>
      <w:bookmarkStart w:id="75" w:name="_Toc80886939"/>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74"/>
      <w:bookmarkEnd w:id="75"/>
    </w:p>
    <w:p w14:paraId="3E4EC1E6">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2594C6DD">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0D5ED61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083F2B07">
      <w:pPr>
        <w:pStyle w:val="26"/>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41DB3CC">
      <w:pPr>
        <w:pStyle w:val="3"/>
        <w:spacing w:before="0" w:after="0" w:line="360" w:lineRule="auto"/>
        <w:ind w:firstLine="0" w:firstLineChars="0"/>
        <w:jc w:val="both"/>
        <w:rPr>
          <w:rFonts w:hint="eastAsia" w:ascii="宋体" w:hAnsi="宋体" w:eastAsia="宋体" w:cs="宋体"/>
          <w:b w:val="0"/>
          <w:color w:val="auto"/>
          <w:highlight w:val="none"/>
        </w:rPr>
      </w:pPr>
      <w:bookmarkStart w:id="76" w:name="_Toc80886940"/>
      <w:bookmarkStart w:id="77" w:name="_Toc80205936"/>
    </w:p>
    <w:p w14:paraId="37B0AC2E">
      <w:pPr>
        <w:pStyle w:val="3"/>
        <w:spacing w:before="0" w:after="0" w:line="360" w:lineRule="auto"/>
        <w:ind w:firstLine="640" w:firstLineChars="200"/>
        <w:jc w:val="center"/>
        <w:rPr>
          <w:rFonts w:hint="eastAsia" w:ascii="宋体" w:hAnsi="宋体" w:eastAsia="宋体" w:cs="宋体"/>
          <w:b w:val="0"/>
          <w:color w:val="auto"/>
          <w:highlight w:val="none"/>
        </w:rPr>
      </w:pPr>
    </w:p>
    <w:p w14:paraId="51ABBA62">
      <w:pPr>
        <w:pStyle w:val="3"/>
        <w:spacing w:before="0" w:after="0" w:line="360" w:lineRule="auto"/>
        <w:ind w:firstLine="640" w:firstLineChars="200"/>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76"/>
      <w:bookmarkEnd w:id="77"/>
    </w:p>
    <w:p w14:paraId="51C8370B">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2DB25456">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2440A0F">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26D7E7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773ED4A4">
      <w:pPr>
        <w:spacing w:line="400" w:lineRule="exact"/>
        <w:ind w:firstLine="420" w:firstLineChars="200"/>
        <w:rPr>
          <w:rFonts w:hint="eastAsia" w:ascii="宋体" w:hAnsi="宋体" w:eastAsia="宋体" w:cs="宋体"/>
          <w:color w:val="auto"/>
          <w:highlight w:val="none"/>
        </w:rPr>
      </w:pPr>
    </w:p>
    <w:p w14:paraId="7FBBA727">
      <w:pPr>
        <w:spacing w:line="400" w:lineRule="exact"/>
        <w:ind w:firstLine="420" w:firstLineChars="200"/>
        <w:rPr>
          <w:rFonts w:hint="eastAsia" w:ascii="宋体" w:hAnsi="宋体" w:eastAsia="宋体" w:cs="宋体"/>
          <w:color w:val="auto"/>
          <w:highlight w:val="none"/>
        </w:rPr>
      </w:pPr>
    </w:p>
    <w:p w14:paraId="274C69CA">
      <w:pPr>
        <w:pStyle w:val="3"/>
        <w:rPr>
          <w:rFonts w:hint="eastAsia" w:ascii="宋体" w:hAnsi="宋体" w:eastAsia="宋体" w:cs="宋体"/>
          <w:color w:val="auto"/>
          <w:highlight w:val="none"/>
        </w:rPr>
      </w:pPr>
    </w:p>
    <w:p w14:paraId="553CEEFB">
      <w:pPr>
        <w:pStyle w:val="3"/>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BADFFAF">
      <w:pPr>
        <w:pStyle w:val="3"/>
        <w:jc w:val="center"/>
        <w:rPr>
          <w:rFonts w:hint="eastAsia" w:ascii="宋体" w:hAnsi="宋体" w:eastAsia="宋体" w:cs="宋体"/>
          <w:color w:val="auto"/>
          <w:highlight w:val="none"/>
        </w:rPr>
      </w:pPr>
    </w:p>
    <w:p w14:paraId="45D52A92">
      <w:pPr>
        <w:pStyle w:val="3"/>
        <w:jc w:val="center"/>
        <w:rPr>
          <w:rFonts w:hint="eastAsia" w:ascii="宋体" w:hAnsi="宋体" w:eastAsia="宋体" w:cs="宋体"/>
          <w:color w:val="auto"/>
          <w:highlight w:val="none"/>
        </w:rPr>
      </w:pPr>
    </w:p>
    <w:p w14:paraId="40D620FD">
      <w:pPr>
        <w:pStyle w:val="3"/>
        <w:jc w:val="center"/>
        <w:rPr>
          <w:rFonts w:hint="eastAsia" w:ascii="宋体" w:hAnsi="宋体" w:eastAsia="宋体" w:cs="宋体"/>
          <w:color w:val="auto"/>
          <w:highlight w:val="none"/>
        </w:rPr>
      </w:pPr>
    </w:p>
    <w:p w14:paraId="109FCBAD">
      <w:pPr>
        <w:pStyle w:val="3"/>
        <w:jc w:val="center"/>
        <w:rPr>
          <w:rFonts w:hint="eastAsia" w:ascii="宋体" w:hAnsi="宋体" w:eastAsia="宋体" w:cs="宋体"/>
          <w:color w:val="auto"/>
          <w:highlight w:val="none"/>
        </w:rPr>
      </w:pPr>
    </w:p>
    <w:p w14:paraId="24FAD6CA">
      <w:pPr>
        <w:pStyle w:val="3"/>
        <w:jc w:val="center"/>
        <w:rPr>
          <w:rFonts w:hint="eastAsia" w:ascii="宋体" w:hAnsi="宋体" w:eastAsia="宋体" w:cs="宋体"/>
          <w:color w:val="auto"/>
          <w:highlight w:val="none"/>
        </w:rPr>
      </w:pPr>
    </w:p>
    <w:p w14:paraId="383231FD">
      <w:pPr>
        <w:pStyle w:val="2"/>
        <w:jc w:val="center"/>
        <w:rPr>
          <w:rFonts w:hint="eastAsia" w:ascii="宋体" w:hAnsi="宋体" w:eastAsia="宋体" w:cs="宋体"/>
          <w:color w:val="auto"/>
          <w:highlight w:val="none"/>
        </w:rPr>
        <w:sectPr>
          <w:footerReference r:id="rId12" w:type="first"/>
          <w:footerReference r:id="rId11" w:type="default"/>
          <w:pgSz w:w="11910" w:h="16840"/>
          <w:pgMar w:top="1440" w:right="1080" w:bottom="1440" w:left="1080" w:header="720" w:footer="720" w:gutter="0"/>
          <w:pgNumType w:fmt="decimal"/>
          <w:cols w:space="720" w:num="1"/>
        </w:sectPr>
      </w:pPr>
      <w:bookmarkStart w:id="78" w:name="_Toc80886941"/>
      <w:r>
        <w:rPr>
          <w:rFonts w:hint="eastAsia" w:ascii="宋体" w:hAnsi="宋体" w:eastAsia="宋体" w:cs="宋体"/>
          <w:color w:val="auto"/>
          <w:highlight w:val="none"/>
        </w:rPr>
        <w:t>第五章 响应文件格式</w:t>
      </w:r>
      <w:bookmarkEnd w:id="78"/>
    </w:p>
    <w:p w14:paraId="27DB6483">
      <w:pPr>
        <w:pStyle w:val="3"/>
        <w:jc w:val="center"/>
        <w:rPr>
          <w:rFonts w:hint="eastAsia" w:ascii="宋体" w:hAnsi="宋体" w:eastAsia="宋体" w:cs="宋体"/>
          <w:b w:val="0"/>
          <w:color w:val="auto"/>
          <w:highlight w:val="none"/>
          <w:lang w:val="en-US" w:eastAsia="zh-CN"/>
        </w:rPr>
      </w:pPr>
      <w:bookmarkStart w:id="79" w:name="_Toc80205938"/>
      <w:bookmarkStart w:id="80" w:name="_Toc80886942"/>
      <w:r>
        <w:rPr>
          <w:rFonts w:hint="eastAsia" w:ascii="宋体" w:hAnsi="宋体" w:eastAsia="宋体" w:cs="宋体"/>
          <w:b w:val="0"/>
          <w:color w:val="auto"/>
          <w:highlight w:val="none"/>
          <w:lang w:val="en-US" w:eastAsia="zh-CN"/>
        </w:rPr>
        <w:t>第一节 封面格式</w:t>
      </w:r>
      <w:bookmarkEnd w:id="79"/>
      <w:bookmarkEnd w:id="80"/>
    </w:p>
    <w:p w14:paraId="09A9FB98">
      <w:pPr>
        <w:snapToGrid w:val="0"/>
        <w:spacing w:before="120" w:beforeLines="50" w:after="50"/>
        <w:rPr>
          <w:rFonts w:hint="eastAsia" w:ascii="宋体" w:hAnsi="宋体" w:eastAsia="宋体" w:cs="宋体"/>
          <w:color w:val="auto"/>
          <w:sz w:val="24"/>
          <w:szCs w:val="20"/>
          <w:highlight w:val="none"/>
        </w:rPr>
      </w:pPr>
    </w:p>
    <w:p w14:paraId="05EFE8E8">
      <w:pPr>
        <w:snapToGrid w:val="0"/>
        <w:spacing w:before="120" w:beforeLines="50" w:after="50"/>
        <w:jc w:val="center"/>
        <w:rPr>
          <w:rFonts w:hint="eastAsia" w:ascii="宋体" w:hAnsi="宋体" w:eastAsia="宋体" w:cs="宋体"/>
          <w:bCs/>
          <w:color w:val="auto"/>
          <w:sz w:val="24"/>
          <w:szCs w:val="20"/>
          <w:highlight w:val="none"/>
        </w:rPr>
      </w:pPr>
    </w:p>
    <w:p w14:paraId="64AB42FD">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14003A89">
      <w:pPr>
        <w:snapToGrid w:val="0"/>
        <w:spacing w:before="120" w:beforeLines="50" w:after="50"/>
        <w:rPr>
          <w:rFonts w:hint="eastAsia" w:ascii="宋体" w:hAnsi="宋体" w:eastAsia="宋体" w:cs="宋体"/>
          <w:bCs/>
          <w:color w:val="auto"/>
          <w:sz w:val="24"/>
          <w:szCs w:val="20"/>
          <w:highlight w:val="none"/>
        </w:rPr>
      </w:pPr>
    </w:p>
    <w:p w14:paraId="28310C0F">
      <w:pPr>
        <w:snapToGrid w:val="0"/>
        <w:spacing w:before="120" w:beforeLines="50" w:after="50"/>
        <w:rPr>
          <w:rFonts w:hint="eastAsia" w:ascii="宋体" w:hAnsi="宋体" w:eastAsia="宋体" w:cs="宋体"/>
          <w:bCs/>
          <w:color w:val="auto"/>
          <w:sz w:val="24"/>
          <w:szCs w:val="20"/>
          <w:highlight w:val="none"/>
        </w:rPr>
      </w:pPr>
    </w:p>
    <w:p w14:paraId="41C598B8">
      <w:pPr>
        <w:snapToGrid w:val="0"/>
        <w:spacing w:before="120" w:beforeLines="50" w:after="50"/>
        <w:rPr>
          <w:rFonts w:hint="eastAsia" w:ascii="宋体" w:hAnsi="宋体" w:eastAsia="宋体" w:cs="宋体"/>
          <w:bCs/>
          <w:color w:val="auto"/>
          <w:sz w:val="32"/>
          <w:szCs w:val="32"/>
          <w:highlight w:val="none"/>
        </w:rPr>
      </w:pPr>
    </w:p>
    <w:p w14:paraId="1D4614EF">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1CB11BD7">
      <w:pPr>
        <w:snapToGrid w:val="0"/>
        <w:spacing w:before="120" w:beforeLines="50" w:after="50"/>
        <w:ind w:firstLine="480" w:firstLineChars="150"/>
        <w:rPr>
          <w:rFonts w:hint="eastAsia" w:ascii="宋体" w:hAnsi="宋体" w:eastAsia="宋体" w:cs="宋体"/>
          <w:bCs/>
          <w:color w:val="auto"/>
          <w:sz w:val="32"/>
          <w:szCs w:val="32"/>
          <w:highlight w:val="none"/>
        </w:rPr>
      </w:pPr>
    </w:p>
    <w:p w14:paraId="0F8CB79D">
      <w:pPr>
        <w:snapToGrid w:val="0"/>
        <w:spacing w:before="120" w:beforeLines="50" w:after="50"/>
        <w:ind w:firstLine="640" w:firstLineChars="200"/>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p>
    <w:p w14:paraId="572B43C7">
      <w:pPr>
        <w:snapToGrid w:val="0"/>
        <w:spacing w:before="120" w:beforeLines="50" w:after="50"/>
        <w:ind w:firstLine="480" w:firstLineChars="150"/>
        <w:rPr>
          <w:rFonts w:hint="eastAsia" w:ascii="宋体" w:hAnsi="宋体" w:eastAsia="宋体" w:cs="宋体"/>
          <w:bCs/>
          <w:color w:val="auto"/>
          <w:sz w:val="32"/>
          <w:szCs w:val="32"/>
          <w:highlight w:val="none"/>
        </w:rPr>
      </w:pPr>
    </w:p>
    <w:p w14:paraId="0DD3C9EF">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AF00AEB">
      <w:pPr>
        <w:snapToGrid w:val="0"/>
        <w:spacing w:before="120" w:beforeLines="50" w:after="50"/>
        <w:rPr>
          <w:rFonts w:hint="eastAsia" w:ascii="宋体" w:hAnsi="宋体" w:eastAsia="宋体" w:cs="宋体"/>
          <w:bCs/>
          <w:color w:val="auto"/>
          <w:sz w:val="32"/>
          <w:szCs w:val="32"/>
          <w:highlight w:val="none"/>
        </w:rPr>
      </w:pPr>
    </w:p>
    <w:p w14:paraId="2430F4CD">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CA61E34">
      <w:pPr>
        <w:snapToGrid w:val="0"/>
        <w:spacing w:before="120" w:beforeLines="50" w:after="50"/>
        <w:rPr>
          <w:rFonts w:hint="eastAsia" w:ascii="宋体" w:hAnsi="宋体" w:eastAsia="宋体" w:cs="宋体"/>
          <w:bCs/>
          <w:color w:val="auto"/>
          <w:sz w:val="32"/>
          <w:szCs w:val="32"/>
          <w:highlight w:val="none"/>
        </w:rPr>
      </w:pPr>
    </w:p>
    <w:p w14:paraId="617A5A17">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2DF8B05E">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17977A22">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77A9BFF8">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7C9BC256">
      <w:pPr>
        <w:pStyle w:val="3"/>
        <w:jc w:val="center"/>
        <w:rPr>
          <w:rFonts w:hint="eastAsia" w:ascii="宋体" w:hAnsi="宋体" w:eastAsia="宋体" w:cs="宋体"/>
          <w:bCs w:val="0"/>
          <w:color w:val="auto"/>
          <w:highlight w:val="none"/>
        </w:rPr>
      </w:pPr>
      <w:bookmarkStart w:id="81" w:name="_Toc80886943"/>
      <w:bookmarkStart w:id="82" w:name="_Toc80205939"/>
      <w:r>
        <w:rPr>
          <w:rFonts w:hint="eastAsia" w:ascii="宋体" w:hAnsi="宋体" w:eastAsia="宋体" w:cs="宋体"/>
          <w:bCs w:val="0"/>
          <w:color w:val="auto"/>
          <w:highlight w:val="none"/>
        </w:rPr>
        <w:t>第二节 资格证明文件格式</w:t>
      </w:r>
      <w:bookmarkEnd w:id="81"/>
      <w:bookmarkEnd w:id="82"/>
    </w:p>
    <w:p w14:paraId="6E627C8D">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68EFE3F">
      <w:pPr>
        <w:snapToGrid w:val="0"/>
        <w:spacing w:before="120" w:beforeLines="50" w:after="50"/>
        <w:rPr>
          <w:rFonts w:hint="eastAsia" w:ascii="宋体" w:hAnsi="宋体" w:eastAsia="宋体" w:cs="宋体"/>
          <w:color w:val="auto"/>
          <w:sz w:val="24"/>
          <w:szCs w:val="20"/>
          <w:highlight w:val="none"/>
        </w:rPr>
      </w:pPr>
    </w:p>
    <w:p w14:paraId="6F86C431">
      <w:pPr>
        <w:snapToGrid w:val="0"/>
        <w:spacing w:before="120" w:beforeLines="50" w:after="50"/>
        <w:rPr>
          <w:rFonts w:hint="eastAsia" w:ascii="宋体" w:hAnsi="宋体" w:eastAsia="宋体" w:cs="宋体"/>
          <w:color w:val="auto"/>
          <w:sz w:val="24"/>
          <w:szCs w:val="20"/>
          <w:highlight w:val="none"/>
        </w:rPr>
      </w:pPr>
    </w:p>
    <w:p w14:paraId="34D39EA8">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186F6703">
      <w:pPr>
        <w:snapToGrid w:val="0"/>
        <w:spacing w:before="120" w:beforeLines="50" w:after="50"/>
        <w:rPr>
          <w:rFonts w:hint="eastAsia" w:ascii="宋体" w:hAnsi="宋体" w:eastAsia="宋体" w:cs="宋体"/>
          <w:bCs/>
          <w:color w:val="auto"/>
          <w:sz w:val="24"/>
          <w:szCs w:val="20"/>
          <w:highlight w:val="none"/>
        </w:rPr>
      </w:pPr>
    </w:p>
    <w:p w14:paraId="48DA53EB">
      <w:pPr>
        <w:snapToGrid w:val="0"/>
        <w:spacing w:before="120" w:beforeLines="50" w:after="50"/>
        <w:rPr>
          <w:rFonts w:hint="eastAsia" w:ascii="宋体" w:hAnsi="宋体" w:eastAsia="宋体" w:cs="宋体"/>
          <w:bCs/>
          <w:color w:val="auto"/>
          <w:sz w:val="24"/>
          <w:szCs w:val="20"/>
          <w:highlight w:val="none"/>
        </w:rPr>
      </w:pPr>
    </w:p>
    <w:p w14:paraId="507FABAC">
      <w:pPr>
        <w:snapToGrid w:val="0"/>
        <w:spacing w:before="120" w:beforeLines="50" w:after="50"/>
        <w:rPr>
          <w:rFonts w:hint="eastAsia" w:ascii="宋体" w:hAnsi="宋体" w:eastAsia="宋体" w:cs="宋体"/>
          <w:bCs/>
          <w:color w:val="auto"/>
          <w:sz w:val="24"/>
          <w:szCs w:val="20"/>
          <w:highlight w:val="none"/>
        </w:rPr>
      </w:pPr>
    </w:p>
    <w:p w14:paraId="296E9348">
      <w:pPr>
        <w:snapToGrid w:val="0"/>
        <w:spacing w:before="120" w:beforeLines="50" w:after="50"/>
        <w:rPr>
          <w:rFonts w:hint="eastAsia" w:ascii="宋体" w:hAnsi="宋体" w:eastAsia="宋体" w:cs="宋体"/>
          <w:bCs/>
          <w:color w:val="auto"/>
          <w:sz w:val="24"/>
          <w:szCs w:val="20"/>
          <w:highlight w:val="none"/>
        </w:rPr>
      </w:pPr>
    </w:p>
    <w:p w14:paraId="6E3A50B6">
      <w:pPr>
        <w:snapToGrid w:val="0"/>
        <w:spacing w:before="120" w:beforeLines="50" w:after="50"/>
        <w:rPr>
          <w:rFonts w:hint="eastAsia" w:ascii="宋体" w:hAnsi="宋体" w:eastAsia="宋体" w:cs="宋体"/>
          <w:bCs/>
          <w:color w:val="auto"/>
          <w:sz w:val="24"/>
          <w:szCs w:val="20"/>
          <w:highlight w:val="none"/>
        </w:rPr>
      </w:pPr>
    </w:p>
    <w:p w14:paraId="64BAE70D">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14462EC7">
      <w:pPr>
        <w:snapToGrid w:val="0"/>
        <w:spacing w:before="120" w:beforeLines="50" w:after="50"/>
        <w:ind w:firstLine="720" w:firstLineChars="225"/>
        <w:rPr>
          <w:rFonts w:hint="eastAsia" w:ascii="宋体" w:hAnsi="宋体" w:eastAsia="宋体" w:cs="宋体"/>
          <w:bCs/>
          <w:color w:val="auto"/>
          <w:sz w:val="32"/>
          <w:szCs w:val="32"/>
          <w:highlight w:val="none"/>
        </w:rPr>
      </w:pPr>
    </w:p>
    <w:p w14:paraId="54B79F52">
      <w:pPr>
        <w:snapToGrid w:val="0"/>
        <w:spacing w:before="120" w:beforeLines="50" w:after="50"/>
        <w:ind w:firstLine="720" w:firstLineChars="225"/>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p>
    <w:p w14:paraId="2EB2360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5E45810">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82BCBD">
      <w:pPr>
        <w:snapToGrid w:val="0"/>
        <w:spacing w:before="120" w:beforeLines="50" w:after="50"/>
        <w:ind w:firstLine="720" w:firstLineChars="225"/>
        <w:rPr>
          <w:rFonts w:hint="eastAsia" w:ascii="宋体" w:hAnsi="宋体" w:eastAsia="宋体" w:cs="宋体"/>
          <w:bCs/>
          <w:color w:val="auto"/>
          <w:sz w:val="32"/>
          <w:szCs w:val="32"/>
          <w:highlight w:val="none"/>
        </w:rPr>
      </w:pPr>
    </w:p>
    <w:p w14:paraId="71DDBF59">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B239A63">
      <w:pPr>
        <w:pStyle w:val="8"/>
        <w:snapToGrid w:val="0"/>
        <w:spacing w:before="50" w:after="50"/>
        <w:ind w:firstLine="720" w:firstLineChars="225"/>
        <w:rPr>
          <w:rFonts w:hint="eastAsia" w:ascii="宋体" w:hAnsi="宋体" w:eastAsia="宋体" w:cs="宋体"/>
          <w:bCs/>
          <w:color w:val="auto"/>
          <w:sz w:val="32"/>
          <w:szCs w:val="32"/>
          <w:highlight w:val="none"/>
        </w:rPr>
      </w:pPr>
    </w:p>
    <w:p w14:paraId="34857FF9">
      <w:pPr>
        <w:pStyle w:val="8"/>
        <w:snapToGrid w:val="0"/>
        <w:spacing w:before="50" w:after="50"/>
        <w:ind w:firstLine="720" w:firstLineChars="225"/>
        <w:rPr>
          <w:rFonts w:hint="eastAsia" w:ascii="宋体" w:hAnsi="宋体" w:eastAsia="宋体" w:cs="宋体"/>
          <w:bCs/>
          <w:color w:val="auto"/>
          <w:sz w:val="32"/>
          <w:szCs w:val="32"/>
          <w:highlight w:val="none"/>
        </w:rPr>
      </w:pPr>
    </w:p>
    <w:p w14:paraId="1B78F033">
      <w:pPr>
        <w:pStyle w:val="8"/>
        <w:snapToGrid w:val="0"/>
        <w:spacing w:before="50" w:after="50"/>
        <w:ind w:firstLine="720" w:firstLineChars="225"/>
        <w:rPr>
          <w:rFonts w:hint="eastAsia" w:ascii="宋体" w:hAnsi="宋体" w:eastAsia="宋体" w:cs="宋体"/>
          <w:bCs/>
          <w:color w:val="auto"/>
          <w:sz w:val="32"/>
          <w:szCs w:val="32"/>
          <w:highlight w:val="none"/>
        </w:rPr>
      </w:pPr>
    </w:p>
    <w:p w14:paraId="0F2D7CD9">
      <w:pPr>
        <w:pStyle w:val="8"/>
        <w:snapToGrid w:val="0"/>
        <w:spacing w:before="50" w:after="50"/>
        <w:ind w:firstLine="1280" w:firstLineChars="400"/>
        <w:rPr>
          <w:rFonts w:hint="eastAsia" w:ascii="宋体" w:hAnsi="宋体" w:eastAsia="宋体" w:cs="宋体"/>
          <w:bCs/>
          <w:color w:val="auto"/>
          <w:sz w:val="32"/>
          <w:szCs w:val="32"/>
          <w:highlight w:val="none"/>
        </w:rPr>
      </w:pPr>
    </w:p>
    <w:p w14:paraId="19451950">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8DC4587">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749F169F">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5D70E0BB">
      <w:pPr>
        <w:snapToGrid w:val="0"/>
        <w:spacing w:line="360" w:lineRule="auto"/>
        <w:rPr>
          <w:rFonts w:hint="eastAsia" w:ascii="宋体" w:hAnsi="宋体" w:eastAsia="宋体" w:cs="宋体"/>
          <w:color w:val="auto"/>
          <w:kern w:val="0"/>
          <w:sz w:val="24"/>
          <w:highlight w:val="none"/>
        </w:rPr>
      </w:pPr>
    </w:p>
    <w:p w14:paraId="51D91C4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11434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508956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766DAD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14:paraId="344B2FA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14:paraId="2101866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4CAE4A1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14:paraId="574B2F1C">
      <w:pPr>
        <w:spacing w:line="360" w:lineRule="auto"/>
        <w:rPr>
          <w:rFonts w:hint="eastAsia" w:ascii="宋体" w:hAnsi="宋体" w:eastAsia="宋体" w:cs="宋体"/>
          <w:b/>
          <w:bCs/>
          <w:color w:val="auto"/>
          <w:sz w:val="24"/>
          <w:highlight w:val="none"/>
        </w:rPr>
      </w:pPr>
    </w:p>
    <w:p w14:paraId="2FA83FFE">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7A922C93">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2A3FD14F">
      <w:pPr>
        <w:spacing w:line="300" w:lineRule="auto"/>
        <w:rPr>
          <w:rFonts w:hint="eastAsia" w:ascii="宋体" w:hAnsi="宋体" w:eastAsia="宋体" w:cs="宋体"/>
          <w:color w:val="auto"/>
          <w:szCs w:val="21"/>
          <w:highlight w:val="none"/>
        </w:rPr>
      </w:pPr>
    </w:p>
    <w:p w14:paraId="776D83D4">
      <w:pPr>
        <w:spacing w:line="300" w:lineRule="auto"/>
        <w:rPr>
          <w:rFonts w:hint="eastAsia" w:ascii="宋体" w:hAnsi="宋体" w:eastAsia="宋体" w:cs="宋体"/>
          <w:color w:val="auto"/>
          <w:szCs w:val="21"/>
          <w:highlight w:val="none"/>
        </w:rPr>
      </w:pPr>
    </w:p>
    <w:p w14:paraId="094D2079">
      <w:pPr>
        <w:spacing w:line="300" w:lineRule="auto"/>
        <w:rPr>
          <w:rFonts w:hint="eastAsia" w:ascii="宋体" w:hAnsi="宋体" w:eastAsia="宋体" w:cs="宋体"/>
          <w:color w:val="auto"/>
          <w:szCs w:val="21"/>
          <w:highlight w:val="none"/>
        </w:rPr>
      </w:pPr>
    </w:p>
    <w:p w14:paraId="6F58F37F">
      <w:pPr>
        <w:spacing w:line="300" w:lineRule="auto"/>
        <w:rPr>
          <w:rFonts w:hint="eastAsia" w:ascii="宋体" w:hAnsi="宋体" w:eastAsia="宋体" w:cs="宋体"/>
          <w:color w:val="auto"/>
          <w:szCs w:val="21"/>
          <w:highlight w:val="none"/>
        </w:rPr>
      </w:pPr>
    </w:p>
    <w:p w14:paraId="6B4E1857">
      <w:pPr>
        <w:spacing w:line="300" w:lineRule="auto"/>
        <w:rPr>
          <w:rFonts w:hint="eastAsia" w:ascii="宋体" w:hAnsi="宋体" w:eastAsia="宋体" w:cs="宋体"/>
          <w:color w:val="auto"/>
          <w:szCs w:val="21"/>
          <w:highlight w:val="none"/>
        </w:rPr>
      </w:pPr>
    </w:p>
    <w:p w14:paraId="2CF1124A">
      <w:pPr>
        <w:spacing w:line="300" w:lineRule="auto"/>
        <w:rPr>
          <w:rFonts w:hint="eastAsia" w:ascii="宋体" w:hAnsi="宋体" w:eastAsia="宋体" w:cs="宋体"/>
          <w:color w:val="auto"/>
          <w:szCs w:val="21"/>
          <w:highlight w:val="none"/>
        </w:rPr>
      </w:pPr>
    </w:p>
    <w:p w14:paraId="6BB113CF">
      <w:pPr>
        <w:spacing w:line="300" w:lineRule="auto"/>
        <w:rPr>
          <w:rFonts w:hint="eastAsia" w:ascii="宋体" w:hAnsi="宋体" w:eastAsia="宋体" w:cs="宋体"/>
          <w:color w:val="auto"/>
          <w:szCs w:val="21"/>
          <w:highlight w:val="none"/>
        </w:rPr>
      </w:pPr>
    </w:p>
    <w:p w14:paraId="3C21B5E0">
      <w:pPr>
        <w:spacing w:line="300" w:lineRule="auto"/>
        <w:rPr>
          <w:rFonts w:hint="eastAsia" w:ascii="宋体" w:hAnsi="宋体" w:eastAsia="宋体" w:cs="宋体"/>
          <w:color w:val="auto"/>
          <w:szCs w:val="21"/>
          <w:highlight w:val="none"/>
        </w:rPr>
      </w:pPr>
    </w:p>
    <w:p w14:paraId="07EC1BA5">
      <w:pPr>
        <w:spacing w:line="300" w:lineRule="auto"/>
        <w:rPr>
          <w:rFonts w:hint="eastAsia" w:ascii="宋体" w:hAnsi="宋体" w:eastAsia="宋体" w:cs="宋体"/>
          <w:color w:val="auto"/>
          <w:szCs w:val="21"/>
          <w:highlight w:val="none"/>
        </w:rPr>
      </w:pPr>
    </w:p>
    <w:p w14:paraId="7951FCB7">
      <w:pPr>
        <w:pStyle w:val="15"/>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172EF549">
      <w:pPr>
        <w:pStyle w:val="15"/>
        <w:spacing w:line="360" w:lineRule="auto"/>
        <w:ind w:firstLine="602" w:firstLineChars="200"/>
        <w:rPr>
          <w:rFonts w:hint="eastAsia" w:ascii="宋体" w:hAnsi="宋体" w:eastAsia="宋体" w:cs="宋体"/>
          <w:b/>
          <w:color w:val="auto"/>
          <w:sz w:val="30"/>
          <w:szCs w:val="30"/>
          <w:highlight w:val="none"/>
        </w:rPr>
      </w:pPr>
    </w:p>
    <w:p w14:paraId="3831595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FB71C4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5943B13">
      <w:pPr>
        <w:snapToGrid w:val="0"/>
        <w:spacing w:before="120" w:beforeLines="50" w:after="50"/>
        <w:rPr>
          <w:rFonts w:hint="eastAsia" w:ascii="宋体" w:hAnsi="宋体" w:eastAsia="宋体" w:cs="宋体"/>
          <w:color w:val="auto"/>
          <w:sz w:val="24"/>
          <w:szCs w:val="20"/>
          <w:highlight w:val="none"/>
        </w:rPr>
      </w:pPr>
    </w:p>
    <w:p w14:paraId="3ABBC01B">
      <w:pPr>
        <w:pStyle w:val="15"/>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14:paraId="662A7436">
      <w:pPr>
        <w:spacing w:line="300" w:lineRule="auto"/>
        <w:rPr>
          <w:rFonts w:hint="eastAsia" w:ascii="宋体" w:hAnsi="宋体" w:eastAsia="宋体" w:cs="宋体"/>
          <w:color w:val="auto"/>
          <w:szCs w:val="21"/>
          <w:highlight w:val="none"/>
        </w:rPr>
      </w:pPr>
    </w:p>
    <w:p w14:paraId="13BBBFC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76C0E99">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1900F78">
      <w:pPr>
        <w:spacing w:line="300" w:lineRule="auto"/>
        <w:rPr>
          <w:rFonts w:hint="eastAsia" w:ascii="宋体" w:hAnsi="宋体" w:eastAsia="宋体" w:cs="宋体"/>
          <w:color w:val="auto"/>
          <w:szCs w:val="21"/>
          <w:highlight w:val="none"/>
        </w:rPr>
      </w:pPr>
    </w:p>
    <w:p w14:paraId="37AA9BC4">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14:paraId="7DD41BBB">
      <w:pPr>
        <w:spacing w:line="300" w:lineRule="auto"/>
        <w:rPr>
          <w:rFonts w:hint="eastAsia" w:ascii="宋体" w:hAnsi="宋体" w:eastAsia="宋体" w:cs="宋体"/>
          <w:color w:val="auto"/>
          <w:szCs w:val="21"/>
          <w:highlight w:val="none"/>
        </w:rPr>
      </w:pPr>
    </w:p>
    <w:p w14:paraId="6007BC0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6D9E2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A97474E">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8E80237">
      <w:pPr>
        <w:snapToGrid w:val="0"/>
        <w:spacing w:before="120" w:beforeLines="50" w:after="50" w:line="360" w:lineRule="auto"/>
        <w:jc w:val="center"/>
        <w:rPr>
          <w:rFonts w:hint="eastAsia" w:ascii="宋体" w:hAnsi="宋体" w:eastAsia="宋体" w:cs="宋体"/>
          <w:b/>
          <w:color w:val="auto"/>
          <w:sz w:val="24"/>
          <w:highlight w:val="none"/>
        </w:rPr>
      </w:pPr>
    </w:p>
    <w:p w14:paraId="14F7CD9A">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14:paraId="37F8F3DB">
      <w:pPr>
        <w:spacing w:line="360" w:lineRule="auto"/>
        <w:contextualSpacing/>
        <w:jc w:val="center"/>
        <w:rPr>
          <w:rFonts w:hint="eastAsia" w:ascii="宋体" w:hAnsi="宋体" w:eastAsia="宋体" w:cs="宋体"/>
          <w:b/>
          <w:color w:val="auto"/>
          <w:sz w:val="24"/>
          <w:highlight w:val="none"/>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8697E2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EAA07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B28A7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EA9C1D">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A49A7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AF9F4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373C20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ED559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42A9C6">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C98B15">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67B72">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7A3438">
            <w:pPr>
              <w:widowControl/>
              <w:spacing w:line="360" w:lineRule="auto"/>
              <w:contextualSpacing/>
              <w:jc w:val="center"/>
              <w:rPr>
                <w:rFonts w:hint="eastAsia" w:ascii="宋体" w:hAnsi="宋体" w:eastAsia="宋体" w:cs="宋体"/>
                <w:color w:val="auto"/>
                <w:kern w:val="0"/>
                <w:sz w:val="24"/>
                <w:highlight w:val="none"/>
              </w:rPr>
            </w:pPr>
          </w:p>
        </w:tc>
      </w:tr>
      <w:tr w14:paraId="747559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F9402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8B212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290EB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661534">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5D0A96">
            <w:pPr>
              <w:widowControl/>
              <w:spacing w:line="360" w:lineRule="auto"/>
              <w:contextualSpacing/>
              <w:jc w:val="center"/>
              <w:rPr>
                <w:rFonts w:hint="eastAsia" w:ascii="宋体" w:hAnsi="宋体" w:eastAsia="宋体" w:cs="宋体"/>
                <w:color w:val="auto"/>
                <w:kern w:val="0"/>
                <w:sz w:val="24"/>
                <w:highlight w:val="none"/>
              </w:rPr>
            </w:pPr>
          </w:p>
        </w:tc>
      </w:tr>
      <w:tr w14:paraId="7F94533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A71537">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97371A">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224A3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199450">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7ABB87">
            <w:pPr>
              <w:widowControl/>
              <w:spacing w:line="360" w:lineRule="auto"/>
              <w:contextualSpacing/>
              <w:jc w:val="center"/>
              <w:rPr>
                <w:rFonts w:hint="eastAsia" w:ascii="宋体" w:hAnsi="宋体" w:eastAsia="宋体" w:cs="宋体"/>
                <w:color w:val="auto"/>
                <w:kern w:val="0"/>
                <w:sz w:val="24"/>
                <w:highlight w:val="none"/>
              </w:rPr>
            </w:pPr>
          </w:p>
        </w:tc>
      </w:tr>
      <w:tr w14:paraId="7511A03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316FD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A181A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A3DB19">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A71A24">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FBC239">
            <w:pPr>
              <w:widowControl/>
              <w:spacing w:line="360" w:lineRule="auto"/>
              <w:contextualSpacing/>
              <w:jc w:val="center"/>
              <w:rPr>
                <w:rFonts w:hint="eastAsia" w:ascii="宋体" w:hAnsi="宋体" w:eastAsia="宋体" w:cs="宋体"/>
                <w:color w:val="auto"/>
                <w:kern w:val="0"/>
                <w:sz w:val="24"/>
                <w:highlight w:val="none"/>
              </w:rPr>
            </w:pPr>
          </w:p>
        </w:tc>
      </w:tr>
    </w:tbl>
    <w:p w14:paraId="143CAB47">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0023EDF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46B70A">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48987886">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06DCD9C0">
      <w:pPr>
        <w:snapToGrid w:val="0"/>
        <w:spacing w:line="360" w:lineRule="auto"/>
        <w:jc w:val="left"/>
        <w:rPr>
          <w:rFonts w:hint="eastAsia" w:ascii="宋体" w:hAnsi="宋体" w:eastAsia="宋体" w:cs="宋体"/>
          <w:color w:val="auto"/>
          <w:sz w:val="24"/>
          <w:highlight w:val="none"/>
        </w:rPr>
      </w:pPr>
    </w:p>
    <w:p w14:paraId="7DA105CC">
      <w:pPr>
        <w:snapToGrid w:val="0"/>
        <w:spacing w:line="360" w:lineRule="auto"/>
        <w:jc w:val="left"/>
        <w:rPr>
          <w:rFonts w:hint="eastAsia" w:ascii="宋体" w:hAnsi="宋体" w:eastAsia="宋体" w:cs="宋体"/>
          <w:color w:val="auto"/>
          <w:sz w:val="24"/>
          <w:highlight w:val="none"/>
        </w:rPr>
      </w:pPr>
    </w:p>
    <w:p w14:paraId="19A7544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58433CB">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93DB0C6">
      <w:pPr>
        <w:snapToGrid w:val="0"/>
        <w:rPr>
          <w:rFonts w:hint="eastAsia" w:ascii="宋体" w:hAnsi="宋体" w:eastAsia="宋体" w:cs="宋体"/>
          <w:b/>
          <w:color w:val="auto"/>
          <w:kern w:val="0"/>
          <w:sz w:val="30"/>
          <w:szCs w:val="30"/>
          <w:highlight w:val="none"/>
        </w:rPr>
      </w:pPr>
    </w:p>
    <w:p w14:paraId="6C295F86">
      <w:pPr>
        <w:snapToGrid w:val="0"/>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14:paraId="34C377EA">
      <w:pPr>
        <w:snapToGrid w:val="0"/>
        <w:spacing w:line="360" w:lineRule="auto"/>
        <w:jc w:val="center"/>
        <w:rPr>
          <w:rFonts w:hint="eastAsia" w:ascii="宋体" w:hAnsi="宋体" w:eastAsia="宋体" w:cs="宋体"/>
          <w:b/>
          <w:color w:val="auto"/>
          <w:sz w:val="24"/>
          <w:highlight w:val="none"/>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A29E14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EB9F7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901A0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A525D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0FC67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CEBF32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0C7BF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F00DE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CD98B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4F048E">
            <w:pPr>
              <w:widowControl/>
              <w:spacing w:line="360" w:lineRule="auto"/>
              <w:contextualSpacing/>
              <w:jc w:val="center"/>
              <w:rPr>
                <w:rFonts w:hint="eastAsia" w:ascii="宋体" w:hAnsi="宋体" w:eastAsia="宋体" w:cs="宋体"/>
                <w:color w:val="auto"/>
                <w:kern w:val="0"/>
                <w:sz w:val="24"/>
                <w:highlight w:val="none"/>
              </w:rPr>
            </w:pPr>
          </w:p>
        </w:tc>
      </w:tr>
      <w:tr w14:paraId="15C9D9C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6C25A8">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795DD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1D66E5">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AB34E7">
            <w:pPr>
              <w:widowControl/>
              <w:spacing w:line="360" w:lineRule="auto"/>
              <w:contextualSpacing/>
              <w:jc w:val="center"/>
              <w:rPr>
                <w:rFonts w:hint="eastAsia" w:ascii="宋体" w:hAnsi="宋体" w:eastAsia="宋体" w:cs="宋体"/>
                <w:color w:val="auto"/>
                <w:kern w:val="0"/>
                <w:sz w:val="24"/>
                <w:highlight w:val="none"/>
              </w:rPr>
            </w:pPr>
          </w:p>
        </w:tc>
      </w:tr>
      <w:tr w14:paraId="782C02E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2F7FA6">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9E9063">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B9AA45">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1C56E5">
            <w:pPr>
              <w:widowControl/>
              <w:spacing w:line="360" w:lineRule="auto"/>
              <w:contextualSpacing/>
              <w:jc w:val="center"/>
              <w:rPr>
                <w:rFonts w:hint="eastAsia" w:ascii="宋体" w:hAnsi="宋体" w:eastAsia="宋体" w:cs="宋体"/>
                <w:color w:val="auto"/>
                <w:kern w:val="0"/>
                <w:sz w:val="24"/>
                <w:highlight w:val="none"/>
              </w:rPr>
            </w:pPr>
          </w:p>
        </w:tc>
      </w:tr>
      <w:tr w14:paraId="7478A72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5DC80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78F8FB">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42EA1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E9CACA">
            <w:pPr>
              <w:widowControl/>
              <w:spacing w:line="360" w:lineRule="auto"/>
              <w:contextualSpacing/>
              <w:jc w:val="center"/>
              <w:rPr>
                <w:rFonts w:hint="eastAsia" w:ascii="宋体" w:hAnsi="宋体" w:eastAsia="宋体" w:cs="宋体"/>
                <w:color w:val="auto"/>
                <w:kern w:val="0"/>
                <w:sz w:val="24"/>
                <w:highlight w:val="none"/>
              </w:rPr>
            </w:pPr>
          </w:p>
        </w:tc>
      </w:tr>
    </w:tbl>
    <w:p w14:paraId="0009745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3EB2CC4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0B0E604">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62AD105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5AF3365A">
      <w:pPr>
        <w:spacing w:line="360" w:lineRule="auto"/>
        <w:contextualSpacing/>
        <w:jc w:val="left"/>
        <w:rPr>
          <w:rFonts w:hint="eastAsia" w:ascii="宋体" w:hAnsi="宋体" w:eastAsia="宋体" w:cs="宋体"/>
          <w:color w:val="auto"/>
          <w:sz w:val="24"/>
          <w:highlight w:val="none"/>
        </w:rPr>
      </w:pPr>
    </w:p>
    <w:p w14:paraId="2AF6370C">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5E59645">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5B021DC">
      <w:pPr>
        <w:spacing w:line="360" w:lineRule="auto"/>
        <w:ind w:right="480"/>
        <w:contextualSpacing/>
        <w:jc w:val="both"/>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6E69B843">
      <w:pPr>
        <w:spacing w:line="320" w:lineRule="exact"/>
        <w:jc w:val="center"/>
        <w:rPr>
          <w:rFonts w:hint="eastAsia" w:ascii="宋体" w:hAnsi="宋体" w:eastAsia="宋体" w:cs="宋体"/>
          <w:b/>
          <w:color w:val="auto"/>
          <w:sz w:val="32"/>
          <w:szCs w:val="32"/>
          <w:highlight w:val="none"/>
        </w:rPr>
      </w:pPr>
    </w:p>
    <w:p w14:paraId="24AE0BCD">
      <w:pPr>
        <w:spacing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201F2199">
      <w:pPr>
        <w:spacing w:line="320" w:lineRule="exact"/>
        <w:jc w:val="center"/>
        <w:rPr>
          <w:rFonts w:hint="eastAsia" w:ascii="宋体" w:hAnsi="宋体" w:eastAsia="宋体" w:cs="宋体"/>
          <w:color w:val="auto"/>
          <w:sz w:val="24"/>
          <w:szCs w:val="20"/>
          <w:highlight w:val="none"/>
        </w:rPr>
      </w:pPr>
    </w:p>
    <w:p w14:paraId="25BCC7D3">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[采购组织机构]</w:t>
      </w:r>
      <w:r>
        <w:rPr>
          <w:rFonts w:hint="eastAsia" w:ascii="宋体" w:hAnsi="宋体" w:eastAsia="宋体" w:cs="宋体"/>
          <w:color w:val="auto"/>
          <w:sz w:val="24"/>
          <w:highlight w:val="none"/>
        </w:rPr>
        <w:t>：</w:t>
      </w:r>
    </w:p>
    <w:p w14:paraId="5DDB30D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92EAB6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（项目名称）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57D901F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7B6E902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5EA7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745C21B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1E51245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1E11041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78B5DA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7415E06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6E4A02E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76F212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D475E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D6ED6E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DEC3F47">
      <w:pPr>
        <w:pStyle w:val="15"/>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5C279FBD">
      <w:pPr>
        <w:pStyle w:val="15"/>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25E2212">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43474DBF">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677BF8F8">
      <w:pPr>
        <w:pStyle w:val="13"/>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E99EEE8">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6A91F666">
      <w:pPr>
        <w:pStyle w:val="13"/>
        <w:tabs>
          <w:tab w:val="left" w:pos="939"/>
        </w:tabs>
        <w:spacing w:line="360" w:lineRule="auto"/>
        <w:ind w:left="0" w:leftChars="0" w:firstLine="480" w:firstLineChars="200"/>
        <w:rPr>
          <w:rFonts w:hint="eastAsia" w:ascii="宋体" w:hAnsi="宋体" w:eastAsia="宋体" w:cs="宋体"/>
          <w:color w:val="auto"/>
          <w:sz w:val="24"/>
          <w:highlight w:val="none"/>
        </w:rPr>
      </w:pPr>
    </w:p>
    <w:p w14:paraId="72CD103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E593382">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02C2A55E">
      <w:pPr>
        <w:autoSpaceDE w:val="0"/>
        <w:autoSpaceDN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kern w:val="0"/>
          <w:sz w:val="30"/>
          <w:szCs w:val="30"/>
          <w:highlight w:val="none"/>
        </w:rPr>
        <w:t>七、</w:t>
      </w:r>
      <w:r>
        <w:rPr>
          <w:rFonts w:hint="eastAsia" w:ascii="宋体" w:hAnsi="宋体" w:eastAsia="宋体" w:cs="宋体"/>
          <w:b/>
          <w:color w:val="auto"/>
          <w:sz w:val="30"/>
          <w:szCs w:val="30"/>
          <w:highlight w:val="none"/>
        </w:rPr>
        <w:t>符合特定资格条件（如果项目要求）的有关证明材料（复印件）</w:t>
      </w:r>
    </w:p>
    <w:p w14:paraId="5129CC41">
      <w:pPr>
        <w:snapToGrid w:val="0"/>
        <w:spacing w:line="360" w:lineRule="auto"/>
        <w:ind w:firstLine="602" w:firstLineChars="200"/>
        <w:rPr>
          <w:rFonts w:hint="eastAsia" w:ascii="宋体" w:hAnsi="宋体" w:eastAsia="宋体" w:cs="宋体"/>
          <w:b/>
          <w:color w:val="auto"/>
          <w:sz w:val="30"/>
          <w:szCs w:val="30"/>
          <w:highlight w:val="none"/>
        </w:rPr>
      </w:pPr>
    </w:p>
    <w:p w14:paraId="5CFC634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B102284">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65DBEBDD">
      <w:pPr>
        <w:pStyle w:val="3"/>
        <w:jc w:val="center"/>
        <w:rPr>
          <w:rFonts w:hint="eastAsia" w:ascii="宋体" w:hAnsi="宋体" w:eastAsia="宋体" w:cs="宋体"/>
          <w:b w:val="0"/>
          <w:color w:val="auto"/>
          <w:highlight w:val="none"/>
        </w:rPr>
      </w:pPr>
      <w:bookmarkStart w:id="83" w:name="_Toc80886944"/>
      <w:bookmarkStart w:id="84"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83"/>
      <w:bookmarkEnd w:id="84"/>
    </w:p>
    <w:p w14:paraId="5964850F">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5AB2A720">
      <w:pPr>
        <w:snapToGrid w:val="0"/>
        <w:spacing w:before="120" w:beforeLines="50" w:after="50"/>
        <w:rPr>
          <w:rFonts w:hint="eastAsia" w:ascii="宋体" w:hAnsi="宋体" w:eastAsia="宋体" w:cs="宋体"/>
          <w:color w:val="auto"/>
          <w:sz w:val="24"/>
          <w:szCs w:val="20"/>
          <w:highlight w:val="none"/>
        </w:rPr>
      </w:pPr>
    </w:p>
    <w:p w14:paraId="6D8DF944">
      <w:pPr>
        <w:snapToGrid w:val="0"/>
        <w:spacing w:before="120" w:beforeLines="50" w:after="50"/>
        <w:rPr>
          <w:rFonts w:hint="eastAsia" w:ascii="宋体" w:hAnsi="宋体" w:eastAsia="宋体" w:cs="宋体"/>
          <w:color w:val="auto"/>
          <w:sz w:val="24"/>
          <w:szCs w:val="20"/>
          <w:highlight w:val="none"/>
        </w:rPr>
      </w:pPr>
    </w:p>
    <w:p w14:paraId="5EEFA356">
      <w:pPr>
        <w:snapToGrid w:val="0"/>
        <w:spacing w:before="120" w:beforeLines="50" w:after="50"/>
        <w:rPr>
          <w:rFonts w:hint="eastAsia" w:ascii="宋体" w:hAnsi="宋体" w:eastAsia="宋体" w:cs="宋体"/>
          <w:color w:val="auto"/>
          <w:sz w:val="24"/>
          <w:szCs w:val="20"/>
          <w:highlight w:val="none"/>
        </w:rPr>
      </w:pPr>
    </w:p>
    <w:p w14:paraId="63CA92A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534FF171">
      <w:pPr>
        <w:snapToGrid w:val="0"/>
        <w:spacing w:before="120" w:beforeLines="50" w:after="50"/>
        <w:rPr>
          <w:rFonts w:hint="eastAsia" w:ascii="宋体" w:hAnsi="宋体" w:eastAsia="宋体" w:cs="宋体"/>
          <w:bCs/>
          <w:color w:val="auto"/>
          <w:sz w:val="24"/>
          <w:szCs w:val="20"/>
          <w:highlight w:val="none"/>
        </w:rPr>
      </w:pPr>
    </w:p>
    <w:p w14:paraId="6AFCC87F">
      <w:pPr>
        <w:snapToGrid w:val="0"/>
        <w:spacing w:before="120" w:beforeLines="50" w:after="50"/>
        <w:rPr>
          <w:rFonts w:hint="eastAsia" w:ascii="宋体" w:hAnsi="宋体" w:eastAsia="宋体" w:cs="宋体"/>
          <w:bCs/>
          <w:color w:val="auto"/>
          <w:sz w:val="24"/>
          <w:szCs w:val="20"/>
          <w:highlight w:val="none"/>
        </w:rPr>
      </w:pPr>
    </w:p>
    <w:p w14:paraId="4C83C323">
      <w:pPr>
        <w:snapToGrid w:val="0"/>
        <w:spacing w:before="120" w:beforeLines="50" w:after="50"/>
        <w:rPr>
          <w:rFonts w:hint="eastAsia" w:ascii="宋体" w:hAnsi="宋体" w:eastAsia="宋体" w:cs="宋体"/>
          <w:bCs/>
          <w:color w:val="auto"/>
          <w:sz w:val="24"/>
          <w:szCs w:val="20"/>
          <w:highlight w:val="none"/>
        </w:rPr>
      </w:pPr>
    </w:p>
    <w:p w14:paraId="7CA9AB0A">
      <w:pPr>
        <w:snapToGrid w:val="0"/>
        <w:spacing w:before="120" w:beforeLines="50" w:after="50"/>
        <w:rPr>
          <w:rFonts w:hint="eastAsia" w:ascii="宋体" w:hAnsi="宋体" w:eastAsia="宋体" w:cs="宋体"/>
          <w:bCs/>
          <w:color w:val="auto"/>
          <w:sz w:val="24"/>
          <w:szCs w:val="20"/>
          <w:highlight w:val="none"/>
        </w:rPr>
      </w:pPr>
    </w:p>
    <w:p w14:paraId="206CBE15">
      <w:pPr>
        <w:snapToGrid w:val="0"/>
        <w:spacing w:before="120" w:beforeLines="50" w:after="50"/>
        <w:rPr>
          <w:rFonts w:hint="eastAsia" w:ascii="宋体" w:hAnsi="宋体" w:eastAsia="宋体" w:cs="宋体"/>
          <w:bCs/>
          <w:color w:val="auto"/>
          <w:sz w:val="24"/>
          <w:szCs w:val="20"/>
          <w:highlight w:val="none"/>
        </w:rPr>
      </w:pPr>
    </w:p>
    <w:p w14:paraId="202562C1">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2B8C685A">
      <w:pPr>
        <w:snapToGrid w:val="0"/>
        <w:spacing w:before="120" w:beforeLines="50" w:after="50"/>
        <w:ind w:firstLine="720" w:firstLineChars="225"/>
        <w:rPr>
          <w:rFonts w:hint="eastAsia" w:ascii="宋体" w:hAnsi="宋体" w:eastAsia="宋体" w:cs="宋体"/>
          <w:bCs/>
          <w:color w:val="auto"/>
          <w:sz w:val="32"/>
          <w:szCs w:val="32"/>
          <w:highlight w:val="none"/>
        </w:rPr>
      </w:pPr>
    </w:p>
    <w:p w14:paraId="67B3D02F">
      <w:pPr>
        <w:snapToGrid w:val="0"/>
        <w:spacing w:before="120" w:beforeLines="50" w:after="50"/>
        <w:ind w:firstLine="640" w:firstLineChars="200"/>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p>
    <w:p w14:paraId="6A19DE1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416BBF0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68E9EFF">
      <w:pPr>
        <w:snapToGrid w:val="0"/>
        <w:spacing w:before="120" w:beforeLines="50" w:after="50"/>
        <w:ind w:firstLine="720" w:firstLineChars="225"/>
        <w:rPr>
          <w:rFonts w:hint="eastAsia" w:ascii="宋体" w:hAnsi="宋体" w:eastAsia="宋体" w:cs="宋体"/>
          <w:bCs/>
          <w:color w:val="auto"/>
          <w:sz w:val="32"/>
          <w:szCs w:val="32"/>
          <w:highlight w:val="none"/>
        </w:rPr>
      </w:pPr>
    </w:p>
    <w:p w14:paraId="205E5ED3">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4C51FAD">
      <w:pPr>
        <w:pStyle w:val="8"/>
        <w:snapToGrid w:val="0"/>
        <w:spacing w:before="50" w:after="50"/>
        <w:ind w:firstLine="720" w:firstLineChars="225"/>
        <w:rPr>
          <w:rFonts w:hint="eastAsia" w:ascii="宋体" w:hAnsi="宋体" w:eastAsia="宋体" w:cs="宋体"/>
          <w:bCs/>
          <w:color w:val="auto"/>
          <w:sz w:val="32"/>
          <w:szCs w:val="32"/>
          <w:highlight w:val="none"/>
        </w:rPr>
      </w:pPr>
    </w:p>
    <w:p w14:paraId="3736E86C">
      <w:pPr>
        <w:pStyle w:val="8"/>
        <w:snapToGrid w:val="0"/>
        <w:spacing w:before="50" w:after="50"/>
        <w:ind w:firstLine="720" w:firstLineChars="225"/>
        <w:rPr>
          <w:rFonts w:hint="eastAsia" w:ascii="宋体" w:hAnsi="宋体" w:eastAsia="宋体" w:cs="宋体"/>
          <w:bCs/>
          <w:color w:val="auto"/>
          <w:sz w:val="32"/>
          <w:szCs w:val="32"/>
          <w:highlight w:val="none"/>
        </w:rPr>
      </w:pPr>
    </w:p>
    <w:p w14:paraId="2DE764A2">
      <w:pPr>
        <w:pStyle w:val="8"/>
        <w:snapToGrid w:val="0"/>
        <w:spacing w:before="50" w:after="50"/>
        <w:ind w:firstLine="1280" w:firstLineChars="400"/>
        <w:rPr>
          <w:rFonts w:hint="eastAsia" w:ascii="宋体" w:hAnsi="宋体" w:eastAsia="宋体" w:cs="宋体"/>
          <w:bCs/>
          <w:color w:val="auto"/>
          <w:sz w:val="32"/>
          <w:szCs w:val="32"/>
          <w:highlight w:val="none"/>
        </w:rPr>
      </w:pPr>
    </w:p>
    <w:p w14:paraId="3CCD4EF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3C29BC1">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2E1493B9">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50F39ACC">
      <w:pPr>
        <w:jc w:val="center"/>
        <w:rPr>
          <w:rFonts w:hint="eastAsia" w:ascii="宋体" w:hAnsi="宋体" w:eastAsia="宋体" w:cs="宋体"/>
          <w:b/>
          <w:color w:val="auto"/>
          <w:kern w:val="0"/>
          <w:sz w:val="28"/>
          <w:szCs w:val="28"/>
          <w:highlight w:val="none"/>
        </w:rPr>
      </w:pPr>
    </w:p>
    <w:p w14:paraId="6EBEFD2B">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5BD44A37">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D30A75F">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0A6DEAE2">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1C3F3A5">
      <w:pPr>
        <w:pStyle w:val="27"/>
        <w:spacing w:line="360" w:lineRule="auto"/>
        <w:rPr>
          <w:rFonts w:hint="eastAsia" w:ascii="宋体" w:hAnsi="宋体" w:eastAsia="宋体" w:cs="宋体"/>
          <w:color w:val="auto"/>
          <w:highlight w:val="none"/>
        </w:rPr>
      </w:pPr>
      <w:bookmarkStart w:id="85" w:name="OLE_LINK7"/>
      <w:bookmarkStart w:id="86" w:name="OLE_LINK6"/>
      <w:bookmarkStart w:id="87"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574FC1E1">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5"/>
      <w:bookmarkEnd w:id="86"/>
    </w:p>
    <w:bookmarkEnd w:id="87"/>
    <w:p w14:paraId="32E52887">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27FAD0F7">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服务方案……………………………………………………………（页码）</w:t>
      </w:r>
    </w:p>
    <w:p w14:paraId="2FFB5861">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w:t>
      </w:r>
      <w:r>
        <w:rPr>
          <w:rFonts w:hint="eastAsia" w:ascii="宋体" w:hAnsi="宋体" w:eastAsia="宋体" w:cs="宋体"/>
          <w:color w:val="auto"/>
          <w:highlight w:val="none"/>
          <w:lang w:eastAsia="zh-CN"/>
        </w:rPr>
        <w:t>承诺</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49A68994">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1CA4340">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w:t>
      </w:r>
      <w:r>
        <w:rPr>
          <w:rFonts w:hint="eastAsia" w:ascii="宋体" w:hAnsi="宋体" w:eastAsia="宋体" w:cs="宋体"/>
          <w:color w:val="auto"/>
          <w:highlight w:val="none"/>
          <w:lang w:val="en-US" w:eastAsia="zh-CN"/>
        </w:rPr>
        <w:t>商务技术</w:t>
      </w:r>
      <w:r>
        <w:rPr>
          <w:rFonts w:hint="eastAsia" w:ascii="宋体" w:hAnsi="宋体" w:eastAsia="宋体" w:cs="宋体"/>
          <w:color w:val="auto"/>
          <w:highlight w:val="none"/>
        </w:rPr>
        <w:t>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081E517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76C8FCA">
      <w:pPr>
        <w:spacing w:line="400" w:lineRule="exact"/>
        <w:rPr>
          <w:rFonts w:hint="eastAsia" w:ascii="宋体" w:hAnsi="宋体" w:eastAsia="宋体" w:cs="宋体"/>
          <w:color w:val="auto"/>
          <w:sz w:val="32"/>
          <w:szCs w:val="32"/>
          <w:highlight w:val="none"/>
        </w:rPr>
      </w:pPr>
    </w:p>
    <w:p w14:paraId="20743B4A">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12C88269">
      <w:pPr>
        <w:spacing w:line="520" w:lineRule="exact"/>
        <w:jc w:val="center"/>
        <w:rPr>
          <w:rFonts w:hint="eastAsia" w:ascii="宋体" w:hAnsi="宋体" w:eastAsia="宋体" w:cs="宋体"/>
          <w:color w:val="auto"/>
          <w:sz w:val="44"/>
          <w:szCs w:val="44"/>
          <w:highlight w:val="none"/>
        </w:rPr>
      </w:pPr>
    </w:p>
    <w:p w14:paraId="2A225C3B">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701785E6">
      <w:pPr>
        <w:spacing w:line="520" w:lineRule="exact"/>
        <w:ind w:firstLine="640" w:firstLineChars="200"/>
        <w:rPr>
          <w:rFonts w:hint="eastAsia" w:ascii="宋体" w:hAnsi="宋体" w:eastAsia="宋体" w:cs="宋体"/>
          <w:color w:val="auto"/>
          <w:sz w:val="32"/>
          <w:szCs w:val="32"/>
          <w:highlight w:val="none"/>
        </w:rPr>
      </w:pPr>
    </w:p>
    <w:p w14:paraId="0726DFD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27CE11A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7762FC8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062BBC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7E86085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7F45D77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51DC16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66ED2E03">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66F7185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3EC9EF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4CBC51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463F299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7B08D8F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8CF27C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2BE35E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D60B802">
      <w:pPr>
        <w:spacing w:line="360" w:lineRule="auto"/>
        <w:ind w:firstLine="480" w:firstLineChars="200"/>
        <w:contextualSpacing/>
        <w:rPr>
          <w:rFonts w:hint="eastAsia" w:ascii="宋体" w:hAnsi="宋体" w:eastAsia="宋体" w:cs="宋体"/>
          <w:color w:val="auto"/>
          <w:sz w:val="24"/>
          <w:highlight w:val="none"/>
        </w:rPr>
      </w:pPr>
    </w:p>
    <w:p w14:paraId="7C03525C">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C9A38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004E1DA">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E8C813A">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02451432">
      <w:pPr>
        <w:spacing w:line="360" w:lineRule="auto"/>
        <w:ind w:left="540"/>
        <w:contextualSpacing/>
        <w:rPr>
          <w:rFonts w:hint="eastAsia" w:ascii="宋体" w:hAnsi="宋体" w:eastAsia="宋体" w:cs="宋体"/>
          <w:color w:val="auto"/>
          <w:sz w:val="32"/>
          <w:szCs w:val="32"/>
          <w:highlight w:val="none"/>
        </w:rPr>
      </w:pPr>
    </w:p>
    <w:p w14:paraId="6EB7C2E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506B711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55E5A9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488EE04">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65DA04D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A84471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7B714B9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FFF0D4B">
      <w:pPr>
        <w:spacing w:line="360" w:lineRule="auto"/>
        <w:ind w:left="540"/>
        <w:contextualSpacing/>
        <w:rPr>
          <w:rFonts w:hint="eastAsia" w:ascii="宋体" w:hAnsi="宋体" w:eastAsia="宋体" w:cs="宋体"/>
          <w:color w:val="auto"/>
          <w:sz w:val="24"/>
          <w:highlight w:val="none"/>
        </w:rPr>
      </w:pPr>
    </w:p>
    <w:p w14:paraId="636BCC60">
      <w:pPr>
        <w:spacing w:line="360" w:lineRule="auto"/>
        <w:ind w:left="540"/>
        <w:contextualSpacing/>
        <w:rPr>
          <w:rFonts w:hint="eastAsia" w:ascii="宋体" w:hAnsi="宋体" w:eastAsia="宋体" w:cs="宋体"/>
          <w:color w:val="auto"/>
          <w:sz w:val="24"/>
          <w:highlight w:val="none"/>
        </w:rPr>
      </w:pPr>
    </w:p>
    <w:p w14:paraId="1BE3A808">
      <w:pPr>
        <w:spacing w:line="360" w:lineRule="auto"/>
        <w:ind w:left="540"/>
        <w:contextualSpacing/>
        <w:rPr>
          <w:rFonts w:hint="eastAsia" w:ascii="宋体" w:hAnsi="宋体" w:eastAsia="宋体" w:cs="宋体"/>
          <w:color w:val="auto"/>
          <w:sz w:val="24"/>
          <w:highlight w:val="none"/>
        </w:rPr>
      </w:pPr>
    </w:p>
    <w:p w14:paraId="66E0005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3E14B833">
      <w:pPr>
        <w:spacing w:line="360" w:lineRule="auto"/>
        <w:ind w:left="540"/>
        <w:contextualSpacing/>
        <w:rPr>
          <w:rFonts w:hint="eastAsia" w:ascii="宋体" w:hAnsi="宋体" w:eastAsia="宋体" w:cs="宋体"/>
          <w:color w:val="auto"/>
          <w:sz w:val="24"/>
          <w:highlight w:val="none"/>
        </w:rPr>
      </w:pPr>
    </w:p>
    <w:p w14:paraId="4D1A84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5FAEBC0">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6CD9533">
      <w:pPr>
        <w:spacing w:line="360" w:lineRule="auto"/>
        <w:contextualSpacing/>
        <w:jc w:val="left"/>
        <w:rPr>
          <w:rFonts w:hint="eastAsia" w:ascii="宋体" w:hAnsi="宋体" w:eastAsia="宋体" w:cs="宋体"/>
          <w:color w:val="auto"/>
          <w:sz w:val="24"/>
          <w:highlight w:val="none"/>
        </w:rPr>
      </w:pPr>
    </w:p>
    <w:p w14:paraId="7A14777D">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508E5F3A">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1"/>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0CF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vAlign w:val="top"/>
          </w:tcPr>
          <w:p w14:paraId="7B1C8A0D">
            <w:pPr>
              <w:spacing w:line="360" w:lineRule="auto"/>
              <w:rPr>
                <w:rFonts w:hint="eastAsia" w:ascii="宋体" w:hAnsi="宋体" w:eastAsia="宋体" w:cs="宋体"/>
                <w:b/>
                <w:color w:val="auto"/>
                <w:sz w:val="24"/>
                <w:highlight w:val="none"/>
              </w:rPr>
            </w:pPr>
          </w:p>
          <w:p w14:paraId="24D1600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0C225A1B">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66AEAF4">
      <w:pPr>
        <w:adjustRightInd w:val="0"/>
        <w:snapToGrid w:val="0"/>
        <w:spacing w:line="300" w:lineRule="auto"/>
        <w:jc w:val="left"/>
        <w:rPr>
          <w:rFonts w:hint="eastAsia" w:ascii="宋体" w:hAnsi="宋体" w:eastAsia="宋体" w:cs="宋体"/>
          <w:b/>
          <w:color w:val="auto"/>
          <w:szCs w:val="21"/>
          <w:highlight w:val="none"/>
        </w:rPr>
      </w:pPr>
    </w:p>
    <w:p w14:paraId="6164EF68">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3523CE9D">
      <w:pPr>
        <w:spacing w:line="500" w:lineRule="exact"/>
        <w:jc w:val="center"/>
        <w:rPr>
          <w:rFonts w:hint="eastAsia" w:ascii="宋体" w:hAnsi="宋体" w:eastAsia="宋体" w:cs="宋体"/>
          <w:color w:val="auto"/>
          <w:sz w:val="44"/>
          <w:szCs w:val="44"/>
          <w:highlight w:val="none"/>
        </w:rPr>
      </w:pPr>
    </w:p>
    <w:p w14:paraId="59278225">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04FDBDF4">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0A844C42">
      <w:pPr>
        <w:spacing w:line="520" w:lineRule="exact"/>
        <w:rPr>
          <w:rFonts w:hint="eastAsia" w:ascii="宋体" w:hAnsi="宋体" w:eastAsia="宋体" w:cs="宋体"/>
          <w:color w:val="auto"/>
          <w:sz w:val="32"/>
          <w:szCs w:val="32"/>
          <w:highlight w:val="none"/>
        </w:rPr>
      </w:pPr>
    </w:p>
    <w:p w14:paraId="4BBDC7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u w:val="single"/>
        </w:rPr>
        <w:t>[采购组织机构]</w:t>
      </w:r>
      <w:r>
        <w:rPr>
          <w:rFonts w:hint="eastAsia" w:ascii="宋体" w:hAnsi="宋体" w:eastAsia="宋体" w:cs="宋体"/>
          <w:color w:val="auto"/>
          <w:sz w:val="24"/>
          <w:highlight w:val="none"/>
        </w:rPr>
        <w:t>：</w:t>
      </w:r>
    </w:p>
    <w:p w14:paraId="6CED10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项目</w:t>
      </w:r>
      <w:r>
        <w:rPr>
          <w:rFonts w:hint="eastAsia" w:ascii="宋体" w:hAnsi="宋体" w:cs="宋体"/>
          <w:color w:val="auto"/>
          <w:sz w:val="24"/>
          <w:highlight w:val="none"/>
          <w:u w:val="single"/>
          <w:lang w:eastAsia="zh-CN"/>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49CEF1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51B10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2A499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C1402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0EB510AF">
      <w:pPr>
        <w:spacing w:line="360" w:lineRule="auto"/>
        <w:rPr>
          <w:rFonts w:hint="eastAsia" w:ascii="宋体" w:hAnsi="宋体" w:eastAsia="宋体" w:cs="宋体"/>
          <w:color w:val="auto"/>
          <w:sz w:val="24"/>
          <w:highlight w:val="none"/>
        </w:rPr>
      </w:pPr>
    </w:p>
    <w:p w14:paraId="6A079DF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244AC50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356594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1A3A1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2E589D6C">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06BA284A">
      <w:pPr>
        <w:spacing w:line="360" w:lineRule="auto"/>
        <w:rPr>
          <w:rFonts w:hint="eastAsia" w:ascii="宋体" w:hAnsi="宋体" w:eastAsia="宋体" w:cs="宋体"/>
          <w:color w:val="auto"/>
          <w:sz w:val="24"/>
          <w:highlight w:val="none"/>
        </w:rPr>
      </w:pPr>
    </w:p>
    <w:p w14:paraId="434761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11249A5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3B471F7">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2D4ACF6">
      <w:pPr>
        <w:spacing w:line="360" w:lineRule="auto"/>
        <w:jc w:val="left"/>
        <w:rPr>
          <w:rFonts w:hint="eastAsia" w:ascii="宋体" w:hAnsi="宋体" w:eastAsia="宋体" w:cs="宋体"/>
          <w:color w:val="auto"/>
          <w:sz w:val="24"/>
          <w:highlight w:val="none"/>
        </w:rPr>
      </w:pPr>
    </w:p>
    <w:p w14:paraId="66BE8844">
      <w:pPr>
        <w:tabs>
          <w:tab w:val="left" w:pos="4410"/>
        </w:tabs>
        <w:spacing w:line="520" w:lineRule="exact"/>
        <w:jc w:val="left"/>
        <w:rPr>
          <w:rFonts w:hint="eastAsia" w:ascii="宋体" w:hAnsi="宋体" w:eastAsia="宋体" w:cs="宋体"/>
          <w:b/>
          <w:color w:val="auto"/>
          <w:sz w:val="30"/>
          <w:szCs w:val="30"/>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14:paraId="0AB595DC">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11CDDCAD">
      <w:pPr>
        <w:spacing w:line="520" w:lineRule="exact"/>
        <w:rPr>
          <w:rFonts w:hint="eastAsia" w:ascii="宋体" w:hAnsi="宋体" w:eastAsia="宋体" w:cs="宋体"/>
          <w:color w:val="auto"/>
          <w:sz w:val="32"/>
          <w:szCs w:val="32"/>
          <w:highlight w:val="none"/>
        </w:rPr>
      </w:pPr>
    </w:p>
    <w:p w14:paraId="11B70353">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single"/>
        </w:rPr>
        <w:t xml:space="preserve">  </w:t>
      </w:r>
      <w:bookmarkStart w:id="88" w:name="PO_3000001868_PM001_8"/>
      <w:r>
        <w:rPr>
          <w:rFonts w:hint="eastAsia" w:ascii="宋体" w:hAnsi="宋体" w:cs="宋体"/>
          <w:color w:val="auto"/>
          <w:sz w:val="24"/>
          <w:highlight w:val="none"/>
          <w:u w:val="single"/>
        </w:rPr>
        <w:t>[项目编号]</w:t>
      </w:r>
      <w:bookmarkEnd w:id="88"/>
      <w:r>
        <w:rPr>
          <w:rFonts w:hint="eastAsia" w:ascii="宋体" w:hAnsi="宋体" w:eastAsia="宋体" w:cs="宋体"/>
          <w:color w:val="auto"/>
          <w:sz w:val="24"/>
          <w:highlight w:val="none"/>
          <w:u w:val="single"/>
        </w:rPr>
        <w:t xml:space="preserve">  </w:t>
      </w:r>
    </w:p>
    <w:p w14:paraId="573E1FE1">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single"/>
        </w:rPr>
        <w:t xml:space="preserve"> </w:t>
      </w:r>
      <w:bookmarkStart w:id="89" w:name="PO_3000001868_PM002_8"/>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bookmarkEnd w:id="89"/>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1D9B47F1">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0E9D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1337A17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C24BAF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3CCB3362">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4B53158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981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14:paraId="0934BC6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vAlign w:val="top"/>
          </w:tcPr>
          <w:p w14:paraId="087AF0A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2C0838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F72D7A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3F4AF1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vAlign w:val="top"/>
          </w:tcPr>
          <w:p w14:paraId="6B821F6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29B73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986E55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DB87AB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vAlign w:val="top"/>
          </w:tcPr>
          <w:p w14:paraId="62B5E7F0">
            <w:pPr>
              <w:spacing w:line="300" w:lineRule="exact"/>
              <w:rPr>
                <w:rFonts w:hint="eastAsia" w:ascii="宋体" w:hAnsi="宋体" w:eastAsia="宋体" w:cs="宋体"/>
                <w:color w:val="auto"/>
                <w:szCs w:val="21"/>
                <w:highlight w:val="none"/>
              </w:rPr>
            </w:pPr>
          </w:p>
        </w:tc>
      </w:tr>
      <w:tr w14:paraId="14FD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vAlign w:val="top"/>
          </w:tcPr>
          <w:p w14:paraId="5AFD12C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vAlign w:val="top"/>
          </w:tcPr>
          <w:p w14:paraId="5DA9C6A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F5C495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670364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1AC77A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vAlign w:val="top"/>
          </w:tcPr>
          <w:p w14:paraId="49AAE11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01CBE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AAFC5D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439BFA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vAlign w:val="top"/>
          </w:tcPr>
          <w:p w14:paraId="5849BC6D">
            <w:pPr>
              <w:spacing w:line="300" w:lineRule="exact"/>
              <w:rPr>
                <w:rFonts w:hint="eastAsia" w:ascii="宋体" w:hAnsi="宋体" w:eastAsia="宋体" w:cs="宋体"/>
                <w:color w:val="auto"/>
                <w:szCs w:val="21"/>
                <w:highlight w:val="none"/>
              </w:rPr>
            </w:pPr>
          </w:p>
        </w:tc>
      </w:tr>
      <w:tr w14:paraId="5B03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vAlign w:val="top"/>
          </w:tcPr>
          <w:p w14:paraId="3608EF0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vAlign w:val="top"/>
          </w:tcPr>
          <w:p w14:paraId="6FF828A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033E32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0F1DD7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64700F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vAlign w:val="top"/>
          </w:tcPr>
          <w:p w14:paraId="61F5068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376626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CD9CCF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8DAF7B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vAlign w:val="top"/>
          </w:tcPr>
          <w:p w14:paraId="25F89475">
            <w:pPr>
              <w:spacing w:line="300" w:lineRule="exact"/>
              <w:rPr>
                <w:rFonts w:hint="eastAsia" w:ascii="宋体" w:hAnsi="宋体" w:eastAsia="宋体" w:cs="宋体"/>
                <w:color w:val="auto"/>
                <w:szCs w:val="21"/>
                <w:highlight w:val="none"/>
              </w:rPr>
            </w:pPr>
          </w:p>
        </w:tc>
      </w:tr>
    </w:tbl>
    <w:p w14:paraId="66FEE278">
      <w:pPr>
        <w:pStyle w:val="12"/>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88777E">
      <w:pPr>
        <w:pStyle w:val="12"/>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55904D73">
      <w:pPr>
        <w:pStyle w:val="12"/>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9B8C0D8">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66FE8F35">
      <w:pPr>
        <w:pStyle w:val="15"/>
        <w:spacing w:line="400" w:lineRule="exact"/>
        <w:contextualSpacing/>
        <w:rPr>
          <w:rFonts w:hint="eastAsia" w:ascii="宋体" w:hAnsi="宋体" w:eastAsia="宋体" w:cs="宋体"/>
          <w:color w:val="auto"/>
          <w:sz w:val="24"/>
          <w:szCs w:val="24"/>
          <w:highlight w:val="none"/>
          <w:lang w:eastAsia="zh-CN"/>
        </w:rPr>
      </w:pPr>
    </w:p>
    <w:p w14:paraId="0787D5C6">
      <w:pPr>
        <w:pStyle w:val="15"/>
        <w:spacing w:line="400" w:lineRule="exact"/>
        <w:contextualSpacing/>
        <w:rPr>
          <w:rFonts w:hint="eastAsia" w:ascii="宋体" w:hAnsi="宋体" w:eastAsia="宋体" w:cs="宋体"/>
          <w:color w:val="auto"/>
          <w:sz w:val="24"/>
          <w:szCs w:val="24"/>
          <w:highlight w:val="none"/>
          <w:lang w:eastAsia="zh-CN"/>
        </w:rPr>
      </w:pPr>
    </w:p>
    <w:p w14:paraId="72CC6FB9">
      <w:pPr>
        <w:pStyle w:val="15"/>
        <w:spacing w:line="400" w:lineRule="exact"/>
        <w:contextualSpacing/>
        <w:rPr>
          <w:rFonts w:hint="eastAsia" w:ascii="宋体" w:hAnsi="宋体" w:eastAsia="宋体" w:cs="宋体"/>
          <w:color w:val="auto"/>
          <w:sz w:val="24"/>
          <w:szCs w:val="24"/>
          <w:highlight w:val="none"/>
          <w:lang w:eastAsia="zh-CN"/>
        </w:rPr>
      </w:pPr>
    </w:p>
    <w:p w14:paraId="35312742">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14CCBFDE">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1D21F43">
      <w:pPr>
        <w:snapToGrid w:val="0"/>
        <w:spacing w:line="360" w:lineRule="auto"/>
        <w:ind w:firstLine="602" w:firstLineChars="200"/>
        <w:rPr>
          <w:rFonts w:hint="eastAsia" w:ascii="宋体" w:hAnsi="宋体" w:eastAsia="宋体" w:cs="宋体"/>
          <w:b/>
          <w:color w:val="auto"/>
          <w:sz w:val="30"/>
          <w:szCs w:val="30"/>
          <w:highlight w:val="none"/>
        </w:rPr>
      </w:pPr>
    </w:p>
    <w:p w14:paraId="5F6A41AC">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48050649">
      <w:pPr>
        <w:snapToGrid w:val="0"/>
        <w:spacing w:line="360" w:lineRule="auto"/>
        <w:ind w:firstLine="602" w:firstLineChars="200"/>
        <w:rPr>
          <w:rFonts w:hint="eastAsia" w:ascii="宋体" w:hAnsi="宋体" w:eastAsia="宋体" w:cs="宋体"/>
          <w:b/>
          <w:color w:val="auto"/>
          <w:sz w:val="30"/>
          <w:szCs w:val="30"/>
          <w:highlight w:val="none"/>
        </w:rPr>
      </w:pPr>
    </w:p>
    <w:p w14:paraId="3A188ED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D23CED2">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FBEF1CE">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538204F6">
      <w:pPr>
        <w:pStyle w:val="19"/>
        <w:snapToGrid w:val="0"/>
        <w:ind w:left="480" w:hanging="480"/>
        <w:rPr>
          <w:rFonts w:hint="eastAsia" w:ascii="宋体" w:hAnsi="宋体" w:eastAsia="宋体" w:cs="宋体"/>
          <w:color w:val="auto"/>
          <w:sz w:val="24"/>
          <w:highlight w:val="none"/>
        </w:rPr>
      </w:pPr>
    </w:p>
    <w:tbl>
      <w:tblPr>
        <w:tblStyle w:val="21"/>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65192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232DACC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FBF24C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43C62F5">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605E25F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555045C1">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1D8D6AF2">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32E3D306">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6CAE4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767624AB">
            <w:pPr>
              <w:jc w:val="left"/>
              <w:rPr>
                <w:rFonts w:hint="eastAsia" w:ascii="宋体" w:hAnsi="宋体" w:eastAsia="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6A05D18">
            <w:pPr>
              <w:jc w:val="left"/>
              <w:rPr>
                <w:rFonts w:hint="eastAsia" w:ascii="宋体" w:hAnsi="宋体" w:eastAsia="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9FAB03">
            <w:pPr>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8E02ACE">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40D7125A">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617BD6A9">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0F3454B">
            <w:pPr>
              <w:jc w:val="left"/>
              <w:rPr>
                <w:rFonts w:hint="eastAsia" w:ascii="宋体" w:hAnsi="宋体" w:eastAsia="宋体" w:cs="宋体"/>
                <w:color w:val="auto"/>
                <w:sz w:val="24"/>
                <w:highlight w:val="none"/>
              </w:rPr>
            </w:pPr>
          </w:p>
        </w:tc>
      </w:tr>
      <w:tr w14:paraId="2DAD8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vAlign w:val="top"/>
          </w:tcPr>
          <w:p w14:paraId="5DFB2A65">
            <w:pPr>
              <w:snapToGrid w:val="0"/>
              <w:spacing w:line="240" w:lineRule="exact"/>
              <w:jc w:val="left"/>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top"/>
          </w:tcPr>
          <w:p w14:paraId="33FFD751">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7E5ADEAF">
            <w:pPr>
              <w:snapToGrid w:val="0"/>
              <w:spacing w:line="24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59B35F06">
            <w:pPr>
              <w:snapToGrid w:val="0"/>
              <w:spacing w:line="24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156BCCC7">
            <w:pPr>
              <w:snapToGrid w:val="0"/>
              <w:spacing w:line="24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17E7ACE3">
            <w:pPr>
              <w:snapToGrid w:val="0"/>
              <w:spacing w:line="24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1AB81DF3">
            <w:pPr>
              <w:snapToGrid w:val="0"/>
              <w:spacing w:line="240" w:lineRule="exact"/>
              <w:jc w:val="left"/>
              <w:rPr>
                <w:rFonts w:hint="eastAsia" w:ascii="宋体" w:hAnsi="宋体" w:eastAsia="宋体" w:cs="宋体"/>
                <w:color w:val="auto"/>
                <w:sz w:val="24"/>
                <w:highlight w:val="none"/>
              </w:rPr>
            </w:pPr>
          </w:p>
        </w:tc>
      </w:tr>
      <w:tr w14:paraId="6F98F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14:paraId="582F8592">
            <w:pPr>
              <w:snapToGrid w:val="0"/>
              <w:spacing w:before="50" w:after="120" w:afterLines="50" w:line="400" w:lineRule="exact"/>
              <w:jc w:val="left"/>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top"/>
          </w:tcPr>
          <w:p w14:paraId="221318C9">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1C7AF1FD">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3B2C3C18">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657BECE3">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239681BB">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419F0EEF">
            <w:pPr>
              <w:snapToGrid w:val="0"/>
              <w:spacing w:before="50" w:after="120" w:afterLines="50" w:line="400" w:lineRule="exact"/>
              <w:jc w:val="left"/>
              <w:rPr>
                <w:rFonts w:hint="eastAsia" w:ascii="宋体" w:hAnsi="宋体" w:eastAsia="宋体" w:cs="宋体"/>
                <w:color w:val="auto"/>
                <w:sz w:val="24"/>
                <w:highlight w:val="none"/>
              </w:rPr>
            </w:pPr>
          </w:p>
        </w:tc>
      </w:tr>
      <w:tr w14:paraId="3DF62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top"/>
          </w:tcPr>
          <w:p w14:paraId="696D14F4">
            <w:pPr>
              <w:snapToGrid w:val="0"/>
              <w:spacing w:before="50" w:after="120" w:afterLines="50" w:line="400" w:lineRule="exact"/>
              <w:jc w:val="left"/>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top"/>
          </w:tcPr>
          <w:p w14:paraId="5E3D7E4D">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264F46A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00A4241">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2CAD999B">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1E384E72">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40DCBE56">
            <w:pPr>
              <w:snapToGrid w:val="0"/>
              <w:spacing w:before="50" w:after="120" w:afterLines="50" w:line="400" w:lineRule="exact"/>
              <w:jc w:val="left"/>
              <w:rPr>
                <w:rFonts w:hint="eastAsia" w:ascii="宋体" w:hAnsi="宋体" w:eastAsia="宋体" w:cs="宋体"/>
                <w:color w:val="auto"/>
                <w:sz w:val="24"/>
                <w:highlight w:val="none"/>
              </w:rPr>
            </w:pPr>
          </w:p>
        </w:tc>
      </w:tr>
      <w:tr w14:paraId="28DF7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14:paraId="17CB8AC0">
            <w:pPr>
              <w:snapToGrid w:val="0"/>
              <w:spacing w:before="50" w:after="120" w:afterLines="50" w:line="400" w:lineRule="exact"/>
              <w:jc w:val="left"/>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top"/>
          </w:tcPr>
          <w:p w14:paraId="74323912">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0DC90CC8">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6AED32EC">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5EB4A137">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5A6E3A2B">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2EDB4000">
            <w:pPr>
              <w:snapToGrid w:val="0"/>
              <w:spacing w:before="50" w:after="120" w:afterLines="50" w:line="400" w:lineRule="exact"/>
              <w:jc w:val="left"/>
              <w:rPr>
                <w:rFonts w:hint="eastAsia" w:ascii="宋体" w:hAnsi="宋体" w:eastAsia="宋体" w:cs="宋体"/>
                <w:color w:val="auto"/>
                <w:sz w:val="24"/>
                <w:highlight w:val="none"/>
              </w:rPr>
            </w:pPr>
          </w:p>
        </w:tc>
      </w:tr>
      <w:tr w14:paraId="4D088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14:paraId="5AB0B15D">
            <w:pPr>
              <w:snapToGrid w:val="0"/>
              <w:spacing w:before="50" w:after="120" w:afterLines="50" w:line="400" w:lineRule="exact"/>
              <w:jc w:val="left"/>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top"/>
          </w:tcPr>
          <w:p w14:paraId="7172B31E">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14C6B9DC">
            <w:pPr>
              <w:snapToGrid w:val="0"/>
              <w:spacing w:before="50" w:after="120" w:afterLines="50" w:line="400" w:lineRule="exact"/>
              <w:jc w:val="left"/>
              <w:rPr>
                <w:rFonts w:hint="eastAsia" w:ascii="宋体" w:hAnsi="宋体" w:eastAsia="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top"/>
          </w:tcPr>
          <w:p w14:paraId="212469B4">
            <w:pPr>
              <w:snapToGrid w:val="0"/>
              <w:spacing w:before="50" w:after="120" w:afterLines="50" w:line="400" w:lineRule="exact"/>
              <w:jc w:val="left"/>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top"/>
          </w:tcPr>
          <w:p w14:paraId="45F63EDA">
            <w:pPr>
              <w:snapToGrid w:val="0"/>
              <w:spacing w:before="50" w:after="120" w:afterLines="50" w:line="400" w:lineRule="exact"/>
              <w:jc w:val="left"/>
              <w:rPr>
                <w:rFonts w:hint="eastAsia" w:ascii="宋体" w:hAnsi="宋体" w:eastAsia="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2F21AF2B">
            <w:pPr>
              <w:snapToGrid w:val="0"/>
              <w:spacing w:before="50" w:after="120" w:afterLines="50" w:line="400" w:lineRule="exact"/>
              <w:jc w:val="left"/>
              <w:rPr>
                <w:rFonts w:hint="eastAsia" w:ascii="宋体" w:hAnsi="宋体" w:eastAsia="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438133BF">
            <w:pPr>
              <w:snapToGrid w:val="0"/>
              <w:spacing w:before="50" w:after="120" w:afterLines="50" w:line="400" w:lineRule="exact"/>
              <w:jc w:val="left"/>
              <w:rPr>
                <w:rFonts w:hint="eastAsia" w:ascii="宋体" w:hAnsi="宋体" w:eastAsia="宋体" w:cs="宋体"/>
                <w:color w:val="auto"/>
                <w:sz w:val="24"/>
                <w:highlight w:val="none"/>
              </w:rPr>
            </w:pPr>
          </w:p>
        </w:tc>
      </w:tr>
    </w:tbl>
    <w:p w14:paraId="576EBE8D">
      <w:pPr>
        <w:pStyle w:val="19"/>
        <w:snapToGrid w:val="0"/>
        <w:ind w:left="480" w:hanging="480"/>
        <w:rPr>
          <w:rFonts w:hint="eastAsia" w:ascii="宋体" w:hAnsi="宋体" w:eastAsia="宋体" w:cs="宋体"/>
          <w:color w:val="auto"/>
          <w:sz w:val="24"/>
          <w:highlight w:val="none"/>
        </w:rPr>
      </w:pPr>
    </w:p>
    <w:p w14:paraId="21A97F8C">
      <w:pPr>
        <w:pStyle w:val="19"/>
        <w:snapToGrid w:val="0"/>
        <w:ind w:left="480" w:hanging="480"/>
        <w:rPr>
          <w:rFonts w:hint="eastAsia" w:ascii="宋体" w:hAnsi="宋体" w:eastAsia="宋体" w:cs="宋体"/>
          <w:color w:val="auto"/>
          <w:sz w:val="24"/>
          <w:highlight w:val="none"/>
        </w:rPr>
      </w:pPr>
    </w:p>
    <w:p w14:paraId="6B303A76">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相关项目业绩一览表（供应商同类项目合同复印件）</w:t>
      </w:r>
    </w:p>
    <w:p w14:paraId="12963504">
      <w:pPr>
        <w:pStyle w:val="15"/>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可按上述的格式自行编制，须随表提交相应的合同复印件并注明所在供应商商务技术文件页码。</w:t>
      </w:r>
    </w:p>
    <w:p w14:paraId="2D3B4795">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C40F4B5">
      <w:pPr>
        <w:snapToGrid w:val="0"/>
        <w:spacing w:line="360" w:lineRule="auto"/>
        <w:ind w:firstLine="4935" w:firstLineChars="2350"/>
        <w:rPr>
          <w:rFonts w:hint="eastAsia" w:ascii="宋体" w:hAnsi="宋体" w:eastAsia="宋体" w:cs="宋体"/>
          <w:color w:val="auto"/>
          <w:szCs w:val="21"/>
          <w:highlight w:val="none"/>
        </w:rPr>
      </w:pPr>
    </w:p>
    <w:p w14:paraId="0A3C45C8">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61D43847">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C7077EE">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357896D6">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竞标产品服务需求偏离表</w:t>
      </w:r>
    </w:p>
    <w:p w14:paraId="1BD54224">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68EC6FC0">
      <w:pPr>
        <w:spacing w:line="360" w:lineRule="auto"/>
        <w:contextualSpacing/>
        <w:jc w:val="left"/>
        <w:rPr>
          <w:rFonts w:hint="eastAsia" w:ascii="宋体" w:hAnsi="宋体" w:eastAsia="宋体" w:cs="宋体"/>
          <w:color w:val="auto"/>
          <w:sz w:val="24"/>
          <w:highlight w:val="none"/>
        </w:rPr>
      </w:pPr>
    </w:p>
    <w:p w14:paraId="30B826F3">
      <w:pPr>
        <w:pStyle w:val="15"/>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所竞分标：</w:t>
      </w:r>
      <w:r>
        <w:rPr>
          <w:rFonts w:hint="eastAsia" w:ascii="宋体" w:hAnsi="宋体" w:eastAsia="宋体" w:cs="宋体"/>
          <w:color w:val="auto"/>
          <w:sz w:val="24"/>
          <w:szCs w:val="24"/>
          <w:highlight w:val="none"/>
          <w:u w:val="single"/>
        </w:rPr>
        <w:t xml:space="preserve">              </w:t>
      </w:r>
    </w:p>
    <w:tbl>
      <w:tblPr>
        <w:tblStyle w:val="21"/>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7B21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2E4B2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2E2D74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61AB6A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7A242B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64E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7122C5AC">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DF07D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73F402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4499D0C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FC5BEC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7AB519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2EA713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0347B20A">
            <w:pPr>
              <w:widowControl/>
              <w:jc w:val="left"/>
              <w:rPr>
                <w:rFonts w:hint="eastAsia" w:ascii="宋体" w:hAnsi="宋体" w:eastAsia="宋体" w:cs="宋体"/>
                <w:color w:val="auto"/>
                <w:szCs w:val="21"/>
                <w:highlight w:val="none"/>
              </w:rPr>
            </w:pPr>
          </w:p>
        </w:tc>
      </w:tr>
      <w:tr w14:paraId="73F4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A5ABC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09646F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1C6465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42B366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A392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21032B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249362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2CA27E5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045047D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4661FF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EEAE9D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269DE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56728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1357BA5D">
            <w:pPr>
              <w:rPr>
                <w:rFonts w:hint="eastAsia" w:ascii="宋体" w:hAnsi="宋体" w:eastAsia="宋体" w:cs="宋体"/>
                <w:color w:val="auto"/>
                <w:szCs w:val="21"/>
                <w:highlight w:val="none"/>
              </w:rPr>
            </w:pPr>
          </w:p>
        </w:tc>
      </w:tr>
      <w:tr w14:paraId="7DAF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69A8B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5D99F7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B615A9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1A2DA5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203DF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C7B19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7D6AF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2DB8794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482358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4CBF36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BE69A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361CBD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E6CD9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25B7886F">
            <w:pPr>
              <w:rPr>
                <w:rFonts w:hint="eastAsia" w:ascii="宋体" w:hAnsi="宋体" w:eastAsia="宋体" w:cs="宋体"/>
                <w:color w:val="auto"/>
                <w:szCs w:val="21"/>
                <w:highlight w:val="none"/>
              </w:rPr>
            </w:pPr>
          </w:p>
        </w:tc>
      </w:tr>
      <w:tr w14:paraId="6BC7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980998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14E91E5E">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5263AE63">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4F49B88F">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57E5E15D">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7860AB67">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434D8B6C">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1D031EC5">
            <w:pPr>
              <w:rPr>
                <w:rFonts w:hint="eastAsia" w:ascii="宋体" w:hAnsi="宋体" w:eastAsia="宋体" w:cs="宋体"/>
                <w:color w:val="auto"/>
                <w:szCs w:val="21"/>
                <w:highlight w:val="none"/>
              </w:rPr>
            </w:pPr>
          </w:p>
        </w:tc>
      </w:tr>
    </w:tbl>
    <w:p w14:paraId="2C0E07E5">
      <w:pPr>
        <w:pStyle w:val="10"/>
        <w:spacing w:after="0" w:line="360" w:lineRule="auto"/>
        <w:ind w:left="900" w:hanging="480"/>
        <w:contextualSpacing/>
        <w:rPr>
          <w:rFonts w:hint="eastAsia" w:ascii="宋体" w:hAnsi="宋体" w:eastAsia="宋体" w:cs="宋体"/>
          <w:color w:val="auto"/>
          <w:kern w:val="0"/>
          <w:sz w:val="24"/>
          <w:szCs w:val="24"/>
          <w:highlight w:val="none"/>
        </w:rPr>
      </w:pPr>
    </w:p>
    <w:p w14:paraId="32754BE8">
      <w:pPr>
        <w:pStyle w:val="10"/>
        <w:spacing w:after="0" w:line="360" w:lineRule="auto"/>
        <w:ind w:left="840" w:hanging="42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544FACD5">
      <w:pPr>
        <w:pStyle w:val="12"/>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的采购清单及技术参数条款逐条作出明确响应，并作出偏离说明。</w:t>
      </w:r>
    </w:p>
    <w:p w14:paraId="39C6B512">
      <w:pPr>
        <w:pStyle w:val="12"/>
        <w:spacing w:line="40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7E9AACDD">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3FA9E564">
      <w:pPr>
        <w:pStyle w:val="12"/>
        <w:spacing w:line="360" w:lineRule="auto"/>
        <w:ind w:firstLine="42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如技术偏离表中的竞标响应与佐证材料不一致的，以佐证材料为准。</w:t>
      </w:r>
    </w:p>
    <w:p w14:paraId="3D60EECC">
      <w:pPr>
        <w:snapToGrid w:val="0"/>
        <w:spacing w:line="360" w:lineRule="auto"/>
        <w:ind w:firstLine="602" w:firstLineChars="200"/>
        <w:rPr>
          <w:rFonts w:hint="eastAsia" w:ascii="宋体" w:hAnsi="宋体" w:eastAsia="宋体" w:cs="宋体"/>
          <w:b/>
          <w:color w:val="auto"/>
          <w:sz w:val="30"/>
          <w:szCs w:val="30"/>
          <w:highlight w:val="none"/>
        </w:rPr>
      </w:pPr>
    </w:p>
    <w:p w14:paraId="53DDB21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AEBFE2E">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7180C40">
      <w:pPr>
        <w:adjustRightInd w:val="0"/>
        <w:snapToGrid w:val="0"/>
        <w:spacing w:line="520" w:lineRule="exact"/>
        <w:jc w:val="center"/>
        <w:rPr>
          <w:rFonts w:hint="eastAsia" w:ascii="宋体" w:hAnsi="宋体" w:eastAsia="宋体" w:cs="宋体"/>
          <w:bCs/>
          <w:color w:val="auto"/>
          <w:sz w:val="44"/>
          <w:szCs w:val="44"/>
          <w:highlight w:val="none"/>
        </w:rPr>
      </w:pPr>
    </w:p>
    <w:p w14:paraId="24494DAE">
      <w:pPr>
        <w:adjustRightInd w:val="0"/>
        <w:snapToGrid w:val="0"/>
        <w:spacing w:line="520" w:lineRule="exact"/>
        <w:jc w:val="center"/>
        <w:rPr>
          <w:rFonts w:hint="eastAsia" w:ascii="宋体" w:hAnsi="宋体" w:eastAsia="宋体" w:cs="宋体"/>
          <w:bCs/>
          <w:color w:val="auto"/>
          <w:sz w:val="44"/>
          <w:szCs w:val="44"/>
          <w:highlight w:val="none"/>
        </w:rPr>
      </w:pPr>
    </w:p>
    <w:p w14:paraId="7490E14A">
      <w:pPr>
        <w:adjustRightInd w:val="0"/>
        <w:snapToGrid w:val="0"/>
        <w:spacing w:line="520" w:lineRule="exact"/>
        <w:jc w:val="center"/>
        <w:rPr>
          <w:rFonts w:hint="eastAsia" w:ascii="宋体" w:hAnsi="宋体" w:eastAsia="宋体" w:cs="宋体"/>
          <w:bCs/>
          <w:color w:val="auto"/>
          <w:sz w:val="44"/>
          <w:szCs w:val="44"/>
          <w:highlight w:val="none"/>
        </w:rPr>
      </w:pPr>
    </w:p>
    <w:p w14:paraId="3929A637">
      <w:pPr>
        <w:adjustRightInd w:val="0"/>
        <w:snapToGrid w:val="0"/>
        <w:spacing w:line="520" w:lineRule="exact"/>
        <w:jc w:val="center"/>
        <w:rPr>
          <w:rFonts w:hint="eastAsia" w:ascii="宋体" w:hAnsi="宋体" w:eastAsia="宋体" w:cs="宋体"/>
          <w:bCs/>
          <w:color w:val="auto"/>
          <w:sz w:val="44"/>
          <w:szCs w:val="44"/>
          <w:highlight w:val="none"/>
        </w:rPr>
      </w:pPr>
    </w:p>
    <w:p w14:paraId="431A0B0A">
      <w:pPr>
        <w:adjustRightInd w:val="0"/>
        <w:snapToGrid w:val="0"/>
        <w:spacing w:line="52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服务配置清单（如有）</w:t>
      </w:r>
    </w:p>
    <w:p w14:paraId="0F3EAB91">
      <w:pPr>
        <w:spacing w:line="300" w:lineRule="auto"/>
        <w:rPr>
          <w:rFonts w:hint="eastAsia" w:ascii="宋体" w:hAnsi="宋体" w:eastAsia="宋体" w:cs="宋体"/>
          <w:color w:val="auto"/>
          <w:szCs w:val="21"/>
          <w:highlight w:val="none"/>
        </w:rPr>
      </w:pPr>
    </w:p>
    <w:p w14:paraId="74E93E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所竞分标：</w:t>
      </w:r>
      <w:r>
        <w:rPr>
          <w:rFonts w:hint="eastAsia" w:ascii="宋体" w:hAnsi="宋体" w:eastAsia="宋体" w:cs="宋体"/>
          <w:color w:val="auto"/>
          <w:sz w:val="24"/>
          <w:highlight w:val="none"/>
          <w:u w:val="single"/>
        </w:rPr>
        <w:t xml:space="preserve">                 </w:t>
      </w:r>
    </w:p>
    <w:tbl>
      <w:tblPr>
        <w:tblStyle w:val="21"/>
        <w:tblW w:w="8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2BA9B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4F646F6">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10EF6F27">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803" w:type="dxa"/>
            <w:tcBorders>
              <w:top w:val="single" w:color="auto" w:sz="4" w:space="0"/>
              <w:left w:val="single" w:color="auto" w:sz="4" w:space="0"/>
              <w:bottom w:val="single" w:color="auto" w:sz="4" w:space="0"/>
              <w:right w:val="single" w:color="auto" w:sz="4" w:space="0"/>
            </w:tcBorders>
            <w:vAlign w:val="center"/>
          </w:tcPr>
          <w:p w14:paraId="59F86BD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895" w:type="dxa"/>
            <w:tcBorders>
              <w:top w:val="single" w:color="auto" w:sz="4" w:space="0"/>
              <w:left w:val="single" w:color="auto" w:sz="4" w:space="0"/>
              <w:bottom w:val="single" w:color="auto" w:sz="4" w:space="0"/>
              <w:right w:val="single" w:color="auto" w:sz="4" w:space="0"/>
            </w:tcBorders>
            <w:vAlign w:val="center"/>
          </w:tcPr>
          <w:p w14:paraId="54504DAB">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vAlign w:val="top"/>
          </w:tcPr>
          <w:p w14:paraId="2CC7525D">
            <w:pPr>
              <w:snapToGrid w:val="0"/>
              <w:spacing w:before="50" w:after="50"/>
              <w:jc w:val="center"/>
              <w:rPr>
                <w:rFonts w:hint="eastAsia" w:ascii="宋体" w:hAnsi="宋体" w:eastAsia="宋体" w:cs="宋体"/>
                <w:color w:val="auto"/>
                <w:sz w:val="24"/>
                <w:highlight w:val="none"/>
              </w:rPr>
            </w:pPr>
          </w:p>
          <w:p w14:paraId="4DE4E33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129EEBAA">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5A04197C">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1A966FF5">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参数性能、指标及配置</w:t>
            </w:r>
          </w:p>
        </w:tc>
      </w:tr>
      <w:tr w14:paraId="159D95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0516772">
            <w:pPr>
              <w:snapToGrid w:val="0"/>
              <w:spacing w:before="50" w:after="5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22C3CD8">
            <w:pPr>
              <w:snapToGrid w:val="0"/>
              <w:spacing w:before="50" w:after="50"/>
              <w:jc w:val="center"/>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AB978EC">
            <w:pPr>
              <w:snapToGrid w:val="0"/>
              <w:spacing w:before="50" w:after="50"/>
              <w:jc w:val="center"/>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5E71CC69">
            <w:pPr>
              <w:snapToGrid w:val="0"/>
              <w:spacing w:before="50" w:after="50"/>
              <w:jc w:val="center"/>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top"/>
          </w:tcPr>
          <w:p w14:paraId="438F82BF">
            <w:pPr>
              <w:snapToGrid w:val="0"/>
              <w:spacing w:before="50" w:after="5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4AF06B07">
            <w:pPr>
              <w:snapToGrid w:val="0"/>
              <w:spacing w:before="50" w:after="50"/>
              <w:jc w:val="center"/>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404B5DC1">
            <w:pPr>
              <w:snapToGrid w:val="0"/>
              <w:spacing w:before="50" w:after="50"/>
              <w:jc w:val="center"/>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43F596D3">
            <w:pPr>
              <w:snapToGrid w:val="0"/>
              <w:spacing w:before="50" w:after="50"/>
              <w:jc w:val="center"/>
              <w:rPr>
                <w:rFonts w:hint="eastAsia" w:ascii="宋体" w:hAnsi="宋体" w:eastAsia="宋体" w:cs="宋体"/>
                <w:color w:val="auto"/>
                <w:sz w:val="24"/>
                <w:highlight w:val="none"/>
              </w:rPr>
            </w:pPr>
          </w:p>
        </w:tc>
      </w:tr>
      <w:tr w14:paraId="31744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6A9A3A94">
            <w:pPr>
              <w:snapToGrid w:val="0"/>
              <w:spacing w:before="50" w:after="5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E948289">
            <w:pPr>
              <w:snapToGrid w:val="0"/>
              <w:spacing w:before="50" w:after="50"/>
              <w:jc w:val="center"/>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5C950F03">
            <w:pPr>
              <w:snapToGrid w:val="0"/>
              <w:spacing w:before="50" w:after="50"/>
              <w:jc w:val="center"/>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209D4F5B">
            <w:pPr>
              <w:snapToGrid w:val="0"/>
              <w:spacing w:before="50" w:after="50"/>
              <w:jc w:val="center"/>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top"/>
          </w:tcPr>
          <w:p w14:paraId="60530018">
            <w:pPr>
              <w:snapToGrid w:val="0"/>
              <w:spacing w:before="50" w:after="5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75E5EBB">
            <w:pPr>
              <w:snapToGrid w:val="0"/>
              <w:spacing w:before="50" w:after="50"/>
              <w:jc w:val="center"/>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B46A7E4">
            <w:pPr>
              <w:snapToGrid w:val="0"/>
              <w:spacing w:before="50" w:after="50"/>
              <w:jc w:val="center"/>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45A29BAA">
            <w:pPr>
              <w:snapToGrid w:val="0"/>
              <w:spacing w:before="50" w:after="50"/>
              <w:jc w:val="center"/>
              <w:rPr>
                <w:rFonts w:hint="eastAsia" w:ascii="宋体" w:hAnsi="宋体" w:eastAsia="宋体" w:cs="宋体"/>
                <w:color w:val="auto"/>
                <w:sz w:val="24"/>
                <w:highlight w:val="none"/>
              </w:rPr>
            </w:pPr>
          </w:p>
        </w:tc>
      </w:tr>
      <w:tr w14:paraId="39FC6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370BFF5">
            <w:pPr>
              <w:snapToGrid w:val="0"/>
              <w:spacing w:before="50" w:after="5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3D0CDB0">
            <w:pPr>
              <w:snapToGrid w:val="0"/>
              <w:spacing w:before="50" w:after="50"/>
              <w:jc w:val="center"/>
              <w:rPr>
                <w:rFonts w:hint="eastAsia" w:ascii="宋体" w:hAnsi="宋体" w:eastAsia="宋体" w:cs="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18A148D6">
            <w:pPr>
              <w:snapToGrid w:val="0"/>
              <w:spacing w:before="50" w:after="50"/>
              <w:jc w:val="center"/>
              <w:rPr>
                <w:rFonts w:hint="eastAsia" w:ascii="宋体" w:hAnsi="宋体" w:eastAsia="宋体" w:cs="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0B82235E">
            <w:pPr>
              <w:snapToGrid w:val="0"/>
              <w:spacing w:before="50" w:after="50"/>
              <w:jc w:val="center"/>
              <w:rPr>
                <w:rFonts w:hint="eastAsia" w:ascii="宋体" w:hAnsi="宋体" w:eastAsia="宋体" w:cs="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vAlign w:val="top"/>
          </w:tcPr>
          <w:p w14:paraId="27CDF30B">
            <w:pPr>
              <w:snapToGrid w:val="0"/>
              <w:spacing w:before="50" w:after="5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CFD735F">
            <w:pPr>
              <w:snapToGrid w:val="0"/>
              <w:spacing w:before="50" w:after="50"/>
              <w:jc w:val="center"/>
              <w:rPr>
                <w:rFonts w:hint="eastAsia" w:ascii="宋体" w:hAnsi="宋体" w:eastAsia="宋体" w:cs="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0D05BC7A">
            <w:pPr>
              <w:snapToGrid w:val="0"/>
              <w:spacing w:before="50" w:after="50"/>
              <w:jc w:val="center"/>
              <w:rPr>
                <w:rFonts w:hint="eastAsia" w:ascii="宋体" w:hAnsi="宋体" w:eastAsia="宋体" w:cs="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58D38E9C">
            <w:pPr>
              <w:snapToGrid w:val="0"/>
              <w:spacing w:before="50" w:after="50"/>
              <w:jc w:val="center"/>
              <w:rPr>
                <w:rFonts w:hint="eastAsia" w:ascii="宋体" w:hAnsi="宋体" w:eastAsia="宋体" w:cs="宋体"/>
                <w:color w:val="auto"/>
                <w:sz w:val="24"/>
                <w:highlight w:val="none"/>
              </w:rPr>
            </w:pPr>
          </w:p>
        </w:tc>
      </w:tr>
    </w:tbl>
    <w:p w14:paraId="6EADE63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58A38AB6">
      <w:pPr>
        <w:tabs>
          <w:tab w:val="left" w:pos="1065"/>
        </w:tabs>
        <w:adjustRightInd w:val="0"/>
        <w:spacing w:line="360" w:lineRule="auto"/>
        <w:contextualSpacing/>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服务名称、数量及单位、品牌必须与“服务需求一览表”一致，</w:t>
      </w:r>
      <w:r>
        <w:rPr>
          <w:rFonts w:hint="eastAsia" w:ascii="宋体" w:hAnsi="宋体" w:eastAsia="宋体" w:cs="宋体"/>
          <w:bCs/>
          <w:color w:val="auto"/>
          <w:sz w:val="24"/>
          <w:highlight w:val="none"/>
        </w:rPr>
        <w:t>否则响应文件作无效处理</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ab/>
      </w:r>
    </w:p>
    <w:p w14:paraId="75AE9711">
      <w:pPr>
        <w:adjustRightInd w:val="0"/>
        <w:spacing w:line="360" w:lineRule="auto"/>
        <w:contextualSpacing/>
        <w:jc w:val="left"/>
        <w:rPr>
          <w:rFonts w:hint="eastAsia" w:ascii="宋体" w:hAnsi="宋体" w:eastAsia="宋体" w:cs="宋体"/>
          <w:color w:val="auto"/>
          <w:sz w:val="24"/>
          <w:highlight w:val="none"/>
        </w:rPr>
      </w:pPr>
    </w:p>
    <w:p w14:paraId="3BF3629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5D5FB3A">
      <w:pPr>
        <w:spacing w:line="500" w:lineRule="exact"/>
        <w:jc w:val="center"/>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780F4A28">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w:t>
      </w:r>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服务方案</w:t>
      </w:r>
    </w:p>
    <w:p w14:paraId="08CE36E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（由供应商根据采购需求及采购文件要求编制）</w:t>
      </w:r>
    </w:p>
    <w:p w14:paraId="2100C960">
      <w:pPr>
        <w:rPr>
          <w:rFonts w:hint="eastAsia" w:ascii="宋体" w:hAnsi="宋体" w:eastAsia="宋体" w:cs="宋体"/>
          <w:b/>
          <w:bCs/>
          <w:color w:val="auto"/>
          <w:kern w:val="0"/>
          <w:sz w:val="24"/>
          <w:highlight w:val="none"/>
          <w:lang w:val="zh-CN"/>
        </w:rPr>
      </w:pPr>
      <w:bookmarkStart w:id="90" w:name="_Toc78473822"/>
      <w:r>
        <w:rPr>
          <w:rFonts w:hint="eastAsia" w:ascii="宋体" w:hAnsi="宋体" w:eastAsia="宋体" w:cs="宋体"/>
          <w:b/>
          <w:bCs/>
          <w:color w:val="auto"/>
          <w:kern w:val="0"/>
          <w:sz w:val="24"/>
          <w:highlight w:val="none"/>
          <w:lang w:val="zh-CN"/>
        </w:rPr>
        <w:t>附表:项目实施进度计划表</w:t>
      </w:r>
      <w:r>
        <w:rPr>
          <w:rFonts w:hint="eastAsia" w:ascii="宋体" w:hAnsi="宋体" w:eastAsia="宋体" w:cs="宋体"/>
          <w:b/>
          <w:color w:val="auto"/>
          <w:sz w:val="24"/>
          <w:highlight w:val="none"/>
        </w:rPr>
        <w:t>(以生效日算起)</w:t>
      </w:r>
      <w:bookmarkEnd w:id="90"/>
      <w:r>
        <w:rPr>
          <w:rFonts w:hint="eastAsia" w:ascii="宋体" w:hAnsi="宋体" w:eastAsia="宋体" w:cs="宋体"/>
          <w:b/>
          <w:color w:val="auto"/>
          <w:sz w:val="24"/>
          <w:highlight w:val="none"/>
        </w:rPr>
        <w:t xml:space="preserve"> </w:t>
      </w:r>
    </w:p>
    <w:tbl>
      <w:tblPr>
        <w:tblStyle w:val="21"/>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32E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188" w:type="dxa"/>
            <w:vAlign w:val="center"/>
          </w:tcPr>
          <w:p w14:paraId="0D8BAF06">
            <w:pPr>
              <w:spacing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96BACE9">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1346F45D">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6AEE454A">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96BACE9">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346F45D">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AEE454A">
                              <w:pPr>
                                <w:snapToGrid w:val="0"/>
                              </w:pPr>
                              <w:r>
                                <w:t>日</w:t>
                              </w:r>
                            </w:p>
                          </w:txbxContent>
                        </v:textbox>
                      </v:shape>
                    </v:group>
                  </w:pict>
                </mc:Fallback>
              </mc:AlternateContent>
            </w:r>
          </w:p>
          <w:p w14:paraId="11882515">
            <w:pPr>
              <w:spacing w:line="360" w:lineRule="auto"/>
              <w:rPr>
                <w:rFonts w:hint="eastAsia" w:ascii="宋体" w:hAnsi="宋体" w:eastAsia="宋体" w:cs="宋体"/>
                <w:color w:val="auto"/>
                <w:sz w:val="24"/>
                <w:highlight w:val="none"/>
              </w:rPr>
            </w:pPr>
          </w:p>
          <w:p w14:paraId="7A3E46E2">
            <w:pPr>
              <w:spacing w:line="360" w:lineRule="auto"/>
              <w:rPr>
                <w:rFonts w:hint="eastAsia" w:ascii="宋体" w:hAnsi="宋体" w:eastAsia="宋体" w:cs="宋体"/>
                <w:color w:val="auto"/>
                <w:sz w:val="24"/>
                <w:highlight w:val="none"/>
              </w:rPr>
            </w:pPr>
          </w:p>
          <w:p w14:paraId="1F82B8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552" w:type="dxa"/>
            <w:vAlign w:val="center"/>
          </w:tcPr>
          <w:p w14:paraId="260808E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52" w:type="dxa"/>
            <w:vAlign w:val="center"/>
          </w:tcPr>
          <w:p w14:paraId="6D68A7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52" w:type="dxa"/>
            <w:vAlign w:val="center"/>
          </w:tcPr>
          <w:p w14:paraId="5CAC08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52" w:type="dxa"/>
            <w:vAlign w:val="center"/>
          </w:tcPr>
          <w:p w14:paraId="11546A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552" w:type="dxa"/>
            <w:vAlign w:val="center"/>
          </w:tcPr>
          <w:p w14:paraId="208A94A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552" w:type="dxa"/>
            <w:vAlign w:val="center"/>
          </w:tcPr>
          <w:p w14:paraId="7C52749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553" w:type="dxa"/>
            <w:vAlign w:val="center"/>
          </w:tcPr>
          <w:p w14:paraId="43EFB1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553" w:type="dxa"/>
            <w:vAlign w:val="center"/>
          </w:tcPr>
          <w:p w14:paraId="71BC61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553" w:type="dxa"/>
            <w:vAlign w:val="center"/>
          </w:tcPr>
          <w:p w14:paraId="50B3EA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553" w:type="dxa"/>
            <w:vAlign w:val="center"/>
          </w:tcPr>
          <w:p w14:paraId="2639586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553" w:type="dxa"/>
            <w:vAlign w:val="center"/>
          </w:tcPr>
          <w:p w14:paraId="4278D9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553" w:type="dxa"/>
            <w:vAlign w:val="center"/>
          </w:tcPr>
          <w:p w14:paraId="0146D3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553" w:type="dxa"/>
            <w:vAlign w:val="center"/>
          </w:tcPr>
          <w:p w14:paraId="7F0294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553" w:type="dxa"/>
            <w:vAlign w:val="center"/>
          </w:tcPr>
          <w:p w14:paraId="3E1A2D0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553" w:type="dxa"/>
            <w:vAlign w:val="center"/>
          </w:tcPr>
          <w:p w14:paraId="6D4A750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553" w:type="dxa"/>
            <w:vAlign w:val="center"/>
          </w:tcPr>
          <w:p w14:paraId="17D19B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14:paraId="14AF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0D4DE78E">
            <w:pPr>
              <w:spacing w:line="360" w:lineRule="auto"/>
              <w:rPr>
                <w:rFonts w:hint="eastAsia" w:ascii="宋体" w:hAnsi="宋体" w:eastAsia="宋体" w:cs="宋体"/>
                <w:color w:val="auto"/>
                <w:sz w:val="24"/>
                <w:highlight w:val="none"/>
              </w:rPr>
            </w:pPr>
          </w:p>
        </w:tc>
        <w:tc>
          <w:tcPr>
            <w:tcW w:w="552" w:type="dxa"/>
            <w:vAlign w:val="top"/>
          </w:tcPr>
          <w:p w14:paraId="4C89654D">
            <w:pPr>
              <w:spacing w:line="360" w:lineRule="auto"/>
              <w:rPr>
                <w:rFonts w:hint="eastAsia" w:ascii="宋体" w:hAnsi="宋体" w:eastAsia="宋体" w:cs="宋体"/>
                <w:color w:val="auto"/>
                <w:sz w:val="24"/>
                <w:highlight w:val="none"/>
              </w:rPr>
            </w:pPr>
          </w:p>
        </w:tc>
        <w:tc>
          <w:tcPr>
            <w:tcW w:w="552" w:type="dxa"/>
            <w:vAlign w:val="top"/>
          </w:tcPr>
          <w:p w14:paraId="5EE3B0A6">
            <w:pPr>
              <w:spacing w:line="360" w:lineRule="auto"/>
              <w:rPr>
                <w:rFonts w:hint="eastAsia" w:ascii="宋体" w:hAnsi="宋体" w:eastAsia="宋体" w:cs="宋体"/>
                <w:color w:val="auto"/>
                <w:sz w:val="24"/>
                <w:highlight w:val="none"/>
              </w:rPr>
            </w:pPr>
          </w:p>
        </w:tc>
        <w:tc>
          <w:tcPr>
            <w:tcW w:w="552" w:type="dxa"/>
            <w:vAlign w:val="top"/>
          </w:tcPr>
          <w:p w14:paraId="4BDE6774">
            <w:pPr>
              <w:spacing w:line="360" w:lineRule="auto"/>
              <w:rPr>
                <w:rFonts w:hint="eastAsia" w:ascii="宋体" w:hAnsi="宋体" w:eastAsia="宋体" w:cs="宋体"/>
                <w:color w:val="auto"/>
                <w:sz w:val="24"/>
                <w:highlight w:val="none"/>
              </w:rPr>
            </w:pPr>
          </w:p>
        </w:tc>
        <w:tc>
          <w:tcPr>
            <w:tcW w:w="552" w:type="dxa"/>
            <w:vAlign w:val="top"/>
          </w:tcPr>
          <w:p w14:paraId="2597D0CC">
            <w:pPr>
              <w:spacing w:line="360" w:lineRule="auto"/>
              <w:rPr>
                <w:rFonts w:hint="eastAsia" w:ascii="宋体" w:hAnsi="宋体" w:eastAsia="宋体" w:cs="宋体"/>
                <w:color w:val="auto"/>
                <w:sz w:val="24"/>
                <w:highlight w:val="none"/>
              </w:rPr>
            </w:pPr>
          </w:p>
        </w:tc>
        <w:tc>
          <w:tcPr>
            <w:tcW w:w="552" w:type="dxa"/>
            <w:vAlign w:val="top"/>
          </w:tcPr>
          <w:p w14:paraId="0F9920D7">
            <w:pPr>
              <w:spacing w:line="360" w:lineRule="auto"/>
              <w:rPr>
                <w:rFonts w:hint="eastAsia" w:ascii="宋体" w:hAnsi="宋体" w:eastAsia="宋体" w:cs="宋体"/>
                <w:color w:val="auto"/>
                <w:sz w:val="24"/>
                <w:highlight w:val="none"/>
              </w:rPr>
            </w:pPr>
          </w:p>
        </w:tc>
        <w:tc>
          <w:tcPr>
            <w:tcW w:w="552" w:type="dxa"/>
            <w:vAlign w:val="top"/>
          </w:tcPr>
          <w:p w14:paraId="12F33D08">
            <w:pPr>
              <w:spacing w:line="360" w:lineRule="auto"/>
              <w:rPr>
                <w:rFonts w:hint="eastAsia" w:ascii="宋体" w:hAnsi="宋体" w:eastAsia="宋体" w:cs="宋体"/>
                <w:color w:val="auto"/>
                <w:sz w:val="24"/>
                <w:highlight w:val="none"/>
              </w:rPr>
            </w:pPr>
          </w:p>
        </w:tc>
        <w:tc>
          <w:tcPr>
            <w:tcW w:w="553" w:type="dxa"/>
            <w:vAlign w:val="top"/>
          </w:tcPr>
          <w:p w14:paraId="46D96EA6">
            <w:pPr>
              <w:spacing w:line="360" w:lineRule="auto"/>
              <w:rPr>
                <w:rFonts w:hint="eastAsia" w:ascii="宋体" w:hAnsi="宋体" w:eastAsia="宋体" w:cs="宋体"/>
                <w:color w:val="auto"/>
                <w:sz w:val="24"/>
                <w:highlight w:val="none"/>
              </w:rPr>
            </w:pPr>
          </w:p>
        </w:tc>
        <w:tc>
          <w:tcPr>
            <w:tcW w:w="553" w:type="dxa"/>
            <w:vAlign w:val="top"/>
          </w:tcPr>
          <w:p w14:paraId="3088DDDC">
            <w:pPr>
              <w:spacing w:line="360" w:lineRule="auto"/>
              <w:rPr>
                <w:rFonts w:hint="eastAsia" w:ascii="宋体" w:hAnsi="宋体" w:eastAsia="宋体" w:cs="宋体"/>
                <w:color w:val="auto"/>
                <w:sz w:val="24"/>
                <w:highlight w:val="none"/>
              </w:rPr>
            </w:pPr>
          </w:p>
        </w:tc>
        <w:tc>
          <w:tcPr>
            <w:tcW w:w="553" w:type="dxa"/>
            <w:vAlign w:val="top"/>
          </w:tcPr>
          <w:p w14:paraId="2A73501B">
            <w:pPr>
              <w:spacing w:line="360" w:lineRule="auto"/>
              <w:rPr>
                <w:rFonts w:hint="eastAsia" w:ascii="宋体" w:hAnsi="宋体" w:eastAsia="宋体" w:cs="宋体"/>
                <w:color w:val="auto"/>
                <w:sz w:val="24"/>
                <w:highlight w:val="none"/>
              </w:rPr>
            </w:pPr>
          </w:p>
        </w:tc>
        <w:tc>
          <w:tcPr>
            <w:tcW w:w="553" w:type="dxa"/>
            <w:vAlign w:val="top"/>
          </w:tcPr>
          <w:p w14:paraId="561B3777">
            <w:pPr>
              <w:spacing w:line="360" w:lineRule="auto"/>
              <w:rPr>
                <w:rFonts w:hint="eastAsia" w:ascii="宋体" w:hAnsi="宋体" w:eastAsia="宋体" w:cs="宋体"/>
                <w:color w:val="auto"/>
                <w:sz w:val="24"/>
                <w:highlight w:val="none"/>
              </w:rPr>
            </w:pPr>
          </w:p>
        </w:tc>
        <w:tc>
          <w:tcPr>
            <w:tcW w:w="553" w:type="dxa"/>
            <w:vAlign w:val="top"/>
          </w:tcPr>
          <w:p w14:paraId="108C0299">
            <w:pPr>
              <w:spacing w:line="360" w:lineRule="auto"/>
              <w:rPr>
                <w:rFonts w:hint="eastAsia" w:ascii="宋体" w:hAnsi="宋体" w:eastAsia="宋体" w:cs="宋体"/>
                <w:color w:val="auto"/>
                <w:sz w:val="24"/>
                <w:highlight w:val="none"/>
              </w:rPr>
            </w:pPr>
          </w:p>
        </w:tc>
        <w:tc>
          <w:tcPr>
            <w:tcW w:w="553" w:type="dxa"/>
            <w:vAlign w:val="top"/>
          </w:tcPr>
          <w:p w14:paraId="26EDB32F">
            <w:pPr>
              <w:spacing w:line="360" w:lineRule="auto"/>
              <w:rPr>
                <w:rFonts w:hint="eastAsia" w:ascii="宋体" w:hAnsi="宋体" w:eastAsia="宋体" w:cs="宋体"/>
                <w:color w:val="auto"/>
                <w:sz w:val="24"/>
                <w:highlight w:val="none"/>
              </w:rPr>
            </w:pPr>
          </w:p>
        </w:tc>
        <w:tc>
          <w:tcPr>
            <w:tcW w:w="553" w:type="dxa"/>
            <w:vAlign w:val="top"/>
          </w:tcPr>
          <w:p w14:paraId="485093EB">
            <w:pPr>
              <w:spacing w:line="360" w:lineRule="auto"/>
              <w:rPr>
                <w:rFonts w:hint="eastAsia" w:ascii="宋体" w:hAnsi="宋体" w:eastAsia="宋体" w:cs="宋体"/>
                <w:color w:val="auto"/>
                <w:sz w:val="24"/>
                <w:highlight w:val="none"/>
              </w:rPr>
            </w:pPr>
          </w:p>
        </w:tc>
        <w:tc>
          <w:tcPr>
            <w:tcW w:w="553" w:type="dxa"/>
            <w:vAlign w:val="top"/>
          </w:tcPr>
          <w:p w14:paraId="2E1DC372">
            <w:pPr>
              <w:spacing w:line="360" w:lineRule="auto"/>
              <w:rPr>
                <w:rFonts w:hint="eastAsia" w:ascii="宋体" w:hAnsi="宋体" w:eastAsia="宋体" w:cs="宋体"/>
                <w:color w:val="auto"/>
                <w:sz w:val="24"/>
                <w:highlight w:val="none"/>
              </w:rPr>
            </w:pPr>
          </w:p>
        </w:tc>
        <w:tc>
          <w:tcPr>
            <w:tcW w:w="553" w:type="dxa"/>
            <w:vAlign w:val="top"/>
          </w:tcPr>
          <w:p w14:paraId="65749F8B">
            <w:pPr>
              <w:spacing w:line="360" w:lineRule="auto"/>
              <w:rPr>
                <w:rFonts w:hint="eastAsia" w:ascii="宋体" w:hAnsi="宋体" w:eastAsia="宋体" w:cs="宋体"/>
                <w:color w:val="auto"/>
                <w:sz w:val="24"/>
                <w:highlight w:val="none"/>
              </w:rPr>
            </w:pPr>
          </w:p>
        </w:tc>
        <w:tc>
          <w:tcPr>
            <w:tcW w:w="553" w:type="dxa"/>
            <w:vAlign w:val="top"/>
          </w:tcPr>
          <w:p w14:paraId="073EA767">
            <w:pPr>
              <w:spacing w:line="360" w:lineRule="auto"/>
              <w:rPr>
                <w:rFonts w:hint="eastAsia" w:ascii="宋体" w:hAnsi="宋体" w:eastAsia="宋体" w:cs="宋体"/>
                <w:color w:val="auto"/>
                <w:sz w:val="24"/>
                <w:highlight w:val="none"/>
              </w:rPr>
            </w:pPr>
          </w:p>
        </w:tc>
      </w:tr>
      <w:tr w14:paraId="77A8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DF32FBC">
            <w:pPr>
              <w:spacing w:line="360" w:lineRule="auto"/>
              <w:rPr>
                <w:rFonts w:hint="eastAsia" w:ascii="宋体" w:hAnsi="宋体" w:eastAsia="宋体" w:cs="宋体"/>
                <w:color w:val="auto"/>
                <w:sz w:val="24"/>
                <w:highlight w:val="none"/>
              </w:rPr>
            </w:pPr>
          </w:p>
        </w:tc>
        <w:tc>
          <w:tcPr>
            <w:tcW w:w="552" w:type="dxa"/>
            <w:vAlign w:val="top"/>
          </w:tcPr>
          <w:p w14:paraId="45179DE2">
            <w:pPr>
              <w:spacing w:line="360" w:lineRule="auto"/>
              <w:rPr>
                <w:rFonts w:hint="eastAsia" w:ascii="宋体" w:hAnsi="宋体" w:eastAsia="宋体" w:cs="宋体"/>
                <w:color w:val="auto"/>
                <w:sz w:val="24"/>
                <w:highlight w:val="none"/>
              </w:rPr>
            </w:pPr>
          </w:p>
        </w:tc>
        <w:tc>
          <w:tcPr>
            <w:tcW w:w="552" w:type="dxa"/>
            <w:vAlign w:val="top"/>
          </w:tcPr>
          <w:p w14:paraId="066070B0">
            <w:pPr>
              <w:spacing w:line="360" w:lineRule="auto"/>
              <w:rPr>
                <w:rFonts w:hint="eastAsia" w:ascii="宋体" w:hAnsi="宋体" w:eastAsia="宋体" w:cs="宋体"/>
                <w:color w:val="auto"/>
                <w:sz w:val="24"/>
                <w:highlight w:val="none"/>
              </w:rPr>
            </w:pPr>
          </w:p>
        </w:tc>
        <w:tc>
          <w:tcPr>
            <w:tcW w:w="552" w:type="dxa"/>
            <w:vAlign w:val="top"/>
          </w:tcPr>
          <w:p w14:paraId="08A1782F">
            <w:pPr>
              <w:spacing w:line="360" w:lineRule="auto"/>
              <w:rPr>
                <w:rFonts w:hint="eastAsia" w:ascii="宋体" w:hAnsi="宋体" w:eastAsia="宋体" w:cs="宋体"/>
                <w:color w:val="auto"/>
                <w:sz w:val="24"/>
                <w:highlight w:val="none"/>
              </w:rPr>
            </w:pPr>
          </w:p>
        </w:tc>
        <w:tc>
          <w:tcPr>
            <w:tcW w:w="552" w:type="dxa"/>
            <w:vAlign w:val="top"/>
          </w:tcPr>
          <w:p w14:paraId="038B4B29">
            <w:pPr>
              <w:spacing w:line="360" w:lineRule="auto"/>
              <w:rPr>
                <w:rFonts w:hint="eastAsia" w:ascii="宋体" w:hAnsi="宋体" w:eastAsia="宋体" w:cs="宋体"/>
                <w:color w:val="auto"/>
                <w:sz w:val="24"/>
                <w:highlight w:val="none"/>
              </w:rPr>
            </w:pPr>
          </w:p>
        </w:tc>
        <w:tc>
          <w:tcPr>
            <w:tcW w:w="552" w:type="dxa"/>
            <w:vAlign w:val="top"/>
          </w:tcPr>
          <w:p w14:paraId="16E5AD89">
            <w:pPr>
              <w:spacing w:line="360" w:lineRule="auto"/>
              <w:rPr>
                <w:rFonts w:hint="eastAsia" w:ascii="宋体" w:hAnsi="宋体" w:eastAsia="宋体" w:cs="宋体"/>
                <w:color w:val="auto"/>
                <w:sz w:val="24"/>
                <w:highlight w:val="none"/>
              </w:rPr>
            </w:pPr>
          </w:p>
        </w:tc>
        <w:tc>
          <w:tcPr>
            <w:tcW w:w="552" w:type="dxa"/>
            <w:vAlign w:val="top"/>
          </w:tcPr>
          <w:p w14:paraId="7EADD381">
            <w:pPr>
              <w:spacing w:line="360" w:lineRule="auto"/>
              <w:rPr>
                <w:rFonts w:hint="eastAsia" w:ascii="宋体" w:hAnsi="宋体" w:eastAsia="宋体" w:cs="宋体"/>
                <w:color w:val="auto"/>
                <w:sz w:val="24"/>
                <w:highlight w:val="none"/>
              </w:rPr>
            </w:pPr>
          </w:p>
        </w:tc>
        <w:tc>
          <w:tcPr>
            <w:tcW w:w="553" w:type="dxa"/>
            <w:vAlign w:val="top"/>
          </w:tcPr>
          <w:p w14:paraId="53F221EA">
            <w:pPr>
              <w:spacing w:line="360" w:lineRule="auto"/>
              <w:rPr>
                <w:rFonts w:hint="eastAsia" w:ascii="宋体" w:hAnsi="宋体" w:eastAsia="宋体" w:cs="宋体"/>
                <w:color w:val="auto"/>
                <w:sz w:val="24"/>
                <w:highlight w:val="none"/>
              </w:rPr>
            </w:pPr>
          </w:p>
        </w:tc>
        <w:tc>
          <w:tcPr>
            <w:tcW w:w="553" w:type="dxa"/>
            <w:vAlign w:val="top"/>
          </w:tcPr>
          <w:p w14:paraId="183372F1">
            <w:pPr>
              <w:spacing w:line="360" w:lineRule="auto"/>
              <w:rPr>
                <w:rFonts w:hint="eastAsia" w:ascii="宋体" w:hAnsi="宋体" w:eastAsia="宋体" w:cs="宋体"/>
                <w:color w:val="auto"/>
                <w:sz w:val="24"/>
                <w:highlight w:val="none"/>
              </w:rPr>
            </w:pPr>
          </w:p>
        </w:tc>
        <w:tc>
          <w:tcPr>
            <w:tcW w:w="553" w:type="dxa"/>
            <w:vAlign w:val="top"/>
          </w:tcPr>
          <w:p w14:paraId="6EFDC7F0">
            <w:pPr>
              <w:spacing w:line="360" w:lineRule="auto"/>
              <w:rPr>
                <w:rFonts w:hint="eastAsia" w:ascii="宋体" w:hAnsi="宋体" w:eastAsia="宋体" w:cs="宋体"/>
                <w:color w:val="auto"/>
                <w:sz w:val="24"/>
                <w:highlight w:val="none"/>
              </w:rPr>
            </w:pPr>
          </w:p>
        </w:tc>
        <w:tc>
          <w:tcPr>
            <w:tcW w:w="553" w:type="dxa"/>
            <w:vAlign w:val="top"/>
          </w:tcPr>
          <w:p w14:paraId="0B23AED0">
            <w:pPr>
              <w:spacing w:line="360" w:lineRule="auto"/>
              <w:rPr>
                <w:rFonts w:hint="eastAsia" w:ascii="宋体" w:hAnsi="宋体" w:eastAsia="宋体" w:cs="宋体"/>
                <w:color w:val="auto"/>
                <w:sz w:val="24"/>
                <w:highlight w:val="none"/>
              </w:rPr>
            </w:pPr>
          </w:p>
        </w:tc>
        <w:tc>
          <w:tcPr>
            <w:tcW w:w="553" w:type="dxa"/>
            <w:vAlign w:val="top"/>
          </w:tcPr>
          <w:p w14:paraId="4989C4B4">
            <w:pPr>
              <w:spacing w:line="360" w:lineRule="auto"/>
              <w:rPr>
                <w:rFonts w:hint="eastAsia" w:ascii="宋体" w:hAnsi="宋体" w:eastAsia="宋体" w:cs="宋体"/>
                <w:color w:val="auto"/>
                <w:sz w:val="24"/>
                <w:highlight w:val="none"/>
              </w:rPr>
            </w:pPr>
          </w:p>
        </w:tc>
        <w:tc>
          <w:tcPr>
            <w:tcW w:w="553" w:type="dxa"/>
            <w:vAlign w:val="top"/>
          </w:tcPr>
          <w:p w14:paraId="5F9C0A5E">
            <w:pPr>
              <w:spacing w:line="360" w:lineRule="auto"/>
              <w:rPr>
                <w:rFonts w:hint="eastAsia" w:ascii="宋体" w:hAnsi="宋体" w:eastAsia="宋体" w:cs="宋体"/>
                <w:color w:val="auto"/>
                <w:sz w:val="24"/>
                <w:highlight w:val="none"/>
              </w:rPr>
            </w:pPr>
          </w:p>
        </w:tc>
        <w:tc>
          <w:tcPr>
            <w:tcW w:w="553" w:type="dxa"/>
            <w:vAlign w:val="top"/>
          </w:tcPr>
          <w:p w14:paraId="6C37430C">
            <w:pPr>
              <w:spacing w:line="360" w:lineRule="auto"/>
              <w:rPr>
                <w:rFonts w:hint="eastAsia" w:ascii="宋体" w:hAnsi="宋体" w:eastAsia="宋体" w:cs="宋体"/>
                <w:color w:val="auto"/>
                <w:sz w:val="24"/>
                <w:highlight w:val="none"/>
              </w:rPr>
            </w:pPr>
          </w:p>
        </w:tc>
        <w:tc>
          <w:tcPr>
            <w:tcW w:w="553" w:type="dxa"/>
            <w:vAlign w:val="top"/>
          </w:tcPr>
          <w:p w14:paraId="729BF0BC">
            <w:pPr>
              <w:spacing w:line="360" w:lineRule="auto"/>
              <w:rPr>
                <w:rFonts w:hint="eastAsia" w:ascii="宋体" w:hAnsi="宋体" w:eastAsia="宋体" w:cs="宋体"/>
                <w:color w:val="auto"/>
                <w:sz w:val="24"/>
                <w:highlight w:val="none"/>
              </w:rPr>
            </w:pPr>
          </w:p>
        </w:tc>
        <w:tc>
          <w:tcPr>
            <w:tcW w:w="553" w:type="dxa"/>
            <w:vAlign w:val="top"/>
          </w:tcPr>
          <w:p w14:paraId="3227C27B">
            <w:pPr>
              <w:spacing w:line="360" w:lineRule="auto"/>
              <w:rPr>
                <w:rFonts w:hint="eastAsia" w:ascii="宋体" w:hAnsi="宋体" w:eastAsia="宋体" w:cs="宋体"/>
                <w:color w:val="auto"/>
                <w:sz w:val="24"/>
                <w:highlight w:val="none"/>
              </w:rPr>
            </w:pPr>
          </w:p>
        </w:tc>
        <w:tc>
          <w:tcPr>
            <w:tcW w:w="553" w:type="dxa"/>
            <w:vAlign w:val="top"/>
          </w:tcPr>
          <w:p w14:paraId="3E6722E0">
            <w:pPr>
              <w:spacing w:line="360" w:lineRule="auto"/>
              <w:rPr>
                <w:rFonts w:hint="eastAsia" w:ascii="宋体" w:hAnsi="宋体" w:eastAsia="宋体" w:cs="宋体"/>
                <w:color w:val="auto"/>
                <w:sz w:val="24"/>
                <w:highlight w:val="none"/>
              </w:rPr>
            </w:pPr>
          </w:p>
        </w:tc>
      </w:tr>
      <w:tr w14:paraId="51DB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DD286DA">
            <w:pPr>
              <w:spacing w:line="360" w:lineRule="auto"/>
              <w:rPr>
                <w:rFonts w:hint="eastAsia" w:ascii="宋体" w:hAnsi="宋体" w:eastAsia="宋体" w:cs="宋体"/>
                <w:color w:val="auto"/>
                <w:sz w:val="24"/>
                <w:highlight w:val="none"/>
              </w:rPr>
            </w:pPr>
          </w:p>
        </w:tc>
        <w:tc>
          <w:tcPr>
            <w:tcW w:w="552" w:type="dxa"/>
            <w:vAlign w:val="top"/>
          </w:tcPr>
          <w:p w14:paraId="7F00AFF6">
            <w:pPr>
              <w:spacing w:line="360" w:lineRule="auto"/>
              <w:rPr>
                <w:rFonts w:hint="eastAsia" w:ascii="宋体" w:hAnsi="宋体" w:eastAsia="宋体" w:cs="宋体"/>
                <w:color w:val="auto"/>
                <w:sz w:val="24"/>
                <w:highlight w:val="none"/>
              </w:rPr>
            </w:pPr>
          </w:p>
        </w:tc>
        <w:tc>
          <w:tcPr>
            <w:tcW w:w="552" w:type="dxa"/>
            <w:vAlign w:val="top"/>
          </w:tcPr>
          <w:p w14:paraId="32319DC9">
            <w:pPr>
              <w:spacing w:line="360" w:lineRule="auto"/>
              <w:rPr>
                <w:rFonts w:hint="eastAsia" w:ascii="宋体" w:hAnsi="宋体" w:eastAsia="宋体" w:cs="宋体"/>
                <w:color w:val="auto"/>
                <w:sz w:val="24"/>
                <w:highlight w:val="none"/>
              </w:rPr>
            </w:pPr>
          </w:p>
        </w:tc>
        <w:tc>
          <w:tcPr>
            <w:tcW w:w="552" w:type="dxa"/>
            <w:vAlign w:val="top"/>
          </w:tcPr>
          <w:p w14:paraId="6B62AF08">
            <w:pPr>
              <w:spacing w:line="360" w:lineRule="auto"/>
              <w:rPr>
                <w:rFonts w:hint="eastAsia" w:ascii="宋体" w:hAnsi="宋体" w:eastAsia="宋体" w:cs="宋体"/>
                <w:color w:val="auto"/>
                <w:sz w:val="24"/>
                <w:highlight w:val="none"/>
              </w:rPr>
            </w:pPr>
          </w:p>
        </w:tc>
        <w:tc>
          <w:tcPr>
            <w:tcW w:w="552" w:type="dxa"/>
            <w:vAlign w:val="top"/>
          </w:tcPr>
          <w:p w14:paraId="4E1F8599">
            <w:pPr>
              <w:spacing w:line="360" w:lineRule="auto"/>
              <w:rPr>
                <w:rFonts w:hint="eastAsia" w:ascii="宋体" w:hAnsi="宋体" w:eastAsia="宋体" w:cs="宋体"/>
                <w:color w:val="auto"/>
                <w:sz w:val="24"/>
                <w:highlight w:val="none"/>
              </w:rPr>
            </w:pPr>
          </w:p>
        </w:tc>
        <w:tc>
          <w:tcPr>
            <w:tcW w:w="552" w:type="dxa"/>
            <w:vAlign w:val="top"/>
          </w:tcPr>
          <w:p w14:paraId="5B3F9D1F">
            <w:pPr>
              <w:spacing w:line="360" w:lineRule="auto"/>
              <w:rPr>
                <w:rFonts w:hint="eastAsia" w:ascii="宋体" w:hAnsi="宋体" w:eastAsia="宋体" w:cs="宋体"/>
                <w:color w:val="auto"/>
                <w:sz w:val="24"/>
                <w:highlight w:val="none"/>
              </w:rPr>
            </w:pPr>
          </w:p>
        </w:tc>
        <w:tc>
          <w:tcPr>
            <w:tcW w:w="552" w:type="dxa"/>
            <w:vAlign w:val="top"/>
          </w:tcPr>
          <w:p w14:paraId="60BCC83C">
            <w:pPr>
              <w:spacing w:line="360" w:lineRule="auto"/>
              <w:rPr>
                <w:rFonts w:hint="eastAsia" w:ascii="宋体" w:hAnsi="宋体" w:eastAsia="宋体" w:cs="宋体"/>
                <w:color w:val="auto"/>
                <w:sz w:val="24"/>
                <w:highlight w:val="none"/>
              </w:rPr>
            </w:pPr>
          </w:p>
        </w:tc>
        <w:tc>
          <w:tcPr>
            <w:tcW w:w="553" w:type="dxa"/>
            <w:vAlign w:val="top"/>
          </w:tcPr>
          <w:p w14:paraId="20C641AF">
            <w:pPr>
              <w:spacing w:line="360" w:lineRule="auto"/>
              <w:rPr>
                <w:rFonts w:hint="eastAsia" w:ascii="宋体" w:hAnsi="宋体" w:eastAsia="宋体" w:cs="宋体"/>
                <w:color w:val="auto"/>
                <w:sz w:val="24"/>
                <w:highlight w:val="none"/>
              </w:rPr>
            </w:pPr>
          </w:p>
        </w:tc>
        <w:tc>
          <w:tcPr>
            <w:tcW w:w="553" w:type="dxa"/>
            <w:vAlign w:val="top"/>
          </w:tcPr>
          <w:p w14:paraId="0FF46E5E">
            <w:pPr>
              <w:spacing w:line="360" w:lineRule="auto"/>
              <w:rPr>
                <w:rFonts w:hint="eastAsia" w:ascii="宋体" w:hAnsi="宋体" w:eastAsia="宋体" w:cs="宋体"/>
                <w:color w:val="auto"/>
                <w:sz w:val="24"/>
                <w:highlight w:val="none"/>
              </w:rPr>
            </w:pPr>
          </w:p>
        </w:tc>
        <w:tc>
          <w:tcPr>
            <w:tcW w:w="553" w:type="dxa"/>
            <w:vAlign w:val="top"/>
          </w:tcPr>
          <w:p w14:paraId="3871156F">
            <w:pPr>
              <w:spacing w:line="360" w:lineRule="auto"/>
              <w:rPr>
                <w:rFonts w:hint="eastAsia" w:ascii="宋体" w:hAnsi="宋体" w:eastAsia="宋体" w:cs="宋体"/>
                <w:color w:val="auto"/>
                <w:sz w:val="24"/>
                <w:highlight w:val="none"/>
              </w:rPr>
            </w:pPr>
          </w:p>
        </w:tc>
        <w:tc>
          <w:tcPr>
            <w:tcW w:w="553" w:type="dxa"/>
            <w:vAlign w:val="top"/>
          </w:tcPr>
          <w:p w14:paraId="65328D7E">
            <w:pPr>
              <w:spacing w:line="360" w:lineRule="auto"/>
              <w:rPr>
                <w:rFonts w:hint="eastAsia" w:ascii="宋体" w:hAnsi="宋体" w:eastAsia="宋体" w:cs="宋体"/>
                <w:color w:val="auto"/>
                <w:sz w:val="24"/>
                <w:highlight w:val="none"/>
              </w:rPr>
            </w:pPr>
          </w:p>
        </w:tc>
        <w:tc>
          <w:tcPr>
            <w:tcW w:w="553" w:type="dxa"/>
            <w:vAlign w:val="top"/>
          </w:tcPr>
          <w:p w14:paraId="6D3780A8">
            <w:pPr>
              <w:spacing w:line="360" w:lineRule="auto"/>
              <w:rPr>
                <w:rFonts w:hint="eastAsia" w:ascii="宋体" w:hAnsi="宋体" w:eastAsia="宋体" w:cs="宋体"/>
                <w:color w:val="auto"/>
                <w:sz w:val="24"/>
                <w:highlight w:val="none"/>
              </w:rPr>
            </w:pPr>
          </w:p>
        </w:tc>
        <w:tc>
          <w:tcPr>
            <w:tcW w:w="553" w:type="dxa"/>
            <w:vAlign w:val="top"/>
          </w:tcPr>
          <w:p w14:paraId="06B87E99">
            <w:pPr>
              <w:spacing w:line="360" w:lineRule="auto"/>
              <w:rPr>
                <w:rFonts w:hint="eastAsia" w:ascii="宋体" w:hAnsi="宋体" w:eastAsia="宋体" w:cs="宋体"/>
                <w:color w:val="auto"/>
                <w:sz w:val="24"/>
                <w:highlight w:val="none"/>
              </w:rPr>
            </w:pPr>
          </w:p>
        </w:tc>
        <w:tc>
          <w:tcPr>
            <w:tcW w:w="553" w:type="dxa"/>
            <w:vAlign w:val="top"/>
          </w:tcPr>
          <w:p w14:paraId="419681E9">
            <w:pPr>
              <w:spacing w:line="360" w:lineRule="auto"/>
              <w:rPr>
                <w:rFonts w:hint="eastAsia" w:ascii="宋体" w:hAnsi="宋体" w:eastAsia="宋体" w:cs="宋体"/>
                <w:color w:val="auto"/>
                <w:sz w:val="24"/>
                <w:highlight w:val="none"/>
              </w:rPr>
            </w:pPr>
          </w:p>
        </w:tc>
        <w:tc>
          <w:tcPr>
            <w:tcW w:w="553" w:type="dxa"/>
            <w:vAlign w:val="top"/>
          </w:tcPr>
          <w:p w14:paraId="48EF91B1">
            <w:pPr>
              <w:spacing w:line="360" w:lineRule="auto"/>
              <w:rPr>
                <w:rFonts w:hint="eastAsia" w:ascii="宋体" w:hAnsi="宋体" w:eastAsia="宋体" w:cs="宋体"/>
                <w:color w:val="auto"/>
                <w:sz w:val="24"/>
                <w:highlight w:val="none"/>
              </w:rPr>
            </w:pPr>
          </w:p>
        </w:tc>
        <w:tc>
          <w:tcPr>
            <w:tcW w:w="553" w:type="dxa"/>
            <w:vAlign w:val="top"/>
          </w:tcPr>
          <w:p w14:paraId="4063A992">
            <w:pPr>
              <w:spacing w:line="360" w:lineRule="auto"/>
              <w:rPr>
                <w:rFonts w:hint="eastAsia" w:ascii="宋体" w:hAnsi="宋体" w:eastAsia="宋体" w:cs="宋体"/>
                <w:color w:val="auto"/>
                <w:sz w:val="24"/>
                <w:highlight w:val="none"/>
              </w:rPr>
            </w:pPr>
          </w:p>
        </w:tc>
        <w:tc>
          <w:tcPr>
            <w:tcW w:w="553" w:type="dxa"/>
            <w:vAlign w:val="top"/>
          </w:tcPr>
          <w:p w14:paraId="6A9A293F">
            <w:pPr>
              <w:spacing w:line="360" w:lineRule="auto"/>
              <w:rPr>
                <w:rFonts w:hint="eastAsia" w:ascii="宋体" w:hAnsi="宋体" w:eastAsia="宋体" w:cs="宋体"/>
                <w:color w:val="auto"/>
                <w:sz w:val="24"/>
                <w:highlight w:val="none"/>
              </w:rPr>
            </w:pPr>
          </w:p>
        </w:tc>
      </w:tr>
      <w:tr w14:paraId="55B7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DE1F7D5">
            <w:pPr>
              <w:spacing w:line="360" w:lineRule="auto"/>
              <w:rPr>
                <w:rFonts w:hint="eastAsia" w:ascii="宋体" w:hAnsi="宋体" w:eastAsia="宋体" w:cs="宋体"/>
                <w:color w:val="auto"/>
                <w:sz w:val="24"/>
                <w:highlight w:val="none"/>
              </w:rPr>
            </w:pPr>
          </w:p>
        </w:tc>
        <w:tc>
          <w:tcPr>
            <w:tcW w:w="552" w:type="dxa"/>
            <w:vAlign w:val="top"/>
          </w:tcPr>
          <w:p w14:paraId="75A0D891">
            <w:pPr>
              <w:spacing w:line="360" w:lineRule="auto"/>
              <w:rPr>
                <w:rFonts w:hint="eastAsia" w:ascii="宋体" w:hAnsi="宋体" w:eastAsia="宋体" w:cs="宋体"/>
                <w:color w:val="auto"/>
                <w:sz w:val="24"/>
                <w:highlight w:val="none"/>
              </w:rPr>
            </w:pPr>
          </w:p>
        </w:tc>
        <w:tc>
          <w:tcPr>
            <w:tcW w:w="552" w:type="dxa"/>
            <w:vAlign w:val="top"/>
          </w:tcPr>
          <w:p w14:paraId="4BB20B53">
            <w:pPr>
              <w:spacing w:line="360" w:lineRule="auto"/>
              <w:rPr>
                <w:rFonts w:hint="eastAsia" w:ascii="宋体" w:hAnsi="宋体" w:eastAsia="宋体" w:cs="宋体"/>
                <w:color w:val="auto"/>
                <w:sz w:val="24"/>
                <w:highlight w:val="none"/>
              </w:rPr>
            </w:pPr>
          </w:p>
        </w:tc>
        <w:tc>
          <w:tcPr>
            <w:tcW w:w="552" w:type="dxa"/>
            <w:vAlign w:val="top"/>
          </w:tcPr>
          <w:p w14:paraId="4F40325B">
            <w:pPr>
              <w:spacing w:line="360" w:lineRule="auto"/>
              <w:rPr>
                <w:rFonts w:hint="eastAsia" w:ascii="宋体" w:hAnsi="宋体" w:eastAsia="宋体" w:cs="宋体"/>
                <w:color w:val="auto"/>
                <w:sz w:val="24"/>
                <w:highlight w:val="none"/>
              </w:rPr>
            </w:pPr>
          </w:p>
        </w:tc>
        <w:tc>
          <w:tcPr>
            <w:tcW w:w="552" w:type="dxa"/>
            <w:vAlign w:val="top"/>
          </w:tcPr>
          <w:p w14:paraId="4FE65A87">
            <w:pPr>
              <w:spacing w:line="360" w:lineRule="auto"/>
              <w:rPr>
                <w:rFonts w:hint="eastAsia" w:ascii="宋体" w:hAnsi="宋体" w:eastAsia="宋体" w:cs="宋体"/>
                <w:color w:val="auto"/>
                <w:sz w:val="24"/>
                <w:highlight w:val="none"/>
              </w:rPr>
            </w:pPr>
          </w:p>
        </w:tc>
        <w:tc>
          <w:tcPr>
            <w:tcW w:w="552" w:type="dxa"/>
            <w:vAlign w:val="top"/>
          </w:tcPr>
          <w:p w14:paraId="0ACEF42E">
            <w:pPr>
              <w:spacing w:line="360" w:lineRule="auto"/>
              <w:rPr>
                <w:rFonts w:hint="eastAsia" w:ascii="宋体" w:hAnsi="宋体" w:eastAsia="宋体" w:cs="宋体"/>
                <w:color w:val="auto"/>
                <w:sz w:val="24"/>
                <w:highlight w:val="none"/>
              </w:rPr>
            </w:pPr>
          </w:p>
        </w:tc>
        <w:tc>
          <w:tcPr>
            <w:tcW w:w="552" w:type="dxa"/>
            <w:vAlign w:val="top"/>
          </w:tcPr>
          <w:p w14:paraId="7672B16F">
            <w:pPr>
              <w:spacing w:line="360" w:lineRule="auto"/>
              <w:rPr>
                <w:rFonts w:hint="eastAsia" w:ascii="宋体" w:hAnsi="宋体" w:eastAsia="宋体" w:cs="宋体"/>
                <w:color w:val="auto"/>
                <w:sz w:val="24"/>
                <w:highlight w:val="none"/>
              </w:rPr>
            </w:pPr>
          </w:p>
        </w:tc>
        <w:tc>
          <w:tcPr>
            <w:tcW w:w="553" w:type="dxa"/>
            <w:vAlign w:val="top"/>
          </w:tcPr>
          <w:p w14:paraId="5FDB9B17">
            <w:pPr>
              <w:spacing w:line="360" w:lineRule="auto"/>
              <w:rPr>
                <w:rFonts w:hint="eastAsia" w:ascii="宋体" w:hAnsi="宋体" w:eastAsia="宋体" w:cs="宋体"/>
                <w:color w:val="auto"/>
                <w:sz w:val="24"/>
                <w:highlight w:val="none"/>
              </w:rPr>
            </w:pPr>
          </w:p>
        </w:tc>
        <w:tc>
          <w:tcPr>
            <w:tcW w:w="553" w:type="dxa"/>
            <w:vAlign w:val="top"/>
          </w:tcPr>
          <w:p w14:paraId="4416D2F8">
            <w:pPr>
              <w:spacing w:line="360" w:lineRule="auto"/>
              <w:rPr>
                <w:rFonts w:hint="eastAsia" w:ascii="宋体" w:hAnsi="宋体" w:eastAsia="宋体" w:cs="宋体"/>
                <w:color w:val="auto"/>
                <w:sz w:val="24"/>
                <w:highlight w:val="none"/>
              </w:rPr>
            </w:pPr>
          </w:p>
        </w:tc>
        <w:tc>
          <w:tcPr>
            <w:tcW w:w="553" w:type="dxa"/>
            <w:vAlign w:val="top"/>
          </w:tcPr>
          <w:p w14:paraId="47BA624C">
            <w:pPr>
              <w:spacing w:line="360" w:lineRule="auto"/>
              <w:rPr>
                <w:rFonts w:hint="eastAsia" w:ascii="宋体" w:hAnsi="宋体" w:eastAsia="宋体" w:cs="宋体"/>
                <w:color w:val="auto"/>
                <w:sz w:val="24"/>
                <w:highlight w:val="none"/>
              </w:rPr>
            </w:pPr>
          </w:p>
        </w:tc>
        <w:tc>
          <w:tcPr>
            <w:tcW w:w="553" w:type="dxa"/>
            <w:vAlign w:val="top"/>
          </w:tcPr>
          <w:p w14:paraId="75B6F83E">
            <w:pPr>
              <w:spacing w:line="360" w:lineRule="auto"/>
              <w:rPr>
                <w:rFonts w:hint="eastAsia" w:ascii="宋体" w:hAnsi="宋体" w:eastAsia="宋体" w:cs="宋体"/>
                <w:color w:val="auto"/>
                <w:sz w:val="24"/>
                <w:highlight w:val="none"/>
              </w:rPr>
            </w:pPr>
          </w:p>
        </w:tc>
        <w:tc>
          <w:tcPr>
            <w:tcW w:w="553" w:type="dxa"/>
            <w:vAlign w:val="top"/>
          </w:tcPr>
          <w:p w14:paraId="5E03956F">
            <w:pPr>
              <w:spacing w:line="360" w:lineRule="auto"/>
              <w:rPr>
                <w:rFonts w:hint="eastAsia" w:ascii="宋体" w:hAnsi="宋体" w:eastAsia="宋体" w:cs="宋体"/>
                <w:color w:val="auto"/>
                <w:sz w:val="24"/>
                <w:highlight w:val="none"/>
              </w:rPr>
            </w:pPr>
          </w:p>
        </w:tc>
        <w:tc>
          <w:tcPr>
            <w:tcW w:w="553" w:type="dxa"/>
            <w:vAlign w:val="top"/>
          </w:tcPr>
          <w:p w14:paraId="2DB50FED">
            <w:pPr>
              <w:spacing w:line="360" w:lineRule="auto"/>
              <w:rPr>
                <w:rFonts w:hint="eastAsia" w:ascii="宋体" w:hAnsi="宋体" w:eastAsia="宋体" w:cs="宋体"/>
                <w:color w:val="auto"/>
                <w:sz w:val="24"/>
                <w:highlight w:val="none"/>
              </w:rPr>
            </w:pPr>
          </w:p>
        </w:tc>
        <w:tc>
          <w:tcPr>
            <w:tcW w:w="553" w:type="dxa"/>
            <w:vAlign w:val="top"/>
          </w:tcPr>
          <w:p w14:paraId="1CF0CF10">
            <w:pPr>
              <w:spacing w:line="360" w:lineRule="auto"/>
              <w:rPr>
                <w:rFonts w:hint="eastAsia" w:ascii="宋体" w:hAnsi="宋体" w:eastAsia="宋体" w:cs="宋体"/>
                <w:color w:val="auto"/>
                <w:sz w:val="24"/>
                <w:highlight w:val="none"/>
              </w:rPr>
            </w:pPr>
          </w:p>
        </w:tc>
        <w:tc>
          <w:tcPr>
            <w:tcW w:w="553" w:type="dxa"/>
            <w:vAlign w:val="top"/>
          </w:tcPr>
          <w:p w14:paraId="416922BC">
            <w:pPr>
              <w:spacing w:line="360" w:lineRule="auto"/>
              <w:rPr>
                <w:rFonts w:hint="eastAsia" w:ascii="宋体" w:hAnsi="宋体" w:eastAsia="宋体" w:cs="宋体"/>
                <w:color w:val="auto"/>
                <w:sz w:val="24"/>
                <w:highlight w:val="none"/>
              </w:rPr>
            </w:pPr>
          </w:p>
        </w:tc>
        <w:tc>
          <w:tcPr>
            <w:tcW w:w="553" w:type="dxa"/>
            <w:vAlign w:val="top"/>
          </w:tcPr>
          <w:p w14:paraId="36F7FCAA">
            <w:pPr>
              <w:spacing w:line="360" w:lineRule="auto"/>
              <w:rPr>
                <w:rFonts w:hint="eastAsia" w:ascii="宋体" w:hAnsi="宋体" w:eastAsia="宋体" w:cs="宋体"/>
                <w:color w:val="auto"/>
                <w:sz w:val="24"/>
                <w:highlight w:val="none"/>
              </w:rPr>
            </w:pPr>
          </w:p>
        </w:tc>
        <w:tc>
          <w:tcPr>
            <w:tcW w:w="553" w:type="dxa"/>
            <w:vAlign w:val="top"/>
          </w:tcPr>
          <w:p w14:paraId="4B42ED05">
            <w:pPr>
              <w:spacing w:line="360" w:lineRule="auto"/>
              <w:rPr>
                <w:rFonts w:hint="eastAsia" w:ascii="宋体" w:hAnsi="宋体" w:eastAsia="宋体" w:cs="宋体"/>
                <w:color w:val="auto"/>
                <w:sz w:val="24"/>
                <w:highlight w:val="none"/>
              </w:rPr>
            </w:pPr>
          </w:p>
        </w:tc>
      </w:tr>
      <w:tr w14:paraId="7665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88" w:type="dxa"/>
            <w:vAlign w:val="center"/>
          </w:tcPr>
          <w:p w14:paraId="500BB9E3">
            <w:pPr>
              <w:spacing w:line="360" w:lineRule="auto"/>
              <w:rPr>
                <w:rFonts w:hint="eastAsia" w:ascii="宋体" w:hAnsi="宋体" w:eastAsia="宋体" w:cs="宋体"/>
                <w:color w:val="auto"/>
                <w:sz w:val="24"/>
                <w:highlight w:val="none"/>
              </w:rPr>
            </w:pPr>
          </w:p>
        </w:tc>
        <w:tc>
          <w:tcPr>
            <w:tcW w:w="552" w:type="dxa"/>
            <w:vAlign w:val="top"/>
          </w:tcPr>
          <w:p w14:paraId="3A7C6863">
            <w:pPr>
              <w:spacing w:line="360" w:lineRule="auto"/>
              <w:rPr>
                <w:rFonts w:hint="eastAsia" w:ascii="宋体" w:hAnsi="宋体" w:eastAsia="宋体" w:cs="宋体"/>
                <w:color w:val="auto"/>
                <w:sz w:val="24"/>
                <w:highlight w:val="none"/>
              </w:rPr>
            </w:pPr>
          </w:p>
        </w:tc>
        <w:tc>
          <w:tcPr>
            <w:tcW w:w="552" w:type="dxa"/>
            <w:vAlign w:val="top"/>
          </w:tcPr>
          <w:p w14:paraId="5042055E">
            <w:pPr>
              <w:spacing w:line="360" w:lineRule="auto"/>
              <w:rPr>
                <w:rFonts w:hint="eastAsia" w:ascii="宋体" w:hAnsi="宋体" w:eastAsia="宋体" w:cs="宋体"/>
                <w:color w:val="auto"/>
                <w:sz w:val="24"/>
                <w:highlight w:val="none"/>
              </w:rPr>
            </w:pPr>
          </w:p>
        </w:tc>
        <w:tc>
          <w:tcPr>
            <w:tcW w:w="552" w:type="dxa"/>
            <w:vAlign w:val="top"/>
          </w:tcPr>
          <w:p w14:paraId="292A9B83">
            <w:pPr>
              <w:spacing w:line="360" w:lineRule="auto"/>
              <w:rPr>
                <w:rFonts w:hint="eastAsia" w:ascii="宋体" w:hAnsi="宋体" w:eastAsia="宋体" w:cs="宋体"/>
                <w:color w:val="auto"/>
                <w:sz w:val="24"/>
                <w:highlight w:val="none"/>
              </w:rPr>
            </w:pPr>
          </w:p>
        </w:tc>
        <w:tc>
          <w:tcPr>
            <w:tcW w:w="552" w:type="dxa"/>
            <w:vAlign w:val="top"/>
          </w:tcPr>
          <w:p w14:paraId="777EC8EA">
            <w:pPr>
              <w:spacing w:line="360" w:lineRule="auto"/>
              <w:rPr>
                <w:rFonts w:hint="eastAsia" w:ascii="宋体" w:hAnsi="宋体" w:eastAsia="宋体" w:cs="宋体"/>
                <w:color w:val="auto"/>
                <w:sz w:val="24"/>
                <w:highlight w:val="none"/>
              </w:rPr>
            </w:pPr>
          </w:p>
        </w:tc>
        <w:tc>
          <w:tcPr>
            <w:tcW w:w="552" w:type="dxa"/>
            <w:vAlign w:val="top"/>
          </w:tcPr>
          <w:p w14:paraId="39351239">
            <w:pPr>
              <w:spacing w:line="360" w:lineRule="auto"/>
              <w:rPr>
                <w:rFonts w:hint="eastAsia" w:ascii="宋体" w:hAnsi="宋体" w:eastAsia="宋体" w:cs="宋体"/>
                <w:color w:val="auto"/>
                <w:sz w:val="24"/>
                <w:highlight w:val="none"/>
              </w:rPr>
            </w:pPr>
          </w:p>
        </w:tc>
        <w:tc>
          <w:tcPr>
            <w:tcW w:w="552" w:type="dxa"/>
            <w:vAlign w:val="top"/>
          </w:tcPr>
          <w:p w14:paraId="3BFB6F3B">
            <w:pPr>
              <w:spacing w:line="360" w:lineRule="auto"/>
              <w:rPr>
                <w:rFonts w:hint="eastAsia" w:ascii="宋体" w:hAnsi="宋体" w:eastAsia="宋体" w:cs="宋体"/>
                <w:color w:val="auto"/>
                <w:sz w:val="24"/>
                <w:highlight w:val="none"/>
              </w:rPr>
            </w:pPr>
          </w:p>
        </w:tc>
        <w:tc>
          <w:tcPr>
            <w:tcW w:w="553" w:type="dxa"/>
            <w:vAlign w:val="top"/>
          </w:tcPr>
          <w:p w14:paraId="6D4602CC">
            <w:pPr>
              <w:spacing w:line="360" w:lineRule="auto"/>
              <w:rPr>
                <w:rFonts w:hint="eastAsia" w:ascii="宋体" w:hAnsi="宋体" w:eastAsia="宋体" w:cs="宋体"/>
                <w:color w:val="auto"/>
                <w:sz w:val="24"/>
                <w:highlight w:val="none"/>
              </w:rPr>
            </w:pPr>
          </w:p>
        </w:tc>
        <w:tc>
          <w:tcPr>
            <w:tcW w:w="553" w:type="dxa"/>
            <w:vAlign w:val="top"/>
          </w:tcPr>
          <w:p w14:paraId="5BEFB26D">
            <w:pPr>
              <w:spacing w:line="360" w:lineRule="auto"/>
              <w:rPr>
                <w:rFonts w:hint="eastAsia" w:ascii="宋体" w:hAnsi="宋体" w:eastAsia="宋体" w:cs="宋体"/>
                <w:color w:val="auto"/>
                <w:sz w:val="24"/>
                <w:highlight w:val="none"/>
              </w:rPr>
            </w:pPr>
          </w:p>
        </w:tc>
        <w:tc>
          <w:tcPr>
            <w:tcW w:w="553" w:type="dxa"/>
            <w:vAlign w:val="top"/>
          </w:tcPr>
          <w:p w14:paraId="7B56A75B">
            <w:pPr>
              <w:spacing w:line="360" w:lineRule="auto"/>
              <w:rPr>
                <w:rFonts w:hint="eastAsia" w:ascii="宋体" w:hAnsi="宋体" w:eastAsia="宋体" w:cs="宋体"/>
                <w:color w:val="auto"/>
                <w:sz w:val="24"/>
                <w:highlight w:val="none"/>
              </w:rPr>
            </w:pPr>
          </w:p>
        </w:tc>
        <w:tc>
          <w:tcPr>
            <w:tcW w:w="553" w:type="dxa"/>
            <w:vAlign w:val="top"/>
          </w:tcPr>
          <w:p w14:paraId="155C903D">
            <w:pPr>
              <w:spacing w:line="360" w:lineRule="auto"/>
              <w:rPr>
                <w:rFonts w:hint="eastAsia" w:ascii="宋体" w:hAnsi="宋体" w:eastAsia="宋体" w:cs="宋体"/>
                <w:color w:val="auto"/>
                <w:sz w:val="24"/>
                <w:highlight w:val="none"/>
              </w:rPr>
            </w:pPr>
          </w:p>
        </w:tc>
        <w:tc>
          <w:tcPr>
            <w:tcW w:w="553" w:type="dxa"/>
            <w:vAlign w:val="top"/>
          </w:tcPr>
          <w:p w14:paraId="20ED688B">
            <w:pPr>
              <w:spacing w:line="360" w:lineRule="auto"/>
              <w:rPr>
                <w:rFonts w:hint="eastAsia" w:ascii="宋体" w:hAnsi="宋体" w:eastAsia="宋体" w:cs="宋体"/>
                <w:color w:val="auto"/>
                <w:sz w:val="24"/>
                <w:highlight w:val="none"/>
              </w:rPr>
            </w:pPr>
          </w:p>
        </w:tc>
        <w:tc>
          <w:tcPr>
            <w:tcW w:w="553" w:type="dxa"/>
            <w:vAlign w:val="top"/>
          </w:tcPr>
          <w:p w14:paraId="0975A28F">
            <w:pPr>
              <w:spacing w:line="360" w:lineRule="auto"/>
              <w:rPr>
                <w:rFonts w:hint="eastAsia" w:ascii="宋体" w:hAnsi="宋体" w:eastAsia="宋体" w:cs="宋体"/>
                <w:color w:val="auto"/>
                <w:sz w:val="24"/>
                <w:highlight w:val="none"/>
              </w:rPr>
            </w:pPr>
          </w:p>
        </w:tc>
        <w:tc>
          <w:tcPr>
            <w:tcW w:w="553" w:type="dxa"/>
            <w:vAlign w:val="top"/>
          </w:tcPr>
          <w:p w14:paraId="1EFEB04C">
            <w:pPr>
              <w:spacing w:line="360" w:lineRule="auto"/>
              <w:rPr>
                <w:rFonts w:hint="eastAsia" w:ascii="宋体" w:hAnsi="宋体" w:eastAsia="宋体" w:cs="宋体"/>
                <w:color w:val="auto"/>
                <w:sz w:val="24"/>
                <w:highlight w:val="none"/>
              </w:rPr>
            </w:pPr>
          </w:p>
        </w:tc>
        <w:tc>
          <w:tcPr>
            <w:tcW w:w="553" w:type="dxa"/>
            <w:vAlign w:val="top"/>
          </w:tcPr>
          <w:p w14:paraId="51333E02">
            <w:pPr>
              <w:spacing w:line="360" w:lineRule="auto"/>
              <w:rPr>
                <w:rFonts w:hint="eastAsia" w:ascii="宋体" w:hAnsi="宋体" w:eastAsia="宋体" w:cs="宋体"/>
                <w:color w:val="auto"/>
                <w:sz w:val="24"/>
                <w:highlight w:val="none"/>
              </w:rPr>
            </w:pPr>
          </w:p>
        </w:tc>
        <w:tc>
          <w:tcPr>
            <w:tcW w:w="553" w:type="dxa"/>
            <w:vAlign w:val="top"/>
          </w:tcPr>
          <w:p w14:paraId="5CBB0559">
            <w:pPr>
              <w:spacing w:line="360" w:lineRule="auto"/>
              <w:rPr>
                <w:rFonts w:hint="eastAsia" w:ascii="宋体" w:hAnsi="宋体" w:eastAsia="宋体" w:cs="宋体"/>
                <w:color w:val="auto"/>
                <w:sz w:val="24"/>
                <w:highlight w:val="none"/>
              </w:rPr>
            </w:pPr>
          </w:p>
        </w:tc>
        <w:tc>
          <w:tcPr>
            <w:tcW w:w="553" w:type="dxa"/>
            <w:vAlign w:val="top"/>
          </w:tcPr>
          <w:p w14:paraId="154EB7C2">
            <w:pPr>
              <w:spacing w:line="360" w:lineRule="auto"/>
              <w:rPr>
                <w:rFonts w:hint="eastAsia" w:ascii="宋体" w:hAnsi="宋体" w:eastAsia="宋体" w:cs="宋体"/>
                <w:color w:val="auto"/>
                <w:sz w:val="24"/>
                <w:highlight w:val="none"/>
              </w:rPr>
            </w:pPr>
          </w:p>
        </w:tc>
      </w:tr>
      <w:tr w14:paraId="031D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7AE88C64">
            <w:pPr>
              <w:spacing w:line="360" w:lineRule="auto"/>
              <w:rPr>
                <w:rFonts w:hint="eastAsia" w:ascii="宋体" w:hAnsi="宋体" w:eastAsia="宋体" w:cs="宋体"/>
                <w:color w:val="auto"/>
                <w:sz w:val="24"/>
                <w:highlight w:val="none"/>
              </w:rPr>
            </w:pPr>
          </w:p>
        </w:tc>
        <w:tc>
          <w:tcPr>
            <w:tcW w:w="552" w:type="dxa"/>
            <w:vAlign w:val="top"/>
          </w:tcPr>
          <w:p w14:paraId="176657A9">
            <w:pPr>
              <w:spacing w:line="360" w:lineRule="auto"/>
              <w:rPr>
                <w:rFonts w:hint="eastAsia" w:ascii="宋体" w:hAnsi="宋体" w:eastAsia="宋体" w:cs="宋体"/>
                <w:color w:val="auto"/>
                <w:sz w:val="24"/>
                <w:highlight w:val="none"/>
              </w:rPr>
            </w:pPr>
          </w:p>
        </w:tc>
        <w:tc>
          <w:tcPr>
            <w:tcW w:w="552" w:type="dxa"/>
            <w:vAlign w:val="top"/>
          </w:tcPr>
          <w:p w14:paraId="662C1EA0">
            <w:pPr>
              <w:spacing w:line="360" w:lineRule="auto"/>
              <w:rPr>
                <w:rFonts w:hint="eastAsia" w:ascii="宋体" w:hAnsi="宋体" w:eastAsia="宋体" w:cs="宋体"/>
                <w:color w:val="auto"/>
                <w:sz w:val="24"/>
                <w:highlight w:val="none"/>
              </w:rPr>
            </w:pPr>
          </w:p>
        </w:tc>
        <w:tc>
          <w:tcPr>
            <w:tcW w:w="552" w:type="dxa"/>
            <w:vAlign w:val="top"/>
          </w:tcPr>
          <w:p w14:paraId="40BC7BB0">
            <w:pPr>
              <w:spacing w:line="360" w:lineRule="auto"/>
              <w:rPr>
                <w:rFonts w:hint="eastAsia" w:ascii="宋体" w:hAnsi="宋体" w:eastAsia="宋体" w:cs="宋体"/>
                <w:color w:val="auto"/>
                <w:sz w:val="24"/>
                <w:highlight w:val="none"/>
              </w:rPr>
            </w:pPr>
          </w:p>
        </w:tc>
        <w:tc>
          <w:tcPr>
            <w:tcW w:w="552" w:type="dxa"/>
            <w:vAlign w:val="top"/>
          </w:tcPr>
          <w:p w14:paraId="444F7AE5">
            <w:pPr>
              <w:spacing w:line="360" w:lineRule="auto"/>
              <w:rPr>
                <w:rFonts w:hint="eastAsia" w:ascii="宋体" w:hAnsi="宋体" w:eastAsia="宋体" w:cs="宋体"/>
                <w:color w:val="auto"/>
                <w:sz w:val="24"/>
                <w:highlight w:val="none"/>
              </w:rPr>
            </w:pPr>
          </w:p>
        </w:tc>
        <w:tc>
          <w:tcPr>
            <w:tcW w:w="552" w:type="dxa"/>
            <w:vAlign w:val="top"/>
          </w:tcPr>
          <w:p w14:paraId="18FA8870">
            <w:pPr>
              <w:spacing w:line="360" w:lineRule="auto"/>
              <w:rPr>
                <w:rFonts w:hint="eastAsia" w:ascii="宋体" w:hAnsi="宋体" w:eastAsia="宋体" w:cs="宋体"/>
                <w:color w:val="auto"/>
                <w:sz w:val="24"/>
                <w:highlight w:val="none"/>
              </w:rPr>
            </w:pPr>
          </w:p>
        </w:tc>
        <w:tc>
          <w:tcPr>
            <w:tcW w:w="552" w:type="dxa"/>
            <w:vAlign w:val="top"/>
          </w:tcPr>
          <w:p w14:paraId="66EA118E">
            <w:pPr>
              <w:spacing w:line="360" w:lineRule="auto"/>
              <w:rPr>
                <w:rFonts w:hint="eastAsia" w:ascii="宋体" w:hAnsi="宋体" w:eastAsia="宋体" w:cs="宋体"/>
                <w:color w:val="auto"/>
                <w:sz w:val="24"/>
                <w:highlight w:val="none"/>
              </w:rPr>
            </w:pPr>
          </w:p>
        </w:tc>
        <w:tc>
          <w:tcPr>
            <w:tcW w:w="553" w:type="dxa"/>
            <w:vAlign w:val="top"/>
          </w:tcPr>
          <w:p w14:paraId="170E46A7">
            <w:pPr>
              <w:spacing w:line="360" w:lineRule="auto"/>
              <w:rPr>
                <w:rFonts w:hint="eastAsia" w:ascii="宋体" w:hAnsi="宋体" w:eastAsia="宋体" w:cs="宋体"/>
                <w:color w:val="auto"/>
                <w:sz w:val="24"/>
                <w:highlight w:val="none"/>
              </w:rPr>
            </w:pPr>
          </w:p>
        </w:tc>
        <w:tc>
          <w:tcPr>
            <w:tcW w:w="553" w:type="dxa"/>
            <w:vAlign w:val="top"/>
          </w:tcPr>
          <w:p w14:paraId="2EE829C9">
            <w:pPr>
              <w:spacing w:line="360" w:lineRule="auto"/>
              <w:rPr>
                <w:rFonts w:hint="eastAsia" w:ascii="宋体" w:hAnsi="宋体" w:eastAsia="宋体" w:cs="宋体"/>
                <w:color w:val="auto"/>
                <w:sz w:val="24"/>
                <w:highlight w:val="none"/>
              </w:rPr>
            </w:pPr>
          </w:p>
        </w:tc>
        <w:tc>
          <w:tcPr>
            <w:tcW w:w="553" w:type="dxa"/>
            <w:vAlign w:val="top"/>
          </w:tcPr>
          <w:p w14:paraId="20C75066">
            <w:pPr>
              <w:spacing w:line="360" w:lineRule="auto"/>
              <w:rPr>
                <w:rFonts w:hint="eastAsia" w:ascii="宋体" w:hAnsi="宋体" w:eastAsia="宋体" w:cs="宋体"/>
                <w:color w:val="auto"/>
                <w:sz w:val="24"/>
                <w:highlight w:val="none"/>
              </w:rPr>
            </w:pPr>
          </w:p>
        </w:tc>
        <w:tc>
          <w:tcPr>
            <w:tcW w:w="553" w:type="dxa"/>
            <w:vAlign w:val="top"/>
          </w:tcPr>
          <w:p w14:paraId="27BC521B">
            <w:pPr>
              <w:spacing w:line="360" w:lineRule="auto"/>
              <w:rPr>
                <w:rFonts w:hint="eastAsia" w:ascii="宋体" w:hAnsi="宋体" w:eastAsia="宋体" w:cs="宋体"/>
                <w:color w:val="auto"/>
                <w:sz w:val="24"/>
                <w:highlight w:val="none"/>
              </w:rPr>
            </w:pPr>
          </w:p>
        </w:tc>
        <w:tc>
          <w:tcPr>
            <w:tcW w:w="553" w:type="dxa"/>
            <w:vAlign w:val="top"/>
          </w:tcPr>
          <w:p w14:paraId="71CF6039">
            <w:pPr>
              <w:spacing w:line="360" w:lineRule="auto"/>
              <w:rPr>
                <w:rFonts w:hint="eastAsia" w:ascii="宋体" w:hAnsi="宋体" w:eastAsia="宋体" w:cs="宋体"/>
                <w:color w:val="auto"/>
                <w:sz w:val="24"/>
                <w:highlight w:val="none"/>
              </w:rPr>
            </w:pPr>
          </w:p>
        </w:tc>
        <w:tc>
          <w:tcPr>
            <w:tcW w:w="553" w:type="dxa"/>
            <w:vAlign w:val="top"/>
          </w:tcPr>
          <w:p w14:paraId="531CF898">
            <w:pPr>
              <w:spacing w:line="360" w:lineRule="auto"/>
              <w:rPr>
                <w:rFonts w:hint="eastAsia" w:ascii="宋体" w:hAnsi="宋体" w:eastAsia="宋体" w:cs="宋体"/>
                <w:color w:val="auto"/>
                <w:sz w:val="24"/>
                <w:highlight w:val="none"/>
              </w:rPr>
            </w:pPr>
          </w:p>
        </w:tc>
        <w:tc>
          <w:tcPr>
            <w:tcW w:w="553" w:type="dxa"/>
            <w:vAlign w:val="top"/>
          </w:tcPr>
          <w:p w14:paraId="2A28BA4E">
            <w:pPr>
              <w:spacing w:line="360" w:lineRule="auto"/>
              <w:rPr>
                <w:rFonts w:hint="eastAsia" w:ascii="宋体" w:hAnsi="宋体" w:eastAsia="宋体" w:cs="宋体"/>
                <w:color w:val="auto"/>
                <w:sz w:val="24"/>
                <w:highlight w:val="none"/>
              </w:rPr>
            </w:pPr>
          </w:p>
        </w:tc>
        <w:tc>
          <w:tcPr>
            <w:tcW w:w="553" w:type="dxa"/>
            <w:vAlign w:val="top"/>
          </w:tcPr>
          <w:p w14:paraId="35DF187E">
            <w:pPr>
              <w:spacing w:line="360" w:lineRule="auto"/>
              <w:rPr>
                <w:rFonts w:hint="eastAsia" w:ascii="宋体" w:hAnsi="宋体" w:eastAsia="宋体" w:cs="宋体"/>
                <w:color w:val="auto"/>
                <w:sz w:val="24"/>
                <w:highlight w:val="none"/>
              </w:rPr>
            </w:pPr>
          </w:p>
        </w:tc>
        <w:tc>
          <w:tcPr>
            <w:tcW w:w="553" w:type="dxa"/>
            <w:vAlign w:val="top"/>
          </w:tcPr>
          <w:p w14:paraId="1B0F715D">
            <w:pPr>
              <w:spacing w:line="360" w:lineRule="auto"/>
              <w:rPr>
                <w:rFonts w:hint="eastAsia" w:ascii="宋体" w:hAnsi="宋体" w:eastAsia="宋体" w:cs="宋体"/>
                <w:color w:val="auto"/>
                <w:sz w:val="24"/>
                <w:highlight w:val="none"/>
              </w:rPr>
            </w:pPr>
          </w:p>
        </w:tc>
        <w:tc>
          <w:tcPr>
            <w:tcW w:w="553" w:type="dxa"/>
            <w:vAlign w:val="top"/>
          </w:tcPr>
          <w:p w14:paraId="542BF87A">
            <w:pPr>
              <w:spacing w:line="360" w:lineRule="auto"/>
              <w:rPr>
                <w:rFonts w:hint="eastAsia" w:ascii="宋体" w:hAnsi="宋体" w:eastAsia="宋体" w:cs="宋体"/>
                <w:color w:val="auto"/>
                <w:sz w:val="24"/>
                <w:highlight w:val="none"/>
              </w:rPr>
            </w:pPr>
          </w:p>
        </w:tc>
      </w:tr>
      <w:tr w14:paraId="2206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4F5D9964">
            <w:pPr>
              <w:spacing w:line="360" w:lineRule="auto"/>
              <w:rPr>
                <w:rFonts w:hint="eastAsia" w:ascii="宋体" w:hAnsi="宋体" w:eastAsia="宋体" w:cs="宋体"/>
                <w:color w:val="auto"/>
                <w:sz w:val="24"/>
                <w:highlight w:val="none"/>
              </w:rPr>
            </w:pPr>
          </w:p>
        </w:tc>
        <w:tc>
          <w:tcPr>
            <w:tcW w:w="552" w:type="dxa"/>
            <w:vAlign w:val="top"/>
          </w:tcPr>
          <w:p w14:paraId="36F0FE43">
            <w:pPr>
              <w:spacing w:line="360" w:lineRule="auto"/>
              <w:rPr>
                <w:rFonts w:hint="eastAsia" w:ascii="宋体" w:hAnsi="宋体" w:eastAsia="宋体" w:cs="宋体"/>
                <w:color w:val="auto"/>
                <w:sz w:val="24"/>
                <w:highlight w:val="none"/>
              </w:rPr>
            </w:pPr>
          </w:p>
        </w:tc>
        <w:tc>
          <w:tcPr>
            <w:tcW w:w="552" w:type="dxa"/>
            <w:vAlign w:val="top"/>
          </w:tcPr>
          <w:p w14:paraId="074D8F69">
            <w:pPr>
              <w:spacing w:line="360" w:lineRule="auto"/>
              <w:rPr>
                <w:rFonts w:hint="eastAsia" w:ascii="宋体" w:hAnsi="宋体" w:eastAsia="宋体" w:cs="宋体"/>
                <w:color w:val="auto"/>
                <w:sz w:val="24"/>
                <w:highlight w:val="none"/>
              </w:rPr>
            </w:pPr>
          </w:p>
        </w:tc>
        <w:tc>
          <w:tcPr>
            <w:tcW w:w="552" w:type="dxa"/>
            <w:vAlign w:val="top"/>
          </w:tcPr>
          <w:p w14:paraId="583A6749">
            <w:pPr>
              <w:spacing w:line="360" w:lineRule="auto"/>
              <w:rPr>
                <w:rFonts w:hint="eastAsia" w:ascii="宋体" w:hAnsi="宋体" w:eastAsia="宋体" w:cs="宋体"/>
                <w:color w:val="auto"/>
                <w:sz w:val="24"/>
                <w:highlight w:val="none"/>
              </w:rPr>
            </w:pPr>
          </w:p>
        </w:tc>
        <w:tc>
          <w:tcPr>
            <w:tcW w:w="552" w:type="dxa"/>
            <w:vAlign w:val="top"/>
          </w:tcPr>
          <w:p w14:paraId="61DE7D4C">
            <w:pPr>
              <w:spacing w:line="360" w:lineRule="auto"/>
              <w:rPr>
                <w:rFonts w:hint="eastAsia" w:ascii="宋体" w:hAnsi="宋体" w:eastAsia="宋体" w:cs="宋体"/>
                <w:color w:val="auto"/>
                <w:sz w:val="24"/>
                <w:highlight w:val="none"/>
              </w:rPr>
            </w:pPr>
          </w:p>
        </w:tc>
        <w:tc>
          <w:tcPr>
            <w:tcW w:w="552" w:type="dxa"/>
            <w:vAlign w:val="top"/>
          </w:tcPr>
          <w:p w14:paraId="259A3ADF">
            <w:pPr>
              <w:spacing w:line="360" w:lineRule="auto"/>
              <w:rPr>
                <w:rFonts w:hint="eastAsia" w:ascii="宋体" w:hAnsi="宋体" w:eastAsia="宋体" w:cs="宋体"/>
                <w:color w:val="auto"/>
                <w:sz w:val="24"/>
                <w:highlight w:val="none"/>
              </w:rPr>
            </w:pPr>
          </w:p>
        </w:tc>
        <w:tc>
          <w:tcPr>
            <w:tcW w:w="552" w:type="dxa"/>
            <w:vAlign w:val="top"/>
          </w:tcPr>
          <w:p w14:paraId="34DB32D2">
            <w:pPr>
              <w:spacing w:line="360" w:lineRule="auto"/>
              <w:rPr>
                <w:rFonts w:hint="eastAsia" w:ascii="宋体" w:hAnsi="宋体" w:eastAsia="宋体" w:cs="宋体"/>
                <w:color w:val="auto"/>
                <w:sz w:val="24"/>
                <w:highlight w:val="none"/>
              </w:rPr>
            </w:pPr>
          </w:p>
        </w:tc>
        <w:tc>
          <w:tcPr>
            <w:tcW w:w="553" w:type="dxa"/>
            <w:vAlign w:val="top"/>
          </w:tcPr>
          <w:p w14:paraId="1A5BC783">
            <w:pPr>
              <w:spacing w:line="360" w:lineRule="auto"/>
              <w:rPr>
                <w:rFonts w:hint="eastAsia" w:ascii="宋体" w:hAnsi="宋体" w:eastAsia="宋体" w:cs="宋体"/>
                <w:color w:val="auto"/>
                <w:sz w:val="24"/>
                <w:highlight w:val="none"/>
              </w:rPr>
            </w:pPr>
          </w:p>
        </w:tc>
        <w:tc>
          <w:tcPr>
            <w:tcW w:w="553" w:type="dxa"/>
            <w:vAlign w:val="top"/>
          </w:tcPr>
          <w:p w14:paraId="34503FEA">
            <w:pPr>
              <w:spacing w:line="360" w:lineRule="auto"/>
              <w:rPr>
                <w:rFonts w:hint="eastAsia" w:ascii="宋体" w:hAnsi="宋体" w:eastAsia="宋体" w:cs="宋体"/>
                <w:color w:val="auto"/>
                <w:sz w:val="24"/>
                <w:highlight w:val="none"/>
              </w:rPr>
            </w:pPr>
          </w:p>
        </w:tc>
        <w:tc>
          <w:tcPr>
            <w:tcW w:w="553" w:type="dxa"/>
            <w:vAlign w:val="top"/>
          </w:tcPr>
          <w:p w14:paraId="44997D44">
            <w:pPr>
              <w:spacing w:line="360" w:lineRule="auto"/>
              <w:rPr>
                <w:rFonts w:hint="eastAsia" w:ascii="宋体" w:hAnsi="宋体" w:eastAsia="宋体" w:cs="宋体"/>
                <w:color w:val="auto"/>
                <w:sz w:val="24"/>
                <w:highlight w:val="none"/>
              </w:rPr>
            </w:pPr>
          </w:p>
        </w:tc>
        <w:tc>
          <w:tcPr>
            <w:tcW w:w="553" w:type="dxa"/>
            <w:vAlign w:val="top"/>
          </w:tcPr>
          <w:p w14:paraId="07356504">
            <w:pPr>
              <w:spacing w:line="360" w:lineRule="auto"/>
              <w:rPr>
                <w:rFonts w:hint="eastAsia" w:ascii="宋体" w:hAnsi="宋体" w:eastAsia="宋体" w:cs="宋体"/>
                <w:color w:val="auto"/>
                <w:sz w:val="24"/>
                <w:highlight w:val="none"/>
              </w:rPr>
            </w:pPr>
          </w:p>
        </w:tc>
        <w:tc>
          <w:tcPr>
            <w:tcW w:w="553" w:type="dxa"/>
            <w:vAlign w:val="top"/>
          </w:tcPr>
          <w:p w14:paraId="4F76EB38">
            <w:pPr>
              <w:spacing w:line="360" w:lineRule="auto"/>
              <w:rPr>
                <w:rFonts w:hint="eastAsia" w:ascii="宋体" w:hAnsi="宋体" w:eastAsia="宋体" w:cs="宋体"/>
                <w:color w:val="auto"/>
                <w:sz w:val="24"/>
                <w:highlight w:val="none"/>
              </w:rPr>
            </w:pPr>
          </w:p>
        </w:tc>
        <w:tc>
          <w:tcPr>
            <w:tcW w:w="553" w:type="dxa"/>
            <w:vAlign w:val="top"/>
          </w:tcPr>
          <w:p w14:paraId="0FCA04F2">
            <w:pPr>
              <w:spacing w:line="360" w:lineRule="auto"/>
              <w:rPr>
                <w:rFonts w:hint="eastAsia" w:ascii="宋体" w:hAnsi="宋体" w:eastAsia="宋体" w:cs="宋体"/>
                <w:color w:val="auto"/>
                <w:sz w:val="24"/>
                <w:highlight w:val="none"/>
              </w:rPr>
            </w:pPr>
          </w:p>
        </w:tc>
        <w:tc>
          <w:tcPr>
            <w:tcW w:w="553" w:type="dxa"/>
            <w:vAlign w:val="top"/>
          </w:tcPr>
          <w:p w14:paraId="43EE3510">
            <w:pPr>
              <w:spacing w:line="360" w:lineRule="auto"/>
              <w:rPr>
                <w:rFonts w:hint="eastAsia" w:ascii="宋体" w:hAnsi="宋体" w:eastAsia="宋体" w:cs="宋体"/>
                <w:color w:val="auto"/>
                <w:sz w:val="24"/>
                <w:highlight w:val="none"/>
              </w:rPr>
            </w:pPr>
          </w:p>
        </w:tc>
        <w:tc>
          <w:tcPr>
            <w:tcW w:w="553" w:type="dxa"/>
            <w:vAlign w:val="top"/>
          </w:tcPr>
          <w:p w14:paraId="234F49B0">
            <w:pPr>
              <w:spacing w:line="360" w:lineRule="auto"/>
              <w:rPr>
                <w:rFonts w:hint="eastAsia" w:ascii="宋体" w:hAnsi="宋体" w:eastAsia="宋体" w:cs="宋体"/>
                <w:color w:val="auto"/>
                <w:sz w:val="24"/>
                <w:highlight w:val="none"/>
              </w:rPr>
            </w:pPr>
          </w:p>
        </w:tc>
        <w:tc>
          <w:tcPr>
            <w:tcW w:w="553" w:type="dxa"/>
            <w:vAlign w:val="top"/>
          </w:tcPr>
          <w:p w14:paraId="10E76C23">
            <w:pPr>
              <w:spacing w:line="360" w:lineRule="auto"/>
              <w:rPr>
                <w:rFonts w:hint="eastAsia" w:ascii="宋体" w:hAnsi="宋体" w:eastAsia="宋体" w:cs="宋体"/>
                <w:color w:val="auto"/>
                <w:sz w:val="24"/>
                <w:highlight w:val="none"/>
              </w:rPr>
            </w:pPr>
          </w:p>
        </w:tc>
        <w:tc>
          <w:tcPr>
            <w:tcW w:w="553" w:type="dxa"/>
            <w:vAlign w:val="top"/>
          </w:tcPr>
          <w:p w14:paraId="1DC0DF6D">
            <w:pPr>
              <w:spacing w:line="360" w:lineRule="auto"/>
              <w:rPr>
                <w:rFonts w:hint="eastAsia" w:ascii="宋体" w:hAnsi="宋体" w:eastAsia="宋体" w:cs="宋体"/>
                <w:color w:val="auto"/>
                <w:sz w:val="24"/>
                <w:highlight w:val="none"/>
              </w:rPr>
            </w:pPr>
          </w:p>
        </w:tc>
      </w:tr>
      <w:tr w14:paraId="3E87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27DDAFB1">
            <w:pPr>
              <w:spacing w:line="360" w:lineRule="auto"/>
              <w:rPr>
                <w:rFonts w:hint="eastAsia" w:ascii="宋体" w:hAnsi="宋体" w:eastAsia="宋体" w:cs="宋体"/>
                <w:color w:val="auto"/>
                <w:sz w:val="24"/>
                <w:highlight w:val="none"/>
              </w:rPr>
            </w:pPr>
          </w:p>
        </w:tc>
        <w:tc>
          <w:tcPr>
            <w:tcW w:w="552" w:type="dxa"/>
            <w:vAlign w:val="top"/>
          </w:tcPr>
          <w:p w14:paraId="64D1849B">
            <w:pPr>
              <w:spacing w:line="360" w:lineRule="auto"/>
              <w:rPr>
                <w:rFonts w:hint="eastAsia" w:ascii="宋体" w:hAnsi="宋体" w:eastAsia="宋体" w:cs="宋体"/>
                <w:color w:val="auto"/>
                <w:sz w:val="24"/>
                <w:highlight w:val="none"/>
              </w:rPr>
            </w:pPr>
          </w:p>
        </w:tc>
        <w:tc>
          <w:tcPr>
            <w:tcW w:w="552" w:type="dxa"/>
            <w:vAlign w:val="top"/>
          </w:tcPr>
          <w:p w14:paraId="70C8E8F5">
            <w:pPr>
              <w:spacing w:line="360" w:lineRule="auto"/>
              <w:rPr>
                <w:rFonts w:hint="eastAsia" w:ascii="宋体" w:hAnsi="宋体" w:eastAsia="宋体" w:cs="宋体"/>
                <w:color w:val="auto"/>
                <w:sz w:val="24"/>
                <w:highlight w:val="none"/>
              </w:rPr>
            </w:pPr>
          </w:p>
        </w:tc>
        <w:tc>
          <w:tcPr>
            <w:tcW w:w="552" w:type="dxa"/>
            <w:vAlign w:val="top"/>
          </w:tcPr>
          <w:p w14:paraId="4F046698">
            <w:pPr>
              <w:spacing w:line="360" w:lineRule="auto"/>
              <w:rPr>
                <w:rFonts w:hint="eastAsia" w:ascii="宋体" w:hAnsi="宋体" w:eastAsia="宋体" w:cs="宋体"/>
                <w:color w:val="auto"/>
                <w:sz w:val="24"/>
                <w:highlight w:val="none"/>
              </w:rPr>
            </w:pPr>
          </w:p>
        </w:tc>
        <w:tc>
          <w:tcPr>
            <w:tcW w:w="552" w:type="dxa"/>
            <w:vAlign w:val="top"/>
          </w:tcPr>
          <w:p w14:paraId="63C84567">
            <w:pPr>
              <w:spacing w:line="360" w:lineRule="auto"/>
              <w:rPr>
                <w:rFonts w:hint="eastAsia" w:ascii="宋体" w:hAnsi="宋体" w:eastAsia="宋体" w:cs="宋体"/>
                <w:color w:val="auto"/>
                <w:sz w:val="24"/>
                <w:highlight w:val="none"/>
              </w:rPr>
            </w:pPr>
          </w:p>
        </w:tc>
        <w:tc>
          <w:tcPr>
            <w:tcW w:w="552" w:type="dxa"/>
            <w:vAlign w:val="top"/>
          </w:tcPr>
          <w:p w14:paraId="73E58E2F">
            <w:pPr>
              <w:spacing w:line="360" w:lineRule="auto"/>
              <w:rPr>
                <w:rFonts w:hint="eastAsia" w:ascii="宋体" w:hAnsi="宋体" w:eastAsia="宋体" w:cs="宋体"/>
                <w:color w:val="auto"/>
                <w:sz w:val="24"/>
                <w:highlight w:val="none"/>
              </w:rPr>
            </w:pPr>
          </w:p>
        </w:tc>
        <w:tc>
          <w:tcPr>
            <w:tcW w:w="552" w:type="dxa"/>
            <w:vAlign w:val="top"/>
          </w:tcPr>
          <w:p w14:paraId="78393D8E">
            <w:pPr>
              <w:spacing w:line="360" w:lineRule="auto"/>
              <w:rPr>
                <w:rFonts w:hint="eastAsia" w:ascii="宋体" w:hAnsi="宋体" w:eastAsia="宋体" w:cs="宋体"/>
                <w:color w:val="auto"/>
                <w:sz w:val="24"/>
                <w:highlight w:val="none"/>
              </w:rPr>
            </w:pPr>
          </w:p>
        </w:tc>
        <w:tc>
          <w:tcPr>
            <w:tcW w:w="553" w:type="dxa"/>
            <w:vAlign w:val="top"/>
          </w:tcPr>
          <w:p w14:paraId="0DAB175B">
            <w:pPr>
              <w:spacing w:line="360" w:lineRule="auto"/>
              <w:rPr>
                <w:rFonts w:hint="eastAsia" w:ascii="宋体" w:hAnsi="宋体" w:eastAsia="宋体" w:cs="宋体"/>
                <w:color w:val="auto"/>
                <w:sz w:val="24"/>
                <w:highlight w:val="none"/>
              </w:rPr>
            </w:pPr>
          </w:p>
        </w:tc>
        <w:tc>
          <w:tcPr>
            <w:tcW w:w="553" w:type="dxa"/>
            <w:vAlign w:val="top"/>
          </w:tcPr>
          <w:p w14:paraId="7DF2DF72">
            <w:pPr>
              <w:spacing w:line="360" w:lineRule="auto"/>
              <w:rPr>
                <w:rFonts w:hint="eastAsia" w:ascii="宋体" w:hAnsi="宋体" w:eastAsia="宋体" w:cs="宋体"/>
                <w:color w:val="auto"/>
                <w:sz w:val="24"/>
                <w:highlight w:val="none"/>
              </w:rPr>
            </w:pPr>
          </w:p>
        </w:tc>
        <w:tc>
          <w:tcPr>
            <w:tcW w:w="553" w:type="dxa"/>
            <w:vAlign w:val="top"/>
          </w:tcPr>
          <w:p w14:paraId="1D89C870">
            <w:pPr>
              <w:spacing w:line="360" w:lineRule="auto"/>
              <w:rPr>
                <w:rFonts w:hint="eastAsia" w:ascii="宋体" w:hAnsi="宋体" w:eastAsia="宋体" w:cs="宋体"/>
                <w:color w:val="auto"/>
                <w:sz w:val="24"/>
                <w:highlight w:val="none"/>
              </w:rPr>
            </w:pPr>
          </w:p>
        </w:tc>
        <w:tc>
          <w:tcPr>
            <w:tcW w:w="553" w:type="dxa"/>
            <w:vAlign w:val="top"/>
          </w:tcPr>
          <w:p w14:paraId="1AE828F7">
            <w:pPr>
              <w:spacing w:line="360" w:lineRule="auto"/>
              <w:rPr>
                <w:rFonts w:hint="eastAsia" w:ascii="宋体" w:hAnsi="宋体" w:eastAsia="宋体" w:cs="宋体"/>
                <w:color w:val="auto"/>
                <w:sz w:val="24"/>
                <w:highlight w:val="none"/>
              </w:rPr>
            </w:pPr>
          </w:p>
        </w:tc>
        <w:tc>
          <w:tcPr>
            <w:tcW w:w="553" w:type="dxa"/>
            <w:vAlign w:val="top"/>
          </w:tcPr>
          <w:p w14:paraId="65EEEE39">
            <w:pPr>
              <w:spacing w:line="360" w:lineRule="auto"/>
              <w:rPr>
                <w:rFonts w:hint="eastAsia" w:ascii="宋体" w:hAnsi="宋体" w:eastAsia="宋体" w:cs="宋体"/>
                <w:color w:val="auto"/>
                <w:sz w:val="24"/>
                <w:highlight w:val="none"/>
              </w:rPr>
            </w:pPr>
          </w:p>
        </w:tc>
        <w:tc>
          <w:tcPr>
            <w:tcW w:w="553" w:type="dxa"/>
            <w:vAlign w:val="top"/>
          </w:tcPr>
          <w:p w14:paraId="29FCDA17">
            <w:pPr>
              <w:spacing w:line="360" w:lineRule="auto"/>
              <w:rPr>
                <w:rFonts w:hint="eastAsia" w:ascii="宋体" w:hAnsi="宋体" w:eastAsia="宋体" w:cs="宋体"/>
                <w:color w:val="auto"/>
                <w:sz w:val="24"/>
                <w:highlight w:val="none"/>
              </w:rPr>
            </w:pPr>
          </w:p>
        </w:tc>
        <w:tc>
          <w:tcPr>
            <w:tcW w:w="553" w:type="dxa"/>
            <w:vAlign w:val="top"/>
          </w:tcPr>
          <w:p w14:paraId="0A551AA5">
            <w:pPr>
              <w:spacing w:line="360" w:lineRule="auto"/>
              <w:rPr>
                <w:rFonts w:hint="eastAsia" w:ascii="宋体" w:hAnsi="宋体" w:eastAsia="宋体" w:cs="宋体"/>
                <w:color w:val="auto"/>
                <w:sz w:val="24"/>
                <w:highlight w:val="none"/>
              </w:rPr>
            </w:pPr>
          </w:p>
        </w:tc>
        <w:tc>
          <w:tcPr>
            <w:tcW w:w="553" w:type="dxa"/>
            <w:vAlign w:val="top"/>
          </w:tcPr>
          <w:p w14:paraId="4DAE3DB7">
            <w:pPr>
              <w:spacing w:line="360" w:lineRule="auto"/>
              <w:rPr>
                <w:rFonts w:hint="eastAsia" w:ascii="宋体" w:hAnsi="宋体" w:eastAsia="宋体" w:cs="宋体"/>
                <w:color w:val="auto"/>
                <w:sz w:val="24"/>
                <w:highlight w:val="none"/>
              </w:rPr>
            </w:pPr>
          </w:p>
        </w:tc>
        <w:tc>
          <w:tcPr>
            <w:tcW w:w="553" w:type="dxa"/>
            <w:vAlign w:val="top"/>
          </w:tcPr>
          <w:p w14:paraId="0C7FCC10">
            <w:pPr>
              <w:spacing w:line="360" w:lineRule="auto"/>
              <w:rPr>
                <w:rFonts w:hint="eastAsia" w:ascii="宋体" w:hAnsi="宋体" w:eastAsia="宋体" w:cs="宋体"/>
                <w:color w:val="auto"/>
                <w:sz w:val="24"/>
                <w:highlight w:val="none"/>
              </w:rPr>
            </w:pPr>
          </w:p>
        </w:tc>
        <w:tc>
          <w:tcPr>
            <w:tcW w:w="553" w:type="dxa"/>
            <w:vAlign w:val="top"/>
          </w:tcPr>
          <w:p w14:paraId="34D48D03">
            <w:pPr>
              <w:spacing w:line="360" w:lineRule="auto"/>
              <w:rPr>
                <w:rFonts w:hint="eastAsia" w:ascii="宋体" w:hAnsi="宋体" w:eastAsia="宋体" w:cs="宋体"/>
                <w:color w:val="auto"/>
                <w:sz w:val="24"/>
                <w:highlight w:val="none"/>
              </w:rPr>
            </w:pPr>
          </w:p>
        </w:tc>
      </w:tr>
      <w:tr w14:paraId="4828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14:paraId="6DC88086">
            <w:pPr>
              <w:spacing w:line="360" w:lineRule="auto"/>
              <w:rPr>
                <w:rFonts w:hint="eastAsia" w:ascii="宋体" w:hAnsi="宋体" w:eastAsia="宋体" w:cs="宋体"/>
                <w:color w:val="auto"/>
                <w:sz w:val="24"/>
                <w:highlight w:val="none"/>
              </w:rPr>
            </w:pPr>
          </w:p>
        </w:tc>
        <w:tc>
          <w:tcPr>
            <w:tcW w:w="552" w:type="dxa"/>
            <w:vAlign w:val="top"/>
          </w:tcPr>
          <w:p w14:paraId="5B79D1BA">
            <w:pPr>
              <w:spacing w:line="360" w:lineRule="auto"/>
              <w:rPr>
                <w:rFonts w:hint="eastAsia" w:ascii="宋体" w:hAnsi="宋体" w:eastAsia="宋体" w:cs="宋体"/>
                <w:color w:val="auto"/>
                <w:sz w:val="24"/>
                <w:highlight w:val="none"/>
              </w:rPr>
            </w:pPr>
          </w:p>
        </w:tc>
        <w:tc>
          <w:tcPr>
            <w:tcW w:w="552" w:type="dxa"/>
            <w:vAlign w:val="top"/>
          </w:tcPr>
          <w:p w14:paraId="604963A6">
            <w:pPr>
              <w:spacing w:line="360" w:lineRule="auto"/>
              <w:rPr>
                <w:rFonts w:hint="eastAsia" w:ascii="宋体" w:hAnsi="宋体" w:eastAsia="宋体" w:cs="宋体"/>
                <w:color w:val="auto"/>
                <w:sz w:val="24"/>
                <w:highlight w:val="none"/>
              </w:rPr>
            </w:pPr>
          </w:p>
        </w:tc>
        <w:tc>
          <w:tcPr>
            <w:tcW w:w="552" w:type="dxa"/>
            <w:vAlign w:val="top"/>
          </w:tcPr>
          <w:p w14:paraId="1410E2F8">
            <w:pPr>
              <w:spacing w:line="360" w:lineRule="auto"/>
              <w:rPr>
                <w:rFonts w:hint="eastAsia" w:ascii="宋体" w:hAnsi="宋体" w:eastAsia="宋体" w:cs="宋体"/>
                <w:color w:val="auto"/>
                <w:sz w:val="24"/>
                <w:highlight w:val="none"/>
              </w:rPr>
            </w:pPr>
          </w:p>
        </w:tc>
        <w:tc>
          <w:tcPr>
            <w:tcW w:w="552" w:type="dxa"/>
            <w:vAlign w:val="top"/>
          </w:tcPr>
          <w:p w14:paraId="430A32D0">
            <w:pPr>
              <w:spacing w:line="360" w:lineRule="auto"/>
              <w:rPr>
                <w:rFonts w:hint="eastAsia" w:ascii="宋体" w:hAnsi="宋体" w:eastAsia="宋体" w:cs="宋体"/>
                <w:color w:val="auto"/>
                <w:sz w:val="24"/>
                <w:highlight w:val="none"/>
              </w:rPr>
            </w:pPr>
          </w:p>
        </w:tc>
        <w:tc>
          <w:tcPr>
            <w:tcW w:w="552" w:type="dxa"/>
            <w:vAlign w:val="top"/>
          </w:tcPr>
          <w:p w14:paraId="5AAF9F12">
            <w:pPr>
              <w:spacing w:line="360" w:lineRule="auto"/>
              <w:rPr>
                <w:rFonts w:hint="eastAsia" w:ascii="宋体" w:hAnsi="宋体" w:eastAsia="宋体" w:cs="宋体"/>
                <w:color w:val="auto"/>
                <w:sz w:val="24"/>
                <w:highlight w:val="none"/>
              </w:rPr>
            </w:pPr>
          </w:p>
        </w:tc>
        <w:tc>
          <w:tcPr>
            <w:tcW w:w="552" w:type="dxa"/>
            <w:vAlign w:val="top"/>
          </w:tcPr>
          <w:p w14:paraId="7AC0382B">
            <w:pPr>
              <w:spacing w:line="360" w:lineRule="auto"/>
              <w:rPr>
                <w:rFonts w:hint="eastAsia" w:ascii="宋体" w:hAnsi="宋体" w:eastAsia="宋体" w:cs="宋体"/>
                <w:color w:val="auto"/>
                <w:sz w:val="24"/>
                <w:highlight w:val="none"/>
              </w:rPr>
            </w:pPr>
          </w:p>
        </w:tc>
        <w:tc>
          <w:tcPr>
            <w:tcW w:w="553" w:type="dxa"/>
            <w:vAlign w:val="top"/>
          </w:tcPr>
          <w:p w14:paraId="0FCB212E">
            <w:pPr>
              <w:spacing w:line="360" w:lineRule="auto"/>
              <w:rPr>
                <w:rFonts w:hint="eastAsia" w:ascii="宋体" w:hAnsi="宋体" w:eastAsia="宋体" w:cs="宋体"/>
                <w:color w:val="auto"/>
                <w:sz w:val="24"/>
                <w:highlight w:val="none"/>
              </w:rPr>
            </w:pPr>
          </w:p>
        </w:tc>
        <w:tc>
          <w:tcPr>
            <w:tcW w:w="553" w:type="dxa"/>
            <w:vAlign w:val="top"/>
          </w:tcPr>
          <w:p w14:paraId="01E86560">
            <w:pPr>
              <w:spacing w:line="360" w:lineRule="auto"/>
              <w:rPr>
                <w:rFonts w:hint="eastAsia" w:ascii="宋体" w:hAnsi="宋体" w:eastAsia="宋体" w:cs="宋体"/>
                <w:color w:val="auto"/>
                <w:sz w:val="24"/>
                <w:highlight w:val="none"/>
              </w:rPr>
            </w:pPr>
          </w:p>
        </w:tc>
        <w:tc>
          <w:tcPr>
            <w:tcW w:w="553" w:type="dxa"/>
            <w:vAlign w:val="top"/>
          </w:tcPr>
          <w:p w14:paraId="4AFDB65C">
            <w:pPr>
              <w:spacing w:line="360" w:lineRule="auto"/>
              <w:rPr>
                <w:rFonts w:hint="eastAsia" w:ascii="宋体" w:hAnsi="宋体" w:eastAsia="宋体" w:cs="宋体"/>
                <w:color w:val="auto"/>
                <w:sz w:val="24"/>
                <w:highlight w:val="none"/>
              </w:rPr>
            </w:pPr>
          </w:p>
        </w:tc>
        <w:tc>
          <w:tcPr>
            <w:tcW w:w="553" w:type="dxa"/>
            <w:vAlign w:val="top"/>
          </w:tcPr>
          <w:p w14:paraId="63349733">
            <w:pPr>
              <w:spacing w:line="360" w:lineRule="auto"/>
              <w:rPr>
                <w:rFonts w:hint="eastAsia" w:ascii="宋体" w:hAnsi="宋体" w:eastAsia="宋体" w:cs="宋体"/>
                <w:color w:val="auto"/>
                <w:sz w:val="24"/>
                <w:highlight w:val="none"/>
              </w:rPr>
            </w:pPr>
          </w:p>
        </w:tc>
        <w:tc>
          <w:tcPr>
            <w:tcW w:w="553" w:type="dxa"/>
            <w:vAlign w:val="top"/>
          </w:tcPr>
          <w:p w14:paraId="6168DB0D">
            <w:pPr>
              <w:spacing w:line="360" w:lineRule="auto"/>
              <w:rPr>
                <w:rFonts w:hint="eastAsia" w:ascii="宋体" w:hAnsi="宋体" w:eastAsia="宋体" w:cs="宋体"/>
                <w:color w:val="auto"/>
                <w:sz w:val="24"/>
                <w:highlight w:val="none"/>
              </w:rPr>
            </w:pPr>
          </w:p>
        </w:tc>
        <w:tc>
          <w:tcPr>
            <w:tcW w:w="553" w:type="dxa"/>
            <w:vAlign w:val="top"/>
          </w:tcPr>
          <w:p w14:paraId="7959733F">
            <w:pPr>
              <w:spacing w:line="360" w:lineRule="auto"/>
              <w:rPr>
                <w:rFonts w:hint="eastAsia" w:ascii="宋体" w:hAnsi="宋体" w:eastAsia="宋体" w:cs="宋体"/>
                <w:color w:val="auto"/>
                <w:sz w:val="24"/>
                <w:highlight w:val="none"/>
              </w:rPr>
            </w:pPr>
          </w:p>
        </w:tc>
        <w:tc>
          <w:tcPr>
            <w:tcW w:w="553" w:type="dxa"/>
            <w:vAlign w:val="top"/>
          </w:tcPr>
          <w:p w14:paraId="450608C9">
            <w:pPr>
              <w:spacing w:line="360" w:lineRule="auto"/>
              <w:rPr>
                <w:rFonts w:hint="eastAsia" w:ascii="宋体" w:hAnsi="宋体" w:eastAsia="宋体" w:cs="宋体"/>
                <w:color w:val="auto"/>
                <w:sz w:val="24"/>
                <w:highlight w:val="none"/>
              </w:rPr>
            </w:pPr>
          </w:p>
        </w:tc>
        <w:tc>
          <w:tcPr>
            <w:tcW w:w="553" w:type="dxa"/>
            <w:vAlign w:val="top"/>
          </w:tcPr>
          <w:p w14:paraId="0525AF0F">
            <w:pPr>
              <w:spacing w:line="360" w:lineRule="auto"/>
              <w:rPr>
                <w:rFonts w:hint="eastAsia" w:ascii="宋体" w:hAnsi="宋体" w:eastAsia="宋体" w:cs="宋体"/>
                <w:color w:val="auto"/>
                <w:sz w:val="24"/>
                <w:highlight w:val="none"/>
              </w:rPr>
            </w:pPr>
          </w:p>
        </w:tc>
        <w:tc>
          <w:tcPr>
            <w:tcW w:w="553" w:type="dxa"/>
            <w:vAlign w:val="top"/>
          </w:tcPr>
          <w:p w14:paraId="158F22B6">
            <w:pPr>
              <w:spacing w:line="360" w:lineRule="auto"/>
              <w:rPr>
                <w:rFonts w:hint="eastAsia" w:ascii="宋体" w:hAnsi="宋体" w:eastAsia="宋体" w:cs="宋体"/>
                <w:color w:val="auto"/>
                <w:sz w:val="24"/>
                <w:highlight w:val="none"/>
              </w:rPr>
            </w:pPr>
          </w:p>
        </w:tc>
        <w:tc>
          <w:tcPr>
            <w:tcW w:w="553" w:type="dxa"/>
            <w:vAlign w:val="top"/>
          </w:tcPr>
          <w:p w14:paraId="7E466A76">
            <w:pPr>
              <w:spacing w:line="360" w:lineRule="auto"/>
              <w:rPr>
                <w:rFonts w:hint="eastAsia" w:ascii="宋体" w:hAnsi="宋体" w:eastAsia="宋体" w:cs="宋体"/>
                <w:color w:val="auto"/>
                <w:sz w:val="24"/>
                <w:highlight w:val="none"/>
              </w:rPr>
            </w:pPr>
          </w:p>
        </w:tc>
      </w:tr>
    </w:tbl>
    <w:p w14:paraId="3C7ACC42">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注：供应商可按上述时间表的格式自行编制切合实际的具体时间表。</w:t>
      </w:r>
    </w:p>
    <w:p w14:paraId="1128EACA">
      <w:pPr>
        <w:spacing w:line="500" w:lineRule="exact"/>
        <w:rPr>
          <w:rFonts w:hint="eastAsia" w:ascii="宋体" w:hAnsi="宋体" w:eastAsia="宋体" w:cs="宋体"/>
          <w:color w:val="auto"/>
          <w:sz w:val="32"/>
          <w:szCs w:val="32"/>
          <w:highlight w:val="none"/>
        </w:rPr>
      </w:pPr>
    </w:p>
    <w:p w14:paraId="3DB1036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465EEB8">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790DFDB">
      <w:pPr>
        <w:spacing w:line="500" w:lineRule="exact"/>
        <w:rPr>
          <w:rFonts w:hint="eastAsia" w:ascii="宋体" w:hAnsi="宋体" w:eastAsia="宋体" w:cs="宋体"/>
          <w:color w:val="auto"/>
          <w:sz w:val="32"/>
          <w:szCs w:val="32"/>
          <w:highlight w:val="none"/>
        </w:rPr>
      </w:pPr>
    </w:p>
    <w:p w14:paraId="13C815D5">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p>
    <w:p w14:paraId="56A42C0D">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p>
    <w:p w14:paraId="1BDF875F">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p>
    <w:p w14:paraId="608858A3">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p>
    <w:p w14:paraId="3BC7E63B">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p>
    <w:p w14:paraId="733DDA0B">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p>
    <w:p w14:paraId="32FF7340">
      <w:pPr>
        <w:snapToGrid w:val="0"/>
        <w:spacing w:before="120" w:beforeLines="50" w:after="50"/>
        <w:ind w:left="143" w:leftChars="68" w:firstLine="596" w:firstLineChars="198"/>
        <w:rPr>
          <w:rFonts w:hint="eastAsia" w:ascii="宋体" w:hAnsi="宋体" w:eastAsia="宋体" w:cs="宋体"/>
          <w:b/>
          <w:color w:val="auto"/>
          <w:sz w:val="30"/>
          <w:szCs w:val="30"/>
          <w:highlight w:val="none"/>
        </w:rPr>
      </w:pPr>
    </w:p>
    <w:p w14:paraId="43BE9833">
      <w:pPr>
        <w:snapToGrid w:val="0"/>
        <w:spacing w:before="120" w:beforeLines="50" w:after="50"/>
        <w:ind w:left="143" w:leftChars="68" w:firstLine="596" w:firstLineChars="19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九、售后服务</w:t>
      </w:r>
      <w:r>
        <w:rPr>
          <w:rFonts w:hint="eastAsia" w:ascii="宋体" w:hAnsi="宋体" w:cs="宋体"/>
          <w:b/>
          <w:color w:val="auto"/>
          <w:sz w:val="30"/>
          <w:szCs w:val="30"/>
          <w:highlight w:val="none"/>
          <w:lang w:eastAsia="zh-CN"/>
        </w:rPr>
        <w:t>承诺</w:t>
      </w:r>
    </w:p>
    <w:p w14:paraId="7B734111">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由竞标人按本项目竞争性磋商采购文件第二章“服务需求一览表”中商务条款部分的售后服务要求自行填写，其中要包含售后服务承诺书。</w:t>
      </w:r>
    </w:p>
    <w:p w14:paraId="6D69344E">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548B5025">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EFF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7CAEEA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vAlign w:val="top"/>
          </w:tcPr>
          <w:p w14:paraId="4E6F4812">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vAlign w:val="top"/>
          </w:tcPr>
          <w:p w14:paraId="10CDB1D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vAlign w:val="top"/>
          </w:tcPr>
          <w:p w14:paraId="730D1C3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vAlign w:val="top"/>
          </w:tcPr>
          <w:p w14:paraId="11FC1478">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vAlign w:val="top"/>
          </w:tcPr>
          <w:p w14:paraId="2AE4109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69FD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BB0BA1E">
            <w:pPr>
              <w:autoSpaceDE w:val="0"/>
              <w:autoSpaceDN w:val="0"/>
              <w:spacing w:line="360" w:lineRule="auto"/>
              <w:jc w:val="center"/>
              <w:rPr>
                <w:rFonts w:hint="eastAsia" w:ascii="宋体" w:hAnsi="宋体" w:eastAsia="宋体" w:cs="宋体"/>
                <w:color w:val="auto"/>
                <w:sz w:val="24"/>
                <w:highlight w:val="none"/>
              </w:rPr>
            </w:pPr>
          </w:p>
        </w:tc>
        <w:tc>
          <w:tcPr>
            <w:tcW w:w="2340" w:type="dxa"/>
            <w:vAlign w:val="top"/>
          </w:tcPr>
          <w:p w14:paraId="6C15B0F4">
            <w:pPr>
              <w:autoSpaceDE w:val="0"/>
              <w:autoSpaceDN w:val="0"/>
              <w:spacing w:line="360" w:lineRule="auto"/>
              <w:jc w:val="center"/>
              <w:rPr>
                <w:rFonts w:hint="eastAsia" w:ascii="宋体" w:hAnsi="宋体" w:eastAsia="宋体" w:cs="宋体"/>
                <w:color w:val="auto"/>
                <w:sz w:val="24"/>
                <w:highlight w:val="none"/>
              </w:rPr>
            </w:pPr>
          </w:p>
        </w:tc>
        <w:tc>
          <w:tcPr>
            <w:tcW w:w="1095" w:type="dxa"/>
            <w:vAlign w:val="top"/>
          </w:tcPr>
          <w:p w14:paraId="78E20958">
            <w:pPr>
              <w:autoSpaceDE w:val="0"/>
              <w:autoSpaceDN w:val="0"/>
              <w:spacing w:line="360" w:lineRule="auto"/>
              <w:jc w:val="center"/>
              <w:rPr>
                <w:rFonts w:hint="eastAsia" w:ascii="宋体" w:hAnsi="宋体" w:eastAsia="宋体" w:cs="宋体"/>
                <w:color w:val="auto"/>
                <w:sz w:val="24"/>
                <w:highlight w:val="none"/>
              </w:rPr>
            </w:pPr>
          </w:p>
        </w:tc>
        <w:tc>
          <w:tcPr>
            <w:tcW w:w="1245" w:type="dxa"/>
            <w:vAlign w:val="top"/>
          </w:tcPr>
          <w:p w14:paraId="62A95106">
            <w:pPr>
              <w:autoSpaceDE w:val="0"/>
              <w:autoSpaceDN w:val="0"/>
              <w:spacing w:line="360" w:lineRule="auto"/>
              <w:jc w:val="center"/>
              <w:rPr>
                <w:rFonts w:hint="eastAsia" w:ascii="宋体" w:hAnsi="宋体" w:eastAsia="宋体" w:cs="宋体"/>
                <w:color w:val="auto"/>
                <w:sz w:val="24"/>
                <w:highlight w:val="none"/>
              </w:rPr>
            </w:pPr>
          </w:p>
        </w:tc>
        <w:tc>
          <w:tcPr>
            <w:tcW w:w="1980" w:type="dxa"/>
            <w:vAlign w:val="top"/>
          </w:tcPr>
          <w:p w14:paraId="0FC01850">
            <w:pPr>
              <w:autoSpaceDE w:val="0"/>
              <w:autoSpaceDN w:val="0"/>
              <w:spacing w:line="360" w:lineRule="auto"/>
              <w:jc w:val="center"/>
              <w:rPr>
                <w:rFonts w:hint="eastAsia" w:ascii="宋体" w:hAnsi="宋体" w:eastAsia="宋体" w:cs="宋体"/>
                <w:color w:val="auto"/>
                <w:sz w:val="24"/>
                <w:highlight w:val="none"/>
              </w:rPr>
            </w:pPr>
          </w:p>
        </w:tc>
        <w:tc>
          <w:tcPr>
            <w:tcW w:w="1260" w:type="dxa"/>
            <w:vAlign w:val="top"/>
          </w:tcPr>
          <w:p w14:paraId="6E4D4E08">
            <w:pPr>
              <w:autoSpaceDE w:val="0"/>
              <w:autoSpaceDN w:val="0"/>
              <w:spacing w:line="360" w:lineRule="auto"/>
              <w:jc w:val="center"/>
              <w:rPr>
                <w:rFonts w:hint="eastAsia" w:ascii="宋体" w:hAnsi="宋体" w:eastAsia="宋体" w:cs="宋体"/>
                <w:color w:val="auto"/>
                <w:sz w:val="24"/>
                <w:highlight w:val="none"/>
              </w:rPr>
            </w:pPr>
          </w:p>
        </w:tc>
      </w:tr>
      <w:tr w14:paraId="7120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3498AB9">
            <w:pPr>
              <w:autoSpaceDE w:val="0"/>
              <w:autoSpaceDN w:val="0"/>
              <w:spacing w:line="360" w:lineRule="auto"/>
              <w:jc w:val="center"/>
              <w:rPr>
                <w:rFonts w:hint="eastAsia" w:ascii="宋体" w:hAnsi="宋体" w:eastAsia="宋体" w:cs="宋体"/>
                <w:color w:val="auto"/>
                <w:sz w:val="24"/>
                <w:highlight w:val="none"/>
              </w:rPr>
            </w:pPr>
          </w:p>
        </w:tc>
        <w:tc>
          <w:tcPr>
            <w:tcW w:w="2340" w:type="dxa"/>
            <w:vAlign w:val="top"/>
          </w:tcPr>
          <w:p w14:paraId="4992B415">
            <w:pPr>
              <w:autoSpaceDE w:val="0"/>
              <w:autoSpaceDN w:val="0"/>
              <w:spacing w:line="360" w:lineRule="auto"/>
              <w:jc w:val="center"/>
              <w:rPr>
                <w:rFonts w:hint="eastAsia" w:ascii="宋体" w:hAnsi="宋体" w:eastAsia="宋体" w:cs="宋体"/>
                <w:color w:val="auto"/>
                <w:sz w:val="24"/>
                <w:highlight w:val="none"/>
              </w:rPr>
            </w:pPr>
          </w:p>
        </w:tc>
        <w:tc>
          <w:tcPr>
            <w:tcW w:w="1095" w:type="dxa"/>
            <w:vAlign w:val="top"/>
          </w:tcPr>
          <w:p w14:paraId="3C2E9252">
            <w:pPr>
              <w:autoSpaceDE w:val="0"/>
              <w:autoSpaceDN w:val="0"/>
              <w:spacing w:line="360" w:lineRule="auto"/>
              <w:jc w:val="center"/>
              <w:rPr>
                <w:rFonts w:hint="eastAsia" w:ascii="宋体" w:hAnsi="宋体" w:eastAsia="宋体" w:cs="宋体"/>
                <w:color w:val="auto"/>
                <w:sz w:val="24"/>
                <w:highlight w:val="none"/>
              </w:rPr>
            </w:pPr>
          </w:p>
        </w:tc>
        <w:tc>
          <w:tcPr>
            <w:tcW w:w="1245" w:type="dxa"/>
            <w:vAlign w:val="top"/>
          </w:tcPr>
          <w:p w14:paraId="7D91C001">
            <w:pPr>
              <w:autoSpaceDE w:val="0"/>
              <w:autoSpaceDN w:val="0"/>
              <w:spacing w:line="360" w:lineRule="auto"/>
              <w:jc w:val="center"/>
              <w:rPr>
                <w:rFonts w:hint="eastAsia" w:ascii="宋体" w:hAnsi="宋体" w:eastAsia="宋体" w:cs="宋体"/>
                <w:color w:val="auto"/>
                <w:sz w:val="24"/>
                <w:highlight w:val="none"/>
              </w:rPr>
            </w:pPr>
          </w:p>
        </w:tc>
        <w:tc>
          <w:tcPr>
            <w:tcW w:w="1980" w:type="dxa"/>
            <w:vAlign w:val="top"/>
          </w:tcPr>
          <w:p w14:paraId="571EFF61">
            <w:pPr>
              <w:autoSpaceDE w:val="0"/>
              <w:autoSpaceDN w:val="0"/>
              <w:spacing w:line="360" w:lineRule="auto"/>
              <w:jc w:val="center"/>
              <w:rPr>
                <w:rFonts w:hint="eastAsia" w:ascii="宋体" w:hAnsi="宋体" w:eastAsia="宋体" w:cs="宋体"/>
                <w:color w:val="auto"/>
                <w:sz w:val="24"/>
                <w:highlight w:val="none"/>
              </w:rPr>
            </w:pPr>
          </w:p>
        </w:tc>
        <w:tc>
          <w:tcPr>
            <w:tcW w:w="1260" w:type="dxa"/>
            <w:vAlign w:val="top"/>
          </w:tcPr>
          <w:p w14:paraId="35A14D20">
            <w:pPr>
              <w:autoSpaceDE w:val="0"/>
              <w:autoSpaceDN w:val="0"/>
              <w:spacing w:line="360" w:lineRule="auto"/>
              <w:jc w:val="center"/>
              <w:rPr>
                <w:rFonts w:hint="eastAsia" w:ascii="宋体" w:hAnsi="宋体" w:eastAsia="宋体" w:cs="宋体"/>
                <w:color w:val="auto"/>
                <w:sz w:val="24"/>
                <w:highlight w:val="none"/>
              </w:rPr>
            </w:pPr>
          </w:p>
        </w:tc>
      </w:tr>
      <w:tr w14:paraId="48C8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3CFF25C">
            <w:pPr>
              <w:autoSpaceDE w:val="0"/>
              <w:autoSpaceDN w:val="0"/>
              <w:spacing w:line="360" w:lineRule="auto"/>
              <w:jc w:val="center"/>
              <w:rPr>
                <w:rFonts w:hint="eastAsia" w:ascii="宋体" w:hAnsi="宋体" w:eastAsia="宋体" w:cs="宋体"/>
                <w:color w:val="auto"/>
                <w:sz w:val="24"/>
                <w:highlight w:val="none"/>
              </w:rPr>
            </w:pPr>
          </w:p>
        </w:tc>
        <w:tc>
          <w:tcPr>
            <w:tcW w:w="2340" w:type="dxa"/>
            <w:vAlign w:val="top"/>
          </w:tcPr>
          <w:p w14:paraId="35B000FE">
            <w:pPr>
              <w:autoSpaceDE w:val="0"/>
              <w:autoSpaceDN w:val="0"/>
              <w:spacing w:line="360" w:lineRule="auto"/>
              <w:jc w:val="center"/>
              <w:rPr>
                <w:rFonts w:hint="eastAsia" w:ascii="宋体" w:hAnsi="宋体" w:eastAsia="宋体" w:cs="宋体"/>
                <w:color w:val="auto"/>
                <w:sz w:val="24"/>
                <w:highlight w:val="none"/>
              </w:rPr>
            </w:pPr>
          </w:p>
        </w:tc>
        <w:tc>
          <w:tcPr>
            <w:tcW w:w="1095" w:type="dxa"/>
            <w:vAlign w:val="top"/>
          </w:tcPr>
          <w:p w14:paraId="5028F86A">
            <w:pPr>
              <w:autoSpaceDE w:val="0"/>
              <w:autoSpaceDN w:val="0"/>
              <w:spacing w:line="360" w:lineRule="auto"/>
              <w:jc w:val="center"/>
              <w:rPr>
                <w:rFonts w:hint="eastAsia" w:ascii="宋体" w:hAnsi="宋体" w:eastAsia="宋体" w:cs="宋体"/>
                <w:color w:val="auto"/>
                <w:sz w:val="24"/>
                <w:highlight w:val="none"/>
              </w:rPr>
            </w:pPr>
          </w:p>
        </w:tc>
        <w:tc>
          <w:tcPr>
            <w:tcW w:w="1245" w:type="dxa"/>
            <w:vAlign w:val="top"/>
          </w:tcPr>
          <w:p w14:paraId="7823160A">
            <w:pPr>
              <w:autoSpaceDE w:val="0"/>
              <w:autoSpaceDN w:val="0"/>
              <w:spacing w:line="360" w:lineRule="auto"/>
              <w:jc w:val="center"/>
              <w:rPr>
                <w:rFonts w:hint="eastAsia" w:ascii="宋体" w:hAnsi="宋体" w:eastAsia="宋体" w:cs="宋体"/>
                <w:color w:val="auto"/>
                <w:sz w:val="24"/>
                <w:highlight w:val="none"/>
              </w:rPr>
            </w:pPr>
          </w:p>
        </w:tc>
        <w:tc>
          <w:tcPr>
            <w:tcW w:w="1980" w:type="dxa"/>
            <w:vAlign w:val="top"/>
          </w:tcPr>
          <w:p w14:paraId="37D599AB">
            <w:pPr>
              <w:autoSpaceDE w:val="0"/>
              <w:autoSpaceDN w:val="0"/>
              <w:spacing w:line="360" w:lineRule="auto"/>
              <w:jc w:val="center"/>
              <w:rPr>
                <w:rFonts w:hint="eastAsia" w:ascii="宋体" w:hAnsi="宋体" w:eastAsia="宋体" w:cs="宋体"/>
                <w:color w:val="auto"/>
                <w:sz w:val="24"/>
                <w:highlight w:val="none"/>
              </w:rPr>
            </w:pPr>
          </w:p>
        </w:tc>
        <w:tc>
          <w:tcPr>
            <w:tcW w:w="1260" w:type="dxa"/>
            <w:vAlign w:val="top"/>
          </w:tcPr>
          <w:p w14:paraId="585FFE95">
            <w:pPr>
              <w:autoSpaceDE w:val="0"/>
              <w:autoSpaceDN w:val="0"/>
              <w:spacing w:line="360" w:lineRule="auto"/>
              <w:jc w:val="center"/>
              <w:rPr>
                <w:rFonts w:hint="eastAsia" w:ascii="宋体" w:hAnsi="宋体" w:eastAsia="宋体" w:cs="宋体"/>
                <w:color w:val="auto"/>
                <w:sz w:val="24"/>
                <w:highlight w:val="none"/>
              </w:rPr>
            </w:pPr>
          </w:p>
        </w:tc>
      </w:tr>
    </w:tbl>
    <w:p w14:paraId="60D348AF">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注：关于项目涉及的所有售后服务机构均在本表注明，包括供应商本单位和符合条件的第三方服务机构；</w:t>
      </w:r>
    </w:p>
    <w:p w14:paraId="648B0C8D">
      <w:pPr>
        <w:autoSpaceDE w:val="0"/>
        <w:autoSpaceDN w:val="0"/>
        <w:spacing w:line="360" w:lineRule="auto"/>
        <w:rPr>
          <w:rFonts w:hint="eastAsia" w:ascii="宋体" w:hAnsi="宋体" w:eastAsia="宋体" w:cs="宋体"/>
          <w:color w:val="auto"/>
          <w:kern w:val="0"/>
          <w:sz w:val="24"/>
          <w:highlight w:val="none"/>
        </w:rPr>
      </w:pPr>
    </w:p>
    <w:p w14:paraId="0D8292E7">
      <w:pP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067FFCB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9F389C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77ECCED6">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1FF817B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8A653F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FCD47C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053728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3098323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70B06ED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796D99F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17F0928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5E6085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43FCFF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641147EC">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32E4403F">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347CD9E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vAlign w:val="top"/>
          </w:tcPr>
          <w:p w14:paraId="6FB6662D">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9A72506">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BEDA008">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27EB8119">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6C0475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5456067">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239341EA">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2C3D2945">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1B00EDDA">
            <w:pPr>
              <w:autoSpaceDE w:val="0"/>
              <w:autoSpaceDN w:val="0"/>
              <w:spacing w:line="360" w:lineRule="auto"/>
              <w:rPr>
                <w:rFonts w:hint="eastAsia" w:ascii="宋体" w:hAnsi="宋体" w:eastAsia="宋体" w:cs="宋体"/>
                <w:color w:val="auto"/>
                <w:sz w:val="24"/>
                <w:highlight w:val="none"/>
              </w:rPr>
            </w:pPr>
          </w:p>
        </w:tc>
      </w:tr>
      <w:tr w14:paraId="3D2860B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74042449">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6E08EE9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vAlign w:val="top"/>
          </w:tcPr>
          <w:p w14:paraId="4CCBA24D">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6C68715C">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7E7474E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D0550F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82E124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A2C4034">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4F5A8A3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ECB5332">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0D33FC69">
            <w:pPr>
              <w:autoSpaceDE w:val="0"/>
              <w:autoSpaceDN w:val="0"/>
              <w:spacing w:line="360" w:lineRule="auto"/>
              <w:rPr>
                <w:rFonts w:hint="eastAsia" w:ascii="宋体" w:hAnsi="宋体" w:eastAsia="宋体" w:cs="宋体"/>
                <w:color w:val="auto"/>
                <w:sz w:val="24"/>
                <w:highlight w:val="none"/>
              </w:rPr>
            </w:pPr>
          </w:p>
        </w:tc>
      </w:tr>
      <w:tr w14:paraId="1F9A489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5071BA02">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6E2CB9E9">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0910C5CB">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B07D31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5DAED9B5">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718C7E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1E0357B">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5D3195B0">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57628405">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3C6C135F">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74B697A2">
            <w:pPr>
              <w:autoSpaceDE w:val="0"/>
              <w:autoSpaceDN w:val="0"/>
              <w:spacing w:line="360" w:lineRule="auto"/>
              <w:rPr>
                <w:rFonts w:hint="eastAsia" w:ascii="宋体" w:hAnsi="宋体" w:eastAsia="宋体" w:cs="宋体"/>
                <w:color w:val="auto"/>
                <w:sz w:val="24"/>
                <w:highlight w:val="none"/>
              </w:rPr>
            </w:pPr>
          </w:p>
        </w:tc>
      </w:tr>
      <w:tr w14:paraId="0F6D409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top"/>
          </w:tcPr>
          <w:p w14:paraId="7AA982C8">
            <w:pPr>
              <w:autoSpaceDE w:val="0"/>
              <w:autoSpaceDN w:val="0"/>
              <w:spacing w:line="360" w:lineRule="auto"/>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top"/>
          </w:tcPr>
          <w:p w14:paraId="552B0FEE">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0B708E72">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47492ED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1B2B902E">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4311B493">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9A0CC4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38440632">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53ABA2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6D3FBBFD">
            <w:pPr>
              <w:autoSpaceDE w:val="0"/>
              <w:autoSpaceDN w:val="0"/>
              <w:spacing w:line="360" w:lineRule="auto"/>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vAlign w:val="top"/>
          </w:tcPr>
          <w:p w14:paraId="07E90055">
            <w:pPr>
              <w:autoSpaceDE w:val="0"/>
              <w:autoSpaceDN w:val="0"/>
              <w:spacing w:line="360" w:lineRule="auto"/>
              <w:rPr>
                <w:rFonts w:hint="eastAsia" w:ascii="宋体" w:hAnsi="宋体" w:eastAsia="宋体" w:cs="宋体"/>
                <w:color w:val="auto"/>
                <w:sz w:val="24"/>
                <w:highlight w:val="none"/>
              </w:rPr>
            </w:pPr>
          </w:p>
        </w:tc>
      </w:tr>
    </w:tbl>
    <w:p w14:paraId="30F24CE2">
      <w:pPr>
        <w:pStyle w:val="15"/>
        <w:spacing w:line="440" w:lineRule="exact"/>
        <w:ind w:firstLine="396" w:firstLineChars="198"/>
        <w:rPr>
          <w:rFonts w:hint="eastAsia" w:ascii="宋体" w:hAnsi="宋体" w:eastAsia="宋体" w:cs="宋体"/>
          <w:color w:val="auto"/>
          <w:highlight w:val="none"/>
        </w:rPr>
      </w:pPr>
    </w:p>
    <w:p w14:paraId="267686A5">
      <w:pPr>
        <w:spacing w:line="500" w:lineRule="exact"/>
        <w:rPr>
          <w:rFonts w:hint="eastAsia" w:ascii="宋体" w:hAnsi="宋体" w:eastAsia="宋体" w:cs="宋体"/>
          <w:color w:val="auto"/>
          <w:sz w:val="32"/>
          <w:szCs w:val="32"/>
          <w:highlight w:val="none"/>
        </w:rPr>
      </w:pPr>
    </w:p>
    <w:p w14:paraId="130A7AE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F85F240">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B6E5F0B">
      <w:pPr>
        <w:snapToGrid w:val="0"/>
        <w:spacing w:line="360" w:lineRule="auto"/>
        <w:ind w:firstLine="602" w:firstLineChars="200"/>
        <w:rPr>
          <w:rFonts w:hint="eastAsia" w:ascii="宋体" w:hAnsi="宋体" w:eastAsia="宋体" w:cs="宋体"/>
          <w:b/>
          <w:color w:val="auto"/>
          <w:sz w:val="30"/>
          <w:szCs w:val="30"/>
          <w:highlight w:val="none"/>
        </w:rPr>
      </w:pPr>
    </w:p>
    <w:p w14:paraId="102E8266">
      <w:pPr>
        <w:snapToGrid w:val="0"/>
        <w:spacing w:line="360" w:lineRule="auto"/>
        <w:ind w:firstLine="602" w:firstLineChars="200"/>
        <w:rPr>
          <w:rFonts w:hint="eastAsia" w:ascii="宋体" w:hAnsi="宋体" w:eastAsia="宋体" w:cs="宋体"/>
          <w:b/>
          <w:color w:val="auto"/>
          <w:sz w:val="30"/>
          <w:szCs w:val="30"/>
          <w:highlight w:val="none"/>
        </w:rPr>
      </w:pPr>
    </w:p>
    <w:p w14:paraId="41035602">
      <w:pPr>
        <w:snapToGrid w:val="0"/>
        <w:spacing w:line="360" w:lineRule="auto"/>
        <w:ind w:firstLine="0" w:firstLineChars="0"/>
        <w:rPr>
          <w:rFonts w:hint="eastAsia" w:ascii="宋体" w:hAnsi="宋体" w:eastAsia="宋体" w:cs="宋体"/>
          <w:b/>
          <w:color w:val="auto"/>
          <w:sz w:val="30"/>
          <w:szCs w:val="30"/>
          <w:highlight w:val="none"/>
        </w:rPr>
      </w:pPr>
    </w:p>
    <w:p w14:paraId="563AEE78">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6533320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24C3E650">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1"/>
        <w:tblW w:w="8755" w:type="dxa"/>
        <w:tblInd w:w="0" w:type="dxa"/>
        <w:tblLayout w:type="fixed"/>
        <w:tblCellMar>
          <w:top w:w="0" w:type="dxa"/>
          <w:left w:w="108" w:type="dxa"/>
          <w:bottom w:w="0" w:type="dxa"/>
          <w:right w:w="108" w:type="dxa"/>
        </w:tblCellMar>
      </w:tblPr>
      <w:tblGrid>
        <w:gridCol w:w="2061"/>
        <w:gridCol w:w="1287"/>
        <w:gridCol w:w="1260"/>
        <w:gridCol w:w="4147"/>
      </w:tblGrid>
      <w:tr w14:paraId="2DCCBC3F">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F395D7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2E53A2D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2250B5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E52ACA7">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4B6D34E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7CA149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743E041">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6E174FA">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345FD86A">
            <w:pPr>
              <w:autoSpaceDE w:val="0"/>
              <w:autoSpaceDN w:val="0"/>
              <w:spacing w:line="360" w:lineRule="auto"/>
              <w:jc w:val="center"/>
              <w:rPr>
                <w:rFonts w:hint="eastAsia" w:ascii="宋体" w:hAnsi="宋体" w:eastAsia="宋体" w:cs="宋体"/>
                <w:color w:val="auto"/>
                <w:sz w:val="24"/>
                <w:highlight w:val="none"/>
              </w:rPr>
            </w:pPr>
          </w:p>
        </w:tc>
      </w:tr>
      <w:tr w14:paraId="4318AE6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1BD64F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2019E9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30399A9">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94EC97">
            <w:pPr>
              <w:autoSpaceDE w:val="0"/>
              <w:autoSpaceDN w:val="0"/>
              <w:spacing w:line="360" w:lineRule="auto"/>
              <w:jc w:val="center"/>
              <w:rPr>
                <w:rFonts w:hint="eastAsia" w:ascii="宋体" w:hAnsi="宋体" w:eastAsia="宋体" w:cs="宋体"/>
                <w:color w:val="auto"/>
                <w:sz w:val="24"/>
                <w:highlight w:val="none"/>
              </w:rPr>
            </w:pPr>
          </w:p>
        </w:tc>
      </w:tr>
      <w:tr w14:paraId="79B9F081">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68DFE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601F4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345485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941FB7C">
            <w:pPr>
              <w:autoSpaceDE w:val="0"/>
              <w:autoSpaceDN w:val="0"/>
              <w:spacing w:line="360" w:lineRule="auto"/>
              <w:jc w:val="center"/>
              <w:rPr>
                <w:rFonts w:hint="eastAsia" w:ascii="宋体" w:hAnsi="宋体" w:eastAsia="宋体" w:cs="宋体"/>
                <w:color w:val="auto"/>
                <w:sz w:val="24"/>
                <w:highlight w:val="none"/>
              </w:rPr>
            </w:pPr>
          </w:p>
        </w:tc>
      </w:tr>
      <w:tr w14:paraId="501170D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C59459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A2BE4C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35B7FF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C50FB0">
            <w:pPr>
              <w:autoSpaceDE w:val="0"/>
              <w:autoSpaceDN w:val="0"/>
              <w:spacing w:line="360" w:lineRule="auto"/>
              <w:jc w:val="center"/>
              <w:rPr>
                <w:rFonts w:hint="eastAsia" w:ascii="宋体" w:hAnsi="宋体" w:eastAsia="宋体" w:cs="宋体"/>
                <w:color w:val="auto"/>
                <w:sz w:val="24"/>
                <w:highlight w:val="none"/>
              </w:rPr>
            </w:pPr>
          </w:p>
        </w:tc>
      </w:tr>
      <w:tr w14:paraId="1108BE5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177C7F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5EE9D5EC">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C749F58">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E993165">
            <w:pPr>
              <w:autoSpaceDE w:val="0"/>
              <w:autoSpaceDN w:val="0"/>
              <w:spacing w:line="360" w:lineRule="auto"/>
              <w:jc w:val="center"/>
              <w:rPr>
                <w:rFonts w:hint="eastAsia" w:ascii="宋体" w:hAnsi="宋体" w:eastAsia="宋体" w:cs="宋体"/>
                <w:color w:val="auto"/>
                <w:sz w:val="24"/>
                <w:highlight w:val="none"/>
              </w:rPr>
            </w:pPr>
          </w:p>
        </w:tc>
      </w:tr>
      <w:tr w14:paraId="777131F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4A7EEB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E0A28D3">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AE90290">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32761B0">
            <w:pPr>
              <w:autoSpaceDE w:val="0"/>
              <w:autoSpaceDN w:val="0"/>
              <w:spacing w:line="360" w:lineRule="auto"/>
              <w:jc w:val="center"/>
              <w:rPr>
                <w:rFonts w:hint="eastAsia" w:ascii="宋体" w:hAnsi="宋体" w:eastAsia="宋体" w:cs="宋体"/>
                <w:color w:val="auto"/>
                <w:sz w:val="24"/>
                <w:highlight w:val="none"/>
              </w:rPr>
            </w:pPr>
          </w:p>
        </w:tc>
      </w:tr>
      <w:tr w14:paraId="2B6B080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E91B3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FA38BA6">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E78D37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8FC9063">
            <w:pPr>
              <w:autoSpaceDE w:val="0"/>
              <w:autoSpaceDN w:val="0"/>
              <w:spacing w:line="360" w:lineRule="auto"/>
              <w:jc w:val="center"/>
              <w:rPr>
                <w:rFonts w:hint="eastAsia" w:ascii="宋体" w:hAnsi="宋体" w:eastAsia="宋体" w:cs="宋体"/>
                <w:color w:val="auto"/>
                <w:sz w:val="24"/>
                <w:highlight w:val="none"/>
              </w:rPr>
            </w:pPr>
          </w:p>
        </w:tc>
      </w:tr>
      <w:tr w14:paraId="0B5A6B83">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71AC26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2A1F0BA4">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436E93F">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337BCCD">
            <w:pPr>
              <w:autoSpaceDE w:val="0"/>
              <w:autoSpaceDN w:val="0"/>
              <w:spacing w:line="360" w:lineRule="auto"/>
              <w:jc w:val="center"/>
              <w:rPr>
                <w:rFonts w:hint="eastAsia" w:ascii="宋体" w:hAnsi="宋体" w:eastAsia="宋体" w:cs="宋体"/>
                <w:color w:val="auto"/>
                <w:sz w:val="24"/>
                <w:highlight w:val="none"/>
              </w:rPr>
            </w:pPr>
          </w:p>
        </w:tc>
      </w:tr>
      <w:tr w14:paraId="258FAF36">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58A061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BCF040F">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FD53CBE">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4EA082">
            <w:pPr>
              <w:autoSpaceDE w:val="0"/>
              <w:autoSpaceDN w:val="0"/>
              <w:spacing w:line="360" w:lineRule="auto"/>
              <w:jc w:val="center"/>
              <w:rPr>
                <w:rFonts w:hint="eastAsia" w:ascii="宋体" w:hAnsi="宋体" w:eastAsia="宋体" w:cs="宋体"/>
                <w:color w:val="auto"/>
                <w:sz w:val="24"/>
                <w:highlight w:val="none"/>
              </w:rPr>
            </w:pPr>
          </w:p>
        </w:tc>
      </w:tr>
    </w:tbl>
    <w:p w14:paraId="74D3A95A">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3028D7CE">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1852F24">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09D223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50D5E8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02BE7F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9459ED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7892540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77FD323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CCE902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293CB57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0CA099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4C4C3FF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65BB77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CE8871E">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00D1E0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0735CC2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vAlign w:val="top"/>
          </w:tcPr>
          <w:p w14:paraId="4BE18896">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14D3846B">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3AFA85D4">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67AAAD10">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7B50CD4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66C73FFF">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7B025E34">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6C9E9F1B">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7047F8E5">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0EE07E62">
            <w:pPr>
              <w:autoSpaceDE w:val="0"/>
              <w:autoSpaceDN w:val="0"/>
              <w:spacing w:line="360" w:lineRule="auto"/>
              <w:rPr>
                <w:rFonts w:hint="eastAsia" w:ascii="宋体" w:hAnsi="宋体" w:eastAsia="宋体" w:cs="宋体"/>
                <w:color w:val="auto"/>
                <w:sz w:val="24"/>
                <w:highlight w:val="none"/>
              </w:rPr>
            </w:pPr>
          </w:p>
        </w:tc>
      </w:tr>
      <w:tr w14:paraId="18F740C8">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vAlign w:val="top"/>
          </w:tcPr>
          <w:p w14:paraId="2D926DC7">
            <w:pPr>
              <w:autoSpaceDE w:val="0"/>
              <w:autoSpaceDN w:val="0"/>
              <w:spacing w:line="360" w:lineRule="auto"/>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vAlign w:val="top"/>
          </w:tcPr>
          <w:p w14:paraId="3D51B66F">
            <w:pPr>
              <w:autoSpaceDE w:val="0"/>
              <w:autoSpaceDN w:val="0"/>
              <w:spacing w:line="360" w:lineRule="auto"/>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vAlign w:val="top"/>
          </w:tcPr>
          <w:p w14:paraId="6DC70ABF">
            <w:pPr>
              <w:autoSpaceDE w:val="0"/>
              <w:autoSpaceDN w:val="0"/>
              <w:spacing w:line="360" w:lineRule="auto"/>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top"/>
          </w:tcPr>
          <w:p w14:paraId="02F23267">
            <w:pPr>
              <w:autoSpaceDE w:val="0"/>
              <w:autoSpaceDN w:val="0"/>
              <w:spacing w:line="360" w:lineRule="auto"/>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top"/>
          </w:tcPr>
          <w:p w14:paraId="11131C26">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19A835E7">
            <w:pPr>
              <w:autoSpaceDE w:val="0"/>
              <w:autoSpaceDN w:val="0"/>
              <w:spacing w:line="360" w:lineRule="auto"/>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top"/>
          </w:tcPr>
          <w:p w14:paraId="0787E30A">
            <w:pPr>
              <w:autoSpaceDE w:val="0"/>
              <w:autoSpaceDN w:val="0"/>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14:paraId="31F8EAD7">
            <w:pPr>
              <w:autoSpaceDE w:val="0"/>
              <w:autoSpaceDN w:val="0"/>
              <w:spacing w:line="360" w:lineRule="auto"/>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vAlign w:val="top"/>
          </w:tcPr>
          <w:p w14:paraId="0F54273D">
            <w:pPr>
              <w:autoSpaceDE w:val="0"/>
              <w:autoSpaceDN w:val="0"/>
              <w:spacing w:line="360" w:lineRule="auto"/>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vAlign w:val="top"/>
          </w:tcPr>
          <w:p w14:paraId="26E9B982">
            <w:pPr>
              <w:autoSpaceDE w:val="0"/>
              <w:autoSpaceDN w:val="0"/>
              <w:spacing w:line="360" w:lineRule="auto"/>
              <w:rPr>
                <w:rFonts w:hint="eastAsia" w:ascii="宋体" w:hAnsi="宋体" w:eastAsia="宋体" w:cs="宋体"/>
                <w:color w:val="auto"/>
                <w:sz w:val="24"/>
                <w:highlight w:val="none"/>
              </w:rPr>
            </w:pPr>
          </w:p>
        </w:tc>
      </w:tr>
    </w:tbl>
    <w:p w14:paraId="2EB2367E">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731C880F">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附表C:本项目的项目经理和小组人员近</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个月交纳社保记录情况表</w:t>
      </w:r>
      <w:r>
        <w:rPr>
          <w:rFonts w:hint="eastAsia" w:ascii="宋体" w:hAnsi="宋体" w:eastAsia="宋体" w:cs="宋体"/>
          <w:color w:val="auto"/>
          <w:sz w:val="24"/>
          <w:highlight w:val="none"/>
        </w:rPr>
        <w:t>（以社保局缴纳凭证作附件）</w:t>
      </w:r>
    </w:p>
    <w:p w14:paraId="6DEA2A65">
      <w:pPr>
        <w:autoSpaceDE w:val="0"/>
        <w:autoSpaceDN w:val="0"/>
        <w:spacing w:line="360" w:lineRule="auto"/>
        <w:ind w:firstLine="0" w:firstLineChars="0"/>
        <w:rPr>
          <w:rFonts w:hint="eastAsia" w:ascii="宋体" w:hAnsi="宋体" w:eastAsia="宋体" w:cs="宋体"/>
          <w:b/>
          <w:bCs/>
          <w:color w:val="auto"/>
          <w:sz w:val="24"/>
          <w:highlight w:val="none"/>
        </w:rPr>
      </w:pPr>
    </w:p>
    <w:p w14:paraId="724E440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E5A110B">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B984D3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2237F880">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w:t>
      </w:r>
      <w:r>
        <w:rPr>
          <w:rFonts w:hint="eastAsia" w:ascii="宋体" w:hAnsi="宋体" w:cs="宋体"/>
          <w:b/>
          <w:color w:val="auto"/>
          <w:sz w:val="30"/>
          <w:szCs w:val="30"/>
          <w:highlight w:val="none"/>
          <w:lang w:val="en-US" w:eastAsia="zh-CN"/>
        </w:rPr>
        <w:t>技术</w:t>
      </w:r>
      <w:r>
        <w:rPr>
          <w:rFonts w:hint="eastAsia" w:ascii="宋体" w:hAnsi="宋体" w:eastAsia="宋体" w:cs="宋体"/>
          <w:b/>
          <w:color w:val="auto"/>
          <w:sz w:val="30"/>
          <w:szCs w:val="30"/>
          <w:highlight w:val="none"/>
        </w:rPr>
        <w:t>条款要求提供的其他材料</w:t>
      </w:r>
    </w:p>
    <w:p w14:paraId="2757021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5FF9BF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7F3ECB">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3F77747">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66FDA478">
      <w:pPr>
        <w:autoSpaceDE w:val="0"/>
        <w:autoSpaceDN w:val="0"/>
        <w:spacing w:line="360" w:lineRule="auto"/>
        <w:ind w:firstLine="6505" w:firstLineChars="2700"/>
        <w:rPr>
          <w:rFonts w:hint="eastAsia" w:ascii="宋体" w:hAnsi="宋体" w:eastAsia="宋体" w:cs="宋体"/>
          <w:b/>
          <w:bCs/>
          <w:color w:val="auto"/>
          <w:sz w:val="24"/>
          <w:highlight w:val="none"/>
        </w:rPr>
      </w:pPr>
    </w:p>
    <w:p w14:paraId="418487F0">
      <w:pPr>
        <w:pStyle w:val="3"/>
        <w:jc w:val="center"/>
        <w:rPr>
          <w:rFonts w:hint="eastAsia" w:ascii="宋体" w:hAnsi="宋体" w:eastAsia="宋体" w:cs="宋体"/>
          <w:color w:val="auto"/>
          <w:highlight w:val="none"/>
          <w:lang w:val="en-US" w:eastAsia="zh-CN"/>
        </w:rPr>
      </w:pPr>
      <w:bookmarkStart w:id="91" w:name="_Toc80886945"/>
      <w:bookmarkStart w:id="92" w:name="_Toc80205941"/>
      <w:r>
        <w:rPr>
          <w:rFonts w:hint="eastAsia" w:ascii="宋体" w:hAnsi="宋体" w:eastAsia="宋体" w:cs="宋体"/>
          <w:color w:val="auto"/>
          <w:highlight w:val="none"/>
          <w:lang w:val="en-US" w:eastAsia="zh-CN"/>
        </w:rPr>
        <w:t>第四节 报价文件格式</w:t>
      </w:r>
      <w:bookmarkEnd w:id="91"/>
      <w:bookmarkEnd w:id="92"/>
    </w:p>
    <w:p w14:paraId="19F369D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84E463E">
      <w:pPr>
        <w:snapToGrid w:val="0"/>
        <w:spacing w:before="120" w:beforeLines="50" w:after="50"/>
        <w:rPr>
          <w:rFonts w:hint="eastAsia" w:ascii="宋体" w:hAnsi="宋体" w:eastAsia="宋体" w:cs="宋体"/>
          <w:color w:val="auto"/>
          <w:sz w:val="24"/>
          <w:szCs w:val="20"/>
          <w:highlight w:val="none"/>
        </w:rPr>
      </w:pPr>
    </w:p>
    <w:p w14:paraId="504FD959">
      <w:pPr>
        <w:snapToGrid w:val="0"/>
        <w:spacing w:before="120" w:beforeLines="50" w:after="50"/>
        <w:rPr>
          <w:rFonts w:hint="eastAsia" w:ascii="宋体" w:hAnsi="宋体" w:eastAsia="宋体" w:cs="宋体"/>
          <w:color w:val="auto"/>
          <w:sz w:val="24"/>
          <w:szCs w:val="20"/>
          <w:highlight w:val="none"/>
        </w:rPr>
      </w:pPr>
    </w:p>
    <w:p w14:paraId="76CB120C">
      <w:pPr>
        <w:snapToGrid w:val="0"/>
        <w:spacing w:before="120" w:beforeLines="50" w:after="50"/>
        <w:rPr>
          <w:rFonts w:hint="eastAsia" w:ascii="宋体" w:hAnsi="宋体" w:eastAsia="宋体" w:cs="宋体"/>
          <w:color w:val="auto"/>
          <w:sz w:val="24"/>
          <w:szCs w:val="20"/>
          <w:highlight w:val="none"/>
        </w:rPr>
      </w:pPr>
    </w:p>
    <w:p w14:paraId="65AD7A1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3FAD69AD">
      <w:pPr>
        <w:snapToGrid w:val="0"/>
        <w:spacing w:before="120" w:beforeLines="50" w:after="50"/>
        <w:rPr>
          <w:rFonts w:hint="eastAsia" w:ascii="宋体" w:hAnsi="宋体" w:eastAsia="宋体" w:cs="宋体"/>
          <w:bCs/>
          <w:color w:val="auto"/>
          <w:sz w:val="24"/>
          <w:szCs w:val="20"/>
          <w:highlight w:val="none"/>
        </w:rPr>
      </w:pPr>
    </w:p>
    <w:p w14:paraId="1591067F">
      <w:pPr>
        <w:snapToGrid w:val="0"/>
        <w:spacing w:before="120" w:beforeLines="50" w:after="50"/>
        <w:rPr>
          <w:rFonts w:hint="eastAsia" w:ascii="宋体" w:hAnsi="宋体" w:eastAsia="宋体" w:cs="宋体"/>
          <w:bCs/>
          <w:color w:val="auto"/>
          <w:sz w:val="24"/>
          <w:szCs w:val="20"/>
          <w:highlight w:val="none"/>
        </w:rPr>
      </w:pPr>
    </w:p>
    <w:p w14:paraId="354D4134">
      <w:pPr>
        <w:snapToGrid w:val="0"/>
        <w:spacing w:before="120" w:beforeLines="50" w:after="50"/>
        <w:rPr>
          <w:rFonts w:hint="eastAsia" w:ascii="宋体" w:hAnsi="宋体" w:eastAsia="宋体" w:cs="宋体"/>
          <w:bCs/>
          <w:color w:val="auto"/>
          <w:sz w:val="24"/>
          <w:szCs w:val="20"/>
          <w:highlight w:val="none"/>
        </w:rPr>
      </w:pPr>
    </w:p>
    <w:p w14:paraId="14275817">
      <w:pPr>
        <w:snapToGrid w:val="0"/>
        <w:spacing w:before="120" w:beforeLines="50" w:after="50"/>
        <w:rPr>
          <w:rFonts w:hint="eastAsia" w:ascii="宋体" w:hAnsi="宋体" w:eastAsia="宋体" w:cs="宋体"/>
          <w:bCs/>
          <w:color w:val="auto"/>
          <w:sz w:val="24"/>
          <w:szCs w:val="20"/>
          <w:highlight w:val="none"/>
        </w:rPr>
      </w:pPr>
    </w:p>
    <w:p w14:paraId="04FE0EE6">
      <w:pPr>
        <w:snapToGrid w:val="0"/>
        <w:spacing w:before="120" w:beforeLines="50" w:after="50"/>
        <w:rPr>
          <w:rFonts w:hint="eastAsia" w:ascii="宋体" w:hAnsi="宋体" w:eastAsia="宋体" w:cs="宋体"/>
          <w:bCs/>
          <w:color w:val="auto"/>
          <w:sz w:val="24"/>
          <w:szCs w:val="20"/>
          <w:highlight w:val="none"/>
        </w:rPr>
      </w:pPr>
    </w:p>
    <w:p w14:paraId="2BDB8B26">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p>
    <w:p w14:paraId="0E01A847">
      <w:pPr>
        <w:snapToGrid w:val="0"/>
        <w:spacing w:before="120" w:beforeLines="50" w:after="50"/>
        <w:ind w:firstLine="720" w:firstLineChars="225"/>
        <w:rPr>
          <w:rFonts w:hint="eastAsia" w:ascii="宋体" w:hAnsi="宋体" w:eastAsia="宋体" w:cs="宋体"/>
          <w:bCs/>
          <w:color w:val="auto"/>
          <w:sz w:val="32"/>
          <w:szCs w:val="32"/>
          <w:highlight w:val="none"/>
        </w:rPr>
      </w:pPr>
    </w:p>
    <w:p w14:paraId="41E65B57">
      <w:pPr>
        <w:snapToGrid w:val="0"/>
        <w:spacing w:before="120" w:beforeLines="50" w:after="50"/>
        <w:ind w:firstLine="640" w:firstLineChars="200"/>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p>
    <w:p w14:paraId="15F4886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D1E79F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49C02403">
      <w:pPr>
        <w:snapToGrid w:val="0"/>
        <w:spacing w:before="120" w:beforeLines="50" w:after="50"/>
        <w:ind w:firstLine="720" w:firstLineChars="225"/>
        <w:rPr>
          <w:rFonts w:hint="eastAsia" w:ascii="宋体" w:hAnsi="宋体" w:eastAsia="宋体" w:cs="宋体"/>
          <w:bCs/>
          <w:color w:val="auto"/>
          <w:sz w:val="32"/>
          <w:szCs w:val="32"/>
          <w:highlight w:val="none"/>
        </w:rPr>
      </w:pPr>
    </w:p>
    <w:p w14:paraId="15FC04E1">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BD40E61">
      <w:pPr>
        <w:pStyle w:val="8"/>
        <w:snapToGrid w:val="0"/>
        <w:spacing w:before="50" w:after="50"/>
        <w:ind w:firstLine="720" w:firstLineChars="225"/>
        <w:rPr>
          <w:rFonts w:hint="eastAsia" w:ascii="宋体" w:hAnsi="宋体" w:eastAsia="宋体" w:cs="宋体"/>
          <w:bCs/>
          <w:color w:val="auto"/>
          <w:sz w:val="32"/>
          <w:szCs w:val="32"/>
          <w:highlight w:val="none"/>
        </w:rPr>
      </w:pPr>
    </w:p>
    <w:p w14:paraId="279FFEFB">
      <w:pPr>
        <w:pStyle w:val="8"/>
        <w:snapToGrid w:val="0"/>
        <w:spacing w:before="50" w:after="50"/>
        <w:ind w:firstLine="720" w:firstLineChars="225"/>
        <w:rPr>
          <w:rFonts w:hint="eastAsia" w:ascii="宋体" w:hAnsi="宋体" w:eastAsia="宋体" w:cs="宋体"/>
          <w:bCs/>
          <w:color w:val="auto"/>
          <w:sz w:val="32"/>
          <w:szCs w:val="32"/>
          <w:highlight w:val="none"/>
        </w:rPr>
      </w:pPr>
    </w:p>
    <w:p w14:paraId="269E29AD">
      <w:pPr>
        <w:pStyle w:val="8"/>
        <w:snapToGrid w:val="0"/>
        <w:spacing w:before="50" w:after="50"/>
        <w:ind w:firstLine="1280" w:firstLineChars="400"/>
        <w:rPr>
          <w:rFonts w:hint="eastAsia" w:ascii="宋体" w:hAnsi="宋体" w:eastAsia="宋体" w:cs="宋体"/>
          <w:bCs/>
          <w:color w:val="auto"/>
          <w:sz w:val="32"/>
          <w:szCs w:val="32"/>
          <w:highlight w:val="none"/>
        </w:rPr>
      </w:pPr>
    </w:p>
    <w:p w14:paraId="3B580442">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AA638AC">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D895D96">
      <w:pPr>
        <w:rPr>
          <w:rFonts w:hint="eastAsia" w:ascii="宋体" w:hAnsi="宋体" w:eastAsia="宋体" w:cs="宋体"/>
          <w:color w:val="auto"/>
          <w:highlight w:val="none"/>
        </w:rPr>
      </w:pPr>
    </w:p>
    <w:p w14:paraId="2B5CC348">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75D1ED35">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0FBBF20C">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三、中小企业声明函……………………………………………（页码）</w:t>
      </w:r>
    </w:p>
    <w:p w14:paraId="6F01DE8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71CC93CE">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65CC0B20">
      <w:pPr>
        <w:pStyle w:val="15"/>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3689039F">
      <w:pPr>
        <w:pStyle w:val="15"/>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致：</w:t>
      </w:r>
      <w:r>
        <w:rPr>
          <w:rFonts w:hint="eastAsia" w:hAnsi="宋体" w:cs="宋体"/>
          <w:color w:val="auto"/>
          <w:szCs w:val="20"/>
          <w:highlight w:val="none"/>
          <w:u w:val="single"/>
        </w:rPr>
        <w:t xml:space="preserve"> </w:t>
      </w:r>
      <w:bookmarkStart w:id="93" w:name="PO_3000001868_PM031_4"/>
      <w:r>
        <w:rPr>
          <w:rFonts w:hint="eastAsia" w:hAnsi="宋体" w:cs="宋体"/>
          <w:color w:val="auto"/>
          <w:szCs w:val="20"/>
          <w:highlight w:val="none"/>
          <w:u w:val="single"/>
        </w:rPr>
        <w:t>[采购组织机构]</w:t>
      </w:r>
      <w:bookmarkEnd w:id="93"/>
      <w:r>
        <w:rPr>
          <w:rFonts w:hint="eastAsia" w:hAnsi="宋体" w:cs="宋体"/>
          <w:color w:val="auto"/>
          <w:szCs w:val="20"/>
          <w:highlight w:val="none"/>
          <w:u w:val="single"/>
        </w:rPr>
        <w:t xml:space="preserve"> </w:t>
      </w:r>
    </w:p>
    <w:p w14:paraId="5B9FDF91">
      <w:pPr>
        <w:pStyle w:val="15"/>
        <w:spacing w:line="360" w:lineRule="auto"/>
        <w:ind w:firstLine="40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我方已仔细阅读了贵方组织的</w:t>
      </w:r>
      <w:r>
        <w:rPr>
          <w:rFonts w:hint="eastAsia" w:ascii="宋体" w:hAnsi="宋体" w:eastAsia="宋体" w:cs="宋体"/>
          <w:color w:val="auto"/>
          <w:szCs w:val="20"/>
          <w:highlight w:val="none"/>
          <w:u w:val="single"/>
        </w:rPr>
        <w:t xml:space="preserve"> </w:t>
      </w:r>
      <w:bookmarkStart w:id="94" w:name="PO_3000001868_PM002_10"/>
      <w:r>
        <w:rPr>
          <w:rFonts w:hint="eastAsia" w:hAnsi="宋体" w:cs="宋体"/>
          <w:color w:val="auto"/>
          <w:szCs w:val="20"/>
          <w:highlight w:val="none"/>
          <w:u w:val="single"/>
        </w:rPr>
        <w:t>[项目名称]</w:t>
      </w:r>
      <w:bookmarkEnd w:id="94"/>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项目（项目编号：</w:t>
      </w:r>
      <w:r>
        <w:rPr>
          <w:rFonts w:hint="eastAsia" w:ascii="宋体" w:hAnsi="宋体" w:eastAsia="宋体" w:cs="宋体"/>
          <w:color w:val="auto"/>
          <w:szCs w:val="20"/>
          <w:highlight w:val="none"/>
          <w:u w:val="single"/>
        </w:rPr>
        <w:t xml:space="preserve">  </w:t>
      </w:r>
      <w:bookmarkStart w:id="95" w:name="PO_3000001868_PM001_10"/>
      <w:r>
        <w:rPr>
          <w:rFonts w:hint="eastAsia" w:hAnsi="宋体" w:cs="宋体"/>
          <w:color w:val="auto"/>
          <w:szCs w:val="20"/>
          <w:highlight w:val="none"/>
          <w:u w:val="single"/>
        </w:rPr>
        <w:t>[项目编号]</w:t>
      </w:r>
      <w:bookmarkEnd w:id="95"/>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）的竞争性</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 xml:space="preserve">采购文件的全部内容，现正式递交下述文件参加贵方组织的本次政府采购活动： </w:t>
      </w:r>
    </w:p>
    <w:p w14:paraId="1DABF0A9">
      <w:pPr>
        <w:pStyle w:val="15"/>
        <w:spacing w:line="360" w:lineRule="auto"/>
        <w:ind w:firstLine="40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一、首次报价文件</w:t>
      </w:r>
      <w:r>
        <w:rPr>
          <w:rFonts w:hint="eastAsia" w:ascii="宋体" w:hAnsi="宋体" w:eastAsia="宋体" w:cs="宋体"/>
          <w:color w:val="auto"/>
          <w:szCs w:val="20"/>
          <w:highlight w:val="none"/>
          <w:lang w:eastAsia="zh-CN"/>
        </w:rPr>
        <w:t>电子版</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份（包含按</w:t>
      </w:r>
      <w:r>
        <w:rPr>
          <w:rFonts w:hint="eastAsia" w:ascii="宋体" w:hAnsi="宋体" w:eastAsia="宋体" w:cs="宋体"/>
          <w:color w:val="auto"/>
          <w:szCs w:val="20"/>
          <w:highlight w:val="none"/>
          <w:lang w:eastAsia="zh-CN"/>
        </w:rPr>
        <w:t>“第三章 供应商须知”</w:t>
      </w:r>
      <w:r>
        <w:rPr>
          <w:rFonts w:hint="eastAsia" w:ascii="宋体" w:hAnsi="宋体" w:eastAsia="宋体" w:cs="宋体"/>
          <w:color w:val="auto"/>
          <w:szCs w:val="20"/>
          <w:highlight w:val="none"/>
        </w:rPr>
        <w:t>提交的全部文件）；</w:t>
      </w:r>
    </w:p>
    <w:p w14:paraId="4118EEE3">
      <w:pPr>
        <w:pStyle w:val="15"/>
        <w:spacing w:line="360" w:lineRule="auto"/>
        <w:ind w:firstLine="400" w:firstLineChars="200"/>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rPr>
        <w:t>二、技术文件</w:t>
      </w:r>
      <w:r>
        <w:rPr>
          <w:rFonts w:hint="eastAsia" w:ascii="宋体" w:hAnsi="宋体" w:eastAsia="宋体" w:cs="宋体"/>
          <w:color w:val="auto"/>
          <w:szCs w:val="20"/>
          <w:highlight w:val="none"/>
          <w:lang w:eastAsia="zh-CN"/>
        </w:rPr>
        <w:t>电子版</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份（包含按</w:t>
      </w:r>
      <w:r>
        <w:rPr>
          <w:rFonts w:hint="eastAsia" w:ascii="宋体" w:hAnsi="宋体" w:eastAsia="宋体" w:cs="宋体"/>
          <w:color w:val="auto"/>
          <w:szCs w:val="20"/>
          <w:highlight w:val="none"/>
          <w:lang w:eastAsia="zh-CN"/>
        </w:rPr>
        <w:t>“第三章 供应商须知”</w:t>
      </w:r>
      <w:r>
        <w:rPr>
          <w:rFonts w:hint="eastAsia" w:ascii="宋体" w:hAnsi="宋体" w:eastAsia="宋体" w:cs="宋体"/>
          <w:color w:val="auto"/>
          <w:szCs w:val="20"/>
          <w:highlight w:val="none"/>
        </w:rPr>
        <w:t>提交的全部文件）；商务文件</w:t>
      </w:r>
      <w:r>
        <w:rPr>
          <w:rFonts w:hint="eastAsia" w:ascii="宋体" w:hAnsi="宋体" w:eastAsia="宋体" w:cs="宋体"/>
          <w:color w:val="auto"/>
          <w:szCs w:val="20"/>
          <w:highlight w:val="none"/>
          <w:lang w:eastAsia="zh-CN"/>
        </w:rPr>
        <w:t>电子版</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份（包含按</w:t>
      </w:r>
      <w:r>
        <w:rPr>
          <w:rFonts w:hint="eastAsia" w:ascii="宋体" w:hAnsi="宋体" w:eastAsia="宋体" w:cs="宋体"/>
          <w:color w:val="auto"/>
          <w:szCs w:val="20"/>
          <w:highlight w:val="none"/>
          <w:lang w:eastAsia="zh-CN"/>
        </w:rPr>
        <w:t>“第三章 供应商须知”</w:t>
      </w:r>
      <w:r>
        <w:rPr>
          <w:rFonts w:hint="eastAsia" w:ascii="宋体" w:hAnsi="宋体" w:eastAsia="宋体" w:cs="宋体"/>
          <w:color w:val="auto"/>
          <w:szCs w:val="20"/>
          <w:highlight w:val="none"/>
        </w:rPr>
        <w:t>提交的全部文件）；</w:t>
      </w:r>
      <w:r>
        <w:rPr>
          <w:rFonts w:hint="eastAsia" w:ascii="宋体" w:hAnsi="宋体" w:eastAsia="宋体" w:cs="宋体"/>
          <w:color w:val="auto"/>
          <w:szCs w:val="20"/>
          <w:highlight w:val="none"/>
          <w:lang w:eastAsia="zh-CN"/>
        </w:rPr>
        <w:t>（商务技术文件已合并装订成册）</w:t>
      </w:r>
    </w:p>
    <w:p w14:paraId="52082246">
      <w:pPr>
        <w:pStyle w:val="15"/>
        <w:spacing w:line="360" w:lineRule="auto"/>
        <w:ind w:firstLine="40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据此函，签字人兹宣布：</w:t>
      </w:r>
    </w:p>
    <w:p w14:paraId="55815694">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1、我方愿意以（大写）人民币</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元)的竞标总报价，</w:t>
      </w:r>
      <w:r>
        <w:rPr>
          <w:rFonts w:hint="eastAsia" w:ascii="宋体" w:hAnsi="宋体" w:eastAsia="宋体" w:cs="宋体"/>
          <w:color w:val="auto"/>
          <w:szCs w:val="20"/>
          <w:highlight w:val="none"/>
          <w:lang w:eastAsia="zh-CN"/>
        </w:rPr>
        <w:t>提供服务</w:t>
      </w:r>
      <w:r>
        <w:rPr>
          <w:rFonts w:hint="eastAsia" w:ascii="宋体" w:hAnsi="宋体" w:eastAsia="宋体" w:cs="宋体"/>
          <w:color w:val="auto"/>
          <w:szCs w:val="20"/>
          <w:highlight w:val="none"/>
        </w:rPr>
        <w:t>期（无分标时填写）：</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，提供本项目竞争性</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采购文件第</w:t>
      </w:r>
      <w:r>
        <w:rPr>
          <w:rFonts w:hint="eastAsia" w:ascii="宋体" w:hAnsi="宋体" w:eastAsia="宋体" w:cs="宋体"/>
          <w:color w:val="auto"/>
          <w:szCs w:val="20"/>
          <w:highlight w:val="none"/>
          <w:lang w:eastAsia="zh-CN"/>
        </w:rPr>
        <w:t>二</w:t>
      </w:r>
      <w:r>
        <w:rPr>
          <w:rFonts w:hint="eastAsia" w:ascii="宋体" w:hAnsi="宋体" w:eastAsia="宋体" w:cs="宋体"/>
          <w:color w:val="auto"/>
          <w:szCs w:val="20"/>
          <w:highlight w:val="none"/>
        </w:rPr>
        <w:t>章“</w:t>
      </w:r>
      <w:r>
        <w:rPr>
          <w:rFonts w:hint="eastAsia" w:ascii="宋体" w:hAnsi="宋体" w:eastAsia="宋体" w:cs="宋体"/>
          <w:color w:val="auto"/>
          <w:szCs w:val="20"/>
          <w:highlight w:val="none"/>
          <w:lang w:eastAsia="zh-CN"/>
        </w:rPr>
        <w:t>服务</w:t>
      </w:r>
      <w:r>
        <w:rPr>
          <w:rFonts w:hint="eastAsia" w:ascii="宋体" w:hAnsi="宋体" w:eastAsia="宋体" w:cs="宋体"/>
          <w:color w:val="auto"/>
          <w:szCs w:val="20"/>
          <w:highlight w:val="none"/>
        </w:rPr>
        <w:t>需求一览表”中相应的采购内容。</w:t>
      </w:r>
    </w:p>
    <w:p w14:paraId="6DD6CDBE">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其中（有分标时填写）：</w:t>
      </w:r>
    </w:p>
    <w:p w14:paraId="1DDE57DE">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分标报价为（大写）人民币</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元)，</w:t>
      </w:r>
      <w:r>
        <w:rPr>
          <w:rFonts w:hint="eastAsia" w:ascii="宋体" w:hAnsi="宋体" w:eastAsia="宋体" w:cs="宋体"/>
          <w:color w:val="auto"/>
          <w:szCs w:val="20"/>
          <w:highlight w:val="none"/>
          <w:lang w:eastAsia="zh-CN"/>
        </w:rPr>
        <w:t>服务</w:t>
      </w:r>
      <w:r>
        <w:rPr>
          <w:rFonts w:hint="eastAsia" w:ascii="宋体" w:hAnsi="宋体" w:eastAsia="宋体" w:cs="宋体"/>
          <w:color w:val="auto"/>
          <w:szCs w:val="20"/>
          <w:highlight w:val="none"/>
        </w:rPr>
        <w:t>期：</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w:t>
      </w:r>
    </w:p>
    <w:p w14:paraId="1C2EA9E5">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分标报价为（大写）人民币</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元)，</w:t>
      </w:r>
      <w:r>
        <w:rPr>
          <w:rFonts w:hint="eastAsia" w:ascii="宋体" w:hAnsi="宋体" w:eastAsia="宋体" w:cs="宋体"/>
          <w:color w:val="auto"/>
          <w:szCs w:val="20"/>
          <w:highlight w:val="none"/>
          <w:lang w:eastAsia="zh-CN"/>
        </w:rPr>
        <w:t>服务</w:t>
      </w:r>
      <w:r>
        <w:rPr>
          <w:rFonts w:hint="eastAsia" w:ascii="宋体" w:hAnsi="宋体" w:eastAsia="宋体" w:cs="宋体"/>
          <w:color w:val="auto"/>
          <w:szCs w:val="20"/>
          <w:highlight w:val="none"/>
        </w:rPr>
        <w:t>期：</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w:t>
      </w:r>
    </w:p>
    <w:p w14:paraId="0F1EC9BF">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w:t>
      </w:r>
    </w:p>
    <w:p w14:paraId="4DDE12B2">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2、我方同意自本项目竞争性</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采购文件</w:t>
      </w:r>
      <w:r>
        <w:rPr>
          <w:rFonts w:hint="eastAsia" w:ascii="宋体" w:hAnsi="宋体" w:eastAsia="宋体" w:cs="宋体"/>
          <w:color w:val="auto"/>
          <w:szCs w:val="20"/>
          <w:highlight w:val="none"/>
          <w:lang w:eastAsia="zh-CN"/>
        </w:rPr>
        <w:t>采购公告</w:t>
      </w:r>
      <w:r>
        <w:rPr>
          <w:rFonts w:hint="eastAsia" w:ascii="宋体" w:hAnsi="宋体" w:eastAsia="宋体" w:cs="宋体"/>
          <w:color w:val="auto"/>
          <w:szCs w:val="20"/>
          <w:highlight w:val="none"/>
        </w:rPr>
        <w:t>规定的递交响应文件截止时间起遵循本响应函，并承诺在</w:t>
      </w:r>
      <w:r>
        <w:rPr>
          <w:rFonts w:hint="eastAsia" w:ascii="宋体" w:hAnsi="宋体" w:eastAsia="宋体" w:cs="宋体"/>
          <w:color w:val="auto"/>
          <w:szCs w:val="20"/>
          <w:highlight w:val="none"/>
          <w:lang w:eastAsia="zh-CN"/>
        </w:rPr>
        <w:t>“第三章 供应商须知”</w:t>
      </w:r>
      <w:r>
        <w:rPr>
          <w:rFonts w:hint="eastAsia" w:ascii="宋体" w:hAnsi="宋体" w:eastAsia="宋体" w:cs="宋体"/>
          <w:color w:val="auto"/>
          <w:szCs w:val="20"/>
          <w:highlight w:val="none"/>
        </w:rPr>
        <w:t>规定的</w:t>
      </w:r>
      <w:r>
        <w:rPr>
          <w:rFonts w:hint="eastAsia" w:ascii="宋体" w:hAnsi="宋体" w:eastAsia="宋体" w:cs="宋体"/>
          <w:color w:val="auto"/>
          <w:szCs w:val="20"/>
          <w:highlight w:val="none"/>
          <w:lang w:eastAsia="zh-CN"/>
        </w:rPr>
        <w:t>响应</w:t>
      </w:r>
      <w:r>
        <w:rPr>
          <w:rFonts w:hint="eastAsia" w:ascii="宋体" w:hAnsi="宋体" w:eastAsia="宋体" w:cs="宋体"/>
          <w:color w:val="auto"/>
          <w:szCs w:val="20"/>
          <w:highlight w:val="none"/>
        </w:rPr>
        <w:t>有效期内不修改、撤销</w:t>
      </w:r>
      <w:r>
        <w:rPr>
          <w:rFonts w:hint="eastAsia" w:ascii="宋体" w:hAnsi="宋体" w:eastAsia="宋体" w:cs="宋体"/>
          <w:color w:val="auto"/>
          <w:szCs w:val="20"/>
          <w:highlight w:val="none"/>
          <w:lang w:eastAsia="zh-CN"/>
        </w:rPr>
        <w:t>响应</w:t>
      </w:r>
      <w:r>
        <w:rPr>
          <w:rFonts w:hint="eastAsia" w:ascii="宋体" w:hAnsi="宋体" w:eastAsia="宋体" w:cs="宋体"/>
          <w:color w:val="auto"/>
          <w:szCs w:val="20"/>
          <w:highlight w:val="none"/>
        </w:rPr>
        <w:t>文件。</w:t>
      </w:r>
    </w:p>
    <w:p w14:paraId="337429F2">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3、我方在此声明，所递交的</w:t>
      </w:r>
      <w:r>
        <w:rPr>
          <w:rFonts w:hint="eastAsia" w:ascii="宋体" w:hAnsi="宋体" w:eastAsia="宋体" w:cs="宋体"/>
          <w:color w:val="auto"/>
          <w:szCs w:val="20"/>
          <w:highlight w:val="none"/>
          <w:lang w:eastAsia="zh-CN"/>
        </w:rPr>
        <w:t>响应</w:t>
      </w:r>
      <w:r>
        <w:rPr>
          <w:rFonts w:hint="eastAsia" w:ascii="宋体" w:hAnsi="宋体" w:eastAsia="宋体" w:cs="宋体"/>
          <w:color w:val="auto"/>
          <w:szCs w:val="20"/>
          <w:highlight w:val="none"/>
        </w:rPr>
        <w:t>文件及有关资料内容完整、真实和准确。</w:t>
      </w:r>
    </w:p>
    <w:p w14:paraId="200216D9">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rPr>
        <w:t>4、如本项目采购内容涉及须符合国家强制规定的，我方承诺我方本次竞标均符合国家有关强制规定。</w:t>
      </w:r>
    </w:p>
    <w:p w14:paraId="7118A6AD">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5</w:t>
      </w:r>
      <w:r>
        <w:rPr>
          <w:rFonts w:hint="eastAsia" w:ascii="宋体" w:hAnsi="宋体" w:eastAsia="宋体" w:cs="宋体"/>
          <w:color w:val="auto"/>
          <w:szCs w:val="20"/>
          <w:highlight w:val="none"/>
        </w:rPr>
        <w:t>、如我方成交，我方承诺在收到成交通知书后，在成交通知书规定的期限内，根据竞争性</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采购文件、我方的</w:t>
      </w:r>
      <w:r>
        <w:rPr>
          <w:rFonts w:hint="eastAsia" w:ascii="宋体" w:hAnsi="宋体" w:eastAsia="宋体" w:cs="宋体"/>
          <w:color w:val="auto"/>
          <w:szCs w:val="20"/>
          <w:highlight w:val="none"/>
          <w:lang w:eastAsia="zh-CN"/>
        </w:rPr>
        <w:t>响应</w:t>
      </w:r>
      <w:r>
        <w:rPr>
          <w:rFonts w:hint="eastAsia" w:ascii="宋体" w:hAnsi="宋体" w:eastAsia="宋体" w:cs="宋体"/>
          <w:color w:val="auto"/>
          <w:szCs w:val="20"/>
          <w:highlight w:val="none"/>
        </w:rPr>
        <w:t>文件及有关澄清承诺书的要求按第</w:t>
      </w:r>
      <w:r>
        <w:rPr>
          <w:rFonts w:hint="eastAsia" w:ascii="宋体" w:hAnsi="宋体" w:eastAsia="宋体" w:cs="宋体"/>
          <w:color w:val="auto"/>
          <w:szCs w:val="20"/>
          <w:highlight w:val="none"/>
          <w:lang w:eastAsia="zh-CN"/>
        </w:rPr>
        <w:t>六</w:t>
      </w:r>
      <w:r>
        <w:rPr>
          <w:rFonts w:hint="eastAsia" w:ascii="宋体" w:hAnsi="宋体" w:eastAsia="宋体" w:cs="宋体"/>
          <w:color w:val="auto"/>
          <w:szCs w:val="20"/>
          <w:highlight w:val="none"/>
        </w:rPr>
        <w:t>章“</w:t>
      </w:r>
      <w:r>
        <w:rPr>
          <w:rFonts w:hint="eastAsia" w:ascii="宋体" w:hAnsi="宋体" w:eastAsia="宋体" w:cs="宋体"/>
          <w:color w:val="auto"/>
          <w:szCs w:val="20"/>
          <w:highlight w:val="none"/>
          <w:lang w:eastAsia="zh-CN"/>
        </w:rPr>
        <w:t>合同文本</w:t>
      </w:r>
      <w:r>
        <w:rPr>
          <w:rFonts w:hint="eastAsia" w:ascii="宋体" w:hAnsi="宋体" w:eastAsia="宋体" w:cs="宋体"/>
          <w:color w:val="auto"/>
          <w:szCs w:val="20"/>
          <w:highlight w:val="none"/>
        </w:rPr>
        <w:t>”与采购人订立书面合同，并按照合同约定承担完成合同的责任和义务。</w:t>
      </w:r>
    </w:p>
    <w:p w14:paraId="050D6DAC">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6</w:t>
      </w:r>
      <w:r>
        <w:rPr>
          <w:rFonts w:hint="eastAsia" w:ascii="宋体" w:hAnsi="宋体" w:eastAsia="宋体" w:cs="宋体"/>
          <w:color w:val="auto"/>
          <w:szCs w:val="20"/>
          <w:highlight w:val="none"/>
        </w:rPr>
        <w:t>、我方已详细审核竞争性</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采购文件，我方知道必须放弃提出含糊不清或误解问题的权利。</w:t>
      </w:r>
    </w:p>
    <w:p w14:paraId="47A2DA2A">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7</w:t>
      </w:r>
      <w:r>
        <w:rPr>
          <w:rFonts w:hint="eastAsia" w:ascii="宋体" w:hAnsi="宋体" w:eastAsia="宋体" w:cs="宋体"/>
          <w:color w:val="auto"/>
          <w:szCs w:val="20"/>
          <w:highlight w:val="none"/>
        </w:rPr>
        <w:t>、我方承诺满足竞争性</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采购文件第</w:t>
      </w:r>
      <w:r>
        <w:rPr>
          <w:rFonts w:hint="eastAsia" w:ascii="宋体" w:hAnsi="宋体" w:eastAsia="宋体" w:cs="宋体"/>
          <w:color w:val="auto"/>
          <w:szCs w:val="20"/>
          <w:highlight w:val="none"/>
          <w:lang w:eastAsia="zh-CN"/>
        </w:rPr>
        <w:t>六</w:t>
      </w:r>
      <w:r>
        <w:rPr>
          <w:rFonts w:hint="eastAsia" w:ascii="宋体" w:hAnsi="宋体" w:eastAsia="宋体" w:cs="宋体"/>
          <w:color w:val="auto"/>
          <w:szCs w:val="20"/>
          <w:highlight w:val="none"/>
        </w:rPr>
        <w:t>章“</w:t>
      </w:r>
      <w:r>
        <w:rPr>
          <w:rFonts w:hint="eastAsia" w:ascii="宋体" w:hAnsi="宋体" w:eastAsia="宋体" w:cs="宋体"/>
          <w:color w:val="auto"/>
          <w:szCs w:val="20"/>
          <w:highlight w:val="none"/>
          <w:lang w:eastAsia="zh-CN"/>
        </w:rPr>
        <w:t>合同文本</w:t>
      </w:r>
      <w:r>
        <w:rPr>
          <w:rFonts w:hint="eastAsia" w:ascii="宋体" w:hAnsi="宋体" w:eastAsia="宋体" w:cs="宋体"/>
          <w:color w:val="auto"/>
          <w:szCs w:val="20"/>
          <w:highlight w:val="none"/>
        </w:rPr>
        <w:t>”的条款，承担完成合同的责任和义务。</w:t>
      </w:r>
    </w:p>
    <w:p w14:paraId="79C7546E">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8</w:t>
      </w:r>
      <w:r>
        <w:rPr>
          <w:rFonts w:hint="eastAsia" w:ascii="宋体" w:hAnsi="宋体" w:eastAsia="宋体" w:cs="宋体"/>
          <w:color w:val="auto"/>
          <w:szCs w:val="20"/>
          <w:highlight w:val="none"/>
        </w:rPr>
        <w:t>、我方同意应贵方要求提供与本竞标有关的任何数据或资料。若贵方需要，我方愿意提供我方作出的一切承诺的证明材料。</w:t>
      </w:r>
    </w:p>
    <w:p w14:paraId="56C465AC">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9</w:t>
      </w:r>
      <w:r>
        <w:rPr>
          <w:rFonts w:hint="eastAsia" w:ascii="宋体" w:hAnsi="宋体" w:eastAsia="宋体" w:cs="宋体"/>
          <w:color w:val="auto"/>
          <w:szCs w:val="20"/>
          <w:highlight w:val="none"/>
        </w:rPr>
        <w:t>、我方完全理解贵方不一定接受响应报价最低的竞标人为成交供应商的行为。</w:t>
      </w:r>
    </w:p>
    <w:p w14:paraId="0CF49F3C">
      <w:pPr>
        <w:pStyle w:val="15"/>
        <w:spacing w:line="360" w:lineRule="auto"/>
        <w:ind w:firstLine="482"/>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10</w:t>
      </w:r>
      <w:r>
        <w:rPr>
          <w:rFonts w:hint="eastAsia" w:ascii="宋体" w:hAnsi="宋体" w:eastAsia="宋体" w:cs="宋体"/>
          <w:color w:val="auto"/>
          <w:szCs w:val="20"/>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5A709EA">
      <w:pPr>
        <w:pStyle w:val="15"/>
        <w:numPr>
          <w:ilvl w:val="0"/>
          <w:numId w:val="2"/>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提供虚假材料谋取中标、成交的；</w:t>
      </w:r>
    </w:p>
    <w:p w14:paraId="0009790B">
      <w:pPr>
        <w:pStyle w:val="15"/>
        <w:numPr>
          <w:ilvl w:val="0"/>
          <w:numId w:val="2"/>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采取不正当手段诋毁、排挤其他供应商的；</w:t>
      </w:r>
    </w:p>
    <w:p w14:paraId="53506787">
      <w:pPr>
        <w:pStyle w:val="15"/>
        <w:numPr>
          <w:ilvl w:val="0"/>
          <w:numId w:val="2"/>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与采购人、其他供应商或者采购代理机构恶意串通的；</w:t>
      </w:r>
    </w:p>
    <w:p w14:paraId="228B3C0B">
      <w:pPr>
        <w:pStyle w:val="15"/>
        <w:numPr>
          <w:ilvl w:val="0"/>
          <w:numId w:val="2"/>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向采购人、采购代理机构行贿或者提供其他不正当利益的；</w:t>
      </w:r>
    </w:p>
    <w:p w14:paraId="4B9F1165">
      <w:pPr>
        <w:pStyle w:val="15"/>
        <w:numPr>
          <w:ilvl w:val="0"/>
          <w:numId w:val="2"/>
        </w:numPr>
        <w:tabs>
          <w:tab w:val="left" w:pos="945"/>
        </w:tabs>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在采购过程中与采购人进行协商谈判的；</w:t>
      </w:r>
    </w:p>
    <w:p w14:paraId="37CC1BB3">
      <w:pPr>
        <w:pStyle w:val="15"/>
        <w:numPr>
          <w:ilvl w:val="0"/>
          <w:numId w:val="2"/>
        </w:numPr>
        <w:tabs>
          <w:tab w:val="left" w:pos="945"/>
        </w:tabs>
        <w:spacing w:line="360" w:lineRule="auto"/>
        <w:rPr>
          <w:rFonts w:hint="eastAsia" w:ascii="宋体" w:hAnsi="宋体" w:eastAsia="宋体" w:cs="宋体"/>
          <w:color w:val="auto"/>
          <w:szCs w:val="20"/>
          <w:highlight w:val="none"/>
          <w:lang w:eastAsia="zh-CN"/>
        </w:rPr>
      </w:pPr>
      <w:r>
        <w:rPr>
          <w:rFonts w:hint="eastAsia" w:ascii="宋体" w:hAnsi="宋体" w:eastAsia="宋体" w:cs="宋体"/>
          <w:color w:val="auto"/>
          <w:szCs w:val="20"/>
          <w:highlight w:val="none"/>
        </w:rPr>
        <w:t>拒绝有关部门监督检查或提供虚假情况的。</w:t>
      </w:r>
    </w:p>
    <w:p w14:paraId="718D08A0">
      <w:pPr>
        <w:pStyle w:val="15"/>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lang w:eastAsia="zh-CN"/>
        </w:rPr>
        <w:t>11</w:t>
      </w:r>
      <w:r>
        <w:rPr>
          <w:rFonts w:hint="eastAsia" w:ascii="宋体" w:hAnsi="宋体" w:eastAsia="宋体" w:cs="宋体"/>
          <w:color w:val="auto"/>
          <w:szCs w:val="20"/>
          <w:highlight w:val="none"/>
        </w:rPr>
        <w:t>.与本</w:t>
      </w:r>
      <w:r>
        <w:rPr>
          <w:rFonts w:hint="eastAsia" w:ascii="宋体" w:hAnsi="宋体" w:eastAsia="宋体" w:cs="宋体"/>
          <w:color w:val="auto"/>
          <w:szCs w:val="20"/>
          <w:highlight w:val="none"/>
          <w:lang w:eastAsia="zh-CN"/>
        </w:rPr>
        <w:t>磋商</w:t>
      </w:r>
      <w:r>
        <w:rPr>
          <w:rFonts w:hint="eastAsia" w:ascii="宋体" w:hAnsi="宋体" w:eastAsia="宋体" w:cs="宋体"/>
          <w:color w:val="auto"/>
          <w:szCs w:val="20"/>
          <w:highlight w:val="none"/>
        </w:rPr>
        <w:t>有关的一切正式往来信函请寄：</w:t>
      </w:r>
      <w:r>
        <w:rPr>
          <w:rFonts w:hint="eastAsia" w:ascii="宋体" w:hAnsi="宋体" w:eastAsia="宋体" w:cs="宋体"/>
          <w:color w:val="auto"/>
          <w:szCs w:val="20"/>
          <w:highlight w:val="none"/>
          <w:u w:val="single"/>
        </w:rPr>
        <w:t xml:space="preserve"> </w:t>
      </w:r>
    </w:p>
    <w:p w14:paraId="715EA258">
      <w:pPr>
        <w:pStyle w:val="15"/>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地址：</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 xml:space="preserve"> </w:t>
      </w:r>
    </w:p>
    <w:p w14:paraId="7397DCA6">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p>
    <w:p w14:paraId="0ACD879D">
      <w:pPr>
        <w:pStyle w:val="15"/>
        <w:spacing w:line="360" w:lineRule="auto"/>
        <w:ind w:firstLine="420"/>
        <w:rPr>
          <w:rFonts w:hint="eastAsia" w:ascii="宋体" w:hAnsi="宋体" w:eastAsia="宋体" w:cs="宋体"/>
          <w:color w:val="auto"/>
          <w:szCs w:val="20"/>
          <w:highlight w:val="none"/>
        </w:rPr>
      </w:pP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w:t>
      </w:r>
    </w:p>
    <w:p w14:paraId="2BA6BE10">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邮政编码：</w:t>
      </w:r>
      <w:r>
        <w:rPr>
          <w:rFonts w:hint="eastAsia" w:ascii="宋体" w:hAnsi="宋体" w:eastAsia="宋体" w:cs="宋体"/>
          <w:color w:val="auto"/>
          <w:szCs w:val="20"/>
          <w:highlight w:val="none"/>
          <w:u w:val="single"/>
        </w:rPr>
        <w:t xml:space="preserve">                                                    </w:t>
      </w:r>
    </w:p>
    <w:p w14:paraId="42C31BF7">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开户名称：</w:t>
      </w:r>
      <w:r>
        <w:rPr>
          <w:rFonts w:hint="eastAsia" w:ascii="宋体" w:hAnsi="宋体" w:eastAsia="宋体" w:cs="宋体"/>
          <w:color w:val="auto"/>
          <w:szCs w:val="20"/>
          <w:highlight w:val="none"/>
          <w:u w:val="single"/>
        </w:rPr>
        <w:t xml:space="preserve">                                                    </w:t>
      </w:r>
    </w:p>
    <w:p w14:paraId="512F6FB4">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开户银行：</w:t>
      </w:r>
      <w:r>
        <w:rPr>
          <w:rFonts w:hint="eastAsia" w:ascii="宋体" w:hAnsi="宋体" w:eastAsia="宋体" w:cs="宋体"/>
          <w:color w:val="auto"/>
          <w:szCs w:val="20"/>
          <w:highlight w:val="none"/>
          <w:u w:val="single"/>
        </w:rPr>
        <w:t xml:space="preserve">                                                    </w:t>
      </w:r>
    </w:p>
    <w:p w14:paraId="3E8CBA69">
      <w:pPr>
        <w:pStyle w:val="15"/>
        <w:spacing w:line="360" w:lineRule="auto"/>
        <w:ind w:firstLine="42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银行账号：</w:t>
      </w:r>
      <w:r>
        <w:rPr>
          <w:rFonts w:hint="eastAsia" w:ascii="宋体" w:hAnsi="宋体" w:eastAsia="宋体" w:cs="宋体"/>
          <w:color w:val="auto"/>
          <w:szCs w:val="20"/>
          <w:highlight w:val="none"/>
          <w:u w:val="single"/>
        </w:rPr>
        <w:t xml:space="preserve">                                                    </w:t>
      </w:r>
    </w:p>
    <w:p w14:paraId="37277034">
      <w:pPr>
        <w:pStyle w:val="13"/>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3904B97F">
      <w:pPr>
        <w:spacing w:line="360" w:lineRule="auto"/>
        <w:contextualSpacing/>
        <w:jc w:val="left"/>
        <w:rPr>
          <w:rFonts w:hint="eastAsia" w:ascii="宋体" w:hAnsi="宋体" w:eastAsia="宋体" w:cs="宋体"/>
          <w:color w:val="auto"/>
          <w:szCs w:val="21"/>
          <w:highlight w:val="none"/>
        </w:rPr>
      </w:pPr>
    </w:p>
    <w:p w14:paraId="21CD32B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80D8CAB">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7A3208BA">
      <w:pPr>
        <w:numPr>
          <w:ilvl w:val="0"/>
          <w:numId w:val="3"/>
        </w:num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响应报价表</w:t>
      </w:r>
    </w:p>
    <w:p w14:paraId="7C4715E2">
      <w:pPr>
        <w:pStyle w:val="6"/>
        <w:numPr>
          <w:ilvl w:val="0"/>
          <w:numId w:val="0"/>
        </w:numPr>
        <w:jc w:val="center"/>
        <w:rPr>
          <w:rFonts w:hint="eastAsia"/>
        </w:rPr>
      </w:pPr>
      <w:r>
        <w:rPr>
          <w:rFonts w:hint="eastAsia" w:ascii="宋体" w:hAnsi="宋体" w:eastAsia="宋体" w:cs="宋体"/>
          <w:b/>
          <w:bCs/>
          <w:color w:val="auto"/>
          <w:sz w:val="32"/>
          <w:szCs w:val="32"/>
          <w:highlight w:val="none"/>
        </w:rPr>
        <w:t>响应报价表</w:t>
      </w:r>
    </w:p>
    <w:p w14:paraId="3C083ECC">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rPr>
        <w:t xml:space="preserve"> </w:t>
      </w:r>
      <w:bookmarkStart w:id="96" w:name="PO_3000001868_PM002_11"/>
      <w:r>
        <w:rPr>
          <w:rFonts w:hint="eastAsia" w:ascii="宋体" w:hAnsi="宋体" w:cs="宋体"/>
          <w:color w:val="auto"/>
          <w:sz w:val="24"/>
          <w:highlight w:val="none"/>
          <w:u w:val="single"/>
        </w:rPr>
        <w:t>[项目名称]</w:t>
      </w:r>
      <w:bookmarkEnd w:id="96"/>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59A34A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bookmarkStart w:id="97" w:name="PO_3000001868_PM001_11"/>
      <w:r>
        <w:rPr>
          <w:rFonts w:hint="eastAsia" w:ascii="宋体" w:hAnsi="宋体" w:cs="宋体"/>
          <w:color w:val="auto"/>
          <w:sz w:val="24"/>
          <w:highlight w:val="none"/>
          <w:u w:val="single"/>
        </w:rPr>
        <w:t>[项目编号]</w:t>
      </w:r>
      <w:bookmarkEnd w:id="97"/>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03F8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168FA02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8195ACE">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433A22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7EC88EB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16173DCE">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2868C4DD">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0C002A3F">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③＝①×②/费率</w:t>
            </w:r>
          </w:p>
        </w:tc>
        <w:tc>
          <w:tcPr>
            <w:tcW w:w="957" w:type="dxa"/>
            <w:tcBorders>
              <w:top w:val="single" w:color="auto" w:sz="4" w:space="0"/>
              <w:left w:val="single" w:color="auto" w:sz="4" w:space="0"/>
              <w:bottom w:val="single" w:color="auto" w:sz="4" w:space="0"/>
              <w:right w:val="single" w:color="auto" w:sz="4" w:space="0"/>
            </w:tcBorders>
            <w:vAlign w:val="top"/>
          </w:tcPr>
          <w:p w14:paraId="48143CA7">
            <w:pPr>
              <w:spacing w:line="360" w:lineRule="auto"/>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服务要求（或服务期限）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73088417">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3B52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B4CFAAD">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7AB6F8D">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0742537">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907BD3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4EDF9CF">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EEED771">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14:paraId="3111D844">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5022EA91">
            <w:pPr>
              <w:rPr>
                <w:rFonts w:hint="eastAsia" w:ascii="宋体" w:hAnsi="宋体" w:eastAsia="宋体" w:cs="宋体"/>
                <w:color w:val="auto"/>
                <w:szCs w:val="22"/>
                <w:highlight w:val="none"/>
              </w:rPr>
            </w:pPr>
          </w:p>
        </w:tc>
      </w:tr>
      <w:tr w14:paraId="4676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509B98E5">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3D313AB9">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C76345D">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F3BDBD2">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28F1AA">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4F3ED3A">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14:paraId="6724BC72">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464C990">
            <w:pPr>
              <w:rPr>
                <w:rFonts w:hint="eastAsia" w:ascii="宋体" w:hAnsi="宋体" w:eastAsia="宋体" w:cs="宋体"/>
                <w:color w:val="auto"/>
                <w:szCs w:val="22"/>
                <w:highlight w:val="none"/>
              </w:rPr>
            </w:pPr>
          </w:p>
        </w:tc>
      </w:tr>
      <w:tr w14:paraId="11F8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715A55BA">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59ED8D15">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0BFE592">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01A5DD7">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1AD432">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4E27D9A">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top"/>
          </w:tcPr>
          <w:p w14:paraId="40DBC895">
            <w:pPr>
              <w:rPr>
                <w:rFonts w:hint="eastAsia" w:ascii="宋体" w:hAnsi="宋体" w:eastAsia="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1B0899CE">
            <w:pPr>
              <w:rPr>
                <w:rFonts w:hint="eastAsia" w:ascii="宋体" w:hAnsi="宋体" w:eastAsia="宋体" w:cs="宋体"/>
                <w:color w:val="auto"/>
                <w:szCs w:val="22"/>
                <w:highlight w:val="none"/>
              </w:rPr>
            </w:pPr>
          </w:p>
        </w:tc>
      </w:tr>
      <w:tr w14:paraId="1D2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53318520">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w:t>
            </w:r>
          </w:p>
          <w:p w14:paraId="33C8E767">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（大写）人民币             （￥                元）</w:t>
            </w:r>
          </w:p>
        </w:tc>
      </w:tr>
      <w:tr w14:paraId="75B0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3DA3090E">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0004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1EBC4226">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验收标准：</w:t>
            </w:r>
          </w:p>
        </w:tc>
      </w:tr>
      <w:tr w14:paraId="041D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top"/>
          </w:tcPr>
          <w:p w14:paraId="314B835E">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p>
        </w:tc>
      </w:tr>
    </w:tbl>
    <w:p w14:paraId="17CACFB1">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27150D41">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p>
    <w:p w14:paraId="7AD17B89">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5EED6CD8">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3、以上表格要求细分项目及报价，在“具体服务内容”一栏中，填写具体服务，，</w:t>
      </w:r>
      <w:r>
        <w:rPr>
          <w:rFonts w:hint="eastAsia" w:ascii="宋体" w:hAnsi="宋体" w:eastAsia="宋体" w:cs="宋体"/>
          <w:b/>
          <w:color w:val="auto"/>
          <w:kern w:val="0"/>
          <w:sz w:val="24"/>
          <w:highlight w:val="none"/>
          <w:lang w:val="zh-CN"/>
        </w:rPr>
        <w:t>否则其响应作无效响应处理。</w:t>
      </w:r>
    </w:p>
    <w:p w14:paraId="4C0849FB">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35000CA7">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728719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B8705A">
      <w:pPr>
        <w:pStyle w:val="15"/>
        <w:spacing w:line="500" w:lineRule="exact"/>
        <w:ind w:firstLine="6360" w:firstLineChars="265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日期：  年  月   日</w:t>
      </w:r>
    </w:p>
    <w:p w14:paraId="58D515D6">
      <w:pPr>
        <w:pStyle w:val="5"/>
        <w:rPr>
          <w:rFonts w:hint="eastAsia" w:ascii="宋体" w:hAnsi="宋体" w:eastAsia="宋体" w:cs="宋体"/>
          <w:color w:val="auto"/>
          <w:sz w:val="24"/>
          <w:highlight w:val="none"/>
          <w:lang w:val="zh-CN"/>
        </w:rPr>
      </w:pPr>
    </w:p>
    <w:p w14:paraId="7429039D">
      <w:pPr>
        <w:rPr>
          <w:rFonts w:hint="eastAsia" w:ascii="宋体" w:hAnsi="宋体" w:eastAsia="宋体" w:cs="宋体"/>
          <w:color w:val="auto"/>
          <w:sz w:val="24"/>
          <w:highlight w:val="none"/>
          <w:lang w:val="zh-CN"/>
        </w:rPr>
      </w:pPr>
    </w:p>
    <w:p w14:paraId="49089F91">
      <w:pPr>
        <w:rPr>
          <w:rFonts w:hint="eastAsia" w:ascii="宋体" w:hAnsi="宋体" w:eastAsia="宋体" w:cs="宋体"/>
          <w:color w:val="auto"/>
          <w:sz w:val="24"/>
          <w:highlight w:val="none"/>
          <w:lang w:val="zh-CN"/>
        </w:rPr>
      </w:pPr>
    </w:p>
    <w:p w14:paraId="3BEC0B70">
      <w:pPr>
        <w:rPr>
          <w:rFonts w:hint="eastAsia" w:ascii="宋体" w:hAnsi="宋体" w:eastAsia="宋体" w:cs="宋体"/>
          <w:color w:val="auto"/>
          <w:sz w:val="24"/>
          <w:highlight w:val="none"/>
          <w:lang w:val="zh-CN"/>
        </w:rPr>
      </w:pPr>
    </w:p>
    <w:p w14:paraId="375004AC">
      <w:pPr>
        <w:pStyle w:val="6"/>
        <w:rPr>
          <w:rFonts w:hint="eastAsia"/>
          <w:lang w:val="zh-CN" w:eastAsia="zh-CN"/>
        </w:rPr>
      </w:pPr>
    </w:p>
    <w:p w14:paraId="261E11E2">
      <w:pPr>
        <w:pStyle w:val="15"/>
        <w:spacing w:line="500" w:lineRule="exact"/>
        <w:rPr>
          <w:rFonts w:hint="eastAsia"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三、中小企业声明函</w:t>
      </w:r>
    </w:p>
    <w:p w14:paraId="655CF083">
      <w:pPr>
        <w:spacing w:line="300" w:lineRule="auto"/>
        <w:ind w:firstLine="2200" w:firstLineChars="500"/>
        <w:rPr>
          <w:rFonts w:hint="eastAsia" w:ascii="宋体" w:hAnsi="宋体" w:eastAsia="宋体" w:cs="宋体"/>
          <w:color w:val="auto"/>
          <w:sz w:val="44"/>
          <w:szCs w:val="44"/>
          <w:highlight w:val="none"/>
        </w:rPr>
      </w:pPr>
    </w:p>
    <w:p w14:paraId="182B42CD">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26A9C1CD">
      <w:pPr>
        <w:pStyle w:val="11"/>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bookmarkStart w:id="98" w:name="PO_3000001868_PM026_9"/>
      <w:r>
        <w:rPr>
          <w:rFonts w:hint="eastAsia" w:ascii="宋体" w:hAnsi="宋体" w:eastAsia="宋体" w:cs="宋体"/>
          <w:color w:val="auto"/>
          <w:sz w:val="24"/>
          <w:highlight w:val="none"/>
          <w:u w:val="single"/>
          <w:lang w:eastAsia="zh-CN"/>
        </w:rPr>
        <w:t>中国共产党南宁市委员会组织部</w:t>
      </w:r>
      <w:bookmarkEnd w:id="98"/>
      <w:r>
        <w:rPr>
          <w:rFonts w:hint="eastAsia" w:ascii="宋体" w:hAnsi="宋体" w:eastAsia="宋体" w:cs="宋体"/>
          <w:color w:val="auto"/>
          <w:sz w:val="24"/>
          <w:highlight w:val="none"/>
          <w:u w:val="single"/>
          <w:lang w:eastAsia="zh-CN"/>
        </w:rPr>
        <w:t>的“南宁党建”融媒体平台（第12期）管理维护服务项目</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35A421BB">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2F36C8A">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E0550AB">
      <w:pPr>
        <w:pStyle w:val="11"/>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19E78C0">
      <w:pPr>
        <w:pStyle w:val="11"/>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BBF00FC">
      <w:pPr>
        <w:pStyle w:val="11"/>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CDD8D7C">
      <w:pPr>
        <w:pStyle w:val="11"/>
        <w:spacing w:after="0" w:line="360" w:lineRule="auto"/>
        <w:ind w:left="3960" w:right="1808"/>
        <w:contextualSpacing/>
        <w:rPr>
          <w:rFonts w:hint="eastAsia" w:ascii="宋体" w:hAnsi="宋体" w:eastAsia="宋体" w:cs="宋体"/>
          <w:color w:val="auto"/>
          <w:sz w:val="24"/>
          <w:highlight w:val="none"/>
        </w:rPr>
      </w:pPr>
    </w:p>
    <w:p w14:paraId="2CAE167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88F25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5C65481">
      <w:pPr>
        <w:pStyle w:val="11"/>
        <w:spacing w:after="0" w:line="360" w:lineRule="auto"/>
        <w:ind w:left="3960" w:right="1808"/>
        <w:contextualSpacing/>
        <w:rPr>
          <w:rFonts w:hint="eastAsia" w:ascii="宋体" w:hAnsi="宋体" w:eastAsia="宋体" w:cs="宋体"/>
          <w:color w:val="auto"/>
          <w:highlight w:val="none"/>
        </w:rPr>
      </w:pPr>
    </w:p>
    <w:p w14:paraId="4BC99E4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3F4909A">
      <w:pPr>
        <w:snapToGrid w:val="0"/>
        <w:spacing w:before="120" w:beforeLines="50" w:after="50" w:line="360" w:lineRule="auto"/>
        <w:outlineLvl w:val="1"/>
        <w:rPr>
          <w:rFonts w:hint="eastAsia" w:ascii="宋体" w:hAnsi="宋体" w:eastAsia="宋体" w:cs="宋体"/>
          <w:b/>
          <w:bCs/>
          <w:color w:val="auto"/>
          <w:sz w:val="32"/>
          <w:szCs w:val="32"/>
          <w:highlight w:val="none"/>
        </w:rPr>
      </w:pPr>
      <w:bookmarkStart w:id="99" w:name="_Toc35611516"/>
      <w:bookmarkStart w:id="100" w:name="_Toc31723070"/>
      <w:bookmarkStart w:id="101" w:name="_Toc31728084"/>
      <w:bookmarkStart w:id="102" w:name="_Toc35611438"/>
      <w:bookmarkStart w:id="103" w:name="_Toc44229899"/>
    </w:p>
    <w:p w14:paraId="1004DA39">
      <w:pPr>
        <w:snapToGrid w:val="0"/>
        <w:spacing w:before="120" w:beforeLines="50" w:after="50" w:line="360" w:lineRule="auto"/>
        <w:outlineLvl w:val="1"/>
        <w:rPr>
          <w:rFonts w:hint="eastAsia" w:ascii="宋体" w:hAnsi="宋体" w:eastAsia="宋体" w:cs="宋体"/>
          <w:b/>
          <w:bCs/>
          <w:color w:val="auto"/>
          <w:sz w:val="32"/>
          <w:szCs w:val="32"/>
          <w:highlight w:val="none"/>
        </w:rPr>
      </w:pPr>
    </w:p>
    <w:p w14:paraId="21BFF170">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bookmarkEnd w:id="99"/>
    <w:bookmarkEnd w:id="100"/>
    <w:bookmarkEnd w:id="101"/>
    <w:bookmarkEnd w:id="102"/>
    <w:bookmarkEnd w:id="103"/>
    <w:p w14:paraId="52FD66BF">
      <w:pPr>
        <w:pStyle w:val="3"/>
        <w:jc w:val="both"/>
        <w:rPr>
          <w:rFonts w:hint="eastAsia" w:ascii="宋体" w:hAnsi="宋体" w:eastAsia="宋体" w:cs="宋体"/>
          <w:b w:val="0"/>
          <w:color w:val="auto"/>
          <w:highlight w:val="none"/>
        </w:rPr>
      </w:pPr>
      <w:bookmarkStart w:id="104" w:name="_Toc80205942"/>
      <w:bookmarkStart w:id="105" w:name="_Toc80886946"/>
      <w:r>
        <w:rPr>
          <w:rFonts w:hint="eastAsia" w:ascii="宋体" w:hAnsi="宋体" w:eastAsia="宋体" w:cs="宋体"/>
          <w:color w:val="auto"/>
          <w:highlight w:val="none"/>
          <w:lang w:val="en-US" w:eastAsia="zh-CN"/>
        </w:rPr>
        <w:t>第五节 其他文书、文件格式</w:t>
      </w:r>
      <w:bookmarkEnd w:id="104"/>
      <w:bookmarkEnd w:id="105"/>
    </w:p>
    <w:p w14:paraId="1C5360D3">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097491F0">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28510C1A">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bookmarkStart w:id="106" w:name="PO_3000001868_PM002_14"/>
      <w:r>
        <w:rPr>
          <w:rFonts w:hint="eastAsia" w:ascii="宋体" w:hAnsi="宋体" w:eastAsia="宋体" w:cs="宋体"/>
          <w:color w:val="auto"/>
          <w:sz w:val="30"/>
          <w:szCs w:val="30"/>
          <w:highlight w:val="none"/>
          <w:u w:val="single"/>
          <w:lang w:val="en"/>
        </w:rPr>
        <w:t>[项目名称]</w:t>
      </w:r>
      <w:bookmarkEnd w:id="106"/>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1950B39B">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3C42C35E">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9E4CFF4">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74916B35">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1975D26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168FEACA">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19596">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2AAF5886">
      <w:pPr>
        <w:spacing w:line="520" w:lineRule="exact"/>
        <w:rPr>
          <w:rFonts w:hint="eastAsia" w:ascii="宋体" w:hAnsi="宋体" w:eastAsia="宋体" w:cs="宋体"/>
          <w:color w:val="auto"/>
          <w:sz w:val="24"/>
          <w:highlight w:val="none"/>
        </w:rPr>
      </w:pPr>
    </w:p>
    <w:p w14:paraId="6CF8EE97">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40398035">
      <w:pPr>
        <w:spacing w:line="520" w:lineRule="exact"/>
        <w:rPr>
          <w:rFonts w:hint="eastAsia" w:ascii="宋体" w:hAnsi="宋体" w:eastAsia="宋体" w:cs="宋体"/>
          <w:color w:val="auto"/>
          <w:sz w:val="32"/>
          <w:szCs w:val="32"/>
          <w:highlight w:val="none"/>
        </w:rPr>
      </w:pPr>
    </w:p>
    <w:p w14:paraId="1FAE4CF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采购人</w:t>
      </w:r>
      <w:r>
        <w:rPr>
          <w:rFonts w:hint="eastAsia" w:ascii="宋体" w:hAnsi="宋体" w:cs="宋体"/>
          <w:color w:val="auto"/>
          <w:sz w:val="24"/>
          <w:szCs w:val="24"/>
          <w:highlight w:val="none"/>
          <w:u w:val="singl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rPr>
        <w:t>采购活动由本单位提供服务。</w:t>
      </w:r>
    </w:p>
    <w:p w14:paraId="54B3E6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41FAF5B">
      <w:pPr>
        <w:spacing w:line="360" w:lineRule="auto"/>
        <w:contextualSpacing/>
        <w:rPr>
          <w:rFonts w:hint="eastAsia" w:ascii="宋体" w:hAnsi="宋体" w:eastAsia="宋体" w:cs="宋体"/>
          <w:color w:val="auto"/>
          <w:sz w:val="24"/>
          <w:highlight w:val="none"/>
        </w:rPr>
      </w:pPr>
    </w:p>
    <w:p w14:paraId="77A8BD8C">
      <w:pPr>
        <w:spacing w:line="360" w:lineRule="auto"/>
        <w:contextualSpacing/>
        <w:rPr>
          <w:rFonts w:hint="eastAsia" w:ascii="宋体" w:hAnsi="宋体" w:eastAsia="宋体" w:cs="宋体"/>
          <w:color w:val="auto"/>
          <w:sz w:val="24"/>
          <w:highlight w:val="none"/>
        </w:rPr>
      </w:pPr>
    </w:p>
    <w:p w14:paraId="0FECB3A2">
      <w:pPr>
        <w:spacing w:line="360" w:lineRule="auto"/>
        <w:contextualSpacing/>
        <w:rPr>
          <w:rFonts w:hint="eastAsia" w:ascii="宋体" w:hAnsi="宋体" w:eastAsia="宋体" w:cs="宋体"/>
          <w:color w:val="auto"/>
          <w:sz w:val="24"/>
          <w:highlight w:val="none"/>
        </w:rPr>
      </w:pPr>
    </w:p>
    <w:p w14:paraId="5EC53710">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56781033">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62D531A6">
      <w:pPr>
        <w:spacing w:line="360" w:lineRule="auto"/>
        <w:contextualSpacing/>
        <w:rPr>
          <w:rFonts w:hint="eastAsia" w:ascii="宋体" w:hAnsi="宋体" w:eastAsia="宋体" w:cs="宋体"/>
          <w:color w:val="auto"/>
          <w:sz w:val="24"/>
          <w:highlight w:val="none"/>
        </w:rPr>
      </w:pPr>
    </w:p>
    <w:p w14:paraId="20020026">
      <w:pPr>
        <w:spacing w:line="360" w:lineRule="auto"/>
        <w:contextualSpacing/>
        <w:rPr>
          <w:rFonts w:hint="eastAsia" w:ascii="宋体" w:hAnsi="宋体" w:eastAsia="宋体" w:cs="宋体"/>
          <w:color w:val="auto"/>
          <w:sz w:val="24"/>
          <w:highlight w:val="none"/>
        </w:rPr>
      </w:pPr>
    </w:p>
    <w:p w14:paraId="2C0AA407">
      <w:pPr>
        <w:spacing w:line="360" w:lineRule="auto"/>
        <w:contextualSpacing/>
        <w:rPr>
          <w:rFonts w:hint="eastAsia" w:ascii="宋体" w:hAnsi="宋体" w:eastAsia="宋体" w:cs="宋体"/>
          <w:color w:val="auto"/>
          <w:sz w:val="24"/>
          <w:highlight w:val="none"/>
        </w:rPr>
      </w:pPr>
    </w:p>
    <w:p w14:paraId="46CF8CE8">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4F62667">
      <w:pPr>
        <w:spacing w:line="520" w:lineRule="exact"/>
        <w:jc w:val="center"/>
        <w:rPr>
          <w:rFonts w:hint="eastAsia" w:ascii="宋体" w:hAnsi="宋体" w:eastAsia="宋体" w:cs="宋体"/>
          <w:color w:val="auto"/>
          <w:sz w:val="24"/>
          <w:highlight w:val="none"/>
        </w:rPr>
      </w:pPr>
    </w:p>
    <w:p w14:paraId="09CBED0B">
      <w:pPr>
        <w:pStyle w:val="15"/>
        <w:spacing w:line="500" w:lineRule="exact"/>
        <w:ind w:firstLine="6360" w:firstLineChars="2650"/>
        <w:rPr>
          <w:rFonts w:hint="eastAsia" w:ascii="宋体" w:hAnsi="宋体" w:eastAsia="宋体" w:cs="宋体"/>
          <w:color w:val="auto"/>
          <w:sz w:val="24"/>
          <w:highlight w:val="none"/>
          <w:lang w:val="zh-CN"/>
        </w:rPr>
      </w:pPr>
    </w:p>
    <w:p w14:paraId="63EF5F08">
      <w:pPr>
        <w:snapToGrid w:val="0"/>
        <w:spacing w:line="360" w:lineRule="auto"/>
        <w:ind w:firstLine="0" w:firstLineChars="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监狱企业证明文件</w:t>
      </w:r>
    </w:p>
    <w:p w14:paraId="46C0E174">
      <w:pPr>
        <w:snapToGrid w:val="0"/>
        <w:spacing w:line="360" w:lineRule="auto"/>
        <w:ind w:firstLine="0" w:firstLineChars="0"/>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6964201D">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77B0B2DD">
      <w:pPr>
        <w:spacing w:line="520" w:lineRule="exact"/>
        <w:jc w:val="center"/>
        <w:rPr>
          <w:rFonts w:hint="eastAsia" w:ascii="宋体" w:hAnsi="宋体" w:eastAsia="宋体" w:cs="宋体"/>
          <w:color w:val="auto"/>
          <w:sz w:val="24"/>
          <w:highlight w:val="none"/>
        </w:rPr>
      </w:pPr>
    </w:p>
    <w:p w14:paraId="6654A7F7">
      <w:pPr>
        <w:spacing w:line="520" w:lineRule="exact"/>
        <w:jc w:val="center"/>
        <w:rPr>
          <w:rFonts w:hint="eastAsia" w:ascii="宋体" w:hAnsi="宋体" w:eastAsia="宋体" w:cs="宋体"/>
          <w:color w:val="auto"/>
          <w:sz w:val="24"/>
          <w:highlight w:val="none"/>
        </w:rPr>
      </w:pPr>
    </w:p>
    <w:p w14:paraId="6D67EC46">
      <w:pPr>
        <w:spacing w:line="520" w:lineRule="exact"/>
        <w:jc w:val="center"/>
        <w:rPr>
          <w:rFonts w:hint="eastAsia" w:ascii="宋体" w:hAnsi="宋体" w:eastAsia="宋体" w:cs="宋体"/>
          <w:color w:val="auto"/>
          <w:sz w:val="24"/>
          <w:highlight w:val="none"/>
        </w:rPr>
      </w:pPr>
    </w:p>
    <w:p w14:paraId="144AAF2E">
      <w:pPr>
        <w:spacing w:line="520" w:lineRule="exact"/>
        <w:jc w:val="center"/>
        <w:rPr>
          <w:rFonts w:hint="eastAsia" w:ascii="宋体" w:hAnsi="宋体" w:eastAsia="宋体" w:cs="宋体"/>
          <w:color w:val="auto"/>
          <w:sz w:val="24"/>
          <w:highlight w:val="none"/>
        </w:rPr>
      </w:pPr>
    </w:p>
    <w:p w14:paraId="4D27EE33">
      <w:pPr>
        <w:spacing w:line="520" w:lineRule="exact"/>
        <w:jc w:val="center"/>
        <w:rPr>
          <w:rFonts w:hint="eastAsia" w:ascii="宋体" w:hAnsi="宋体" w:eastAsia="宋体" w:cs="宋体"/>
          <w:color w:val="auto"/>
          <w:sz w:val="24"/>
          <w:highlight w:val="none"/>
        </w:rPr>
      </w:pPr>
    </w:p>
    <w:p w14:paraId="69661F80">
      <w:pPr>
        <w:spacing w:line="520" w:lineRule="exact"/>
        <w:jc w:val="center"/>
        <w:rPr>
          <w:rFonts w:hint="eastAsia" w:ascii="宋体" w:hAnsi="宋体" w:eastAsia="宋体" w:cs="宋体"/>
          <w:color w:val="auto"/>
          <w:sz w:val="24"/>
          <w:highlight w:val="none"/>
        </w:rPr>
      </w:pPr>
    </w:p>
    <w:p w14:paraId="699DF7F4">
      <w:pPr>
        <w:spacing w:line="520" w:lineRule="exact"/>
        <w:jc w:val="center"/>
        <w:rPr>
          <w:rFonts w:hint="eastAsia" w:ascii="宋体" w:hAnsi="宋体" w:eastAsia="宋体" w:cs="宋体"/>
          <w:color w:val="auto"/>
          <w:sz w:val="24"/>
          <w:highlight w:val="none"/>
        </w:rPr>
      </w:pPr>
    </w:p>
    <w:p w14:paraId="284850D3">
      <w:pPr>
        <w:spacing w:line="520" w:lineRule="exact"/>
        <w:jc w:val="center"/>
        <w:rPr>
          <w:rFonts w:hint="eastAsia" w:ascii="宋体" w:hAnsi="宋体" w:eastAsia="宋体" w:cs="宋体"/>
          <w:color w:val="auto"/>
          <w:sz w:val="24"/>
          <w:highlight w:val="none"/>
        </w:rPr>
      </w:pPr>
    </w:p>
    <w:p w14:paraId="69954CBA">
      <w:pPr>
        <w:spacing w:line="520" w:lineRule="exact"/>
        <w:jc w:val="center"/>
        <w:rPr>
          <w:rFonts w:hint="eastAsia" w:ascii="宋体" w:hAnsi="宋体" w:eastAsia="宋体" w:cs="宋体"/>
          <w:color w:val="auto"/>
          <w:sz w:val="24"/>
          <w:highlight w:val="none"/>
        </w:rPr>
      </w:pPr>
    </w:p>
    <w:p w14:paraId="5BD3937A">
      <w:pPr>
        <w:spacing w:line="520" w:lineRule="exact"/>
        <w:jc w:val="center"/>
        <w:rPr>
          <w:rFonts w:hint="eastAsia" w:ascii="宋体" w:hAnsi="宋体" w:eastAsia="宋体" w:cs="宋体"/>
          <w:color w:val="auto"/>
          <w:sz w:val="24"/>
          <w:highlight w:val="none"/>
        </w:rPr>
      </w:pPr>
    </w:p>
    <w:p w14:paraId="08CBF349">
      <w:pPr>
        <w:spacing w:line="520" w:lineRule="exact"/>
        <w:jc w:val="center"/>
        <w:rPr>
          <w:rFonts w:hint="eastAsia" w:ascii="宋体" w:hAnsi="宋体" w:eastAsia="宋体" w:cs="宋体"/>
          <w:color w:val="auto"/>
          <w:sz w:val="24"/>
          <w:highlight w:val="none"/>
        </w:rPr>
      </w:pPr>
    </w:p>
    <w:p w14:paraId="5B99908D">
      <w:pPr>
        <w:spacing w:line="520" w:lineRule="exact"/>
        <w:jc w:val="center"/>
        <w:rPr>
          <w:rFonts w:hint="eastAsia" w:ascii="宋体" w:hAnsi="宋体" w:eastAsia="宋体" w:cs="宋体"/>
          <w:color w:val="auto"/>
          <w:sz w:val="24"/>
          <w:highlight w:val="none"/>
        </w:rPr>
      </w:pPr>
    </w:p>
    <w:p w14:paraId="08CB0C9D">
      <w:pPr>
        <w:spacing w:line="520" w:lineRule="exact"/>
        <w:jc w:val="center"/>
        <w:rPr>
          <w:rFonts w:hint="eastAsia" w:ascii="宋体" w:hAnsi="宋体" w:eastAsia="宋体" w:cs="宋体"/>
          <w:color w:val="auto"/>
          <w:sz w:val="24"/>
          <w:highlight w:val="none"/>
        </w:rPr>
      </w:pPr>
    </w:p>
    <w:p w14:paraId="3F6CE959">
      <w:pPr>
        <w:spacing w:line="520" w:lineRule="exact"/>
        <w:jc w:val="center"/>
        <w:rPr>
          <w:rFonts w:hint="eastAsia" w:ascii="宋体" w:hAnsi="宋体" w:eastAsia="宋体" w:cs="宋体"/>
          <w:color w:val="auto"/>
          <w:sz w:val="24"/>
          <w:highlight w:val="none"/>
        </w:rPr>
      </w:pPr>
    </w:p>
    <w:p w14:paraId="18968B33">
      <w:pPr>
        <w:pStyle w:val="2"/>
        <w:jc w:val="center"/>
        <w:rPr>
          <w:rFonts w:hint="eastAsia" w:ascii="宋体" w:hAnsi="宋体" w:eastAsia="宋体" w:cs="宋体"/>
          <w:b w:val="0"/>
          <w:bCs w:val="0"/>
          <w:color w:val="auto"/>
          <w:highlight w:val="none"/>
        </w:rPr>
      </w:pPr>
      <w:bookmarkStart w:id="107" w:name="_Toc80886947"/>
      <w:r>
        <w:rPr>
          <w:rFonts w:hint="eastAsia" w:ascii="宋体" w:hAnsi="宋体" w:eastAsia="宋体" w:cs="宋体"/>
          <w:b w:val="0"/>
          <w:bCs w:val="0"/>
          <w:color w:val="auto"/>
          <w:highlight w:val="none"/>
        </w:rPr>
        <w:t>第六章  合同文本</w:t>
      </w:r>
      <w:bookmarkEnd w:id="107"/>
      <w:r>
        <w:rPr>
          <w:rFonts w:hint="eastAsia" w:ascii="宋体" w:hAnsi="宋体" w:eastAsia="宋体" w:cs="宋体"/>
          <w:b w:val="0"/>
          <w:bCs w:val="0"/>
          <w:color w:val="auto"/>
          <w:highlight w:val="none"/>
        </w:rPr>
        <w:br w:type="page"/>
      </w:r>
    </w:p>
    <w:p w14:paraId="455B1FB0">
      <w:pPr>
        <w:rPr>
          <w:rFonts w:hint="eastAsia" w:ascii="宋体" w:hAnsi="宋体" w:eastAsia="宋体" w:cs="宋体"/>
          <w:b/>
          <w:bCs/>
          <w:color w:val="auto"/>
          <w:highlight w:val="none"/>
        </w:rPr>
      </w:pPr>
      <w:r>
        <w:rPr>
          <w:rFonts w:hint="eastAsia" w:ascii="宋体" w:hAnsi="宋体" w:cs="宋体"/>
          <w:color w:val="auto"/>
          <w:sz w:val="24"/>
          <w:highlight w:val="none"/>
          <w:lang w:eastAsia="zh-CN"/>
        </w:rPr>
        <w:t>广西政府采购云平台</w:t>
      </w:r>
      <w:r>
        <w:rPr>
          <w:rFonts w:hint="eastAsia" w:ascii="宋体" w:hAnsi="宋体" w:cs="宋体"/>
          <w:color w:val="auto"/>
          <w:sz w:val="24"/>
          <w:highlight w:val="none"/>
        </w:rPr>
        <w:t>合同编号</w:t>
      </w:r>
      <w:r>
        <w:rPr>
          <w:rFonts w:hint="eastAsia" w:ascii="宋体" w:hAnsi="宋体" w:eastAsia="宋体" w:cs="宋体"/>
          <w:color w:val="auto"/>
          <w:sz w:val="24"/>
          <w:highlight w:val="none"/>
        </w:rPr>
        <w:t>：</w:t>
      </w:r>
    </w:p>
    <w:p w14:paraId="1B1D2915">
      <w:pPr>
        <w:spacing w:line="360" w:lineRule="auto"/>
        <w:jc w:val="center"/>
        <w:rPr>
          <w:rFonts w:hint="eastAsia" w:ascii="宋体" w:hAnsi="宋体" w:eastAsia="宋体" w:cs="宋体"/>
          <w:b/>
          <w:bCs/>
          <w:color w:val="auto"/>
          <w:sz w:val="52"/>
          <w:highlight w:val="none"/>
        </w:rPr>
      </w:pPr>
    </w:p>
    <w:p w14:paraId="5E996243">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5A23C76C">
      <w:pPr>
        <w:spacing w:line="360" w:lineRule="auto"/>
        <w:ind w:firstLine="420" w:firstLineChars="200"/>
        <w:rPr>
          <w:rFonts w:hint="eastAsia" w:ascii="宋体" w:hAnsi="宋体" w:eastAsia="宋体" w:cs="宋体"/>
          <w:color w:val="auto"/>
          <w:highlight w:val="none"/>
        </w:rPr>
      </w:pPr>
    </w:p>
    <w:p w14:paraId="65C8B5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98165D2">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none"/>
        </w:rPr>
        <w:t>“南宁党建”融媒体平台管理维护服务合同</w:t>
      </w:r>
    </w:p>
    <w:p w14:paraId="070246D6">
      <w:pPr>
        <w:spacing w:line="360" w:lineRule="auto"/>
        <w:jc w:val="center"/>
        <w:rPr>
          <w:rFonts w:hint="eastAsia" w:ascii="宋体" w:hAnsi="宋体" w:eastAsia="宋体" w:cs="宋体"/>
          <w:b/>
          <w:bCs/>
          <w:color w:val="auto"/>
          <w:sz w:val="44"/>
          <w:highlight w:val="none"/>
        </w:rPr>
      </w:pPr>
    </w:p>
    <w:p w14:paraId="4A446BF8">
      <w:pPr>
        <w:spacing w:line="360" w:lineRule="auto"/>
        <w:ind w:firstLine="3507" w:firstLineChars="794"/>
        <w:rPr>
          <w:rFonts w:hint="eastAsia" w:ascii="宋体" w:hAnsi="宋体" w:eastAsia="宋体" w:cs="宋体"/>
          <w:b/>
          <w:bCs/>
          <w:color w:val="auto"/>
          <w:sz w:val="44"/>
          <w:highlight w:val="none"/>
        </w:rPr>
      </w:pPr>
    </w:p>
    <w:p w14:paraId="6411EC54">
      <w:pPr>
        <w:spacing w:line="360" w:lineRule="auto"/>
        <w:ind w:firstLine="3507" w:firstLineChars="794"/>
        <w:rPr>
          <w:rFonts w:hint="eastAsia" w:ascii="宋体" w:hAnsi="宋体" w:eastAsia="宋体" w:cs="宋体"/>
          <w:b/>
          <w:bCs/>
          <w:color w:val="auto"/>
          <w:sz w:val="44"/>
          <w:highlight w:val="none"/>
        </w:rPr>
      </w:pPr>
    </w:p>
    <w:p w14:paraId="564726A5">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采购项目编号：</w:t>
      </w:r>
      <w:r>
        <w:rPr>
          <w:rFonts w:hint="eastAsia" w:ascii="宋体" w:hAnsi="宋体" w:eastAsia="宋体" w:cs="宋体"/>
          <w:b/>
          <w:color w:val="auto"/>
          <w:sz w:val="36"/>
          <w:szCs w:val="36"/>
          <w:highlight w:val="none"/>
          <w:u w:val="single"/>
        </w:rPr>
        <w:t xml:space="preserve"> NNZC2025-C3-990592-GXDY</w:t>
      </w:r>
    </w:p>
    <w:p w14:paraId="31E1B952">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NNZC[202</w:t>
      </w:r>
      <w:r>
        <w:rPr>
          <w:rFonts w:hint="eastAsia" w:ascii="宋体" w:hAnsi="宋体" w:cs="宋体"/>
          <w:b/>
          <w:color w:val="auto"/>
          <w:sz w:val="36"/>
          <w:szCs w:val="36"/>
          <w:highlight w:val="none"/>
          <w:u w:val="single"/>
          <w:lang w:val="en-US" w:eastAsia="zh-CN"/>
        </w:rPr>
        <w:t>5</w:t>
      </w:r>
      <w:r>
        <w:rPr>
          <w:rFonts w:hint="eastAsia" w:ascii="宋体" w:hAnsi="宋体" w:eastAsia="宋体" w:cs="宋体"/>
          <w:b/>
          <w:color w:val="auto"/>
          <w:sz w:val="36"/>
          <w:szCs w:val="36"/>
          <w:highlight w:val="none"/>
          <w:u w:val="single"/>
        </w:rPr>
        <w:t>]</w:t>
      </w:r>
      <w:r>
        <w:rPr>
          <w:rFonts w:hint="eastAsia" w:ascii="宋体" w:hAnsi="宋体" w:cs="宋体"/>
          <w:b/>
          <w:color w:val="auto"/>
          <w:sz w:val="36"/>
          <w:szCs w:val="36"/>
          <w:highlight w:val="none"/>
          <w:u w:val="single"/>
          <w:lang w:val="en-US" w:eastAsia="zh-CN"/>
        </w:rPr>
        <w:t>3627</w:t>
      </w:r>
      <w:r>
        <w:rPr>
          <w:rFonts w:hint="eastAsia" w:ascii="宋体" w:hAnsi="宋体" w:eastAsia="宋体" w:cs="宋体"/>
          <w:b/>
          <w:color w:val="auto"/>
          <w:sz w:val="36"/>
          <w:szCs w:val="36"/>
          <w:highlight w:val="none"/>
          <w:u w:val="single"/>
        </w:rPr>
        <w:t xml:space="preserve">号 </w:t>
      </w:r>
    </w:p>
    <w:p w14:paraId="21941048">
      <w:pPr>
        <w:ind w:firstLine="1308" w:firstLineChars="545"/>
        <w:rPr>
          <w:rFonts w:hint="eastAsia" w:ascii="宋体" w:hAnsi="宋体" w:eastAsia="宋体" w:cs="宋体"/>
          <w:color w:val="auto"/>
          <w:sz w:val="24"/>
          <w:highlight w:val="none"/>
        </w:rPr>
      </w:pPr>
    </w:p>
    <w:p w14:paraId="2CDD804A">
      <w:pPr>
        <w:ind w:firstLine="1995" w:firstLineChars="552"/>
        <w:rPr>
          <w:rFonts w:hint="eastAsia" w:ascii="宋体" w:hAnsi="宋体" w:eastAsia="宋体" w:cs="宋体"/>
          <w:b/>
          <w:color w:val="auto"/>
          <w:sz w:val="36"/>
          <w:szCs w:val="36"/>
          <w:highlight w:val="none"/>
          <w:u w:val="single"/>
        </w:rPr>
      </w:pPr>
    </w:p>
    <w:p w14:paraId="30DF56D7">
      <w:pPr>
        <w:ind w:firstLine="1995" w:firstLineChars="552"/>
        <w:rPr>
          <w:rFonts w:hint="eastAsia" w:ascii="宋体" w:hAnsi="宋体" w:eastAsia="宋体" w:cs="宋体"/>
          <w:b/>
          <w:color w:val="auto"/>
          <w:sz w:val="36"/>
          <w:szCs w:val="36"/>
          <w:highlight w:val="none"/>
          <w:u w:val="single"/>
        </w:rPr>
      </w:pPr>
    </w:p>
    <w:p w14:paraId="7D9F7B2A">
      <w:pPr>
        <w:tabs>
          <w:tab w:val="left" w:pos="7200"/>
        </w:tabs>
        <w:spacing w:line="360" w:lineRule="auto"/>
        <w:ind w:firstLine="1995" w:firstLineChars="552"/>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u w:val="single"/>
        </w:rPr>
        <w:t xml:space="preserve"> </w:t>
      </w:r>
      <w:bookmarkStart w:id="108" w:name="PO_3000001868_PM026_4"/>
      <w:r>
        <w:rPr>
          <w:rFonts w:hint="eastAsia" w:ascii="宋体" w:hAnsi="宋体" w:eastAsia="宋体" w:cs="宋体"/>
          <w:b/>
          <w:color w:val="auto"/>
          <w:sz w:val="36"/>
          <w:szCs w:val="36"/>
          <w:highlight w:val="none"/>
          <w:u w:val="single"/>
          <w:lang w:eastAsia="zh-CN"/>
        </w:rPr>
        <w:t>中国共产党南宁市委员会组织部</w:t>
      </w:r>
      <w:bookmarkEnd w:id="108"/>
      <w:r>
        <w:rPr>
          <w:rFonts w:hint="eastAsia" w:ascii="宋体" w:hAnsi="宋体" w:eastAsia="宋体" w:cs="宋体"/>
          <w:b/>
          <w:color w:val="auto"/>
          <w:sz w:val="36"/>
          <w:szCs w:val="36"/>
          <w:highlight w:val="none"/>
          <w:u w:val="single"/>
        </w:rPr>
        <w:t xml:space="preserve">  </w:t>
      </w:r>
    </w:p>
    <w:p w14:paraId="7D127A16">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b/>
          <w:color w:val="auto"/>
          <w:sz w:val="36"/>
          <w:szCs w:val="36"/>
          <w:highlight w:val="none"/>
          <w:u w:val="single"/>
        </w:rPr>
        <w:t xml:space="preserve">                   </w:t>
      </w:r>
    </w:p>
    <w:p w14:paraId="2DF3C874">
      <w:pPr>
        <w:tabs>
          <w:tab w:val="left" w:pos="7380"/>
        </w:tabs>
        <w:spacing w:line="360" w:lineRule="auto"/>
        <w:rPr>
          <w:rFonts w:hint="eastAsia" w:ascii="宋体" w:hAnsi="宋体" w:eastAsia="宋体" w:cs="宋体"/>
          <w:b/>
          <w:bCs/>
          <w:color w:val="auto"/>
          <w:sz w:val="44"/>
          <w:highlight w:val="none"/>
        </w:rPr>
      </w:pPr>
    </w:p>
    <w:p w14:paraId="13575402">
      <w:pPr>
        <w:tabs>
          <w:tab w:val="left" w:pos="7380"/>
        </w:tabs>
        <w:spacing w:line="360" w:lineRule="auto"/>
        <w:rPr>
          <w:rFonts w:hint="eastAsia" w:ascii="宋体" w:hAnsi="宋体" w:eastAsia="宋体" w:cs="宋体"/>
          <w:b/>
          <w:bCs/>
          <w:color w:val="auto"/>
          <w:sz w:val="44"/>
          <w:highlight w:val="none"/>
        </w:rPr>
      </w:pPr>
    </w:p>
    <w:p w14:paraId="6E662A84">
      <w:pPr>
        <w:tabs>
          <w:tab w:val="left" w:pos="7380"/>
        </w:tabs>
        <w:spacing w:line="360" w:lineRule="auto"/>
        <w:rPr>
          <w:rFonts w:hint="eastAsia" w:ascii="宋体" w:hAnsi="宋体" w:eastAsia="宋体" w:cs="宋体"/>
          <w:b/>
          <w:bCs/>
          <w:color w:val="auto"/>
          <w:sz w:val="44"/>
          <w:highlight w:val="none"/>
        </w:rPr>
      </w:pPr>
    </w:p>
    <w:p w14:paraId="1024DA62">
      <w:pPr>
        <w:tabs>
          <w:tab w:val="left" w:pos="7380"/>
        </w:tabs>
        <w:spacing w:line="360" w:lineRule="auto"/>
        <w:ind w:firstLine="3360" w:firstLineChars="1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签订时间：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29A3F2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44"/>
          <w:highlight w:val="none"/>
        </w:rPr>
        <w:br w:type="page"/>
      </w:r>
      <w:r>
        <w:rPr>
          <w:rFonts w:hint="eastAsia" w:ascii="宋体" w:hAnsi="宋体" w:eastAsia="宋体" w:cs="宋体"/>
          <w:b/>
          <w:color w:val="auto"/>
          <w:sz w:val="24"/>
          <w:highlight w:val="none"/>
        </w:rPr>
        <w:t>合同目录</w:t>
      </w:r>
    </w:p>
    <w:p w14:paraId="2151AD6C">
      <w:pPr>
        <w:snapToGrid w:val="0"/>
        <w:spacing w:line="360" w:lineRule="auto"/>
        <w:jc w:val="center"/>
        <w:rPr>
          <w:rFonts w:hint="eastAsia" w:ascii="宋体" w:hAnsi="宋体" w:eastAsia="宋体" w:cs="宋体"/>
          <w:b/>
          <w:bCs/>
          <w:color w:val="auto"/>
          <w:sz w:val="44"/>
          <w:highlight w:val="none"/>
        </w:rPr>
      </w:pPr>
    </w:p>
    <w:p w14:paraId="67DB43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第一部分 合同书</w:t>
      </w:r>
      <w:r>
        <w:rPr>
          <w:rFonts w:hint="eastAsia" w:ascii="宋体" w:hAnsi="宋体" w:eastAsia="宋体" w:cs="宋体"/>
          <w:color w:val="auto"/>
          <w:kern w:val="0"/>
          <w:sz w:val="24"/>
          <w:highlight w:val="none"/>
        </w:rPr>
        <w:t>……………………………………………………………（页码）</w:t>
      </w:r>
    </w:p>
    <w:p w14:paraId="512EAC6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二、第二部分 合同一般条款……………………………………………………（页码）</w:t>
      </w:r>
    </w:p>
    <w:p w14:paraId="71ECDBA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三、第三部分 合同专用条款……………………………………………………（页码）</w:t>
      </w:r>
    </w:p>
    <w:p w14:paraId="2EBA1FB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w:t>
      </w:r>
      <w:r>
        <w:rPr>
          <w:rFonts w:hint="eastAsia" w:ascii="宋体" w:hAnsi="宋体" w:eastAsia="宋体" w:cs="宋体"/>
          <w:color w:val="auto"/>
          <w:sz w:val="24"/>
          <w:highlight w:val="none"/>
        </w:rPr>
        <w:t>第四部分 合同附件</w:t>
      </w:r>
      <w:r>
        <w:rPr>
          <w:rFonts w:hint="eastAsia" w:ascii="宋体" w:hAnsi="宋体" w:eastAsia="宋体" w:cs="宋体"/>
          <w:color w:val="auto"/>
          <w:kern w:val="0"/>
          <w:sz w:val="24"/>
          <w:highlight w:val="none"/>
        </w:rPr>
        <w:t>…………………………………………………………（页码）</w:t>
      </w:r>
    </w:p>
    <w:p w14:paraId="65360DC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4.1成交通知书 …………………………………………………………………（页码）</w:t>
      </w:r>
    </w:p>
    <w:p w14:paraId="475D957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4.2采购文件服务需求一览表 …………………………………………………（页码）</w:t>
      </w:r>
    </w:p>
    <w:p w14:paraId="6758AE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4.3采购文件的更改通知（如有） ……………………………………………（页码）</w:t>
      </w:r>
    </w:p>
    <w:p w14:paraId="4FB7A4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4.4响应函 ………………………………………………………………………（页码）</w:t>
      </w:r>
    </w:p>
    <w:p w14:paraId="05F7F1A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4.5响应报价表 …………………………………………………………………（页码）</w:t>
      </w:r>
    </w:p>
    <w:p w14:paraId="167E0E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4.6响应服务技术资料表 ………………………………………………………（页码）</w:t>
      </w:r>
    </w:p>
    <w:p w14:paraId="078B9B1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4.7商务条款偏离表 ……………………………………………………………（页码）</w:t>
      </w:r>
    </w:p>
    <w:p w14:paraId="2BFAAF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4.8成交供应商澄清函（如有请提供） ………………………………………（页码）</w:t>
      </w:r>
    </w:p>
    <w:p w14:paraId="54AB756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4.9其他与本合同相关的资料（如有请提供） ………………………………（页码）</w:t>
      </w:r>
    </w:p>
    <w:p w14:paraId="2D7E41D7">
      <w:pPr>
        <w:snapToGrid w:val="0"/>
        <w:spacing w:line="360" w:lineRule="auto"/>
        <w:rPr>
          <w:rFonts w:hint="eastAsia" w:ascii="宋体" w:hAnsi="宋体" w:eastAsia="宋体" w:cs="宋体"/>
          <w:color w:val="auto"/>
          <w:kern w:val="0"/>
          <w:sz w:val="24"/>
          <w:highlight w:val="none"/>
        </w:rPr>
      </w:pPr>
    </w:p>
    <w:p w14:paraId="02005309">
      <w:pPr>
        <w:pStyle w:val="12"/>
        <w:ind w:firstLine="1126"/>
        <w:rPr>
          <w:rFonts w:hint="eastAsia" w:ascii="宋体" w:hAnsi="宋体" w:eastAsia="宋体" w:cs="宋体"/>
          <w:color w:val="auto"/>
          <w:highlight w:val="none"/>
        </w:rPr>
        <w:sectPr>
          <w:pgSz w:w="11906" w:h="16838"/>
          <w:pgMar w:top="1440" w:right="1080" w:bottom="1440" w:left="1080" w:header="720" w:footer="720" w:gutter="0"/>
          <w:pgNumType w:fmt="decimal"/>
          <w:cols w:space="720" w:num="1"/>
          <w:docGrid w:type="lines" w:linePitch="331" w:charSpace="0"/>
        </w:sectPr>
      </w:pPr>
    </w:p>
    <w:p w14:paraId="3135308F">
      <w:pPr>
        <w:pStyle w:val="28"/>
        <w:spacing w:after="0"/>
        <w:ind w:firstLine="562"/>
        <w:jc w:val="center"/>
        <w:outlineLvl w:val="1"/>
        <w:rPr>
          <w:rFonts w:hint="eastAsia" w:ascii="宋体" w:hAnsi="宋体" w:eastAsia="宋体" w:cs="宋体"/>
          <w:b/>
          <w:color w:val="auto"/>
          <w:sz w:val="28"/>
          <w:szCs w:val="28"/>
          <w:highlight w:val="none"/>
        </w:rPr>
      </w:pPr>
      <w:bookmarkStart w:id="109" w:name="_Toc80886948"/>
      <w:bookmarkStart w:id="110" w:name="_Toc80205944"/>
      <w:r>
        <w:rPr>
          <w:rFonts w:hint="eastAsia" w:ascii="宋体" w:hAnsi="宋体" w:eastAsia="宋体" w:cs="宋体"/>
          <w:b/>
          <w:color w:val="auto"/>
          <w:sz w:val="28"/>
          <w:szCs w:val="28"/>
          <w:highlight w:val="none"/>
        </w:rPr>
        <w:t>第一部分 合同书</w:t>
      </w:r>
      <w:bookmarkEnd w:id="109"/>
      <w:bookmarkEnd w:id="110"/>
    </w:p>
    <w:p w14:paraId="3CE001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bookmarkStart w:id="111" w:name="PO_3000001868_PM026_5"/>
      <w:r>
        <w:rPr>
          <w:rFonts w:hint="eastAsia" w:ascii="宋体" w:hAnsi="宋体" w:eastAsia="宋体" w:cs="宋体"/>
          <w:color w:val="auto"/>
          <w:sz w:val="24"/>
          <w:highlight w:val="none"/>
          <w:u w:val="single"/>
          <w:lang w:eastAsia="zh-CN"/>
        </w:rPr>
        <w:t>中国共产党南宁市委员会组织部</w:t>
      </w:r>
      <w:bookmarkEnd w:id="111"/>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竞争性磋商方式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（供应商名称）</w:t>
      </w:r>
      <w:r>
        <w:rPr>
          <w:rFonts w:hint="eastAsia" w:ascii="宋体" w:hAnsi="宋体" w:eastAsia="宋体" w:cs="宋体"/>
          <w:color w:val="auto"/>
          <w:sz w:val="24"/>
          <w:highlight w:val="none"/>
        </w:rPr>
        <w:t>为该项目成交供应商。现于成交通知书发出之日起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日（时限根据项目情况而定，不得超过25日）内，按照采购文件确定的事项签订本合同。</w:t>
      </w:r>
    </w:p>
    <w:p w14:paraId="4601B2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w:t>
      </w:r>
      <w:bookmarkStart w:id="112" w:name="PO_3000001868_PM026_6"/>
      <w:r>
        <w:rPr>
          <w:rFonts w:hint="eastAsia" w:ascii="宋体" w:hAnsi="宋体" w:eastAsia="宋体" w:cs="宋体"/>
          <w:color w:val="auto"/>
          <w:sz w:val="24"/>
          <w:highlight w:val="none"/>
          <w:u w:val="single"/>
          <w:lang w:eastAsia="zh-CN"/>
        </w:rPr>
        <w:t>中国共产党南宁市委员会组织部</w:t>
      </w:r>
      <w:bookmarkEnd w:id="112"/>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（中标人名称）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087C159">
      <w:pPr>
        <w:spacing w:line="360" w:lineRule="auto"/>
        <w:ind w:firstLine="482" w:firstLineChars="200"/>
        <w:rPr>
          <w:rFonts w:hint="eastAsia" w:ascii="宋体" w:hAnsi="宋体" w:eastAsia="宋体" w:cs="宋体"/>
          <w:b/>
          <w:color w:val="auto"/>
          <w:sz w:val="24"/>
          <w:highlight w:val="none"/>
        </w:rPr>
      </w:pPr>
      <w:bookmarkStart w:id="113" w:name="_Toc2232"/>
      <w:bookmarkStart w:id="114" w:name="_Toc24059"/>
      <w:bookmarkStart w:id="115" w:name="_Toc3029"/>
      <w:r>
        <w:rPr>
          <w:rFonts w:hint="eastAsia" w:ascii="宋体" w:hAnsi="宋体" w:eastAsia="宋体" w:cs="宋体"/>
          <w:b/>
          <w:color w:val="auto"/>
          <w:sz w:val="24"/>
          <w:highlight w:val="none"/>
        </w:rPr>
        <w:t>1.1 合同组成部分</w:t>
      </w:r>
      <w:bookmarkEnd w:id="113"/>
      <w:bookmarkEnd w:id="114"/>
      <w:bookmarkEnd w:id="115"/>
    </w:p>
    <w:p w14:paraId="620EC0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BDBF3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656761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成交通知书；</w:t>
      </w:r>
    </w:p>
    <w:p w14:paraId="774E22C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采购文件及“响应报价”（含澄清或者说明文件）；</w:t>
      </w:r>
    </w:p>
    <w:p w14:paraId="586CB2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122645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D095A27">
      <w:pPr>
        <w:spacing w:line="360" w:lineRule="auto"/>
        <w:ind w:firstLine="482" w:firstLineChars="200"/>
        <w:rPr>
          <w:rFonts w:hint="eastAsia" w:ascii="宋体" w:hAnsi="宋体" w:eastAsia="宋体" w:cs="宋体"/>
          <w:b/>
          <w:color w:val="auto"/>
          <w:sz w:val="24"/>
          <w:highlight w:val="none"/>
        </w:rPr>
      </w:pPr>
      <w:bookmarkStart w:id="116" w:name="_Toc27126"/>
      <w:bookmarkStart w:id="117" w:name="_Toc24300"/>
      <w:bookmarkStart w:id="118" w:name="_Toc21295"/>
      <w:r>
        <w:rPr>
          <w:rFonts w:hint="eastAsia" w:ascii="宋体" w:hAnsi="宋体" w:eastAsia="宋体" w:cs="宋体"/>
          <w:b/>
          <w:color w:val="auto"/>
          <w:sz w:val="24"/>
          <w:highlight w:val="none"/>
        </w:rPr>
        <w:t>1.2 标的物</w:t>
      </w:r>
      <w:bookmarkEnd w:id="116"/>
      <w:bookmarkEnd w:id="117"/>
      <w:bookmarkEnd w:id="118"/>
    </w:p>
    <w:p w14:paraId="1BBA42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标的物1信息</w:t>
      </w:r>
    </w:p>
    <w:p w14:paraId="3747A81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1.2.1.1名称：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60B2E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1.2.1.2数量：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61CD8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1.2.1.3质量：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84F24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F50BD56">
      <w:pPr>
        <w:spacing w:line="360" w:lineRule="auto"/>
        <w:ind w:firstLine="482" w:firstLineChars="200"/>
        <w:rPr>
          <w:rFonts w:hint="eastAsia" w:ascii="宋体" w:hAnsi="宋体" w:eastAsia="宋体" w:cs="宋体"/>
          <w:b/>
          <w:color w:val="auto"/>
          <w:sz w:val="24"/>
          <w:highlight w:val="none"/>
        </w:rPr>
      </w:pPr>
      <w:bookmarkStart w:id="119" w:name="_Toc21551"/>
      <w:bookmarkStart w:id="120" w:name="_Toc23292"/>
      <w:bookmarkStart w:id="121" w:name="_Toc21631"/>
      <w:r>
        <w:rPr>
          <w:rFonts w:hint="eastAsia" w:ascii="宋体" w:hAnsi="宋体" w:eastAsia="宋体" w:cs="宋体"/>
          <w:b/>
          <w:color w:val="auto"/>
          <w:sz w:val="24"/>
          <w:highlight w:val="none"/>
        </w:rPr>
        <w:t>1.3 价款</w:t>
      </w:r>
      <w:bookmarkEnd w:id="119"/>
      <w:bookmarkEnd w:id="120"/>
      <w:bookmarkEnd w:id="121"/>
    </w:p>
    <w:p w14:paraId="0D5C99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元人民币，含税）。</w:t>
      </w:r>
    </w:p>
    <w:p w14:paraId="37632B2A">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32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86CF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02" w:type="dxa"/>
            <w:vAlign w:val="center"/>
          </w:tcPr>
          <w:p w14:paraId="73B0E1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分项名称</w:t>
            </w:r>
          </w:p>
        </w:tc>
        <w:tc>
          <w:tcPr>
            <w:tcW w:w="2552" w:type="dxa"/>
            <w:vAlign w:val="center"/>
          </w:tcPr>
          <w:p w14:paraId="353B5C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分项价格</w:t>
            </w:r>
          </w:p>
        </w:tc>
      </w:tr>
      <w:tr w14:paraId="722F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36C1FD">
            <w:pPr>
              <w:spacing w:line="360" w:lineRule="auto"/>
              <w:ind w:firstLine="480" w:firstLineChars="200"/>
              <w:rPr>
                <w:rFonts w:hint="eastAsia" w:ascii="宋体" w:hAnsi="宋体" w:eastAsia="宋体" w:cs="宋体"/>
                <w:color w:val="auto"/>
                <w:sz w:val="24"/>
                <w:highlight w:val="none"/>
              </w:rPr>
            </w:pPr>
          </w:p>
        </w:tc>
        <w:tc>
          <w:tcPr>
            <w:tcW w:w="3402" w:type="dxa"/>
            <w:vAlign w:val="center"/>
          </w:tcPr>
          <w:p w14:paraId="14F93634">
            <w:pPr>
              <w:spacing w:line="360" w:lineRule="auto"/>
              <w:ind w:firstLine="480" w:firstLineChars="200"/>
              <w:rPr>
                <w:rFonts w:hint="eastAsia" w:ascii="宋体" w:hAnsi="宋体" w:eastAsia="宋体" w:cs="宋体"/>
                <w:color w:val="auto"/>
                <w:sz w:val="24"/>
                <w:highlight w:val="none"/>
              </w:rPr>
            </w:pPr>
          </w:p>
        </w:tc>
        <w:tc>
          <w:tcPr>
            <w:tcW w:w="2552" w:type="dxa"/>
            <w:vAlign w:val="center"/>
          </w:tcPr>
          <w:p w14:paraId="59092B52">
            <w:pPr>
              <w:spacing w:line="360" w:lineRule="auto"/>
              <w:ind w:firstLine="480" w:firstLineChars="200"/>
              <w:rPr>
                <w:rFonts w:hint="eastAsia" w:ascii="宋体" w:hAnsi="宋体" w:eastAsia="宋体" w:cs="宋体"/>
                <w:color w:val="auto"/>
                <w:sz w:val="24"/>
                <w:highlight w:val="none"/>
              </w:rPr>
            </w:pPr>
          </w:p>
        </w:tc>
      </w:tr>
      <w:tr w14:paraId="26A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FF520D">
            <w:pPr>
              <w:spacing w:line="360" w:lineRule="auto"/>
              <w:ind w:firstLine="480" w:firstLineChars="200"/>
              <w:rPr>
                <w:rFonts w:hint="eastAsia" w:ascii="宋体" w:hAnsi="宋体" w:eastAsia="宋体" w:cs="宋体"/>
                <w:color w:val="auto"/>
                <w:sz w:val="24"/>
                <w:highlight w:val="none"/>
              </w:rPr>
            </w:pPr>
          </w:p>
        </w:tc>
        <w:tc>
          <w:tcPr>
            <w:tcW w:w="3402" w:type="dxa"/>
            <w:vAlign w:val="center"/>
          </w:tcPr>
          <w:p w14:paraId="3450AA4C">
            <w:pPr>
              <w:spacing w:line="360" w:lineRule="auto"/>
              <w:ind w:firstLine="480" w:firstLineChars="200"/>
              <w:rPr>
                <w:rFonts w:hint="eastAsia" w:ascii="宋体" w:hAnsi="宋体" w:eastAsia="宋体" w:cs="宋体"/>
                <w:color w:val="auto"/>
                <w:sz w:val="24"/>
                <w:highlight w:val="none"/>
              </w:rPr>
            </w:pPr>
          </w:p>
        </w:tc>
        <w:tc>
          <w:tcPr>
            <w:tcW w:w="2552" w:type="dxa"/>
            <w:vAlign w:val="center"/>
          </w:tcPr>
          <w:p w14:paraId="36BEDB96">
            <w:pPr>
              <w:spacing w:line="360" w:lineRule="auto"/>
              <w:ind w:firstLine="480" w:firstLineChars="200"/>
              <w:rPr>
                <w:rFonts w:hint="eastAsia" w:ascii="宋体" w:hAnsi="宋体" w:eastAsia="宋体" w:cs="宋体"/>
                <w:color w:val="auto"/>
                <w:sz w:val="24"/>
                <w:highlight w:val="none"/>
              </w:rPr>
            </w:pPr>
          </w:p>
        </w:tc>
      </w:tr>
      <w:tr w14:paraId="52B3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250A4F">
            <w:pPr>
              <w:spacing w:line="360" w:lineRule="auto"/>
              <w:ind w:firstLine="480" w:firstLineChars="200"/>
              <w:rPr>
                <w:rFonts w:hint="eastAsia" w:ascii="宋体" w:hAnsi="宋体" w:eastAsia="宋体" w:cs="宋体"/>
                <w:color w:val="auto"/>
                <w:sz w:val="24"/>
                <w:highlight w:val="none"/>
              </w:rPr>
            </w:pPr>
          </w:p>
        </w:tc>
        <w:tc>
          <w:tcPr>
            <w:tcW w:w="3402" w:type="dxa"/>
            <w:vAlign w:val="center"/>
          </w:tcPr>
          <w:p w14:paraId="7F087E4B">
            <w:pPr>
              <w:spacing w:line="360" w:lineRule="auto"/>
              <w:ind w:firstLine="480" w:firstLineChars="200"/>
              <w:rPr>
                <w:rFonts w:hint="eastAsia" w:ascii="宋体" w:hAnsi="宋体" w:eastAsia="宋体" w:cs="宋体"/>
                <w:color w:val="auto"/>
                <w:sz w:val="24"/>
                <w:highlight w:val="none"/>
              </w:rPr>
            </w:pPr>
          </w:p>
        </w:tc>
        <w:tc>
          <w:tcPr>
            <w:tcW w:w="2552" w:type="dxa"/>
            <w:vAlign w:val="center"/>
          </w:tcPr>
          <w:p w14:paraId="64CCF9BE">
            <w:pPr>
              <w:spacing w:line="360" w:lineRule="auto"/>
              <w:ind w:firstLine="480" w:firstLineChars="200"/>
              <w:rPr>
                <w:rFonts w:hint="eastAsia" w:ascii="宋体" w:hAnsi="宋体" w:eastAsia="宋体" w:cs="宋体"/>
                <w:color w:val="auto"/>
                <w:sz w:val="24"/>
                <w:highlight w:val="none"/>
              </w:rPr>
            </w:pPr>
          </w:p>
        </w:tc>
      </w:tr>
      <w:tr w14:paraId="1EC0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A015E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2552" w:type="dxa"/>
            <w:vAlign w:val="center"/>
          </w:tcPr>
          <w:p w14:paraId="49E923B2">
            <w:pPr>
              <w:spacing w:line="360" w:lineRule="auto"/>
              <w:ind w:firstLine="480" w:firstLineChars="200"/>
              <w:rPr>
                <w:rFonts w:hint="eastAsia" w:ascii="宋体" w:hAnsi="宋体" w:eastAsia="宋体" w:cs="宋体"/>
                <w:color w:val="auto"/>
                <w:sz w:val="24"/>
                <w:highlight w:val="none"/>
              </w:rPr>
            </w:pPr>
          </w:p>
        </w:tc>
      </w:tr>
    </w:tbl>
    <w:p w14:paraId="0A15502A">
      <w:pPr>
        <w:spacing w:line="360" w:lineRule="auto"/>
        <w:ind w:firstLine="482" w:firstLineChars="200"/>
        <w:rPr>
          <w:rFonts w:hint="eastAsia" w:ascii="宋体" w:hAnsi="宋体" w:eastAsia="宋体" w:cs="宋体"/>
          <w:b/>
          <w:color w:val="auto"/>
          <w:sz w:val="24"/>
          <w:highlight w:val="none"/>
        </w:rPr>
      </w:pPr>
      <w:bookmarkStart w:id="122" w:name="_Toc1814"/>
      <w:bookmarkStart w:id="123" w:name="_Toc22618"/>
      <w:bookmarkStart w:id="124" w:name="_Toc10340"/>
      <w:r>
        <w:rPr>
          <w:rFonts w:hint="eastAsia" w:ascii="宋体" w:hAnsi="宋体" w:eastAsia="宋体" w:cs="宋体"/>
          <w:b/>
          <w:color w:val="auto"/>
          <w:sz w:val="24"/>
          <w:highlight w:val="none"/>
        </w:rPr>
        <w:t>1.4 付款方式和发票开具方式</w:t>
      </w:r>
      <w:bookmarkEnd w:id="122"/>
      <w:bookmarkEnd w:id="123"/>
      <w:bookmarkEnd w:id="124"/>
    </w:p>
    <w:p w14:paraId="229231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42C76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255429">
      <w:pPr>
        <w:spacing w:line="360" w:lineRule="auto"/>
        <w:ind w:firstLine="482" w:firstLineChars="200"/>
        <w:rPr>
          <w:rFonts w:hint="eastAsia" w:ascii="宋体" w:hAnsi="宋体" w:eastAsia="宋体" w:cs="宋体"/>
          <w:b/>
          <w:color w:val="auto"/>
          <w:sz w:val="24"/>
          <w:highlight w:val="none"/>
        </w:rPr>
      </w:pPr>
      <w:bookmarkStart w:id="125" w:name="_Toc32071"/>
      <w:bookmarkStart w:id="126" w:name="_Toc2846"/>
      <w:bookmarkStart w:id="127" w:name="_Toc19304"/>
      <w:r>
        <w:rPr>
          <w:rFonts w:hint="eastAsia" w:ascii="宋体" w:hAnsi="宋体" w:eastAsia="宋体" w:cs="宋体"/>
          <w:b/>
          <w:color w:val="auto"/>
          <w:sz w:val="24"/>
          <w:highlight w:val="none"/>
        </w:rPr>
        <w:t>1.5 标的物交付期限、地点、方式</w:t>
      </w:r>
      <w:bookmarkEnd w:id="125"/>
      <w:bookmarkEnd w:id="126"/>
      <w:bookmarkEnd w:id="127"/>
      <w:r>
        <w:rPr>
          <w:rFonts w:hint="eastAsia" w:ascii="宋体" w:hAnsi="宋体" w:eastAsia="宋体" w:cs="宋体"/>
          <w:b/>
          <w:color w:val="auto"/>
          <w:sz w:val="24"/>
          <w:highlight w:val="none"/>
        </w:rPr>
        <w:t>和服务期限</w:t>
      </w:r>
    </w:p>
    <w:p w14:paraId="71C5A9A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交付期限：</w:t>
      </w:r>
      <w:r>
        <w:rPr>
          <w:rFonts w:hint="eastAsia" w:ascii="宋体" w:hAnsi="宋体" w:eastAsia="宋体" w:cs="宋体"/>
          <w:color w:val="auto"/>
          <w:sz w:val="24"/>
          <w:highlight w:val="none"/>
          <w:u w:val="single"/>
        </w:rPr>
        <w:t xml:space="preserve">                                                 ；</w:t>
      </w:r>
    </w:p>
    <w:p w14:paraId="2FCF8F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交付地点：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13DD8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交付方式：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CFD4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 服务及质保期限：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207EEF7">
      <w:pPr>
        <w:spacing w:line="360" w:lineRule="auto"/>
        <w:ind w:firstLine="482" w:firstLineChars="200"/>
        <w:rPr>
          <w:rFonts w:hint="eastAsia" w:ascii="宋体" w:hAnsi="宋体" w:eastAsia="宋体" w:cs="宋体"/>
          <w:b/>
          <w:color w:val="auto"/>
          <w:sz w:val="24"/>
          <w:highlight w:val="none"/>
        </w:rPr>
      </w:pPr>
      <w:bookmarkStart w:id="128" w:name="_Toc27250"/>
      <w:bookmarkStart w:id="129" w:name="_Toc21423"/>
      <w:bookmarkStart w:id="130" w:name="_Toc19554"/>
      <w:r>
        <w:rPr>
          <w:rFonts w:hint="eastAsia" w:ascii="宋体" w:hAnsi="宋体" w:eastAsia="宋体" w:cs="宋体"/>
          <w:b/>
          <w:color w:val="auto"/>
          <w:sz w:val="24"/>
          <w:highlight w:val="none"/>
        </w:rPr>
        <w:t>1.6 违约责任</w:t>
      </w:r>
      <w:bookmarkEnd w:id="128"/>
      <w:bookmarkEnd w:id="129"/>
      <w:bookmarkEnd w:id="130"/>
    </w:p>
    <w:p w14:paraId="54C11E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%（根据项目实际填写，一般为20%）向甲方支付违约金；</w:t>
      </w:r>
    </w:p>
    <w:p w14:paraId="12B3F6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（根据项目实际填写，一般为万分之五）计算，最高限额为欠付金额的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1FD25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2E8140">
      <w:pPr>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1.6.4乙方在质保期内未按承诺提供售后等服务的，每发生一次向甲方支付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元（根据项目实际填写，一般为2000元）的违约金。</w:t>
      </w:r>
    </w:p>
    <w:p w14:paraId="1EDD7F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D4276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B0FB2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F8551F7">
      <w:pPr>
        <w:spacing w:line="360" w:lineRule="auto"/>
        <w:ind w:firstLine="482" w:firstLineChars="200"/>
        <w:rPr>
          <w:rFonts w:hint="eastAsia" w:ascii="宋体" w:hAnsi="宋体" w:eastAsia="宋体" w:cs="宋体"/>
          <w:b/>
          <w:color w:val="auto"/>
          <w:sz w:val="24"/>
          <w:highlight w:val="none"/>
        </w:rPr>
      </w:pPr>
      <w:bookmarkStart w:id="131" w:name="_Toc16021"/>
      <w:bookmarkStart w:id="132" w:name="_Toc15583"/>
      <w:bookmarkStart w:id="133" w:name="_Toc28375"/>
      <w:r>
        <w:rPr>
          <w:rFonts w:hint="eastAsia" w:ascii="宋体" w:hAnsi="宋体" w:eastAsia="宋体" w:cs="宋体"/>
          <w:b/>
          <w:color w:val="auto"/>
          <w:sz w:val="24"/>
          <w:highlight w:val="none"/>
        </w:rPr>
        <w:t>1.7 合同争议的解决</w:t>
      </w:r>
      <w:bookmarkEnd w:id="131"/>
      <w:bookmarkEnd w:id="132"/>
      <w:bookmarkEnd w:id="133"/>
    </w:p>
    <w:p w14:paraId="2F95D4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53A8FF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南宁</w:t>
      </w:r>
      <w:r>
        <w:rPr>
          <w:rFonts w:hint="eastAsia" w:ascii="宋体" w:hAnsi="宋体" w:eastAsia="宋体" w:cs="宋体"/>
          <w:color w:val="auto"/>
          <w:sz w:val="24"/>
          <w:highlight w:val="none"/>
        </w:rPr>
        <w:t>仲裁委员会依申请仲裁时其现行有效的仲裁规则裁决；</w:t>
      </w:r>
    </w:p>
    <w:p w14:paraId="52DB30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甲方所在地  </w:t>
      </w:r>
      <w:r>
        <w:rPr>
          <w:rFonts w:hint="eastAsia" w:ascii="宋体" w:hAnsi="宋体" w:eastAsia="宋体" w:cs="宋体"/>
          <w:color w:val="auto"/>
          <w:sz w:val="24"/>
          <w:highlight w:val="none"/>
        </w:rPr>
        <w:t>人民法院起诉。</w:t>
      </w:r>
    </w:p>
    <w:p w14:paraId="6121965E">
      <w:pPr>
        <w:spacing w:line="360" w:lineRule="auto"/>
        <w:ind w:firstLine="482" w:firstLineChars="200"/>
        <w:rPr>
          <w:rFonts w:hint="eastAsia" w:ascii="宋体" w:hAnsi="宋体" w:eastAsia="宋体" w:cs="宋体"/>
          <w:b/>
          <w:color w:val="auto"/>
          <w:sz w:val="24"/>
          <w:highlight w:val="none"/>
        </w:rPr>
      </w:pPr>
      <w:bookmarkStart w:id="134" w:name="_Toc7245"/>
      <w:bookmarkStart w:id="135" w:name="_Toc15322"/>
      <w:bookmarkStart w:id="136" w:name="_Toc11173"/>
      <w:r>
        <w:rPr>
          <w:rFonts w:hint="eastAsia" w:ascii="宋体" w:hAnsi="宋体" w:eastAsia="宋体" w:cs="宋体"/>
          <w:b/>
          <w:color w:val="auto"/>
          <w:sz w:val="24"/>
          <w:highlight w:val="none"/>
        </w:rPr>
        <w:t>1.8 合同生效</w:t>
      </w:r>
      <w:bookmarkEnd w:id="134"/>
      <w:bookmarkEnd w:id="135"/>
      <w:bookmarkEnd w:id="136"/>
    </w:p>
    <w:p w14:paraId="06716B8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本合同自双方当事人加盖有效电子公章时生效。</w:t>
      </w:r>
    </w:p>
    <w:p w14:paraId="202FCA2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甲方：                                   乙方：</w:t>
      </w:r>
    </w:p>
    <w:p w14:paraId="63632293">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4D459EE3">
      <w:pPr>
        <w:spacing w:line="360" w:lineRule="auto"/>
        <w:ind w:firstLine="200"/>
        <w:rPr>
          <w:rFonts w:hint="eastAsia" w:ascii="宋体" w:hAnsi="宋体" w:eastAsia="宋体" w:cs="宋体"/>
          <w:color w:val="auto"/>
          <w:sz w:val="24"/>
          <w:highlight w:val="none"/>
          <w:lang w:val="zh-CN"/>
        </w:rPr>
      </w:pPr>
    </w:p>
    <w:p w14:paraId="737841CD">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4AAF2BC">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584B1C7E">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授权代表（签字或盖章）：                 或授权代表（签字或盖章）: </w:t>
      </w:r>
    </w:p>
    <w:p w14:paraId="2C83FBB1">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A4232C6">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6E3124F">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51F2F338">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4CCA9059">
      <w:pPr>
        <w:spacing w:line="360" w:lineRule="auto"/>
        <w:ind w:firstLine="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9A0C4D4">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6F8AE0B7">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1EE49FCA">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091158AA">
      <w:pPr>
        <w:spacing w:line="360" w:lineRule="auto"/>
        <w:ind w:firstLine="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02A8476B">
      <w:pPr>
        <w:pStyle w:val="28"/>
        <w:spacing w:after="0"/>
        <w:ind w:firstLine="482"/>
        <w:jc w:val="center"/>
        <w:outlineLvl w:val="1"/>
        <w:rPr>
          <w:rFonts w:hint="eastAsia" w:ascii="宋体" w:hAnsi="宋体" w:eastAsia="宋体" w:cs="宋体"/>
          <w:b/>
          <w:color w:val="auto"/>
          <w:sz w:val="28"/>
          <w:szCs w:val="28"/>
          <w:highlight w:val="none"/>
        </w:rPr>
      </w:pPr>
      <w:bookmarkStart w:id="137" w:name="_Toc331685783"/>
      <w:r>
        <w:rPr>
          <w:rFonts w:hint="eastAsia" w:ascii="宋体" w:hAnsi="宋体" w:eastAsia="宋体" w:cs="宋体"/>
          <w:b/>
          <w:color w:val="auto"/>
          <w:highlight w:val="none"/>
        </w:rPr>
        <w:br w:type="page"/>
      </w:r>
      <w:bookmarkStart w:id="138" w:name="_Toc80205945"/>
      <w:bookmarkStart w:id="139" w:name="_Toc80886949"/>
      <w:r>
        <w:rPr>
          <w:rFonts w:hint="eastAsia" w:ascii="宋体" w:hAnsi="宋体" w:eastAsia="宋体" w:cs="宋体"/>
          <w:b/>
          <w:color w:val="auto"/>
          <w:sz w:val="28"/>
          <w:szCs w:val="28"/>
          <w:highlight w:val="none"/>
        </w:rPr>
        <w:t>第二部分 合同一般条款</w:t>
      </w:r>
      <w:bookmarkEnd w:id="137"/>
      <w:bookmarkEnd w:id="138"/>
      <w:bookmarkEnd w:id="139"/>
    </w:p>
    <w:p w14:paraId="0F4EAAA1">
      <w:pPr>
        <w:spacing w:line="360" w:lineRule="auto"/>
        <w:ind w:firstLine="482" w:firstLineChars="200"/>
        <w:rPr>
          <w:rFonts w:hint="eastAsia" w:ascii="宋体" w:hAnsi="宋体" w:eastAsia="宋体" w:cs="宋体"/>
          <w:b/>
          <w:color w:val="auto"/>
          <w:sz w:val="24"/>
          <w:highlight w:val="none"/>
        </w:rPr>
      </w:pPr>
      <w:bookmarkStart w:id="140" w:name="_Toc259093669"/>
      <w:bookmarkStart w:id="141" w:name="_Ref467379205"/>
      <w:bookmarkStart w:id="142" w:name="_Ref467379094"/>
      <w:bookmarkStart w:id="143" w:name="_Toc279701240"/>
      <w:bookmarkStart w:id="144" w:name="_Toc19614"/>
      <w:bookmarkStart w:id="145" w:name="_Ref467378463"/>
      <w:bookmarkStart w:id="146" w:name="_Toc28763"/>
      <w:bookmarkStart w:id="147" w:name="_Ref467379195"/>
      <w:bookmarkStart w:id="148" w:name="_Ref467379225"/>
      <w:bookmarkStart w:id="149" w:name="_Toc487900349"/>
      <w:bookmarkStart w:id="150" w:name="_Ref467378404"/>
      <w:bookmarkStart w:id="151" w:name="_Toc16917"/>
      <w:bookmarkStart w:id="152" w:name="_Ref467378499"/>
      <w:bookmarkStart w:id="153" w:name="_Ref467379101"/>
      <w:bookmarkStart w:id="154" w:name="_Ref467379214"/>
      <w:bookmarkStart w:id="155" w:name="_Ref467379109"/>
      <w:r>
        <w:rPr>
          <w:rFonts w:hint="eastAsia" w:ascii="宋体" w:hAnsi="宋体" w:eastAsia="宋体" w:cs="宋体"/>
          <w:b/>
          <w:color w:val="auto"/>
          <w:sz w:val="24"/>
          <w:highlight w:val="none"/>
        </w:rPr>
        <w:t>2.1 定义</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BAB48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78589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“合同”系指采购人和中标人签订的载明双方当事人所达成的协议，并包括所有的附件、附录和构成合同的其他文件。</w:t>
      </w:r>
    </w:p>
    <w:p w14:paraId="7C1ED0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“合同价”系指根据合同约定，中标人在完全履行合同义务后，采购人应支付给中标人的价格。</w:t>
      </w:r>
    </w:p>
    <w:p w14:paraId="0F8CEF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001DB0F">
      <w:pPr>
        <w:spacing w:line="360" w:lineRule="auto"/>
        <w:ind w:firstLine="480" w:firstLineChars="200"/>
        <w:rPr>
          <w:rFonts w:hint="eastAsia" w:ascii="宋体" w:hAnsi="宋体" w:eastAsia="宋体" w:cs="宋体"/>
          <w:color w:val="auto"/>
          <w:sz w:val="24"/>
          <w:highlight w:val="none"/>
        </w:rPr>
      </w:pPr>
      <w:bookmarkStart w:id="156" w:name="_Ref467378840"/>
      <w:r>
        <w:rPr>
          <w:rFonts w:hint="eastAsia" w:ascii="宋体" w:hAnsi="宋体" w:eastAsia="宋体" w:cs="宋体"/>
          <w:color w:val="auto"/>
          <w:sz w:val="24"/>
          <w:highlight w:val="none"/>
        </w:rPr>
        <w:t>2.1.4 “甲方”系指与中标人签署合同的采购人</w:t>
      </w:r>
      <w:bookmarkEnd w:id="156"/>
      <w:r>
        <w:rPr>
          <w:rFonts w:hint="eastAsia" w:ascii="宋体" w:hAnsi="宋体" w:eastAsia="宋体" w:cs="宋体"/>
          <w:color w:val="auto"/>
          <w:sz w:val="24"/>
          <w:highlight w:val="none"/>
        </w:rPr>
        <w:t>；采购人委托采购机构代表其与乙方签订合同的，采购人的授权委托书作为合同附件。</w:t>
      </w:r>
    </w:p>
    <w:p w14:paraId="56DF4C14">
      <w:pPr>
        <w:spacing w:line="360" w:lineRule="auto"/>
        <w:ind w:firstLine="480" w:firstLineChars="200"/>
        <w:rPr>
          <w:rFonts w:hint="eastAsia" w:ascii="宋体" w:hAnsi="宋体" w:eastAsia="宋体" w:cs="宋体"/>
          <w:color w:val="auto"/>
          <w:sz w:val="24"/>
          <w:highlight w:val="none"/>
        </w:rPr>
      </w:pPr>
      <w:bookmarkStart w:id="157" w:name="_Ref467379400"/>
      <w:r>
        <w:rPr>
          <w:rFonts w:hint="eastAsia" w:ascii="宋体" w:hAnsi="宋体" w:eastAsia="宋体" w:cs="宋体"/>
          <w:color w:val="auto"/>
          <w:sz w:val="24"/>
          <w:highlight w:val="none"/>
        </w:rPr>
        <w:t>2.1.5 “乙方”系指根据合同约定交付标的物的</w:t>
      </w:r>
      <w:bookmarkEnd w:id="157"/>
      <w:r>
        <w:rPr>
          <w:rFonts w:hint="eastAsia" w:ascii="宋体" w:hAnsi="宋体" w:eastAsia="宋体" w:cs="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37917EF">
      <w:pPr>
        <w:spacing w:line="360" w:lineRule="auto"/>
        <w:ind w:firstLine="480" w:firstLineChars="200"/>
        <w:rPr>
          <w:rFonts w:hint="eastAsia" w:ascii="宋体" w:hAnsi="宋体" w:eastAsia="宋体" w:cs="宋体"/>
          <w:color w:val="auto"/>
          <w:sz w:val="24"/>
          <w:highlight w:val="none"/>
        </w:rPr>
      </w:pPr>
      <w:bookmarkStart w:id="158" w:name="_Ref467379436"/>
      <w:r>
        <w:rPr>
          <w:rFonts w:hint="eastAsia" w:ascii="宋体" w:hAnsi="宋体" w:eastAsia="宋体" w:cs="宋体"/>
          <w:color w:val="auto"/>
          <w:sz w:val="24"/>
          <w:highlight w:val="none"/>
        </w:rPr>
        <w:t>2.1.6 “现场”系指合同约定标的物将要运至或者实施或者安装的地点。</w:t>
      </w:r>
      <w:bookmarkEnd w:id="158"/>
    </w:p>
    <w:p w14:paraId="37E6EECD">
      <w:pPr>
        <w:spacing w:line="360" w:lineRule="auto"/>
        <w:ind w:firstLine="482" w:firstLineChars="200"/>
        <w:rPr>
          <w:rFonts w:hint="eastAsia" w:ascii="宋体" w:hAnsi="宋体" w:eastAsia="宋体" w:cs="宋体"/>
          <w:b/>
          <w:color w:val="auto"/>
          <w:sz w:val="24"/>
          <w:highlight w:val="none"/>
        </w:rPr>
      </w:pPr>
      <w:bookmarkStart w:id="159" w:name="_Toc487900350"/>
      <w:bookmarkStart w:id="160" w:name="_Toc32504"/>
      <w:bookmarkStart w:id="161" w:name="_Toc279701241"/>
      <w:bookmarkStart w:id="162" w:name="_Toc27635"/>
      <w:bookmarkStart w:id="163" w:name="_Toc13336"/>
      <w:bookmarkStart w:id="164" w:name="_Toc259093670"/>
      <w:r>
        <w:rPr>
          <w:rFonts w:hint="eastAsia" w:ascii="宋体" w:hAnsi="宋体" w:eastAsia="宋体" w:cs="宋体"/>
          <w:b/>
          <w:color w:val="auto"/>
          <w:sz w:val="24"/>
          <w:highlight w:val="none"/>
        </w:rPr>
        <w:t>2.2 技术规范</w:t>
      </w:r>
      <w:bookmarkEnd w:id="159"/>
      <w:bookmarkEnd w:id="160"/>
      <w:bookmarkEnd w:id="161"/>
      <w:bookmarkEnd w:id="162"/>
      <w:bookmarkEnd w:id="163"/>
      <w:bookmarkEnd w:id="164"/>
    </w:p>
    <w:p w14:paraId="6A3AC0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0E5D221">
      <w:pPr>
        <w:spacing w:line="360" w:lineRule="auto"/>
        <w:ind w:firstLine="482" w:firstLineChars="200"/>
        <w:rPr>
          <w:rFonts w:hint="eastAsia" w:ascii="宋体" w:hAnsi="宋体" w:eastAsia="宋体" w:cs="宋体"/>
          <w:b/>
          <w:color w:val="auto"/>
          <w:sz w:val="24"/>
          <w:highlight w:val="none"/>
        </w:rPr>
      </w:pPr>
      <w:bookmarkStart w:id="165" w:name="_Toc259093671"/>
      <w:bookmarkStart w:id="166" w:name="_Toc31634"/>
      <w:bookmarkStart w:id="167" w:name="_Toc279701242"/>
      <w:bookmarkStart w:id="168" w:name="_Toc9829"/>
      <w:bookmarkStart w:id="169" w:name="_Toc27853"/>
      <w:bookmarkStart w:id="170" w:name="_Toc487900351"/>
      <w:r>
        <w:rPr>
          <w:rFonts w:hint="eastAsia" w:ascii="宋体" w:hAnsi="宋体" w:eastAsia="宋体" w:cs="宋体"/>
          <w:b/>
          <w:color w:val="auto"/>
          <w:sz w:val="24"/>
          <w:highlight w:val="none"/>
        </w:rPr>
        <w:t>2.3 知识产权</w:t>
      </w:r>
      <w:bookmarkEnd w:id="165"/>
      <w:bookmarkEnd w:id="166"/>
      <w:bookmarkEnd w:id="167"/>
      <w:bookmarkEnd w:id="168"/>
      <w:bookmarkEnd w:id="169"/>
      <w:bookmarkEnd w:id="170"/>
    </w:p>
    <w:p w14:paraId="485175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D0843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2.3.2具有知识产权的计算机软件等标的物的知识产权归属，详见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6C9CCE4">
      <w:pPr>
        <w:spacing w:line="360" w:lineRule="auto"/>
        <w:ind w:firstLine="482" w:firstLineChars="200"/>
        <w:rPr>
          <w:rFonts w:hint="eastAsia" w:ascii="宋体" w:hAnsi="宋体" w:eastAsia="宋体" w:cs="宋体"/>
          <w:b/>
          <w:color w:val="auto"/>
          <w:sz w:val="24"/>
          <w:highlight w:val="none"/>
        </w:rPr>
      </w:pPr>
      <w:bookmarkStart w:id="171" w:name="_Toc4194"/>
      <w:bookmarkStart w:id="172" w:name="_Toc11932"/>
      <w:bookmarkStart w:id="173" w:name="_Toc29149"/>
      <w:r>
        <w:rPr>
          <w:rFonts w:hint="eastAsia" w:ascii="宋体" w:hAnsi="宋体" w:eastAsia="宋体" w:cs="宋体"/>
          <w:b/>
          <w:color w:val="auto"/>
          <w:sz w:val="24"/>
          <w:highlight w:val="none"/>
        </w:rPr>
        <w:t>2.4 包装和装运</w:t>
      </w:r>
      <w:bookmarkEnd w:id="171"/>
      <w:bookmarkEnd w:id="172"/>
      <w:bookmarkEnd w:id="173"/>
    </w:p>
    <w:p w14:paraId="16331D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42881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装运标的物的要求和通知，详见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B58160D">
      <w:pPr>
        <w:spacing w:line="360" w:lineRule="auto"/>
        <w:ind w:firstLine="482" w:firstLineChars="200"/>
        <w:rPr>
          <w:rFonts w:hint="eastAsia" w:ascii="宋体" w:hAnsi="宋体" w:eastAsia="宋体" w:cs="宋体"/>
          <w:b/>
          <w:color w:val="auto"/>
          <w:sz w:val="24"/>
          <w:highlight w:val="none"/>
        </w:rPr>
      </w:pPr>
      <w:bookmarkStart w:id="174" w:name="_Ref467378541"/>
      <w:bookmarkStart w:id="175" w:name="_Ref467378591"/>
      <w:bookmarkStart w:id="176" w:name="_Ref467379542"/>
      <w:bookmarkStart w:id="177" w:name="_Toc487900354"/>
      <w:bookmarkStart w:id="178" w:name="_Ref467379536"/>
      <w:bookmarkStart w:id="179" w:name="_Ref467379527"/>
      <w:bookmarkStart w:id="180" w:name="_Toc279701245"/>
      <w:bookmarkStart w:id="181" w:name="_Toc259093674"/>
      <w:bookmarkStart w:id="182" w:name="_Toc26182"/>
      <w:bookmarkStart w:id="183" w:name="_Toc30272"/>
      <w:bookmarkStart w:id="184" w:name="_Toc19074"/>
      <w:r>
        <w:rPr>
          <w:rFonts w:hint="eastAsia" w:ascii="宋体" w:hAnsi="宋体" w:eastAsia="宋体" w:cs="宋体"/>
          <w:b/>
          <w:color w:val="auto"/>
          <w:sz w:val="24"/>
          <w:highlight w:val="none"/>
        </w:rPr>
        <w:t>2.</w:t>
      </w:r>
      <w:bookmarkEnd w:id="174"/>
      <w:bookmarkEnd w:id="175"/>
      <w:bookmarkEnd w:id="176"/>
      <w:bookmarkEnd w:id="177"/>
      <w:bookmarkEnd w:id="178"/>
      <w:bookmarkEnd w:id="179"/>
      <w:bookmarkEnd w:id="180"/>
      <w:bookmarkEnd w:id="181"/>
      <w:r>
        <w:rPr>
          <w:rFonts w:hint="eastAsia" w:ascii="宋体" w:hAnsi="宋体" w:eastAsia="宋体" w:cs="宋体"/>
          <w:b/>
          <w:color w:val="auto"/>
          <w:sz w:val="24"/>
          <w:highlight w:val="none"/>
        </w:rPr>
        <w:t>5 履约检查和问题反馈</w:t>
      </w:r>
      <w:bookmarkEnd w:id="182"/>
      <w:bookmarkEnd w:id="183"/>
      <w:bookmarkEnd w:id="184"/>
    </w:p>
    <w:p w14:paraId="43C93060">
      <w:pPr>
        <w:spacing w:line="360" w:lineRule="auto"/>
        <w:ind w:firstLine="480" w:firstLineChars="200"/>
        <w:rPr>
          <w:rFonts w:hint="eastAsia" w:ascii="宋体" w:hAnsi="宋体" w:eastAsia="宋体" w:cs="宋体"/>
          <w:color w:val="auto"/>
          <w:sz w:val="24"/>
          <w:highlight w:val="none"/>
        </w:rPr>
      </w:pPr>
      <w:bookmarkStart w:id="185" w:name="_Ref467379657"/>
      <w:r>
        <w:rPr>
          <w:rFonts w:hint="eastAsia" w:ascii="宋体" w:hAnsi="宋体" w:eastAsia="宋体" w:cs="宋体"/>
          <w:color w:val="auto"/>
          <w:sz w:val="24"/>
          <w:highlight w:val="none"/>
        </w:rPr>
        <w:t>2.5.1</w:t>
      </w:r>
      <w:bookmarkEnd w:id="185"/>
      <w:bookmarkStart w:id="186" w:name="_Toc186431854"/>
      <w:bookmarkStart w:id="187" w:name="_Toc279701247"/>
      <w:bookmarkStart w:id="188" w:name="_Toc487900357"/>
      <w:bookmarkStart w:id="189" w:name="_Ref467379807"/>
      <w:bookmarkStart w:id="190" w:name="_Toc259093676"/>
      <w:bookmarkStart w:id="191" w:name="_Ref467379793"/>
      <w:r>
        <w:rPr>
          <w:rFonts w:hint="eastAsia" w:ascii="宋体" w:hAnsi="宋体" w:eastAsia="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7966F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合同履行期间，甲方有权将履行过程中出现的问题反馈给乙方，双方当事人应以书面形式约定需要完善和改进的内容</w:t>
      </w:r>
      <w:bookmarkEnd w:id="186"/>
      <w:bookmarkStart w:id="192" w:name="_Toc186431855"/>
      <w:r>
        <w:rPr>
          <w:rFonts w:hint="eastAsia" w:ascii="宋体" w:hAnsi="宋体" w:eastAsia="宋体" w:cs="宋体"/>
          <w:color w:val="auto"/>
          <w:sz w:val="24"/>
          <w:highlight w:val="none"/>
        </w:rPr>
        <w:t>。</w:t>
      </w:r>
    </w:p>
    <w:bookmarkEnd w:id="192"/>
    <w:p w14:paraId="264894EF">
      <w:pPr>
        <w:spacing w:line="360" w:lineRule="auto"/>
        <w:ind w:firstLine="482" w:firstLineChars="200"/>
        <w:rPr>
          <w:rFonts w:hint="eastAsia" w:ascii="宋体" w:hAnsi="宋体" w:eastAsia="宋体" w:cs="宋体"/>
          <w:b/>
          <w:color w:val="auto"/>
          <w:sz w:val="24"/>
          <w:highlight w:val="none"/>
        </w:rPr>
      </w:pPr>
      <w:bookmarkStart w:id="193" w:name="_Toc19219"/>
      <w:bookmarkStart w:id="194" w:name="_Toc28451"/>
      <w:bookmarkStart w:id="195" w:name="_Toc7836"/>
      <w:r>
        <w:rPr>
          <w:rFonts w:hint="eastAsia" w:ascii="宋体" w:hAnsi="宋体" w:eastAsia="宋体" w:cs="宋体"/>
          <w:b/>
          <w:color w:val="auto"/>
          <w:sz w:val="24"/>
          <w:highlight w:val="none"/>
        </w:rPr>
        <w:t>2.6 结算方式和付款条件</w:t>
      </w:r>
      <w:bookmarkEnd w:id="187"/>
      <w:bookmarkEnd w:id="188"/>
      <w:bookmarkEnd w:id="189"/>
      <w:bookmarkEnd w:id="190"/>
      <w:bookmarkEnd w:id="191"/>
      <w:bookmarkEnd w:id="193"/>
      <w:bookmarkEnd w:id="194"/>
      <w:bookmarkEnd w:id="195"/>
    </w:p>
    <w:p w14:paraId="1A259D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BA19B1F">
      <w:pPr>
        <w:spacing w:line="360" w:lineRule="auto"/>
        <w:ind w:firstLine="482" w:firstLineChars="200"/>
        <w:rPr>
          <w:rFonts w:hint="eastAsia" w:ascii="宋体" w:hAnsi="宋体" w:eastAsia="宋体" w:cs="宋体"/>
          <w:b/>
          <w:color w:val="auto"/>
          <w:sz w:val="24"/>
          <w:highlight w:val="none"/>
        </w:rPr>
      </w:pPr>
      <w:bookmarkStart w:id="196" w:name="_Toc487900358"/>
      <w:bookmarkStart w:id="197" w:name="_Ref467379852"/>
      <w:bookmarkStart w:id="198" w:name="_Ref467379863"/>
      <w:bookmarkStart w:id="199" w:name="_Toc279701248"/>
      <w:bookmarkStart w:id="200" w:name="_Toc259093677"/>
      <w:bookmarkStart w:id="201" w:name="_Ref467379923"/>
      <w:bookmarkStart w:id="202" w:name="_Toc3225"/>
      <w:bookmarkStart w:id="203" w:name="_Toc774"/>
      <w:bookmarkStart w:id="204" w:name="_Toc16110"/>
      <w:r>
        <w:rPr>
          <w:rFonts w:hint="eastAsia" w:ascii="宋体" w:hAnsi="宋体" w:eastAsia="宋体" w:cs="宋体"/>
          <w:b/>
          <w:color w:val="auto"/>
          <w:sz w:val="24"/>
          <w:highlight w:val="none"/>
        </w:rPr>
        <w:t>2.7 技术资料</w:t>
      </w:r>
      <w:bookmarkEnd w:id="196"/>
      <w:bookmarkEnd w:id="197"/>
      <w:bookmarkEnd w:id="198"/>
      <w:bookmarkEnd w:id="199"/>
      <w:bookmarkEnd w:id="200"/>
      <w:bookmarkEnd w:id="201"/>
      <w:r>
        <w:rPr>
          <w:rFonts w:hint="eastAsia" w:ascii="宋体" w:hAnsi="宋体" w:eastAsia="宋体" w:cs="宋体"/>
          <w:b/>
          <w:color w:val="auto"/>
          <w:sz w:val="24"/>
          <w:highlight w:val="none"/>
        </w:rPr>
        <w:t>和保密义务</w:t>
      </w:r>
      <w:bookmarkEnd w:id="202"/>
      <w:bookmarkEnd w:id="203"/>
      <w:bookmarkEnd w:id="204"/>
    </w:p>
    <w:p w14:paraId="276C1A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乙方有权依据合同约定和项目需要，向甲方了解有关情况，调阅有关资料等，甲方应予积极配合；</w:t>
      </w:r>
    </w:p>
    <w:p w14:paraId="6E4F9C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乙方有义务妥善保管和保护由甲方提供的前款信息和资料等；</w:t>
      </w:r>
    </w:p>
    <w:p w14:paraId="467E49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FA7098A">
      <w:pPr>
        <w:spacing w:line="360" w:lineRule="auto"/>
        <w:ind w:firstLine="482" w:firstLineChars="200"/>
        <w:rPr>
          <w:rFonts w:hint="eastAsia" w:ascii="宋体" w:hAnsi="宋体" w:eastAsia="宋体" w:cs="宋体"/>
          <w:b/>
          <w:color w:val="auto"/>
          <w:sz w:val="24"/>
          <w:highlight w:val="none"/>
        </w:rPr>
      </w:pPr>
      <w:bookmarkStart w:id="205" w:name="_Toc7860"/>
      <w:r>
        <w:rPr>
          <w:rFonts w:hint="eastAsia" w:ascii="宋体" w:hAnsi="宋体" w:eastAsia="宋体" w:cs="宋体"/>
          <w:b/>
          <w:color w:val="auto"/>
          <w:sz w:val="24"/>
          <w:highlight w:val="none"/>
        </w:rPr>
        <w:t>2.8 质量保证</w:t>
      </w:r>
      <w:bookmarkEnd w:id="205"/>
    </w:p>
    <w:p w14:paraId="2B4154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乙方应建立和完善履行合同的内部质量保证体系，并提供相关内部规章制度给甲方，以便甲方进行监督检查；</w:t>
      </w:r>
    </w:p>
    <w:p w14:paraId="405A10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乙方应保证履行合同的人员数量和素质、软件和硬件设备的配置、场地、环境和设施等满足全面履行合同的要求，并应接受甲方的监督检查。</w:t>
      </w:r>
    </w:p>
    <w:p w14:paraId="2BDAF84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4"/>
          <w:highlight w:val="none"/>
        </w:rPr>
        <w:t>甲方有权放弃或终止合同。</w:t>
      </w:r>
    </w:p>
    <w:p w14:paraId="0FF8BC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（根据项目实际情况填写，一般为30%）。</w:t>
      </w:r>
    </w:p>
    <w:p w14:paraId="463406F6">
      <w:pPr>
        <w:spacing w:line="360" w:lineRule="auto"/>
        <w:ind w:firstLine="482" w:firstLineChars="200"/>
        <w:rPr>
          <w:rFonts w:hint="eastAsia" w:ascii="宋体" w:hAnsi="宋体" w:eastAsia="宋体" w:cs="宋体"/>
          <w:b/>
          <w:color w:val="auto"/>
          <w:sz w:val="24"/>
          <w:highlight w:val="none"/>
        </w:rPr>
      </w:pPr>
      <w:bookmarkStart w:id="206" w:name="_Toc17244"/>
      <w:bookmarkStart w:id="207" w:name="_Toc259093681"/>
      <w:bookmarkStart w:id="208" w:name="_Toc279701252"/>
      <w:bookmarkStart w:id="209" w:name="_Toc487900362"/>
      <w:r>
        <w:rPr>
          <w:rFonts w:hint="eastAsia" w:ascii="宋体" w:hAnsi="宋体" w:eastAsia="宋体" w:cs="宋体"/>
          <w:b/>
          <w:color w:val="auto"/>
          <w:sz w:val="24"/>
          <w:highlight w:val="none"/>
        </w:rPr>
        <w:t>2.9 标的物的风险负担</w:t>
      </w:r>
      <w:bookmarkEnd w:id="206"/>
    </w:p>
    <w:p w14:paraId="5992BB8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A4EA815">
      <w:pPr>
        <w:spacing w:line="360" w:lineRule="auto"/>
        <w:ind w:firstLine="482" w:firstLineChars="200"/>
        <w:rPr>
          <w:rFonts w:hint="eastAsia" w:ascii="宋体" w:hAnsi="宋体" w:eastAsia="宋体" w:cs="宋体"/>
          <w:b/>
          <w:color w:val="auto"/>
          <w:sz w:val="24"/>
          <w:highlight w:val="none"/>
        </w:rPr>
      </w:pPr>
      <w:bookmarkStart w:id="210" w:name="_Toc14055"/>
      <w:r>
        <w:rPr>
          <w:rFonts w:hint="eastAsia" w:ascii="宋体" w:hAnsi="宋体" w:eastAsia="宋体" w:cs="宋体"/>
          <w:b/>
          <w:color w:val="auto"/>
          <w:sz w:val="24"/>
          <w:highlight w:val="none"/>
        </w:rPr>
        <w:t>2.10 延迟交货</w:t>
      </w:r>
      <w:bookmarkEnd w:id="207"/>
      <w:bookmarkEnd w:id="208"/>
      <w:bookmarkEnd w:id="209"/>
      <w:bookmarkEnd w:id="210"/>
      <w:r>
        <w:rPr>
          <w:rFonts w:hint="eastAsia" w:ascii="宋体" w:hAnsi="宋体" w:eastAsia="宋体" w:cs="宋体"/>
          <w:b/>
          <w:color w:val="auto"/>
          <w:sz w:val="24"/>
          <w:highlight w:val="none"/>
        </w:rPr>
        <w:t>/交付</w:t>
      </w:r>
    </w:p>
    <w:p w14:paraId="063A74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85D6352">
      <w:pPr>
        <w:spacing w:line="360" w:lineRule="auto"/>
        <w:ind w:firstLine="482" w:firstLineChars="200"/>
        <w:rPr>
          <w:rFonts w:hint="eastAsia" w:ascii="宋体" w:hAnsi="宋体" w:eastAsia="宋体" w:cs="宋体"/>
          <w:b/>
          <w:color w:val="auto"/>
          <w:sz w:val="24"/>
          <w:highlight w:val="none"/>
        </w:rPr>
      </w:pPr>
      <w:bookmarkStart w:id="211" w:name="_Toc7502"/>
      <w:bookmarkStart w:id="212" w:name="_Toc279701254"/>
      <w:bookmarkStart w:id="213" w:name="_Toc487900364"/>
      <w:bookmarkStart w:id="214" w:name="_Toc259093683"/>
      <w:bookmarkStart w:id="215" w:name="_Ref467378121"/>
      <w:r>
        <w:rPr>
          <w:rFonts w:hint="eastAsia" w:ascii="宋体" w:hAnsi="宋体" w:eastAsia="宋体" w:cs="宋体"/>
          <w:b/>
          <w:color w:val="auto"/>
          <w:sz w:val="24"/>
          <w:highlight w:val="none"/>
        </w:rPr>
        <w:t>2.11 合同变更</w:t>
      </w:r>
      <w:bookmarkEnd w:id="211"/>
    </w:p>
    <w:p w14:paraId="65C60F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3E470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6" w:name="_Toc487900369"/>
      <w:bookmarkStart w:id="217" w:name="_Toc259093688"/>
      <w:bookmarkStart w:id="218" w:name="_Toc279701259"/>
    </w:p>
    <w:p w14:paraId="34B345BF">
      <w:pPr>
        <w:spacing w:line="360" w:lineRule="auto"/>
        <w:ind w:firstLine="482" w:firstLineChars="200"/>
        <w:rPr>
          <w:rFonts w:hint="eastAsia" w:ascii="宋体" w:hAnsi="宋体" w:eastAsia="宋体" w:cs="宋体"/>
          <w:b/>
          <w:color w:val="auto"/>
          <w:sz w:val="24"/>
          <w:highlight w:val="none"/>
        </w:rPr>
      </w:pPr>
      <w:bookmarkStart w:id="219" w:name="_Toc22955"/>
      <w:bookmarkStart w:id="220" w:name="_Toc15237"/>
      <w:bookmarkStart w:id="221" w:name="_Toc10366"/>
      <w:r>
        <w:rPr>
          <w:rFonts w:hint="eastAsia" w:ascii="宋体" w:hAnsi="宋体" w:eastAsia="宋体" w:cs="宋体"/>
          <w:b/>
          <w:color w:val="auto"/>
          <w:sz w:val="24"/>
          <w:highlight w:val="none"/>
        </w:rPr>
        <w:t>2.12 合同转让</w:t>
      </w:r>
      <w:bookmarkEnd w:id="216"/>
      <w:bookmarkEnd w:id="217"/>
      <w:bookmarkEnd w:id="218"/>
      <w:r>
        <w:rPr>
          <w:rFonts w:hint="eastAsia" w:ascii="宋体" w:hAnsi="宋体" w:eastAsia="宋体" w:cs="宋体"/>
          <w:b/>
          <w:color w:val="auto"/>
          <w:sz w:val="24"/>
          <w:highlight w:val="none"/>
        </w:rPr>
        <w:t>和分包</w:t>
      </w:r>
      <w:bookmarkEnd w:id="219"/>
      <w:bookmarkEnd w:id="220"/>
      <w:bookmarkEnd w:id="221"/>
    </w:p>
    <w:p w14:paraId="660FB0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D481B8E">
      <w:pPr>
        <w:spacing w:line="360" w:lineRule="auto"/>
        <w:ind w:firstLine="482" w:firstLineChars="200"/>
        <w:rPr>
          <w:rFonts w:hint="eastAsia" w:ascii="宋体" w:hAnsi="宋体" w:eastAsia="宋体" w:cs="宋体"/>
          <w:b/>
          <w:color w:val="auto"/>
          <w:sz w:val="24"/>
          <w:highlight w:val="none"/>
        </w:rPr>
      </w:pPr>
      <w:bookmarkStart w:id="222" w:name="_Toc16508"/>
      <w:bookmarkStart w:id="223" w:name="_Toc13566"/>
      <w:bookmarkStart w:id="224" w:name="_Toc14066"/>
      <w:r>
        <w:rPr>
          <w:rFonts w:hint="eastAsia" w:ascii="宋体" w:hAnsi="宋体" w:eastAsia="宋体" w:cs="宋体"/>
          <w:b/>
          <w:color w:val="auto"/>
          <w:sz w:val="24"/>
          <w:highlight w:val="none"/>
        </w:rPr>
        <w:t>2.13 不可抗力</w:t>
      </w:r>
      <w:bookmarkEnd w:id="222"/>
      <w:bookmarkEnd w:id="223"/>
      <w:bookmarkEnd w:id="224"/>
    </w:p>
    <w:p w14:paraId="0A9AB9E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2.13.1如果任何一方遭遇法律规定的不可抗力，致使合同履行受阻时，履行合同的期限应予延长，延长的期限应相当于不可抗力所影响的时间；</w:t>
      </w:r>
    </w:p>
    <w:p w14:paraId="72A7868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0D6445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2.13.3 因不可抗力致使不能实现合同目的的，当事人可以解除合同；</w:t>
      </w:r>
    </w:p>
    <w:p w14:paraId="3B0DFC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44583D02">
      <w:pPr>
        <w:spacing w:line="360" w:lineRule="auto"/>
        <w:ind w:firstLine="482" w:firstLineChars="200"/>
        <w:rPr>
          <w:rFonts w:hint="eastAsia" w:ascii="宋体" w:hAnsi="宋体" w:eastAsia="宋体" w:cs="宋体"/>
          <w:b/>
          <w:color w:val="auto"/>
          <w:sz w:val="24"/>
          <w:highlight w:val="none"/>
        </w:rPr>
      </w:pPr>
      <w:bookmarkStart w:id="225" w:name="_Toc6969"/>
      <w:bookmarkStart w:id="226" w:name="_Toc487900365"/>
      <w:bookmarkStart w:id="227" w:name="_Toc689"/>
      <w:bookmarkStart w:id="228" w:name="_Toc259093684"/>
      <w:bookmarkStart w:id="229" w:name="_Toc279701255"/>
      <w:bookmarkStart w:id="230" w:name="_Toc30676"/>
      <w:r>
        <w:rPr>
          <w:rFonts w:hint="eastAsia" w:ascii="宋体" w:hAnsi="宋体" w:eastAsia="宋体" w:cs="宋体"/>
          <w:b/>
          <w:color w:val="auto"/>
          <w:sz w:val="24"/>
          <w:highlight w:val="none"/>
        </w:rPr>
        <w:t>2.14 税费</w:t>
      </w:r>
      <w:bookmarkEnd w:id="225"/>
      <w:bookmarkEnd w:id="226"/>
      <w:bookmarkEnd w:id="227"/>
      <w:bookmarkEnd w:id="228"/>
      <w:bookmarkEnd w:id="229"/>
      <w:bookmarkEnd w:id="230"/>
    </w:p>
    <w:p w14:paraId="7A6FD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与合同有关的一切税费，均按照中华人民共和国法律的相关规定执行。</w:t>
      </w:r>
    </w:p>
    <w:p w14:paraId="0B05545A">
      <w:pPr>
        <w:spacing w:line="360" w:lineRule="auto"/>
        <w:ind w:firstLine="482" w:firstLineChars="200"/>
        <w:rPr>
          <w:rFonts w:hint="eastAsia" w:ascii="宋体" w:hAnsi="宋体" w:eastAsia="宋体" w:cs="宋体"/>
          <w:b/>
          <w:color w:val="auto"/>
          <w:sz w:val="24"/>
          <w:highlight w:val="none"/>
        </w:rPr>
      </w:pPr>
      <w:bookmarkStart w:id="231" w:name="_Toc279701258"/>
      <w:bookmarkStart w:id="232" w:name="_Toc259093687"/>
      <w:bookmarkStart w:id="233" w:name="_Toc487900368"/>
      <w:bookmarkStart w:id="234" w:name="_Toc8298"/>
      <w:bookmarkStart w:id="235" w:name="_Toc7102"/>
      <w:bookmarkStart w:id="236" w:name="_Toc16959"/>
      <w:r>
        <w:rPr>
          <w:rFonts w:hint="eastAsia" w:ascii="宋体" w:hAnsi="宋体" w:eastAsia="宋体" w:cs="宋体"/>
          <w:b/>
          <w:color w:val="auto"/>
          <w:sz w:val="24"/>
          <w:highlight w:val="none"/>
        </w:rPr>
        <w:t>2.15 乙方破产</w:t>
      </w:r>
      <w:bookmarkEnd w:id="231"/>
      <w:bookmarkEnd w:id="232"/>
      <w:bookmarkEnd w:id="233"/>
      <w:bookmarkEnd w:id="234"/>
      <w:bookmarkEnd w:id="235"/>
      <w:bookmarkEnd w:id="236"/>
    </w:p>
    <w:p w14:paraId="2219AC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803FA7D">
      <w:pPr>
        <w:spacing w:line="360" w:lineRule="auto"/>
        <w:ind w:firstLine="482" w:firstLineChars="200"/>
        <w:rPr>
          <w:rFonts w:hint="eastAsia" w:ascii="宋体" w:hAnsi="宋体" w:eastAsia="宋体" w:cs="宋体"/>
          <w:b/>
          <w:color w:val="auto"/>
          <w:sz w:val="24"/>
          <w:highlight w:val="none"/>
        </w:rPr>
      </w:pPr>
      <w:bookmarkStart w:id="237" w:name="_Toc29333"/>
      <w:bookmarkStart w:id="238" w:name="_Toc15387"/>
      <w:bookmarkStart w:id="239" w:name="_Toc6134"/>
      <w:r>
        <w:rPr>
          <w:rFonts w:hint="eastAsia" w:ascii="宋体" w:hAnsi="宋体" w:eastAsia="宋体" w:cs="宋体"/>
          <w:b/>
          <w:color w:val="auto"/>
          <w:sz w:val="24"/>
          <w:highlight w:val="none"/>
        </w:rPr>
        <w:t>2.16 合同中止、终止</w:t>
      </w:r>
      <w:bookmarkEnd w:id="237"/>
      <w:bookmarkEnd w:id="238"/>
      <w:bookmarkEnd w:id="239"/>
    </w:p>
    <w:p w14:paraId="4F55F9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2.16.1 双方当事人不得擅自中止或者终止合同；</w:t>
      </w:r>
    </w:p>
    <w:p w14:paraId="212632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16ACD52">
      <w:pPr>
        <w:spacing w:line="360" w:lineRule="auto"/>
        <w:ind w:firstLine="482" w:firstLineChars="200"/>
        <w:rPr>
          <w:rFonts w:hint="eastAsia" w:ascii="宋体" w:hAnsi="宋体" w:eastAsia="宋体" w:cs="宋体"/>
          <w:b/>
          <w:color w:val="auto"/>
          <w:sz w:val="24"/>
          <w:highlight w:val="none"/>
        </w:rPr>
      </w:pPr>
      <w:bookmarkStart w:id="240" w:name="_Toc6596"/>
      <w:bookmarkStart w:id="241" w:name="_Toc14563"/>
      <w:bookmarkStart w:id="242" w:name="_Toc1125"/>
      <w:r>
        <w:rPr>
          <w:rFonts w:hint="eastAsia" w:ascii="宋体" w:hAnsi="宋体" w:eastAsia="宋体" w:cs="宋体"/>
          <w:b/>
          <w:color w:val="auto"/>
          <w:sz w:val="24"/>
          <w:highlight w:val="none"/>
        </w:rPr>
        <w:t>2.17 检验和验收</w:t>
      </w:r>
      <w:bookmarkEnd w:id="240"/>
      <w:bookmarkEnd w:id="241"/>
      <w:bookmarkEnd w:id="242"/>
    </w:p>
    <w:p w14:paraId="6631E5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14:paraId="3AB2A7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4AB0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bookmarkEnd w:id="212"/>
    <w:bookmarkEnd w:id="213"/>
    <w:bookmarkEnd w:id="214"/>
    <w:bookmarkEnd w:id="215"/>
    <w:p w14:paraId="691B0A4E">
      <w:pPr>
        <w:spacing w:line="360" w:lineRule="auto"/>
        <w:ind w:firstLine="482" w:firstLineChars="200"/>
        <w:rPr>
          <w:rFonts w:hint="eastAsia" w:ascii="宋体" w:hAnsi="宋体" w:eastAsia="宋体" w:cs="宋体"/>
          <w:b/>
          <w:color w:val="auto"/>
          <w:sz w:val="24"/>
          <w:highlight w:val="none"/>
        </w:rPr>
      </w:pPr>
      <w:bookmarkStart w:id="243" w:name="_Toc259093690"/>
      <w:bookmarkStart w:id="244" w:name="_Toc487900371"/>
      <w:bookmarkStart w:id="245" w:name="_Toc279701261"/>
      <w:bookmarkStart w:id="246" w:name="_Toc19604"/>
      <w:bookmarkStart w:id="247" w:name="_Toc25182"/>
      <w:bookmarkStart w:id="248" w:name="_Toc11284"/>
      <w:r>
        <w:rPr>
          <w:rFonts w:hint="eastAsia" w:ascii="宋体" w:hAnsi="宋体" w:eastAsia="宋体" w:cs="宋体"/>
          <w:b/>
          <w:color w:val="auto"/>
          <w:sz w:val="24"/>
          <w:highlight w:val="none"/>
        </w:rPr>
        <w:t>2.18 通知</w:t>
      </w:r>
      <w:bookmarkEnd w:id="243"/>
      <w:bookmarkEnd w:id="244"/>
      <w:bookmarkEnd w:id="245"/>
      <w:r>
        <w:rPr>
          <w:rFonts w:hint="eastAsia" w:ascii="宋体" w:hAnsi="宋体" w:eastAsia="宋体" w:cs="宋体"/>
          <w:b/>
          <w:color w:val="auto"/>
          <w:sz w:val="24"/>
          <w:highlight w:val="none"/>
        </w:rPr>
        <w:t>和送达</w:t>
      </w:r>
      <w:bookmarkEnd w:id="246"/>
      <w:bookmarkEnd w:id="247"/>
      <w:bookmarkEnd w:id="248"/>
    </w:p>
    <w:p w14:paraId="63D9F73D">
      <w:pPr>
        <w:spacing w:line="360" w:lineRule="auto"/>
        <w:ind w:firstLine="480" w:firstLineChars="200"/>
        <w:rPr>
          <w:rFonts w:hint="eastAsia" w:ascii="宋体" w:hAnsi="宋体" w:eastAsia="宋体" w:cs="宋体"/>
          <w:color w:val="auto"/>
          <w:sz w:val="24"/>
          <w:highlight w:val="none"/>
        </w:rPr>
      </w:pPr>
      <w:bookmarkStart w:id="249" w:name="_Toc3135"/>
      <w:bookmarkStart w:id="250" w:name="_Toc6698"/>
      <w:bookmarkStart w:id="251" w:name="_Toc259093691"/>
      <w:bookmarkStart w:id="252" w:name="_Toc279701262"/>
      <w:bookmarkStart w:id="253" w:name="_Toc487900372"/>
      <w:r>
        <w:rPr>
          <w:rFonts w:hint="eastAsia" w:ascii="宋体" w:hAnsi="宋体" w:eastAsia="宋体" w:cs="宋体"/>
          <w:color w:val="auto"/>
          <w:sz w:val="24"/>
          <w:highlight w:val="none"/>
        </w:rPr>
        <w:t>2.18.1 任何一方因履行合同而以合同第一部分尾部所列明的</w:t>
      </w:r>
      <w:r>
        <w:rPr>
          <w:rFonts w:hint="eastAsia" w:ascii="宋体" w:hAnsi="宋体" w:eastAsia="宋体" w:cs="宋体"/>
          <w:color w:val="auto"/>
          <w:sz w:val="24"/>
          <w:highlight w:val="none"/>
          <w:u w:val="single"/>
        </w:rPr>
        <w:t>“约定送达地址”</w:t>
      </w:r>
      <w:r>
        <w:rPr>
          <w:rFonts w:hint="eastAsia" w:ascii="宋体" w:hAnsi="宋体" w:eastAsia="宋体" w:cs="宋体"/>
          <w:color w:val="auto"/>
          <w:sz w:val="24"/>
          <w:highlight w:val="none"/>
        </w:rPr>
        <w:t>为收件地址的所有通知、文件、材料，均视为已向对方当事人送达；任何一方变更上述送达方式或者地址的，应于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个工作日内（根据项目实际填写）书面通知对方当事人，在对方当事人收到有关变更通知之前，变更前的约定送达方式或者地址仍视为有效。</w:t>
      </w:r>
      <w:bookmarkEnd w:id="249"/>
      <w:bookmarkEnd w:id="250"/>
    </w:p>
    <w:p w14:paraId="4AE9C1B3">
      <w:pPr>
        <w:spacing w:line="360" w:lineRule="auto"/>
        <w:ind w:firstLine="480" w:firstLineChars="200"/>
        <w:rPr>
          <w:rFonts w:hint="eastAsia" w:ascii="宋体" w:hAnsi="宋体" w:eastAsia="宋体" w:cs="宋体"/>
          <w:color w:val="auto"/>
          <w:sz w:val="24"/>
          <w:highlight w:val="none"/>
        </w:rPr>
      </w:pPr>
      <w:bookmarkStart w:id="254" w:name="_Toc23128"/>
      <w:bookmarkStart w:id="255" w:name="_Toc23294"/>
      <w:r>
        <w:rPr>
          <w:rFonts w:hint="eastAsia" w:ascii="宋体" w:hAnsi="宋体" w:eastAsia="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4"/>
      <w:bookmarkEnd w:id="255"/>
    </w:p>
    <w:p w14:paraId="236C9FC8">
      <w:pPr>
        <w:spacing w:line="360" w:lineRule="auto"/>
        <w:ind w:firstLine="482" w:firstLineChars="200"/>
        <w:rPr>
          <w:rFonts w:hint="eastAsia" w:ascii="宋体" w:hAnsi="宋体" w:eastAsia="宋体" w:cs="宋体"/>
          <w:b/>
          <w:color w:val="auto"/>
          <w:sz w:val="24"/>
          <w:highlight w:val="none"/>
        </w:rPr>
      </w:pPr>
      <w:bookmarkStart w:id="256" w:name="_Toc30599"/>
      <w:bookmarkStart w:id="257" w:name="_Toc18540"/>
      <w:bookmarkStart w:id="258" w:name="_Toc4355"/>
      <w:r>
        <w:rPr>
          <w:rFonts w:hint="eastAsia" w:ascii="宋体" w:hAnsi="宋体" w:eastAsia="宋体" w:cs="宋体"/>
          <w:b/>
          <w:color w:val="auto"/>
          <w:sz w:val="24"/>
          <w:highlight w:val="none"/>
        </w:rPr>
        <w:t>2.19 计量单位</w:t>
      </w:r>
      <w:bookmarkEnd w:id="251"/>
      <w:bookmarkEnd w:id="252"/>
      <w:bookmarkEnd w:id="253"/>
      <w:bookmarkEnd w:id="256"/>
      <w:bookmarkEnd w:id="257"/>
      <w:bookmarkEnd w:id="258"/>
    </w:p>
    <w:p w14:paraId="3C3E32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0C2C04B">
      <w:pPr>
        <w:spacing w:line="360" w:lineRule="auto"/>
        <w:ind w:firstLine="482" w:firstLineChars="200"/>
        <w:rPr>
          <w:rFonts w:hint="eastAsia" w:ascii="宋体" w:hAnsi="宋体" w:eastAsia="宋体" w:cs="宋体"/>
          <w:b/>
          <w:color w:val="auto"/>
          <w:sz w:val="24"/>
          <w:highlight w:val="none"/>
        </w:rPr>
      </w:pPr>
      <w:bookmarkStart w:id="259" w:name="_Toc259093692"/>
      <w:bookmarkStart w:id="260" w:name="_Toc487900373"/>
      <w:bookmarkStart w:id="261" w:name="_Toc18567"/>
      <w:bookmarkStart w:id="262" w:name="_Toc10330"/>
      <w:bookmarkStart w:id="263" w:name="_Toc279701263"/>
      <w:bookmarkStart w:id="264" w:name="_Toc12773"/>
      <w:r>
        <w:rPr>
          <w:rFonts w:hint="eastAsia" w:ascii="宋体" w:hAnsi="宋体" w:eastAsia="宋体" w:cs="宋体"/>
          <w:b/>
          <w:color w:val="auto"/>
          <w:sz w:val="24"/>
          <w:highlight w:val="none"/>
        </w:rPr>
        <w:t>2.20 合同使用的文字和适用的法律</w:t>
      </w:r>
      <w:bookmarkEnd w:id="259"/>
      <w:bookmarkEnd w:id="260"/>
      <w:bookmarkEnd w:id="261"/>
      <w:bookmarkEnd w:id="262"/>
      <w:bookmarkEnd w:id="263"/>
      <w:bookmarkEnd w:id="264"/>
    </w:p>
    <w:p w14:paraId="44E3AD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2.20.1 合同使用汉语书就、变更和解释；</w:t>
      </w:r>
    </w:p>
    <w:p w14:paraId="01C86B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2.20.2 合同适用中华人民共和国法律。</w:t>
      </w:r>
    </w:p>
    <w:p w14:paraId="461B13E0">
      <w:pPr>
        <w:spacing w:line="360" w:lineRule="auto"/>
        <w:ind w:firstLine="482" w:firstLineChars="200"/>
        <w:rPr>
          <w:rFonts w:hint="eastAsia" w:ascii="宋体" w:hAnsi="宋体" w:eastAsia="宋体" w:cs="宋体"/>
          <w:b/>
          <w:color w:val="auto"/>
          <w:sz w:val="24"/>
          <w:highlight w:val="none"/>
        </w:rPr>
      </w:pPr>
      <w:bookmarkStart w:id="265" w:name="_Toc279701264"/>
      <w:bookmarkStart w:id="266" w:name="_Toc12004"/>
      <w:bookmarkStart w:id="267" w:name="_Toc16673"/>
      <w:bookmarkStart w:id="268" w:name="_Toc259093693"/>
      <w:bookmarkStart w:id="269" w:name="_Toc3148"/>
      <w:bookmarkStart w:id="270" w:name="_Toc487900374"/>
      <w:r>
        <w:rPr>
          <w:rFonts w:hint="eastAsia" w:ascii="宋体" w:hAnsi="宋体" w:eastAsia="宋体" w:cs="宋体"/>
          <w:b/>
          <w:color w:val="auto"/>
          <w:sz w:val="24"/>
          <w:highlight w:val="none"/>
        </w:rPr>
        <w:t>2.21 履约保证金</w:t>
      </w:r>
      <w:bookmarkEnd w:id="265"/>
      <w:bookmarkEnd w:id="266"/>
      <w:bookmarkEnd w:id="267"/>
      <w:bookmarkEnd w:id="268"/>
      <w:bookmarkEnd w:id="269"/>
    </w:p>
    <w:p w14:paraId="6CD595EC">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本项目不收取履约保证金</w:t>
      </w:r>
    </w:p>
    <w:p w14:paraId="32D767E7">
      <w:pPr>
        <w:spacing w:line="360" w:lineRule="auto"/>
        <w:ind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sz w:val="24"/>
          <w:highlight w:val="none"/>
        </w:rPr>
        <w:t>2.22 中小企业政策</w:t>
      </w:r>
    </w:p>
    <w:p w14:paraId="2949EE9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2.22.1本合同（□是  □否）为中小企业“政采贷”可融资合同，关于中小企业信用融资事项见采购文件“供应商须知正文”。</w:t>
      </w:r>
    </w:p>
    <w:p w14:paraId="53BB2FB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2.22.2本合同（□是  □否）为中小企业预留合同。</w:t>
      </w:r>
    </w:p>
    <w:bookmarkEnd w:id="270"/>
    <w:p w14:paraId="41E6E8FB">
      <w:pPr>
        <w:spacing w:line="360" w:lineRule="auto"/>
        <w:ind w:firstLine="482" w:firstLineChars="200"/>
        <w:rPr>
          <w:rFonts w:hint="eastAsia" w:ascii="宋体" w:hAnsi="宋体" w:eastAsia="宋体" w:cs="宋体"/>
          <w:b/>
          <w:color w:val="auto"/>
          <w:sz w:val="24"/>
          <w:highlight w:val="none"/>
        </w:rPr>
      </w:pPr>
      <w:bookmarkStart w:id="271" w:name="_Toc6885"/>
      <w:bookmarkStart w:id="272" w:name="_Toc19890"/>
      <w:bookmarkStart w:id="273" w:name="_Toc14001"/>
      <w:r>
        <w:rPr>
          <w:rFonts w:hint="eastAsia" w:ascii="宋体" w:hAnsi="宋体" w:eastAsia="宋体" w:cs="宋体"/>
          <w:b/>
          <w:color w:val="auto"/>
          <w:sz w:val="24"/>
          <w:highlight w:val="none"/>
        </w:rPr>
        <w:t>2.23 合同份数</w:t>
      </w:r>
      <w:bookmarkEnd w:id="271"/>
      <w:bookmarkEnd w:id="272"/>
      <w:bookmarkEnd w:id="273"/>
    </w:p>
    <w:p w14:paraId="10BED4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份，甲方执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份，乙方执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份。每份均具有同等法律效力。</w:t>
      </w:r>
    </w:p>
    <w:p w14:paraId="1EC15F4D">
      <w:pPr>
        <w:pStyle w:val="28"/>
        <w:spacing w:after="0"/>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highlight w:val="none"/>
        </w:rPr>
        <w:br w:type="page"/>
      </w:r>
      <w:bookmarkStart w:id="274" w:name="_Toc331685784"/>
      <w:bookmarkStart w:id="275" w:name="_Toc80205946"/>
      <w:bookmarkStart w:id="276" w:name="_Toc80886950"/>
      <w:r>
        <w:rPr>
          <w:rFonts w:hint="eastAsia" w:ascii="宋体" w:hAnsi="宋体" w:eastAsia="宋体" w:cs="宋体"/>
          <w:b/>
          <w:color w:val="auto"/>
          <w:sz w:val="28"/>
          <w:szCs w:val="28"/>
          <w:highlight w:val="none"/>
        </w:rPr>
        <w:t>第三部分  合同专用条款</w:t>
      </w:r>
      <w:bookmarkEnd w:id="274"/>
      <w:bookmarkEnd w:id="275"/>
      <w:bookmarkEnd w:id="276"/>
    </w:p>
    <w:p w14:paraId="691D69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2005B1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2.3.2具有知识产权的标的物知识产权归属：</w:t>
      </w:r>
    </w:p>
    <w:p w14:paraId="52057A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6D253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2.4.1包装和装运专用条款（如果有）：</w:t>
      </w:r>
    </w:p>
    <w:p w14:paraId="77B4D77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6E73D5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2.4.2装运标的物的要求和通知：</w:t>
      </w:r>
    </w:p>
    <w:p w14:paraId="3E6756B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799CAD9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b/>
          <w:color w:val="auto"/>
          <w:sz w:val="24"/>
          <w:highlight w:val="none"/>
        </w:rPr>
        <w:t>结算方式和付款条件</w:t>
      </w:r>
    </w:p>
    <w:p w14:paraId="494CB63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本次项目合同总价为大写人民币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元）。本项目采用以下勾选结算方式进行支付：</w:t>
      </w:r>
    </w:p>
    <w:p w14:paraId="0F244C50">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□采用一次性支付方式，付款条件为：</w:t>
      </w:r>
      <w:r>
        <w:rPr>
          <w:rFonts w:hint="eastAsia" w:ascii="宋体" w:hAnsi="宋体" w:eastAsia="宋体" w:cs="宋体"/>
          <w:color w:val="auto"/>
          <w:kern w:val="0"/>
          <w:sz w:val="24"/>
          <w:highlight w:val="none"/>
          <w:u w:val="single"/>
        </w:rPr>
        <w:t xml:space="preserve">           </w:t>
      </w:r>
    </w:p>
    <w:p w14:paraId="185EB9B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□采用分期付款方式，付款条件为</w:t>
      </w:r>
      <w:r>
        <w:rPr>
          <w:rFonts w:hint="eastAsia" w:ascii="宋体" w:hAnsi="宋体" w:eastAsia="宋体" w:cs="宋体"/>
          <w:color w:val="auto"/>
          <w:kern w:val="0"/>
          <w:sz w:val="24"/>
          <w:highlight w:val="none"/>
        </w:rPr>
        <w:t>：</w:t>
      </w:r>
    </w:p>
    <w:p w14:paraId="574D0F1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第一期付款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34DA0461">
      <w:pP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val="zh-CN"/>
        </w:rPr>
        <w:t>第</w:t>
      </w: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zh-CN"/>
        </w:rPr>
        <w:t>期付款</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5B20C41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14:paraId="45D5243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甲方无故逾期支付服务费用的，按照每逾期一日支付欠付服务费额度的</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（根据项目实际填写，一般为万分之五）承担违约责任，违约金上限按照《合同书》约定执行。</w:t>
      </w:r>
    </w:p>
    <w:p w14:paraId="5672722A">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2.9</w:t>
      </w:r>
      <w:r>
        <w:rPr>
          <w:rFonts w:hint="eastAsia" w:ascii="宋体" w:hAnsi="宋体" w:eastAsia="宋体" w:cs="宋体"/>
          <w:b/>
          <w:color w:val="auto"/>
          <w:sz w:val="24"/>
          <w:highlight w:val="none"/>
        </w:rPr>
        <w:t>标的物的风险负担</w:t>
      </w:r>
    </w:p>
    <w:p w14:paraId="1C5842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标的物或者在途标的物或者交付给第一承运人后的标的物毁损、灭失的风险负担：</w:t>
      </w:r>
    </w:p>
    <w:p w14:paraId="60E09D1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乙方                                                                       </w:t>
      </w:r>
    </w:p>
    <w:p w14:paraId="2D091D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2.13.2受不可抗力影响的一方在不可抗力发生后，应在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日内（根据项目实际填写）以书面形式通知对方当事人，并在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日内（根据项目实际填写），将有关部门出具的证明文件送达对方当事人。</w:t>
      </w:r>
    </w:p>
    <w:p w14:paraId="01F762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2.13.4因不可抗力致使合同有变更必要的，双方当事人应在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日内（根据项目实际填写）以书面形式变更合同；</w:t>
      </w:r>
    </w:p>
    <w:p w14:paraId="4A8E71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日内（根据项目实际填写）发起验收，并可依法邀请相关方参加，验收应出具验收书。</w:t>
      </w:r>
    </w:p>
    <w:p w14:paraId="0868D5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2.17.3 检验和验收标准、程序等具体内容以及前述验收书的效力：</w:t>
      </w:r>
    </w:p>
    <w:p w14:paraId="6E9C6F6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3E71B9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其他：</w:t>
      </w:r>
    </w:p>
    <w:p w14:paraId="5FD9C55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项目验收：</w:t>
      </w:r>
    </w:p>
    <w:p w14:paraId="318A9A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31DAC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65BBF2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9C02A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4、验收产生的费用首次验收费用由甲方承担，如首次验收不合格，后续验收费用由乙方支付。</w:t>
      </w:r>
    </w:p>
    <w:p w14:paraId="0F7BA8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5、验收内容及资料要求：</w:t>
      </w:r>
    </w:p>
    <w:p w14:paraId="2F3658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034D4723">
      <w:pPr>
        <w:tabs>
          <w:tab w:val="left" w:pos="904"/>
        </w:tabs>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5.1验收内容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91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13FB2D6">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序号</w:t>
            </w:r>
          </w:p>
        </w:tc>
        <w:tc>
          <w:tcPr>
            <w:tcW w:w="1914" w:type="dxa"/>
            <w:vAlign w:val="center"/>
          </w:tcPr>
          <w:p w14:paraId="68E99D27">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验收内容</w:t>
            </w:r>
          </w:p>
        </w:tc>
        <w:tc>
          <w:tcPr>
            <w:tcW w:w="5930" w:type="dxa"/>
            <w:vAlign w:val="center"/>
          </w:tcPr>
          <w:p w14:paraId="2CFECFB0">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 验收标准</w:t>
            </w:r>
          </w:p>
        </w:tc>
      </w:tr>
      <w:tr w14:paraId="71F4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665F529E">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w:t>
            </w:r>
          </w:p>
        </w:tc>
        <w:tc>
          <w:tcPr>
            <w:tcW w:w="1914" w:type="dxa"/>
            <w:vAlign w:val="center"/>
          </w:tcPr>
          <w:p w14:paraId="20912BA6">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交货产品数量</w:t>
            </w:r>
          </w:p>
        </w:tc>
        <w:tc>
          <w:tcPr>
            <w:tcW w:w="5930" w:type="dxa"/>
            <w:vAlign w:val="center"/>
          </w:tcPr>
          <w:p w14:paraId="1A569431">
            <w:pPr>
              <w:widowControl/>
              <w:spacing w:line="360" w:lineRule="auto"/>
              <w:ind w:firstLine="200"/>
              <w:jc w:val="center"/>
              <w:rPr>
                <w:rFonts w:hint="eastAsia" w:ascii="宋体" w:hAnsi="宋体" w:eastAsia="宋体" w:cs="宋体"/>
                <w:color w:val="auto"/>
                <w:kern w:val="0"/>
                <w:sz w:val="24"/>
                <w:highlight w:val="none"/>
              </w:rPr>
            </w:pPr>
          </w:p>
        </w:tc>
      </w:tr>
      <w:tr w14:paraId="12BF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68C661A1">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w:t>
            </w:r>
          </w:p>
        </w:tc>
        <w:tc>
          <w:tcPr>
            <w:tcW w:w="1914" w:type="dxa"/>
            <w:vAlign w:val="center"/>
          </w:tcPr>
          <w:p w14:paraId="134A7130">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交货产品的质量文件</w:t>
            </w:r>
          </w:p>
        </w:tc>
        <w:tc>
          <w:tcPr>
            <w:tcW w:w="5930" w:type="dxa"/>
            <w:vAlign w:val="center"/>
          </w:tcPr>
          <w:p w14:paraId="29573FA8">
            <w:pPr>
              <w:widowControl/>
              <w:spacing w:line="360" w:lineRule="auto"/>
              <w:ind w:firstLine="200"/>
              <w:jc w:val="center"/>
              <w:rPr>
                <w:rFonts w:hint="eastAsia" w:ascii="宋体" w:hAnsi="宋体" w:eastAsia="宋体" w:cs="宋体"/>
                <w:color w:val="auto"/>
                <w:kern w:val="0"/>
                <w:sz w:val="24"/>
                <w:highlight w:val="none"/>
              </w:rPr>
            </w:pPr>
          </w:p>
        </w:tc>
      </w:tr>
      <w:tr w14:paraId="62C7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502F74D0">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4</w:t>
            </w:r>
          </w:p>
        </w:tc>
        <w:tc>
          <w:tcPr>
            <w:tcW w:w="1914" w:type="dxa"/>
            <w:vAlign w:val="center"/>
          </w:tcPr>
          <w:p w14:paraId="73912672">
            <w:pPr>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交货产品技术、性能指标 </w:t>
            </w:r>
          </w:p>
        </w:tc>
        <w:tc>
          <w:tcPr>
            <w:tcW w:w="5930" w:type="dxa"/>
            <w:vAlign w:val="center"/>
          </w:tcPr>
          <w:p w14:paraId="35B389B1">
            <w:pPr>
              <w:pStyle w:val="11"/>
              <w:spacing w:after="0" w:line="360" w:lineRule="auto"/>
              <w:ind w:firstLine="200"/>
              <w:jc w:val="left"/>
              <w:rPr>
                <w:rFonts w:hint="eastAsia" w:ascii="宋体" w:hAnsi="宋体" w:eastAsia="宋体" w:cs="宋体"/>
                <w:color w:val="auto"/>
                <w:highlight w:val="none"/>
                <w:lang w:eastAsia="zh-CN"/>
              </w:rPr>
            </w:pPr>
          </w:p>
        </w:tc>
      </w:tr>
      <w:tr w14:paraId="7247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527D7BF9">
            <w:pPr>
              <w:widowControl/>
              <w:spacing w:line="360" w:lineRule="auto"/>
              <w:ind w:firstLine="20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914" w:type="dxa"/>
            <w:vAlign w:val="center"/>
          </w:tcPr>
          <w:p w14:paraId="7DAC90A0">
            <w:pPr>
              <w:spacing w:line="360" w:lineRule="auto"/>
              <w:ind w:firstLine="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14:paraId="7661C847">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承诺</w:t>
            </w:r>
          </w:p>
        </w:tc>
        <w:tc>
          <w:tcPr>
            <w:tcW w:w="5930" w:type="dxa"/>
            <w:vAlign w:val="center"/>
          </w:tcPr>
          <w:p w14:paraId="1D52056C">
            <w:pPr>
              <w:widowControl/>
              <w:spacing w:line="360" w:lineRule="auto"/>
              <w:ind w:firstLine="200"/>
              <w:jc w:val="center"/>
              <w:rPr>
                <w:rFonts w:hint="eastAsia" w:ascii="宋体" w:hAnsi="宋体" w:eastAsia="宋体" w:cs="宋体"/>
                <w:color w:val="auto"/>
                <w:kern w:val="0"/>
                <w:sz w:val="24"/>
                <w:highlight w:val="none"/>
              </w:rPr>
            </w:pPr>
          </w:p>
        </w:tc>
      </w:tr>
      <w:tr w14:paraId="6667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35B4D00E">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6</w:t>
            </w:r>
          </w:p>
        </w:tc>
        <w:tc>
          <w:tcPr>
            <w:tcW w:w="1914" w:type="dxa"/>
            <w:vAlign w:val="center"/>
          </w:tcPr>
          <w:p w14:paraId="741987B5">
            <w:pPr>
              <w:widowControl/>
              <w:spacing w:line="360" w:lineRule="auto"/>
              <w:ind w:firstLine="200"/>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其他工作</w:t>
            </w:r>
          </w:p>
        </w:tc>
        <w:tc>
          <w:tcPr>
            <w:tcW w:w="5930" w:type="dxa"/>
            <w:vAlign w:val="center"/>
          </w:tcPr>
          <w:p w14:paraId="23F3F3B2">
            <w:pPr>
              <w:widowControl/>
              <w:spacing w:line="360" w:lineRule="auto"/>
              <w:ind w:firstLine="200"/>
              <w:jc w:val="left"/>
              <w:rPr>
                <w:rFonts w:hint="eastAsia" w:ascii="宋体" w:hAnsi="宋体" w:eastAsia="宋体" w:cs="宋体"/>
                <w:color w:val="auto"/>
                <w:kern w:val="0"/>
                <w:sz w:val="24"/>
                <w:highlight w:val="none"/>
              </w:rPr>
            </w:pPr>
          </w:p>
        </w:tc>
      </w:tr>
    </w:tbl>
    <w:p w14:paraId="7C74BFB3">
      <w:pPr>
        <w:tabs>
          <w:tab w:val="left" w:pos="904"/>
        </w:tabs>
        <w:snapToGrid w:val="0"/>
        <w:spacing w:line="360" w:lineRule="auto"/>
        <w:ind w:firstLine="480" w:firstLineChars="200"/>
        <w:jc w:val="left"/>
        <w:rPr>
          <w:rFonts w:hint="eastAsia" w:ascii="宋体" w:hAnsi="宋体" w:eastAsia="宋体" w:cs="宋体"/>
          <w:color w:val="auto"/>
          <w:sz w:val="24"/>
          <w:highlight w:val="none"/>
        </w:rPr>
      </w:pPr>
    </w:p>
    <w:p w14:paraId="624F5F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5.2验收资料要求</w:t>
      </w:r>
    </w:p>
    <w:p w14:paraId="3E9673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验收资料要求包括（不限于）以下内容：</w:t>
      </w:r>
    </w:p>
    <w:p w14:paraId="21B31C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w:t>
      </w:r>
    </w:p>
    <w:p w14:paraId="7C44D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w:t>
      </w:r>
    </w:p>
    <w:p w14:paraId="747D27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（3）采购合同；</w:t>
      </w:r>
    </w:p>
    <w:p w14:paraId="3271E7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3F032A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（5）其他需提供的相关材料。</w:t>
      </w:r>
    </w:p>
    <w:p w14:paraId="7FFD873C">
      <w:pPr>
        <w:widowControl/>
        <w:ind w:firstLine="720" w:firstLineChars="300"/>
        <w:jc w:val="left"/>
        <w:rPr>
          <w:rFonts w:hint="eastAsia" w:ascii="宋体" w:hAnsi="宋体" w:eastAsia="宋体" w:cs="宋体"/>
          <w:bCs/>
          <w:color w:val="auto"/>
          <w:sz w:val="24"/>
          <w:highlight w:val="none"/>
        </w:rPr>
      </w:pPr>
    </w:p>
    <w:p w14:paraId="6B120224">
      <w:pPr>
        <w:spacing w:line="360" w:lineRule="auto"/>
        <w:ind w:firstLine="480" w:firstLineChars="200"/>
        <w:rPr>
          <w:rFonts w:hint="eastAsia" w:ascii="宋体" w:hAnsi="宋体" w:eastAsia="宋体" w:cs="宋体"/>
          <w:b/>
          <w:color w:val="auto"/>
          <w:sz w:val="44"/>
          <w:szCs w:val="44"/>
          <w:highlight w:val="none"/>
        </w:rPr>
      </w:pPr>
      <w:r>
        <w:rPr>
          <w:rFonts w:hint="eastAsia" w:ascii="宋体" w:hAnsi="宋体" w:eastAsia="宋体" w:cs="宋体"/>
          <w:color w:val="auto"/>
          <w:sz w:val="24"/>
          <w:highlight w:val="none"/>
          <w:u w:val="single"/>
        </w:rPr>
        <w:t xml:space="preserve">                                                                       </w:t>
      </w:r>
    </w:p>
    <w:p w14:paraId="51AC26E3">
      <w:pPr>
        <w:tabs>
          <w:tab w:val="left" w:pos="3261"/>
        </w:tabs>
        <w:spacing w:line="360" w:lineRule="auto"/>
        <w:contextualSpacing/>
        <w:jc w:val="center"/>
        <w:rPr>
          <w:rFonts w:hint="eastAsia" w:ascii="宋体" w:hAnsi="宋体" w:eastAsia="宋体" w:cs="宋体"/>
          <w:b/>
          <w:color w:val="auto"/>
          <w:sz w:val="44"/>
          <w:szCs w:val="44"/>
          <w:highlight w:val="none"/>
        </w:rPr>
      </w:pPr>
    </w:p>
    <w:p w14:paraId="2940CF86">
      <w:pPr>
        <w:tabs>
          <w:tab w:val="left" w:pos="3261"/>
        </w:tabs>
        <w:spacing w:line="360" w:lineRule="auto"/>
        <w:contextualSpacing/>
        <w:jc w:val="center"/>
        <w:rPr>
          <w:rFonts w:hint="eastAsia" w:ascii="宋体" w:hAnsi="宋体" w:eastAsia="宋体" w:cs="宋体"/>
          <w:b/>
          <w:color w:val="auto"/>
          <w:sz w:val="44"/>
          <w:szCs w:val="44"/>
          <w:highlight w:val="none"/>
        </w:rPr>
      </w:pPr>
    </w:p>
    <w:p w14:paraId="6E18DAFE">
      <w:pPr>
        <w:tabs>
          <w:tab w:val="left" w:pos="3261"/>
        </w:tabs>
        <w:spacing w:line="360" w:lineRule="auto"/>
        <w:contextualSpacing/>
        <w:jc w:val="center"/>
        <w:rPr>
          <w:rFonts w:hint="eastAsia" w:ascii="宋体" w:hAnsi="宋体" w:eastAsia="宋体" w:cs="宋体"/>
          <w:b/>
          <w:color w:val="auto"/>
          <w:sz w:val="44"/>
          <w:szCs w:val="44"/>
          <w:highlight w:val="none"/>
        </w:rPr>
      </w:pPr>
    </w:p>
    <w:p w14:paraId="5560EDAE">
      <w:pPr>
        <w:spacing w:line="360" w:lineRule="auto"/>
        <w:jc w:val="center"/>
        <w:rPr>
          <w:rFonts w:hint="eastAsia" w:ascii="宋体" w:hAnsi="宋体" w:eastAsia="宋体" w:cs="宋体"/>
          <w:b/>
          <w:bCs/>
          <w:color w:val="auto"/>
          <w:sz w:val="44"/>
          <w:szCs w:val="44"/>
          <w:highlight w:val="none"/>
        </w:rPr>
        <w:sectPr>
          <w:pgSz w:w="11910" w:h="16840"/>
          <w:pgMar w:top="1440" w:right="1080" w:bottom="1440" w:left="1080" w:header="720" w:footer="720" w:gutter="0"/>
          <w:pgNumType w:fmt="decimal"/>
          <w:cols w:space="720" w:num="1"/>
        </w:sectPr>
      </w:pPr>
    </w:p>
    <w:p w14:paraId="1106B0A2">
      <w:pPr>
        <w:tabs>
          <w:tab w:val="left" w:pos="3261"/>
        </w:tabs>
        <w:spacing w:line="360" w:lineRule="auto"/>
        <w:contextualSpacing/>
        <w:jc w:val="center"/>
        <w:rPr>
          <w:rFonts w:hint="eastAsia" w:ascii="宋体" w:hAnsi="宋体" w:eastAsia="宋体" w:cs="宋体"/>
          <w:b/>
          <w:color w:val="auto"/>
          <w:sz w:val="44"/>
          <w:szCs w:val="44"/>
          <w:highlight w:val="none"/>
        </w:rPr>
      </w:pPr>
    </w:p>
    <w:p w14:paraId="243413E3">
      <w:pPr>
        <w:tabs>
          <w:tab w:val="left" w:pos="3261"/>
        </w:tabs>
        <w:spacing w:line="360" w:lineRule="auto"/>
        <w:contextualSpacing/>
        <w:jc w:val="center"/>
        <w:rPr>
          <w:rFonts w:hint="eastAsia" w:ascii="宋体" w:hAnsi="宋体" w:eastAsia="宋体" w:cs="宋体"/>
          <w:b/>
          <w:color w:val="auto"/>
          <w:sz w:val="44"/>
          <w:szCs w:val="44"/>
          <w:highlight w:val="none"/>
        </w:rPr>
      </w:pPr>
    </w:p>
    <w:p w14:paraId="4083A16F">
      <w:pPr>
        <w:tabs>
          <w:tab w:val="left" w:pos="3261"/>
        </w:tabs>
        <w:spacing w:line="360" w:lineRule="auto"/>
        <w:contextualSpacing/>
        <w:jc w:val="center"/>
        <w:rPr>
          <w:rFonts w:hint="eastAsia" w:ascii="宋体" w:hAnsi="宋体" w:eastAsia="宋体" w:cs="宋体"/>
          <w:b/>
          <w:color w:val="auto"/>
          <w:sz w:val="44"/>
          <w:szCs w:val="44"/>
          <w:highlight w:val="none"/>
        </w:rPr>
      </w:pPr>
    </w:p>
    <w:p w14:paraId="7E18EB1E">
      <w:pPr>
        <w:tabs>
          <w:tab w:val="left" w:pos="3261"/>
        </w:tabs>
        <w:spacing w:line="360" w:lineRule="auto"/>
        <w:contextualSpacing/>
        <w:jc w:val="center"/>
        <w:rPr>
          <w:rFonts w:hint="eastAsia" w:ascii="宋体" w:hAnsi="宋体" w:eastAsia="宋体" w:cs="宋体"/>
          <w:b/>
          <w:color w:val="auto"/>
          <w:sz w:val="44"/>
          <w:szCs w:val="44"/>
          <w:highlight w:val="none"/>
        </w:rPr>
      </w:pPr>
    </w:p>
    <w:p w14:paraId="512BEA88">
      <w:pPr>
        <w:tabs>
          <w:tab w:val="left" w:pos="3261"/>
        </w:tabs>
        <w:spacing w:line="360" w:lineRule="auto"/>
        <w:contextualSpacing/>
        <w:jc w:val="center"/>
        <w:rPr>
          <w:rFonts w:hint="eastAsia" w:ascii="宋体" w:hAnsi="宋体" w:eastAsia="宋体" w:cs="宋体"/>
          <w:b/>
          <w:color w:val="auto"/>
          <w:sz w:val="44"/>
          <w:szCs w:val="44"/>
          <w:highlight w:val="none"/>
        </w:rPr>
      </w:pPr>
    </w:p>
    <w:p w14:paraId="3E56AA14">
      <w:pPr>
        <w:pStyle w:val="2"/>
        <w:jc w:val="center"/>
        <w:rPr>
          <w:rFonts w:hint="eastAsia" w:ascii="宋体" w:hAnsi="宋体" w:eastAsia="宋体" w:cs="宋体"/>
          <w:color w:val="auto"/>
          <w:highlight w:val="none"/>
          <w:lang w:val="en-US"/>
        </w:rPr>
        <w:sectPr>
          <w:pgSz w:w="11910" w:h="16840"/>
          <w:pgMar w:top="1440" w:right="1080" w:bottom="1440" w:left="1080" w:header="720" w:footer="720" w:gutter="0"/>
          <w:pgNumType w:fmt="decimal"/>
          <w:cols w:space="720" w:num="1"/>
        </w:sectPr>
      </w:pPr>
      <w:bookmarkStart w:id="277" w:name="_Toc80886951"/>
      <w:r>
        <w:rPr>
          <w:rFonts w:hint="eastAsia" w:ascii="宋体" w:hAnsi="宋体" w:eastAsia="宋体" w:cs="宋体"/>
          <w:b w:val="0"/>
          <w:color w:val="auto"/>
          <w:highlight w:val="none"/>
        </w:rPr>
        <w:t>第七章 质疑、投诉材料格式</w:t>
      </w:r>
      <w:bookmarkEnd w:id="277"/>
    </w:p>
    <w:p w14:paraId="64CF126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B2FC9E6">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76C685BF">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9AD9409">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7AAFEE0">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80D2E60">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B29791B">
      <w:pPr>
        <w:pStyle w:val="15"/>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46427CFB">
      <w:pPr>
        <w:pStyle w:val="15"/>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D5AFA93">
      <w:pPr>
        <w:pStyle w:val="15"/>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7479C7FD">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bookmarkStart w:id="278" w:name="PO_3000001868_PM002_16"/>
      <w:r>
        <w:rPr>
          <w:rFonts w:hint="eastAsia" w:hAnsi="宋体" w:cs="宋体"/>
          <w:bCs/>
          <w:color w:val="auto"/>
          <w:sz w:val="24"/>
          <w:szCs w:val="24"/>
          <w:highlight w:val="none"/>
          <w:u w:val="single"/>
        </w:rPr>
        <w:t>[项目名称]</w:t>
      </w:r>
      <w:bookmarkEnd w:id="278"/>
      <w:r>
        <w:rPr>
          <w:rFonts w:hint="eastAsia" w:ascii="宋体" w:hAnsi="宋体" w:eastAsia="宋体" w:cs="宋体"/>
          <w:bCs/>
          <w:color w:val="auto"/>
          <w:sz w:val="24"/>
          <w:szCs w:val="24"/>
          <w:highlight w:val="none"/>
          <w:u w:val="single"/>
        </w:rPr>
        <w:t xml:space="preserve"> </w:t>
      </w:r>
    </w:p>
    <w:p w14:paraId="0E07180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hAnsi="宋体" w:cs="宋体"/>
          <w:bCs/>
          <w:color w:val="auto"/>
          <w:sz w:val="24"/>
          <w:szCs w:val="24"/>
          <w:highlight w:val="none"/>
          <w:u w:val="single"/>
        </w:rPr>
        <w:t>[项目编号]</w:t>
      </w:r>
      <w:r>
        <w:rPr>
          <w:rFonts w:hint="eastAsia" w:ascii="宋体" w:hAnsi="宋体" w:eastAsia="宋体" w:cs="宋体"/>
          <w:bCs/>
          <w:color w:val="auto"/>
          <w:sz w:val="24"/>
          <w:szCs w:val="24"/>
          <w:highlight w:val="none"/>
          <w:u w:val="single"/>
        </w:rPr>
        <w:t xml:space="preserve"> </w:t>
      </w:r>
    </w:p>
    <w:p w14:paraId="3790BD04">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bookmarkStart w:id="279" w:name="PO_3000001868_PM026_7"/>
      <w:r>
        <w:rPr>
          <w:rFonts w:hint="eastAsia" w:hAnsi="宋体" w:cs="宋体"/>
          <w:bCs/>
          <w:color w:val="auto"/>
          <w:sz w:val="24"/>
          <w:szCs w:val="24"/>
          <w:highlight w:val="none"/>
          <w:u w:val="single"/>
        </w:rPr>
        <w:t>[采购人]</w:t>
      </w:r>
      <w:bookmarkEnd w:id="279"/>
      <w:r>
        <w:rPr>
          <w:rFonts w:hint="eastAsia" w:ascii="宋体" w:hAnsi="宋体" w:eastAsia="宋体" w:cs="宋体"/>
          <w:bCs/>
          <w:color w:val="auto"/>
          <w:sz w:val="24"/>
          <w:szCs w:val="24"/>
          <w:highlight w:val="none"/>
          <w:u w:val="single"/>
        </w:rPr>
        <w:t xml:space="preserve">  </w:t>
      </w:r>
    </w:p>
    <w:p w14:paraId="1E7516BA">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33815C98">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096B619D">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9575A71">
      <w:pPr>
        <w:pStyle w:val="15"/>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0464DF95">
      <w:pPr>
        <w:pStyle w:val="15"/>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32FEEB4E">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6C469AF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4FECA29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95093D1">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24826C89">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5240FDF">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FC3A05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05844F27">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6AE7B84C">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64C30387">
      <w:pPr>
        <w:pStyle w:val="15"/>
        <w:spacing w:line="360" w:lineRule="auto"/>
        <w:ind w:left="25" w:leftChars="12" w:firstLine="352" w:firstLineChars="147"/>
        <w:contextualSpacing/>
        <w:rPr>
          <w:rFonts w:hint="eastAsia" w:ascii="宋体" w:hAnsi="宋体" w:eastAsia="宋体" w:cs="宋体"/>
          <w:color w:val="auto"/>
          <w:sz w:val="24"/>
          <w:szCs w:val="24"/>
          <w:highlight w:val="none"/>
        </w:rPr>
      </w:pPr>
    </w:p>
    <w:p w14:paraId="75BC6EC2">
      <w:pPr>
        <w:pStyle w:val="15"/>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4D4D46B">
      <w:pPr>
        <w:pStyle w:val="15"/>
        <w:spacing w:line="360" w:lineRule="auto"/>
        <w:contextualSpacing/>
        <w:rPr>
          <w:rFonts w:hint="eastAsia" w:ascii="宋体" w:hAnsi="宋体" w:eastAsia="宋体" w:cs="宋体"/>
          <w:b/>
          <w:color w:val="auto"/>
          <w:sz w:val="24"/>
          <w:szCs w:val="24"/>
          <w:highlight w:val="none"/>
          <w:lang w:eastAsia="zh-CN"/>
        </w:rPr>
      </w:pPr>
    </w:p>
    <w:p w14:paraId="1E17FEC8">
      <w:pPr>
        <w:pStyle w:val="15"/>
        <w:spacing w:line="360" w:lineRule="auto"/>
        <w:contextualSpacing/>
        <w:rPr>
          <w:rFonts w:hint="eastAsia" w:ascii="宋体" w:hAnsi="宋体" w:eastAsia="宋体" w:cs="宋体"/>
          <w:b/>
          <w:color w:val="auto"/>
          <w:sz w:val="24"/>
          <w:szCs w:val="24"/>
          <w:highlight w:val="none"/>
          <w:lang w:eastAsia="zh-CN"/>
        </w:rPr>
      </w:pPr>
    </w:p>
    <w:p w14:paraId="78836464">
      <w:pPr>
        <w:pStyle w:val="15"/>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B1A6EA7">
      <w:pPr>
        <w:pStyle w:val="15"/>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342D74DC">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C110297">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58FAFA56">
      <w:pPr>
        <w:pStyle w:val="15"/>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4B5A5E78">
      <w:pPr>
        <w:pStyle w:val="15"/>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1C600EF4">
      <w:pPr>
        <w:pStyle w:val="15"/>
        <w:snapToGrid w:val="0"/>
        <w:rPr>
          <w:rFonts w:hint="eastAsia" w:ascii="宋体" w:hAnsi="宋体" w:eastAsia="宋体" w:cs="宋体"/>
          <w:b/>
          <w:color w:val="auto"/>
          <w:sz w:val="24"/>
          <w:szCs w:val="24"/>
          <w:highlight w:val="none"/>
        </w:rPr>
      </w:pPr>
    </w:p>
    <w:p w14:paraId="30FC1964">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1D5AD60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0F48B195">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324218F2">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39DC2D8">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F20075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1837751C">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E3B1816">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EE1949C">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9FCDCF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44EE33D">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01DF3B5A">
      <w:pPr>
        <w:pStyle w:val="15"/>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6FC6CEF1">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9762A56">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46C6047">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51A2F365">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6FCD1091">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1A2750D4">
      <w:pPr>
        <w:pStyle w:val="15"/>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34DB83A2">
      <w:pPr>
        <w:pStyle w:val="15"/>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47A0707">
      <w:pPr>
        <w:pStyle w:val="15"/>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1F7DDF95">
      <w:pPr>
        <w:pStyle w:val="15"/>
        <w:spacing w:line="360" w:lineRule="auto"/>
        <w:ind w:left="25" w:leftChars="12"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bookmarkStart w:id="280" w:name="PO_3000001868_PM002_17"/>
      <w:r>
        <w:rPr>
          <w:rFonts w:hint="eastAsia" w:hAnsi="宋体" w:cs="宋体"/>
          <w:bCs/>
          <w:color w:val="auto"/>
          <w:sz w:val="24"/>
          <w:szCs w:val="24"/>
          <w:highlight w:val="none"/>
          <w:u w:val="single"/>
        </w:rPr>
        <w:t>[项目名称]</w:t>
      </w:r>
      <w:bookmarkEnd w:id="280"/>
      <w:r>
        <w:rPr>
          <w:rFonts w:hint="eastAsia" w:ascii="宋体" w:hAnsi="宋体" w:eastAsia="宋体" w:cs="宋体"/>
          <w:bCs/>
          <w:color w:val="auto"/>
          <w:sz w:val="24"/>
          <w:szCs w:val="24"/>
          <w:highlight w:val="none"/>
          <w:u w:val="single"/>
        </w:rPr>
        <w:t xml:space="preserve">    </w:t>
      </w:r>
    </w:p>
    <w:p w14:paraId="5BC9667F">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bookmarkStart w:id="281" w:name="PO_3000001868_PM001_14"/>
      <w:r>
        <w:rPr>
          <w:rFonts w:hint="eastAsia" w:hAnsi="宋体" w:cs="宋体"/>
          <w:bCs/>
          <w:color w:val="auto"/>
          <w:sz w:val="24"/>
          <w:szCs w:val="24"/>
          <w:highlight w:val="none"/>
          <w:u w:val="single"/>
        </w:rPr>
        <w:t>[项目编号]</w:t>
      </w:r>
      <w:bookmarkEnd w:id="281"/>
      <w:r>
        <w:rPr>
          <w:rFonts w:hint="eastAsia" w:ascii="宋体" w:hAnsi="宋体" w:eastAsia="宋体" w:cs="宋体"/>
          <w:bCs/>
          <w:color w:val="auto"/>
          <w:sz w:val="24"/>
          <w:szCs w:val="24"/>
          <w:highlight w:val="none"/>
          <w:u w:val="single"/>
        </w:rPr>
        <w:t xml:space="preserve">    </w:t>
      </w:r>
    </w:p>
    <w:p w14:paraId="3B2CEB5B">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bookmarkStart w:id="282" w:name="PO_3000001868_PM026_8"/>
      <w:r>
        <w:rPr>
          <w:rFonts w:hint="eastAsia" w:hAnsi="宋体" w:cs="宋体"/>
          <w:bCs/>
          <w:color w:val="auto"/>
          <w:sz w:val="24"/>
          <w:szCs w:val="24"/>
          <w:highlight w:val="none"/>
          <w:u w:val="single"/>
        </w:rPr>
        <w:t>[采购人]</w:t>
      </w:r>
      <w:bookmarkEnd w:id="282"/>
      <w:r>
        <w:rPr>
          <w:rFonts w:hint="eastAsia" w:ascii="宋体" w:hAnsi="宋体" w:eastAsia="宋体" w:cs="宋体"/>
          <w:bCs/>
          <w:color w:val="auto"/>
          <w:sz w:val="24"/>
          <w:szCs w:val="24"/>
          <w:highlight w:val="none"/>
          <w:u w:val="single"/>
        </w:rPr>
        <w:t xml:space="preserve">               </w:t>
      </w:r>
    </w:p>
    <w:p w14:paraId="0E6B9419">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bookmarkStart w:id="283" w:name="PO_3000001868_PM031_5"/>
      <w:r>
        <w:rPr>
          <w:rFonts w:hint="eastAsia" w:hAnsi="宋体" w:cs="宋体"/>
          <w:bCs/>
          <w:color w:val="auto"/>
          <w:sz w:val="24"/>
          <w:szCs w:val="24"/>
          <w:highlight w:val="none"/>
          <w:u w:val="single"/>
        </w:rPr>
        <w:t>[采购组织机构]</w:t>
      </w:r>
      <w:bookmarkEnd w:id="283"/>
      <w:r>
        <w:rPr>
          <w:rFonts w:hint="eastAsia" w:ascii="宋体" w:hAnsi="宋体" w:eastAsia="宋体" w:cs="宋体"/>
          <w:bCs/>
          <w:color w:val="auto"/>
          <w:sz w:val="24"/>
          <w:szCs w:val="24"/>
          <w:highlight w:val="none"/>
          <w:u w:val="single"/>
        </w:rPr>
        <w:t xml:space="preserve">               </w:t>
      </w:r>
    </w:p>
    <w:p w14:paraId="5D821834">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2193767">
      <w:pPr>
        <w:pStyle w:val="15"/>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510AF84">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07357300">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0518BBF">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05CB951">
      <w:pPr>
        <w:pStyle w:val="15"/>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79ED42A4">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41B0AD91">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51435DC9">
      <w:pPr>
        <w:pStyle w:val="15"/>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6F56E04">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BE1C2B1">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3AC73C01">
      <w:pPr>
        <w:pStyle w:val="15"/>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4E74398">
      <w:pPr>
        <w:pStyle w:val="15"/>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4DEAA89">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0608A160">
      <w:pPr>
        <w:pStyle w:val="15"/>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0B2C0D9F">
      <w:pPr>
        <w:pStyle w:val="15"/>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3F78A73C">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152AB4A">
      <w:pPr>
        <w:pStyle w:val="15"/>
        <w:spacing w:line="360" w:lineRule="auto"/>
        <w:ind w:left="25" w:leftChars="12" w:firstLine="352" w:firstLineChars="147"/>
        <w:rPr>
          <w:rFonts w:hint="eastAsia" w:ascii="宋体" w:hAnsi="宋体" w:eastAsia="宋体" w:cs="宋体"/>
          <w:color w:val="auto"/>
          <w:sz w:val="24"/>
          <w:szCs w:val="24"/>
          <w:highlight w:val="none"/>
        </w:rPr>
      </w:pPr>
    </w:p>
    <w:p w14:paraId="2E40FB6D">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428E8BE">
      <w:pPr>
        <w:pStyle w:val="15"/>
        <w:spacing w:line="360" w:lineRule="auto"/>
        <w:ind w:left="25" w:leftChars="12" w:firstLine="352" w:firstLineChars="147"/>
        <w:rPr>
          <w:rFonts w:hint="eastAsia" w:ascii="宋体" w:hAnsi="宋体" w:eastAsia="宋体" w:cs="宋体"/>
          <w:color w:val="auto"/>
          <w:sz w:val="24"/>
          <w:szCs w:val="24"/>
          <w:highlight w:val="none"/>
        </w:rPr>
      </w:pPr>
    </w:p>
    <w:p w14:paraId="061E4A5A">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4095F25">
      <w:pPr>
        <w:pStyle w:val="15"/>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33E2489B">
      <w:pPr>
        <w:pStyle w:val="15"/>
        <w:snapToGrid w:val="0"/>
        <w:spacing w:line="360" w:lineRule="auto"/>
        <w:rPr>
          <w:rFonts w:hint="eastAsia" w:ascii="宋体" w:hAnsi="宋体" w:eastAsia="宋体" w:cs="宋体"/>
          <w:b/>
          <w:color w:val="auto"/>
          <w:sz w:val="24"/>
          <w:szCs w:val="24"/>
          <w:highlight w:val="none"/>
        </w:rPr>
      </w:pPr>
    </w:p>
    <w:p w14:paraId="6F5C1360">
      <w:pPr>
        <w:pStyle w:val="1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267447E3">
      <w:pPr>
        <w:pStyle w:val="15"/>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63AA23C2">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62D6B7F">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0FB0516">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4D79DDD2">
      <w:pPr>
        <w:pStyle w:val="15"/>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609144B3">
      <w:pPr>
        <w:pStyle w:val="15"/>
        <w:spacing w:line="360" w:lineRule="auto"/>
        <w:ind w:left="25" w:leftChars="12" w:firstLine="354" w:firstLineChars="147"/>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sectPr>
      <w:footerReference r:id="rId14" w:type="first"/>
      <w:footerReference r:id="rId13" w:type="default"/>
      <w:pgSz w:w="11910" w:h="16840"/>
      <w:pgMar w:top="1440" w:right="1080" w:bottom="1440" w:left="10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DD595">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8D67">
    <w:pPr>
      <w:pStyle w:val="16"/>
      <w:framePr w:wrap="around" w:vAnchor="text" w:hAnchor="margin" w:xAlign="center" w:y="1"/>
      <w:rPr>
        <w:rStyle w:val="24"/>
        <w:sz w:val="21"/>
      </w:rPr>
    </w:pPr>
    <w:r>
      <w:rPr>
        <w:sz w:val="21"/>
      </w:rPr>
      <w:fldChar w:fldCharType="begin"/>
    </w:r>
    <w:r>
      <w:rPr>
        <w:rStyle w:val="24"/>
        <w:sz w:val="21"/>
      </w:rPr>
      <w:instrText xml:space="preserve">PAGE  </w:instrText>
    </w:r>
    <w:r>
      <w:rPr>
        <w:sz w:val="21"/>
      </w:rPr>
      <w:fldChar w:fldCharType="separate"/>
    </w:r>
    <w:r>
      <w:rPr>
        <w:rStyle w:val="24"/>
        <w:sz w:val="21"/>
      </w:rPr>
      <w:t>0</w:t>
    </w:r>
    <w:r>
      <w:rPr>
        <w:sz w:val="21"/>
      </w:rPr>
      <w:fldChar w:fldCharType="end"/>
    </w:r>
  </w:p>
  <w:p w14:paraId="6F07527A">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CAE6">
    <w:pPr>
      <w:pStyle w:val="16"/>
      <w:tabs>
        <w:tab w:val="center" w:pos="4439"/>
        <w:tab w:val="clear" w:pos="4153"/>
      </w:tabs>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4F5E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384F5E4">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75CA86B1">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F0E4">
    <w:pPr>
      <w:pStyle w:val="16"/>
      <w:tabs>
        <w:tab w:val="center" w:pos="4439"/>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ED12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20ED12A">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3D8F1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3D8F19"/>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69B3">
    <w:pPr>
      <w:pStyle w:val="16"/>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94AE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6C94AE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4398BAEB">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54EE1">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DF09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FDF098">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p>
                </w:txbxContent>
              </v:textbox>
            </v:shape>
          </w:pict>
        </mc:Fallback>
      </mc:AlternateContent>
    </w:r>
  </w:p>
  <w:p w14:paraId="5D971F56">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D835">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1FD81">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81FD81">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4CB68">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C107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42C1072">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101</w:t>
                    </w:r>
                    <w:r>
                      <w:rPr>
                        <w:rFonts w:hint="eastAsia"/>
                        <w:lang w:eastAsia="zh-CN"/>
                      </w:rPr>
                      <w:fldChar w:fldCharType="end"/>
                    </w:r>
                  </w:p>
                </w:txbxContent>
              </v:textbox>
            </v:shape>
          </w:pict>
        </mc:Fallback>
      </mc:AlternateContent>
    </w:r>
  </w:p>
  <w:p w14:paraId="772E6365">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BB0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8B77AE">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1C8B77AE">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0607">
    <w:pPr>
      <w:pStyle w:val="17"/>
      <w:tabs>
        <w:tab w:val="center" w:pos="0"/>
        <w:tab w:val="clear" w:pos="4153"/>
      </w:tabs>
      <w:rPr>
        <w:rFonts w:hint="default" w:eastAsia="宋体"/>
        <w:highlight w:val="yellow"/>
        <w:lang w:val="en-US" w:eastAsia="zh-CN"/>
      </w:rPr>
    </w:pPr>
    <w:r>
      <w:rPr>
        <w:rFonts w:hint="eastAsia"/>
        <w:lang w:eastAsia="zh-CN"/>
      </w:rPr>
      <w:t>南宁市政府采购竞争性磋商采购文件（</w:t>
    </w:r>
    <w:r>
      <w:rPr>
        <w:rFonts w:hint="eastAsia"/>
      </w:rPr>
      <w:t>项目编号：NNZC2025-C3-990592-GXDY</w:t>
    </w:r>
    <w:r>
      <w:rPr>
        <w:rFonts w:hint="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F1391">
    <w:pPr>
      <w:pStyle w:val="17"/>
      <w:tabs>
        <w:tab w:val="center" w:pos="0"/>
        <w:tab w:val="clear" w:pos="4153"/>
      </w:tabs>
    </w:pPr>
    <w:r>
      <w:rPr>
        <w:rFonts w:hint="eastAsia"/>
        <w:lang w:eastAsia="zh-CN"/>
      </w:rPr>
      <w:t>南宁市政府采购竞争性磋商采购文件（</w:t>
    </w:r>
    <w:r>
      <w:rPr>
        <w:rFonts w:hint="eastAsia"/>
      </w:rPr>
      <w:t>项目编号：NNZC2025-C3-990592-GXDY</w:t>
    </w:r>
    <w:r>
      <w:rPr>
        <w:rFonts w:hint="eastAsia"/>
        <w:lang w:eastAsia="zh-CN"/>
      </w:rPr>
      <w:t>）</w:t>
    </w:r>
  </w:p>
  <w:p w14:paraId="50A6FDB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62DF">
    <w:pPr>
      <w:pStyle w:val="17"/>
      <w:tabs>
        <w:tab w:val="center" w:pos="0"/>
        <w:tab w:val="clear" w:pos="4153"/>
      </w:tabs>
    </w:pPr>
    <w:r>
      <w:rPr>
        <w:rFonts w:hint="eastAsia"/>
        <w:lang w:eastAsia="zh-CN"/>
      </w:rPr>
      <w:t>南宁市政府采购竞争性磋商采购文件（</w:t>
    </w:r>
    <w:r>
      <w:rPr>
        <w:rFonts w:hint="eastAsia"/>
      </w:rPr>
      <w:t>项目编号：NNZC2025-C3-990592-GXDY</w:t>
    </w:r>
    <w:r>
      <w:rPr>
        <w:rFonts w:hint="eastAsia"/>
        <w:lang w:eastAsia="zh-CN"/>
      </w:rPr>
      <w:t>）</w:t>
    </w:r>
  </w:p>
  <w:p w14:paraId="4599A771">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66333C6A"/>
    <w:multiLevelType w:val="singleLevel"/>
    <w:tmpl w:val="66333C6A"/>
    <w:lvl w:ilvl="0" w:tentative="0">
      <w:start w:val="2"/>
      <w:numFmt w:val="chineseCounting"/>
      <w:suff w:val="nothing"/>
      <w:lvlText w:val="%1、"/>
      <w:lvlJc w:val="left"/>
    </w:lvl>
  </w:abstractNum>
  <w:abstractNum w:abstractNumId="2">
    <w:nsid w:val="76505754"/>
    <w:multiLevelType w:val="singleLevel"/>
    <w:tmpl w:val="76505754"/>
    <w:lvl w:ilvl="0" w:tentative="0">
      <w:start w:val="1"/>
      <w:numFmt w:val="decimal"/>
      <w:pStyle w:val="7"/>
      <w:lvlText w:val="%1."/>
      <w:lvlJc w:val="left"/>
      <w:pPr>
        <w:tabs>
          <w:tab w:val="left" w:pos="360"/>
        </w:tabs>
        <w:ind w:left="36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ZThlZTExMGYxMTZkYWU2NTI3ODk1Yjk5ZWJjNjYifQ=="/>
  </w:docVars>
  <w:rsids>
    <w:rsidRoot w:val="00000000"/>
    <w:rsid w:val="00321B99"/>
    <w:rsid w:val="007863A8"/>
    <w:rsid w:val="008031D5"/>
    <w:rsid w:val="00C06837"/>
    <w:rsid w:val="00EE2AE2"/>
    <w:rsid w:val="010C05D5"/>
    <w:rsid w:val="0313137F"/>
    <w:rsid w:val="03180F0F"/>
    <w:rsid w:val="0326076A"/>
    <w:rsid w:val="03485BEC"/>
    <w:rsid w:val="034E5DD5"/>
    <w:rsid w:val="040E3BB7"/>
    <w:rsid w:val="04723568"/>
    <w:rsid w:val="04860101"/>
    <w:rsid w:val="048A571D"/>
    <w:rsid w:val="04F55EAD"/>
    <w:rsid w:val="05227A62"/>
    <w:rsid w:val="053915E1"/>
    <w:rsid w:val="05956627"/>
    <w:rsid w:val="061B6A8D"/>
    <w:rsid w:val="06510766"/>
    <w:rsid w:val="06C36E66"/>
    <w:rsid w:val="079F5ED1"/>
    <w:rsid w:val="07BA7C02"/>
    <w:rsid w:val="080041F1"/>
    <w:rsid w:val="08217FA4"/>
    <w:rsid w:val="08550748"/>
    <w:rsid w:val="08551B1F"/>
    <w:rsid w:val="087B115B"/>
    <w:rsid w:val="08F03FC3"/>
    <w:rsid w:val="091B505B"/>
    <w:rsid w:val="096119FF"/>
    <w:rsid w:val="09B56C46"/>
    <w:rsid w:val="09C42350"/>
    <w:rsid w:val="0A185531"/>
    <w:rsid w:val="0A3F69B3"/>
    <w:rsid w:val="0A784459"/>
    <w:rsid w:val="0B0A461A"/>
    <w:rsid w:val="0D4375C7"/>
    <w:rsid w:val="0D5F1F6A"/>
    <w:rsid w:val="0D820AAA"/>
    <w:rsid w:val="0E112128"/>
    <w:rsid w:val="0E5138D9"/>
    <w:rsid w:val="0ED33A80"/>
    <w:rsid w:val="0EFC1BD5"/>
    <w:rsid w:val="0F2763AB"/>
    <w:rsid w:val="0F2E7FDC"/>
    <w:rsid w:val="0F4E618A"/>
    <w:rsid w:val="0F6C2C45"/>
    <w:rsid w:val="0F837B7B"/>
    <w:rsid w:val="100D3FB4"/>
    <w:rsid w:val="104700C1"/>
    <w:rsid w:val="106C049F"/>
    <w:rsid w:val="10816060"/>
    <w:rsid w:val="10FE00C8"/>
    <w:rsid w:val="111E2002"/>
    <w:rsid w:val="112D3FC2"/>
    <w:rsid w:val="11552FAA"/>
    <w:rsid w:val="11A730AA"/>
    <w:rsid w:val="11A95AA5"/>
    <w:rsid w:val="11DE3D9C"/>
    <w:rsid w:val="12095FEB"/>
    <w:rsid w:val="120F01D6"/>
    <w:rsid w:val="12270F27"/>
    <w:rsid w:val="12486851"/>
    <w:rsid w:val="125130B4"/>
    <w:rsid w:val="12543995"/>
    <w:rsid w:val="1307222D"/>
    <w:rsid w:val="131F6DE2"/>
    <w:rsid w:val="13704A87"/>
    <w:rsid w:val="14733F9D"/>
    <w:rsid w:val="148D030B"/>
    <w:rsid w:val="148F2F43"/>
    <w:rsid w:val="14B456E0"/>
    <w:rsid w:val="155532D5"/>
    <w:rsid w:val="15BF0D5B"/>
    <w:rsid w:val="15E967F6"/>
    <w:rsid w:val="170760F9"/>
    <w:rsid w:val="17575C56"/>
    <w:rsid w:val="175C62C7"/>
    <w:rsid w:val="177F2BAF"/>
    <w:rsid w:val="178942D3"/>
    <w:rsid w:val="17963B73"/>
    <w:rsid w:val="17C3240E"/>
    <w:rsid w:val="17EC2D51"/>
    <w:rsid w:val="18D255DE"/>
    <w:rsid w:val="19662322"/>
    <w:rsid w:val="1972242D"/>
    <w:rsid w:val="19AD26C0"/>
    <w:rsid w:val="1A034CFE"/>
    <w:rsid w:val="1A574D14"/>
    <w:rsid w:val="1A712297"/>
    <w:rsid w:val="1B15534E"/>
    <w:rsid w:val="1B2A7AAB"/>
    <w:rsid w:val="1C557CD4"/>
    <w:rsid w:val="1D314B16"/>
    <w:rsid w:val="1D3E38DC"/>
    <w:rsid w:val="1D743884"/>
    <w:rsid w:val="1E510C46"/>
    <w:rsid w:val="1EEA7A7A"/>
    <w:rsid w:val="1F566B0B"/>
    <w:rsid w:val="1F6B41EE"/>
    <w:rsid w:val="2033022C"/>
    <w:rsid w:val="207E0CD8"/>
    <w:rsid w:val="21403C32"/>
    <w:rsid w:val="21746D00"/>
    <w:rsid w:val="21854AB0"/>
    <w:rsid w:val="21F16156"/>
    <w:rsid w:val="22962C5A"/>
    <w:rsid w:val="22F34270"/>
    <w:rsid w:val="232474D6"/>
    <w:rsid w:val="244E49E7"/>
    <w:rsid w:val="248372C3"/>
    <w:rsid w:val="24D6102D"/>
    <w:rsid w:val="25253C2D"/>
    <w:rsid w:val="2561780C"/>
    <w:rsid w:val="25960081"/>
    <w:rsid w:val="259F279E"/>
    <w:rsid w:val="25C977B3"/>
    <w:rsid w:val="26174291"/>
    <w:rsid w:val="263A035F"/>
    <w:rsid w:val="269B125F"/>
    <w:rsid w:val="269C63EA"/>
    <w:rsid w:val="26A04B12"/>
    <w:rsid w:val="26A30712"/>
    <w:rsid w:val="26B2308E"/>
    <w:rsid w:val="26D54B78"/>
    <w:rsid w:val="27182EAE"/>
    <w:rsid w:val="27480EC4"/>
    <w:rsid w:val="27860CAC"/>
    <w:rsid w:val="28972505"/>
    <w:rsid w:val="28AD5A56"/>
    <w:rsid w:val="29157A20"/>
    <w:rsid w:val="2941660F"/>
    <w:rsid w:val="29714F7F"/>
    <w:rsid w:val="29E3200A"/>
    <w:rsid w:val="2A252FD8"/>
    <w:rsid w:val="2A2B429D"/>
    <w:rsid w:val="2A7A6439"/>
    <w:rsid w:val="2B59759F"/>
    <w:rsid w:val="2BAC1E77"/>
    <w:rsid w:val="2C1E074E"/>
    <w:rsid w:val="2C206DB7"/>
    <w:rsid w:val="2C2B5431"/>
    <w:rsid w:val="2C325B2F"/>
    <w:rsid w:val="2C42277C"/>
    <w:rsid w:val="2C720CF7"/>
    <w:rsid w:val="2C756704"/>
    <w:rsid w:val="2D3062F6"/>
    <w:rsid w:val="2D404BC2"/>
    <w:rsid w:val="2DBD50E7"/>
    <w:rsid w:val="2E0A551A"/>
    <w:rsid w:val="2E813A2E"/>
    <w:rsid w:val="2EC97A86"/>
    <w:rsid w:val="2F3C5BA7"/>
    <w:rsid w:val="2F5E78CC"/>
    <w:rsid w:val="2F632211"/>
    <w:rsid w:val="2F6618F9"/>
    <w:rsid w:val="2F6E697F"/>
    <w:rsid w:val="2FFD70E5"/>
    <w:rsid w:val="30326634"/>
    <w:rsid w:val="304A385B"/>
    <w:rsid w:val="308A1B49"/>
    <w:rsid w:val="3092315E"/>
    <w:rsid w:val="30970462"/>
    <w:rsid w:val="30A228CF"/>
    <w:rsid w:val="30D54ECC"/>
    <w:rsid w:val="310E68AD"/>
    <w:rsid w:val="314E3A59"/>
    <w:rsid w:val="316134D3"/>
    <w:rsid w:val="31C87A32"/>
    <w:rsid w:val="31D60B48"/>
    <w:rsid w:val="323C57F1"/>
    <w:rsid w:val="32D41028"/>
    <w:rsid w:val="32EE0641"/>
    <w:rsid w:val="330D6C3A"/>
    <w:rsid w:val="335225CA"/>
    <w:rsid w:val="33621609"/>
    <w:rsid w:val="33900270"/>
    <w:rsid w:val="339C2BAA"/>
    <w:rsid w:val="33FC6015"/>
    <w:rsid w:val="341156D1"/>
    <w:rsid w:val="34360F4B"/>
    <w:rsid w:val="35A6048A"/>
    <w:rsid w:val="35B244CD"/>
    <w:rsid w:val="361546DC"/>
    <w:rsid w:val="361D3938"/>
    <w:rsid w:val="36A10816"/>
    <w:rsid w:val="36A165BC"/>
    <w:rsid w:val="36C5537E"/>
    <w:rsid w:val="37043DE1"/>
    <w:rsid w:val="376A057B"/>
    <w:rsid w:val="379D7151"/>
    <w:rsid w:val="3800703D"/>
    <w:rsid w:val="38A20567"/>
    <w:rsid w:val="38A64C9D"/>
    <w:rsid w:val="39000F1D"/>
    <w:rsid w:val="39322BF4"/>
    <w:rsid w:val="395F671A"/>
    <w:rsid w:val="39F975DB"/>
    <w:rsid w:val="3A571822"/>
    <w:rsid w:val="3A7D3079"/>
    <w:rsid w:val="3AEC222F"/>
    <w:rsid w:val="3B304812"/>
    <w:rsid w:val="3BCE3C71"/>
    <w:rsid w:val="3BD2648E"/>
    <w:rsid w:val="3BDD4D3B"/>
    <w:rsid w:val="3C0406DA"/>
    <w:rsid w:val="3C7774D8"/>
    <w:rsid w:val="3C89377E"/>
    <w:rsid w:val="3C9D0BB8"/>
    <w:rsid w:val="3CA202EB"/>
    <w:rsid w:val="3D01643F"/>
    <w:rsid w:val="3D8F0693"/>
    <w:rsid w:val="3DC428EF"/>
    <w:rsid w:val="3E7327E5"/>
    <w:rsid w:val="3EA5068C"/>
    <w:rsid w:val="3EF155CC"/>
    <w:rsid w:val="3F031F02"/>
    <w:rsid w:val="3F5A319F"/>
    <w:rsid w:val="40610CEB"/>
    <w:rsid w:val="407A1155"/>
    <w:rsid w:val="40D6797E"/>
    <w:rsid w:val="41990C71"/>
    <w:rsid w:val="41D03A49"/>
    <w:rsid w:val="42601D29"/>
    <w:rsid w:val="431A0B2C"/>
    <w:rsid w:val="43202DC8"/>
    <w:rsid w:val="433C41A2"/>
    <w:rsid w:val="43484DCD"/>
    <w:rsid w:val="43543836"/>
    <w:rsid w:val="43AE3521"/>
    <w:rsid w:val="43B52B58"/>
    <w:rsid w:val="43FB0D44"/>
    <w:rsid w:val="44147B34"/>
    <w:rsid w:val="44405B83"/>
    <w:rsid w:val="445B610C"/>
    <w:rsid w:val="446866DE"/>
    <w:rsid w:val="448B56C0"/>
    <w:rsid w:val="44D85977"/>
    <w:rsid w:val="4534211A"/>
    <w:rsid w:val="45521FA0"/>
    <w:rsid w:val="456306EB"/>
    <w:rsid w:val="45750A00"/>
    <w:rsid w:val="45E22BAD"/>
    <w:rsid w:val="4636537C"/>
    <w:rsid w:val="46426784"/>
    <w:rsid w:val="46455F67"/>
    <w:rsid w:val="46C329DE"/>
    <w:rsid w:val="47284F35"/>
    <w:rsid w:val="472A63D4"/>
    <w:rsid w:val="47301184"/>
    <w:rsid w:val="47320C57"/>
    <w:rsid w:val="47597820"/>
    <w:rsid w:val="477F5881"/>
    <w:rsid w:val="47AB3282"/>
    <w:rsid w:val="47E26261"/>
    <w:rsid w:val="48955469"/>
    <w:rsid w:val="48AC269D"/>
    <w:rsid w:val="495B0674"/>
    <w:rsid w:val="49947DCE"/>
    <w:rsid w:val="49A04537"/>
    <w:rsid w:val="4A3E1625"/>
    <w:rsid w:val="4A9D5D7D"/>
    <w:rsid w:val="4AB129B7"/>
    <w:rsid w:val="4ACA6C6A"/>
    <w:rsid w:val="4B18135D"/>
    <w:rsid w:val="4B4C7907"/>
    <w:rsid w:val="4B5E3095"/>
    <w:rsid w:val="4C3D6D8F"/>
    <w:rsid w:val="4C8923AC"/>
    <w:rsid w:val="4D1A57C9"/>
    <w:rsid w:val="4D9001A3"/>
    <w:rsid w:val="4E4F759B"/>
    <w:rsid w:val="4E881714"/>
    <w:rsid w:val="4EC23BD1"/>
    <w:rsid w:val="4EC621F2"/>
    <w:rsid w:val="4EE40B63"/>
    <w:rsid w:val="511275EA"/>
    <w:rsid w:val="512C2F2E"/>
    <w:rsid w:val="514E5D5A"/>
    <w:rsid w:val="515875B5"/>
    <w:rsid w:val="516176D2"/>
    <w:rsid w:val="517B1BCB"/>
    <w:rsid w:val="51CE1206"/>
    <w:rsid w:val="520F6EF5"/>
    <w:rsid w:val="52742DDF"/>
    <w:rsid w:val="52754DA9"/>
    <w:rsid w:val="52954EC3"/>
    <w:rsid w:val="530153C3"/>
    <w:rsid w:val="53752A65"/>
    <w:rsid w:val="53AD13CF"/>
    <w:rsid w:val="53B447E3"/>
    <w:rsid w:val="548260A4"/>
    <w:rsid w:val="54B73FF2"/>
    <w:rsid w:val="54C224AB"/>
    <w:rsid w:val="55061B79"/>
    <w:rsid w:val="55391C9E"/>
    <w:rsid w:val="55A97831"/>
    <w:rsid w:val="563F0681"/>
    <w:rsid w:val="56D23CE6"/>
    <w:rsid w:val="57043E8E"/>
    <w:rsid w:val="573A167C"/>
    <w:rsid w:val="57503F5E"/>
    <w:rsid w:val="57573AF7"/>
    <w:rsid w:val="57862EA7"/>
    <w:rsid w:val="586A2E90"/>
    <w:rsid w:val="59C402C2"/>
    <w:rsid w:val="5A5F3299"/>
    <w:rsid w:val="5A692AEC"/>
    <w:rsid w:val="5A8C652A"/>
    <w:rsid w:val="5B335B42"/>
    <w:rsid w:val="5BEA4977"/>
    <w:rsid w:val="5BEF2D30"/>
    <w:rsid w:val="5C364361"/>
    <w:rsid w:val="5C936557"/>
    <w:rsid w:val="5D67342E"/>
    <w:rsid w:val="5D792EEA"/>
    <w:rsid w:val="5D8B04B1"/>
    <w:rsid w:val="5DE46D35"/>
    <w:rsid w:val="5E031003"/>
    <w:rsid w:val="5EEE216B"/>
    <w:rsid w:val="5F017909"/>
    <w:rsid w:val="5F33251B"/>
    <w:rsid w:val="5FAB3BB8"/>
    <w:rsid w:val="604D4730"/>
    <w:rsid w:val="616C0110"/>
    <w:rsid w:val="619B2399"/>
    <w:rsid w:val="630737FB"/>
    <w:rsid w:val="633E52AB"/>
    <w:rsid w:val="63A277BE"/>
    <w:rsid w:val="63C467C9"/>
    <w:rsid w:val="63D03B19"/>
    <w:rsid w:val="64201AE0"/>
    <w:rsid w:val="6432224C"/>
    <w:rsid w:val="643248A8"/>
    <w:rsid w:val="64B11588"/>
    <w:rsid w:val="64B36704"/>
    <w:rsid w:val="64B76458"/>
    <w:rsid w:val="64E405C7"/>
    <w:rsid w:val="653B51CD"/>
    <w:rsid w:val="65764354"/>
    <w:rsid w:val="6584310B"/>
    <w:rsid w:val="65862305"/>
    <w:rsid w:val="659D01C0"/>
    <w:rsid w:val="66157854"/>
    <w:rsid w:val="66182581"/>
    <w:rsid w:val="66562904"/>
    <w:rsid w:val="667F0A62"/>
    <w:rsid w:val="66AA14EC"/>
    <w:rsid w:val="66DF6028"/>
    <w:rsid w:val="66E9560E"/>
    <w:rsid w:val="6704106A"/>
    <w:rsid w:val="671D6F61"/>
    <w:rsid w:val="674B293A"/>
    <w:rsid w:val="67863880"/>
    <w:rsid w:val="689A6F3F"/>
    <w:rsid w:val="68EB60D2"/>
    <w:rsid w:val="68EF4B15"/>
    <w:rsid w:val="69A44E99"/>
    <w:rsid w:val="69AE5369"/>
    <w:rsid w:val="69AE6337"/>
    <w:rsid w:val="69AF5F2D"/>
    <w:rsid w:val="69B80CBA"/>
    <w:rsid w:val="6AE23D4E"/>
    <w:rsid w:val="6B464EE6"/>
    <w:rsid w:val="6BBC70E3"/>
    <w:rsid w:val="6C05554E"/>
    <w:rsid w:val="6C147708"/>
    <w:rsid w:val="6C29120B"/>
    <w:rsid w:val="6C9A29A3"/>
    <w:rsid w:val="6CC174AE"/>
    <w:rsid w:val="6D3A172A"/>
    <w:rsid w:val="6DD51E92"/>
    <w:rsid w:val="6E011ECC"/>
    <w:rsid w:val="6E165696"/>
    <w:rsid w:val="6E4953FF"/>
    <w:rsid w:val="6E5910A9"/>
    <w:rsid w:val="6E8D483A"/>
    <w:rsid w:val="6EE324F9"/>
    <w:rsid w:val="6EFF5B99"/>
    <w:rsid w:val="6F43605E"/>
    <w:rsid w:val="6F456060"/>
    <w:rsid w:val="6FC86A48"/>
    <w:rsid w:val="70416A67"/>
    <w:rsid w:val="70D35C00"/>
    <w:rsid w:val="71174F3B"/>
    <w:rsid w:val="719C16C2"/>
    <w:rsid w:val="722C4B5D"/>
    <w:rsid w:val="722E4900"/>
    <w:rsid w:val="72A5067D"/>
    <w:rsid w:val="72E43211"/>
    <w:rsid w:val="74054078"/>
    <w:rsid w:val="742D1137"/>
    <w:rsid w:val="743F2E58"/>
    <w:rsid w:val="75497CA3"/>
    <w:rsid w:val="75572A1B"/>
    <w:rsid w:val="75C92315"/>
    <w:rsid w:val="766D5BDE"/>
    <w:rsid w:val="767D1089"/>
    <w:rsid w:val="76C549B8"/>
    <w:rsid w:val="77543771"/>
    <w:rsid w:val="77692BE5"/>
    <w:rsid w:val="77E37423"/>
    <w:rsid w:val="77E747CF"/>
    <w:rsid w:val="78370287"/>
    <w:rsid w:val="78786B96"/>
    <w:rsid w:val="79157556"/>
    <w:rsid w:val="79AC696E"/>
    <w:rsid w:val="79AE5FAE"/>
    <w:rsid w:val="79F43687"/>
    <w:rsid w:val="7A1B7C4F"/>
    <w:rsid w:val="7A323CDC"/>
    <w:rsid w:val="7A59719B"/>
    <w:rsid w:val="7A6B7FE1"/>
    <w:rsid w:val="7AAD4651"/>
    <w:rsid w:val="7AF11C61"/>
    <w:rsid w:val="7B25792B"/>
    <w:rsid w:val="7B5E792E"/>
    <w:rsid w:val="7BA14136"/>
    <w:rsid w:val="7BA92C65"/>
    <w:rsid w:val="7BB14F2A"/>
    <w:rsid w:val="7C5A2AAE"/>
    <w:rsid w:val="7C897C31"/>
    <w:rsid w:val="7D5F72CE"/>
    <w:rsid w:val="7DFA4FCE"/>
    <w:rsid w:val="7E292420"/>
    <w:rsid w:val="7E4B7726"/>
    <w:rsid w:val="7E8516A0"/>
    <w:rsid w:val="7EFD71D3"/>
    <w:rsid w:val="7F2E39BF"/>
    <w:rsid w:val="7F50141F"/>
    <w:rsid w:val="7F843609"/>
    <w:rsid w:val="7F9513EB"/>
    <w:rsid w:val="7FAC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napToGrid w:val="0"/>
      <w:spacing w:before="120" w:beforeLines="0" w:after="120" w:afterLines="0"/>
      <w:outlineLvl w:val="3"/>
    </w:pPr>
    <w:rPr>
      <w:rFonts w:hint="default" w:ascii="Arial" w:hAnsi="Arial" w:eastAsia="宋体"/>
      <w:b/>
      <w:sz w:val="28"/>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pPr>
  </w:style>
  <w:style w:type="paragraph" w:styleId="7">
    <w:name w:val="List Number"/>
    <w:basedOn w:val="1"/>
    <w:qFormat/>
    <w:uiPriority w:val="0"/>
    <w:pPr>
      <w:numPr>
        <w:ilvl w:val="0"/>
        <w:numId w:val="1"/>
      </w:numPr>
    </w:pPr>
  </w:style>
  <w:style w:type="paragraph" w:styleId="8">
    <w:name w:val="Normal Indent"/>
    <w:basedOn w:val="1"/>
    <w:unhideWhenUsed/>
    <w:qFormat/>
    <w:uiPriority w:val="99"/>
    <w:pPr>
      <w:ind w:firstLine="420"/>
    </w:pPr>
    <w:rPr>
      <w:szCs w:val="20"/>
    </w:rPr>
  </w:style>
  <w:style w:type="paragraph" w:styleId="9">
    <w:name w:val="annotation text"/>
    <w:basedOn w:val="1"/>
    <w:unhideWhenUsed/>
    <w:qFormat/>
    <w:uiPriority w:val="99"/>
    <w:pPr>
      <w:jc w:val="left"/>
    </w:pPr>
  </w:style>
  <w:style w:type="paragraph" w:styleId="10">
    <w:name w:val="Body Text 3"/>
    <w:basedOn w:val="1"/>
    <w:unhideWhenUsed/>
    <w:qFormat/>
    <w:uiPriority w:val="99"/>
    <w:pPr>
      <w:spacing w:after="120"/>
    </w:pPr>
    <w:rPr>
      <w:sz w:val="16"/>
      <w:szCs w:val="16"/>
    </w:rPr>
  </w:style>
  <w:style w:type="paragraph" w:styleId="11">
    <w:name w:val="Body Text"/>
    <w:basedOn w:val="1"/>
    <w:unhideWhenUsed/>
    <w:qFormat/>
    <w:uiPriority w:val="99"/>
    <w:pPr>
      <w:spacing w:after="120"/>
    </w:pPr>
  </w:style>
  <w:style w:type="paragraph" w:styleId="12">
    <w:name w:val="Body Text Indent"/>
    <w:basedOn w:val="1"/>
    <w:unhideWhenUsed/>
    <w:qFormat/>
    <w:uiPriority w:val="99"/>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toc 3"/>
    <w:basedOn w:val="1"/>
    <w:next w:val="1"/>
    <w:unhideWhenUsed/>
    <w:qFormat/>
    <w:uiPriority w:val="39"/>
    <w:pPr>
      <w:ind w:left="840" w:leftChars="400"/>
    </w:pPr>
  </w:style>
  <w:style w:type="paragraph" w:styleId="15">
    <w:name w:val="Plain Text"/>
    <w:basedOn w:val="1"/>
    <w:next w:val="5"/>
    <w:unhideWhenUsed/>
    <w:qFormat/>
    <w:uiPriority w:val="99"/>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List"/>
    <w:basedOn w:val="1"/>
    <w:unhideWhenUsed/>
    <w:qFormat/>
    <w:uiPriority w:val="99"/>
    <w:pPr>
      <w:ind w:left="200" w:hanging="200" w:hangingChars="200"/>
      <w:contextualSpacing/>
    </w:pPr>
  </w:style>
  <w:style w:type="paragraph" w:styleId="20">
    <w:name w:val="toc 2"/>
    <w:basedOn w:val="1"/>
    <w:next w:val="1"/>
    <w:unhideWhenUsed/>
    <w:qFormat/>
    <w:uiPriority w:val="39"/>
    <w:pPr>
      <w:tabs>
        <w:tab w:val="right" w:leader="dot" w:pos="8296"/>
      </w:tabs>
      <w:ind w:left="420" w:leftChars="200"/>
    </w:p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unhideWhenUsed/>
    <w:qFormat/>
    <w:uiPriority w:val="99"/>
  </w:style>
  <w:style w:type="character" w:styleId="25">
    <w:name w:val="Hyperlink"/>
    <w:unhideWhenUsed/>
    <w:qFormat/>
    <w:uiPriority w:val="99"/>
    <w:rPr>
      <w:color w:val="0000FF"/>
      <w:u w:val="single"/>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customStyle="1" w:styleId="27">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28">
    <w:name w:val="正文缩进1"/>
    <w:basedOn w:val="1"/>
    <w:next w:val="12"/>
    <w:qFormat/>
    <w:uiPriority w:val="0"/>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16232</Words>
  <Characters>17825</Characters>
  <Lines>0</Lines>
  <Paragraphs>0</Paragraphs>
  <TotalTime>50</TotalTime>
  <ScaleCrop>false</ScaleCrop>
  <LinksUpToDate>false</LinksUpToDate>
  <CharactersWithSpaces>18065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微信用户</cp:lastModifiedBy>
  <cp:lastPrinted>2024-05-16T00:44:00Z</cp:lastPrinted>
  <dcterms:modified xsi:type="dcterms:W3CDTF">2025-07-04T03:39:43Z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67ABC7B3E653427CADAA37229F3DFF9C_13</vt:lpwstr>
  </property>
  <property fmtid="{D5CDD505-2E9C-101B-9397-08002B2CF9AE}" pid="4" name="KSOTemplateDocerSaveRecord">
    <vt:lpwstr>eyJoZGlkIjoiNmZkZThlZTExMGYxMTZkYWU2NTI3ODk1Yjk5ZWJjNjYiLCJ1c2VySWQiOiIxMjEyNDczMDQxIn0=</vt:lpwstr>
  </property>
</Properties>
</file>